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F6E62" w14:textId="77777777" w:rsidR="007D42D2" w:rsidRPr="00693A57" w:rsidRDefault="007D42D2" w:rsidP="007D42D2">
      <w:pPr>
        <w:pStyle w:val="ShortT"/>
      </w:pPr>
      <w:r>
        <w:t>Competition and Consumer (</w:t>
      </w:r>
      <w:r w:rsidRPr="00E57497">
        <w:t>Consumer Data Right</w:t>
      </w:r>
      <w:r>
        <w:t xml:space="preserve">) </w:t>
      </w:r>
      <w:r w:rsidRPr="00E57497">
        <w:t xml:space="preserve">Rules </w:t>
      </w:r>
      <w:r w:rsidRPr="00693A57">
        <w:t>2020 with proposed amendments</w:t>
      </w:r>
    </w:p>
    <w:p w14:paraId="22AA9805" w14:textId="77777777" w:rsidR="007D42D2" w:rsidRPr="00693A57" w:rsidRDefault="007D42D2" w:rsidP="007D42D2">
      <w:pPr>
        <w:pStyle w:val="nDrafterComment"/>
        <w:jc w:val="center"/>
        <w:rPr>
          <w:b/>
          <w:i/>
          <w:color w:val="0000FF"/>
          <w:lang w:eastAsia="en-AU"/>
        </w:rPr>
      </w:pPr>
    </w:p>
    <w:p w14:paraId="0596B94F" w14:textId="77777777" w:rsidR="007D42D2" w:rsidRPr="00693A57" w:rsidRDefault="007D42D2" w:rsidP="007D42D2">
      <w:pPr>
        <w:pStyle w:val="nDrafterComment"/>
        <w:jc w:val="center"/>
        <w:rPr>
          <w:color w:val="0000FF"/>
        </w:rPr>
      </w:pPr>
    </w:p>
    <w:p w14:paraId="024FB5BD" w14:textId="29D7A30B" w:rsidR="007D42D2" w:rsidRPr="00BC78CF" w:rsidRDefault="007D42D2" w:rsidP="007D42D2">
      <w:pPr>
        <w:pStyle w:val="ttDraftstrip"/>
        <w:tabs>
          <w:tab w:val="center" w:pos="3969"/>
          <w:tab w:val="right" w:pos="9639"/>
          <w:tab w:val="right" w:pos="9923"/>
        </w:tabs>
        <w:ind w:left="-567" w:right="-567"/>
        <w:jc w:val="center"/>
        <w:rPr>
          <w:sz w:val="36"/>
          <w:szCs w:val="36"/>
        </w:rPr>
      </w:pPr>
      <w:r w:rsidRPr="00693A57">
        <w:rPr>
          <w:sz w:val="36"/>
          <w:szCs w:val="36"/>
        </w:rPr>
        <w:t>Mark-up version</w:t>
      </w:r>
      <w:r w:rsidRPr="00BC78CF">
        <w:rPr>
          <w:sz w:val="36"/>
          <w:szCs w:val="36"/>
        </w:rPr>
        <w:br/>
      </w:r>
      <w:r>
        <w:rPr>
          <w:sz w:val="36"/>
          <w:szCs w:val="36"/>
        </w:rPr>
        <w:t>Exposure</w:t>
      </w:r>
      <w:r w:rsidRPr="00BC78CF">
        <w:rPr>
          <w:sz w:val="36"/>
          <w:szCs w:val="36"/>
        </w:rPr>
        <w:t xml:space="preserve"> draft—</w:t>
      </w:r>
      <w:r w:rsidR="00E970F9">
        <w:rPr>
          <w:sz w:val="36"/>
          <w:szCs w:val="36"/>
        </w:rPr>
        <w:t>17 August</w:t>
      </w:r>
      <w:r w:rsidR="002B3038">
        <w:rPr>
          <w:sz w:val="36"/>
          <w:szCs w:val="36"/>
        </w:rPr>
        <w:t xml:space="preserve"> 2021</w:t>
      </w:r>
    </w:p>
    <w:p w14:paraId="1ECC129D" w14:textId="77777777" w:rsidR="00387C70" w:rsidRPr="007D42D2" w:rsidRDefault="00387C70" w:rsidP="00387C70">
      <w:pPr>
        <w:pStyle w:val="ttDraftstrip"/>
        <w:tabs>
          <w:tab w:val="center" w:pos="3969"/>
          <w:tab w:val="right" w:pos="9639"/>
          <w:tab w:val="right" w:pos="9923"/>
        </w:tabs>
        <w:ind w:left="-567" w:right="-567"/>
        <w:jc w:val="center"/>
        <w:rPr>
          <w:sz w:val="36"/>
          <w:szCs w:val="36"/>
        </w:rPr>
      </w:pPr>
    </w:p>
    <w:p w14:paraId="356A16D6" w14:textId="7D4BA607" w:rsidR="00693A57" w:rsidRDefault="0081611B" w:rsidP="00214B48">
      <w:pPr>
        <w:rPr>
          <w:sz w:val="28"/>
          <w:szCs w:val="28"/>
        </w:rPr>
      </w:pPr>
      <w:r w:rsidRPr="007D42D2">
        <w:rPr>
          <w:sz w:val="28"/>
          <w:szCs w:val="28"/>
        </w:rPr>
        <w:t>T</w:t>
      </w:r>
      <w:r w:rsidR="007D42D2" w:rsidRPr="007D42D2">
        <w:rPr>
          <w:sz w:val="28"/>
          <w:szCs w:val="28"/>
        </w:rPr>
        <w:t xml:space="preserve">he base text is that of the </w:t>
      </w:r>
      <w:r w:rsidR="007D42D2" w:rsidRPr="00EA635E">
        <w:rPr>
          <w:i/>
          <w:sz w:val="28"/>
          <w:szCs w:val="28"/>
        </w:rPr>
        <w:t>Competition and Consumer (Consumer Data Right) Rules 2020</w:t>
      </w:r>
      <w:r w:rsidR="00EA635E">
        <w:rPr>
          <w:sz w:val="28"/>
          <w:szCs w:val="28"/>
        </w:rPr>
        <w:t>, as it would be amended by the</w:t>
      </w:r>
      <w:r w:rsidR="00693A57">
        <w:rPr>
          <w:sz w:val="28"/>
          <w:szCs w:val="28"/>
        </w:rPr>
        <w:t xml:space="preserve"> </w:t>
      </w:r>
      <w:r w:rsidR="00693A57" w:rsidRPr="007D42D2">
        <w:rPr>
          <w:sz w:val="28"/>
          <w:szCs w:val="28"/>
        </w:rPr>
        <w:t xml:space="preserve">proposed </w:t>
      </w:r>
      <w:r w:rsidR="00693A57" w:rsidRPr="007D42D2">
        <w:rPr>
          <w:i/>
          <w:sz w:val="28"/>
          <w:szCs w:val="28"/>
        </w:rPr>
        <w:t xml:space="preserve">Competition and Consumer (Consumer Data Right) Amendment Rules (No. </w:t>
      </w:r>
      <w:r w:rsidR="00913BA7">
        <w:rPr>
          <w:i/>
          <w:sz w:val="28"/>
          <w:szCs w:val="28"/>
        </w:rPr>
        <w:t>1</w:t>
      </w:r>
      <w:r w:rsidR="00693A57" w:rsidRPr="007D42D2">
        <w:rPr>
          <w:i/>
          <w:sz w:val="28"/>
          <w:szCs w:val="28"/>
        </w:rPr>
        <w:t>) 2021</w:t>
      </w:r>
      <w:r w:rsidR="00EA635E">
        <w:rPr>
          <w:i/>
          <w:sz w:val="28"/>
          <w:szCs w:val="28"/>
        </w:rPr>
        <w:t xml:space="preserve"> </w:t>
      </w:r>
      <w:r w:rsidR="00EA635E">
        <w:rPr>
          <w:sz w:val="28"/>
          <w:szCs w:val="28"/>
        </w:rPr>
        <w:t>(the “First Amendment instrument”)</w:t>
      </w:r>
      <w:r w:rsidR="00693A57">
        <w:rPr>
          <w:i/>
          <w:sz w:val="28"/>
          <w:szCs w:val="28"/>
        </w:rPr>
        <w:t xml:space="preserve"> </w:t>
      </w:r>
      <w:r w:rsidR="00693A57" w:rsidRPr="00693A57">
        <w:rPr>
          <w:sz w:val="28"/>
          <w:szCs w:val="28"/>
        </w:rPr>
        <w:t>(</w:t>
      </w:r>
      <w:r w:rsidR="00693A57">
        <w:rPr>
          <w:sz w:val="28"/>
          <w:szCs w:val="28"/>
        </w:rPr>
        <w:t xml:space="preserve">Exposure draft of </w:t>
      </w:r>
      <w:r w:rsidR="001634C9">
        <w:rPr>
          <w:sz w:val="28"/>
          <w:szCs w:val="28"/>
        </w:rPr>
        <w:t>1 July</w:t>
      </w:r>
      <w:r w:rsidR="00693A57">
        <w:rPr>
          <w:sz w:val="28"/>
          <w:szCs w:val="28"/>
        </w:rPr>
        <w:t>).</w:t>
      </w:r>
    </w:p>
    <w:p w14:paraId="5A76F416" w14:textId="77777777" w:rsidR="00EA635E" w:rsidRDefault="00EA635E" w:rsidP="00214B48">
      <w:pPr>
        <w:rPr>
          <w:sz w:val="28"/>
          <w:szCs w:val="28"/>
        </w:rPr>
      </w:pPr>
    </w:p>
    <w:p w14:paraId="3C5C532E" w14:textId="4DA81681" w:rsidR="00EA635E" w:rsidRPr="007D42D2" w:rsidRDefault="00EA635E" w:rsidP="00EA635E">
      <w:pPr>
        <w:rPr>
          <w:i/>
          <w:sz w:val="28"/>
          <w:szCs w:val="28"/>
        </w:rPr>
      </w:pPr>
      <w:r>
        <w:rPr>
          <w:sz w:val="28"/>
          <w:szCs w:val="28"/>
        </w:rPr>
        <w:t xml:space="preserve">Red </w:t>
      </w:r>
      <w:r w:rsidRPr="007D42D2">
        <w:rPr>
          <w:sz w:val="28"/>
          <w:szCs w:val="28"/>
        </w:rPr>
        <w:t xml:space="preserve">mark-up </w:t>
      </w:r>
      <w:r>
        <w:rPr>
          <w:sz w:val="28"/>
          <w:szCs w:val="28"/>
        </w:rPr>
        <w:t>s</w:t>
      </w:r>
      <w:r w:rsidRPr="007D42D2">
        <w:rPr>
          <w:sz w:val="28"/>
          <w:szCs w:val="28"/>
        </w:rPr>
        <w:t xml:space="preserve">hows the effect </w:t>
      </w:r>
      <w:r>
        <w:rPr>
          <w:sz w:val="28"/>
          <w:szCs w:val="28"/>
        </w:rPr>
        <w:t xml:space="preserve">on the base text </w:t>
      </w:r>
      <w:r w:rsidRPr="007D42D2">
        <w:rPr>
          <w:sz w:val="28"/>
          <w:szCs w:val="28"/>
        </w:rPr>
        <w:t xml:space="preserve">of the proposed </w:t>
      </w:r>
      <w:r w:rsidRPr="007D42D2">
        <w:rPr>
          <w:i/>
          <w:sz w:val="28"/>
          <w:szCs w:val="28"/>
        </w:rPr>
        <w:t>Competition and Consumer (Consumer Data Right) Amendment Rules (No. 2) 2021</w:t>
      </w:r>
      <w:r>
        <w:rPr>
          <w:i/>
          <w:sz w:val="28"/>
          <w:szCs w:val="28"/>
        </w:rPr>
        <w:t xml:space="preserve"> </w:t>
      </w:r>
      <w:r>
        <w:rPr>
          <w:sz w:val="28"/>
          <w:szCs w:val="28"/>
        </w:rPr>
        <w:t xml:space="preserve">(Exposure draft of </w:t>
      </w:r>
      <w:r w:rsidR="00E970F9">
        <w:rPr>
          <w:sz w:val="28"/>
          <w:szCs w:val="28"/>
        </w:rPr>
        <w:t>17 August</w:t>
      </w:r>
      <w:r>
        <w:rPr>
          <w:sz w:val="28"/>
          <w:szCs w:val="28"/>
        </w:rPr>
        <w:t>)</w:t>
      </w:r>
      <w:r w:rsidRPr="007D42D2">
        <w:rPr>
          <w:i/>
          <w:sz w:val="28"/>
          <w:szCs w:val="28"/>
        </w:rPr>
        <w:t>.</w:t>
      </w:r>
    </w:p>
    <w:p w14:paraId="207ED273" w14:textId="77777777" w:rsidR="00EA635E" w:rsidRDefault="00EA635E" w:rsidP="00214B48">
      <w:pPr>
        <w:rPr>
          <w:sz w:val="28"/>
          <w:szCs w:val="28"/>
        </w:rPr>
      </w:pPr>
    </w:p>
    <w:p w14:paraId="3566C35E" w14:textId="0A932B5C" w:rsidR="00EA635E" w:rsidRDefault="00EA635E" w:rsidP="00EA635E">
      <w:pPr>
        <w:rPr>
          <w:sz w:val="28"/>
          <w:szCs w:val="28"/>
        </w:rPr>
      </w:pPr>
      <w:r>
        <w:rPr>
          <w:sz w:val="28"/>
          <w:szCs w:val="28"/>
        </w:rPr>
        <w:t>To help the reader, the changes made by the proposed First Amendment instrument to the current rules are shown in blue mark-up; however, these amendments are not the subject of consultation at this point.</w:t>
      </w:r>
    </w:p>
    <w:p w14:paraId="6C33870D" w14:textId="77777777" w:rsidR="00EA635E" w:rsidRDefault="00EA635E" w:rsidP="00EA635E">
      <w:pPr>
        <w:rPr>
          <w:sz w:val="28"/>
          <w:szCs w:val="28"/>
        </w:rPr>
      </w:pPr>
    </w:p>
    <w:p w14:paraId="4463A3F6" w14:textId="13BF9B61" w:rsidR="00913BA7" w:rsidRDefault="004675B3" w:rsidP="00214B48">
      <w:pPr>
        <w:rPr>
          <w:sz w:val="28"/>
          <w:szCs w:val="28"/>
        </w:rPr>
      </w:pPr>
      <w:r>
        <w:rPr>
          <w:sz w:val="28"/>
          <w:szCs w:val="28"/>
        </w:rPr>
        <w:t xml:space="preserve">The </w:t>
      </w:r>
      <w:r w:rsidR="00913BA7">
        <w:rPr>
          <w:sz w:val="28"/>
          <w:szCs w:val="28"/>
        </w:rPr>
        <w:t xml:space="preserve">transitional provisions that appear in </w:t>
      </w:r>
      <w:r w:rsidR="00EA635E">
        <w:rPr>
          <w:sz w:val="28"/>
          <w:szCs w:val="28"/>
        </w:rPr>
        <w:t xml:space="preserve">the proposed First Amendment instrument </w:t>
      </w:r>
      <w:r w:rsidR="00913BA7">
        <w:rPr>
          <w:sz w:val="28"/>
          <w:szCs w:val="28"/>
        </w:rPr>
        <w:t>are also reproduced in blue text</w:t>
      </w:r>
      <w:r>
        <w:rPr>
          <w:sz w:val="28"/>
          <w:szCs w:val="28"/>
        </w:rPr>
        <w:t xml:space="preserve"> at the end of this document.</w:t>
      </w:r>
    </w:p>
    <w:p w14:paraId="62ADE629" w14:textId="77777777" w:rsidR="00913BA7" w:rsidRDefault="00913BA7" w:rsidP="00214B48">
      <w:pPr>
        <w:rPr>
          <w:sz w:val="28"/>
          <w:szCs w:val="28"/>
        </w:rPr>
      </w:pPr>
    </w:p>
    <w:p w14:paraId="5BC1203A" w14:textId="77777777" w:rsidR="007D42D2" w:rsidRDefault="007D42D2" w:rsidP="00214B48">
      <w:pPr>
        <w:rPr>
          <w:i/>
          <w:sz w:val="28"/>
          <w:szCs w:val="28"/>
        </w:rPr>
      </w:pPr>
    </w:p>
    <w:p w14:paraId="0B6F41A5" w14:textId="77777777" w:rsidR="00CF0E3D" w:rsidRPr="00796ADB" w:rsidRDefault="00CF0E3D" w:rsidP="00CF0E3D">
      <w:pPr>
        <w:outlineLvl w:val="0"/>
        <w:rPr>
          <w:sz w:val="36"/>
        </w:rPr>
      </w:pPr>
      <w:r w:rsidRPr="00796ADB">
        <w:rPr>
          <w:sz w:val="36"/>
        </w:rPr>
        <w:t>Contents</w:t>
      </w:r>
    </w:p>
    <w:p w14:paraId="5FF8FC4F" w14:textId="32CCCCEC" w:rsidR="000F7228" w:rsidRDefault="00CF0E3D">
      <w:pPr>
        <w:pStyle w:val="TOC2"/>
        <w:rPr>
          <w:rFonts w:asciiTheme="minorHAnsi" w:eastAsiaTheme="minorEastAsia" w:hAnsiTheme="minorHAnsi" w:cstheme="minorBidi"/>
          <w:b w:val="0"/>
          <w:noProof/>
          <w:kern w:val="0"/>
          <w:sz w:val="22"/>
          <w:szCs w:val="22"/>
        </w:rPr>
      </w:pPr>
      <w:r>
        <w:rPr>
          <w:b w:val="0"/>
        </w:rPr>
        <w:fldChar w:fldCharType="begin"/>
      </w:r>
      <w:r w:rsidRPr="00796ADB">
        <w:instrText xml:space="preserve"> TOC \o "1-9" </w:instrText>
      </w:r>
      <w:r>
        <w:rPr>
          <w:b w:val="0"/>
        </w:rPr>
        <w:fldChar w:fldCharType="separate"/>
      </w:r>
      <w:r w:rsidR="000F7228">
        <w:rPr>
          <w:noProof/>
        </w:rPr>
        <w:t>Part 1—Preliminary</w:t>
      </w:r>
      <w:r w:rsidR="000F7228">
        <w:rPr>
          <w:noProof/>
        </w:rPr>
        <w:tab/>
      </w:r>
      <w:r w:rsidR="000F7228">
        <w:rPr>
          <w:noProof/>
        </w:rPr>
        <w:fldChar w:fldCharType="begin"/>
      </w:r>
      <w:r w:rsidR="000F7228">
        <w:rPr>
          <w:noProof/>
        </w:rPr>
        <w:instrText xml:space="preserve"> PAGEREF _Toc77064811 \h </w:instrText>
      </w:r>
      <w:r w:rsidR="000F7228">
        <w:rPr>
          <w:noProof/>
        </w:rPr>
      </w:r>
      <w:r w:rsidR="000F7228">
        <w:rPr>
          <w:noProof/>
        </w:rPr>
        <w:fldChar w:fldCharType="separate"/>
      </w:r>
      <w:r w:rsidR="002F429D">
        <w:rPr>
          <w:noProof/>
        </w:rPr>
        <w:t>11</w:t>
      </w:r>
      <w:r w:rsidR="000F7228">
        <w:rPr>
          <w:noProof/>
        </w:rPr>
        <w:fldChar w:fldCharType="end"/>
      </w:r>
    </w:p>
    <w:p w14:paraId="6DF45E7A" w14:textId="6C028E0A" w:rsidR="000F7228" w:rsidRDefault="000F7228">
      <w:pPr>
        <w:pStyle w:val="TOC3"/>
        <w:rPr>
          <w:rFonts w:asciiTheme="minorHAnsi" w:eastAsiaTheme="minorEastAsia" w:hAnsiTheme="minorHAnsi" w:cstheme="minorBidi"/>
          <w:b w:val="0"/>
          <w:noProof/>
          <w:kern w:val="0"/>
          <w:szCs w:val="22"/>
        </w:rPr>
      </w:pPr>
      <w:r>
        <w:rPr>
          <w:noProof/>
        </w:rPr>
        <w:t>Division 1.1—Preliminary</w:t>
      </w:r>
      <w:r>
        <w:rPr>
          <w:noProof/>
        </w:rPr>
        <w:tab/>
      </w:r>
      <w:r>
        <w:rPr>
          <w:noProof/>
        </w:rPr>
        <w:fldChar w:fldCharType="begin"/>
      </w:r>
      <w:r>
        <w:rPr>
          <w:noProof/>
        </w:rPr>
        <w:instrText xml:space="preserve"> PAGEREF _Toc77064812 \h </w:instrText>
      </w:r>
      <w:r>
        <w:rPr>
          <w:noProof/>
        </w:rPr>
      </w:r>
      <w:r>
        <w:rPr>
          <w:noProof/>
        </w:rPr>
        <w:fldChar w:fldCharType="separate"/>
      </w:r>
      <w:r w:rsidR="002F429D">
        <w:rPr>
          <w:noProof/>
        </w:rPr>
        <w:t>11</w:t>
      </w:r>
      <w:r>
        <w:rPr>
          <w:noProof/>
        </w:rPr>
        <w:fldChar w:fldCharType="end"/>
      </w:r>
    </w:p>
    <w:p w14:paraId="52D97138" w14:textId="36CC9F64" w:rsidR="000F7228" w:rsidRDefault="000F7228">
      <w:pPr>
        <w:pStyle w:val="TOC5"/>
        <w:rPr>
          <w:rFonts w:asciiTheme="minorHAnsi" w:eastAsiaTheme="minorEastAsia" w:hAnsiTheme="minorHAnsi" w:cstheme="minorBidi"/>
          <w:noProof/>
          <w:kern w:val="0"/>
          <w:sz w:val="22"/>
          <w:szCs w:val="22"/>
        </w:rPr>
      </w:pPr>
      <w:r>
        <w:rPr>
          <w:noProof/>
        </w:rPr>
        <w:t>1.1  Name</w:t>
      </w:r>
      <w:r>
        <w:rPr>
          <w:noProof/>
        </w:rPr>
        <w:tab/>
      </w:r>
      <w:r>
        <w:rPr>
          <w:noProof/>
        </w:rPr>
        <w:fldChar w:fldCharType="begin"/>
      </w:r>
      <w:r>
        <w:rPr>
          <w:noProof/>
        </w:rPr>
        <w:instrText xml:space="preserve"> PAGEREF _Toc77064813 \h </w:instrText>
      </w:r>
      <w:r>
        <w:rPr>
          <w:noProof/>
        </w:rPr>
      </w:r>
      <w:r>
        <w:rPr>
          <w:noProof/>
        </w:rPr>
        <w:fldChar w:fldCharType="separate"/>
      </w:r>
      <w:r w:rsidR="002F429D">
        <w:rPr>
          <w:noProof/>
        </w:rPr>
        <w:t>11</w:t>
      </w:r>
      <w:r>
        <w:rPr>
          <w:noProof/>
        </w:rPr>
        <w:fldChar w:fldCharType="end"/>
      </w:r>
    </w:p>
    <w:p w14:paraId="7AD957C4" w14:textId="4C34187F" w:rsidR="000F7228" w:rsidRDefault="000F7228">
      <w:pPr>
        <w:pStyle w:val="TOC5"/>
        <w:rPr>
          <w:rFonts w:asciiTheme="minorHAnsi" w:eastAsiaTheme="minorEastAsia" w:hAnsiTheme="minorHAnsi" w:cstheme="minorBidi"/>
          <w:noProof/>
          <w:kern w:val="0"/>
          <w:sz w:val="22"/>
          <w:szCs w:val="22"/>
        </w:rPr>
      </w:pPr>
      <w:r>
        <w:rPr>
          <w:noProof/>
        </w:rPr>
        <w:t>1.3  Authority</w:t>
      </w:r>
      <w:r>
        <w:rPr>
          <w:noProof/>
        </w:rPr>
        <w:tab/>
      </w:r>
      <w:r>
        <w:rPr>
          <w:noProof/>
        </w:rPr>
        <w:fldChar w:fldCharType="begin"/>
      </w:r>
      <w:r>
        <w:rPr>
          <w:noProof/>
        </w:rPr>
        <w:instrText xml:space="preserve"> PAGEREF _Toc77064814 \h </w:instrText>
      </w:r>
      <w:r>
        <w:rPr>
          <w:noProof/>
        </w:rPr>
      </w:r>
      <w:r>
        <w:rPr>
          <w:noProof/>
        </w:rPr>
        <w:fldChar w:fldCharType="separate"/>
      </w:r>
      <w:r w:rsidR="002F429D">
        <w:rPr>
          <w:noProof/>
        </w:rPr>
        <w:t>11</w:t>
      </w:r>
      <w:r>
        <w:rPr>
          <w:noProof/>
        </w:rPr>
        <w:fldChar w:fldCharType="end"/>
      </w:r>
    </w:p>
    <w:p w14:paraId="7F090604" w14:textId="6247CEF3" w:rsidR="000F7228" w:rsidRDefault="000F7228">
      <w:pPr>
        <w:pStyle w:val="TOC3"/>
        <w:rPr>
          <w:rFonts w:asciiTheme="minorHAnsi" w:eastAsiaTheme="minorEastAsia" w:hAnsiTheme="minorHAnsi" w:cstheme="minorBidi"/>
          <w:b w:val="0"/>
          <w:noProof/>
          <w:kern w:val="0"/>
          <w:szCs w:val="22"/>
        </w:rPr>
      </w:pPr>
      <w:r>
        <w:rPr>
          <w:noProof/>
        </w:rPr>
        <w:t>Division 1.2—Simplified outline and overview of these rules</w:t>
      </w:r>
      <w:r>
        <w:rPr>
          <w:noProof/>
        </w:rPr>
        <w:tab/>
      </w:r>
      <w:r>
        <w:rPr>
          <w:noProof/>
        </w:rPr>
        <w:fldChar w:fldCharType="begin"/>
      </w:r>
      <w:r>
        <w:rPr>
          <w:noProof/>
        </w:rPr>
        <w:instrText xml:space="preserve"> PAGEREF _Toc77064815 \h </w:instrText>
      </w:r>
      <w:r>
        <w:rPr>
          <w:noProof/>
        </w:rPr>
      </w:r>
      <w:r>
        <w:rPr>
          <w:noProof/>
        </w:rPr>
        <w:fldChar w:fldCharType="separate"/>
      </w:r>
      <w:r w:rsidR="002F429D">
        <w:rPr>
          <w:noProof/>
        </w:rPr>
        <w:t>12</w:t>
      </w:r>
      <w:r>
        <w:rPr>
          <w:noProof/>
        </w:rPr>
        <w:fldChar w:fldCharType="end"/>
      </w:r>
    </w:p>
    <w:p w14:paraId="1838C58F" w14:textId="2E57421C" w:rsidR="000F7228" w:rsidRDefault="000F7228">
      <w:pPr>
        <w:pStyle w:val="TOC5"/>
        <w:rPr>
          <w:rFonts w:asciiTheme="minorHAnsi" w:eastAsiaTheme="minorEastAsia" w:hAnsiTheme="minorHAnsi" w:cstheme="minorBidi"/>
          <w:noProof/>
          <w:kern w:val="0"/>
          <w:sz w:val="22"/>
          <w:szCs w:val="22"/>
        </w:rPr>
      </w:pPr>
      <w:r>
        <w:rPr>
          <w:noProof/>
        </w:rPr>
        <w:t>1.4  Simplified outline of these rules</w:t>
      </w:r>
      <w:r>
        <w:rPr>
          <w:noProof/>
        </w:rPr>
        <w:tab/>
      </w:r>
      <w:r>
        <w:rPr>
          <w:noProof/>
        </w:rPr>
        <w:fldChar w:fldCharType="begin"/>
      </w:r>
      <w:r>
        <w:rPr>
          <w:noProof/>
        </w:rPr>
        <w:instrText xml:space="preserve"> PAGEREF _Toc77064816 \h </w:instrText>
      </w:r>
      <w:r>
        <w:rPr>
          <w:noProof/>
        </w:rPr>
      </w:r>
      <w:r>
        <w:rPr>
          <w:noProof/>
        </w:rPr>
        <w:fldChar w:fldCharType="separate"/>
      </w:r>
      <w:r w:rsidR="002F429D">
        <w:rPr>
          <w:noProof/>
        </w:rPr>
        <w:t>12</w:t>
      </w:r>
      <w:r>
        <w:rPr>
          <w:noProof/>
        </w:rPr>
        <w:fldChar w:fldCharType="end"/>
      </w:r>
    </w:p>
    <w:p w14:paraId="54FFCD66" w14:textId="046BB0F5"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1.5  What these rules are about</w:t>
      </w:r>
      <w:r>
        <w:rPr>
          <w:noProof/>
        </w:rPr>
        <w:tab/>
      </w:r>
      <w:r>
        <w:rPr>
          <w:noProof/>
        </w:rPr>
        <w:fldChar w:fldCharType="begin"/>
      </w:r>
      <w:r>
        <w:rPr>
          <w:noProof/>
        </w:rPr>
        <w:instrText xml:space="preserve"> PAGEREF _Toc77064817 \h </w:instrText>
      </w:r>
      <w:r>
        <w:rPr>
          <w:noProof/>
        </w:rPr>
      </w:r>
      <w:r>
        <w:rPr>
          <w:noProof/>
        </w:rPr>
        <w:fldChar w:fldCharType="separate"/>
      </w:r>
      <w:r w:rsidR="002F429D">
        <w:rPr>
          <w:noProof/>
        </w:rPr>
        <w:t>13</w:t>
      </w:r>
      <w:r>
        <w:rPr>
          <w:noProof/>
        </w:rPr>
        <w:fldChar w:fldCharType="end"/>
      </w:r>
    </w:p>
    <w:p w14:paraId="7477A2B6" w14:textId="18551480" w:rsidR="000F7228" w:rsidRDefault="000F7228">
      <w:pPr>
        <w:pStyle w:val="TOC5"/>
        <w:rPr>
          <w:rFonts w:asciiTheme="minorHAnsi" w:eastAsiaTheme="minorEastAsia" w:hAnsiTheme="minorHAnsi" w:cstheme="minorBidi"/>
          <w:noProof/>
          <w:kern w:val="0"/>
          <w:sz w:val="22"/>
          <w:szCs w:val="22"/>
        </w:rPr>
      </w:pPr>
      <w:r>
        <w:rPr>
          <w:noProof/>
        </w:rPr>
        <w:t>1.6  Overview of these rules</w:t>
      </w:r>
      <w:r>
        <w:rPr>
          <w:noProof/>
        </w:rPr>
        <w:tab/>
      </w:r>
      <w:r>
        <w:rPr>
          <w:noProof/>
        </w:rPr>
        <w:fldChar w:fldCharType="begin"/>
      </w:r>
      <w:r>
        <w:rPr>
          <w:noProof/>
        </w:rPr>
        <w:instrText xml:space="preserve"> PAGEREF _Toc77064818 \h </w:instrText>
      </w:r>
      <w:r>
        <w:rPr>
          <w:noProof/>
        </w:rPr>
      </w:r>
      <w:r>
        <w:rPr>
          <w:noProof/>
        </w:rPr>
        <w:fldChar w:fldCharType="separate"/>
      </w:r>
      <w:r w:rsidR="002F429D">
        <w:rPr>
          <w:noProof/>
        </w:rPr>
        <w:t>14</w:t>
      </w:r>
      <w:r>
        <w:rPr>
          <w:noProof/>
        </w:rPr>
        <w:fldChar w:fldCharType="end"/>
      </w:r>
    </w:p>
    <w:p w14:paraId="2CAA0619" w14:textId="09BD627A" w:rsidR="000F7228" w:rsidRDefault="000F7228">
      <w:pPr>
        <w:pStyle w:val="TOC3"/>
        <w:rPr>
          <w:rFonts w:asciiTheme="minorHAnsi" w:eastAsiaTheme="minorEastAsia" w:hAnsiTheme="minorHAnsi" w:cstheme="minorBidi"/>
          <w:b w:val="0"/>
          <w:noProof/>
          <w:kern w:val="0"/>
          <w:szCs w:val="22"/>
        </w:rPr>
      </w:pPr>
      <w:r>
        <w:rPr>
          <w:noProof/>
        </w:rPr>
        <w:t>Division 1.3—Interpretation</w:t>
      </w:r>
      <w:r>
        <w:rPr>
          <w:noProof/>
        </w:rPr>
        <w:tab/>
      </w:r>
      <w:r>
        <w:rPr>
          <w:noProof/>
        </w:rPr>
        <w:fldChar w:fldCharType="begin"/>
      </w:r>
      <w:r>
        <w:rPr>
          <w:noProof/>
        </w:rPr>
        <w:instrText xml:space="preserve"> PAGEREF _Toc77064819 \h </w:instrText>
      </w:r>
      <w:r>
        <w:rPr>
          <w:noProof/>
        </w:rPr>
      </w:r>
      <w:r>
        <w:rPr>
          <w:noProof/>
        </w:rPr>
        <w:fldChar w:fldCharType="separate"/>
      </w:r>
      <w:r w:rsidR="002F429D">
        <w:rPr>
          <w:noProof/>
        </w:rPr>
        <w:t>16</w:t>
      </w:r>
      <w:r>
        <w:rPr>
          <w:noProof/>
        </w:rPr>
        <w:fldChar w:fldCharType="end"/>
      </w:r>
    </w:p>
    <w:p w14:paraId="11B8A8CE" w14:textId="22F70D94" w:rsidR="000F7228" w:rsidRDefault="000F7228">
      <w:pPr>
        <w:pStyle w:val="TOC5"/>
        <w:rPr>
          <w:rFonts w:asciiTheme="minorHAnsi" w:eastAsiaTheme="minorEastAsia" w:hAnsiTheme="minorHAnsi" w:cstheme="minorBidi"/>
          <w:noProof/>
          <w:kern w:val="0"/>
          <w:sz w:val="22"/>
          <w:szCs w:val="22"/>
        </w:rPr>
      </w:pPr>
      <w:r>
        <w:rPr>
          <w:noProof/>
        </w:rPr>
        <w:t>1.7  Definitions</w:t>
      </w:r>
      <w:r>
        <w:rPr>
          <w:noProof/>
        </w:rPr>
        <w:tab/>
      </w:r>
      <w:r>
        <w:rPr>
          <w:noProof/>
        </w:rPr>
        <w:fldChar w:fldCharType="begin"/>
      </w:r>
      <w:r>
        <w:rPr>
          <w:noProof/>
        </w:rPr>
        <w:instrText xml:space="preserve"> PAGEREF _Toc77064820 \h </w:instrText>
      </w:r>
      <w:r>
        <w:rPr>
          <w:noProof/>
        </w:rPr>
      </w:r>
      <w:r>
        <w:rPr>
          <w:noProof/>
        </w:rPr>
        <w:fldChar w:fldCharType="separate"/>
      </w:r>
      <w:r w:rsidR="002F429D">
        <w:rPr>
          <w:noProof/>
        </w:rPr>
        <w:t>16</w:t>
      </w:r>
      <w:r>
        <w:rPr>
          <w:noProof/>
        </w:rPr>
        <w:fldChar w:fldCharType="end"/>
      </w:r>
    </w:p>
    <w:p w14:paraId="74309164" w14:textId="31693ACC" w:rsidR="000F7228" w:rsidRDefault="000F7228">
      <w:pPr>
        <w:pStyle w:val="TOC5"/>
        <w:rPr>
          <w:rFonts w:asciiTheme="minorHAnsi" w:eastAsiaTheme="minorEastAsia" w:hAnsiTheme="minorHAnsi" w:cstheme="minorBidi"/>
          <w:noProof/>
          <w:kern w:val="0"/>
          <w:sz w:val="22"/>
          <w:szCs w:val="22"/>
        </w:rPr>
      </w:pPr>
      <w:r>
        <w:rPr>
          <w:noProof/>
        </w:rPr>
        <w:t>1.8  Data minimisation principle</w:t>
      </w:r>
      <w:r>
        <w:rPr>
          <w:noProof/>
        </w:rPr>
        <w:tab/>
      </w:r>
      <w:r>
        <w:rPr>
          <w:noProof/>
        </w:rPr>
        <w:fldChar w:fldCharType="begin"/>
      </w:r>
      <w:r>
        <w:rPr>
          <w:noProof/>
        </w:rPr>
        <w:instrText xml:space="preserve"> PAGEREF _Toc77064821 \h </w:instrText>
      </w:r>
      <w:r>
        <w:rPr>
          <w:noProof/>
        </w:rPr>
      </w:r>
      <w:r>
        <w:rPr>
          <w:noProof/>
        </w:rPr>
        <w:fldChar w:fldCharType="separate"/>
      </w:r>
      <w:r w:rsidR="002F429D">
        <w:rPr>
          <w:noProof/>
        </w:rPr>
        <w:t>25</w:t>
      </w:r>
      <w:r>
        <w:rPr>
          <w:noProof/>
        </w:rPr>
        <w:fldChar w:fldCharType="end"/>
      </w:r>
    </w:p>
    <w:p w14:paraId="0646B021" w14:textId="2C91AD3A" w:rsidR="000F7228" w:rsidRDefault="000F7228">
      <w:pPr>
        <w:pStyle w:val="TOC5"/>
        <w:rPr>
          <w:rFonts w:asciiTheme="minorHAnsi" w:eastAsiaTheme="minorEastAsia" w:hAnsiTheme="minorHAnsi" w:cstheme="minorBidi"/>
          <w:noProof/>
          <w:kern w:val="0"/>
          <w:sz w:val="22"/>
          <w:szCs w:val="22"/>
        </w:rPr>
      </w:pPr>
      <w:r>
        <w:rPr>
          <w:noProof/>
        </w:rPr>
        <w:t>1.9  Fit and proper person criteria</w:t>
      </w:r>
      <w:r>
        <w:rPr>
          <w:noProof/>
        </w:rPr>
        <w:tab/>
      </w:r>
      <w:r>
        <w:rPr>
          <w:noProof/>
        </w:rPr>
        <w:fldChar w:fldCharType="begin"/>
      </w:r>
      <w:r>
        <w:rPr>
          <w:noProof/>
        </w:rPr>
        <w:instrText xml:space="preserve"> PAGEREF _Toc77064822 \h </w:instrText>
      </w:r>
      <w:r>
        <w:rPr>
          <w:noProof/>
        </w:rPr>
      </w:r>
      <w:r>
        <w:rPr>
          <w:noProof/>
        </w:rPr>
        <w:fldChar w:fldCharType="separate"/>
      </w:r>
      <w:r w:rsidR="002F429D">
        <w:rPr>
          <w:noProof/>
        </w:rPr>
        <w:t>25</w:t>
      </w:r>
      <w:r>
        <w:rPr>
          <w:noProof/>
        </w:rPr>
        <w:fldChar w:fldCharType="end"/>
      </w:r>
    </w:p>
    <w:p w14:paraId="60DF8CC5" w14:textId="41CF7C5F" w:rsidR="000F7228" w:rsidRDefault="000F7228">
      <w:pPr>
        <w:pStyle w:val="TOC5"/>
        <w:rPr>
          <w:rFonts w:asciiTheme="minorHAnsi" w:eastAsiaTheme="minorEastAsia" w:hAnsiTheme="minorHAnsi" w:cstheme="minorBidi"/>
          <w:noProof/>
          <w:kern w:val="0"/>
          <w:sz w:val="22"/>
          <w:szCs w:val="22"/>
        </w:rPr>
      </w:pPr>
      <w:r w:rsidRPr="003C3E47">
        <w:rPr>
          <w:noProof/>
          <w:shd w:val="clear" w:color="auto" w:fill="FFFFFF"/>
        </w:rPr>
        <w:t xml:space="preserve">1.10  Meaning of </w:t>
      </w:r>
      <w:r w:rsidRPr="003C3E47">
        <w:rPr>
          <w:i/>
          <w:noProof/>
          <w:shd w:val="clear" w:color="auto" w:fill="FFFFFF"/>
        </w:rPr>
        <w:t xml:space="preserve">outsourced service provider </w:t>
      </w:r>
      <w:r w:rsidRPr="003C3E47">
        <w:rPr>
          <w:noProof/>
          <w:shd w:val="clear" w:color="auto" w:fill="FFFFFF"/>
        </w:rPr>
        <w:t>and related terms</w:t>
      </w:r>
      <w:r>
        <w:rPr>
          <w:noProof/>
        </w:rPr>
        <w:tab/>
      </w:r>
      <w:r>
        <w:rPr>
          <w:noProof/>
        </w:rPr>
        <w:fldChar w:fldCharType="begin"/>
      </w:r>
      <w:r>
        <w:rPr>
          <w:noProof/>
        </w:rPr>
        <w:instrText xml:space="preserve"> PAGEREF _Toc77064823 \h </w:instrText>
      </w:r>
      <w:r>
        <w:rPr>
          <w:noProof/>
        </w:rPr>
      </w:r>
      <w:r>
        <w:rPr>
          <w:noProof/>
        </w:rPr>
        <w:fldChar w:fldCharType="separate"/>
      </w:r>
      <w:r w:rsidR="002F429D">
        <w:rPr>
          <w:noProof/>
        </w:rPr>
        <w:t>26</w:t>
      </w:r>
      <w:r>
        <w:rPr>
          <w:noProof/>
        </w:rPr>
        <w:fldChar w:fldCharType="end"/>
      </w:r>
    </w:p>
    <w:p w14:paraId="7B2856E7" w14:textId="54D548F5" w:rsidR="000F7228" w:rsidRDefault="000F7228">
      <w:pPr>
        <w:pStyle w:val="TOC5"/>
        <w:rPr>
          <w:rFonts w:asciiTheme="minorHAnsi" w:eastAsiaTheme="minorEastAsia" w:hAnsiTheme="minorHAnsi" w:cstheme="minorBidi"/>
          <w:noProof/>
          <w:kern w:val="0"/>
          <w:sz w:val="22"/>
          <w:szCs w:val="22"/>
        </w:rPr>
      </w:pPr>
      <w:r w:rsidRPr="003C3E47">
        <w:rPr>
          <w:noProof/>
          <w:color w:val="0000FF"/>
          <w:shd w:val="clear" w:color="auto" w:fill="FFFFFF"/>
        </w:rPr>
        <w:lastRenderedPageBreak/>
        <w:t xml:space="preserve">1.10AA  Meaning of </w:t>
      </w:r>
      <w:r w:rsidRPr="003C3E47">
        <w:rPr>
          <w:i/>
          <w:noProof/>
          <w:color w:val="0000FF"/>
          <w:shd w:val="clear" w:color="auto" w:fill="FFFFFF"/>
        </w:rPr>
        <w:t xml:space="preserve">CDR representative </w:t>
      </w:r>
      <w:r w:rsidRPr="003C3E47">
        <w:rPr>
          <w:noProof/>
          <w:color w:val="0000FF"/>
          <w:shd w:val="clear" w:color="auto" w:fill="FFFFFF"/>
        </w:rPr>
        <w:t>and related terms</w:t>
      </w:r>
      <w:r>
        <w:rPr>
          <w:noProof/>
        </w:rPr>
        <w:tab/>
      </w:r>
      <w:r>
        <w:rPr>
          <w:noProof/>
        </w:rPr>
        <w:fldChar w:fldCharType="begin"/>
      </w:r>
      <w:r>
        <w:rPr>
          <w:noProof/>
        </w:rPr>
        <w:instrText xml:space="preserve"> PAGEREF _Toc77064824 \h </w:instrText>
      </w:r>
      <w:r>
        <w:rPr>
          <w:noProof/>
        </w:rPr>
      </w:r>
      <w:r>
        <w:rPr>
          <w:noProof/>
        </w:rPr>
        <w:fldChar w:fldCharType="separate"/>
      </w:r>
      <w:r w:rsidR="002F429D">
        <w:rPr>
          <w:noProof/>
        </w:rPr>
        <w:t>27</w:t>
      </w:r>
      <w:r>
        <w:rPr>
          <w:noProof/>
        </w:rPr>
        <w:fldChar w:fldCharType="end"/>
      </w:r>
    </w:p>
    <w:p w14:paraId="559AC6FD" w14:textId="21824443" w:rsidR="000F7228" w:rsidRDefault="000F7228">
      <w:pPr>
        <w:pStyle w:val="TOC5"/>
        <w:rPr>
          <w:rFonts w:asciiTheme="minorHAnsi" w:eastAsiaTheme="minorEastAsia" w:hAnsiTheme="minorHAnsi" w:cstheme="minorBidi"/>
          <w:noProof/>
          <w:kern w:val="0"/>
          <w:sz w:val="22"/>
          <w:szCs w:val="22"/>
        </w:rPr>
      </w:pPr>
      <w:r>
        <w:rPr>
          <w:noProof/>
        </w:rPr>
        <w:t>1.10A  Types of consents</w:t>
      </w:r>
      <w:r>
        <w:rPr>
          <w:noProof/>
        </w:rPr>
        <w:tab/>
      </w:r>
      <w:r>
        <w:rPr>
          <w:noProof/>
        </w:rPr>
        <w:fldChar w:fldCharType="begin"/>
      </w:r>
      <w:r>
        <w:rPr>
          <w:noProof/>
        </w:rPr>
        <w:instrText xml:space="preserve"> PAGEREF _Toc77064825 \h </w:instrText>
      </w:r>
      <w:r>
        <w:rPr>
          <w:noProof/>
        </w:rPr>
      </w:r>
      <w:r>
        <w:rPr>
          <w:noProof/>
        </w:rPr>
        <w:fldChar w:fldCharType="separate"/>
      </w:r>
      <w:r w:rsidR="002F429D">
        <w:rPr>
          <w:noProof/>
        </w:rPr>
        <w:t>29</w:t>
      </w:r>
      <w:r>
        <w:rPr>
          <w:noProof/>
        </w:rPr>
        <w:fldChar w:fldCharType="end"/>
      </w:r>
    </w:p>
    <w:p w14:paraId="2DD0C77B" w14:textId="0E5EFDE8" w:rsidR="000F7228" w:rsidRDefault="000F7228">
      <w:pPr>
        <w:pStyle w:val="TOC5"/>
        <w:rPr>
          <w:rFonts w:asciiTheme="minorHAnsi" w:eastAsiaTheme="minorEastAsia" w:hAnsiTheme="minorHAnsi" w:cstheme="minorBidi"/>
          <w:noProof/>
          <w:kern w:val="0"/>
          <w:sz w:val="22"/>
          <w:szCs w:val="22"/>
        </w:rPr>
      </w:pPr>
      <w:r w:rsidRPr="003C3E47">
        <w:rPr>
          <w:noProof/>
          <w:color w:val="FF0000"/>
        </w:rPr>
        <w:t xml:space="preserve">1.10B  Meaning of </w:t>
      </w:r>
      <w:r w:rsidRPr="003C3E47">
        <w:rPr>
          <w:i/>
          <w:noProof/>
          <w:color w:val="FF0000"/>
        </w:rPr>
        <w:t>eligible</w:t>
      </w:r>
      <w:r>
        <w:rPr>
          <w:noProof/>
        </w:rPr>
        <w:tab/>
      </w:r>
      <w:r>
        <w:rPr>
          <w:noProof/>
        </w:rPr>
        <w:fldChar w:fldCharType="begin"/>
      </w:r>
      <w:r>
        <w:rPr>
          <w:noProof/>
        </w:rPr>
        <w:instrText xml:space="preserve"> PAGEREF _Toc77064826 \h </w:instrText>
      </w:r>
      <w:r>
        <w:rPr>
          <w:noProof/>
        </w:rPr>
      </w:r>
      <w:r>
        <w:rPr>
          <w:noProof/>
        </w:rPr>
        <w:fldChar w:fldCharType="separate"/>
      </w:r>
      <w:r w:rsidR="002F429D">
        <w:rPr>
          <w:noProof/>
        </w:rPr>
        <w:t>30</w:t>
      </w:r>
      <w:r>
        <w:rPr>
          <w:noProof/>
        </w:rPr>
        <w:fldChar w:fldCharType="end"/>
      </w:r>
    </w:p>
    <w:p w14:paraId="3D817EEB" w14:textId="32BD8C2B" w:rsidR="000F7228" w:rsidRDefault="000F7228">
      <w:pPr>
        <w:pStyle w:val="TOC5"/>
        <w:rPr>
          <w:rFonts w:asciiTheme="minorHAnsi" w:eastAsiaTheme="minorEastAsia" w:hAnsiTheme="minorHAnsi" w:cstheme="minorBidi"/>
          <w:noProof/>
          <w:kern w:val="0"/>
          <w:sz w:val="22"/>
          <w:szCs w:val="22"/>
        </w:rPr>
      </w:pPr>
      <w:r w:rsidRPr="003C3E47">
        <w:rPr>
          <w:noProof/>
          <w:color w:val="0000FF"/>
        </w:rPr>
        <w:t>1.10C  Trusted advisers</w:t>
      </w:r>
      <w:r>
        <w:rPr>
          <w:noProof/>
        </w:rPr>
        <w:tab/>
      </w:r>
      <w:r>
        <w:rPr>
          <w:noProof/>
        </w:rPr>
        <w:fldChar w:fldCharType="begin"/>
      </w:r>
      <w:r>
        <w:rPr>
          <w:noProof/>
        </w:rPr>
        <w:instrText xml:space="preserve"> PAGEREF _Toc77064827 \h </w:instrText>
      </w:r>
      <w:r>
        <w:rPr>
          <w:noProof/>
        </w:rPr>
      </w:r>
      <w:r>
        <w:rPr>
          <w:noProof/>
        </w:rPr>
        <w:fldChar w:fldCharType="separate"/>
      </w:r>
      <w:r w:rsidR="002F429D">
        <w:rPr>
          <w:noProof/>
        </w:rPr>
        <w:t>30</w:t>
      </w:r>
      <w:r>
        <w:rPr>
          <w:noProof/>
        </w:rPr>
        <w:fldChar w:fldCharType="end"/>
      </w:r>
    </w:p>
    <w:p w14:paraId="2BEED0EB" w14:textId="076C42D2" w:rsidR="000F7228" w:rsidRDefault="000F7228">
      <w:pPr>
        <w:pStyle w:val="TOC5"/>
        <w:rPr>
          <w:rFonts w:asciiTheme="minorHAnsi" w:eastAsiaTheme="minorEastAsia" w:hAnsiTheme="minorHAnsi" w:cstheme="minorBidi"/>
          <w:noProof/>
          <w:kern w:val="0"/>
          <w:sz w:val="22"/>
          <w:szCs w:val="22"/>
        </w:rPr>
      </w:pPr>
      <w:r w:rsidRPr="003C3E47">
        <w:rPr>
          <w:noProof/>
          <w:color w:val="0000FF"/>
        </w:rPr>
        <w:t xml:space="preserve">1.10D  Meaning of </w:t>
      </w:r>
      <w:r w:rsidRPr="003C3E47">
        <w:rPr>
          <w:i/>
          <w:noProof/>
          <w:color w:val="0000FF"/>
        </w:rPr>
        <w:t>sponsorship arrangement</w:t>
      </w:r>
      <w:r w:rsidRPr="003C3E47">
        <w:rPr>
          <w:iCs/>
          <w:noProof/>
          <w:color w:val="0000FF"/>
        </w:rPr>
        <w:t>,</w:t>
      </w:r>
      <w:r w:rsidRPr="003C3E47">
        <w:rPr>
          <w:bCs/>
          <w:iCs/>
          <w:noProof/>
          <w:color w:val="0000FF"/>
        </w:rPr>
        <w:t xml:space="preserve"> </w:t>
      </w:r>
      <w:r w:rsidRPr="003C3E47">
        <w:rPr>
          <w:i/>
          <w:noProof/>
          <w:color w:val="0000FF"/>
        </w:rPr>
        <w:t>sponsor</w:t>
      </w:r>
      <w:r w:rsidRPr="003C3E47">
        <w:rPr>
          <w:noProof/>
          <w:color w:val="0000FF"/>
        </w:rPr>
        <w:t xml:space="preserve"> and </w:t>
      </w:r>
      <w:r w:rsidRPr="003C3E47">
        <w:rPr>
          <w:i/>
          <w:noProof/>
          <w:color w:val="0000FF"/>
        </w:rPr>
        <w:t>affiliate</w:t>
      </w:r>
      <w:r>
        <w:rPr>
          <w:noProof/>
        </w:rPr>
        <w:tab/>
      </w:r>
      <w:r>
        <w:rPr>
          <w:noProof/>
        </w:rPr>
        <w:fldChar w:fldCharType="begin"/>
      </w:r>
      <w:r>
        <w:rPr>
          <w:noProof/>
        </w:rPr>
        <w:instrText xml:space="preserve"> PAGEREF _Toc77064828 \h </w:instrText>
      </w:r>
      <w:r>
        <w:rPr>
          <w:noProof/>
        </w:rPr>
      </w:r>
      <w:r>
        <w:rPr>
          <w:noProof/>
        </w:rPr>
        <w:fldChar w:fldCharType="separate"/>
      </w:r>
      <w:r w:rsidR="002F429D">
        <w:rPr>
          <w:noProof/>
        </w:rPr>
        <w:t>31</w:t>
      </w:r>
      <w:r>
        <w:rPr>
          <w:noProof/>
        </w:rPr>
        <w:fldChar w:fldCharType="end"/>
      </w:r>
    </w:p>
    <w:p w14:paraId="03D18F28" w14:textId="092ECC69" w:rsidR="000F7228" w:rsidRDefault="000F7228">
      <w:pPr>
        <w:pStyle w:val="TOC3"/>
        <w:rPr>
          <w:rFonts w:asciiTheme="minorHAnsi" w:eastAsiaTheme="minorEastAsia" w:hAnsiTheme="minorHAnsi" w:cstheme="minorBidi"/>
          <w:b w:val="0"/>
          <w:noProof/>
          <w:kern w:val="0"/>
          <w:szCs w:val="22"/>
        </w:rPr>
      </w:pPr>
      <w:r>
        <w:rPr>
          <w:noProof/>
        </w:rPr>
        <w:t>Division 1.4—</w:t>
      </w:r>
      <w:r w:rsidRPr="003C3E47">
        <w:rPr>
          <w:noProof/>
          <w:color w:val="000000"/>
        </w:rPr>
        <w:t>General provisions relating to data holders and to accredited persons</w:t>
      </w:r>
      <w:r>
        <w:rPr>
          <w:noProof/>
        </w:rPr>
        <w:tab/>
      </w:r>
      <w:r>
        <w:rPr>
          <w:noProof/>
        </w:rPr>
        <w:fldChar w:fldCharType="begin"/>
      </w:r>
      <w:r>
        <w:rPr>
          <w:noProof/>
        </w:rPr>
        <w:instrText xml:space="preserve"> PAGEREF _Toc77064829 \h </w:instrText>
      </w:r>
      <w:r>
        <w:rPr>
          <w:noProof/>
        </w:rPr>
      </w:r>
      <w:r>
        <w:rPr>
          <w:noProof/>
        </w:rPr>
        <w:fldChar w:fldCharType="separate"/>
      </w:r>
      <w:r w:rsidR="002F429D">
        <w:rPr>
          <w:noProof/>
        </w:rPr>
        <w:t>32</w:t>
      </w:r>
      <w:r>
        <w:rPr>
          <w:noProof/>
        </w:rPr>
        <w:fldChar w:fldCharType="end"/>
      </w:r>
    </w:p>
    <w:p w14:paraId="196DA576" w14:textId="24331A17" w:rsidR="000F7228" w:rsidRDefault="000F7228">
      <w:pPr>
        <w:pStyle w:val="TOC4"/>
        <w:rPr>
          <w:rFonts w:asciiTheme="minorHAnsi" w:eastAsiaTheme="minorEastAsia" w:hAnsiTheme="minorHAnsi" w:cstheme="minorBidi"/>
          <w:b w:val="0"/>
          <w:noProof/>
          <w:kern w:val="0"/>
          <w:sz w:val="22"/>
          <w:szCs w:val="22"/>
        </w:rPr>
      </w:pPr>
      <w:r>
        <w:rPr>
          <w:noProof/>
        </w:rPr>
        <w:t>Subdivision 1.4.1—Preliminary</w:t>
      </w:r>
      <w:r>
        <w:rPr>
          <w:noProof/>
        </w:rPr>
        <w:tab/>
      </w:r>
      <w:r>
        <w:rPr>
          <w:noProof/>
        </w:rPr>
        <w:fldChar w:fldCharType="begin"/>
      </w:r>
      <w:r>
        <w:rPr>
          <w:noProof/>
        </w:rPr>
        <w:instrText xml:space="preserve"> PAGEREF _Toc77064830 \h </w:instrText>
      </w:r>
      <w:r>
        <w:rPr>
          <w:noProof/>
        </w:rPr>
      </w:r>
      <w:r>
        <w:rPr>
          <w:noProof/>
        </w:rPr>
        <w:fldChar w:fldCharType="separate"/>
      </w:r>
      <w:r w:rsidR="002F429D">
        <w:rPr>
          <w:noProof/>
        </w:rPr>
        <w:t>32</w:t>
      </w:r>
      <w:r>
        <w:rPr>
          <w:noProof/>
        </w:rPr>
        <w:fldChar w:fldCharType="end"/>
      </w:r>
    </w:p>
    <w:p w14:paraId="1E714EA0" w14:textId="641E3DED" w:rsidR="000F7228" w:rsidRDefault="000F7228">
      <w:pPr>
        <w:pStyle w:val="TOC5"/>
        <w:rPr>
          <w:rFonts w:asciiTheme="minorHAnsi" w:eastAsiaTheme="minorEastAsia" w:hAnsiTheme="minorHAnsi" w:cstheme="minorBidi"/>
          <w:noProof/>
          <w:kern w:val="0"/>
          <w:sz w:val="22"/>
          <w:szCs w:val="22"/>
        </w:rPr>
      </w:pPr>
      <w:r>
        <w:rPr>
          <w:noProof/>
        </w:rPr>
        <w:t>1.11  Simplified outline of Division</w:t>
      </w:r>
      <w:r>
        <w:rPr>
          <w:noProof/>
        </w:rPr>
        <w:tab/>
      </w:r>
      <w:r>
        <w:rPr>
          <w:noProof/>
        </w:rPr>
        <w:fldChar w:fldCharType="begin"/>
      </w:r>
      <w:r>
        <w:rPr>
          <w:noProof/>
        </w:rPr>
        <w:instrText xml:space="preserve"> PAGEREF _Toc77064831 \h </w:instrText>
      </w:r>
      <w:r>
        <w:rPr>
          <w:noProof/>
        </w:rPr>
      </w:r>
      <w:r>
        <w:rPr>
          <w:noProof/>
        </w:rPr>
        <w:fldChar w:fldCharType="separate"/>
      </w:r>
      <w:r w:rsidR="002F429D">
        <w:rPr>
          <w:noProof/>
        </w:rPr>
        <w:t>32</w:t>
      </w:r>
      <w:r>
        <w:rPr>
          <w:noProof/>
        </w:rPr>
        <w:fldChar w:fldCharType="end"/>
      </w:r>
    </w:p>
    <w:p w14:paraId="7BE210C9" w14:textId="1D00E3B9" w:rsidR="000F7228" w:rsidRDefault="000F7228">
      <w:pPr>
        <w:pStyle w:val="TOC4"/>
        <w:rPr>
          <w:rFonts w:asciiTheme="minorHAnsi" w:eastAsiaTheme="minorEastAsia" w:hAnsiTheme="minorHAnsi" w:cstheme="minorBidi"/>
          <w:b w:val="0"/>
          <w:noProof/>
          <w:kern w:val="0"/>
          <w:sz w:val="22"/>
          <w:szCs w:val="22"/>
        </w:rPr>
      </w:pPr>
      <w:r>
        <w:rPr>
          <w:noProof/>
        </w:rPr>
        <w:t>Subdivision 1.4.2—Services for making requests under these rules</w:t>
      </w:r>
      <w:r>
        <w:rPr>
          <w:noProof/>
        </w:rPr>
        <w:tab/>
      </w:r>
      <w:r>
        <w:rPr>
          <w:noProof/>
        </w:rPr>
        <w:fldChar w:fldCharType="begin"/>
      </w:r>
      <w:r>
        <w:rPr>
          <w:noProof/>
        </w:rPr>
        <w:instrText xml:space="preserve"> PAGEREF _Toc77064832 \h </w:instrText>
      </w:r>
      <w:r>
        <w:rPr>
          <w:noProof/>
        </w:rPr>
      </w:r>
      <w:r>
        <w:rPr>
          <w:noProof/>
        </w:rPr>
        <w:fldChar w:fldCharType="separate"/>
      </w:r>
      <w:r w:rsidR="002F429D">
        <w:rPr>
          <w:noProof/>
        </w:rPr>
        <w:t>33</w:t>
      </w:r>
      <w:r>
        <w:rPr>
          <w:noProof/>
        </w:rPr>
        <w:fldChar w:fldCharType="end"/>
      </w:r>
    </w:p>
    <w:p w14:paraId="2AAAE5DC" w14:textId="43B17C0A" w:rsidR="000F7228" w:rsidRDefault="000F7228">
      <w:pPr>
        <w:pStyle w:val="TOC5"/>
        <w:rPr>
          <w:rFonts w:asciiTheme="minorHAnsi" w:eastAsiaTheme="minorEastAsia" w:hAnsiTheme="minorHAnsi" w:cstheme="minorBidi"/>
          <w:noProof/>
          <w:kern w:val="0"/>
          <w:sz w:val="22"/>
          <w:szCs w:val="22"/>
        </w:rPr>
      </w:pPr>
      <w:r>
        <w:rPr>
          <w:noProof/>
        </w:rPr>
        <w:t>1.12  Product data request service</w:t>
      </w:r>
      <w:r>
        <w:rPr>
          <w:noProof/>
        </w:rPr>
        <w:tab/>
      </w:r>
      <w:r>
        <w:rPr>
          <w:noProof/>
        </w:rPr>
        <w:fldChar w:fldCharType="begin"/>
      </w:r>
      <w:r>
        <w:rPr>
          <w:noProof/>
        </w:rPr>
        <w:instrText xml:space="preserve"> PAGEREF _Toc77064833 \h </w:instrText>
      </w:r>
      <w:r>
        <w:rPr>
          <w:noProof/>
        </w:rPr>
      </w:r>
      <w:r>
        <w:rPr>
          <w:noProof/>
        </w:rPr>
        <w:fldChar w:fldCharType="separate"/>
      </w:r>
      <w:r w:rsidR="002F429D">
        <w:rPr>
          <w:noProof/>
        </w:rPr>
        <w:t>33</w:t>
      </w:r>
      <w:r>
        <w:rPr>
          <w:noProof/>
        </w:rPr>
        <w:fldChar w:fldCharType="end"/>
      </w:r>
    </w:p>
    <w:p w14:paraId="7940DFB1" w14:textId="427A6FC0" w:rsidR="000F7228" w:rsidRDefault="000F7228">
      <w:pPr>
        <w:pStyle w:val="TOC5"/>
        <w:rPr>
          <w:rFonts w:asciiTheme="minorHAnsi" w:eastAsiaTheme="minorEastAsia" w:hAnsiTheme="minorHAnsi" w:cstheme="minorBidi"/>
          <w:noProof/>
          <w:kern w:val="0"/>
          <w:sz w:val="22"/>
          <w:szCs w:val="22"/>
        </w:rPr>
      </w:pPr>
      <w:r>
        <w:rPr>
          <w:noProof/>
        </w:rPr>
        <w:t>1.13  Consumer data request service</w:t>
      </w:r>
      <w:r>
        <w:rPr>
          <w:noProof/>
        </w:rPr>
        <w:tab/>
      </w:r>
      <w:r>
        <w:rPr>
          <w:noProof/>
        </w:rPr>
        <w:fldChar w:fldCharType="begin"/>
      </w:r>
      <w:r>
        <w:rPr>
          <w:noProof/>
        </w:rPr>
        <w:instrText xml:space="preserve"> PAGEREF _Toc77064834 \h </w:instrText>
      </w:r>
      <w:r>
        <w:rPr>
          <w:noProof/>
        </w:rPr>
      </w:r>
      <w:r>
        <w:rPr>
          <w:noProof/>
        </w:rPr>
        <w:fldChar w:fldCharType="separate"/>
      </w:r>
      <w:r w:rsidR="002F429D">
        <w:rPr>
          <w:noProof/>
        </w:rPr>
        <w:t>33</w:t>
      </w:r>
      <w:r>
        <w:rPr>
          <w:noProof/>
        </w:rPr>
        <w:fldChar w:fldCharType="end"/>
      </w:r>
    </w:p>
    <w:p w14:paraId="48D28109" w14:textId="0F3DCD87" w:rsidR="000F7228" w:rsidRDefault="000F7228">
      <w:pPr>
        <w:pStyle w:val="TOC4"/>
        <w:rPr>
          <w:rFonts w:asciiTheme="minorHAnsi" w:eastAsiaTheme="minorEastAsia" w:hAnsiTheme="minorHAnsi" w:cstheme="minorBidi"/>
          <w:b w:val="0"/>
          <w:noProof/>
          <w:kern w:val="0"/>
          <w:sz w:val="22"/>
          <w:szCs w:val="22"/>
        </w:rPr>
      </w:pPr>
      <w:r>
        <w:rPr>
          <w:noProof/>
        </w:rPr>
        <w:t>Subdivision 1.4.3—Services for managing consumer data requests made by accredited persons</w:t>
      </w:r>
      <w:r>
        <w:rPr>
          <w:noProof/>
        </w:rPr>
        <w:tab/>
      </w:r>
      <w:r>
        <w:rPr>
          <w:noProof/>
        </w:rPr>
        <w:fldChar w:fldCharType="begin"/>
      </w:r>
      <w:r>
        <w:rPr>
          <w:noProof/>
        </w:rPr>
        <w:instrText xml:space="preserve"> PAGEREF _Toc77064835 \h </w:instrText>
      </w:r>
      <w:r>
        <w:rPr>
          <w:noProof/>
        </w:rPr>
      </w:r>
      <w:r>
        <w:rPr>
          <w:noProof/>
        </w:rPr>
        <w:fldChar w:fldCharType="separate"/>
      </w:r>
      <w:r w:rsidR="002F429D">
        <w:rPr>
          <w:noProof/>
        </w:rPr>
        <w:t>35</w:t>
      </w:r>
      <w:r>
        <w:rPr>
          <w:noProof/>
        </w:rPr>
        <w:fldChar w:fldCharType="end"/>
      </w:r>
    </w:p>
    <w:p w14:paraId="4EAD1A4C" w14:textId="675807CF" w:rsidR="000F7228" w:rsidRDefault="000F7228">
      <w:pPr>
        <w:pStyle w:val="TOC5"/>
        <w:rPr>
          <w:rFonts w:asciiTheme="minorHAnsi" w:eastAsiaTheme="minorEastAsia" w:hAnsiTheme="minorHAnsi" w:cstheme="minorBidi"/>
          <w:noProof/>
          <w:kern w:val="0"/>
          <w:sz w:val="22"/>
          <w:szCs w:val="22"/>
        </w:rPr>
      </w:pPr>
      <w:r>
        <w:rPr>
          <w:noProof/>
        </w:rPr>
        <w:t>1.14  Consumer dashboard—accredited person</w:t>
      </w:r>
      <w:r>
        <w:rPr>
          <w:noProof/>
        </w:rPr>
        <w:tab/>
      </w:r>
      <w:r>
        <w:rPr>
          <w:noProof/>
        </w:rPr>
        <w:fldChar w:fldCharType="begin"/>
      </w:r>
      <w:r>
        <w:rPr>
          <w:noProof/>
        </w:rPr>
        <w:instrText xml:space="preserve"> PAGEREF _Toc77064836 \h </w:instrText>
      </w:r>
      <w:r>
        <w:rPr>
          <w:noProof/>
        </w:rPr>
      </w:r>
      <w:r>
        <w:rPr>
          <w:noProof/>
        </w:rPr>
        <w:fldChar w:fldCharType="separate"/>
      </w:r>
      <w:r w:rsidR="002F429D">
        <w:rPr>
          <w:noProof/>
        </w:rPr>
        <w:t>35</w:t>
      </w:r>
      <w:r>
        <w:rPr>
          <w:noProof/>
        </w:rPr>
        <w:fldChar w:fldCharType="end"/>
      </w:r>
    </w:p>
    <w:p w14:paraId="61D6C241" w14:textId="5BCD6059" w:rsidR="000F7228" w:rsidRDefault="000F7228">
      <w:pPr>
        <w:pStyle w:val="TOC5"/>
        <w:rPr>
          <w:rFonts w:asciiTheme="minorHAnsi" w:eastAsiaTheme="minorEastAsia" w:hAnsiTheme="minorHAnsi" w:cstheme="minorBidi"/>
          <w:noProof/>
          <w:kern w:val="0"/>
          <w:sz w:val="22"/>
          <w:szCs w:val="22"/>
        </w:rPr>
      </w:pPr>
      <w:r>
        <w:rPr>
          <w:noProof/>
        </w:rPr>
        <w:t>1.15  Consumer dashboard—data holder</w:t>
      </w:r>
      <w:r>
        <w:rPr>
          <w:noProof/>
        </w:rPr>
        <w:tab/>
      </w:r>
      <w:r>
        <w:rPr>
          <w:noProof/>
        </w:rPr>
        <w:fldChar w:fldCharType="begin"/>
      </w:r>
      <w:r>
        <w:rPr>
          <w:noProof/>
        </w:rPr>
        <w:instrText xml:space="preserve"> PAGEREF _Toc77064837 \h </w:instrText>
      </w:r>
      <w:r>
        <w:rPr>
          <w:noProof/>
        </w:rPr>
      </w:r>
      <w:r>
        <w:rPr>
          <w:noProof/>
        </w:rPr>
        <w:fldChar w:fldCharType="separate"/>
      </w:r>
      <w:r w:rsidR="002F429D">
        <w:rPr>
          <w:noProof/>
        </w:rPr>
        <w:t>36</w:t>
      </w:r>
      <w:r>
        <w:rPr>
          <w:noProof/>
        </w:rPr>
        <w:fldChar w:fldCharType="end"/>
      </w:r>
    </w:p>
    <w:p w14:paraId="06E71FFE" w14:textId="2EA88DB0" w:rsidR="000F7228" w:rsidRDefault="000F7228">
      <w:pPr>
        <w:pStyle w:val="TOC4"/>
        <w:rPr>
          <w:rFonts w:asciiTheme="minorHAnsi" w:eastAsiaTheme="minorEastAsia" w:hAnsiTheme="minorHAnsi" w:cstheme="minorBidi"/>
          <w:b w:val="0"/>
          <w:noProof/>
          <w:kern w:val="0"/>
          <w:sz w:val="22"/>
          <w:szCs w:val="22"/>
        </w:rPr>
      </w:pPr>
      <w:r>
        <w:rPr>
          <w:noProof/>
        </w:rPr>
        <w:t>Subdivision 1.4.4—Other obligations of accredited persons</w:t>
      </w:r>
      <w:r>
        <w:rPr>
          <w:noProof/>
        </w:rPr>
        <w:tab/>
      </w:r>
      <w:r>
        <w:rPr>
          <w:noProof/>
        </w:rPr>
        <w:fldChar w:fldCharType="begin"/>
      </w:r>
      <w:r>
        <w:rPr>
          <w:noProof/>
        </w:rPr>
        <w:instrText xml:space="preserve"> PAGEREF _Toc77064838 \h </w:instrText>
      </w:r>
      <w:r>
        <w:rPr>
          <w:noProof/>
        </w:rPr>
      </w:r>
      <w:r>
        <w:rPr>
          <w:noProof/>
        </w:rPr>
        <w:fldChar w:fldCharType="separate"/>
      </w:r>
      <w:r w:rsidR="002F429D">
        <w:rPr>
          <w:noProof/>
        </w:rPr>
        <w:t>39</w:t>
      </w:r>
      <w:r>
        <w:rPr>
          <w:noProof/>
        </w:rPr>
        <w:fldChar w:fldCharType="end"/>
      </w:r>
    </w:p>
    <w:p w14:paraId="6BC307B9" w14:textId="0D423125" w:rsidR="000F7228" w:rsidRDefault="000F7228">
      <w:pPr>
        <w:pStyle w:val="TOC5"/>
        <w:rPr>
          <w:rFonts w:asciiTheme="minorHAnsi" w:eastAsiaTheme="minorEastAsia" w:hAnsiTheme="minorHAnsi" w:cstheme="minorBidi"/>
          <w:noProof/>
          <w:kern w:val="0"/>
          <w:sz w:val="22"/>
          <w:szCs w:val="22"/>
        </w:rPr>
      </w:pPr>
      <w:r>
        <w:rPr>
          <w:noProof/>
        </w:rPr>
        <w:t>1.16  Obligations relating to CDR outsourcing arrangements</w:t>
      </w:r>
      <w:r>
        <w:rPr>
          <w:noProof/>
        </w:rPr>
        <w:tab/>
      </w:r>
      <w:r>
        <w:rPr>
          <w:noProof/>
        </w:rPr>
        <w:fldChar w:fldCharType="begin"/>
      </w:r>
      <w:r>
        <w:rPr>
          <w:noProof/>
        </w:rPr>
        <w:instrText xml:space="preserve"> PAGEREF _Toc77064839 \h </w:instrText>
      </w:r>
      <w:r>
        <w:rPr>
          <w:noProof/>
        </w:rPr>
      </w:r>
      <w:r>
        <w:rPr>
          <w:noProof/>
        </w:rPr>
        <w:fldChar w:fldCharType="separate"/>
      </w:r>
      <w:r w:rsidR="002F429D">
        <w:rPr>
          <w:noProof/>
        </w:rPr>
        <w:t>39</w:t>
      </w:r>
      <w:r>
        <w:rPr>
          <w:noProof/>
        </w:rPr>
        <w:fldChar w:fldCharType="end"/>
      </w:r>
    </w:p>
    <w:p w14:paraId="340C23BE" w14:textId="7D5ABA55" w:rsidR="000F7228" w:rsidRDefault="000F7228">
      <w:pPr>
        <w:pStyle w:val="TOC5"/>
        <w:rPr>
          <w:rFonts w:asciiTheme="minorHAnsi" w:eastAsiaTheme="minorEastAsia" w:hAnsiTheme="minorHAnsi" w:cstheme="minorBidi"/>
          <w:noProof/>
          <w:kern w:val="0"/>
          <w:sz w:val="22"/>
          <w:szCs w:val="22"/>
        </w:rPr>
      </w:pPr>
      <w:r w:rsidRPr="003C3E47">
        <w:rPr>
          <w:noProof/>
          <w:color w:val="0000FF"/>
        </w:rPr>
        <w:t>1.16A  Obligations relating to CDR representative arrangements</w:t>
      </w:r>
      <w:r>
        <w:rPr>
          <w:noProof/>
        </w:rPr>
        <w:tab/>
      </w:r>
      <w:r>
        <w:rPr>
          <w:noProof/>
        </w:rPr>
        <w:fldChar w:fldCharType="begin"/>
      </w:r>
      <w:r>
        <w:rPr>
          <w:noProof/>
        </w:rPr>
        <w:instrText xml:space="preserve"> PAGEREF _Toc77064840 \h </w:instrText>
      </w:r>
      <w:r>
        <w:rPr>
          <w:noProof/>
        </w:rPr>
      </w:r>
      <w:r>
        <w:rPr>
          <w:noProof/>
        </w:rPr>
        <w:fldChar w:fldCharType="separate"/>
      </w:r>
      <w:r w:rsidR="002F429D">
        <w:rPr>
          <w:noProof/>
        </w:rPr>
        <w:t>39</w:t>
      </w:r>
      <w:r>
        <w:rPr>
          <w:noProof/>
        </w:rPr>
        <w:fldChar w:fldCharType="end"/>
      </w:r>
    </w:p>
    <w:p w14:paraId="50C3FA47" w14:textId="70BB44C1" w:rsidR="000F7228" w:rsidRDefault="000F7228">
      <w:pPr>
        <w:pStyle w:val="TOC4"/>
        <w:rPr>
          <w:rFonts w:asciiTheme="minorHAnsi" w:eastAsiaTheme="minorEastAsia" w:hAnsiTheme="minorHAnsi" w:cstheme="minorBidi"/>
          <w:b w:val="0"/>
          <w:noProof/>
          <w:kern w:val="0"/>
          <w:sz w:val="22"/>
          <w:szCs w:val="22"/>
        </w:rPr>
      </w:pPr>
      <w:r>
        <w:rPr>
          <w:noProof/>
        </w:rPr>
        <w:t>Subdivision 1.4.5—D</w:t>
      </w:r>
      <w:r w:rsidRPr="003C3E47">
        <w:rPr>
          <w:noProof/>
          <w:color w:val="000000" w:themeColor="text1"/>
        </w:rPr>
        <w:t>eletion and d</w:t>
      </w:r>
      <w:r>
        <w:rPr>
          <w:noProof/>
        </w:rPr>
        <w:t>e</w:t>
      </w:r>
      <w:r>
        <w:rPr>
          <w:noProof/>
        </w:rPr>
        <w:noBreakHyphen/>
        <w:t>identification of CDR data</w:t>
      </w:r>
      <w:r>
        <w:rPr>
          <w:noProof/>
        </w:rPr>
        <w:tab/>
      </w:r>
      <w:r>
        <w:rPr>
          <w:noProof/>
        </w:rPr>
        <w:fldChar w:fldCharType="begin"/>
      </w:r>
      <w:r>
        <w:rPr>
          <w:noProof/>
        </w:rPr>
        <w:instrText xml:space="preserve"> PAGEREF _Toc77064841 \h </w:instrText>
      </w:r>
      <w:r>
        <w:rPr>
          <w:noProof/>
        </w:rPr>
      </w:r>
      <w:r>
        <w:rPr>
          <w:noProof/>
        </w:rPr>
        <w:fldChar w:fldCharType="separate"/>
      </w:r>
      <w:r w:rsidR="002F429D">
        <w:rPr>
          <w:noProof/>
        </w:rPr>
        <w:t>40</w:t>
      </w:r>
      <w:r>
        <w:rPr>
          <w:noProof/>
        </w:rPr>
        <w:fldChar w:fldCharType="end"/>
      </w:r>
    </w:p>
    <w:p w14:paraId="09654FDC" w14:textId="3313AFB0" w:rsidR="000F7228" w:rsidRDefault="000F7228">
      <w:pPr>
        <w:pStyle w:val="TOC5"/>
        <w:rPr>
          <w:rFonts w:asciiTheme="minorHAnsi" w:eastAsiaTheme="minorEastAsia" w:hAnsiTheme="minorHAnsi" w:cstheme="minorBidi"/>
          <w:noProof/>
          <w:kern w:val="0"/>
          <w:sz w:val="22"/>
          <w:szCs w:val="22"/>
        </w:rPr>
      </w:pPr>
      <w:r>
        <w:rPr>
          <w:noProof/>
        </w:rPr>
        <w:t xml:space="preserve">1.17  CDR </w:t>
      </w:r>
      <w:r w:rsidRPr="003C3E47">
        <w:rPr>
          <w:noProof/>
          <w:color w:val="000000" w:themeColor="text1"/>
        </w:rPr>
        <w:t xml:space="preserve">data </w:t>
      </w:r>
      <w:r>
        <w:rPr>
          <w:noProof/>
        </w:rPr>
        <w:t>de</w:t>
      </w:r>
      <w:r>
        <w:rPr>
          <w:noProof/>
        </w:rPr>
        <w:noBreakHyphen/>
        <w:t>identification process</w:t>
      </w:r>
      <w:r>
        <w:rPr>
          <w:noProof/>
        </w:rPr>
        <w:tab/>
      </w:r>
      <w:r>
        <w:rPr>
          <w:noProof/>
        </w:rPr>
        <w:fldChar w:fldCharType="begin"/>
      </w:r>
      <w:r>
        <w:rPr>
          <w:noProof/>
        </w:rPr>
        <w:instrText xml:space="preserve"> PAGEREF _Toc77064842 \h </w:instrText>
      </w:r>
      <w:r>
        <w:rPr>
          <w:noProof/>
        </w:rPr>
      </w:r>
      <w:r>
        <w:rPr>
          <w:noProof/>
        </w:rPr>
        <w:fldChar w:fldCharType="separate"/>
      </w:r>
      <w:r w:rsidR="002F429D">
        <w:rPr>
          <w:noProof/>
        </w:rPr>
        <w:t>40</w:t>
      </w:r>
      <w:r>
        <w:rPr>
          <w:noProof/>
        </w:rPr>
        <w:fldChar w:fldCharType="end"/>
      </w:r>
    </w:p>
    <w:p w14:paraId="0EB56B24" w14:textId="7CFDF1AE" w:rsidR="000F7228" w:rsidRDefault="000F7228">
      <w:pPr>
        <w:pStyle w:val="TOC5"/>
        <w:rPr>
          <w:rFonts w:asciiTheme="minorHAnsi" w:eastAsiaTheme="minorEastAsia" w:hAnsiTheme="minorHAnsi" w:cstheme="minorBidi"/>
          <w:noProof/>
          <w:kern w:val="0"/>
          <w:sz w:val="22"/>
          <w:szCs w:val="22"/>
        </w:rPr>
      </w:pPr>
      <w:r>
        <w:rPr>
          <w:noProof/>
        </w:rPr>
        <w:t>1.17A  Identification of otherwise redundant data that is not to be deleted</w:t>
      </w:r>
      <w:r>
        <w:rPr>
          <w:noProof/>
        </w:rPr>
        <w:tab/>
      </w:r>
      <w:r>
        <w:rPr>
          <w:noProof/>
        </w:rPr>
        <w:fldChar w:fldCharType="begin"/>
      </w:r>
      <w:r>
        <w:rPr>
          <w:noProof/>
        </w:rPr>
        <w:instrText xml:space="preserve"> PAGEREF _Toc77064843 \h </w:instrText>
      </w:r>
      <w:r>
        <w:rPr>
          <w:noProof/>
        </w:rPr>
      </w:r>
      <w:r>
        <w:rPr>
          <w:noProof/>
        </w:rPr>
        <w:fldChar w:fldCharType="separate"/>
      </w:r>
      <w:r w:rsidR="002F429D">
        <w:rPr>
          <w:noProof/>
        </w:rPr>
        <w:t>41</w:t>
      </w:r>
      <w:r>
        <w:rPr>
          <w:noProof/>
        </w:rPr>
        <w:fldChar w:fldCharType="end"/>
      </w:r>
    </w:p>
    <w:p w14:paraId="60DBEABD" w14:textId="30BDC7B6"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1.18  CDR data deletion process</w:t>
      </w:r>
      <w:r>
        <w:rPr>
          <w:noProof/>
        </w:rPr>
        <w:tab/>
      </w:r>
      <w:r>
        <w:rPr>
          <w:noProof/>
        </w:rPr>
        <w:fldChar w:fldCharType="begin"/>
      </w:r>
      <w:r>
        <w:rPr>
          <w:noProof/>
        </w:rPr>
        <w:instrText xml:space="preserve"> PAGEREF _Toc77064844 \h </w:instrText>
      </w:r>
      <w:r>
        <w:rPr>
          <w:noProof/>
        </w:rPr>
      </w:r>
      <w:r>
        <w:rPr>
          <w:noProof/>
        </w:rPr>
        <w:fldChar w:fldCharType="separate"/>
      </w:r>
      <w:r w:rsidR="002F429D">
        <w:rPr>
          <w:noProof/>
        </w:rPr>
        <w:t>41</w:t>
      </w:r>
      <w:r>
        <w:rPr>
          <w:noProof/>
        </w:rPr>
        <w:fldChar w:fldCharType="end"/>
      </w:r>
    </w:p>
    <w:p w14:paraId="6FC94A5F" w14:textId="42BEDF0E" w:rsidR="000F7228" w:rsidRDefault="000F7228">
      <w:pPr>
        <w:pStyle w:val="TOC3"/>
        <w:rPr>
          <w:rFonts w:asciiTheme="minorHAnsi" w:eastAsiaTheme="minorEastAsia" w:hAnsiTheme="minorHAnsi" w:cstheme="minorBidi"/>
          <w:b w:val="0"/>
          <w:noProof/>
          <w:kern w:val="0"/>
          <w:szCs w:val="22"/>
        </w:rPr>
      </w:pPr>
      <w:r w:rsidRPr="003C3E47">
        <w:rPr>
          <w:noProof/>
          <w:color w:val="FF0000"/>
        </w:rPr>
        <w:t>Division 1.5—Application of rules in relation to SR data</w:t>
      </w:r>
      <w:r>
        <w:rPr>
          <w:noProof/>
        </w:rPr>
        <w:tab/>
      </w:r>
      <w:r>
        <w:rPr>
          <w:noProof/>
        </w:rPr>
        <w:fldChar w:fldCharType="begin"/>
      </w:r>
      <w:r>
        <w:rPr>
          <w:noProof/>
        </w:rPr>
        <w:instrText xml:space="preserve"> PAGEREF _Toc77064845 \h </w:instrText>
      </w:r>
      <w:r>
        <w:rPr>
          <w:noProof/>
        </w:rPr>
      </w:r>
      <w:r>
        <w:rPr>
          <w:noProof/>
        </w:rPr>
        <w:fldChar w:fldCharType="separate"/>
      </w:r>
      <w:r w:rsidR="002F429D">
        <w:rPr>
          <w:noProof/>
        </w:rPr>
        <w:t>41</w:t>
      </w:r>
      <w:r>
        <w:rPr>
          <w:noProof/>
        </w:rPr>
        <w:fldChar w:fldCharType="end"/>
      </w:r>
    </w:p>
    <w:p w14:paraId="18370611" w14:textId="5824B822" w:rsidR="000F7228" w:rsidRDefault="000F7228">
      <w:pPr>
        <w:pStyle w:val="TOC5"/>
        <w:rPr>
          <w:rFonts w:asciiTheme="minorHAnsi" w:eastAsiaTheme="minorEastAsia" w:hAnsiTheme="minorHAnsi" w:cstheme="minorBidi"/>
          <w:noProof/>
          <w:kern w:val="0"/>
          <w:sz w:val="22"/>
          <w:szCs w:val="22"/>
        </w:rPr>
      </w:pPr>
      <w:r w:rsidRPr="003C3E47">
        <w:rPr>
          <w:noProof/>
          <w:color w:val="FF0000"/>
        </w:rPr>
        <w:t>1.19  Eligible CDR consumers in relation to secondary data holders</w:t>
      </w:r>
      <w:r>
        <w:rPr>
          <w:noProof/>
        </w:rPr>
        <w:tab/>
      </w:r>
      <w:r>
        <w:rPr>
          <w:noProof/>
        </w:rPr>
        <w:fldChar w:fldCharType="begin"/>
      </w:r>
      <w:r>
        <w:rPr>
          <w:noProof/>
        </w:rPr>
        <w:instrText xml:space="preserve"> PAGEREF _Toc77064846 \h </w:instrText>
      </w:r>
      <w:r>
        <w:rPr>
          <w:noProof/>
        </w:rPr>
      </w:r>
      <w:r>
        <w:rPr>
          <w:noProof/>
        </w:rPr>
        <w:fldChar w:fldCharType="separate"/>
      </w:r>
      <w:r w:rsidR="002F429D">
        <w:rPr>
          <w:noProof/>
        </w:rPr>
        <w:t>42</w:t>
      </w:r>
      <w:r>
        <w:rPr>
          <w:noProof/>
        </w:rPr>
        <w:fldChar w:fldCharType="end"/>
      </w:r>
    </w:p>
    <w:p w14:paraId="11F06EDA" w14:textId="373C5CEB" w:rsidR="000F7228" w:rsidRDefault="000F7228">
      <w:pPr>
        <w:pStyle w:val="TOC5"/>
        <w:rPr>
          <w:rFonts w:asciiTheme="minorHAnsi" w:eastAsiaTheme="minorEastAsia" w:hAnsiTheme="minorHAnsi" w:cstheme="minorBidi"/>
          <w:noProof/>
          <w:kern w:val="0"/>
          <w:sz w:val="22"/>
          <w:szCs w:val="22"/>
        </w:rPr>
      </w:pPr>
      <w:r w:rsidRPr="003C3E47">
        <w:rPr>
          <w:noProof/>
          <w:color w:val="FF0000"/>
        </w:rPr>
        <w:t>1.20 Consumer data request service—primary data holders and secondary data holders</w:t>
      </w:r>
      <w:r>
        <w:rPr>
          <w:noProof/>
        </w:rPr>
        <w:tab/>
      </w:r>
      <w:r>
        <w:rPr>
          <w:noProof/>
        </w:rPr>
        <w:fldChar w:fldCharType="begin"/>
      </w:r>
      <w:r>
        <w:rPr>
          <w:noProof/>
        </w:rPr>
        <w:instrText xml:space="preserve"> PAGEREF _Toc77064847 \h </w:instrText>
      </w:r>
      <w:r>
        <w:rPr>
          <w:noProof/>
        </w:rPr>
      </w:r>
      <w:r>
        <w:rPr>
          <w:noProof/>
        </w:rPr>
        <w:fldChar w:fldCharType="separate"/>
      </w:r>
      <w:r w:rsidR="002F429D">
        <w:rPr>
          <w:noProof/>
        </w:rPr>
        <w:t>42</w:t>
      </w:r>
      <w:r>
        <w:rPr>
          <w:noProof/>
        </w:rPr>
        <w:fldChar w:fldCharType="end"/>
      </w:r>
    </w:p>
    <w:p w14:paraId="4FD96F45" w14:textId="2C733F8E" w:rsidR="000F7228" w:rsidRDefault="000F7228">
      <w:pPr>
        <w:pStyle w:val="TOC5"/>
        <w:rPr>
          <w:rFonts w:asciiTheme="minorHAnsi" w:eastAsiaTheme="minorEastAsia" w:hAnsiTheme="minorHAnsi" w:cstheme="minorBidi"/>
          <w:noProof/>
          <w:kern w:val="0"/>
          <w:sz w:val="22"/>
          <w:szCs w:val="22"/>
        </w:rPr>
      </w:pPr>
      <w:r w:rsidRPr="003C3E47">
        <w:rPr>
          <w:noProof/>
          <w:color w:val="FF0000"/>
        </w:rPr>
        <w:t>1.21  Consumer dashboard—SR data request</w:t>
      </w:r>
      <w:r>
        <w:rPr>
          <w:noProof/>
        </w:rPr>
        <w:tab/>
      </w:r>
      <w:r>
        <w:rPr>
          <w:noProof/>
        </w:rPr>
        <w:fldChar w:fldCharType="begin"/>
      </w:r>
      <w:r>
        <w:rPr>
          <w:noProof/>
        </w:rPr>
        <w:instrText xml:space="preserve"> PAGEREF _Toc77064848 \h </w:instrText>
      </w:r>
      <w:r>
        <w:rPr>
          <w:noProof/>
        </w:rPr>
      </w:r>
      <w:r>
        <w:rPr>
          <w:noProof/>
        </w:rPr>
        <w:fldChar w:fldCharType="separate"/>
      </w:r>
      <w:r w:rsidR="002F429D">
        <w:rPr>
          <w:noProof/>
        </w:rPr>
        <w:t>42</w:t>
      </w:r>
      <w:r>
        <w:rPr>
          <w:noProof/>
        </w:rPr>
        <w:fldChar w:fldCharType="end"/>
      </w:r>
    </w:p>
    <w:p w14:paraId="638E8E3E" w14:textId="020736B1" w:rsidR="000F7228" w:rsidRDefault="000F7228">
      <w:pPr>
        <w:pStyle w:val="TOC5"/>
        <w:rPr>
          <w:rFonts w:asciiTheme="minorHAnsi" w:eastAsiaTheme="minorEastAsia" w:hAnsiTheme="minorHAnsi" w:cstheme="minorBidi"/>
          <w:noProof/>
          <w:kern w:val="0"/>
          <w:sz w:val="22"/>
          <w:szCs w:val="22"/>
        </w:rPr>
      </w:pPr>
      <w:r w:rsidRPr="003C3E47">
        <w:rPr>
          <w:noProof/>
          <w:color w:val="FF0000"/>
        </w:rPr>
        <w:t>1.22  SR data request by a CDR consumer</w:t>
      </w:r>
      <w:r>
        <w:rPr>
          <w:noProof/>
        </w:rPr>
        <w:tab/>
      </w:r>
      <w:r>
        <w:rPr>
          <w:noProof/>
        </w:rPr>
        <w:fldChar w:fldCharType="begin"/>
      </w:r>
      <w:r>
        <w:rPr>
          <w:noProof/>
        </w:rPr>
        <w:instrText xml:space="preserve"> PAGEREF _Toc77064849 \h </w:instrText>
      </w:r>
      <w:r>
        <w:rPr>
          <w:noProof/>
        </w:rPr>
      </w:r>
      <w:r>
        <w:rPr>
          <w:noProof/>
        </w:rPr>
        <w:fldChar w:fldCharType="separate"/>
      </w:r>
      <w:r w:rsidR="002F429D">
        <w:rPr>
          <w:noProof/>
        </w:rPr>
        <w:t>42</w:t>
      </w:r>
      <w:r>
        <w:rPr>
          <w:noProof/>
        </w:rPr>
        <w:fldChar w:fldCharType="end"/>
      </w:r>
    </w:p>
    <w:p w14:paraId="6EF3DB1B" w14:textId="7E090EBE" w:rsidR="000F7228" w:rsidRDefault="000F7228">
      <w:pPr>
        <w:pStyle w:val="TOC5"/>
        <w:rPr>
          <w:rFonts w:asciiTheme="minorHAnsi" w:eastAsiaTheme="minorEastAsia" w:hAnsiTheme="minorHAnsi" w:cstheme="minorBidi"/>
          <w:noProof/>
          <w:kern w:val="0"/>
          <w:sz w:val="22"/>
          <w:szCs w:val="22"/>
        </w:rPr>
      </w:pPr>
      <w:r w:rsidRPr="003C3E47">
        <w:rPr>
          <w:noProof/>
          <w:color w:val="FF0000"/>
        </w:rPr>
        <w:t>1.23  SR data request by an accredited person</w:t>
      </w:r>
      <w:r>
        <w:rPr>
          <w:noProof/>
        </w:rPr>
        <w:tab/>
      </w:r>
      <w:r>
        <w:rPr>
          <w:noProof/>
        </w:rPr>
        <w:fldChar w:fldCharType="begin"/>
      </w:r>
      <w:r>
        <w:rPr>
          <w:noProof/>
        </w:rPr>
        <w:instrText xml:space="preserve"> PAGEREF _Toc77064850 \h </w:instrText>
      </w:r>
      <w:r>
        <w:rPr>
          <w:noProof/>
        </w:rPr>
      </w:r>
      <w:r>
        <w:rPr>
          <w:noProof/>
        </w:rPr>
        <w:fldChar w:fldCharType="separate"/>
      </w:r>
      <w:r w:rsidR="002F429D">
        <w:rPr>
          <w:noProof/>
        </w:rPr>
        <w:t>43</w:t>
      </w:r>
      <w:r>
        <w:rPr>
          <w:noProof/>
        </w:rPr>
        <w:fldChar w:fldCharType="end"/>
      </w:r>
    </w:p>
    <w:p w14:paraId="1C297AF2" w14:textId="35CB2A32" w:rsidR="000F7228" w:rsidRDefault="000F7228">
      <w:pPr>
        <w:pStyle w:val="TOC5"/>
        <w:rPr>
          <w:rFonts w:asciiTheme="minorHAnsi" w:eastAsiaTheme="minorEastAsia" w:hAnsiTheme="minorHAnsi" w:cstheme="minorBidi"/>
          <w:noProof/>
          <w:kern w:val="0"/>
          <w:sz w:val="22"/>
          <w:szCs w:val="22"/>
        </w:rPr>
      </w:pPr>
      <w:r w:rsidRPr="003C3E47">
        <w:rPr>
          <w:noProof/>
          <w:color w:val="FF0000"/>
        </w:rPr>
        <w:t>1.24  SR data disclosed to primary data holder not to be used for other purposes</w:t>
      </w:r>
      <w:r>
        <w:rPr>
          <w:noProof/>
        </w:rPr>
        <w:tab/>
      </w:r>
      <w:r>
        <w:rPr>
          <w:noProof/>
        </w:rPr>
        <w:fldChar w:fldCharType="begin"/>
      </w:r>
      <w:r>
        <w:rPr>
          <w:noProof/>
        </w:rPr>
        <w:instrText xml:space="preserve"> PAGEREF _Toc77064851 \h </w:instrText>
      </w:r>
      <w:r>
        <w:rPr>
          <w:noProof/>
        </w:rPr>
      </w:r>
      <w:r>
        <w:rPr>
          <w:noProof/>
        </w:rPr>
        <w:fldChar w:fldCharType="separate"/>
      </w:r>
      <w:r w:rsidR="002F429D">
        <w:rPr>
          <w:noProof/>
        </w:rPr>
        <w:t>44</w:t>
      </w:r>
      <w:r>
        <w:rPr>
          <w:noProof/>
        </w:rPr>
        <w:fldChar w:fldCharType="end"/>
      </w:r>
    </w:p>
    <w:p w14:paraId="7E5E4B2F" w14:textId="0845FBAF" w:rsidR="000F7228" w:rsidRDefault="000F7228">
      <w:pPr>
        <w:pStyle w:val="TOC5"/>
        <w:rPr>
          <w:rFonts w:asciiTheme="minorHAnsi" w:eastAsiaTheme="minorEastAsia" w:hAnsiTheme="minorHAnsi" w:cstheme="minorBidi"/>
          <w:noProof/>
          <w:kern w:val="0"/>
          <w:sz w:val="22"/>
          <w:szCs w:val="22"/>
        </w:rPr>
      </w:pPr>
      <w:r w:rsidRPr="003C3E47">
        <w:rPr>
          <w:noProof/>
          <w:color w:val="FF0000"/>
        </w:rPr>
        <w:t>1.25  Dispute resolution—primary entities and secondary data holders</w:t>
      </w:r>
      <w:r>
        <w:rPr>
          <w:noProof/>
        </w:rPr>
        <w:tab/>
      </w:r>
      <w:r>
        <w:rPr>
          <w:noProof/>
        </w:rPr>
        <w:fldChar w:fldCharType="begin"/>
      </w:r>
      <w:r>
        <w:rPr>
          <w:noProof/>
        </w:rPr>
        <w:instrText xml:space="preserve"> PAGEREF _Toc77064852 \h </w:instrText>
      </w:r>
      <w:r>
        <w:rPr>
          <w:noProof/>
        </w:rPr>
      </w:r>
      <w:r>
        <w:rPr>
          <w:noProof/>
        </w:rPr>
        <w:fldChar w:fldCharType="separate"/>
      </w:r>
      <w:r w:rsidR="002F429D">
        <w:rPr>
          <w:noProof/>
        </w:rPr>
        <w:t>45</w:t>
      </w:r>
      <w:r>
        <w:rPr>
          <w:noProof/>
        </w:rPr>
        <w:fldChar w:fldCharType="end"/>
      </w:r>
    </w:p>
    <w:p w14:paraId="02774FE6" w14:textId="2E00CC21" w:rsidR="000F7228" w:rsidRDefault="000F7228">
      <w:pPr>
        <w:pStyle w:val="TOC2"/>
        <w:rPr>
          <w:rFonts w:asciiTheme="minorHAnsi" w:eastAsiaTheme="minorEastAsia" w:hAnsiTheme="minorHAnsi" w:cstheme="minorBidi"/>
          <w:b w:val="0"/>
          <w:noProof/>
          <w:kern w:val="0"/>
          <w:sz w:val="22"/>
          <w:szCs w:val="22"/>
        </w:rPr>
      </w:pPr>
      <w:r>
        <w:rPr>
          <w:noProof/>
        </w:rPr>
        <w:t>Part 2—Product data requests</w:t>
      </w:r>
      <w:r>
        <w:rPr>
          <w:noProof/>
        </w:rPr>
        <w:tab/>
      </w:r>
      <w:r>
        <w:rPr>
          <w:noProof/>
        </w:rPr>
        <w:fldChar w:fldCharType="begin"/>
      </w:r>
      <w:r>
        <w:rPr>
          <w:noProof/>
        </w:rPr>
        <w:instrText xml:space="preserve"> PAGEREF _Toc77064853 \h </w:instrText>
      </w:r>
      <w:r>
        <w:rPr>
          <w:noProof/>
        </w:rPr>
      </w:r>
      <w:r>
        <w:rPr>
          <w:noProof/>
        </w:rPr>
        <w:fldChar w:fldCharType="separate"/>
      </w:r>
      <w:r w:rsidR="002F429D">
        <w:rPr>
          <w:noProof/>
        </w:rPr>
        <w:t>46</w:t>
      </w:r>
      <w:r>
        <w:rPr>
          <w:noProof/>
        </w:rPr>
        <w:fldChar w:fldCharType="end"/>
      </w:r>
    </w:p>
    <w:p w14:paraId="3640EDEB" w14:textId="7AD1266A" w:rsidR="000F7228" w:rsidRDefault="000F7228">
      <w:pPr>
        <w:pStyle w:val="TOC5"/>
        <w:rPr>
          <w:rFonts w:asciiTheme="minorHAnsi" w:eastAsiaTheme="minorEastAsia" w:hAnsiTheme="minorHAnsi" w:cstheme="minorBidi"/>
          <w:noProof/>
          <w:kern w:val="0"/>
          <w:sz w:val="22"/>
          <w:szCs w:val="22"/>
        </w:rPr>
      </w:pPr>
      <w:r>
        <w:rPr>
          <w:noProof/>
        </w:rPr>
        <w:t>2.1  Simplified outline of this Part</w:t>
      </w:r>
      <w:r>
        <w:rPr>
          <w:noProof/>
        </w:rPr>
        <w:tab/>
      </w:r>
      <w:r>
        <w:rPr>
          <w:noProof/>
        </w:rPr>
        <w:fldChar w:fldCharType="begin"/>
      </w:r>
      <w:r>
        <w:rPr>
          <w:noProof/>
        </w:rPr>
        <w:instrText xml:space="preserve"> PAGEREF _Toc77064854 \h </w:instrText>
      </w:r>
      <w:r>
        <w:rPr>
          <w:noProof/>
        </w:rPr>
      </w:r>
      <w:r>
        <w:rPr>
          <w:noProof/>
        </w:rPr>
        <w:fldChar w:fldCharType="separate"/>
      </w:r>
      <w:r w:rsidR="002F429D">
        <w:rPr>
          <w:noProof/>
        </w:rPr>
        <w:t>46</w:t>
      </w:r>
      <w:r>
        <w:rPr>
          <w:noProof/>
        </w:rPr>
        <w:fldChar w:fldCharType="end"/>
      </w:r>
    </w:p>
    <w:p w14:paraId="73F40F29" w14:textId="6C9728F8" w:rsidR="000F7228" w:rsidRDefault="000F7228">
      <w:pPr>
        <w:pStyle w:val="TOC5"/>
        <w:rPr>
          <w:rFonts w:asciiTheme="minorHAnsi" w:eastAsiaTheme="minorEastAsia" w:hAnsiTheme="minorHAnsi" w:cstheme="minorBidi"/>
          <w:noProof/>
          <w:kern w:val="0"/>
          <w:sz w:val="22"/>
          <w:szCs w:val="22"/>
        </w:rPr>
      </w:pPr>
      <w:r>
        <w:rPr>
          <w:noProof/>
        </w:rPr>
        <w:t>2.2  Making product data requests—flowchart</w:t>
      </w:r>
      <w:r>
        <w:rPr>
          <w:noProof/>
        </w:rPr>
        <w:tab/>
      </w:r>
      <w:r>
        <w:rPr>
          <w:noProof/>
        </w:rPr>
        <w:fldChar w:fldCharType="begin"/>
      </w:r>
      <w:r>
        <w:rPr>
          <w:noProof/>
        </w:rPr>
        <w:instrText xml:space="preserve"> PAGEREF _Toc77064855 \h </w:instrText>
      </w:r>
      <w:r>
        <w:rPr>
          <w:noProof/>
        </w:rPr>
      </w:r>
      <w:r>
        <w:rPr>
          <w:noProof/>
        </w:rPr>
        <w:fldChar w:fldCharType="separate"/>
      </w:r>
      <w:r w:rsidR="002F429D">
        <w:rPr>
          <w:noProof/>
        </w:rPr>
        <w:t>46</w:t>
      </w:r>
      <w:r>
        <w:rPr>
          <w:noProof/>
        </w:rPr>
        <w:fldChar w:fldCharType="end"/>
      </w:r>
    </w:p>
    <w:p w14:paraId="74F690FA" w14:textId="1FDE154A" w:rsidR="000F7228" w:rsidRDefault="000F7228">
      <w:pPr>
        <w:pStyle w:val="TOC5"/>
        <w:rPr>
          <w:rFonts w:asciiTheme="minorHAnsi" w:eastAsiaTheme="minorEastAsia" w:hAnsiTheme="minorHAnsi" w:cstheme="minorBidi"/>
          <w:noProof/>
          <w:kern w:val="0"/>
          <w:sz w:val="22"/>
          <w:szCs w:val="22"/>
        </w:rPr>
      </w:pPr>
      <w:r>
        <w:rPr>
          <w:noProof/>
        </w:rPr>
        <w:t>2.3  Product data requests</w:t>
      </w:r>
      <w:r>
        <w:rPr>
          <w:noProof/>
        </w:rPr>
        <w:tab/>
      </w:r>
      <w:r>
        <w:rPr>
          <w:noProof/>
        </w:rPr>
        <w:fldChar w:fldCharType="begin"/>
      </w:r>
      <w:r>
        <w:rPr>
          <w:noProof/>
        </w:rPr>
        <w:instrText xml:space="preserve"> PAGEREF _Toc77064856 \h </w:instrText>
      </w:r>
      <w:r>
        <w:rPr>
          <w:noProof/>
        </w:rPr>
      </w:r>
      <w:r>
        <w:rPr>
          <w:noProof/>
        </w:rPr>
        <w:fldChar w:fldCharType="separate"/>
      </w:r>
      <w:r w:rsidR="002F429D">
        <w:rPr>
          <w:noProof/>
        </w:rPr>
        <w:t>47</w:t>
      </w:r>
      <w:r>
        <w:rPr>
          <w:noProof/>
        </w:rPr>
        <w:fldChar w:fldCharType="end"/>
      </w:r>
    </w:p>
    <w:p w14:paraId="3224B50A" w14:textId="2385D879" w:rsidR="000F7228" w:rsidRDefault="000F7228">
      <w:pPr>
        <w:pStyle w:val="TOC5"/>
        <w:rPr>
          <w:rFonts w:asciiTheme="minorHAnsi" w:eastAsiaTheme="minorEastAsia" w:hAnsiTheme="minorHAnsi" w:cstheme="minorBidi"/>
          <w:noProof/>
          <w:kern w:val="0"/>
          <w:sz w:val="22"/>
          <w:szCs w:val="22"/>
        </w:rPr>
      </w:pPr>
      <w:r>
        <w:rPr>
          <w:noProof/>
        </w:rPr>
        <w:t xml:space="preserve">2.4  Disclosing </w:t>
      </w:r>
      <w:r w:rsidRPr="003C3E47">
        <w:rPr>
          <w:noProof/>
          <w:color w:val="000000"/>
        </w:rPr>
        <w:t xml:space="preserve">product </w:t>
      </w:r>
      <w:r>
        <w:rPr>
          <w:noProof/>
        </w:rPr>
        <w:t>data in response to p</w:t>
      </w:r>
      <w:r w:rsidRPr="003C3E47">
        <w:rPr>
          <w:noProof/>
          <w:color w:val="000000"/>
        </w:rPr>
        <w:t>roduct data</w:t>
      </w:r>
      <w:r>
        <w:rPr>
          <w:noProof/>
        </w:rPr>
        <w:t xml:space="preserve"> request</w:t>
      </w:r>
      <w:r>
        <w:rPr>
          <w:noProof/>
        </w:rPr>
        <w:tab/>
      </w:r>
      <w:r>
        <w:rPr>
          <w:noProof/>
        </w:rPr>
        <w:fldChar w:fldCharType="begin"/>
      </w:r>
      <w:r>
        <w:rPr>
          <w:noProof/>
        </w:rPr>
        <w:instrText xml:space="preserve"> PAGEREF _Toc77064857 \h </w:instrText>
      </w:r>
      <w:r>
        <w:rPr>
          <w:noProof/>
        </w:rPr>
      </w:r>
      <w:r>
        <w:rPr>
          <w:noProof/>
        </w:rPr>
        <w:fldChar w:fldCharType="separate"/>
      </w:r>
      <w:r w:rsidR="002F429D">
        <w:rPr>
          <w:noProof/>
        </w:rPr>
        <w:t>47</w:t>
      </w:r>
      <w:r>
        <w:rPr>
          <w:noProof/>
        </w:rPr>
        <w:fldChar w:fldCharType="end"/>
      </w:r>
    </w:p>
    <w:p w14:paraId="454221F7" w14:textId="65D3A91D" w:rsidR="000F7228" w:rsidRDefault="000F7228">
      <w:pPr>
        <w:pStyle w:val="TOC5"/>
        <w:rPr>
          <w:rFonts w:asciiTheme="minorHAnsi" w:eastAsiaTheme="minorEastAsia" w:hAnsiTheme="minorHAnsi" w:cstheme="minorBidi"/>
          <w:noProof/>
          <w:kern w:val="0"/>
          <w:sz w:val="22"/>
          <w:szCs w:val="22"/>
        </w:rPr>
      </w:pPr>
      <w:r>
        <w:rPr>
          <w:noProof/>
        </w:rPr>
        <w:t>2.5  Refusal to disclose required product data in response to product data request</w:t>
      </w:r>
      <w:r>
        <w:rPr>
          <w:noProof/>
        </w:rPr>
        <w:tab/>
      </w:r>
      <w:r>
        <w:rPr>
          <w:noProof/>
        </w:rPr>
        <w:fldChar w:fldCharType="begin"/>
      </w:r>
      <w:r>
        <w:rPr>
          <w:noProof/>
        </w:rPr>
        <w:instrText xml:space="preserve"> PAGEREF _Toc77064858 \h </w:instrText>
      </w:r>
      <w:r>
        <w:rPr>
          <w:noProof/>
        </w:rPr>
      </w:r>
      <w:r>
        <w:rPr>
          <w:noProof/>
        </w:rPr>
        <w:fldChar w:fldCharType="separate"/>
      </w:r>
      <w:r w:rsidR="002F429D">
        <w:rPr>
          <w:noProof/>
        </w:rPr>
        <w:t>49</w:t>
      </w:r>
      <w:r>
        <w:rPr>
          <w:noProof/>
        </w:rPr>
        <w:fldChar w:fldCharType="end"/>
      </w:r>
    </w:p>
    <w:p w14:paraId="151DD8B3" w14:textId="5021DCDA" w:rsidR="000F7228" w:rsidRDefault="000F7228">
      <w:pPr>
        <w:pStyle w:val="TOC5"/>
        <w:rPr>
          <w:rFonts w:asciiTheme="minorHAnsi" w:eastAsiaTheme="minorEastAsia" w:hAnsiTheme="minorHAnsi" w:cstheme="minorBidi"/>
          <w:noProof/>
          <w:kern w:val="0"/>
          <w:sz w:val="22"/>
          <w:szCs w:val="22"/>
        </w:rPr>
      </w:pPr>
      <w:r>
        <w:rPr>
          <w:noProof/>
        </w:rPr>
        <w:t>2.6  Use of data disclosed pursuant to product data request</w:t>
      </w:r>
      <w:r>
        <w:rPr>
          <w:noProof/>
        </w:rPr>
        <w:tab/>
      </w:r>
      <w:r>
        <w:rPr>
          <w:noProof/>
        </w:rPr>
        <w:fldChar w:fldCharType="begin"/>
      </w:r>
      <w:r>
        <w:rPr>
          <w:noProof/>
        </w:rPr>
        <w:instrText xml:space="preserve"> PAGEREF _Toc77064859 \h </w:instrText>
      </w:r>
      <w:r>
        <w:rPr>
          <w:noProof/>
        </w:rPr>
      </w:r>
      <w:r>
        <w:rPr>
          <w:noProof/>
        </w:rPr>
        <w:fldChar w:fldCharType="separate"/>
      </w:r>
      <w:r w:rsidR="002F429D">
        <w:rPr>
          <w:noProof/>
        </w:rPr>
        <w:t>49</w:t>
      </w:r>
      <w:r>
        <w:rPr>
          <w:noProof/>
        </w:rPr>
        <w:fldChar w:fldCharType="end"/>
      </w:r>
    </w:p>
    <w:p w14:paraId="350F07F2" w14:textId="49A4FFF6" w:rsidR="000F7228" w:rsidRDefault="000F7228">
      <w:pPr>
        <w:pStyle w:val="TOC2"/>
        <w:rPr>
          <w:rFonts w:asciiTheme="minorHAnsi" w:eastAsiaTheme="minorEastAsia" w:hAnsiTheme="minorHAnsi" w:cstheme="minorBidi"/>
          <w:b w:val="0"/>
          <w:noProof/>
          <w:kern w:val="0"/>
          <w:sz w:val="22"/>
          <w:szCs w:val="22"/>
        </w:rPr>
      </w:pPr>
      <w:r>
        <w:rPr>
          <w:noProof/>
        </w:rPr>
        <w:t xml:space="preserve">Part 3—Consumer data </w:t>
      </w:r>
      <w:r w:rsidRPr="003C3E47">
        <w:rPr>
          <w:noProof/>
          <w:color w:val="000000"/>
        </w:rPr>
        <w:t xml:space="preserve">requests made by </w:t>
      </w:r>
      <w:r>
        <w:rPr>
          <w:noProof/>
        </w:rPr>
        <w:t>eligible CDR consumers</w:t>
      </w:r>
      <w:r>
        <w:rPr>
          <w:noProof/>
        </w:rPr>
        <w:tab/>
      </w:r>
      <w:r>
        <w:rPr>
          <w:noProof/>
        </w:rPr>
        <w:fldChar w:fldCharType="begin"/>
      </w:r>
      <w:r>
        <w:rPr>
          <w:noProof/>
        </w:rPr>
        <w:instrText xml:space="preserve"> PAGEREF _Toc77064860 \h </w:instrText>
      </w:r>
      <w:r>
        <w:rPr>
          <w:noProof/>
        </w:rPr>
      </w:r>
      <w:r>
        <w:rPr>
          <w:noProof/>
        </w:rPr>
        <w:fldChar w:fldCharType="separate"/>
      </w:r>
      <w:r w:rsidR="002F429D">
        <w:rPr>
          <w:noProof/>
        </w:rPr>
        <w:t>50</w:t>
      </w:r>
      <w:r>
        <w:rPr>
          <w:noProof/>
        </w:rPr>
        <w:fldChar w:fldCharType="end"/>
      </w:r>
    </w:p>
    <w:p w14:paraId="1CB09C3E" w14:textId="3F180C34" w:rsidR="000F7228" w:rsidRDefault="000F7228">
      <w:pPr>
        <w:pStyle w:val="TOC3"/>
        <w:rPr>
          <w:rFonts w:asciiTheme="minorHAnsi" w:eastAsiaTheme="minorEastAsia" w:hAnsiTheme="minorHAnsi" w:cstheme="minorBidi"/>
          <w:b w:val="0"/>
          <w:noProof/>
          <w:kern w:val="0"/>
          <w:szCs w:val="22"/>
        </w:rPr>
      </w:pPr>
      <w:r>
        <w:rPr>
          <w:noProof/>
        </w:rPr>
        <w:t>Division 3.1—Preliminary</w:t>
      </w:r>
      <w:r>
        <w:rPr>
          <w:noProof/>
        </w:rPr>
        <w:tab/>
      </w:r>
      <w:r>
        <w:rPr>
          <w:noProof/>
        </w:rPr>
        <w:fldChar w:fldCharType="begin"/>
      </w:r>
      <w:r>
        <w:rPr>
          <w:noProof/>
        </w:rPr>
        <w:instrText xml:space="preserve"> PAGEREF _Toc77064861 \h </w:instrText>
      </w:r>
      <w:r>
        <w:rPr>
          <w:noProof/>
        </w:rPr>
      </w:r>
      <w:r>
        <w:rPr>
          <w:noProof/>
        </w:rPr>
        <w:fldChar w:fldCharType="separate"/>
      </w:r>
      <w:r w:rsidR="002F429D">
        <w:rPr>
          <w:noProof/>
        </w:rPr>
        <w:t>50</w:t>
      </w:r>
      <w:r>
        <w:rPr>
          <w:noProof/>
        </w:rPr>
        <w:fldChar w:fldCharType="end"/>
      </w:r>
    </w:p>
    <w:p w14:paraId="3E66BB62" w14:textId="429B0223" w:rsidR="000F7228" w:rsidRDefault="000F7228">
      <w:pPr>
        <w:pStyle w:val="TOC5"/>
        <w:rPr>
          <w:rFonts w:asciiTheme="minorHAnsi" w:eastAsiaTheme="minorEastAsia" w:hAnsiTheme="minorHAnsi" w:cstheme="minorBidi"/>
          <w:noProof/>
          <w:kern w:val="0"/>
          <w:sz w:val="22"/>
          <w:szCs w:val="22"/>
        </w:rPr>
      </w:pPr>
      <w:r>
        <w:rPr>
          <w:noProof/>
        </w:rPr>
        <w:t>3.1  Simplified outline of this Part</w:t>
      </w:r>
      <w:r>
        <w:rPr>
          <w:noProof/>
        </w:rPr>
        <w:tab/>
      </w:r>
      <w:r>
        <w:rPr>
          <w:noProof/>
        </w:rPr>
        <w:fldChar w:fldCharType="begin"/>
      </w:r>
      <w:r>
        <w:rPr>
          <w:noProof/>
        </w:rPr>
        <w:instrText xml:space="preserve"> PAGEREF _Toc77064862 \h </w:instrText>
      </w:r>
      <w:r>
        <w:rPr>
          <w:noProof/>
        </w:rPr>
      </w:r>
      <w:r>
        <w:rPr>
          <w:noProof/>
        </w:rPr>
        <w:fldChar w:fldCharType="separate"/>
      </w:r>
      <w:r w:rsidR="002F429D">
        <w:rPr>
          <w:noProof/>
        </w:rPr>
        <w:t>50</w:t>
      </w:r>
      <w:r>
        <w:rPr>
          <w:noProof/>
        </w:rPr>
        <w:fldChar w:fldCharType="end"/>
      </w:r>
    </w:p>
    <w:p w14:paraId="062F75AC" w14:textId="5B5958E9" w:rsidR="000F7228" w:rsidRDefault="000F7228">
      <w:pPr>
        <w:pStyle w:val="TOC5"/>
        <w:rPr>
          <w:rFonts w:asciiTheme="minorHAnsi" w:eastAsiaTheme="minorEastAsia" w:hAnsiTheme="minorHAnsi" w:cstheme="minorBidi"/>
          <w:noProof/>
          <w:kern w:val="0"/>
          <w:sz w:val="22"/>
          <w:szCs w:val="22"/>
        </w:rPr>
      </w:pPr>
      <w:r>
        <w:rPr>
          <w:noProof/>
        </w:rPr>
        <w:t>3.2  How an eligible CDR consumer makes a consumer data request—flowchart</w:t>
      </w:r>
      <w:r>
        <w:rPr>
          <w:noProof/>
        </w:rPr>
        <w:tab/>
      </w:r>
      <w:r>
        <w:rPr>
          <w:noProof/>
        </w:rPr>
        <w:fldChar w:fldCharType="begin"/>
      </w:r>
      <w:r>
        <w:rPr>
          <w:noProof/>
        </w:rPr>
        <w:instrText xml:space="preserve"> PAGEREF _Toc77064863 \h </w:instrText>
      </w:r>
      <w:r>
        <w:rPr>
          <w:noProof/>
        </w:rPr>
      </w:r>
      <w:r>
        <w:rPr>
          <w:noProof/>
        </w:rPr>
        <w:fldChar w:fldCharType="separate"/>
      </w:r>
      <w:r w:rsidR="002F429D">
        <w:rPr>
          <w:noProof/>
        </w:rPr>
        <w:t>51</w:t>
      </w:r>
      <w:r>
        <w:rPr>
          <w:noProof/>
        </w:rPr>
        <w:fldChar w:fldCharType="end"/>
      </w:r>
    </w:p>
    <w:p w14:paraId="65C1FD81" w14:textId="6BF45898" w:rsidR="000F7228" w:rsidRDefault="000F7228">
      <w:pPr>
        <w:pStyle w:val="TOC3"/>
        <w:rPr>
          <w:rFonts w:asciiTheme="minorHAnsi" w:eastAsiaTheme="minorEastAsia" w:hAnsiTheme="minorHAnsi" w:cstheme="minorBidi"/>
          <w:b w:val="0"/>
          <w:noProof/>
          <w:kern w:val="0"/>
          <w:szCs w:val="22"/>
        </w:rPr>
      </w:pPr>
      <w:r>
        <w:rPr>
          <w:noProof/>
        </w:rPr>
        <w:t>Division 3.2—Consumer data requests made by CDR consumers</w:t>
      </w:r>
      <w:r>
        <w:rPr>
          <w:noProof/>
        </w:rPr>
        <w:tab/>
      </w:r>
      <w:r>
        <w:rPr>
          <w:noProof/>
        </w:rPr>
        <w:fldChar w:fldCharType="begin"/>
      </w:r>
      <w:r>
        <w:rPr>
          <w:noProof/>
        </w:rPr>
        <w:instrText xml:space="preserve"> PAGEREF _Toc77064864 \h </w:instrText>
      </w:r>
      <w:r>
        <w:rPr>
          <w:noProof/>
        </w:rPr>
      </w:r>
      <w:r>
        <w:rPr>
          <w:noProof/>
        </w:rPr>
        <w:fldChar w:fldCharType="separate"/>
      </w:r>
      <w:r w:rsidR="002F429D">
        <w:rPr>
          <w:noProof/>
        </w:rPr>
        <w:t>52</w:t>
      </w:r>
      <w:r>
        <w:rPr>
          <w:noProof/>
        </w:rPr>
        <w:fldChar w:fldCharType="end"/>
      </w:r>
    </w:p>
    <w:p w14:paraId="5E273CA4" w14:textId="1261130F" w:rsidR="000F7228" w:rsidRDefault="000F7228">
      <w:pPr>
        <w:pStyle w:val="TOC5"/>
        <w:rPr>
          <w:rFonts w:asciiTheme="minorHAnsi" w:eastAsiaTheme="minorEastAsia" w:hAnsiTheme="minorHAnsi" w:cstheme="minorBidi"/>
          <w:noProof/>
          <w:kern w:val="0"/>
          <w:sz w:val="22"/>
          <w:szCs w:val="22"/>
        </w:rPr>
      </w:pPr>
      <w:r w:rsidRPr="003C3E47">
        <w:rPr>
          <w:noProof/>
          <w:color w:val="000000"/>
        </w:rPr>
        <w:t>3.3  Consumer data requests made</w:t>
      </w:r>
      <w:r>
        <w:rPr>
          <w:noProof/>
        </w:rPr>
        <w:t xml:space="preserve"> by CDR consumers</w:t>
      </w:r>
      <w:r>
        <w:rPr>
          <w:noProof/>
        </w:rPr>
        <w:tab/>
      </w:r>
      <w:r>
        <w:rPr>
          <w:noProof/>
        </w:rPr>
        <w:fldChar w:fldCharType="begin"/>
      </w:r>
      <w:r>
        <w:rPr>
          <w:noProof/>
        </w:rPr>
        <w:instrText xml:space="preserve"> PAGEREF _Toc77064865 \h </w:instrText>
      </w:r>
      <w:r>
        <w:rPr>
          <w:noProof/>
        </w:rPr>
      </w:r>
      <w:r>
        <w:rPr>
          <w:noProof/>
        </w:rPr>
        <w:fldChar w:fldCharType="separate"/>
      </w:r>
      <w:r w:rsidR="002F429D">
        <w:rPr>
          <w:noProof/>
        </w:rPr>
        <w:t>52</w:t>
      </w:r>
      <w:r>
        <w:rPr>
          <w:noProof/>
        </w:rPr>
        <w:fldChar w:fldCharType="end"/>
      </w:r>
    </w:p>
    <w:p w14:paraId="224E464F" w14:textId="6F58B8CA" w:rsidR="000F7228" w:rsidRDefault="000F7228">
      <w:pPr>
        <w:pStyle w:val="TOC5"/>
        <w:rPr>
          <w:rFonts w:asciiTheme="minorHAnsi" w:eastAsiaTheme="minorEastAsia" w:hAnsiTheme="minorHAnsi" w:cstheme="minorBidi"/>
          <w:noProof/>
          <w:kern w:val="0"/>
          <w:sz w:val="22"/>
          <w:szCs w:val="22"/>
        </w:rPr>
      </w:pPr>
      <w:r>
        <w:rPr>
          <w:noProof/>
        </w:rPr>
        <w:t xml:space="preserve">3.4  Disclosing consumer data in response to a valid </w:t>
      </w:r>
      <w:r w:rsidRPr="003C3E47">
        <w:rPr>
          <w:noProof/>
          <w:color w:val="000000"/>
        </w:rPr>
        <w:t xml:space="preserve">consumer data </w:t>
      </w:r>
      <w:r>
        <w:rPr>
          <w:noProof/>
        </w:rPr>
        <w:t>request</w:t>
      </w:r>
      <w:r>
        <w:rPr>
          <w:noProof/>
        </w:rPr>
        <w:tab/>
      </w:r>
      <w:r>
        <w:rPr>
          <w:noProof/>
        </w:rPr>
        <w:fldChar w:fldCharType="begin"/>
      </w:r>
      <w:r>
        <w:rPr>
          <w:noProof/>
        </w:rPr>
        <w:instrText xml:space="preserve"> PAGEREF _Toc77064866 \h </w:instrText>
      </w:r>
      <w:r>
        <w:rPr>
          <w:noProof/>
        </w:rPr>
      </w:r>
      <w:r>
        <w:rPr>
          <w:noProof/>
        </w:rPr>
        <w:fldChar w:fldCharType="separate"/>
      </w:r>
      <w:r w:rsidR="002F429D">
        <w:rPr>
          <w:noProof/>
        </w:rPr>
        <w:t>52</w:t>
      </w:r>
      <w:r>
        <w:rPr>
          <w:noProof/>
        </w:rPr>
        <w:fldChar w:fldCharType="end"/>
      </w:r>
    </w:p>
    <w:p w14:paraId="2FEBF94D" w14:textId="1AED316B" w:rsidR="000F7228" w:rsidRDefault="000F7228">
      <w:pPr>
        <w:pStyle w:val="TOC5"/>
        <w:rPr>
          <w:rFonts w:asciiTheme="minorHAnsi" w:eastAsiaTheme="minorEastAsia" w:hAnsiTheme="minorHAnsi" w:cstheme="minorBidi"/>
          <w:noProof/>
          <w:kern w:val="0"/>
          <w:sz w:val="22"/>
          <w:szCs w:val="22"/>
        </w:rPr>
      </w:pPr>
      <w:r>
        <w:rPr>
          <w:noProof/>
        </w:rPr>
        <w:t>3.5  Refusal to disclose required consumer data in response to consumer data request</w:t>
      </w:r>
      <w:r>
        <w:rPr>
          <w:noProof/>
        </w:rPr>
        <w:tab/>
      </w:r>
      <w:r>
        <w:rPr>
          <w:noProof/>
        </w:rPr>
        <w:fldChar w:fldCharType="begin"/>
      </w:r>
      <w:r>
        <w:rPr>
          <w:noProof/>
        </w:rPr>
        <w:instrText xml:space="preserve"> PAGEREF _Toc77064867 \h </w:instrText>
      </w:r>
      <w:r>
        <w:rPr>
          <w:noProof/>
        </w:rPr>
      </w:r>
      <w:r>
        <w:rPr>
          <w:noProof/>
        </w:rPr>
        <w:fldChar w:fldCharType="separate"/>
      </w:r>
      <w:r w:rsidR="002F429D">
        <w:rPr>
          <w:noProof/>
        </w:rPr>
        <w:t>53</w:t>
      </w:r>
      <w:r>
        <w:rPr>
          <w:noProof/>
        </w:rPr>
        <w:fldChar w:fldCharType="end"/>
      </w:r>
    </w:p>
    <w:p w14:paraId="0AC7C615" w14:textId="0820156A" w:rsidR="000F7228" w:rsidRDefault="000F7228">
      <w:pPr>
        <w:pStyle w:val="TOC2"/>
        <w:rPr>
          <w:rFonts w:asciiTheme="minorHAnsi" w:eastAsiaTheme="minorEastAsia" w:hAnsiTheme="minorHAnsi" w:cstheme="minorBidi"/>
          <w:b w:val="0"/>
          <w:noProof/>
          <w:kern w:val="0"/>
          <w:sz w:val="22"/>
          <w:szCs w:val="22"/>
        </w:rPr>
      </w:pPr>
      <w:r>
        <w:rPr>
          <w:noProof/>
        </w:rPr>
        <w:lastRenderedPageBreak/>
        <w:t>Part 4—</w:t>
      </w:r>
      <w:r w:rsidRPr="003C3E47">
        <w:rPr>
          <w:noProof/>
          <w:color w:val="000000"/>
        </w:rPr>
        <w:t>Consumer data requests made by accredited persons</w:t>
      </w:r>
      <w:r>
        <w:rPr>
          <w:noProof/>
        </w:rPr>
        <w:tab/>
      </w:r>
      <w:r>
        <w:rPr>
          <w:noProof/>
        </w:rPr>
        <w:fldChar w:fldCharType="begin"/>
      </w:r>
      <w:r>
        <w:rPr>
          <w:noProof/>
        </w:rPr>
        <w:instrText xml:space="preserve"> PAGEREF _Toc77064868 \h </w:instrText>
      </w:r>
      <w:r>
        <w:rPr>
          <w:noProof/>
        </w:rPr>
      </w:r>
      <w:r>
        <w:rPr>
          <w:noProof/>
        </w:rPr>
        <w:fldChar w:fldCharType="separate"/>
      </w:r>
      <w:r w:rsidR="002F429D">
        <w:rPr>
          <w:noProof/>
        </w:rPr>
        <w:t>54</w:t>
      </w:r>
      <w:r>
        <w:rPr>
          <w:noProof/>
        </w:rPr>
        <w:fldChar w:fldCharType="end"/>
      </w:r>
    </w:p>
    <w:p w14:paraId="2D06D591" w14:textId="6E391528" w:rsidR="000F7228" w:rsidRDefault="000F7228">
      <w:pPr>
        <w:pStyle w:val="TOC3"/>
        <w:rPr>
          <w:rFonts w:asciiTheme="minorHAnsi" w:eastAsiaTheme="minorEastAsia" w:hAnsiTheme="minorHAnsi" w:cstheme="minorBidi"/>
          <w:b w:val="0"/>
          <w:noProof/>
          <w:kern w:val="0"/>
          <w:szCs w:val="22"/>
        </w:rPr>
      </w:pPr>
      <w:r>
        <w:rPr>
          <w:noProof/>
        </w:rPr>
        <w:t>Division 4.1—Preliminary</w:t>
      </w:r>
      <w:r>
        <w:rPr>
          <w:noProof/>
        </w:rPr>
        <w:tab/>
      </w:r>
      <w:r>
        <w:rPr>
          <w:noProof/>
        </w:rPr>
        <w:fldChar w:fldCharType="begin"/>
      </w:r>
      <w:r>
        <w:rPr>
          <w:noProof/>
        </w:rPr>
        <w:instrText xml:space="preserve"> PAGEREF _Toc77064869 \h </w:instrText>
      </w:r>
      <w:r>
        <w:rPr>
          <w:noProof/>
        </w:rPr>
      </w:r>
      <w:r>
        <w:rPr>
          <w:noProof/>
        </w:rPr>
        <w:fldChar w:fldCharType="separate"/>
      </w:r>
      <w:r w:rsidR="002F429D">
        <w:rPr>
          <w:noProof/>
        </w:rPr>
        <w:t>54</w:t>
      </w:r>
      <w:r>
        <w:rPr>
          <w:noProof/>
        </w:rPr>
        <w:fldChar w:fldCharType="end"/>
      </w:r>
    </w:p>
    <w:p w14:paraId="7A3BEF84" w14:textId="1AC87BA2" w:rsidR="000F7228" w:rsidRDefault="000F7228">
      <w:pPr>
        <w:pStyle w:val="TOC5"/>
        <w:rPr>
          <w:rFonts w:asciiTheme="minorHAnsi" w:eastAsiaTheme="minorEastAsia" w:hAnsiTheme="minorHAnsi" w:cstheme="minorBidi"/>
          <w:noProof/>
          <w:kern w:val="0"/>
          <w:sz w:val="22"/>
          <w:szCs w:val="22"/>
        </w:rPr>
      </w:pPr>
      <w:r>
        <w:rPr>
          <w:noProof/>
        </w:rPr>
        <w:t>4.1  Simplified outline of this Part</w:t>
      </w:r>
      <w:r>
        <w:rPr>
          <w:noProof/>
        </w:rPr>
        <w:tab/>
      </w:r>
      <w:r>
        <w:rPr>
          <w:noProof/>
        </w:rPr>
        <w:fldChar w:fldCharType="begin"/>
      </w:r>
      <w:r>
        <w:rPr>
          <w:noProof/>
        </w:rPr>
        <w:instrText xml:space="preserve"> PAGEREF _Toc77064870 \h </w:instrText>
      </w:r>
      <w:r>
        <w:rPr>
          <w:noProof/>
        </w:rPr>
      </w:r>
      <w:r>
        <w:rPr>
          <w:noProof/>
        </w:rPr>
        <w:fldChar w:fldCharType="separate"/>
      </w:r>
      <w:r w:rsidR="002F429D">
        <w:rPr>
          <w:noProof/>
        </w:rPr>
        <w:t>54</w:t>
      </w:r>
      <w:r>
        <w:rPr>
          <w:noProof/>
        </w:rPr>
        <w:fldChar w:fldCharType="end"/>
      </w:r>
    </w:p>
    <w:p w14:paraId="6860A4F8" w14:textId="4600D47C" w:rsidR="000F7228" w:rsidRDefault="000F7228">
      <w:pPr>
        <w:pStyle w:val="TOC3"/>
        <w:rPr>
          <w:rFonts w:asciiTheme="minorHAnsi" w:eastAsiaTheme="minorEastAsia" w:hAnsiTheme="minorHAnsi" w:cstheme="minorBidi"/>
          <w:b w:val="0"/>
          <w:noProof/>
          <w:kern w:val="0"/>
          <w:szCs w:val="22"/>
        </w:rPr>
      </w:pPr>
      <w:r>
        <w:rPr>
          <w:noProof/>
        </w:rPr>
        <w:t>Division 4.2—Consumer data requests made by accredited persons to CDR participants</w:t>
      </w:r>
      <w:r>
        <w:rPr>
          <w:noProof/>
        </w:rPr>
        <w:tab/>
      </w:r>
      <w:r>
        <w:rPr>
          <w:noProof/>
        </w:rPr>
        <w:fldChar w:fldCharType="begin"/>
      </w:r>
      <w:r>
        <w:rPr>
          <w:noProof/>
        </w:rPr>
        <w:instrText xml:space="preserve"> PAGEREF _Toc77064871 \h </w:instrText>
      </w:r>
      <w:r>
        <w:rPr>
          <w:noProof/>
        </w:rPr>
      </w:r>
      <w:r>
        <w:rPr>
          <w:noProof/>
        </w:rPr>
        <w:fldChar w:fldCharType="separate"/>
      </w:r>
      <w:r w:rsidR="002F429D">
        <w:rPr>
          <w:noProof/>
        </w:rPr>
        <w:t>56</w:t>
      </w:r>
      <w:r>
        <w:rPr>
          <w:noProof/>
        </w:rPr>
        <w:fldChar w:fldCharType="end"/>
      </w:r>
    </w:p>
    <w:p w14:paraId="5EA5AE69" w14:textId="61CD00F8" w:rsidR="000F7228" w:rsidRDefault="000F7228">
      <w:pPr>
        <w:pStyle w:val="TOC4"/>
        <w:rPr>
          <w:rFonts w:asciiTheme="minorHAnsi" w:eastAsiaTheme="minorEastAsia" w:hAnsiTheme="minorHAnsi" w:cstheme="minorBidi"/>
          <w:b w:val="0"/>
          <w:noProof/>
          <w:kern w:val="0"/>
          <w:sz w:val="22"/>
          <w:szCs w:val="22"/>
        </w:rPr>
      </w:pPr>
      <w:r>
        <w:rPr>
          <w:noProof/>
        </w:rPr>
        <w:t>Subdivision 4.2.1—Preliminary</w:t>
      </w:r>
      <w:r>
        <w:rPr>
          <w:noProof/>
        </w:rPr>
        <w:tab/>
      </w:r>
      <w:r>
        <w:rPr>
          <w:noProof/>
        </w:rPr>
        <w:fldChar w:fldCharType="begin"/>
      </w:r>
      <w:r>
        <w:rPr>
          <w:noProof/>
        </w:rPr>
        <w:instrText xml:space="preserve"> PAGEREF _Toc77064872 \h </w:instrText>
      </w:r>
      <w:r>
        <w:rPr>
          <w:noProof/>
        </w:rPr>
      </w:r>
      <w:r>
        <w:rPr>
          <w:noProof/>
        </w:rPr>
        <w:fldChar w:fldCharType="separate"/>
      </w:r>
      <w:r w:rsidR="002F429D">
        <w:rPr>
          <w:noProof/>
        </w:rPr>
        <w:t>56</w:t>
      </w:r>
      <w:r>
        <w:rPr>
          <w:noProof/>
        </w:rPr>
        <w:fldChar w:fldCharType="end"/>
      </w:r>
    </w:p>
    <w:p w14:paraId="1520D6B4" w14:textId="0C5552E7" w:rsidR="000F7228" w:rsidRDefault="000F7228">
      <w:pPr>
        <w:pStyle w:val="TOC5"/>
        <w:rPr>
          <w:rFonts w:asciiTheme="minorHAnsi" w:eastAsiaTheme="minorEastAsia" w:hAnsiTheme="minorHAnsi" w:cstheme="minorBidi"/>
          <w:noProof/>
          <w:kern w:val="0"/>
          <w:sz w:val="22"/>
          <w:szCs w:val="22"/>
        </w:rPr>
      </w:pPr>
      <w:r>
        <w:rPr>
          <w:noProof/>
        </w:rPr>
        <w:t>4.2  Consumer data requests made by accredited persons to CDR participants—flowchart</w:t>
      </w:r>
      <w:r>
        <w:rPr>
          <w:noProof/>
        </w:rPr>
        <w:tab/>
      </w:r>
      <w:r>
        <w:rPr>
          <w:noProof/>
        </w:rPr>
        <w:fldChar w:fldCharType="begin"/>
      </w:r>
      <w:r>
        <w:rPr>
          <w:noProof/>
        </w:rPr>
        <w:instrText xml:space="preserve"> PAGEREF _Toc77064873 \h </w:instrText>
      </w:r>
      <w:r>
        <w:rPr>
          <w:noProof/>
        </w:rPr>
      </w:r>
      <w:r>
        <w:rPr>
          <w:noProof/>
        </w:rPr>
        <w:fldChar w:fldCharType="separate"/>
      </w:r>
      <w:r w:rsidR="002F429D">
        <w:rPr>
          <w:noProof/>
        </w:rPr>
        <w:t>56</w:t>
      </w:r>
      <w:r>
        <w:rPr>
          <w:noProof/>
        </w:rPr>
        <w:fldChar w:fldCharType="end"/>
      </w:r>
    </w:p>
    <w:p w14:paraId="27D961BA" w14:textId="5EC8019C" w:rsidR="000F7228" w:rsidRDefault="000F7228">
      <w:pPr>
        <w:pStyle w:val="TOC4"/>
        <w:rPr>
          <w:rFonts w:asciiTheme="minorHAnsi" w:eastAsiaTheme="minorEastAsia" w:hAnsiTheme="minorHAnsi" w:cstheme="minorBidi"/>
          <w:b w:val="0"/>
          <w:noProof/>
          <w:kern w:val="0"/>
          <w:sz w:val="22"/>
          <w:szCs w:val="22"/>
        </w:rPr>
      </w:pPr>
      <w:r>
        <w:rPr>
          <w:noProof/>
        </w:rPr>
        <w:t>Subdivision 4.2.2—Requests to seek to collect CDR data from CDR participants</w:t>
      </w:r>
      <w:r>
        <w:rPr>
          <w:noProof/>
        </w:rPr>
        <w:tab/>
      </w:r>
      <w:r>
        <w:rPr>
          <w:noProof/>
        </w:rPr>
        <w:fldChar w:fldCharType="begin"/>
      </w:r>
      <w:r>
        <w:rPr>
          <w:noProof/>
        </w:rPr>
        <w:instrText xml:space="preserve"> PAGEREF _Toc77064874 \h </w:instrText>
      </w:r>
      <w:r>
        <w:rPr>
          <w:noProof/>
        </w:rPr>
      </w:r>
      <w:r>
        <w:rPr>
          <w:noProof/>
        </w:rPr>
        <w:fldChar w:fldCharType="separate"/>
      </w:r>
      <w:r w:rsidR="002F429D">
        <w:rPr>
          <w:noProof/>
        </w:rPr>
        <w:t>58</w:t>
      </w:r>
      <w:r>
        <w:rPr>
          <w:noProof/>
        </w:rPr>
        <w:fldChar w:fldCharType="end"/>
      </w:r>
    </w:p>
    <w:p w14:paraId="5986E819" w14:textId="2A63717F" w:rsidR="000F7228" w:rsidRDefault="000F7228">
      <w:pPr>
        <w:pStyle w:val="TOC5"/>
        <w:rPr>
          <w:rFonts w:asciiTheme="minorHAnsi" w:eastAsiaTheme="minorEastAsia" w:hAnsiTheme="minorHAnsi" w:cstheme="minorBidi"/>
          <w:noProof/>
          <w:kern w:val="0"/>
          <w:sz w:val="22"/>
          <w:szCs w:val="22"/>
        </w:rPr>
      </w:pPr>
      <w:r>
        <w:rPr>
          <w:noProof/>
        </w:rPr>
        <w:t>4.3  Request for accredited person to seek to collect CDR data</w:t>
      </w:r>
      <w:r>
        <w:rPr>
          <w:noProof/>
        </w:rPr>
        <w:tab/>
      </w:r>
      <w:r>
        <w:rPr>
          <w:noProof/>
        </w:rPr>
        <w:fldChar w:fldCharType="begin"/>
      </w:r>
      <w:r>
        <w:rPr>
          <w:noProof/>
        </w:rPr>
        <w:instrText xml:space="preserve"> PAGEREF _Toc77064875 \h </w:instrText>
      </w:r>
      <w:r>
        <w:rPr>
          <w:noProof/>
        </w:rPr>
      </w:r>
      <w:r>
        <w:rPr>
          <w:noProof/>
        </w:rPr>
        <w:fldChar w:fldCharType="separate"/>
      </w:r>
      <w:r w:rsidR="002F429D">
        <w:rPr>
          <w:noProof/>
        </w:rPr>
        <w:t>58</w:t>
      </w:r>
      <w:r>
        <w:rPr>
          <w:noProof/>
        </w:rPr>
        <w:fldChar w:fldCharType="end"/>
      </w:r>
    </w:p>
    <w:p w14:paraId="2782E485" w14:textId="30CDB417" w:rsidR="000F7228" w:rsidRDefault="000F7228">
      <w:pPr>
        <w:pStyle w:val="TOC5"/>
        <w:rPr>
          <w:rFonts w:asciiTheme="minorHAnsi" w:eastAsiaTheme="minorEastAsia" w:hAnsiTheme="minorHAnsi" w:cstheme="minorBidi"/>
          <w:noProof/>
          <w:kern w:val="0"/>
          <w:sz w:val="22"/>
          <w:szCs w:val="22"/>
        </w:rPr>
      </w:pPr>
      <w:r w:rsidRPr="003C3E47">
        <w:rPr>
          <w:noProof/>
          <w:color w:val="0000FF"/>
        </w:rPr>
        <w:t>4.3A Request for accredited person to seek to collect CDR data, made to CDR representative</w:t>
      </w:r>
      <w:r>
        <w:rPr>
          <w:noProof/>
        </w:rPr>
        <w:tab/>
      </w:r>
      <w:r>
        <w:rPr>
          <w:noProof/>
        </w:rPr>
        <w:fldChar w:fldCharType="begin"/>
      </w:r>
      <w:r>
        <w:rPr>
          <w:noProof/>
        </w:rPr>
        <w:instrText xml:space="preserve"> PAGEREF _Toc77064876 \h </w:instrText>
      </w:r>
      <w:r>
        <w:rPr>
          <w:noProof/>
        </w:rPr>
      </w:r>
      <w:r>
        <w:rPr>
          <w:noProof/>
        </w:rPr>
        <w:fldChar w:fldCharType="separate"/>
      </w:r>
      <w:r w:rsidR="002F429D">
        <w:rPr>
          <w:noProof/>
        </w:rPr>
        <w:t>59</w:t>
      </w:r>
      <w:r>
        <w:rPr>
          <w:noProof/>
        </w:rPr>
        <w:fldChar w:fldCharType="end"/>
      </w:r>
    </w:p>
    <w:p w14:paraId="63858932" w14:textId="5643E49F" w:rsidR="000F7228" w:rsidRDefault="000F7228">
      <w:pPr>
        <w:pStyle w:val="TOC5"/>
        <w:rPr>
          <w:rFonts w:asciiTheme="minorHAnsi" w:eastAsiaTheme="minorEastAsia" w:hAnsiTheme="minorHAnsi" w:cstheme="minorBidi"/>
          <w:noProof/>
          <w:kern w:val="0"/>
          <w:sz w:val="22"/>
          <w:szCs w:val="22"/>
        </w:rPr>
      </w:pPr>
      <w:r w:rsidRPr="003C3E47">
        <w:rPr>
          <w:noProof/>
          <w:color w:val="0000FF"/>
        </w:rPr>
        <w:t>4.3B Modifications of Division 4.3 in relation to CDR representative</w:t>
      </w:r>
      <w:r>
        <w:rPr>
          <w:noProof/>
        </w:rPr>
        <w:tab/>
      </w:r>
      <w:r>
        <w:rPr>
          <w:noProof/>
        </w:rPr>
        <w:fldChar w:fldCharType="begin"/>
      </w:r>
      <w:r>
        <w:rPr>
          <w:noProof/>
        </w:rPr>
        <w:instrText xml:space="preserve"> PAGEREF _Toc77064877 \h </w:instrText>
      </w:r>
      <w:r>
        <w:rPr>
          <w:noProof/>
        </w:rPr>
      </w:r>
      <w:r>
        <w:rPr>
          <w:noProof/>
        </w:rPr>
        <w:fldChar w:fldCharType="separate"/>
      </w:r>
      <w:r w:rsidR="002F429D">
        <w:rPr>
          <w:noProof/>
        </w:rPr>
        <w:t>59</w:t>
      </w:r>
      <w:r>
        <w:rPr>
          <w:noProof/>
        </w:rPr>
        <w:fldChar w:fldCharType="end"/>
      </w:r>
    </w:p>
    <w:p w14:paraId="14ED3CED" w14:textId="5F902513" w:rsidR="000F7228" w:rsidRDefault="000F7228">
      <w:pPr>
        <w:pStyle w:val="TOC4"/>
        <w:rPr>
          <w:rFonts w:asciiTheme="minorHAnsi" w:eastAsiaTheme="minorEastAsia" w:hAnsiTheme="minorHAnsi" w:cstheme="minorBidi"/>
          <w:b w:val="0"/>
          <w:noProof/>
          <w:kern w:val="0"/>
          <w:sz w:val="22"/>
          <w:szCs w:val="22"/>
        </w:rPr>
      </w:pPr>
      <w:r>
        <w:rPr>
          <w:noProof/>
        </w:rPr>
        <w:t>Subdivision 4.2.3—Consumer data requests by accredited persons to data holders</w:t>
      </w:r>
      <w:r>
        <w:rPr>
          <w:noProof/>
        </w:rPr>
        <w:tab/>
      </w:r>
      <w:r>
        <w:rPr>
          <w:noProof/>
        </w:rPr>
        <w:fldChar w:fldCharType="begin"/>
      </w:r>
      <w:r>
        <w:rPr>
          <w:noProof/>
        </w:rPr>
        <w:instrText xml:space="preserve"> PAGEREF _Toc77064878 \h </w:instrText>
      </w:r>
      <w:r>
        <w:rPr>
          <w:noProof/>
        </w:rPr>
      </w:r>
      <w:r>
        <w:rPr>
          <w:noProof/>
        </w:rPr>
        <w:fldChar w:fldCharType="separate"/>
      </w:r>
      <w:r w:rsidR="002F429D">
        <w:rPr>
          <w:noProof/>
        </w:rPr>
        <w:t>61</w:t>
      </w:r>
      <w:r>
        <w:rPr>
          <w:noProof/>
        </w:rPr>
        <w:fldChar w:fldCharType="end"/>
      </w:r>
    </w:p>
    <w:p w14:paraId="6C4709F1" w14:textId="52F21FC1" w:rsidR="000F7228" w:rsidRDefault="000F7228">
      <w:pPr>
        <w:pStyle w:val="TOC5"/>
        <w:rPr>
          <w:rFonts w:asciiTheme="minorHAnsi" w:eastAsiaTheme="minorEastAsia" w:hAnsiTheme="minorHAnsi" w:cstheme="minorBidi"/>
          <w:noProof/>
          <w:kern w:val="0"/>
          <w:sz w:val="22"/>
          <w:szCs w:val="22"/>
        </w:rPr>
      </w:pPr>
      <w:r>
        <w:rPr>
          <w:noProof/>
        </w:rPr>
        <w:t>4.4  Consumer data request by accredited person to data holder</w:t>
      </w:r>
      <w:r>
        <w:rPr>
          <w:noProof/>
        </w:rPr>
        <w:tab/>
      </w:r>
      <w:r>
        <w:rPr>
          <w:noProof/>
        </w:rPr>
        <w:fldChar w:fldCharType="begin"/>
      </w:r>
      <w:r>
        <w:rPr>
          <w:noProof/>
        </w:rPr>
        <w:instrText xml:space="preserve"> PAGEREF _Toc77064879 \h </w:instrText>
      </w:r>
      <w:r>
        <w:rPr>
          <w:noProof/>
        </w:rPr>
      </w:r>
      <w:r>
        <w:rPr>
          <w:noProof/>
        </w:rPr>
        <w:fldChar w:fldCharType="separate"/>
      </w:r>
      <w:r w:rsidR="002F429D">
        <w:rPr>
          <w:noProof/>
        </w:rPr>
        <w:t>61</w:t>
      </w:r>
      <w:r>
        <w:rPr>
          <w:noProof/>
        </w:rPr>
        <w:fldChar w:fldCharType="end"/>
      </w:r>
    </w:p>
    <w:p w14:paraId="7C554514" w14:textId="30C4115B" w:rsidR="000F7228" w:rsidRDefault="000F7228">
      <w:pPr>
        <w:pStyle w:val="TOC5"/>
        <w:rPr>
          <w:rFonts w:asciiTheme="minorHAnsi" w:eastAsiaTheme="minorEastAsia" w:hAnsiTheme="minorHAnsi" w:cstheme="minorBidi"/>
          <w:noProof/>
          <w:kern w:val="0"/>
          <w:sz w:val="22"/>
          <w:szCs w:val="22"/>
        </w:rPr>
      </w:pPr>
      <w:r>
        <w:rPr>
          <w:noProof/>
        </w:rPr>
        <w:t>4.5  Data holder must ask eligible CDR consumer to authorise disclosure</w:t>
      </w:r>
      <w:r>
        <w:rPr>
          <w:noProof/>
        </w:rPr>
        <w:tab/>
      </w:r>
      <w:r>
        <w:rPr>
          <w:noProof/>
        </w:rPr>
        <w:fldChar w:fldCharType="begin"/>
      </w:r>
      <w:r>
        <w:rPr>
          <w:noProof/>
        </w:rPr>
        <w:instrText xml:space="preserve"> PAGEREF _Toc77064880 \h </w:instrText>
      </w:r>
      <w:r>
        <w:rPr>
          <w:noProof/>
        </w:rPr>
      </w:r>
      <w:r>
        <w:rPr>
          <w:noProof/>
        </w:rPr>
        <w:fldChar w:fldCharType="separate"/>
      </w:r>
      <w:r w:rsidR="002F429D">
        <w:rPr>
          <w:noProof/>
        </w:rPr>
        <w:t>62</w:t>
      </w:r>
      <w:r>
        <w:rPr>
          <w:noProof/>
        </w:rPr>
        <w:fldChar w:fldCharType="end"/>
      </w:r>
    </w:p>
    <w:p w14:paraId="6E480B12" w14:textId="176D7F81" w:rsidR="000F7228" w:rsidRDefault="000F7228">
      <w:pPr>
        <w:pStyle w:val="TOC5"/>
        <w:rPr>
          <w:rFonts w:asciiTheme="minorHAnsi" w:eastAsiaTheme="minorEastAsia" w:hAnsiTheme="minorHAnsi" w:cstheme="minorBidi"/>
          <w:noProof/>
          <w:kern w:val="0"/>
          <w:sz w:val="22"/>
          <w:szCs w:val="22"/>
        </w:rPr>
      </w:pPr>
      <w:r>
        <w:rPr>
          <w:noProof/>
        </w:rPr>
        <w:t>4.6  Disclosing consumer data in response to a consumer data request</w:t>
      </w:r>
      <w:r>
        <w:rPr>
          <w:noProof/>
        </w:rPr>
        <w:tab/>
      </w:r>
      <w:r>
        <w:rPr>
          <w:noProof/>
        </w:rPr>
        <w:fldChar w:fldCharType="begin"/>
      </w:r>
      <w:r>
        <w:rPr>
          <w:noProof/>
        </w:rPr>
        <w:instrText xml:space="preserve"> PAGEREF _Toc77064881 \h </w:instrText>
      </w:r>
      <w:r>
        <w:rPr>
          <w:noProof/>
        </w:rPr>
      </w:r>
      <w:r>
        <w:rPr>
          <w:noProof/>
        </w:rPr>
        <w:fldChar w:fldCharType="separate"/>
      </w:r>
      <w:r w:rsidR="002F429D">
        <w:rPr>
          <w:noProof/>
        </w:rPr>
        <w:t>62</w:t>
      </w:r>
      <w:r>
        <w:rPr>
          <w:noProof/>
        </w:rPr>
        <w:fldChar w:fldCharType="end"/>
      </w:r>
    </w:p>
    <w:p w14:paraId="5CDDA6A7" w14:textId="332FBFB6" w:rsidR="000F7228" w:rsidRDefault="000F7228">
      <w:pPr>
        <w:pStyle w:val="TOC5"/>
        <w:rPr>
          <w:rFonts w:asciiTheme="minorHAnsi" w:eastAsiaTheme="minorEastAsia" w:hAnsiTheme="minorHAnsi" w:cstheme="minorBidi"/>
          <w:noProof/>
          <w:kern w:val="0"/>
          <w:sz w:val="22"/>
          <w:szCs w:val="22"/>
        </w:rPr>
      </w:pPr>
      <w:r>
        <w:rPr>
          <w:noProof/>
        </w:rPr>
        <w:t>4.6A  Disclosure of CDR data relating to account not permitted if not approved by account holder</w:t>
      </w:r>
      <w:r>
        <w:rPr>
          <w:noProof/>
        </w:rPr>
        <w:tab/>
      </w:r>
      <w:r>
        <w:rPr>
          <w:noProof/>
        </w:rPr>
        <w:fldChar w:fldCharType="begin"/>
      </w:r>
      <w:r>
        <w:rPr>
          <w:noProof/>
        </w:rPr>
        <w:instrText xml:space="preserve"> PAGEREF _Toc77064882 \h </w:instrText>
      </w:r>
      <w:r>
        <w:rPr>
          <w:noProof/>
        </w:rPr>
      </w:r>
      <w:r>
        <w:rPr>
          <w:noProof/>
        </w:rPr>
        <w:fldChar w:fldCharType="separate"/>
      </w:r>
      <w:r w:rsidR="002F429D">
        <w:rPr>
          <w:noProof/>
        </w:rPr>
        <w:t>64</w:t>
      </w:r>
      <w:r>
        <w:rPr>
          <w:noProof/>
        </w:rPr>
        <w:fldChar w:fldCharType="end"/>
      </w:r>
    </w:p>
    <w:p w14:paraId="3E4F2AE9" w14:textId="5BFEE3C8" w:rsidR="000F7228" w:rsidRDefault="000F7228">
      <w:pPr>
        <w:pStyle w:val="TOC5"/>
        <w:rPr>
          <w:rFonts w:asciiTheme="minorHAnsi" w:eastAsiaTheme="minorEastAsia" w:hAnsiTheme="minorHAnsi" w:cstheme="minorBidi"/>
          <w:noProof/>
          <w:kern w:val="0"/>
          <w:sz w:val="22"/>
          <w:szCs w:val="22"/>
        </w:rPr>
      </w:pPr>
      <w:r>
        <w:rPr>
          <w:noProof/>
        </w:rPr>
        <w:t>4.7  Refusal to disclose required consumer data in response to consumer data request</w:t>
      </w:r>
      <w:r>
        <w:rPr>
          <w:noProof/>
        </w:rPr>
        <w:tab/>
      </w:r>
      <w:r>
        <w:rPr>
          <w:noProof/>
        </w:rPr>
        <w:fldChar w:fldCharType="begin"/>
      </w:r>
      <w:r>
        <w:rPr>
          <w:noProof/>
        </w:rPr>
        <w:instrText xml:space="preserve"> PAGEREF _Toc77064883 \h </w:instrText>
      </w:r>
      <w:r>
        <w:rPr>
          <w:noProof/>
        </w:rPr>
      </w:r>
      <w:r>
        <w:rPr>
          <w:noProof/>
        </w:rPr>
        <w:fldChar w:fldCharType="separate"/>
      </w:r>
      <w:r w:rsidR="002F429D">
        <w:rPr>
          <w:noProof/>
        </w:rPr>
        <w:t>64</w:t>
      </w:r>
      <w:r>
        <w:rPr>
          <w:noProof/>
        </w:rPr>
        <w:fldChar w:fldCharType="end"/>
      </w:r>
    </w:p>
    <w:p w14:paraId="7E2E091A" w14:textId="1D5FFE7B" w:rsidR="000F7228" w:rsidRDefault="000F7228">
      <w:pPr>
        <w:pStyle w:val="TOC4"/>
        <w:rPr>
          <w:rFonts w:asciiTheme="minorHAnsi" w:eastAsiaTheme="minorEastAsia" w:hAnsiTheme="minorHAnsi" w:cstheme="minorBidi"/>
          <w:b w:val="0"/>
          <w:noProof/>
          <w:kern w:val="0"/>
          <w:sz w:val="22"/>
          <w:szCs w:val="22"/>
        </w:rPr>
      </w:pPr>
      <w:r>
        <w:rPr>
          <w:noProof/>
        </w:rPr>
        <w:t>Subdivision 4.2.4—Consumer data requests by accredited persons to accredited data recipients</w:t>
      </w:r>
      <w:r>
        <w:rPr>
          <w:noProof/>
        </w:rPr>
        <w:tab/>
      </w:r>
      <w:r>
        <w:rPr>
          <w:noProof/>
        </w:rPr>
        <w:fldChar w:fldCharType="begin"/>
      </w:r>
      <w:r>
        <w:rPr>
          <w:noProof/>
        </w:rPr>
        <w:instrText xml:space="preserve"> PAGEREF _Toc77064884 \h </w:instrText>
      </w:r>
      <w:r>
        <w:rPr>
          <w:noProof/>
        </w:rPr>
      </w:r>
      <w:r>
        <w:rPr>
          <w:noProof/>
        </w:rPr>
        <w:fldChar w:fldCharType="separate"/>
      </w:r>
      <w:r w:rsidR="002F429D">
        <w:rPr>
          <w:noProof/>
        </w:rPr>
        <w:t>65</w:t>
      </w:r>
      <w:r>
        <w:rPr>
          <w:noProof/>
        </w:rPr>
        <w:fldChar w:fldCharType="end"/>
      </w:r>
    </w:p>
    <w:p w14:paraId="47203031" w14:textId="061635C7" w:rsidR="000F7228" w:rsidRDefault="000F7228">
      <w:pPr>
        <w:pStyle w:val="TOC5"/>
        <w:rPr>
          <w:rFonts w:asciiTheme="minorHAnsi" w:eastAsiaTheme="minorEastAsia" w:hAnsiTheme="minorHAnsi" w:cstheme="minorBidi"/>
          <w:noProof/>
          <w:kern w:val="0"/>
          <w:sz w:val="22"/>
          <w:szCs w:val="22"/>
        </w:rPr>
      </w:pPr>
      <w:r>
        <w:rPr>
          <w:noProof/>
        </w:rPr>
        <w:t>4.7A  Consumer data request by accredited person to accredited data recipient</w:t>
      </w:r>
      <w:r>
        <w:rPr>
          <w:noProof/>
        </w:rPr>
        <w:tab/>
      </w:r>
      <w:r>
        <w:rPr>
          <w:noProof/>
        </w:rPr>
        <w:fldChar w:fldCharType="begin"/>
      </w:r>
      <w:r>
        <w:rPr>
          <w:noProof/>
        </w:rPr>
        <w:instrText xml:space="preserve"> PAGEREF _Toc77064885 \h </w:instrText>
      </w:r>
      <w:r>
        <w:rPr>
          <w:noProof/>
        </w:rPr>
      </w:r>
      <w:r>
        <w:rPr>
          <w:noProof/>
        </w:rPr>
        <w:fldChar w:fldCharType="separate"/>
      </w:r>
      <w:r w:rsidR="002F429D">
        <w:rPr>
          <w:noProof/>
        </w:rPr>
        <w:t>65</w:t>
      </w:r>
      <w:r>
        <w:rPr>
          <w:noProof/>
        </w:rPr>
        <w:fldChar w:fldCharType="end"/>
      </w:r>
    </w:p>
    <w:p w14:paraId="38E5AA7B" w14:textId="7F199A2F" w:rsidR="000F7228" w:rsidRDefault="000F7228">
      <w:pPr>
        <w:pStyle w:val="TOC5"/>
        <w:rPr>
          <w:rFonts w:asciiTheme="minorHAnsi" w:eastAsiaTheme="minorEastAsia" w:hAnsiTheme="minorHAnsi" w:cstheme="minorBidi"/>
          <w:noProof/>
          <w:kern w:val="0"/>
          <w:sz w:val="22"/>
          <w:szCs w:val="22"/>
        </w:rPr>
      </w:pPr>
      <w:r>
        <w:rPr>
          <w:noProof/>
        </w:rPr>
        <w:t>4.7B  Accredited data recipient may ask eligible CDR consumer for AP disclosure consent</w:t>
      </w:r>
      <w:r>
        <w:rPr>
          <w:noProof/>
        </w:rPr>
        <w:tab/>
      </w:r>
      <w:r>
        <w:rPr>
          <w:noProof/>
        </w:rPr>
        <w:fldChar w:fldCharType="begin"/>
      </w:r>
      <w:r>
        <w:rPr>
          <w:noProof/>
        </w:rPr>
        <w:instrText xml:space="preserve"> PAGEREF _Toc77064886 \h </w:instrText>
      </w:r>
      <w:r>
        <w:rPr>
          <w:noProof/>
        </w:rPr>
      </w:r>
      <w:r>
        <w:rPr>
          <w:noProof/>
        </w:rPr>
        <w:fldChar w:fldCharType="separate"/>
      </w:r>
      <w:r w:rsidR="002F429D">
        <w:rPr>
          <w:noProof/>
        </w:rPr>
        <w:t>65</w:t>
      </w:r>
      <w:r>
        <w:rPr>
          <w:noProof/>
        </w:rPr>
        <w:fldChar w:fldCharType="end"/>
      </w:r>
    </w:p>
    <w:p w14:paraId="5DCA12FD" w14:textId="050C44AE" w:rsidR="000F7228" w:rsidRDefault="000F7228">
      <w:pPr>
        <w:pStyle w:val="TOC3"/>
        <w:rPr>
          <w:rFonts w:asciiTheme="minorHAnsi" w:eastAsiaTheme="minorEastAsia" w:hAnsiTheme="minorHAnsi" w:cstheme="minorBidi"/>
          <w:b w:val="0"/>
          <w:noProof/>
          <w:kern w:val="0"/>
          <w:szCs w:val="22"/>
        </w:rPr>
      </w:pPr>
      <w:r>
        <w:rPr>
          <w:noProof/>
        </w:rPr>
        <w:t>Division 4.3—Giving and amending consents</w:t>
      </w:r>
      <w:r>
        <w:rPr>
          <w:noProof/>
        </w:rPr>
        <w:tab/>
      </w:r>
      <w:r>
        <w:rPr>
          <w:noProof/>
        </w:rPr>
        <w:fldChar w:fldCharType="begin"/>
      </w:r>
      <w:r>
        <w:rPr>
          <w:noProof/>
        </w:rPr>
        <w:instrText xml:space="preserve"> PAGEREF _Toc77064887 \h </w:instrText>
      </w:r>
      <w:r>
        <w:rPr>
          <w:noProof/>
        </w:rPr>
      </w:r>
      <w:r>
        <w:rPr>
          <w:noProof/>
        </w:rPr>
        <w:fldChar w:fldCharType="separate"/>
      </w:r>
      <w:r w:rsidR="002F429D">
        <w:rPr>
          <w:noProof/>
        </w:rPr>
        <w:t>66</w:t>
      </w:r>
      <w:r>
        <w:rPr>
          <w:noProof/>
        </w:rPr>
        <w:fldChar w:fldCharType="end"/>
      </w:r>
    </w:p>
    <w:p w14:paraId="2C4759BD" w14:textId="78A7B86D" w:rsidR="000F7228" w:rsidRDefault="000F7228">
      <w:pPr>
        <w:pStyle w:val="TOC4"/>
        <w:rPr>
          <w:rFonts w:asciiTheme="minorHAnsi" w:eastAsiaTheme="minorEastAsia" w:hAnsiTheme="minorHAnsi" w:cstheme="minorBidi"/>
          <w:b w:val="0"/>
          <w:noProof/>
          <w:kern w:val="0"/>
          <w:sz w:val="22"/>
          <w:szCs w:val="22"/>
        </w:rPr>
      </w:pPr>
      <w:r>
        <w:rPr>
          <w:noProof/>
        </w:rPr>
        <w:t>Subdivision 4.3.1—Preliminary</w:t>
      </w:r>
      <w:r>
        <w:rPr>
          <w:noProof/>
        </w:rPr>
        <w:tab/>
      </w:r>
      <w:r>
        <w:rPr>
          <w:noProof/>
        </w:rPr>
        <w:fldChar w:fldCharType="begin"/>
      </w:r>
      <w:r>
        <w:rPr>
          <w:noProof/>
        </w:rPr>
        <w:instrText xml:space="preserve"> PAGEREF _Toc77064888 \h </w:instrText>
      </w:r>
      <w:r>
        <w:rPr>
          <w:noProof/>
        </w:rPr>
      </w:r>
      <w:r>
        <w:rPr>
          <w:noProof/>
        </w:rPr>
        <w:fldChar w:fldCharType="separate"/>
      </w:r>
      <w:r w:rsidR="002F429D">
        <w:rPr>
          <w:noProof/>
        </w:rPr>
        <w:t>66</w:t>
      </w:r>
      <w:r>
        <w:rPr>
          <w:noProof/>
        </w:rPr>
        <w:fldChar w:fldCharType="end"/>
      </w:r>
    </w:p>
    <w:p w14:paraId="484A7BBB" w14:textId="2799B065" w:rsidR="000F7228" w:rsidRDefault="000F7228">
      <w:pPr>
        <w:pStyle w:val="TOC5"/>
        <w:rPr>
          <w:rFonts w:asciiTheme="minorHAnsi" w:eastAsiaTheme="minorEastAsia" w:hAnsiTheme="minorHAnsi" w:cstheme="minorBidi"/>
          <w:noProof/>
          <w:kern w:val="0"/>
          <w:sz w:val="22"/>
          <w:szCs w:val="22"/>
        </w:rPr>
      </w:pPr>
      <w:r>
        <w:rPr>
          <w:noProof/>
        </w:rPr>
        <w:t>4.8  Purpose of Division</w:t>
      </w:r>
      <w:r>
        <w:rPr>
          <w:noProof/>
        </w:rPr>
        <w:tab/>
      </w:r>
      <w:r>
        <w:rPr>
          <w:noProof/>
        </w:rPr>
        <w:fldChar w:fldCharType="begin"/>
      </w:r>
      <w:r>
        <w:rPr>
          <w:noProof/>
        </w:rPr>
        <w:instrText xml:space="preserve"> PAGEREF _Toc77064889 \h </w:instrText>
      </w:r>
      <w:r>
        <w:rPr>
          <w:noProof/>
        </w:rPr>
      </w:r>
      <w:r>
        <w:rPr>
          <w:noProof/>
        </w:rPr>
        <w:fldChar w:fldCharType="separate"/>
      </w:r>
      <w:r w:rsidR="002F429D">
        <w:rPr>
          <w:noProof/>
        </w:rPr>
        <w:t>66</w:t>
      </w:r>
      <w:r>
        <w:rPr>
          <w:noProof/>
        </w:rPr>
        <w:fldChar w:fldCharType="end"/>
      </w:r>
    </w:p>
    <w:p w14:paraId="6C798721" w14:textId="76EDB601" w:rsidR="000F7228" w:rsidRDefault="000F7228">
      <w:pPr>
        <w:pStyle w:val="TOC5"/>
        <w:rPr>
          <w:rFonts w:asciiTheme="minorHAnsi" w:eastAsiaTheme="minorEastAsia" w:hAnsiTheme="minorHAnsi" w:cstheme="minorBidi"/>
          <w:noProof/>
          <w:kern w:val="0"/>
          <w:sz w:val="22"/>
          <w:szCs w:val="22"/>
        </w:rPr>
      </w:pPr>
      <w:r>
        <w:rPr>
          <w:noProof/>
        </w:rPr>
        <w:t>4.9  Object</w:t>
      </w:r>
      <w:r>
        <w:rPr>
          <w:noProof/>
        </w:rPr>
        <w:tab/>
      </w:r>
      <w:r>
        <w:rPr>
          <w:noProof/>
        </w:rPr>
        <w:fldChar w:fldCharType="begin"/>
      </w:r>
      <w:r>
        <w:rPr>
          <w:noProof/>
        </w:rPr>
        <w:instrText xml:space="preserve"> PAGEREF _Toc77064890 \h </w:instrText>
      </w:r>
      <w:r>
        <w:rPr>
          <w:noProof/>
        </w:rPr>
      </w:r>
      <w:r>
        <w:rPr>
          <w:noProof/>
        </w:rPr>
        <w:fldChar w:fldCharType="separate"/>
      </w:r>
      <w:r w:rsidR="002F429D">
        <w:rPr>
          <w:noProof/>
        </w:rPr>
        <w:t>66</w:t>
      </w:r>
      <w:r>
        <w:rPr>
          <w:noProof/>
        </w:rPr>
        <w:fldChar w:fldCharType="end"/>
      </w:r>
    </w:p>
    <w:p w14:paraId="0D41E0CC" w14:textId="08A9CD3A" w:rsidR="000F7228" w:rsidRDefault="000F7228">
      <w:pPr>
        <w:pStyle w:val="TOC4"/>
        <w:rPr>
          <w:rFonts w:asciiTheme="minorHAnsi" w:eastAsiaTheme="minorEastAsia" w:hAnsiTheme="minorHAnsi" w:cstheme="minorBidi"/>
          <w:b w:val="0"/>
          <w:noProof/>
          <w:kern w:val="0"/>
          <w:sz w:val="22"/>
          <w:szCs w:val="22"/>
        </w:rPr>
      </w:pPr>
      <w:r>
        <w:rPr>
          <w:noProof/>
        </w:rPr>
        <w:t>Subdivision 4.3.2—Giving consents</w:t>
      </w:r>
      <w:r>
        <w:rPr>
          <w:noProof/>
        </w:rPr>
        <w:tab/>
      </w:r>
      <w:r>
        <w:rPr>
          <w:noProof/>
        </w:rPr>
        <w:fldChar w:fldCharType="begin"/>
      </w:r>
      <w:r>
        <w:rPr>
          <w:noProof/>
        </w:rPr>
        <w:instrText xml:space="preserve"> PAGEREF _Toc77064891 \h </w:instrText>
      </w:r>
      <w:r>
        <w:rPr>
          <w:noProof/>
        </w:rPr>
      </w:r>
      <w:r>
        <w:rPr>
          <w:noProof/>
        </w:rPr>
        <w:fldChar w:fldCharType="separate"/>
      </w:r>
      <w:r w:rsidR="002F429D">
        <w:rPr>
          <w:noProof/>
        </w:rPr>
        <w:t>66</w:t>
      </w:r>
      <w:r>
        <w:rPr>
          <w:noProof/>
        </w:rPr>
        <w:fldChar w:fldCharType="end"/>
      </w:r>
    </w:p>
    <w:p w14:paraId="3359A37D" w14:textId="3CEE2413" w:rsidR="000F7228" w:rsidRDefault="000F7228">
      <w:pPr>
        <w:pStyle w:val="TOC5"/>
        <w:rPr>
          <w:rFonts w:asciiTheme="minorHAnsi" w:eastAsiaTheme="minorEastAsia" w:hAnsiTheme="minorHAnsi" w:cstheme="minorBidi"/>
          <w:noProof/>
          <w:kern w:val="0"/>
          <w:sz w:val="22"/>
          <w:szCs w:val="22"/>
        </w:rPr>
      </w:pPr>
      <w:r>
        <w:rPr>
          <w:noProof/>
        </w:rPr>
        <w:t>4.10  Requirements relating to accredited person’s processes for seeking consent</w:t>
      </w:r>
      <w:r>
        <w:rPr>
          <w:noProof/>
        </w:rPr>
        <w:tab/>
      </w:r>
      <w:r>
        <w:rPr>
          <w:noProof/>
        </w:rPr>
        <w:fldChar w:fldCharType="begin"/>
      </w:r>
      <w:r>
        <w:rPr>
          <w:noProof/>
        </w:rPr>
        <w:instrText xml:space="preserve"> PAGEREF _Toc77064892 \h </w:instrText>
      </w:r>
      <w:r>
        <w:rPr>
          <w:noProof/>
        </w:rPr>
      </w:r>
      <w:r>
        <w:rPr>
          <w:noProof/>
        </w:rPr>
        <w:fldChar w:fldCharType="separate"/>
      </w:r>
      <w:r w:rsidR="002F429D">
        <w:rPr>
          <w:noProof/>
        </w:rPr>
        <w:t>66</w:t>
      </w:r>
      <w:r>
        <w:rPr>
          <w:noProof/>
        </w:rPr>
        <w:fldChar w:fldCharType="end"/>
      </w:r>
    </w:p>
    <w:p w14:paraId="10E1C0CA" w14:textId="44E61A94" w:rsidR="000F7228" w:rsidRDefault="000F7228">
      <w:pPr>
        <w:pStyle w:val="TOC5"/>
        <w:rPr>
          <w:rFonts w:asciiTheme="minorHAnsi" w:eastAsiaTheme="minorEastAsia" w:hAnsiTheme="minorHAnsi" w:cstheme="minorBidi"/>
          <w:noProof/>
          <w:kern w:val="0"/>
          <w:sz w:val="22"/>
          <w:szCs w:val="22"/>
        </w:rPr>
      </w:pPr>
      <w:r>
        <w:rPr>
          <w:noProof/>
        </w:rPr>
        <w:t>4.11  Asking CDR consumer to give consent</w:t>
      </w:r>
      <w:r>
        <w:rPr>
          <w:noProof/>
        </w:rPr>
        <w:tab/>
      </w:r>
      <w:r>
        <w:rPr>
          <w:noProof/>
        </w:rPr>
        <w:fldChar w:fldCharType="begin"/>
      </w:r>
      <w:r>
        <w:rPr>
          <w:noProof/>
        </w:rPr>
        <w:instrText xml:space="preserve"> PAGEREF _Toc77064893 \h </w:instrText>
      </w:r>
      <w:r>
        <w:rPr>
          <w:noProof/>
        </w:rPr>
      </w:r>
      <w:r>
        <w:rPr>
          <w:noProof/>
        </w:rPr>
        <w:fldChar w:fldCharType="separate"/>
      </w:r>
      <w:r w:rsidR="002F429D">
        <w:rPr>
          <w:noProof/>
        </w:rPr>
        <w:t>67</w:t>
      </w:r>
      <w:r>
        <w:rPr>
          <w:noProof/>
        </w:rPr>
        <w:fldChar w:fldCharType="end"/>
      </w:r>
    </w:p>
    <w:p w14:paraId="3FADB8B6" w14:textId="0A877831" w:rsidR="000F7228" w:rsidRDefault="000F7228">
      <w:pPr>
        <w:pStyle w:val="TOC5"/>
        <w:rPr>
          <w:rFonts w:asciiTheme="minorHAnsi" w:eastAsiaTheme="minorEastAsia" w:hAnsiTheme="minorHAnsi" w:cstheme="minorBidi"/>
          <w:noProof/>
          <w:kern w:val="0"/>
          <w:sz w:val="22"/>
          <w:szCs w:val="22"/>
        </w:rPr>
      </w:pPr>
      <w:r>
        <w:rPr>
          <w:noProof/>
        </w:rPr>
        <w:t>4.12  Restrictions on seeking consent</w:t>
      </w:r>
      <w:r>
        <w:rPr>
          <w:noProof/>
        </w:rPr>
        <w:tab/>
      </w:r>
      <w:r>
        <w:rPr>
          <w:noProof/>
        </w:rPr>
        <w:fldChar w:fldCharType="begin"/>
      </w:r>
      <w:r>
        <w:rPr>
          <w:noProof/>
        </w:rPr>
        <w:instrText xml:space="preserve"> PAGEREF _Toc77064894 \h </w:instrText>
      </w:r>
      <w:r>
        <w:rPr>
          <w:noProof/>
        </w:rPr>
      </w:r>
      <w:r>
        <w:rPr>
          <w:noProof/>
        </w:rPr>
        <w:fldChar w:fldCharType="separate"/>
      </w:r>
      <w:r w:rsidR="002F429D">
        <w:rPr>
          <w:noProof/>
        </w:rPr>
        <w:t>69</w:t>
      </w:r>
      <w:r>
        <w:rPr>
          <w:noProof/>
        </w:rPr>
        <w:fldChar w:fldCharType="end"/>
      </w:r>
    </w:p>
    <w:p w14:paraId="0693E1DB" w14:textId="3925016B" w:rsidR="000F7228" w:rsidRDefault="000F7228">
      <w:pPr>
        <w:pStyle w:val="TOC4"/>
        <w:rPr>
          <w:rFonts w:asciiTheme="minorHAnsi" w:eastAsiaTheme="minorEastAsia" w:hAnsiTheme="minorHAnsi" w:cstheme="minorBidi"/>
          <w:b w:val="0"/>
          <w:noProof/>
          <w:kern w:val="0"/>
          <w:sz w:val="22"/>
          <w:szCs w:val="22"/>
        </w:rPr>
      </w:pPr>
      <w:r>
        <w:rPr>
          <w:noProof/>
        </w:rPr>
        <w:t>Subdivision 4.3.2A—Amending consents</w:t>
      </w:r>
      <w:r>
        <w:rPr>
          <w:noProof/>
        </w:rPr>
        <w:tab/>
      </w:r>
      <w:r>
        <w:rPr>
          <w:noProof/>
        </w:rPr>
        <w:fldChar w:fldCharType="begin"/>
      </w:r>
      <w:r>
        <w:rPr>
          <w:noProof/>
        </w:rPr>
        <w:instrText xml:space="preserve"> PAGEREF _Toc77064895 \h </w:instrText>
      </w:r>
      <w:r>
        <w:rPr>
          <w:noProof/>
        </w:rPr>
      </w:r>
      <w:r>
        <w:rPr>
          <w:noProof/>
        </w:rPr>
        <w:fldChar w:fldCharType="separate"/>
      </w:r>
      <w:r w:rsidR="002F429D">
        <w:rPr>
          <w:noProof/>
        </w:rPr>
        <w:t>70</w:t>
      </w:r>
      <w:r>
        <w:rPr>
          <w:noProof/>
        </w:rPr>
        <w:fldChar w:fldCharType="end"/>
      </w:r>
    </w:p>
    <w:p w14:paraId="724C49D3" w14:textId="297C2324" w:rsidR="000F7228" w:rsidRDefault="000F7228">
      <w:pPr>
        <w:pStyle w:val="TOC5"/>
        <w:rPr>
          <w:rFonts w:asciiTheme="minorHAnsi" w:eastAsiaTheme="minorEastAsia" w:hAnsiTheme="minorHAnsi" w:cstheme="minorBidi"/>
          <w:noProof/>
          <w:kern w:val="0"/>
          <w:sz w:val="22"/>
          <w:szCs w:val="22"/>
        </w:rPr>
      </w:pPr>
      <w:r>
        <w:rPr>
          <w:noProof/>
        </w:rPr>
        <w:t>4.12A  Amendment of consent</w:t>
      </w:r>
      <w:r>
        <w:rPr>
          <w:noProof/>
        </w:rPr>
        <w:tab/>
      </w:r>
      <w:r>
        <w:rPr>
          <w:noProof/>
        </w:rPr>
        <w:fldChar w:fldCharType="begin"/>
      </w:r>
      <w:r>
        <w:rPr>
          <w:noProof/>
        </w:rPr>
        <w:instrText xml:space="preserve"> PAGEREF _Toc77064896 \h </w:instrText>
      </w:r>
      <w:r>
        <w:rPr>
          <w:noProof/>
        </w:rPr>
      </w:r>
      <w:r>
        <w:rPr>
          <w:noProof/>
        </w:rPr>
        <w:fldChar w:fldCharType="separate"/>
      </w:r>
      <w:r w:rsidR="002F429D">
        <w:rPr>
          <w:noProof/>
        </w:rPr>
        <w:t>70</w:t>
      </w:r>
      <w:r>
        <w:rPr>
          <w:noProof/>
        </w:rPr>
        <w:fldChar w:fldCharType="end"/>
      </w:r>
    </w:p>
    <w:p w14:paraId="73B9177D" w14:textId="7878EAE3" w:rsidR="000F7228" w:rsidRDefault="000F7228">
      <w:pPr>
        <w:pStyle w:val="TOC5"/>
        <w:rPr>
          <w:rFonts w:asciiTheme="minorHAnsi" w:eastAsiaTheme="minorEastAsia" w:hAnsiTheme="minorHAnsi" w:cstheme="minorBidi"/>
          <w:noProof/>
          <w:kern w:val="0"/>
          <w:sz w:val="22"/>
          <w:szCs w:val="22"/>
        </w:rPr>
      </w:pPr>
      <w:r>
        <w:rPr>
          <w:noProof/>
        </w:rPr>
        <w:t>4.12B  Inviting CDR consumer to amend consent</w:t>
      </w:r>
      <w:r>
        <w:rPr>
          <w:noProof/>
        </w:rPr>
        <w:tab/>
      </w:r>
      <w:r>
        <w:rPr>
          <w:noProof/>
        </w:rPr>
        <w:fldChar w:fldCharType="begin"/>
      </w:r>
      <w:r>
        <w:rPr>
          <w:noProof/>
        </w:rPr>
        <w:instrText xml:space="preserve"> PAGEREF _Toc77064897 \h </w:instrText>
      </w:r>
      <w:r>
        <w:rPr>
          <w:noProof/>
        </w:rPr>
      </w:r>
      <w:r>
        <w:rPr>
          <w:noProof/>
        </w:rPr>
        <w:fldChar w:fldCharType="separate"/>
      </w:r>
      <w:r w:rsidR="002F429D">
        <w:rPr>
          <w:noProof/>
        </w:rPr>
        <w:t>70</w:t>
      </w:r>
      <w:r>
        <w:rPr>
          <w:noProof/>
        </w:rPr>
        <w:fldChar w:fldCharType="end"/>
      </w:r>
    </w:p>
    <w:p w14:paraId="1EC70FB9" w14:textId="69170DC3" w:rsidR="000F7228" w:rsidRDefault="000F7228">
      <w:pPr>
        <w:pStyle w:val="TOC5"/>
        <w:rPr>
          <w:rFonts w:asciiTheme="minorHAnsi" w:eastAsiaTheme="minorEastAsia" w:hAnsiTheme="minorHAnsi" w:cstheme="minorBidi"/>
          <w:noProof/>
          <w:kern w:val="0"/>
          <w:sz w:val="22"/>
          <w:szCs w:val="22"/>
        </w:rPr>
      </w:pPr>
      <w:r>
        <w:rPr>
          <w:noProof/>
        </w:rPr>
        <w:t>4.12C  Process for amending consents</w:t>
      </w:r>
      <w:r>
        <w:rPr>
          <w:noProof/>
        </w:rPr>
        <w:tab/>
      </w:r>
      <w:r>
        <w:rPr>
          <w:noProof/>
        </w:rPr>
        <w:fldChar w:fldCharType="begin"/>
      </w:r>
      <w:r>
        <w:rPr>
          <w:noProof/>
        </w:rPr>
        <w:instrText xml:space="preserve"> PAGEREF _Toc77064898 \h </w:instrText>
      </w:r>
      <w:r>
        <w:rPr>
          <w:noProof/>
        </w:rPr>
      </w:r>
      <w:r>
        <w:rPr>
          <w:noProof/>
        </w:rPr>
        <w:fldChar w:fldCharType="separate"/>
      </w:r>
      <w:r w:rsidR="002F429D">
        <w:rPr>
          <w:noProof/>
        </w:rPr>
        <w:t>70</w:t>
      </w:r>
      <w:r>
        <w:rPr>
          <w:noProof/>
        </w:rPr>
        <w:fldChar w:fldCharType="end"/>
      </w:r>
    </w:p>
    <w:p w14:paraId="55B2E2AE" w14:textId="738E3B37" w:rsidR="000F7228" w:rsidRDefault="000F7228">
      <w:pPr>
        <w:pStyle w:val="TOC4"/>
        <w:rPr>
          <w:rFonts w:asciiTheme="minorHAnsi" w:eastAsiaTheme="minorEastAsia" w:hAnsiTheme="minorHAnsi" w:cstheme="minorBidi"/>
          <w:b w:val="0"/>
          <w:noProof/>
          <w:kern w:val="0"/>
          <w:sz w:val="22"/>
          <w:szCs w:val="22"/>
        </w:rPr>
      </w:pPr>
      <w:r>
        <w:rPr>
          <w:noProof/>
        </w:rPr>
        <w:t>Subdivision 4.3.2B—Withdrawing consents</w:t>
      </w:r>
      <w:r>
        <w:rPr>
          <w:noProof/>
        </w:rPr>
        <w:tab/>
      </w:r>
      <w:r>
        <w:rPr>
          <w:noProof/>
        </w:rPr>
        <w:fldChar w:fldCharType="begin"/>
      </w:r>
      <w:r>
        <w:rPr>
          <w:noProof/>
        </w:rPr>
        <w:instrText xml:space="preserve"> PAGEREF _Toc77064899 \h </w:instrText>
      </w:r>
      <w:r>
        <w:rPr>
          <w:noProof/>
        </w:rPr>
      </w:r>
      <w:r>
        <w:rPr>
          <w:noProof/>
        </w:rPr>
        <w:fldChar w:fldCharType="separate"/>
      </w:r>
      <w:r w:rsidR="002F429D">
        <w:rPr>
          <w:noProof/>
        </w:rPr>
        <w:t>71</w:t>
      </w:r>
      <w:r>
        <w:rPr>
          <w:noProof/>
        </w:rPr>
        <w:fldChar w:fldCharType="end"/>
      </w:r>
    </w:p>
    <w:p w14:paraId="4AAF0913" w14:textId="59072395" w:rsidR="000F7228" w:rsidRDefault="000F7228">
      <w:pPr>
        <w:pStyle w:val="TOC5"/>
        <w:rPr>
          <w:rFonts w:asciiTheme="minorHAnsi" w:eastAsiaTheme="minorEastAsia" w:hAnsiTheme="minorHAnsi" w:cstheme="minorBidi"/>
          <w:noProof/>
          <w:kern w:val="0"/>
          <w:sz w:val="22"/>
          <w:szCs w:val="22"/>
        </w:rPr>
      </w:pPr>
      <w:r>
        <w:rPr>
          <w:noProof/>
        </w:rPr>
        <w:t>4.13  Withdrawal of consents, and notifications</w:t>
      </w:r>
      <w:r>
        <w:rPr>
          <w:noProof/>
        </w:rPr>
        <w:tab/>
      </w:r>
      <w:r>
        <w:rPr>
          <w:noProof/>
        </w:rPr>
        <w:fldChar w:fldCharType="begin"/>
      </w:r>
      <w:r>
        <w:rPr>
          <w:noProof/>
        </w:rPr>
        <w:instrText xml:space="preserve"> PAGEREF _Toc77064900 \h </w:instrText>
      </w:r>
      <w:r>
        <w:rPr>
          <w:noProof/>
        </w:rPr>
      </w:r>
      <w:r>
        <w:rPr>
          <w:noProof/>
        </w:rPr>
        <w:fldChar w:fldCharType="separate"/>
      </w:r>
      <w:r w:rsidR="002F429D">
        <w:rPr>
          <w:noProof/>
        </w:rPr>
        <w:t>71</w:t>
      </w:r>
      <w:r>
        <w:rPr>
          <w:noProof/>
        </w:rPr>
        <w:fldChar w:fldCharType="end"/>
      </w:r>
    </w:p>
    <w:p w14:paraId="37FBEBE7" w14:textId="7ADECFD2" w:rsidR="000F7228" w:rsidRDefault="000F7228">
      <w:pPr>
        <w:pStyle w:val="TOC4"/>
        <w:rPr>
          <w:rFonts w:asciiTheme="minorHAnsi" w:eastAsiaTheme="minorEastAsia" w:hAnsiTheme="minorHAnsi" w:cstheme="minorBidi"/>
          <w:b w:val="0"/>
          <w:noProof/>
          <w:kern w:val="0"/>
          <w:sz w:val="22"/>
          <w:szCs w:val="22"/>
        </w:rPr>
      </w:pPr>
      <w:r>
        <w:rPr>
          <w:noProof/>
        </w:rPr>
        <w:t>Subdivision 4.3.2C—Duration of consent</w:t>
      </w:r>
      <w:r>
        <w:rPr>
          <w:noProof/>
        </w:rPr>
        <w:tab/>
      </w:r>
      <w:r>
        <w:rPr>
          <w:noProof/>
        </w:rPr>
        <w:fldChar w:fldCharType="begin"/>
      </w:r>
      <w:r>
        <w:rPr>
          <w:noProof/>
        </w:rPr>
        <w:instrText xml:space="preserve"> PAGEREF _Toc77064901 \h </w:instrText>
      </w:r>
      <w:r>
        <w:rPr>
          <w:noProof/>
        </w:rPr>
      </w:r>
      <w:r>
        <w:rPr>
          <w:noProof/>
        </w:rPr>
        <w:fldChar w:fldCharType="separate"/>
      </w:r>
      <w:r w:rsidR="002F429D">
        <w:rPr>
          <w:noProof/>
        </w:rPr>
        <w:t>71</w:t>
      </w:r>
      <w:r>
        <w:rPr>
          <w:noProof/>
        </w:rPr>
        <w:fldChar w:fldCharType="end"/>
      </w:r>
    </w:p>
    <w:p w14:paraId="5695DA21" w14:textId="79B8ED9A" w:rsidR="000F7228" w:rsidRDefault="000F7228">
      <w:pPr>
        <w:pStyle w:val="TOC5"/>
        <w:rPr>
          <w:rFonts w:asciiTheme="minorHAnsi" w:eastAsiaTheme="minorEastAsia" w:hAnsiTheme="minorHAnsi" w:cstheme="minorBidi"/>
          <w:noProof/>
          <w:kern w:val="0"/>
          <w:sz w:val="22"/>
          <w:szCs w:val="22"/>
        </w:rPr>
      </w:pPr>
      <w:r>
        <w:rPr>
          <w:noProof/>
        </w:rPr>
        <w:t>4.14  Duration of consent</w:t>
      </w:r>
      <w:r>
        <w:rPr>
          <w:noProof/>
        </w:rPr>
        <w:tab/>
      </w:r>
      <w:r>
        <w:rPr>
          <w:noProof/>
        </w:rPr>
        <w:fldChar w:fldCharType="begin"/>
      </w:r>
      <w:r>
        <w:rPr>
          <w:noProof/>
        </w:rPr>
        <w:instrText xml:space="preserve"> PAGEREF _Toc77064902 \h </w:instrText>
      </w:r>
      <w:r>
        <w:rPr>
          <w:noProof/>
        </w:rPr>
      </w:r>
      <w:r>
        <w:rPr>
          <w:noProof/>
        </w:rPr>
        <w:fldChar w:fldCharType="separate"/>
      </w:r>
      <w:r w:rsidR="002F429D">
        <w:rPr>
          <w:noProof/>
        </w:rPr>
        <w:t>71</w:t>
      </w:r>
      <w:r>
        <w:rPr>
          <w:noProof/>
        </w:rPr>
        <w:fldChar w:fldCharType="end"/>
      </w:r>
    </w:p>
    <w:p w14:paraId="4DDDFC54" w14:textId="3DC402F7" w:rsidR="000F7228" w:rsidRDefault="000F7228">
      <w:pPr>
        <w:pStyle w:val="TOC4"/>
        <w:rPr>
          <w:rFonts w:asciiTheme="minorHAnsi" w:eastAsiaTheme="minorEastAsia" w:hAnsiTheme="minorHAnsi" w:cstheme="minorBidi"/>
          <w:b w:val="0"/>
          <w:noProof/>
          <w:kern w:val="0"/>
          <w:sz w:val="22"/>
          <w:szCs w:val="22"/>
        </w:rPr>
      </w:pPr>
      <w:r>
        <w:rPr>
          <w:noProof/>
        </w:rPr>
        <w:t>Subdivision 4.3.3—Information relating to de</w:t>
      </w:r>
      <w:r>
        <w:rPr>
          <w:noProof/>
        </w:rPr>
        <w:noBreakHyphen/>
        <w:t>identification of CDR data</w:t>
      </w:r>
      <w:r>
        <w:rPr>
          <w:noProof/>
        </w:rPr>
        <w:tab/>
      </w:r>
      <w:r>
        <w:rPr>
          <w:noProof/>
        </w:rPr>
        <w:fldChar w:fldCharType="begin"/>
      </w:r>
      <w:r>
        <w:rPr>
          <w:noProof/>
        </w:rPr>
        <w:instrText xml:space="preserve"> PAGEREF _Toc77064903 \h </w:instrText>
      </w:r>
      <w:r>
        <w:rPr>
          <w:noProof/>
        </w:rPr>
      </w:r>
      <w:r>
        <w:rPr>
          <w:noProof/>
        </w:rPr>
        <w:fldChar w:fldCharType="separate"/>
      </w:r>
      <w:r w:rsidR="002F429D">
        <w:rPr>
          <w:noProof/>
        </w:rPr>
        <w:t>72</w:t>
      </w:r>
      <w:r>
        <w:rPr>
          <w:noProof/>
        </w:rPr>
        <w:fldChar w:fldCharType="end"/>
      </w:r>
    </w:p>
    <w:p w14:paraId="58260246" w14:textId="13374731" w:rsidR="000F7228" w:rsidRDefault="000F7228">
      <w:pPr>
        <w:pStyle w:val="TOC5"/>
        <w:rPr>
          <w:rFonts w:asciiTheme="minorHAnsi" w:eastAsiaTheme="minorEastAsia" w:hAnsiTheme="minorHAnsi" w:cstheme="minorBidi"/>
          <w:noProof/>
          <w:kern w:val="0"/>
          <w:sz w:val="22"/>
          <w:szCs w:val="22"/>
        </w:rPr>
      </w:pPr>
      <w:r>
        <w:rPr>
          <w:noProof/>
        </w:rPr>
        <w:t>4.15  Additional information relating to de</w:t>
      </w:r>
      <w:r>
        <w:rPr>
          <w:noProof/>
        </w:rPr>
        <w:noBreakHyphen/>
        <w:t>identification of CDR data</w:t>
      </w:r>
      <w:r>
        <w:rPr>
          <w:noProof/>
        </w:rPr>
        <w:tab/>
      </w:r>
      <w:r>
        <w:rPr>
          <w:noProof/>
        </w:rPr>
        <w:fldChar w:fldCharType="begin"/>
      </w:r>
      <w:r>
        <w:rPr>
          <w:noProof/>
        </w:rPr>
        <w:instrText xml:space="preserve"> PAGEREF _Toc77064904 \h </w:instrText>
      </w:r>
      <w:r>
        <w:rPr>
          <w:noProof/>
        </w:rPr>
      </w:r>
      <w:r>
        <w:rPr>
          <w:noProof/>
        </w:rPr>
        <w:fldChar w:fldCharType="separate"/>
      </w:r>
      <w:r w:rsidR="002F429D">
        <w:rPr>
          <w:noProof/>
        </w:rPr>
        <w:t>72</w:t>
      </w:r>
      <w:r>
        <w:rPr>
          <w:noProof/>
        </w:rPr>
        <w:fldChar w:fldCharType="end"/>
      </w:r>
    </w:p>
    <w:p w14:paraId="45321684" w14:textId="4AB08982" w:rsidR="000F7228" w:rsidRDefault="000F7228">
      <w:pPr>
        <w:pStyle w:val="TOC4"/>
        <w:rPr>
          <w:rFonts w:asciiTheme="minorHAnsi" w:eastAsiaTheme="minorEastAsia" w:hAnsiTheme="minorHAnsi" w:cstheme="minorBidi"/>
          <w:b w:val="0"/>
          <w:noProof/>
          <w:kern w:val="0"/>
          <w:sz w:val="22"/>
          <w:szCs w:val="22"/>
        </w:rPr>
      </w:pPr>
      <w:r>
        <w:rPr>
          <w:noProof/>
        </w:rPr>
        <w:t>Subdivision 4.3.4—Election to delete redundant data</w:t>
      </w:r>
      <w:r>
        <w:rPr>
          <w:noProof/>
        </w:rPr>
        <w:tab/>
      </w:r>
      <w:r>
        <w:rPr>
          <w:noProof/>
        </w:rPr>
        <w:fldChar w:fldCharType="begin"/>
      </w:r>
      <w:r>
        <w:rPr>
          <w:noProof/>
        </w:rPr>
        <w:instrText xml:space="preserve"> PAGEREF _Toc77064905 \h </w:instrText>
      </w:r>
      <w:r>
        <w:rPr>
          <w:noProof/>
        </w:rPr>
      </w:r>
      <w:r>
        <w:rPr>
          <w:noProof/>
        </w:rPr>
        <w:fldChar w:fldCharType="separate"/>
      </w:r>
      <w:r w:rsidR="002F429D">
        <w:rPr>
          <w:noProof/>
        </w:rPr>
        <w:t>73</w:t>
      </w:r>
      <w:r>
        <w:rPr>
          <w:noProof/>
        </w:rPr>
        <w:fldChar w:fldCharType="end"/>
      </w:r>
    </w:p>
    <w:p w14:paraId="2D968CB0" w14:textId="718C0299" w:rsidR="000F7228" w:rsidRDefault="000F7228">
      <w:pPr>
        <w:pStyle w:val="TOC5"/>
        <w:rPr>
          <w:rFonts w:asciiTheme="minorHAnsi" w:eastAsiaTheme="minorEastAsia" w:hAnsiTheme="minorHAnsi" w:cstheme="minorBidi"/>
          <w:noProof/>
          <w:kern w:val="0"/>
          <w:sz w:val="22"/>
          <w:szCs w:val="22"/>
        </w:rPr>
      </w:pPr>
      <w:r>
        <w:rPr>
          <w:noProof/>
        </w:rPr>
        <w:t>4.16  Election to delete redundant data</w:t>
      </w:r>
      <w:r>
        <w:rPr>
          <w:noProof/>
        </w:rPr>
        <w:tab/>
      </w:r>
      <w:r>
        <w:rPr>
          <w:noProof/>
        </w:rPr>
        <w:fldChar w:fldCharType="begin"/>
      </w:r>
      <w:r>
        <w:rPr>
          <w:noProof/>
        </w:rPr>
        <w:instrText xml:space="preserve"> PAGEREF _Toc77064906 \h </w:instrText>
      </w:r>
      <w:r>
        <w:rPr>
          <w:noProof/>
        </w:rPr>
      </w:r>
      <w:r>
        <w:rPr>
          <w:noProof/>
        </w:rPr>
        <w:fldChar w:fldCharType="separate"/>
      </w:r>
      <w:r w:rsidR="002F429D">
        <w:rPr>
          <w:noProof/>
        </w:rPr>
        <w:t>73</w:t>
      </w:r>
      <w:r>
        <w:rPr>
          <w:noProof/>
        </w:rPr>
        <w:fldChar w:fldCharType="end"/>
      </w:r>
    </w:p>
    <w:p w14:paraId="03A00166" w14:textId="4C4F787A" w:rsidR="000F7228" w:rsidRDefault="000F7228">
      <w:pPr>
        <w:pStyle w:val="TOC5"/>
        <w:rPr>
          <w:rFonts w:asciiTheme="minorHAnsi" w:eastAsiaTheme="minorEastAsia" w:hAnsiTheme="minorHAnsi" w:cstheme="minorBidi"/>
          <w:noProof/>
          <w:kern w:val="0"/>
          <w:sz w:val="22"/>
          <w:szCs w:val="22"/>
        </w:rPr>
      </w:pPr>
      <w:r>
        <w:rPr>
          <w:noProof/>
        </w:rPr>
        <w:lastRenderedPageBreak/>
        <w:t>4.17  Information relating to redundant data</w:t>
      </w:r>
      <w:r>
        <w:rPr>
          <w:noProof/>
        </w:rPr>
        <w:tab/>
      </w:r>
      <w:r>
        <w:rPr>
          <w:noProof/>
        </w:rPr>
        <w:fldChar w:fldCharType="begin"/>
      </w:r>
      <w:r>
        <w:rPr>
          <w:noProof/>
        </w:rPr>
        <w:instrText xml:space="preserve"> PAGEREF _Toc77064907 \h </w:instrText>
      </w:r>
      <w:r>
        <w:rPr>
          <w:noProof/>
        </w:rPr>
      </w:r>
      <w:r>
        <w:rPr>
          <w:noProof/>
        </w:rPr>
        <w:fldChar w:fldCharType="separate"/>
      </w:r>
      <w:r w:rsidR="002F429D">
        <w:rPr>
          <w:noProof/>
        </w:rPr>
        <w:t>73</w:t>
      </w:r>
      <w:r>
        <w:rPr>
          <w:noProof/>
        </w:rPr>
        <w:fldChar w:fldCharType="end"/>
      </w:r>
    </w:p>
    <w:p w14:paraId="2C626825" w14:textId="32856767" w:rsidR="000F7228" w:rsidRDefault="000F7228">
      <w:pPr>
        <w:pStyle w:val="TOC4"/>
        <w:rPr>
          <w:rFonts w:asciiTheme="minorHAnsi" w:eastAsiaTheme="minorEastAsia" w:hAnsiTheme="minorHAnsi" w:cstheme="minorBidi"/>
          <w:b w:val="0"/>
          <w:noProof/>
          <w:kern w:val="0"/>
          <w:sz w:val="22"/>
          <w:szCs w:val="22"/>
        </w:rPr>
      </w:pPr>
      <w:r>
        <w:rPr>
          <w:noProof/>
        </w:rPr>
        <w:t>Subdivision 4.3.5—Notification requirements</w:t>
      </w:r>
      <w:r>
        <w:rPr>
          <w:noProof/>
        </w:rPr>
        <w:tab/>
      </w:r>
      <w:r>
        <w:rPr>
          <w:noProof/>
        </w:rPr>
        <w:fldChar w:fldCharType="begin"/>
      </w:r>
      <w:r>
        <w:rPr>
          <w:noProof/>
        </w:rPr>
        <w:instrText xml:space="preserve"> PAGEREF _Toc77064908 \h </w:instrText>
      </w:r>
      <w:r>
        <w:rPr>
          <w:noProof/>
        </w:rPr>
      </w:r>
      <w:r>
        <w:rPr>
          <w:noProof/>
        </w:rPr>
        <w:fldChar w:fldCharType="separate"/>
      </w:r>
      <w:r w:rsidR="002F429D">
        <w:rPr>
          <w:noProof/>
        </w:rPr>
        <w:t>74</w:t>
      </w:r>
      <w:r>
        <w:rPr>
          <w:noProof/>
        </w:rPr>
        <w:fldChar w:fldCharType="end"/>
      </w:r>
    </w:p>
    <w:p w14:paraId="56420EDC" w14:textId="281BB83A" w:rsidR="000F7228" w:rsidRDefault="000F7228">
      <w:pPr>
        <w:pStyle w:val="TOC5"/>
        <w:rPr>
          <w:rFonts w:asciiTheme="minorHAnsi" w:eastAsiaTheme="minorEastAsia" w:hAnsiTheme="minorHAnsi" w:cstheme="minorBidi"/>
          <w:noProof/>
          <w:kern w:val="0"/>
          <w:sz w:val="22"/>
          <w:szCs w:val="22"/>
        </w:rPr>
      </w:pPr>
      <w:r>
        <w:rPr>
          <w:noProof/>
        </w:rPr>
        <w:t>4.18  CDR receipts</w:t>
      </w:r>
      <w:r>
        <w:rPr>
          <w:noProof/>
        </w:rPr>
        <w:tab/>
      </w:r>
      <w:r>
        <w:rPr>
          <w:noProof/>
        </w:rPr>
        <w:fldChar w:fldCharType="begin"/>
      </w:r>
      <w:r>
        <w:rPr>
          <w:noProof/>
        </w:rPr>
        <w:instrText xml:space="preserve"> PAGEREF _Toc77064909 \h </w:instrText>
      </w:r>
      <w:r>
        <w:rPr>
          <w:noProof/>
        </w:rPr>
      </w:r>
      <w:r>
        <w:rPr>
          <w:noProof/>
        </w:rPr>
        <w:fldChar w:fldCharType="separate"/>
      </w:r>
      <w:r w:rsidR="002F429D">
        <w:rPr>
          <w:noProof/>
        </w:rPr>
        <w:t>74</w:t>
      </w:r>
      <w:r>
        <w:rPr>
          <w:noProof/>
        </w:rPr>
        <w:fldChar w:fldCharType="end"/>
      </w:r>
    </w:p>
    <w:p w14:paraId="3F40E956" w14:textId="5FFDC31E" w:rsidR="000F7228" w:rsidRDefault="000F7228">
      <w:pPr>
        <w:pStyle w:val="TOC5"/>
        <w:rPr>
          <w:rFonts w:asciiTheme="minorHAnsi" w:eastAsiaTheme="minorEastAsia" w:hAnsiTheme="minorHAnsi" w:cstheme="minorBidi"/>
          <w:noProof/>
          <w:kern w:val="0"/>
          <w:sz w:val="22"/>
          <w:szCs w:val="22"/>
        </w:rPr>
      </w:pPr>
      <w:r>
        <w:rPr>
          <w:noProof/>
        </w:rPr>
        <w:t>4.18A  Notification if collection consent expires</w:t>
      </w:r>
      <w:r>
        <w:rPr>
          <w:noProof/>
        </w:rPr>
        <w:tab/>
      </w:r>
      <w:r>
        <w:rPr>
          <w:noProof/>
        </w:rPr>
        <w:fldChar w:fldCharType="begin"/>
      </w:r>
      <w:r>
        <w:rPr>
          <w:noProof/>
        </w:rPr>
        <w:instrText xml:space="preserve"> PAGEREF _Toc77064910 \h </w:instrText>
      </w:r>
      <w:r>
        <w:rPr>
          <w:noProof/>
        </w:rPr>
      </w:r>
      <w:r>
        <w:rPr>
          <w:noProof/>
        </w:rPr>
        <w:fldChar w:fldCharType="separate"/>
      </w:r>
      <w:r w:rsidR="002F429D">
        <w:rPr>
          <w:noProof/>
        </w:rPr>
        <w:t>75</w:t>
      </w:r>
      <w:r>
        <w:rPr>
          <w:noProof/>
        </w:rPr>
        <w:fldChar w:fldCharType="end"/>
      </w:r>
    </w:p>
    <w:p w14:paraId="384452CC" w14:textId="3B502E14" w:rsidR="000F7228" w:rsidRDefault="000F7228">
      <w:pPr>
        <w:pStyle w:val="TOC5"/>
        <w:rPr>
          <w:rFonts w:asciiTheme="minorHAnsi" w:eastAsiaTheme="minorEastAsia" w:hAnsiTheme="minorHAnsi" w:cstheme="minorBidi"/>
          <w:noProof/>
          <w:kern w:val="0"/>
          <w:sz w:val="22"/>
          <w:szCs w:val="22"/>
        </w:rPr>
      </w:pPr>
      <w:r>
        <w:rPr>
          <w:noProof/>
        </w:rPr>
        <w:t>4.18B  Notification if collection consent or AP disclosure consent expires</w:t>
      </w:r>
      <w:r>
        <w:rPr>
          <w:noProof/>
        </w:rPr>
        <w:tab/>
      </w:r>
      <w:r>
        <w:rPr>
          <w:noProof/>
        </w:rPr>
        <w:fldChar w:fldCharType="begin"/>
      </w:r>
      <w:r>
        <w:rPr>
          <w:noProof/>
        </w:rPr>
        <w:instrText xml:space="preserve"> PAGEREF _Toc77064911 \h </w:instrText>
      </w:r>
      <w:r>
        <w:rPr>
          <w:noProof/>
        </w:rPr>
      </w:r>
      <w:r>
        <w:rPr>
          <w:noProof/>
        </w:rPr>
        <w:fldChar w:fldCharType="separate"/>
      </w:r>
      <w:r w:rsidR="002F429D">
        <w:rPr>
          <w:noProof/>
        </w:rPr>
        <w:t>75</w:t>
      </w:r>
      <w:r>
        <w:rPr>
          <w:noProof/>
        </w:rPr>
        <w:fldChar w:fldCharType="end"/>
      </w:r>
    </w:p>
    <w:p w14:paraId="30292BAF" w14:textId="5E57C2F9" w:rsidR="000F7228" w:rsidRDefault="000F7228">
      <w:pPr>
        <w:pStyle w:val="TOC5"/>
        <w:rPr>
          <w:rFonts w:asciiTheme="minorHAnsi" w:eastAsiaTheme="minorEastAsia" w:hAnsiTheme="minorHAnsi" w:cstheme="minorBidi"/>
          <w:noProof/>
          <w:kern w:val="0"/>
          <w:sz w:val="22"/>
          <w:szCs w:val="22"/>
        </w:rPr>
      </w:pPr>
      <w:r>
        <w:rPr>
          <w:noProof/>
        </w:rPr>
        <w:t>4.18C  Notification if collection consent is amended</w:t>
      </w:r>
      <w:r>
        <w:rPr>
          <w:noProof/>
        </w:rPr>
        <w:tab/>
      </w:r>
      <w:r>
        <w:rPr>
          <w:noProof/>
        </w:rPr>
        <w:fldChar w:fldCharType="begin"/>
      </w:r>
      <w:r>
        <w:rPr>
          <w:noProof/>
        </w:rPr>
        <w:instrText xml:space="preserve"> PAGEREF _Toc77064912 \h </w:instrText>
      </w:r>
      <w:r>
        <w:rPr>
          <w:noProof/>
        </w:rPr>
      </w:r>
      <w:r>
        <w:rPr>
          <w:noProof/>
        </w:rPr>
        <w:fldChar w:fldCharType="separate"/>
      </w:r>
      <w:r w:rsidR="002F429D">
        <w:rPr>
          <w:noProof/>
        </w:rPr>
        <w:t>75</w:t>
      </w:r>
      <w:r>
        <w:rPr>
          <w:noProof/>
        </w:rPr>
        <w:fldChar w:fldCharType="end"/>
      </w:r>
    </w:p>
    <w:p w14:paraId="367DAEAB" w14:textId="0BB15223" w:rsidR="000F7228" w:rsidRDefault="000F7228">
      <w:pPr>
        <w:pStyle w:val="TOC5"/>
        <w:rPr>
          <w:rFonts w:asciiTheme="minorHAnsi" w:eastAsiaTheme="minorEastAsia" w:hAnsiTheme="minorHAnsi" w:cstheme="minorBidi"/>
          <w:noProof/>
          <w:kern w:val="0"/>
          <w:sz w:val="22"/>
          <w:szCs w:val="22"/>
        </w:rPr>
      </w:pPr>
      <w:r>
        <w:rPr>
          <w:noProof/>
        </w:rPr>
        <w:t>4.19  Updating consumer dashboard</w:t>
      </w:r>
      <w:r>
        <w:rPr>
          <w:noProof/>
        </w:rPr>
        <w:tab/>
      </w:r>
      <w:r>
        <w:rPr>
          <w:noProof/>
        </w:rPr>
        <w:fldChar w:fldCharType="begin"/>
      </w:r>
      <w:r>
        <w:rPr>
          <w:noProof/>
        </w:rPr>
        <w:instrText xml:space="preserve"> PAGEREF _Toc77064913 \h </w:instrText>
      </w:r>
      <w:r>
        <w:rPr>
          <w:noProof/>
        </w:rPr>
      </w:r>
      <w:r>
        <w:rPr>
          <w:noProof/>
        </w:rPr>
        <w:fldChar w:fldCharType="separate"/>
      </w:r>
      <w:r w:rsidR="002F429D">
        <w:rPr>
          <w:noProof/>
        </w:rPr>
        <w:t>76</w:t>
      </w:r>
      <w:r>
        <w:rPr>
          <w:noProof/>
        </w:rPr>
        <w:fldChar w:fldCharType="end"/>
      </w:r>
    </w:p>
    <w:p w14:paraId="0EA2A4A6" w14:textId="5EE6E561" w:rsidR="000F7228" w:rsidRDefault="000F7228">
      <w:pPr>
        <w:pStyle w:val="TOC5"/>
        <w:rPr>
          <w:rFonts w:asciiTheme="minorHAnsi" w:eastAsiaTheme="minorEastAsia" w:hAnsiTheme="minorHAnsi" w:cstheme="minorBidi"/>
          <w:noProof/>
          <w:kern w:val="0"/>
          <w:sz w:val="22"/>
          <w:szCs w:val="22"/>
        </w:rPr>
      </w:pPr>
      <w:r>
        <w:rPr>
          <w:noProof/>
        </w:rPr>
        <w:t>4.20  Ongoing notification requirement—collection consents and use consents</w:t>
      </w:r>
      <w:r>
        <w:rPr>
          <w:noProof/>
        </w:rPr>
        <w:tab/>
      </w:r>
      <w:r>
        <w:rPr>
          <w:noProof/>
        </w:rPr>
        <w:fldChar w:fldCharType="begin"/>
      </w:r>
      <w:r>
        <w:rPr>
          <w:noProof/>
        </w:rPr>
        <w:instrText xml:space="preserve"> PAGEREF _Toc77064914 \h </w:instrText>
      </w:r>
      <w:r>
        <w:rPr>
          <w:noProof/>
        </w:rPr>
      </w:r>
      <w:r>
        <w:rPr>
          <w:noProof/>
        </w:rPr>
        <w:fldChar w:fldCharType="separate"/>
      </w:r>
      <w:r w:rsidR="002F429D">
        <w:rPr>
          <w:noProof/>
        </w:rPr>
        <w:t>76</w:t>
      </w:r>
      <w:r>
        <w:rPr>
          <w:noProof/>
        </w:rPr>
        <w:fldChar w:fldCharType="end"/>
      </w:r>
    </w:p>
    <w:p w14:paraId="10933592" w14:textId="5B37A79E" w:rsidR="000F7228" w:rsidRDefault="000F7228">
      <w:pPr>
        <w:pStyle w:val="TOC3"/>
        <w:rPr>
          <w:rFonts w:asciiTheme="minorHAnsi" w:eastAsiaTheme="minorEastAsia" w:hAnsiTheme="minorHAnsi" w:cstheme="minorBidi"/>
          <w:b w:val="0"/>
          <w:noProof/>
          <w:kern w:val="0"/>
          <w:szCs w:val="22"/>
        </w:rPr>
      </w:pPr>
      <w:r>
        <w:rPr>
          <w:noProof/>
        </w:rPr>
        <w:t>Division 4.4—Authorisations to disclose CDR data</w:t>
      </w:r>
      <w:r>
        <w:rPr>
          <w:noProof/>
        </w:rPr>
        <w:tab/>
      </w:r>
      <w:r>
        <w:rPr>
          <w:noProof/>
        </w:rPr>
        <w:fldChar w:fldCharType="begin"/>
      </w:r>
      <w:r>
        <w:rPr>
          <w:noProof/>
        </w:rPr>
        <w:instrText xml:space="preserve"> PAGEREF _Toc77064915 \h </w:instrText>
      </w:r>
      <w:r>
        <w:rPr>
          <w:noProof/>
        </w:rPr>
      </w:r>
      <w:r>
        <w:rPr>
          <w:noProof/>
        </w:rPr>
        <w:fldChar w:fldCharType="separate"/>
      </w:r>
      <w:r w:rsidR="002F429D">
        <w:rPr>
          <w:noProof/>
        </w:rPr>
        <w:t>76</w:t>
      </w:r>
      <w:r>
        <w:rPr>
          <w:noProof/>
        </w:rPr>
        <w:fldChar w:fldCharType="end"/>
      </w:r>
    </w:p>
    <w:p w14:paraId="7A7ADD87" w14:textId="30F204E0" w:rsidR="000F7228" w:rsidRDefault="000F7228">
      <w:pPr>
        <w:pStyle w:val="TOC5"/>
        <w:rPr>
          <w:rFonts w:asciiTheme="minorHAnsi" w:eastAsiaTheme="minorEastAsia" w:hAnsiTheme="minorHAnsi" w:cstheme="minorBidi"/>
          <w:noProof/>
          <w:kern w:val="0"/>
          <w:sz w:val="22"/>
          <w:szCs w:val="22"/>
        </w:rPr>
      </w:pPr>
      <w:r>
        <w:rPr>
          <w:noProof/>
        </w:rPr>
        <w:t>4.21  Purpose of Division</w:t>
      </w:r>
      <w:r>
        <w:rPr>
          <w:noProof/>
        </w:rPr>
        <w:tab/>
      </w:r>
      <w:r>
        <w:rPr>
          <w:noProof/>
        </w:rPr>
        <w:fldChar w:fldCharType="begin"/>
      </w:r>
      <w:r>
        <w:rPr>
          <w:noProof/>
        </w:rPr>
        <w:instrText xml:space="preserve"> PAGEREF _Toc77064916 \h </w:instrText>
      </w:r>
      <w:r>
        <w:rPr>
          <w:noProof/>
        </w:rPr>
      </w:r>
      <w:r>
        <w:rPr>
          <w:noProof/>
        </w:rPr>
        <w:fldChar w:fldCharType="separate"/>
      </w:r>
      <w:r w:rsidR="002F429D">
        <w:rPr>
          <w:noProof/>
        </w:rPr>
        <w:t>76</w:t>
      </w:r>
      <w:r>
        <w:rPr>
          <w:noProof/>
        </w:rPr>
        <w:fldChar w:fldCharType="end"/>
      </w:r>
    </w:p>
    <w:p w14:paraId="56918CC9" w14:textId="76D2B262" w:rsidR="000F7228" w:rsidRDefault="000F7228">
      <w:pPr>
        <w:pStyle w:val="TOC5"/>
        <w:rPr>
          <w:rFonts w:asciiTheme="minorHAnsi" w:eastAsiaTheme="minorEastAsia" w:hAnsiTheme="minorHAnsi" w:cstheme="minorBidi"/>
          <w:noProof/>
          <w:kern w:val="0"/>
          <w:sz w:val="22"/>
          <w:szCs w:val="22"/>
        </w:rPr>
      </w:pPr>
      <w:r>
        <w:rPr>
          <w:noProof/>
        </w:rPr>
        <w:t>4.22  Requirements relating to data holder’s processes for seeking authorisation</w:t>
      </w:r>
      <w:r>
        <w:rPr>
          <w:noProof/>
        </w:rPr>
        <w:tab/>
      </w:r>
      <w:r>
        <w:rPr>
          <w:noProof/>
        </w:rPr>
        <w:fldChar w:fldCharType="begin"/>
      </w:r>
      <w:r>
        <w:rPr>
          <w:noProof/>
        </w:rPr>
        <w:instrText xml:space="preserve"> PAGEREF _Toc77064917 \h </w:instrText>
      </w:r>
      <w:r>
        <w:rPr>
          <w:noProof/>
        </w:rPr>
      </w:r>
      <w:r>
        <w:rPr>
          <w:noProof/>
        </w:rPr>
        <w:fldChar w:fldCharType="separate"/>
      </w:r>
      <w:r w:rsidR="002F429D">
        <w:rPr>
          <w:noProof/>
        </w:rPr>
        <w:t>77</w:t>
      </w:r>
      <w:r>
        <w:rPr>
          <w:noProof/>
        </w:rPr>
        <w:fldChar w:fldCharType="end"/>
      </w:r>
    </w:p>
    <w:p w14:paraId="28D2E7E4" w14:textId="34B90047" w:rsidR="000F7228" w:rsidRDefault="000F7228">
      <w:pPr>
        <w:pStyle w:val="TOC5"/>
        <w:rPr>
          <w:rFonts w:asciiTheme="minorHAnsi" w:eastAsiaTheme="minorEastAsia" w:hAnsiTheme="minorHAnsi" w:cstheme="minorBidi"/>
          <w:noProof/>
          <w:kern w:val="0"/>
          <w:sz w:val="22"/>
          <w:szCs w:val="22"/>
        </w:rPr>
      </w:pPr>
      <w:r>
        <w:rPr>
          <w:noProof/>
        </w:rPr>
        <w:t>4.22A  Inviting CDR consumer to amend a current authorisation</w:t>
      </w:r>
      <w:r>
        <w:rPr>
          <w:noProof/>
        </w:rPr>
        <w:tab/>
      </w:r>
      <w:r>
        <w:rPr>
          <w:noProof/>
        </w:rPr>
        <w:fldChar w:fldCharType="begin"/>
      </w:r>
      <w:r>
        <w:rPr>
          <w:noProof/>
        </w:rPr>
        <w:instrText xml:space="preserve"> PAGEREF _Toc77064918 \h </w:instrText>
      </w:r>
      <w:r>
        <w:rPr>
          <w:noProof/>
        </w:rPr>
      </w:r>
      <w:r>
        <w:rPr>
          <w:noProof/>
        </w:rPr>
        <w:fldChar w:fldCharType="separate"/>
      </w:r>
      <w:r w:rsidR="002F429D">
        <w:rPr>
          <w:noProof/>
        </w:rPr>
        <w:t>77</w:t>
      </w:r>
      <w:r>
        <w:rPr>
          <w:noProof/>
        </w:rPr>
        <w:fldChar w:fldCharType="end"/>
      </w:r>
    </w:p>
    <w:p w14:paraId="3E16ECBF" w14:textId="6AC712A6" w:rsidR="000F7228" w:rsidRDefault="000F7228">
      <w:pPr>
        <w:pStyle w:val="TOC5"/>
        <w:rPr>
          <w:rFonts w:asciiTheme="minorHAnsi" w:eastAsiaTheme="minorEastAsia" w:hAnsiTheme="minorHAnsi" w:cstheme="minorBidi"/>
          <w:noProof/>
          <w:kern w:val="0"/>
          <w:sz w:val="22"/>
          <w:szCs w:val="22"/>
        </w:rPr>
      </w:pPr>
      <w:r>
        <w:rPr>
          <w:noProof/>
        </w:rPr>
        <w:t>4.23  Asking CDR consumer to give authorisation to disclose CDR data or inviting CDR consumer to amend a current authorisation</w:t>
      </w:r>
      <w:r>
        <w:rPr>
          <w:noProof/>
        </w:rPr>
        <w:tab/>
      </w:r>
      <w:r>
        <w:rPr>
          <w:noProof/>
        </w:rPr>
        <w:fldChar w:fldCharType="begin"/>
      </w:r>
      <w:r>
        <w:rPr>
          <w:noProof/>
        </w:rPr>
        <w:instrText xml:space="preserve"> PAGEREF _Toc77064919 \h </w:instrText>
      </w:r>
      <w:r>
        <w:rPr>
          <w:noProof/>
        </w:rPr>
      </w:r>
      <w:r>
        <w:rPr>
          <w:noProof/>
        </w:rPr>
        <w:fldChar w:fldCharType="separate"/>
      </w:r>
      <w:r w:rsidR="002F429D">
        <w:rPr>
          <w:noProof/>
        </w:rPr>
        <w:t>77</w:t>
      </w:r>
      <w:r>
        <w:rPr>
          <w:noProof/>
        </w:rPr>
        <w:fldChar w:fldCharType="end"/>
      </w:r>
    </w:p>
    <w:p w14:paraId="108529D7" w14:textId="51A04715" w:rsidR="000F7228" w:rsidRDefault="000F7228">
      <w:pPr>
        <w:pStyle w:val="TOC5"/>
        <w:rPr>
          <w:rFonts w:asciiTheme="minorHAnsi" w:eastAsiaTheme="minorEastAsia" w:hAnsiTheme="minorHAnsi" w:cstheme="minorBidi"/>
          <w:noProof/>
          <w:kern w:val="0"/>
          <w:sz w:val="22"/>
          <w:szCs w:val="22"/>
        </w:rPr>
      </w:pPr>
      <w:r>
        <w:rPr>
          <w:noProof/>
        </w:rPr>
        <w:t>4.24  Restrictions when asking CDR consumer to authorise disclosure of CDR data</w:t>
      </w:r>
      <w:r>
        <w:rPr>
          <w:noProof/>
        </w:rPr>
        <w:tab/>
      </w:r>
      <w:r>
        <w:rPr>
          <w:noProof/>
        </w:rPr>
        <w:fldChar w:fldCharType="begin"/>
      </w:r>
      <w:r>
        <w:rPr>
          <w:noProof/>
        </w:rPr>
        <w:instrText xml:space="preserve"> PAGEREF _Toc77064920 \h </w:instrText>
      </w:r>
      <w:r>
        <w:rPr>
          <w:noProof/>
        </w:rPr>
      </w:r>
      <w:r>
        <w:rPr>
          <w:noProof/>
        </w:rPr>
        <w:fldChar w:fldCharType="separate"/>
      </w:r>
      <w:r w:rsidR="002F429D">
        <w:rPr>
          <w:noProof/>
        </w:rPr>
        <w:t>78</w:t>
      </w:r>
      <w:r>
        <w:rPr>
          <w:noProof/>
        </w:rPr>
        <w:fldChar w:fldCharType="end"/>
      </w:r>
    </w:p>
    <w:p w14:paraId="5FA2D766" w14:textId="347E2A18" w:rsidR="000F7228" w:rsidRDefault="000F7228">
      <w:pPr>
        <w:pStyle w:val="TOC5"/>
        <w:rPr>
          <w:rFonts w:asciiTheme="minorHAnsi" w:eastAsiaTheme="minorEastAsia" w:hAnsiTheme="minorHAnsi" w:cstheme="minorBidi"/>
          <w:noProof/>
          <w:kern w:val="0"/>
          <w:sz w:val="22"/>
          <w:szCs w:val="22"/>
        </w:rPr>
      </w:pPr>
      <w:r>
        <w:rPr>
          <w:noProof/>
        </w:rPr>
        <w:t>4.25  Withdrawal of authorisation to disclose CDR data and notification</w:t>
      </w:r>
      <w:r>
        <w:rPr>
          <w:noProof/>
        </w:rPr>
        <w:tab/>
      </w:r>
      <w:r>
        <w:rPr>
          <w:noProof/>
        </w:rPr>
        <w:fldChar w:fldCharType="begin"/>
      </w:r>
      <w:r>
        <w:rPr>
          <w:noProof/>
        </w:rPr>
        <w:instrText xml:space="preserve"> PAGEREF _Toc77064921 \h </w:instrText>
      </w:r>
      <w:r>
        <w:rPr>
          <w:noProof/>
        </w:rPr>
      </w:r>
      <w:r>
        <w:rPr>
          <w:noProof/>
        </w:rPr>
        <w:fldChar w:fldCharType="separate"/>
      </w:r>
      <w:r w:rsidR="002F429D">
        <w:rPr>
          <w:noProof/>
        </w:rPr>
        <w:t>78</w:t>
      </w:r>
      <w:r>
        <w:rPr>
          <w:noProof/>
        </w:rPr>
        <w:fldChar w:fldCharType="end"/>
      </w:r>
    </w:p>
    <w:p w14:paraId="052E4A09" w14:textId="1152780F" w:rsidR="000F7228" w:rsidRDefault="000F7228">
      <w:pPr>
        <w:pStyle w:val="TOC5"/>
        <w:rPr>
          <w:rFonts w:asciiTheme="minorHAnsi" w:eastAsiaTheme="minorEastAsia" w:hAnsiTheme="minorHAnsi" w:cstheme="minorBidi"/>
          <w:noProof/>
          <w:kern w:val="0"/>
          <w:sz w:val="22"/>
          <w:szCs w:val="22"/>
        </w:rPr>
      </w:pPr>
      <w:r>
        <w:rPr>
          <w:noProof/>
        </w:rPr>
        <w:t>4.26  Duration of authorisation to disclose CDR data</w:t>
      </w:r>
      <w:r>
        <w:rPr>
          <w:noProof/>
        </w:rPr>
        <w:tab/>
      </w:r>
      <w:r>
        <w:rPr>
          <w:noProof/>
        </w:rPr>
        <w:fldChar w:fldCharType="begin"/>
      </w:r>
      <w:r>
        <w:rPr>
          <w:noProof/>
        </w:rPr>
        <w:instrText xml:space="preserve"> PAGEREF _Toc77064922 \h </w:instrText>
      </w:r>
      <w:r>
        <w:rPr>
          <w:noProof/>
        </w:rPr>
      </w:r>
      <w:r>
        <w:rPr>
          <w:noProof/>
        </w:rPr>
        <w:fldChar w:fldCharType="separate"/>
      </w:r>
      <w:r w:rsidR="002F429D">
        <w:rPr>
          <w:noProof/>
        </w:rPr>
        <w:t>78</w:t>
      </w:r>
      <w:r>
        <w:rPr>
          <w:noProof/>
        </w:rPr>
        <w:fldChar w:fldCharType="end"/>
      </w:r>
    </w:p>
    <w:p w14:paraId="5BDAF6E9" w14:textId="2BA8FA5C" w:rsidR="000F7228" w:rsidRDefault="000F7228">
      <w:pPr>
        <w:pStyle w:val="TOC5"/>
        <w:rPr>
          <w:rFonts w:asciiTheme="minorHAnsi" w:eastAsiaTheme="minorEastAsia" w:hAnsiTheme="minorHAnsi" w:cstheme="minorBidi"/>
          <w:noProof/>
          <w:kern w:val="0"/>
          <w:sz w:val="22"/>
          <w:szCs w:val="22"/>
        </w:rPr>
      </w:pPr>
      <w:r>
        <w:rPr>
          <w:noProof/>
        </w:rPr>
        <w:t>4.27  Updating consumer dashboard</w:t>
      </w:r>
      <w:r>
        <w:rPr>
          <w:noProof/>
        </w:rPr>
        <w:tab/>
      </w:r>
      <w:r>
        <w:rPr>
          <w:noProof/>
        </w:rPr>
        <w:fldChar w:fldCharType="begin"/>
      </w:r>
      <w:r>
        <w:rPr>
          <w:noProof/>
        </w:rPr>
        <w:instrText xml:space="preserve"> PAGEREF _Toc77064923 \h </w:instrText>
      </w:r>
      <w:r>
        <w:rPr>
          <w:noProof/>
        </w:rPr>
      </w:r>
      <w:r>
        <w:rPr>
          <w:noProof/>
        </w:rPr>
        <w:fldChar w:fldCharType="separate"/>
      </w:r>
      <w:r w:rsidR="002F429D">
        <w:rPr>
          <w:noProof/>
        </w:rPr>
        <w:t>79</w:t>
      </w:r>
      <w:r>
        <w:rPr>
          <w:noProof/>
        </w:rPr>
        <w:fldChar w:fldCharType="end"/>
      </w:r>
    </w:p>
    <w:p w14:paraId="7A3F38F5" w14:textId="713DD62C" w:rsidR="000F7228" w:rsidRDefault="000F7228">
      <w:pPr>
        <w:pStyle w:val="TOC5"/>
        <w:rPr>
          <w:rFonts w:asciiTheme="minorHAnsi" w:eastAsiaTheme="minorEastAsia" w:hAnsiTheme="minorHAnsi" w:cstheme="minorBidi"/>
          <w:noProof/>
          <w:kern w:val="0"/>
          <w:sz w:val="22"/>
          <w:szCs w:val="22"/>
        </w:rPr>
      </w:pPr>
      <w:r>
        <w:rPr>
          <w:noProof/>
        </w:rPr>
        <w:t>4.28  Notification requirements for consumer data requests on behalf of secondary users</w:t>
      </w:r>
      <w:r>
        <w:rPr>
          <w:noProof/>
        </w:rPr>
        <w:tab/>
      </w:r>
      <w:r>
        <w:rPr>
          <w:noProof/>
        </w:rPr>
        <w:fldChar w:fldCharType="begin"/>
      </w:r>
      <w:r>
        <w:rPr>
          <w:noProof/>
        </w:rPr>
        <w:instrText xml:space="preserve"> PAGEREF _Toc77064924 \h </w:instrText>
      </w:r>
      <w:r>
        <w:rPr>
          <w:noProof/>
        </w:rPr>
      </w:r>
      <w:r>
        <w:rPr>
          <w:noProof/>
        </w:rPr>
        <w:fldChar w:fldCharType="separate"/>
      </w:r>
      <w:r w:rsidR="002F429D">
        <w:rPr>
          <w:noProof/>
        </w:rPr>
        <w:t>79</w:t>
      </w:r>
      <w:r>
        <w:rPr>
          <w:noProof/>
        </w:rPr>
        <w:fldChar w:fldCharType="end"/>
      </w:r>
    </w:p>
    <w:p w14:paraId="667919EB" w14:textId="113F645D" w:rsidR="000F7228" w:rsidRDefault="000F7228">
      <w:pPr>
        <w:pStyle w:val="TOC2"/>
        <w:rPr>
          <w:rFonts w:asciiTheme="minorHAnsi" w:eastAsiaTheme="minorEastAsia" w:hAnsiTheme="minorHAnsi" w:cstheme="minorBidi"/>
          <w:b w:val="0"/>
          <w:noProof/>
          <w:kern w:val="0"/>
          <w:sz w:val="22"/>
          <w:szCs w:val="22"/>
        </w:rPr>
      </w:pPr>
      <w:r w:rsidRPr="003C3E47">
        <w:rPr>
          <w:noProof/>
          <w:color w:val="0000FF"/>
        </w:rPr>
        <w:t>Part 4A—Joint accounts</w:t>
      </w:r>
      <w:r>
        <w:rPr>
          <w:noProof/>
        </w:rPr>
        <w:tab/>
      </w:r>
      <w:r>
        <w:rPr>
          <w:noProof/>
        </w:rPr>
        <w:fldChar w:fldCharType="begin"/>
      </w:r>
      <w:r>
        <w:rPr>
          <w:noProof/>
        </w:rPr>
        <w:instrText xml:space="preserve"> PAGEREF _Toc77064925 \h </w:instrText>
      </w:r>
      <w:r>
        <w:rPr>
          <w:noProof/>
        </w:rPr>
      </w:r>
      <w:r>
        <w:rPr>
          <w:noProof/>
        </w:rPr>
        <w:fldChar w:fldCharType="separate"/>
      </w:r>
      <w:r w:rsidR="002F429D">
        <w:rPr>
          <w:noProof/>
        </w:rPr>
        <w:t>79</w:t>
      </w:r>
      <w:r>
        <w:rPr>
          <w:noProof/>
        </w:rPr>
        <w:fldChar w:fldCharType="end"/>
      </w:r>
    </w:p>
    <w:p w14:paraId="4EE44395" w14:textId="5DCE7D25" w:rsidR="000F7228" w:rsidRDefault="000F7228">
      <w:pPr>
        <w:pStyle w:val="TOC3"/>
        <w:rPr>
          <w:rFonts w:asciiTheme="minorHAnsi" w:eastAsiaTheme="minorEastAsia" w:hAnsiTheme="minorHAnsi" w:cstheme="minorBidi"/>
          <w:b w:val="0"/>
          <w:noProof/>
          <w:kern w:val="0"/>
          <w:szCs w:val="22"/>
        </w:rPr>
      </w:pPr>
      <w:r w:rsidRPr="003C3E47">
        <w:rPr>
          <w:noProof/>
          <w:color w:val="0000FF"/>
        </w:rPr>
        <w:t>Division  4A.1—Preliminary</w:t>
      </w:r>
      <w:r>
        <w:rPr>
          <w:noProof/>
        </w:rPr>
        <w:tab/>
      </w:r>
      <w:r>
        <w:rPr>
          <w:noProof/>
        </w:rPr>
        <w:fldChar w:fldCharType="begin"/>
      </w:r>
      <w:r>
        <w:rPr>
          <w:noProof/>
        </w:rPr>
        <w:instrText xml:space="preserve"> PAGEREF _Toc77064926 \h </w:instrText>
      </w:r>
      <w:r>
        <w:rPr>
          <w:noProof/>
        </w:rPr>
      </w:r>
      <w:r>
        <w:rPr>
          <w:noProof/>
        </w:rPr>
        <w:fldChar w:fldCharType="separate"/>
      </w:r>
      <w:r w:rsidR="002F429D">
        <w:rPr>
          <w:noProof/>
        </w:rPr>
        <w:t>80</w:t>
      </w:r>
      <w:r>
        <w:rPr>
          <w:noProof/>
        </w:rPr>
        <w:fldChar w:fldCharType="end"/>
      </w:r>
    </w:p>
    <w:p w14:paraId="26018498" w14:textId="0B131077"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4A.1  Purpose of Part</w:t>
      </w:r>
      <w:r>
        <w:rPr>
          <w:noProof/>
        </w:rPr>
        <w:tab/>
      </w:r>
      <w:r>
        <w:rPr>
          <w:noProof/>
        </w:rPr>
        <w:fldChar w:fldCharType="begin"/>
      </w:r>
      <w:r>
        <w:rPr>
          <w:noProof/>
        </w:rPr>
        <w:instrText xml:space="preserve"> PAGEREF _Toc77064927 \h </w:instrText>
      </w:r>
      <w:r>
        <w:rPr>
          <w:noProof/>
        </w:rPr>
      </w:r>
      <w:r>
        <w:rPr>
          <w:noProof/>
        </w:rPr>
        <w:fldChar w:fldCharType="separate"/>
      </w:r>
      <w:r w:rsidR="002F429D">
        <w:rPr>
          <w:noProof/>
        </w:rPr>
        <w:t>80</w:t>
      </w:r>
      <w:r>
        <w:rPr>
          <w:noProof/>
        </w:rPr>
        <w:fldChar w:fldCharType="end"/>
      </w:r>
    </w:p>
    <w:p w14:paraId="2348906A" w14:textId="33C95752"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4A.2 Simplified outline of this Part</w:t>
      </w:r>
      <w:r>
        <w:rPr>
          <w:noProof/>
        </w:rPr>
        <w:tab/>
      </w:r>
      <w:r>
        <w:rPr>
          <w:noProof/>
        </w:rPr>
        <w:fldChar w:fldCharType="begin"/>
      </w:r>
      <w:r>
        <w:rPr>
          <w:noProof/>
        </w:rPr>
        <w:instrText xml:space="preserve"> PAGEREF _Toc77064928 \h </w:instrText>
      </w:r>
      <w:r>
        <w:rPr>
          <w:noProof/>
        </w:rPr>
      </w:r>
      <w:r>
        <w:rPr>
          <w:noProof/>
        </w:rPr>
        <w:fldChar w:fldCharType="separate"/>
      </w:r>
      <w:r w:rsidR="002F429D">
        <w:rPr>
          <w:noProof/>
        </w:rPr>
        <w:t>80</w:t>
      </w:r>
      <w:r>
        <w:rPr>
          <w:noProof/>
        </w:rPr>
        <w:fldChar w:fldCharType="end"/>
      </w:r>
    </w:p>
    <w:p w14:paraId="31D8FA24" w14:textId="6583FB43" w:rsidR="000F7228" w:rsidRDefault="000F7228">
      <w:pPr>
        <w:pStyle w:val="TOC3"/>
        <w:rPr>
          <w:rFonts w:asciiTheme="minorHAnsi" w:eastAsiaTheme="minorEastAsia" w:hAnsiTheme="minorHAnsi" w:cstheme="minorBidi"/>
          <w:b w:val="0"/>
          <w:noProof/>
          <w:kern w:val="0"/>
          <w:szCs w:val="22"/>
        </w:rPr>
      </w:pPr>
      <w:r w:rsidRPr="003C3E47">
        <w:rPr>
          <w:noProof/>
          <w:color w:val="0000FF"/>
          <w:lang w:val="en-US"/>
        </w:rPr>
        <w:t>Division  4A.2A— Disclosure options</w:t>
      </w:r>
      <w:r>
        <w:rPr>
          <w:noProof/>
        </w:rPr>
        <w:tab/>
      </w:r>
      <w:r>
        <w:rPr>
          <w:noProof/>
        </w:rPr>
        <w:fldChar w:fldCharType="begin"/>
      </w:r>
      <w:r>
        <w:rPr>
          <w:noProof/>
        </w:rPr>
        <w:instrText xml:space="preserve"> PAGEREF _Toc77064929 \h </w:instrText>
      </w:r>
      <w:r>
        <w:rPr>
          <w:noProof/>
        </w:rPr>
      </w:r>
      <w:r>
        <w:rPr>
          <w:noProof/>
        </w:rPr>
        <w:fldChar w:fldCharType="separate"/>
      </w:r>
      <w:r w:rsidR="002F429D">
        <w:rPr>
          <w:noProof/>
        </w:rPr>
        <w:t>81</w:t>
      </w:r>
      <w:r>
        <w:rPr>
          <w:noProof/>
        </w:rPr>
        <w:fldChar w:fldCharType="end"/>
      </w:r>
    </w:p>
    <w:p w14:paraId="6C01036D" w14:textId="456D37E1"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4A.3 Simplified outline of this Division</w:t>
      </w:r>
      <w:r>
        <w:rPr>
          <w:noProof/>
        </w:rPr>
        <w:tab/>
      </w:r>
      <w:r>
        <w:rPr>
          <w:noProof/>
        </w:rPr>
        <w:fldChar w:fldCharType="begin"/>
      </w:r>
      <w:r>
        <w:rPr>
          <w:noProof/>
        </w:rPr>
        <w:instrText xml:space="preserve"> PAGEREF _Toc77064930 \h </w:instrText>
      </w:r>
      <w:r>
        <w:rPr>
          <w:noProof/>
        </w:rPr>
      </w:r>
      <w:r>
        <w:rPr>
          <w:noProof/>
        </w:rPr>
        <w:fldChar w:fldCharType="separate"/>
      </w:r>
      <w:r w:rsidR="002F429D">
        <w:rPr>
          <w:noProof/>
        </w:rPr>
        <w:t>81</w:t>
      </w:r>
      <w:r>
        <w:rPr>
          <w:noProof/>
        </w:rPr>
        <w:fldChar w:fldCharType="end"/>
      </w:r>
    </w:p>
    <w:p w14:paraId="7DED7051" w14:textId="10FD664E"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4A.4 Disclosure options for joint accounts</w:t>
      </w:r>
      <w:r>
        <w:rPr>
          <w:noProof/>
        </w:rPr>
        <w:tab/>
      </w:r>
      <w:r>
        <w:rPr>
          <w:noProof/>
        </w:rPr>
        <w:fldChar w:fldCharType="begin"/>
      </w:r>
      <w:r>
        <w:rPr>
          <w:noProof/>
        </w:rPr>
        <w:instrText xml:space="preserve"> PAGEREF _Toc77064931 \h </w:instrText>
      </w:r>
      <w:r>
        <w:rPr>
          <w:noProof/>
        </w:rPr>
      </w:r>
      <w:r>
        <w:rPr>
          <w:noProof/>
        </w:rPr>
        <w:fldChar w:fldCharType="separate"/>
      </w:r>
      <w:r w:rsidR="002F429D">
        <w:rPr>
          <w:noProof/>
        </w:rPr>
        <w:t>81</w:t>
      </w:r>
      <w:r>
        <w:rPr>
          <w:noProof/>
        </w:rPr>
        <w:fldChar w:fldCharType="end"/>
      </w:r>
    </w:p>
    <w:p w14:paraId="18FAE038" w14:textId="170E4976"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4A.5 Obligation to provide disclosure option management service</w:t>
      </w:r>
      <w:r>
        <w:rPr>
          <w:noProof/>
        </w:rPr>
        <w:tab/>
      </w:r>
      <w:r>
        <w:rPr>
          <w:noProof/>
        </w:rPr>
        <w:fldChar w:fldCharType="begin"/>
      </w:r>
      <w:r>
        <w:rPr>
          <w:noProof/>
        </w:rPr>
        <w:instrText xml:space="preserve"> PAGEREF _Toc77064932 \h </w:instrText>
      </w:r>
      <w:r>
        <w:rPr>
          <w:noProof/>
        </w:rPr>
      </w:r>
      <w:r>
        <w:rPr>
          <w:noProof/>
        </w:rPr>
        <w:fldChar w:fldCharType="separate"/>
      </w:r>
      <w:r w:rsidR="002F429D">
        <w:rPr>
          <w:noProof/>
        </w:rPr>
        <w:t>82</w:t>
      </w:r>
      <w:r>
        <w:rPr>
          <w:noProof/>
        </w:rPr>
        <w:fldChar w:fldCharType="end"/>
      </w:r>
    </w:p>
    <w:p w14:paraId="6B788382" w14:textId="16C5D5E2"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4A.6  Obligation to inform joint account holders</w:t>
      </w:r>
      <w:r>
        <w:rPr>
          <w:noProof/>
        </w:rPr>
        <w:tab/>
      </w:r>
      <w:r>
        <w:rPr>
          <w:noProof/>
        </w:rPr>
        <w:fldChar w:fldCharType="begin"/>
      </w:r>
      <w:r>
        <w:rPr>
          <w:noProof/>
        </w:rPr>
        <w:instrText xml:space="preserve"> PAGEREF _Toc77064933 \h </w:instrText>
      </w:r>
      <w:r>
        <w:rPr>
          <w:noProof/>
        </w:rPr>
      </w:r>
      <w:r>
        <w:rPr>
          <w:noProof/>
        </w:rPr>
        <w:fldChar w:fldCharType="separate"/>
      </w:r>
      <w:r w:rsidR="002F429D">
        <w:rPr>
          <w:noProof/>
        </w:rPr>
        <w:t>83</w:t>
      </w:r>
      <w:r>
        <w:rPr>
          <w:noProof/>
        </w:rPr>
        <w:fldChar w:fldCharType="end"/>
      </w:r>
    </w:p>
    <w:p w14:paraId="0959F0CA" w14:textId="3FA1A402"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 xml:space="preserve">4A.7 </w:t>
      </w:r>
      <w:r w:rsidRPr="003C3E47">
        <w:rPr>
          <w:noProof/>
          <w:color w:val="0000FF"/>
        </w:rPr>
        <w:t xml:space="preserve"> Changing to a more restrictive non-disclosure option</w:t>
      </w:r>
      <w:r>
        <w:rPr>
          <w:noProof/>
        </w:rPr>
        <w:tab/>
      </w:r>
      <w:r>
        <w:rPr>
          <w:noProof/>
        </w:rPr>
        <w:fldChar w:fldCharType="begin"/>
      </w:r>
      <w:r>
        <w:rPr>
          <w:noProof/>
        </w:rPr>
        <w:instrText xml:space="preserve"> PAGEREF _Toc77064934 \h </w:instrText>
      </w:r>
      <w:r>
        <w:rPr>
          <w:noProof/>
        </w:rPr>
      </w:r>
      <w:r>
        <w:rPr>
          <w:noProof/>
        </w:rPr>
        <w:fldChar w:fldCharType="separate"/>
      </w:r>
      <w:r w:rsidR="002F429D">
        <w:rPr>
          <w:noProof/>
        </w:rPr>
        <w:t>84</w:t>
      </w:r>
      <w:r>
        <w:rPr>
          <w:noProof/>
        </w:rPr>
        <w:fldChar w:fldCharType="end"/>
      </w:r>
    </w:p>
    <w:p w14:paraId="5A7731D9" w14:textId="0788C103"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 xml:space="preserve">4A.8 </w:t>
      </w:r>
      <w:r w:rsidRPr="003C3E47">
        <w:rPr>
          <w:noProof/>
          <w:color w:val="0000FF"/>
        </w:rPr>
        <w:t xml:space="preserve"> Obtaining agreement on change to a less restrictive disclosure option</w:t>
      </w:r>
      <w:r>
        <w:rPr>
          <w:noProof/>
        </w:rPr>
        <w:tab/>
      </w:r>
      <w:r>
        <w:rPr>
          <w:noProof/>
        </w:rPr>
        <w:fldChar w:fldCharType="begin"/>
      </w:r>
      <w:r>
        <w:rPr>
          <w:noProof/>
        </w:rPr>
        <w:instrText xml:space="preserve"> PAGEREF _Toc77064935 \h </w:instrText>
      </w:r>
      <w:r>
        <w:rPr>
          <w:noProof/>
        </w:rPr>
      </w:r>
      <w:r>
        <w:rPr>
          <w:noProof/>
        </w:rPr>
        <w:fldChar w:fldCharType="separate"/>
      </w:r>
      <w:r w:rsidR="002F429D">
        <w:rPr>
          <w:noProof/>
        </w:rPr>
        <w:t>84</w:t>
      </w:r>
      <w:r>
        <w:rPr>
          <w:noProof/>
        </w:rPr>
        <w:fldChar w:fldCharType="end"/>
      </w:r>
    </w:p>
    <w:p w14:paraId="29C04214" w14:textId="41223217" w:rsidR="000F7228" w:rsidRDefault="000F7228">
      <w:pPr>
        <w:pStyle w:val="TOC3"/>
        <w:rPr>
          <w:rFonts w:asciiTheme="minorHAnsi" w:eastAsiaTheme="minorEastAsia" w:hAnsiTheme="minorHAnsi" w:cstheme="minorBidi"/>
          <w:b w:val="0"/>
          <w:noProof/>
          <w:kern w:val="0"/>
          <w:szCs w:val="22"/>
        </w:rPr>
      </w:pPr>
      <w:r w:rsidRPr="003C3E47">
        <w:rPr>
          <w:noProof/>
          <w:color w:val="0000FF"/>
        </w:rPr>
        <w:t>Division 4A.3—Consumer data requests that relate to joint accounts</w:t>
      </w:r>
      <w:r>
        <w:rPr>
          <w:noProof/>
        </w:rPr>
        <w:tab/>
      </w:r>
      <w:r>
        <w:rPr>
          <w:noProof/>
        </w:rPr>
        <w:fldChar w:fldCharType="begin"/>
      </w:r>
      <w:r>
        <w:rPr>
          <w:noProof/>
        </w:rPr>
        <w:instrText xml:space="preserve"> PAGEREF _Toc77064936 \h </w:instrText>
      </w:r>
      <w:r>
        <w:rPr>
          <w:noProof/>
        </w:rPr>
      </w:r>
      <w:r>
        <w:rPr>
          <w:noProof/>
        </w:rPr>
        <w:fldChar w:fldCharType="separate"/>
      </w:r>
      <w:r w:rsidR="002F429D">
        <w:rPr>
          <w:noProof/>
        </w:rPr>
        <w:t>85</w:t>
      </w:r>
      <w:r>
        <w:rPr>
          <w:noProof/>
        </w:rPr>
        <w:fldChar w:fldCharType="end"/>
      </w:r>
    </w:p>
    <w:p w14:paraId="4FB3B07D" w14:textId="0D641E52" w:rsidR="000F7228" w:rsidRDefault="000F7228">
      <w:pPr>
        <w:pStyle w:val="TOC4"/>
        <w:rPr>
          <w:rFonts w:asciiTheme="minorHAnsi" w:eastAsiaTheme="minorEastAsia" w:hAnsiTheme="minorHAnsi" w:cstheme="minorBidi"/>
          <w:b w:val="0"/>
          <w:noProof/>
          <w:kern w:val="0"/>
          <w:sz w:val="22"/>
          <w:szCs w:val="22"/>
        </w:rPr>
      </w:pPr>
      <w:r w:rsidRPr="003C3E47">
        <w:rPr>
          <w:noProof/>
          <w:color w:val="0000FF"/>
        </w:rPr>
        <w:t>Subdivision 4A.3.1—Preliminary</w:t>
      </w:r>
      <w:r>
        <w:rPr>
          <w:noProof/>
        </w:rPr>
        <w:tab/>
      </w:r>
      <w:r>
        <w:rPr>
          <w:noProof/>
        </w:rPr>
        <w:fldChar w:fldCharType="begin"/>
      </w:r>
      <w:r>
        <w:rPr>
          <w:noProof/>
        </w:rPr>
        <w:instrText xml:space="preserve"> PAGEREF _Toc77064937 \h </w:instrText>
      </w:r>
      <w:r>
        <w:rPr>
          <w:noProof/>
        </w:rPr>
      </w:r>
      <w:r>
        <w:rPr>
          <w:noProof/>
        </w:rPr>
        <w:fldChar w:fldCharType="separate"/>
      </w:r>
      <w:r w:rsidR="002F429D">
        <w:rPr>
          <w:noProof/>
        </w:rPr>
        <w:t>85</w:t>
      </w:r>
      <w:r>
        <w:rPr>
          <w:noProof/>
        </w:rPr>
        <w:fldChar w:fldCharType="end"/>
      </w:r>
    </w:p>
    <w:p w14:paraId="3B86803B" w14:textId="790A32E8"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4A.9 Application of Division</w:t>
      </w:r>
      <w:r>
        <w:rPr>
          <w:noProof/>
        </w:rPr>
        <w:tab/>
      </w:r>
      <w:r>
        <w:rPr>
          <w:noProof/>
        </w:rPr>
        <w:fldChar w:fldCharType="begin"/>
      </w:r>
      <w:r>
        <w:rPr>
          <w:noProof/>
        </w:rPr>
        <w:instrText xml:space="preserve"> PAGEREF _Toc77064938 \h </w:instrText>
      </w:r>
      <w:r>
        <w:rPr>
          <w:noProof/>
        </w:rPr>
      </w:r>
      <w:r>
        <w:rPr>
          <w:noProof/>
        </w:rPr>
        <w:fldChar w:fldCharType="separate"/>
      </w:r>
      <w:r w:rsidR="002F429D">
        <w:rPr>
          <w:noProof/>
        </w:rPr>
        <w:t>85</w:t>
      </w:r>
      <w:r>
        <w:rPr>
          <w:noProof/>
        </w:rPr>
        <w:fldChar w:fldCharType="end"/>
      </w:r>
    </w:p>
    <w:p w14:paraId="31F22296" w14:textId="6E497624"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4A.10 Interpretation</w:t>
      </w:r>
      <w:r>
        <w:rPr>
          <w:noProof/>
        </w:rPr>
        <w:tab/>
      </w:r>
      <w:r>
        <w:rPr>
          <w:noProof/>
        </w:rPr>
        <w:fldChar w:fldCharType="begin"/>
      </w:r>
      <w:r>
        <w:rPr>
          <w:noProof/>
        </w:rPr>
        <w:instrText xml:space="preserve"> PAGEREF _Toc77064939 \h </w:instrText>
      </w:r>
      <w:r>
        <w:rPr>
          <w:noProof/>
        </w:rPr>
      </w:r>
      <w:r>
        <w:rPr>
          <w:noProof/>
        </w:rPr>
        <w:fldChar w:fldCharType="separate"/>
      </w:r>
      <w:r w:rsidR="002F429D">
        <w:rPr>
          <w:noProof/>
        </w:rPr>
        <w:t>85</w:t>
      </w:r>
      <w:r>
        <w:rPr>
          <w:noProof/>
        </w:rPr>
        <w:fldChar w:fldCharType="end"/>
      </w:r>
    </w:p>
    <w:p w14:paraId="3125B573" w14:textId="051AC653" w:rsidR="000F7228" w:rsidRDefault="000F7228">
      <w:pPr>
        <w:pStyle w:val="TOC4"/>
        <w:rPr>
          <w:rFonts w:asciiTheme="minorHAnsi" w:eastAsiaTheme="minorEastAsia" w:hAnsiTheme="minorHAnsi" w:cstheme="minorBidi"/>
          <w:b w:val="0"/>
          <w:noProof/>
          <w:kern w:val="0"/>
          <w:sz w:val="22"/>
          <w:szCs w:val="22"/>
        </w:rPr>
      </w:pPr>
      <w:r w:rsidRPr="003C3E47">
        <w:rPr>
          <w:noProof/>
          <w:color w:val="0000FF"/>
          <w:lang w:val="en-US"/>
        </w:rPr>
        <w:t>Subdivision  4A.3.2</w:t>
      </w:r>
      <w:r w:rsidRPr="003C3E47">
        <w:rPr>
          <w:noProof/>
          <w:color w:val="0000FF"/>
        </w:rPr>
        <w:t>—</w:t>
      </w:r>
      <w:r w:rsidRPr="003C3E47">
        <w:rPr>
          <w:noProof/>
          <w:color w:val="0000FF"/>
          <w:lang w:val="en-US"/>
        </w:rPr>
        <w:t xml:space="preserve">How </w:t>
      </w:r>
      <w:r w:rsidRPr="003C3E47">
        <w:rPr>
          <w:noProof/>
          <w:color w:val="0000FF"/>
        </w:rPr>
        <w:t>consumer data requests to data holders under Part 4 that relate to joint accounts are handled</w:t>
      </w:r>
      <w:r>
        <w:rPr>
          <w:noProof/>
        </w:rPr>
        <w:tab/>
      </w:r>
      <w:r>
        <w:rPr>
          <w:noProof/>
        </w:rPr>
        <w:fldChar w:fldCharType="begin"/>
      </w:r>
      <w:r>
        <w:rPr>
          <w:noProof/>
        </w:rPr>
        <w:instrText xml:space="preserve"> PAGEREF _Toc77064940 \h </w:instrText>
      </w:r>
      <w:r>
        <w:rPr>
          <w:noProof/>
        </w:rPr>
      </w:r>
      <w:r>
        <w:rPr>
          <w:noProof/>
        </w:rPr>
        <w:fldChar w:fldCharType="separate"/>
      </w:r>
      <w:r w:rsidR="002F429D">
        <w:rPr>
          <w:noProof/>
        </w:rPr>
        <w:t>85</w:t>
      </w:r>
      <w:r>
        <w:rPr>
          <w:noProof/>
        </w:rPr>
        <w:fldChar w:fldCharType="end"/>
      </w:r>
    </w:p>
    <w:p w14:paraId="0EAED845" w14:textId="2EA93F4A"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 xml:space="preserve">4A.11 </w:t>
      </w:r>
      <w:r w:rsidRPr="003C3E47">
        <w:rPr>
          <w:noProof/>
          <w:color w:val="0000FF"/>
        </w:rPr>
        <w:t>How data holder is to deal with a consumer data request</w:t>
      </w:r>
      <w:r>
        <w:rPr>
          <w:noProof/>
        </w:rPr>
        <w:tab/>
      </w:r>
      <w:r>
        <w:rPr>
          <w:noProof/>
        </w:rPr>
        <w:fldChar w:fldCharType="begin"/>
      </w:r>
      <w:r>
        <w:rPr>
          <w:noProof/>
        </w:rPr>
        <w:instrText xml:space="preserve"> PAGEREF _Toc77064941 \h </w:instrText>
      </w:r>
      <w:r>
        <w:rPr>
          <w:noProof/>
        </w:rPr>
      </w:r>
      <w:r>
        <w:rPr>
          <w:noProof/>
        </w:rPr>
        <w:fldChar w:fldCharType="separate"/>
      </w:r>
      <w:r w:rsidR="002F429D">
        <w:rPr>
          <w:noProof/>
        </w:rPr>
        <w:t>85</w:t>
      </w:r>
      <w:r>
        <w:rPr>
          <w:noProof/>
        </w:rPr>
        <w:fldChar w:fldCharType="end"/>
      </w:r>
    </w:p>
    <w:p w14:paraId="64AB7A39" w14:textId="186FEB6A"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 xml:space="preserve">4A.12 </w:t>
      </w:r>
      <w:r w:rsidRPr="003C3E47">
        <w:rPr>
          <w:noProof/>
          <w:color w:val="0000FF"/>
        </w:rPr>
        <w:t>Asking relevant account holders for approval to disclose joint account data</w:t>
      </w:r>
      <w:r>
        <w:rPr>
          <w:noProof/>
        </w:rPr>
        <w:tab/>
      </w:r>
      <w:r>
        <w:rPr>
          <w:noProof/>
        </w:rPr>
        <w:fldChar w:fldCharType="begin"/>
      </w:r>
      <w:r>
        <w:rPr>
          <w:noProof/>
        </w:rPr>
        <w:instrText xml:space="preserve"> PAGEREF _Toc77064942 \h </w:instrText>
      </w:r>
      <w:r>
        <w:rPr>
          <w:noProof/>
        </w:rPr>
      </w:r>
      <w:r>
        <w:rPr>
          <w:noProof/>
        </w:rPr>
        <w:fldChar w:fldCharType="separate"/>
      </w:r>
      <w:r w:rsidR="002F429D">
        <w:rPr>
          <w:noProof/>
        </w:rPr>
        <w:t>86</w:t>
      </w:r>
      <w:r>
        <w:rPr>
          <w:noProof/>
        </w:rPr>
        <w:fldChar w:fldCharType="end"/>
      </w:r>
    </w:p>
    <w:p w14:paraId="217CCE86" w14:textId="5B9D905A"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 xml:space="preserve">4A.13 </w:t>
      </w:r>
      <w:r w:rsidRPr="003C3E47">
        <w:rPr>
          <w:noProof/>
          <w:color w:val="0000FF"/>
        </w:rPr>
        <w:t>Continuation and removal of approvals</w:t>
      </w:r>
      <w:r>
        <w:rPr>
          <w:noProof/>
        </w:rPr>
        <w:tab/>
      </w:r>
      <w:r>
        <w:rPr>
          <w:noProof/>
        </w:rPr>
        <w:fldChar w:fldCharType="begin"/>
      </w:r>
      <w:r>
        <w:rPr>
          <w:noProof/>
        </w:rPr>
        <w:instrText xml:space="preserve"> PAGEREF _Toc77064943 \h </w:instrText>
      </w:r>
      <w:r>
        <w:rPr>
          <w:noProof/>
        </w:rPr>
      </w:r>
      <w:r>
        <w:rPr>
          <w:noProof/>
        </w:rPr>
        <w:fldChar w:fldCharType="separate"/>
      </w:r>
      <w:r w:rsidR="002F429D">
        <w:rPr>
          <w:noProof/>
        </w:rPr>
        <w:t>86</w:t>
      </w:r>
      <w:r>
        <w:rPr>
          <w:noProof/>
        </w:rPr>
        <w:fldChar w:fldCharType="end"/>
      </w:r>
    </w:p>
    <w:p w14:paraId="4C0BC126" w14:textId="0EBBE499" w:rsidR="000F7228" w:rsidRDefault="000F7228">
      <w:pPr>
        <w:pStyle w:val="TOC5"/>
        <w:rPr>
          <w:rFonts w:asciiTheme="minorHAnsi" w:eastAsiaTheme="minorEastAsia" w:hAnsiTheme="minorHAnsi" w:cstheme="minorBidi"/>
          <w:noProof/>
          <w:kern w:val="0"/>
          <w:sz w:val="22"/>
          <w:szCs w:val="22"/>
        </w:rPr>
      </w:pPr>
      <w:r w:rsidRPr="003C3E47">
        <w:rPr>
          <w:noProof/>
          <w:color w:val="0000FF"/>
          <w:lang w:val="en-US"/>
        </w:rPr>
        <w:t>4A.14  Joint account data the data holder is authorised to disclose</w:t>
      </w:r>
      <w:r>
        <w:rPr>
          <w:noProof/>
        </w:rPr>
        <w:tab/>
      </w:r>
      <w:r>
        <w:rPr>
          <w:noProof/>
        </w:rPr>
        <w:fldChar w:fldCharType="begin"/>
      </w:r>
      <w:r>
        <w:rPr>
          <w:noProof/>
        </w:rPr>
        <w:instrText xml:space="preserve"> PAGEREF _Toc77064944 \h </w:instrText>
      </w:r>
      <w:r>
        <w:rPr>
          <w:noProof/>
        </w:rPr>
      </w:r>
      <w:r>
        <w:rPr>
          <w:noProof/>
        </w:rPr>
        <w:fldChar w:fldCharType="separate"/>
      </w:r>
      <w:r w:rsidR="002F429D">
        <w:rPr>
          <w:noProof/>
        </w:rPr>
        <w:t>87</w:t>
      </w:r>
      <w:r>
        <w:rPr>
          <w:noProof/>
        </w:rPr>
        <w:fldChar w:fldCharType="end"/>
      </w:r>
    </w:p>
    <w:p w14:paraId="79FD99CE" w14:textId="295868BD" w:rsidR="000F7228" w:rsidRDefault="000F7228">
      <w:pPr>
        <w:pStyle w:val="TOC5"/>
        <w:rPr>
          <w:rFonts w:asciiTheme="minorHAnsi" w:eastAsiaTheme="minorEastAsia" w:hAnsiTheme="minorHAnsi" w:cstheme="minorBidi"/>
          <w:noProof/>
          <w:kern w:val="0"/>
          <w:sz w:val="22"/>
          <w:szCs w:val="22"/>
        </w:rPr>
      </w:pPr>
      <w:r w:rsidRPr="003C3E47">
        <w:rPr>
          <w:noProof/>
          <w:color w:val="0000FF"/>
        </w:rPr>
        <w:t>4A.15  Consumer dashboard for joint account holders</w:t>
      </w:r>
      <w:r>
        <w:rPr>
          <w:noProof/>
        </w:rPr>
        <w:tab/>
      </w:r>
      <w:r>
        <w:rPr>
          <w:noProof/>
        </w:rPr>
        <w:fldChar w:fldCharType="begin"/>
      </w:r>
      <w:r>
        <w:rPr>
          <w:noProof/>
        </w:rPr>
        <w:instrText xml:space="preserve"> PAGEREF _Toc77064945 \h </w:instrText>
      </w:r>
      <w:r>
        <w:rPr>
          <w:noProof/>
        </w:rPr>
      </w:r>
      <w:r>
        <w:rPr>
          <w:noProof/>
        </w:rPr>
        <w:fldChar w:fldCharType="separate"/>
      </w:r>
      <w:r w:rsidR="002F429D">
        <w:rPr>
          <w:noProof/>
        </w:rPr>
        <w:t>88</w:t>
      </w:r>
      <w:r>
        <w:rPr>
          <w:noProof/>
        </w:rPr>
        <w:fldChar w:fldCharType="end"/>
      </w:r>
    </w:p>
    <w:p w14:paraId="11026D39" w14:textId="66957DC7" w:rsidR="000F7228" w:rsidRDefault="000F7228">
      <w:pPr>
        <w:pStyle w:val="TOC5"/>
        <w:rPr>
          <w:rFonts w:asciiTheme="minorHAnsi" w:eastAsiaTheme="minorEastAsia" w:hAnsiTheme="minorHAnsi" w:cstheme="minorBidi"/>
          <w:noProof/>
          <w:kern w:val="0"/>
          <w:sz w:val="22"/>
          <w:szCs w:val="22"/>
        </w:rPr>
      </w:pPr>
      <w:r w:rsidRPr="003C3E47">
        <w:rPr>
          <w:noProof/>
          <w:color w:val="0000FF"/>
        </w:rPr>
        <w:t>4A.16 Notification requirements for consumer data requests on joint accounts</w:t>
      </w:r>
      <w:r>
        <w:rPr>
          <w:noProof/>
        </w:rPr>
        <w:tab/>
      </w:r>
      <w:r>
        <w:rPr>
          <w:noProof/>
        </w:rPr>
        <w:fldChar w:fldCharType="begin"/>
      </w:r>
      <w:r>
        <w:rPr>
          <w:noProof/>
        </w:rPr>
        <w:instrText xml:space="preserve"> PAGEREF _Toc77064946 \h </w:instrText>
      </w:r>
      <w:r>
        <w:rPr>
          <w:noProof/>
        </w:rPr>
      </w:r>
      <w:r>
        <w:rPr>
          <w:noProof/>
        </w:rPr>
        <w:fldChar w:fldCharType="separate"/>
      </w:r>
      <w:r w:rsidR="002F429D">
        <w:rPr>
          <w:noProof/>
        </w:rPr>
        <w:t>89</w:t>
      </w:r>
      <w:r>
        <w:rPr>
          <w:noProof/>
        </w:rPr>
        <w:fldChar w:fldCharType="end"/>
      </w:r>
    </w:p>
    <w:p w14:paraId="2524E113" w14:textId="7C3DF9F3" w:rsidR="000F7228" w:rsidRDefault="000F7228">
      <w:pPr>
        <w:pStyle w:val="TOC2"/>
        <w:rPr>
          <w:rFonts w:asciiTheme="minorHAnsi" w:eastAsiaTheme="minorEastAsia" w:hAnsiTheme="minorHAnsi" w:cstheme="minorBidi"/>
          <w:b w:val="0"/>
          <w:noProof/>
          <w:kern w:val="0"/>
          <w:sz w:val="22"/>
          <w:szCs w:val="22"/>
        </w:rPr>
      </w:pPr>
      <w:r>
        <w:rPr>
          <w:noProof/>
        </w:rPr>
        <w:t>Part 5—Rules relating to accreditation etc.</w:t>
      </w:r>
      <w:r>
        <w:rPr>
          <w:noProof/>
        </w:rPr>
        <w:tab/>
      </w:r>
      <w:r>
        <w:rPr>
          <w:noProof/>
        </w:rPr>
        <w:fldChar w:fldCharType="begin"/>
      </w:r>
      <w:r>
        <w:rPr>
          <w:noProof/>
        </w:rPr>
        <w:instrText xml:space="preserve"> PAGEREF _Toc77064947 \h </w:instrText>
      </w:r>
      <w:r>
        <w:rPr>
          <w:noProof/>
        </w:rPr>
      </w:r>
      <w:r>
        <w:rPr>
          <w:noProof/>
        </w:rPr>
        <w:fldChar w:fldCharType="separate"/>
      </w:r>
      <w:r w:rsidR="002F429D">
        <w:rPr>
          <w:noProof/>
        </w:rPr>
        <w:t>89</w:t>
      </w:r>
      <w:r>
        <w:rPr>
          <w:noProof/>
        </w:rPr>
        <w:fldChar w:fldCharType="end"/>
      </w:r>
    </w:p>
    <w:p w14:paraId="12DB66AE" w14:textId="6532901A" w:rsidR="000F7228" w:rsidRDefault="000F7228">
      <w:pPr>
        <w:pStyle w:val="TOC3"/>
        <w:rPr>
          <w:rFonts w:asciiTheme="minorHAnsi" w:eastAsiaTheme="minorEastAsia" w:hAnsiTheme="minorHAnsi" w:cstheme="minorBidi"/>
          <w:b w:val="0"/>
          <w:noProof/>
          <w:kern w:val="0"/>
          <w:szCs w:val="22"/>
        </w:rPr>
      </w:pPr>
      <w:r w:rsidRPr="003C3E47">
        <w:rPr>
          <w:noProof/>
          <w:color w:val="000000"/>
        </w:rPr>
        <w:t>Division 5.1—Preliminary</w:t>
      </w:r>
      <w:r>
        <w:rPr>
          <w:noProof/>
        </w:rPr>
        <w:tab/>
      </w:r>
      <w:r>
        <w:rPr>
          <w:noProof/>
        </w:rPr>
        <w:fldChar w:fldCharType="begin"/>
      </w:r>
      <w:r>
        <w:rPr>
          <w:noProof/>
        </w:rPr>
        <w:instrText xml:space="preserve"> PAGEREF _Toc77064948 \h </w:instrText>
      </w:r>
      <w:r>
        <w:rPr>
          <w:noProof/>
        </w:rPr>
      </w:r>
      <w:r>
        <w:rPr>
          <w:noProof/>
        </w:rPr>
        <w:fldChar w:fldCharType="separate"/>
      </w:r>
      <w:r w:rsidR="002F429D">
        <w:rPr>
          <w:noProof/>
        </w:rPr>
        <w:t>89</w:t>
      </w:r>
      <w:r>
        <w:rPr>
          <w:noProof/>
        </w:rPr>
        <w:fldChar w:fldCharType="end"/>
      </w:r>
    </w:p>
    <w:p w14:paraId="05FECD59" w14:textId="298F46E5" w:rsidR="000F7228" w:rsidRDefault="000F7228">
      <w:pPr>
        <w:pStyle w:val="TOC5"/>
        <w:rPr>
          <w:rFonts w:asciiTheme="minorHAnsi" w:eastAsiaTheme="minorEastAsia" w:hAnsiTheme="minorHAnsi" w:cstheme="minorBidi"/>
          <w:noProof/>
          <w:kern w:val="0"/>
          <w:sz w:val="22"/>
          <w:szCs w:val="22"/>
        </w:rPr>
      </w:pPr>
      <w:r w:rsidRPr="003C3E47">
        <w:rPr>
          <w:noProof/>
          <w:color w:val="000000"/>
        </w:rPr>
        <w:t>5.1  Simplified outline of this Part</w:t>
      </w:r>
      <w:r>
        <w:rPr>
          <w:noProof/>
        </w:rPr>
        <w:tab/>
      </w:r>
      <w:r>
        <w:rPr>
          <w:noProof/>
        </w:rPr>
        <w:fldChar w:fldCharType="begin"/>
      </w:r>
      <w:r>
        <w:rPr>
          <w:noProof/>
        </w:rPr>
        <w:instrText xml:space="preserve"> PAGEREF _Toc77064949 \h </w:instrText>
      </w:r>
      <w:r>
        <w:rPr>
          <w:noProof/>
        </w:rPr>
      </w:r>
      <w:r>
        <w:rPr>
          <w:noProof/>
        </w:rPr>
        <w:fldChar w:fldCharType="separate"/>
      </w:r>
      <w:r w:rsidR="002F429D">
        <w:rPr>
          <w:noProof/>
        </w:rPr>
        <w:t>89</w:t>
      </w:r>
      <w:r>
        <w:rPr>
          <w:noProof/>
        </w:rPr>
        <w:fldChar w:fldCharType="end"/>
      </w:r>
    </w:p>
    <w:p w14:paraId="1B188249" w14:textId="1B0CB89E" w:rsidR="000F7228" w:rsidRDefault="000F7228">
      <w:pPr>
        <w:pStyle w:val="TOC3"/>
        <w:rPr>
          <w:rFonts w:asciiTheme="minorHAnsi" w:eastAsiaTheme="minorEastAsia" w:hAnsiTheme="minorHAnsi" w:cstheme="minorBidi"/>
          <w:b w:val="0"/>
          <w:noProof/>
          <w:kern w:val="0"/>
          <w:szCs w:val="22"/>
        </w:rPr>
      </w:pPr>
      <w:r>
        <w:rPr>
          <w:noProof/>
        </w:rPr>
        <w:lastRenderedPageBreak/>
        <w:t>Division 5.2—Rules relating to accreditation process</w:t>
      </w:r>
      <w:r>
        <w:rPr>
          <w:noProof/>
        </w:rPr>
        <w:tab/>
      </w:r>
      <w:r>
        <w:rPr>
          <w:noProof/>
        </w:rPr>
        <w:fldChar w:fldCharType="begin"/>
      </w:r>
      <w:r>
        <w:rPr>
          <w:noProof/>
        </w:rPr>
        <w:instrText xml:space="preserve"> PAGEREF _Toc77064950 \h </w:instrText>
      </w:r>
      <w:r>
        <w:rPr>
          <w:noProof/>
        </w:rPr>
      </w:r>
      <w:r>
        <w:rPr>
          <w:noProof/>
        </w:rPr>
        <w:fldChar w:fldCharType="separate"/>
      </w:r>
      <w:r w:rsidR="002F429D">
        <w:rPr>
          <w:noProof/>
        </w:rPr>
        <w:t>91</w:t>
      </w:r>
      <w:r>
        <w:rPr>
          <w:noProof/>
        </w:rPr>
        <w:fldChar w:fldCharType="end"/>
      </w:r>
    </w:p>
    <w:p w14:paraId="164AF1C7" w14:textId="4AEC07D5" w:rsidR="000F7228" w:rsidRDefault="000F7228">
      <w:pPr>
        <w:pStyle w:val="TOC4"/>
        <w:rPr>
          <w:rFonts w:asciiTheme="minorHAnsi" w:eastAsiaTheme="minorEastAsia" w:hAnsiTheme="minorHAnsi" w:cstheme="minorBidi"/>
          <w:b w:val="0"/>
          <w:noProof/>
          <w:kern w:val="0"/>
          <w:sz w:val="22"/>
          <w:szCs w:val="22"/>
        </w:rPr>
      </w:pPr>
      <w:r w:rsidRPr="003C3E47">
        <w:rPr>
          <w:noProof/>
          <w:color w:val="0000FF"/>
        </w:rPr>
        <w:t>Subdivision 5.2.1A—Levels of accreditation</w:t>
      </w:r>
      <w:r>
        <w:rPr>
          <w:noProof/>
        </w:rPr>
        <w:tab/>
      </w:r>
      <w:r>
        <w:rPr>
          <w:noProof/>
        </w:rPr>
        <w:fldChar w:fldCharType="begin"/>
      </w:r>
      <w:r>
        <w:rPr>
          <w:noProof/>
        </w:rPr>
        <w:instrText xml:space="preserve"> PAGEREF _Toc77064951 \h </w:instrText>
      </w:r>
      <w:r>
        <w:rPr>
          <w:noProof/>
        </w:rPr>
      </w:r>
      <w:r>
        <w:rPr>
          <w:noProof/>
        </w:rPr>
        <w:fldChar w:fldCharType="separate"/>
      </w:r>
      <w:r w:rsidR="002F429D">
        <w:rPr>
          <w:noProof/>
        </w:rPr>
        <w:t>91</w:t>
      </w:r>
      <w:r>
        <w:rPr>
          <w:noProof/>
        </w:rPr>
        <w:fldChar w:fldCharType="end"/>
      </w:r>
    </w:p>
    <w:p w14:paraId="542A2F2A" w14:textId="6FA86845" w:rsidR="000F7228" w:rsidRDefault="000F7228">
      <w:pPr>
        <w:pStyle w:val="TOC5"/>
        <w:rPr>
          <w:rFonts w:asciiTheme="minorHAnsi" w:eastAsiaTheme="minorEastAsia" w:hAnsiTheme="minorHAnsi" w:cstheme="minorBidi"/>
          <w:noProof/>
          <w:kern w:val="0"/>
          <w:sz w:val="22"/>
          <w:szCs w:val="22"/>
        </w:rPr>
      </w:pPr>
      <w:r w:rsidRPr="003C3E47">
        <w:rPr>
          <w:noProof/>
          <w:color w:val="0000FF"/>
        </w:rPr>
        <w:t>5.1A  Levels of accreditation</w:t>
      </w:r>
      <w:r>
        <w:rPr>
          <w:noProof/>
        </w:rPr>
        <w:tab/>
      </w:r>
      <w:r>
        <w:rPr>
          <w:noProof/>
        </w:rPr>
        <w:fldChar w:fldCharType="begin"/>
      </w:r>
      <w:r>
        <w:rPr>
          <w:noProof/>
        </w:rPr>
        <w:instrText xml:space="preserve"> PAGEREF _Toc77064952 \h </w:instrText>
      </w:r>
      <w:r>
        <w:rPr>
          <w:noProof/>
        </w:rPr>
      </w:r>
      <w:r>
        <w:rPr>
          <w:noProof/>
        </w:rPr>
        <w:fldChar w:fldCharType="separate"/>
      </w:r>
      <w:r w:rsidR="002F429D">
        <w:rPr>
          <w:noProof/>
        </w:rPr>
        <w:t>91</w:t>
      </w:r>
      <w:r>
        <w:rPr>
          <w:noProof/>
        </w:rPr>
        <w:fldChar w:fldCharType="end"/>
      </w:r>
    </w:p>
    <w:p w14:paraId="71605039" w14:textId="7D5B9B67" w:rsidR="000F7228" w:rsidRDefault="000F7228">
      <w:pPr>
        <w:pStyle w:val="TOC5"/>
        <w:rPr>
          <w:rFonts w:asciiTheme="minorHAnsi" w:eastAsiaTheme="minorEastAsia" w:hAnsiTheme="minorHAnsi" w:cstheme="minorBidi"/>
          <w:noProof/>
          <w:kern w:val="0"/>
          <w:sz w:val="22"/>
          <w:szCs w:val="22"/>
        </w:rPr>
      </w:pPr>
      <w:r w:rsidRPr="003C3E47">
        <w:rPr>
          <w:noProof/>
          <w:color w:val="0000FF"/>
        </w:rPr>
        <w:t>5.1B  Sponsored accreditation</w:t>
      </w:r>
      <w:r>
        <w:rPr>
          <w:noProof/>
        </w:rPr>
        <w:tab/>
      </w:r>
      <w:r>
        <w:rPr>
          <w:noProof/>
        </w:rPr>
        <w:fldChar w:fldCharType="begin"/>
      </w:r>
      <w:r>
        <w:rPr>
          <w:noProof/>
        </w:rPr>
        <w:instrText xml:space="preserve"> PAGEREF _Toc77064953 \h </w:instrText>
      </w:r>
      <w:r>
        <w:rPr>
          <w:noProof/>
        </w:rPr>
      </w:r>
      <w:r>
        <w:rPr>
          <w:noProof/>
        </w:rPr>
        <w:fldChar w:fldCharType="separate"/>
      </w:r>
      <w:r w:rsidR="002F429D">
        <w:rPr>
          <w:noProof/>
        </w:rPr>
        <w:t>91</w:t>
      </w:r>
      <w:r>
        <w:rPr>
          <w:noProof/>
        </w:rPr>
        <w:fldChar w:fldCharType="end"/>
      </w:r>
    </w:p>
    <w:p w14:paraId="16F27F1D" w14:textId="5E96DF5E" w:rsidR="000F7228" w:rsidRDefault="000F7228">
      <w:pPr>
        <w:pStyle w:val="TOC4"/>
        <w:rPr>
          <w:rFonts w:asciiTheme="minorHAnsi" w:eastAsiaTheme="minorEastAsia" w:hAnsiTheme="minorHAnsi" w:cstheme="minorBidi"/>
          <w:b w:val="0"/>
          <w:noProof/>
          <w:kern w:val="0"/>
          <w:sz w:val="22"/>
          <w:szCs w:val="22"/>
        </w:rPr>
      </w:pPr>
      <w:r>
        <w:rPr>
          <w:noProof/>
        </w:rPr>
        <w:t>Subdivision 5.2.1—Applying to be accredited person</w:t>
      </w:r>
      <w:r>
        <w:rPr>
          <w:noProof/>
        </w:rPr>
        <w:tab/>
      </w:r>
      <w:r>
        <w:rPr>
          <w:noProof/>
        </w:rPr>
        <w:fldChar w:fldCharType="begin"/>
      </w:r>
      <w:r>
        <w:rPr>
          <w:noProof/>
        </w:rPr>
        <w:instrText xml:space="preserve"> PAGEREF _Toc77064954 \h </w:instrText>
      </w:r>
      <w:r>
        <w:rPr>
          <w:noProof/>
        </w:rPr>
      </w:r>
      <w:r>
        <w:rPr>
          <w:noProof/>
        </w:rPr>
        <w:fldChar w:fldCharType="separate"/>
      </w:r>
      <w:r w:rsidR="002F429D">
        <w:rPr>
          <w:noProof/>
        </w:rPr>
        <w:t>91</w:t>
      </w:r>
      <w:r>
        <w:rPr>
          <w:noProof/>
        </w:rPr>
        <w:fldChar w:fldCharType="end"/>
      </w:r>
    </w:p>
    <w:p w14:paraId="70033E4B" w14:textId="00141178" w:rsidR="000F7228" w:rsidRDefault="000F7228">
      <w:pPr>
        <w:pStyle w:val="TOC5"/>
        <w:rPr>
          <w:rFonts w:asciiTheme="minorHAnsi" w:eastAsiaTheme="minorEastAsia" w:hAnsiTheme="minorHAnsi" w:cstheme="minorBidi"/>
          <w:noProof/>
          <w:kern w:val="0"/>
          <w:sz w:val="22"/>
          <w:szCs w:val="22"/>
        </w:rPr>
      </w:pPr>
      <w:r>
        <w:rPr>
          <w:noProof/>
        </w:rPr>
        <w:t>5.2  Applying to be an accredited person</w:t>
      </w:r>
      <w:r>
        <w:rPr>
          <w:noProof/>
        </w:rPr>
        <w:tab/>
      </w:r>
      <w:r>
        <w:rPr>
          <w:noProof/>
        </w:rPr>
        <w:fldChar w:fldCharType="begin"/>
      </w:r>
      <w:r>
        <w:rPr>
          <w:noProof/>
        </w:rPr>
        <w:instrText xml:space="preserve"> PAGEREF _Toc77064955 \h </w:instrText>
      </w:r>
      <w:r>
        <w:rPr>
          <w:noProof/>
        </w:rPr>
      </w:r>
      <w:r>
        <w:rPr>
          <w:noProof/>
        </w:rPr>
        <w:fldChar w:fldCharType="separate"/>
      </w:r>
      <w:r w:rsidR="002F429D">
        <w:rPr>
          <w:noProof/>
        </w:rPr>
        <w:t>91</w:t>
      </w:r>
      <w:r>
        <w:rPr>
          <w:noProof/>
        </w:rPr>
        <w:fldChar w:fldCharType="end"/>
      </w:r>
    </w:p>
    <w:p w14:paraId="4779BD61" w14:textId="10BFE443" w:rsidR="000F7228" w:rsidRDefault="000F7228">
      <w:pPr>
        <w:pStyle w:val="TOC4"/>
        <w:rPr>
          <w:rFonts w:asciiTheme="minorHAnsi" w:eastAsiaTheme="minorEastAsia" w:hAnsiTheme="minorHAnsi" w:cstheme="minorBidi"/>
          <w:b w:val="0"/>
          <w:noProof/>
          <w:kern w:val="0"/>
          <w:sz w:val="22"/>
          <w:szCs w:val="22"/>
        </w:rPr>
      </w:pPr>
      <w:r>
        <w:rPr>
          <w:noProof/>
        </w:rPr>
        <w:t>Subdivision 5.2.2—Consideration of application to be accredited person</w:t>
      </w:r>
      <w:r>
        <w:rPr>
          <w:noProof/>
        </w:rPr>
        <w:tab/>
      </w:r>
      <w:r>
        <w:rPr>
          <w:noProof/>
        </w:rPr>
        <w:fldChar w:fldCharType="begin"/>
      </w:r>
      <w:r>
        <w:rPr>
          <w:noProof/>
        </w:rPr>
        <w:instrText xml:space="preserve"> PAGEREF _Toc77064956 \h </w:instrText>
      </w:r>
      <w:r>
        <w:rPr>
          <w:noProof/>
        </w:rPr>
      </w:r>
      <w:r>
        <w:rPr>
          <w:noProof/>
        </w:rPr>
        <w:fldChar w:fldCharType="separate"/>
      </w:r>
      <w:r w:rsidR="002F429D">
        <w:rPr>
          <w:noProof/>
        </w:rPr>
        <w:t>93</w:t>
      </w:r>
      <w:r>
        <w:rPr>
          <w:noProof/>
        </w:rPr>
        <w:fldChar w:fldCharType="end"/>
      </w:r>
    </w:p>
    <w:p w14:paraId="24630F14" w14:textId="407230FC" w:rsidR="000F7228" w:rsidRDefault="000F7228">
      <w:pPr>
        <w:pStyle w:val="TOC5"/>
        <w:rPr>
          <w:rFonts w:asciiTheme="minorHAnsi" w:eastAsiaTheme="minorEastAsia" w:hAnsiTheme="minorHAnsi" w:cstheme="minorBidi"/>
          <w:noProof/>
          <w:kern w:val="0"/>
          <w:sz w:val="22"/>
          <w:szCs w:val="22"/>
        </w:rPr>
      </w:pPr>
      <w:r>
        <w:rPr>
          <w:noProof/>
        </w:rPr>
        <w:t>5.3  Data Recipient Accreditor may request further information</w:t>
      </w:r>
      <w:r>
        <w:rPr>
          <w:noProof/>
        </w:rPr>
        <w:tab/>
      </w:r>
      <w:r>
        <w:rPr>
          <w:noProof/>
        </w:rPr>
        <w:fldChar w:fldCharType="begin"/>
      </w:r>
      <w:r>
        <w:rPr>
          <w:noProof/>
        </w:rPr>
        <w:instrText xml:space="preserve"> PAGEREF _Toc77064957 \h </w:instrText>
      </w:r>
      <w:r>
        <w:rPr>
          <w:noProof/>
        </w:rPr>
      </w:r>
      <w:r>
        <w:rPr>
          <w:noProof/>
        </w:rPr>
        <w:fldChar w:fldCharType="separate"/>
      </w:r>
      <w:r w:rsidR="002F429D">
        <w:rPr>
          <w:noProof/>
        </w:rPr>
        <w:t>93</w:t>
      </w:r>
      <w:r>
        <w:rPr>
          <w:noProof/>
        </w:rPr>
        <w:fldChar w:fldCharType="end"/>
      </w:r>
    </w:p>
    <w:p w14:paraId="074627C5" w14:textId="38AD6C13" w:rsidR="000F7228" w:rsidRDefault="000F7228">
      <w:pPr>
        <w:pStyle w:val="TOC5"/>
        <w:rPr>
          <w:rFonts w:asciiTheme="minorHAnsi" w:eastAsiaTheme="minorEastAsia" w:hAnsiTheme="minorHAnsi" w:cstheme="minorBidi"/>
          <w:noProof/>
          <w:kern w:val="0"/>
          <w:sz w:val="22"/>
          <w:szCs w:val="22"/>
        </w:rPr>
      </w:pPr>
      <w:r>
        <w:rPr>
          <w:noProof/>
        </w:rPr>
        <w:t>5.4  Data Recipient Accreditor may consult</w:t>
      </w:r>
      <w:r>
        <w:rPr>
          <w:noProof/>
        </w:rPr>
        <w:tab/>
      </w:r>
      <w:r>
        <w:rPr>
          <w:noProof/>
        </w:rPr>
        <w:fldChar w:fldCharType="begin"/>
      </w:r>
      <w:r>
        <w:rPr>
          <w:noProof/>
        </w:rPr>
        <w:instrText xml:space="preserve"> PAGEREF _Toc77064958 \h </w:instrText>
      </w:r>
      <w:r>
        <w:rPr>
          <w:noProof/>
        </w:rPr>
      </w:r>
      <w:r>
        <w:rPr>
          <w:noProof/>
        </w:rPr>
        <w:fldChar w:fldCharType="separate"/>
      </w:r>
      <w:r w:rsidR="002F429D">
        <w:rPr>
          <w:noProof/>
        </w:rPr>
        <w:t>93</w:t>
      </w:r>
      <w:r>
        <w:rPr>
          <w:noProof/>
        </w:rPr>
        <w:fldChar w:fldCharType="end"/>
      </w:r>
    </w:p>
    <w:p w14:paraId="29705835" w14:textId="60AA86A5" w:rsidR="000F7228" w:rsidRDefault="000F7228">
      <w:pPr>
        <w:pStyle w:val="TOC5"/>
        <w:rPr>
          <w:rFonts w:asciiTheme="minorHAnsi" w:eastAsiaTheme="minorEastAsia" w:hAnsiTheme="minorHAnsi" w:cstheme="minorBidi"/>
          <w:noProof/>
          <w:kern w:val="0"/>
          <w:sz w:val="22"/>
          <w:szCs w:val="22"/>
        </w:rPr>
      </w:pPr>
      <w:r>
        <w:rPr>
          <w:noProof/>
        </w:rPr>
        <w:t>5.5  Criteria for accreditation</w:t>
      </w:r>
      <w:r w:rsidRPr="003C3E47">
        <w:rPr>
          <w:strike/>
          <w:noProof/>
          <w:color w:val="0000FF"/>
        </w:rPr>
        <w:t>—unrestricted level</w:t>
      </w:r>
      <w:r>
        <w:rPr>
          <w:noProof/>
        </w:rPr>
        <w:tab/>
      </w:r>
      <w:r>
        <w:rPr>
          <w:noProof/>
        </w:rPr>
        <w:fldChar w:fldCharType="begin"/>
      </w:r>
      <w:r>
        <w:rPr>
          <w:noProof/>
        </w:rPr>
        <w:instrText xml:space="preserve"> PAGEREF _Toc77064959 \h </w:instrText>
      </w:r>
      <w:r>
        <w:rPr>
          <w:noProof/>
        </w:rPr>
      </w:r>
      <w:r>
        <w:rPr>
          <w:noProof/>
        </w:rPr>
        <w:fldChar w:fldCharType="separate"/>
      </w:r>
      <w:r w:rsidR="002F429D">
        <w:rPr>
          <w:noProof/>
        </w:rPr>
        <w:t>93</w:t>
      </w:r>
      <w:r>
        <w:rPr>
          <w:noProof/>
        </w:rPr>
        <w:fldChar w:fldCharType="end"/>
      </w:r>
    </w:p>
    <w:p w14:paraId="55F4A01A" w14:textId="500CEBFC"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5.6  Accreditation decision―accreditation number</w:t>
      </w:r>
      <w:r>
        <w:rPr>
          <w:noProof/>
        </w:rPr>
        <w:tab/>
      </w:r>
      <w:r>
        <w:rPr>
          <w:noProof/>
        </w:rPr>
        <w:fldChar w:fldCharType="begin"/>
      </w:r>
      <w:r>
        <w:rPr>
          <w:noProof/>
        </w:rPr>
        <w:instrText xml:space="preserve"> PAGEREF _Toc77064960 \h </w:instrText>
      </w:r>
      <w:r>
        <w:rPr>
          <w:noProof/>
        </w:rPr>
      </w:r>
      <w:r>
        <w:rPr>
          <w:noProof/>
        </w:rPr>
        <w:fldChar w:fldCharType="separate"/>
      </w:r>
      <w:r w:rsidR="002F429D">
        <w:rPr>
          <w:noProof/>
        </w:rPr>
        <w:t>94</w:t>
      </w:r>
      <w:r>
        <w:rPr>
          <w:noProof/>
        </w:rPr>
        <w:fldChar w:fldCharType="end"/>
      </w:r>
    </w:p>
    <w:p w14:paraId="24AEDDCA" w14:textId="379B7D35"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5.7  Accreditation decision—notifying accreditation applicant</w:t>
      </w:r>
      <w:r>
        <w:rPr>
          <w:noProof/>
        </w:rPr>
        <w:tab/>
      </w:r>
      <w:r>
        <w:rPr>
          <w:noProof/>
        </w:rPr>
        <w:fldChar w:fldCharType="begin"/>
      </w:r>
      <w:r>
        <w:rPr>
          <w:noProof/>
        </w:rPr>
        <w:instrText xml:space="preserve"> PAGEREF _Toc77064961 \h </w:instrText>
      </w:r>
      <w:r>
        <w:rPr>
          <w:noProof/>
        </w:rPr>
      </w:r>
      <w:r>
        <w:rPr>
          <w:noProof/>
        </w:rPr>
        <w:fldChar w:fldCharType="separate"/>
      </w:r>
      <w:r w:rsidR="002F429D">
        <w:rPr>
          <w:noProof/>
        </w:rPr>
        <w:t>94</w:t>
      </w:r>
      <w:r>
        <w:rPr>
          <w:noProof/>
        </w:rPr>
        <w:fldChar w:fldCharType="end"/>
      </w:r>
    </w:p>
    <w:p w14:paraId="637F47C7" w14:textId="3EC25288" w:rsidR="000F7228" w:rsidRDefault="000F7228">
      <w:pPr>
        <w:pStyle w:val="TOC5"/>
        <w:rPr>
          <w:rFonts w:asciiTheme="minorHAnsi" w:eastAsiaTheme="minorEastAsia" w:hAnsiTheme="minorHAnsi" w:cstheme="minorBidi"/>
          <w:noProof/>
          <w:kern w:val="0"/>
          <w:sz w:val="22"/>
          <w:szCs w:val="22"/>
        </w:rPr>
      </w:pPr>
      <w:r>
        <w:rPr>
          <w:noProof/>
        </w:rPr>
        <w:t>5.8  When accreditation takes effect</w:t>
      </w:r>
      <w:r>
        <w:rPr>
          <w:noProof/>
        </w:rPr>
        <w:tab/>
      </w:r>
      <w:r>
        <w:rPr>
          <w:noProof/>
        </w:rPr>
        <w:fldChar w:fldCharType="begin"/>
      </w:r>
      <w:r>
        <w:rPr>
          <w:noProof/>
        </w:rPr>
        <w:instrText xml:space="preserve"> PAGEREF _Toc77064962 \h </w:instrText>
      </w:r>
      <w:r>
        <w:rPr>
          <w:noProof/>
        </w:rPr>
      </w:r>
      <w:r>
        <w:rPr>
          <w:noProof/>
        </w:rPr>
        <w:fldChar w:fldCharType="separate"/>
      </w:r>
      <w:r w:rsidR="002F429D">
        <w:rPr>
          <w:noProof/>
        </w:rPr>
        <w:t>94</w:t>
      </w:r>
      <w:r>
        <w:rPr>
          <w:noProof/>
        </w:rPr>
        <w:fldChar w:fldCharType="end"/>
      </w:r>
    </w:p>
    <w:p w14:paraId="24F17C61" w14:textId="4CB9F994" w:rsidR="000F7228" w:rsidRDefault="000F7228">
      <w:pPr>
        <w:pStyle w:val="TOC5"/>
        <w:rPr>
          <w:rFonts w:asciiTheme="minorHAnsi" w:eastAsiaTheme="minorEastAsia" w:hAnsiTheme="minorHAnsi" w:cstheme="minorBidi"/>
          <w:noProof/>
          <w:kern w:val="0"/>
          <w:sz w:val="22"/>
          <w:szCs w:val="22"/>
        </w:rPr>
      </w:pPr>
      <w:r>
        <w:rPr>
          <w:noProof/>
        </w:rPr>
        <w:t>5.9  Default conditions on accreditation</w:t>
      </w:r>
      <w:r>
        <w:rPr>
          <w:noProof/>
        </w:rPr>
        <w:tab/>
      </w:r>
      <w:r>
        <w:rPr>
          <w:noProof/>
        </w:rPr>
        <w:fldChar w:fldCharType="begin"/>
      </w:r>
      <w:r>
        <w:rPr>
          <w:noProof/>
        </w:rPr>
        <w:instrText xml:space="preserve"> PAGEREF _Toc77064963 \h </w:instrText>
      </w:r>
      <w:r>
        <w:rPr>
          <w:noProof/>
        </w:rPr>
      </w:r>
      <w:r>
        <w:rPr>
          <w:noProof/>
        </w:rPr>
        <w:fldChar w:fldCharType="separate"/>
      </w:r>
      <w:r w:rsidR="002F429D">
        <w:rPr>
          <w:noProof/>
        </w:rPr>
        <w:t>94</w:t>
      </w:r>
      <w:r>
        <w:rPr>
          <w:noProof/>
        </w:rPr>
        <w:fldChar w:fldCharType="end"/>
      </w:r>
    </w:p>
    <w:p w14:paraId="5F3D5BF8" w14:textId="7F087237" w:rsidR="000F7228" w:rsidRDefault="000F7228">
      <w:pPr>
        <w:pStyle w:val="TOC5"/>
        <w:rPr>
          <w:rFonts w:asciiTheme="minorHAnsi" w:eastAsiaTheme="minorEastAsia" w:hAnsiTheme="minorHAnsi" w:cstheme="minorBidi"/>
          <w:noProof/>
          <w:kern w:val="0"/>
          <w:sz w:val="22"/>
          <w:szCs w:val="22"/>
        </w:rPr>
      </w:pPr>
      <w:r>
        <w:rPr>
          <w:noProof/>
        </w:rPr>
        <w:t>5.10  Other conditions on accreditation</w:t>
      </w:r>
      <w:r>
        <w:rPr>
          <w:noProof/>
        </w:rPr>
        <w:tab/>
      </w:r>
      <w:r>
        <w:rPr>
          <w:noProof/>
        </w:rPr>
        <w:fldChar w:fldCharType="begin"/>
      </w:r>
      <w:r>
        <w:rPr>
          <w:noProof/>
        </w:rPr>
        <w:instrText xml:space="preserve"> PAGEREF _Toc77064964 \h </w:instrText>
      </w:r>
      <w:r>
        <w:rPr>
          <w:noProof/>
        </w:rPr>
      </w:r>
      <w:r>
        <w:rPr>
          <w:noProof/>
        </w:rPr>
        <w:fldChar w:fldCharType="separate"/>
      </w:r>
      <w:r w:rsidR="002F429D">
        <w:rPr>
          <w:noProof/>
        </w:rPr>
        <w:t>95</w:t>
      </w:r>
      <w:r>
        <w:rPr>
          <w:noProof/>
        </w:rPr>
        <w:fldChar w:fldCharType="end"/>
      </w:r>
    </w:p>
    <w:p w14:paraId="4FFE24EA" w14:textId="1E9D3DEA"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5.11  Notification to accredited person relating to conditions</w:t>
      </w:r>
      <w:r>
        <w:rPr>
          <w:noProof/>
        </w:rPr>
        <w:tab/>
      </w:r>
      <w:r>
        <w:rPr>
          <w:noProof/>
        </w:rPr>
        <w:fldChar w:fldCharType="begin"/>
      </w:r>
      <w:r>
        <w:rPr>
          <w:noProof/>
        </w:rPr>
        <w:instrText xml:space="preserve"> PAGEREF _Toc77064965 \h </w:instrText>
      </w:r>
      <w:r>
        <w:rPr>
          <w:noProof/>
        </w:rPr>
      </w:r>
      <w:r>
        <w:rPr>
          <w:noProof/>
        </w:rPr>
        <w:fldChar w:fldCharType="separate"/>
      </w:r>
      <w:r w:rsidR="002F429D">
        <w:rPr>
          <w:noProof/>
        </w:rPr>
        <w:t>96</w:t>
      </w:r>
      <w:r>
        <w:rPr>
          <w:noProof/>
        </w:rPr>
        <w:fldChar w:fldCharType="end"/>
      </w:r>
    </w:p>
    <w:p w14:paraId="63DB0D75" w14:textId="351DF613" w:rsidR="000F7228" w:rsidRDefault="000F7228">
      <w:pPr>
        <w:pStyle w:val="TOC4"/>
        <w:rPr>
          <w:rFonts w:asciiTheme="minorHAnsi" w:eastAsiaTheme="minorEastAsia" w:hAnsiTheme="minorHAnsi" w:cstheme="minorBidi"/>
          <w:b w:val="0"/>
          <w:noProof/>
          <w:kern w:val="0"/>
          <w:sz w:val="22"/>
          <w:szCs w:val="22"/>
        </w:rPr>
      </w:pPr>
      <w:r>
        <w:rPr>
          <w:noProof/>
        </w:rPr>
        <w:t>Subdivision 5.2.3—Obligations of accredited person</w:t>
      </w:r>
      <w:r>
        <w:rPr>
          <w:noProof/>
        </w:rPr>
        <w:tab/>
      </w:r>
      <w:r>
        <w:rPr>
          <w:noProof/>
        </w:rPr>
        <w:fldChar w:fldCharType="begin"/>
      </w:r>
      <w:r>
        <w:rPr>
          <w:noProof/>
        </w:rPr>
        <w:instrText xml:space="preserve"> PAGEREF _Toc77064966 \h </w:instrText>
      </w:r>
      <w:r>
        <w:rPr>
          <w:noProof/>
        </w:rPr>
      </w:r>
      <w:r>
        <w:rPr>
          <w:noProof/>
        </w:rPr>
        <w:fldChar w:fldCharType="separate"/>
      </w:r>
      <w:r w:rsidR="002F429D">
        <w:rPr>
          <w:noProof/>
        </w:rPr>
        <w:t>97</w:t>
      </w:r>
      <w:r>
        <w:rPr>
          <w:noProof/>
        </w:rPr>
        <w:fldChar w:fldCharType="end"/>
      </w:r>
    </w:p>
    <w:p w14:paraId="65A02349" w14:textId="22A94C79" w:rsidR="000F7228" w:rsidRDefault="000F7228">
      <w:pPr>
        <w:pStyle w:val="TOC5"/>
        <w:rPr>
          <w:rFonts w:asciiTheme="minorHAnsi" w:eastAsiaTheme="minorEastAsia" w:hAnsiTheme="minorHAnsi" w:cstheme="minorBidi"/>
          <w:noProof/>
          <w:kern w:val="0"/>
          <w:sz w:val="22"/>
          <w:szCs w:val="22"/>
        </w:rPr>
      </w:pPr>
      <w:r>
        <w:rPr>
          <w:noProof/>
        </w:rPr>
        <w:t>5.12  Obligations of accredited person</w:t>
      </w:r>
      <w:r w:rsidRPr="003C3E47">
        <w:rPr>
          <w:strike/>
          <w:noProof/>
          <w:color w:val="0000FF"/>
        </w:rPr>
        <w:t xml:space="preserve"> at the “unrestricted” level</w:t>
      </w:r>
      <w:r>
        <w:rPr>
          <w:noProof/>
        </w:rPr>
        <w:tab/>
      </w:r>
      <w:r>
        <w:rPr>
          <w:noProof/>
        </w:rPr>
        <w:fldChar w:fldCharType="begin"/>
      </w:r>
      <w:r>
        <w:rPr>
          <w:noProof/>
        </w:rPr>
        <w:instrText xml:space="preserve"> PAGEREF _Toc77064967 \h </w:instrText>
      </w:r>
      <w:r>
        <w:rPr>
          <w:noProof/>
        </w:rPr>
      </w:r>
      <w:r>
        <w:rPr>
          <w:noProof/>
        </w:rPr>
        <w:fldChar w:fldCharType="separate"/>
      </w:r>
      <w:r w:rsidR="002F429D">
        <w:rPr>
          <w:noProof/>
        </w:rPr>
        <w:t>97</w:t>
      </w:r>
      <w:r>
        <w:rPr>
          <w:noProof/>
        </w:rPr>
        <w:fldChar w:fldCharType="end"/>
      </w:r>
    </w:p>
    <w:p w14:paraId="4B7682EF" w14:textId="71F4759D" w:rsidR="000F7228" w:rsidRDefault="000F7228">
      <w:pPr>
        <w:pStyle w:val="TOC5"/>
        <w:rPr>
          <w:rFonts w:asciiTheme="minorHAnsi" w:eastAsiaTheme="minorEastAsia" w:hAnsiTheme="minorHAnsi" w:cstheme="minorBidi"/>
          <w:noProof/>
          <w:kern w:val="0"/>
          <w:sz w:val="22"/>
          <w:szCs w:val="22"/>
        </w:rPr>
      </w:pPr>
      <w:r>
        <w:rPr>
          <w:noProof/>
        </w:rPr>
        <w:t>5.13 Accredited person must comply with conditions</w:t>
      </w:r>
      <w:r>
        <w:rPr>
          <w:noProof/>
        </w:rPr>
        <w:tab/>
      </w:r>
      <w:r>
        <w:rPr>
          <w:noProof/>
        </w:rPr>
        <w:fldChar w:fldCharType="begin"/>
      </w:r>
      <w:r>
        <w:rPr>
          <w:noProof/>
        </w:rPr>
        <w:instrText xml:space="preserve"> PAGEREF _Toc77064968 \h </w:instrText>
      </w:r>
      <w:r>
        <w:rPr>
          <w:noProof/>
        </w:rPr>
      </w:r>
      <w:r>
        <w:rPr>
          <w:noProof/>
        </w:rPr>
        <w:fldChar w:fldCharType="separate"/>
      </w:r>
      <w:r w:rsidR="002F429D">
        <w:rPr>
          <w:noProof/>
        </w:rPr>
        <w:t>98</w:t>
      </w:r>
      <w:r>
        <w:rPr>
          <w:noProof/>
        </w:rPr>
        <w:fldChar w:fldCharType="end"/>
      </w:r>
    </w:p>
    <w:p w14:paraId="1C89D561" w14:textId="1F09BCB0" w:rsidR="000F7228" w:rsidRDefault="000F7228">
      <w:pPr>
        <w:pStyle w:val="TOC5"/>
        <w:rPr>
          <w:rFonts w:asciiTheme="minorHAnsi" w:eastAsiaTheme="minorEastAsia" w:hAnsiTheme="minorHAnsi" w:cstheme="minorBidi"/>
          <w:noProof/>
          <w:kern w:val="0"/>
          <w:sz w:val="22"/>
          <w:szCs w:val="22"/>
        </w:rPr>
      </w:pPr>
      <w:r>
        <w:rPr>
          <w:noProof/>
        </w:rPr>
        <w:t>5.14  Notification requirements</w:t>
      </w:r>
      <w:r>
        <w:rPr>
          <w:noProof/>
        </w:rPr>
        <w:tab/>
      </w:r>
      <w:r>
        <w:rPr>
          <w:noProof/>
        </w:rPr>
        <w:fldChar w:fldCharType="begin"/>
      </w:r>
      <w:r>
        <w:rPr>
          <w:noProof/>
        </w:rPr>
        <w:instrText xml:space="preserve"> PAGEREF _Toc77064969 \h </w:instrText>
      </w:r>
      <w:r>
        <w:rPr>
          <w:noProof/>
        </w:rPr>
      </w:r>
      <w:r>
        <w:rPr>
          <w:noProof/>
        </w:rPr>
        <w:fldChar w:fldCharType="separate"/>
      </w:r>
      <w:r w:rsidR="002F429D">
        <w:rPr>
          <w:noProof/>
        </w:rPr>
        <w:t>98</w:t>
      </w:r>
      <w:r>
        <w:rPr>
          <w:noProof/>
        </w:rPr>
        <w:fldChar w:fldCharType="end"/>
      </w:r>
    </w:p>
    <w:p w14:paraId="6ECBB9CF" w14:textId="1BCCE66D" w:rsidR="000F7228" w:rsidRDefault="000F7228">
      <w:pPr>
        <w:pStyle w:val="TOC5"/>
        <w:rPr>
          <w:rFonts w:asciiTheme="minorHAnsi" w:eastAsiaTheme="minorEastAsia" w:hAnsiTheme="minorHAnsi" w:cstheme="minorBidi"/>
          <w:noProof/>
          <w:kern w:val="0"/>
          <w:sz w:val="22"/>
          <w:szCs w:val="22"/>
        </w:rPr>
      </w:pPr>
      <w:r>
        <w:rPr>
          <w:noProof/>
        </w:rPr>
        <w:t>5.15  Provision of information to the Accreditation Registrar</w:t>
      </w:r>
      <w:r>
        <w:rPr>
          <w:noProof/>
        </w:rPr>
        <w:tab/>
      </w:r>
      <w:r>
        <w:rPr>
          <w:noProof/>
        </w:rPr>
        <w:fldChar w:fldCharType="begin"/>
      </w:r>
      <w:r>
        <w:rPr>
          <w:noProof/>
        </w:rPr>
        <w:instrText xml:space="preserve"> PAGEREF _Toc77064970 \h </w:instrText>
      </w:r>
      <w:r>
        <w:rPr>
          <w:noProof/>
        </w:rPr>
      </w:r>
      <w:r>
        <w:rPr>
          <w:noProof/>
        </w:rPr>
        <w:fldChar w:fldCharType="separate"/>
      </w:r>
      <w:r w:rsidR="002F429D">
        <w:rPr>
          <w:noProof/>
        </w:rPr>
        <w:t>98</w:t>
      </w:r>
      <w:r>
        <w:rPr>
          <w:noProof/>
        </w:rPr>
        <w:fldChar w:fldCharType="end"/>
      </w:r>
    </w:p>
    <w:p w14:paraId="18A436A8" w14:textId="7A72051C" w:rsidR="000F7228" w:rsidRDefault="000F7228">
      <w:pPr>
        <w:pStyle w:val="TOC4"/>
        <w:rPr>
          <w:rFonts w:asciiTheme="minorHAnsi" w:eastAsiaTheme="minorEastAsia" w:hAnsiTheme="minorHAnsi" w:cstheme="minorBidi"/>
          <w:b w:val="0"/>
          <w:noProof/>
          <w:kern w:val="0"/>
          <w:sz w:val="22"/>
          <w:szCs w:val="22"/>
        </w:rPr>
      </w:pPr>
      <w:r>
        <w:rPr>
          <w:noProof/>
        </w:rPr>
        <w:t>Subdivision 5.2.4—Transfer, suspension</w:t>
      </w:r>
      <w:r w:rsidRPr="003C3E47">
        <w:rPr>
          <w:noProof/>
          <w:color w:val="000000" w:themeColor="text1"/>
        </w:rPr>
        <w:t>, surrender</w:t>
      </w:r>
      <w:r>
        <w:rPr>
          <w:noProof/>
        </w:rPr>
        <w:t xml:space="preserve"> and revocation of accreditation</w:t>
      </w:r>
      <w:r>
        <w:rPr>
          <w:noProof/>
        </w:rPr>
        <w:tab/>
      </w:r>
      <w:r>
        <w:rPr>
          <w:noProof/>
        </w:rPr>
        <w:fldChar w:fldCharType="begin"/>
      </w:r>
      <w:r>
        <w:rPr>
          <w:noProof/>
        </w:rPr>
        <w:instrText xml:space="preserve"> PAGEREF _Toc77064971 \h </w:instrText>
      </w:r>
      <w:r>
        <w:rPr>
          <w:noProof/>
        </w:rPr>
      </w:r>
      <w:r>
        <w:rPr>
          <w:noProof/>
        </w:rPr>
        <w:fldChar w:fldCharType="separate"/>
      </w:r>
      <w:r w:rsidR="002F429D">
        <w:rPr>
          <w:noProof/>
        </w:rPr>
        <w:t>99</w:t>
      </w:r>
      <w:r>
        <w:rPr>
          <w:noProof/>
        </w:rPr>
        <w:fldChar w:fldCharType="end"/>
      </w:r>
    </w:p>
    <w:p w14:paraId="6ED199A1" w14:textId="0A22A9DF" w:rsidR="000F7228" w:rsidRDefault="000F7228">
      <w:pPr>
        <w:pStyle w:val="TOC5"/>
        <w:rPr>
          <w:rFonts w:asciiTheme="minorHAnsi" w:eastAsiaTheme="minorEastAsia" w:hAnsiTheme="minorHAnsi" w:cstheme="minorBidi"/>
          <w:noProof/>
          <w:kern w:val="0"/>
          <w:sz w:val="22"/>
          <w:szCs w:val="22"/>
        </w:rPr>
      </w:pPr>
      <w:r>
        <w:rPr>
          <w:noProof/>
        </w:rPr>
        <w:t>5.16  Transfer of accreditation</w:t>
      </w:r>
      <w:r>
        <w:rPr>
          <w:noProof/>
        </w:rPr>
        <w:tab/>
      </w:r>
      <w:r>
        <w:rPr>
          <w:noProof/>
        </w:rPr>
        <w:fldChar w:fldCharType="begin"/>
      </w:r>
      <w:r>
        <w:rPr>
          <w:noProof/>
        </w:rPr>
        <w:instrText xml:space="preserve"> PAGEREF _Toc77064972 \h </w:instrText>
      </w:r>
      <w:r>
        <w:rPr>
          <w:noProof/>
        </w:rPr>
      </w:r>
      <w:r>
        <w:rPr>
          <w:noProof/>
        </w:rPr>
        <w:fldChar w:fldCharType="separate"/>
      </w:r>
      <w:r w:rsidR="002F429D">
        <w:rPr>
          <w:noProof/>
        </w:rPr>
        <w:t>99</w:t>
      </w:r>
      <w:r>
        <w:rPr>
          <w:noProof/>
        </w:rPr>
        <w:fldChar w:fldCharType="end"/>
      </w:r>
    </w:p>
    <w:p w14:paraId="79FFA414" w14:textId="73F7761A" w:rsidR="000F7228" w:rsidRDefault="000F7228">
      <w:pPr>
        <w:pStyle w:val="TOC5"/>
        <w:rPr>
          <w:rFonts w:asciiTheme="minorHAnsi" w:eastAsiaTheme="minorEastAsia" w:hAnsiTheme="minorHAnsi" w:cstheme="minorBidi"/>
          <w:noProof/>
          <w:kern w:val="0"/>
          <w:sz w:val="22"/>
          <w:szCs w:val="22"/>
        </w:rPr>
      </w:pPr>
      <w:r>
        <w:rPr>
          <w:noProof/>
        </w:rPr>
        <w:t>5.17  Revocation, suspension, or surrender of accreditation</w:t>
      </w:r>
      <w:r>
        <w:rPr>
          <w:noProof/>
        </w:rPr>
        <w:tab/>
      </w:r>
      <w:r>
        <w:rPr>
          <w:noProof/>
        </w:rPr>
        <w:fldChar w:fldCharType="begin"/>
      </w:r>
      <w:r>
        <w:rPr>
          <w:noProof/>
        </w:rPr>
        <w:instrText xml:space="preserve"> PAGEREF _Toc77064973 \h </w:instrText>
      </w:r>
      <w:r>
        <w:rPr>
          <w:noProof/>
        </w:rPr>
      </w:r>
      <w:r>
        <w:rPr>
          <w:noProof/>
        </w:rPr>
        <w:fldChar w:fldCharType="separate"/>
      </w:r>
      <w:r w:rsidR="002F429D">
        <w:rPr>
          <w:noProof/>
        </w:rPr>
        <w:t>99</w:t>
      </w:r>
      <w:r>
        <w:rPr>
          <w:noProof/>
        </w:rPr>
        <w:fldChar w:fldCharType="end"/>
      </w:r>
    </w:p>
    <w:p w14:paraId="5F46975D" w14:textId="3A96D5BA" w:rsidR="000F7228" w:rsidRDefault="000F7228">
      <w:pPr>
        <w:pStyle w:val="TOC5"/>
        <w:rPr>
          <w:rFonts w:asciiTheme="minorHAnsi" w:eastAsiaTheme="minorEastAsia" w:hAnsiTheme="minorHAnsi" w:cstheme="minorBidi"/>
          <w:noProof/>
          <w:kern w:val="0"/>
          <w:sz w:val="22"/>
          <w:szCs w:val="22"/>
        </w:rPr>
      </w:pPr>
      <w:r w:rsidRPr="003C3E47">
        <w:rPr>
          <w:noProof/>
          <w:color w:val="000000"/>
        </w:rPr>
        <w:t>5.18  Revocation of accreditation—process</w:t>
      </w:r>
      <w:r>
        <w:rPr>
          <w:noProof/>
        </w:rPr>
        <w:tab/>
      </w:r>
      <w:r>
        <w:rPr>
          <w:noProof/>
        </w:rPr>
        <w:fldChar w:fldCharType="begin"/>
      </w:r>
      <w:r>
        <w:rPr>
          <w:noProof/>
        </w:rPr>
        <w:instrText xml:space="preserve"> PAGEREF _Toc77064974 \h </w:instrText>
      </w:r>
      <w:r>
        <w:rPr>
          <w:noProof/>
        </w:rPr>
      </w:r>
      <w:r>
        <w:rPr>
          <w:noProof/>
        </w:rPr>
        <w:fldChar w:fldCharType="separate"/>
      </w:r>
      <w:r w:rsidR="002F429D">
        <w:rPr>
          <w:noProof/>
        </w:rPr>
        <w:t>101</w:t>
      </w:r>
      <w:r>
        <w:rPr>
          <w:noProof/>
        </w:rPr>
        <w:fldChar w:fldCharType="end"/>
      </w:r>
    </w:p>
    <w:p w14:paraId="3229AD9E" w14:textId="495153BB" w:rsidR="000F7228" w:rsidRDefault="000F7228">
      <w:pPr>
        <w:pStyle w:val="TOC5"/>
        <w:rPr>
          <w:rFonts w:asciiTheme="minorHAnsi" w:eastAsiaTheme="minorEastAsia" w:hAnsiTheme="minorHAnsi" w:cstheme="minorBidi"/>
          <w:noProof/>
          <w:kern w:val="0"/>
          <w:sz w:val="22"/>
          <w:szCs w:val="22"/>
        </w:rPr>
      </w:pPr>
      <w:r>
        <w:rPr>
          <w:noProof/>
        </w:rPr>
        <w:t>5.19  Suspension of accreditation</w:t>
      </w:r>
      <w:r w:rsidRPr="003C3E47">
        <w:rPr>
          <w:noProof/>
          <w:color w:val="000000"/>
        </w:rPr>
        <w:t>—duration</w:t>
      </w:r>
      <w:r>
        <w:rPr>
          <w:noProof/>
        </w:rPr>
        <w:tab/>
      </w:r>
      <w:r>
        <w:rPr>
          <w:noProof/>
        </w:rPr>
        <w:fldChar w:fldCharType="begin"/>
      </w:r>
      <w:r>
        <w:rPr>
          <w:noProof/>
        </w:rPr>
        <w:instrText xml:space="preserve"> PAGEREF _Toc77064975 \h </w:instrText>
      </w:r>
      <w:r>
        <w:rPr>
          <w:noProof/>
        </w:rPr>
      </w:r>
      <w:r>
        <w:rPr>
          <w:noProof/>
        </w:rPr>
        <w:fldChar w:fldCharType="separate"/>
      </w:r>
      <w:r w:rsidR="002F429D">
        <w:rPr>
          <w:noProof/>
        </w:rPr>
        <w:t>102</w:t>
      </w:r>
      <w:r>
        <w:rPr>
          <w:noProof/>
        </w:rPr>
        <w:fldChar w:fldCharType="end"/>
      </w:r>
    </w:p>
    <w:p w14:paraId="03F65048" w14:textId="154C886E" w:rsidR="000F7228" w:rsidRDefault="000F7228">
      <w:pPr>
        <w:pStyle w:val="TOC5"/>
        <w:rPr>
          <w:rFonts w:asciiTheme="minorHAnsi" w:eastAsiaTheme="minorEastAsia" w:hAnsiTheme="minorHAnsi" w:cstheme="minorBidi"/>
          <w:noProof/>
          <w:kern w:val="0"/>
          <w:sz w:val="22"/>
          <w:szCs w:val="22"/>
        </w:rPr>
      </w:pPr>
      <w:r w:rsidRPr="003C3E47">
        <w:rPr>
          <w:noProof/>
          <w:color w:val="000000"/>
        </w:rPr>
        <w:t>5.20  General process for suspension of accreditation or extension of suspension</w:t>
      </w:r>
      <w:r>
        <w:rPr>
          <w:noProof/>
        </w:rPr>
        <w:tab/>
      </w:r>
      <w:r>
        <w:rPr>
          <w:noProof/>
        </w:rPr>
        <w:fldChar w:fldCharType="begin"/>
      </w:r>
      <w:r>
        <w:rPr>
          <w:noProof/>
        </w:rPr>
        <w:instrText xml:space="preserve"> PAGEREF _Toc77064976 \h </w:instrText>
      </w:r>
      <w:r>
        <w:rPr>
          <w:noProof/>
        </w:rPr>
      </w:r>
      <w:r>
        <w:rPr>
          <w:noProof/>
        </w:rPr>
        <w:fldChar w:fldCharType="separate"/>
      </w:r>
      <w:r w:rsidR="002F429D">
        <w:rPr>
          <w:noProof/>
        </w:rPr>
        <w:t>102</w:t>
      </w:r>
      <w:r>
        <w:rPr>
          <w:noProof/>
        </w:rPr>
        <w:fldChar w:fldCharType="end"/>
      </w:r>
    </w:p>
    <w:p w14:paraId="1B729162" w14:textId="79DD449E" w:rsidR="000F7228" w:rsidRDefault="000F7228">
      <w:pPr>
        <w:pStyle w:val="TOC5"/>
        <w:rPr>
          <w:rFonts w:asciiTheme="minorHAnsi" w:eastAsiaTheme="minorEastAsia" w:hAnsiTheme="minorHAnsi" w:cstheme="minorBidi"/>
          <w:noProof/>
          <w:kern w:val="0"/>
          <w:sz w:val="22"/>
          <w:szCs w:val="22"/>
        </w:rPr>
      </w:pPr>
      <w:r>
        <w:rPr>
          <w:noProof/>
        </w:rPr>
        <w:t>5.21  P</w:t>
      </w:r>
      <w:r w:rsidRPr="003C3E47">
        <w:rPr>
          <w:noProof/>
          <w:color w:val="000000"/>
        </w:rPr>
        <w:t>rocess</w:t>
      </w:r>
      <w:r>
        <w:rPr>
          <w:noProof/>
        </w:rPr>
        <w:t xml:space="preserve"> for urgent suspensions or extensions</w:t>
      </w:r>
      <w:r>
        <w:rPr>
          <w:noProof/>
        </w:rPr>
        <w:tab/>
      </w:r>
      <w:r>
        <w:rPr>
          <w:noProof/>
        </w:rPr>
        <w:fldChar w:fldCharType="begin"/>
      </w:r>
      <w:r>
        <w:rPr>
          <w:noProof/>
        </w:rPr>
        <w:instrText xml:space="preserve"> PAGEREF _Toc77064977 \h </w:instrText>
      </w:r>
      <w:r>
        <w:rPr>
          <w:noProof/>
        </w:rPr>
      </w:r>
      <w:r>
        <w:rPr>
          <w:noProof/>
        </w:rPr>
        <w:fldChar w:fldCharType="separate"/>
      </w:r>
      <w:r w:rsidR="002F429D">
        <w:rPr>
          <w:noProof/>
        </w:rPr>
        <w:t>103</w:t>
      </w:r>
      <w:r>
        <w:rPr>
          <w:noProof/>
        </w:rPr>
        <w:fldChar w:fldCharType="end"/>
      </w:r>
    </w:p>
    <w:p w14:paraId="15400B0F" w14:textId="2D24B8F0" w:rsidR="000F7228" w:rsidRDefault="000F7228">
      <w:pPr>
        <w:pStyle w:val="TOC5"/>
        <w:rPr>
          <w:rFonts w:asciiTheme="minorHAnsi" w:eastAsiaTheme="minorEastAsia" w:hAnsiTheme="minorHAnsi" w:cstheme="minorBidi"/>
          <w:noProof/>
          <w:kern w:val="0"/>
          <w:sz w:val="22"/>
          <w:szCs w:val="22"/>
        </w:rPr>
      </w:pPr>
      <w:r>
        <w:rPr>
          <w:noProof/>
        </w:rPr>
        <w:t>5.22  When surrender, revocation or suspension takes effect</w:t>
      </w:r>
      <w:r>
        <w:rPr>
          <w:noProof/>
        </w:rPr>
        <w:tab/>
      </w:r>
      <w:r>
        <w:rPr>
          <w:noProof/>
        </w:rPr>
        <w:fldChar w:fldCharType="begin"/>
      </w:r>
      <w:r>
        <w:rPr>
          <w:noProof/>
        </w:rPr>
        <w:instrText xml:space="preserve"> PAGEREF _Toc77064978 \h </w:instrText>
      </w:r>
      <w:r>
        <w:rPr>
          <w:noProof/>
        </w:rPr>
      </w:r>
      <w:r>
        <w:rPr>
          <w:noProof/>
        </w:rPr>
        <w:fldChar w:fldCharType="separate"/>
      </w:r>
      <w:r w:rsidR="002F429D">
        <w:rPr>
          <w:noProof/>
        </w:rPr>
        <w:t>103</w:t>
      </w:r>
      <w:r>
        <w:rPr>
          <w:noProof/>
        </w:rPr>
        <w:fldChar w:fldCharType="end"/>
      </w:r>
    </w:p>
    <w:p w14:paraId="54F5099A" w14:textId="0E73FAA0" w:rsidR="000F7228" w:rsidRDefault="000F7228">
      <w:pPr>
        <w:pStyle w:val="TOC5"/>
        <w:rPr>
          <w:rFonts w:asciiTheme="minorHAnsi" w:eastAsiaTheme="minorEastAsia" w:hAnsiTheme="minorHAnsi" w:cstheme="minorBidi"/>
          <w:noProof/>
          <w:kern w:val="0"/>
          <w:sz w:val="22"/>
          <w:szCs w:val="22"/>
        </w:rPr>
      </w:pPr>
      <w:r>
        <w:rPr>
          <w:noProof/>
        </w:rPr>
        <w:t>5.23  Consequences of surrender, suspension or revocation of accreditation</w:t>
      </w:r>
      <w:r>
        <w:rPr>
          <w:noProof/>
        </w:rPr>
        <w:tab/>
      </w:r>
      <w:r>
        <w:rPr>
          <w:noProof/>
        </w:rPr>
        <w:fldChar w:fldCharType="begin"/>
      </w:r>
      <w:r>
        <w:rPr>
          <w:noProof/>
        </w:rPr>
        <w:instrText xml:space="preserve"> PAGEREF _Toc77064979 \h </w:instrText>
      </w:r>
      <w:r>
        <w:rPr>
          <w:noProof/>
        </w:rPr>
      </w:r>
      <w:r>
        <w:rPr>
          <w:noProof/>
        </w:rPr>
        <w:fldChar w:fldCharType="separate"/>
      </w:r>
      <w:r w:rsidR="002F429D">
        <w:rPr>
          <w:noProof/>
        </w:rPr>
        <w:t>103</w:t>
      </w:r>
      <w:r>
        <w:rPr>
          <w:noProof/>
        </w:rPr>
        <w:fldChar w:fldCharType="end"/>
      </w:r>
    </w:p>
    <w:p w14:paraId="577E39E7" w14:textId="6A442BE8" w:rsidR="000F7228" w:rsidRDefault="000F7228">
      <w:pPr>
        <w:pStyle w:val="TOC3"/>
        <w:rPr>
          <w:rFonts w:asciiTheme="minorHAnsi" w:eastAsiaTheme="minorEastAsia" w:hAnsiTheme="minorHAnsi" w:cstheme="minorBidi"/>
          <w:b w:val="0"/>
          <w:noProof/>
          <w:kern w:val="0"/>
          <w:szCs w:val="22"/>
        </w:rPr>
      </w:pPr>
      <w:r>
        <w:rPr>
          <w:noProof/>
        </w:rPr>
        <w:t>Division 5.3—Rules relating to Register of Accredited Persons</w:t>
      </w:r>
      <w:r>
        <w:rPr>
          <w:noProof/>
        </w:rPr>
        <w:tab/>
      </w:r>
      <w:r>
        <w:rPr>
          <w:noProof/>
        </w:rPr>
        <w:fldChar w:fldCharType="begin"/>
      </w:r>
      <w:r>
        <w:rPr>
          <w:noProof/>
        </w:rPr>
        <w:instrText xml:space="preserve"> PAGEREF _Toc77064980 \h </w:instrText>
      </w:r>
      <w:r>
        <w:rPr>
          <w:noProof/>
        </w:rPr>
      </w:r>
      <w:r>
        <w:rPr>
          <w:noProof/>
        </w:rPr>
        <w:fldChar w:fldCharType="separate"/>
      </w:r>
      <w:r w:rsidR="002F429D">
        <w:rPr>
          <w:noProof/>
        </w:rPr>
        <w:t>106</w:t>
      </w:r>
      <w:r>
        <w:rPr>
          <w:noProof/>
        </w:rPr>
        <w:fldChar w:fldCharType="end"/>
      </w:r>
    </w:p>
    <w:p w14:paraId="20802E68" w14:textId="65E5969F" w:rsidR="000F7228" w:rsidRDefault="000F7228">
      <w:pPr>
        <w:pStyle w:val="TOC5"/>
        <w:rPr>
          <w:rFonts w:asciiTheme="minorHAnsi" w:eastAsiaTheme="minorEastAsia" w:hAnsiTheme="minorHAnsi" w:cstheme="minorBidi"/>
          <w:noProof/>
          <w:kern w:val="0"/>
          <w:sz w:val="22"/>
          <w:szCs w:val="22"/>
        </w:rPr>
      </w:pPr>
      <w:r>
        <w:rPr>
          <w:noProof/>
        </w:rPr>
        <w:t>5.24  Maintaining the Register of Accredited Persons</w:t>
      </w:r>
      <w:r>
        <w:rPr>
          <w:noProof/>
        </w:rPr>
        <w:tab/>
      </w:r>
      <w:r>
        <w:rPr>
          <w:noProof/>
        </w:rPr>
        <w:fldChar w:fldCharType="begin"/>
      </w:r>
      <w:r>
        <w:rPr>
          <w:noProof/>
        </w:rPr>
        <w:instrText xml:space="preserve"> PAGEREF _Toc77064981 \h </w:instrText>
      </w:r>
      <w:r>
        <w:rPr>
          <w:noProof/>
        </w:rPr>
      </w:r>
      <w:r>
        <w:rPr>
          <w:noProof/>
        </w:rPr>
        <w:fldChar w:fldCharType="separate"/>
      </w:r>
      <w:r w:rsidR="002F429D">
        <w:rPr>
          <w:noProof/>
        </w:rPr>
        <w:t>106</w:t>
      </w:r>
      <w:r>
        <w:rPr>
          <w:noProof/>
        </w:rPr>
        <w:fldChar w:fldCharType="end"/>
      </w:r>
    </w:p>
    <w:p w14:paraId="70811D4D" w14:textId="559B33CE" w:rsidR="000F7228" w:rsidRDefault="000F7228">
      <w:pPr>
        <w:pStyle w:val="TOC5"/>
        <w:rPr>
          <w:rFonts w:asciiTheme="minorHAnsi" w:eastAsiaTheme="minorEastAsia" w:hAnsiTheme="minorHAnsi" w:cstheme="minorBidi"/>
          <w:noProof/>
          <w:kern w:val="0"/>
          <w:sz w:val="22"/>
          <w:szCs w:val="22"/>
        </w:rPr>
      </w:pPr>
      <w:r>
        <w:rPr>
          <w:noProof/>
        </w:rPr>
        <w:t>5.25  Other information to be kept in association with Register of Accredited Persons</w:t>
      </w:r>
      <w:r>
        <w:rPr>
          <w:noProof/>
        </w:rPr>
        <w:tab/>
      </w:r>
      <w:r>
        <w:rPr>
          <w:noProof/>
        </w:rPr>
        <w:fldChar w:fldCharType="begin"/>
      </w:r>
      <w:r>
        <w:rPr>
          <w:noProof/>
        </w:rPr>
        <w:instrText xml:space="preserve"> PAGEREF _Toc77064982 \h </w:instrText>
      </w:r>
      <w:r>
        <w:rPr>
          <w:noProof/>
        </w:rPr>
      </w:r>
      <w:r>
        <w:rPr>
          <w:noProof/>
        </w:rPr>
        <w:fldChar w:fldCharType="separate"/>
      </w:r>
      <w:r w:rsidR="002F429D">
        <w:rPr>
          <w:noProof/>
        </w:rPr>
        <w:t>107</w:t>
      </w:r>
      <w:r>
        <w:rPr>
          <w:noProof/>
        </w:rPr>
        <w:fldChar w:fldCharType="end"/>
      </w:r>
    </w:p>
    <w:p w14:paraId="244E04CA" w14:textId="4FFD1FF8" w:rsidR="000F7228" w:rsidRDefault="000F7228">
      <w:pPr>
        <w:pStyle w:val="TOC5"/>
        <w:rPr>
          <w:rFonts w:asciiTheme="minorHAnsi" w:eastAsiaTheme="minorEastAsia" w:hAnsiTheme="minorHAnsi" w:cstheme="minorBidi"/>
          <w:noProof/>
          <w:kern w:val="0"/>
          <w:sz w:val="22"/>
          <w:szCs w:val="22"/>
        </w:rPr>
      </w:pPr>
      <w:r>
        <w:rPr>
          <w:noProof/>
        </w:rPr>
        <w:t>5.26  Amendment and correction of entries in Register of Accredited Persons and database</w:t>
      </w:r>
      <w:r>
        <w:rPr>
          <w:noProof/>
        </w:rPr>
        <w:tab/>
      </w:r>
      <w:r>
        <w:rPr>
          <w:noProof/>
        </w:rPr>
        <w:fldChar w:fldCharType="begin"/>
      </w:r>
      <w:r>
        <w:rPr>
          <w:noProof/>
        </w:rPr>
        <w:instrText xml:space="preserve"> PAGEREF _Toc77064983 \h </w:instrText>
      </w:r>
      <w:r>
        <w:rPr>
          <w:noProof/>
        </w:rPr>
      </w:r>
      <w:r>
        <w:rPr>
          <w:noProof/>
        </w:rPr>
        <w:fldChar w:fldCharType="separate"/>
      </w:r>
      <w:r w:rsidR="002F429D">
        <w:rPr>
          <w:noProof/>
        </w:rPr>
        <w:t>108</w:t>
      </w:r>
      <w:r>
        <w:rPr>
          <w:noProof/>
        </w:rPr>
        <w:fldChar w:fldCharType="end"/>
      </w:r>
    </w:p>
    <w:p w14:paraId="601A8FEC" w14:textId="35B3646A" w:rsidR="000F7228" w:rsidRDefault="000F7228">
      <w:pPr>
        <w:pStyle w:val="TOC5"/>
        <w:rPr>
          <w:rFonts w:asciiTheme="minorHAnsi" w:eastAsiaTheme="minorEastAsia" w:hAnsiTheme="minorHAnsi" w:cstheme="minorBidi"/>
          <w:noProof/>
          <w:kern w:val="0"/>
          <w:sz w:val="22"/>
          <w:szCs w:val="22"/>
        </w:rPr>
      </w:pPr>
      <w:r>
        <w:rPr>
          <w:noProof/>
        </w:rPr>
        <w:t>5.27  Publication or availability of specified information in the Register of Accredited Persons</w:t>
      </w:r>
      <w:r>
        <w:rPr>
          <w:noProof/>
        </w:rPr>
        <w:tab/>
      </w:r>
      <w:r>
        <w:rPr>
          <w:noProof/>
        </w:rPr>
        <w:fldChar w:fldCharType="begin"/>
      </w:r>
      <w:r>
        <w:rPr>
          <w:noProof/>
        </w:rPr>
        <w:instrText xml:space="preserve"> PAGEREF _Toc77064984 \h </w:instrText>
      </w:r>
      <w:r>
        <w:rPr>
          <w:noProof/>
        </w:rPr>
      </w:r>
      <w:r>
        <w:rPr>
          <w:noProof/>
        </w:rPr>
        <w:fldChar w:fldCharType="separate"/>
      </w:r>
      <w:r w:rsidR="002F429D">
        <w:rPr>
          <w:noProof/>
        </w:rPr>
        <w:t>109</w:t>
      </w:r>
      <w:r>
        <w:rPr>
          <w:noProof/>
        </w:rPr>
        <w:fldChar w:fldCharType="end"/>
      </w:r>
    </w:p>
    <w:p w14:paraId="76104911" w14:textId="6C6E170A" w:rsidR="000F7228" w:rsidRDefault="000F7228">
      <w:pPr>
        <w:pStyle w:val="TOC5"/>
        <w:rPr>
          <w:rFonts w:asciiTheme="minorHAnsi" w:eastAsiaTheme="minorEastAsia" w:hAnsiTheme="minorHAnsi" w:cstheme="minorBidi"/>
          <w:noProof/>
          <w:kern w:val="0"/>
          <w:sz w:val="22"/>
          <w:szCs w:val="22"/>
        </w:rPr>
      </w:pPr>
      <w:r>
        <w:rPr>
          <w:noProof/>
        </w:rPr>
        <w:t>5.28  Making information available to the Commission, the Information Commissioner and the Data Recipient Accreditor</w:t>
      </w:r>
      <w:r>
        <w:rPr>
          <w:noProof/>
        </w:rPr>
        <w:tab/>
      </w:r>
      <w:r>
        <w:rPr>
          <w:noProof/>
        </w:rPr>
        <w:fldChar w:fldCharType="begin"/>
      </w:r>
      <w:r>
        <w:rPr>
          <w:noProof/>
        </w:rPr>
        <w:instrText xml:space="preserve"> PAGEREF _Toc77064985 \h </w:instrText>
      </w:r>
      <w:r>
        <w:rPr>
          <w:noProof/>
        </w:rPr>
      </w:r>
      <w:r>
        <w:rPr>
          <w:noProof/>
        </w:rPr>
        <w:fldChar w:fldCharType="separate"/>
      </w:r>
      <w:r w:rsidR="002F429D">
        <w:rPr>
          <w:noProof/>
        </w:rPr>
        <w:t>109</w:t>
      </w:r>
      <w:r>
        <w:rPr>
          <w:noProof/>
        </w:rPr>
        <w:fldChar w:fldCharType="end"/>
      </w:r>
    </w:p>
    <w:p w14:paraId="69D00670" w14:textId="2762E4C0" w:rsidR="000F7228" w:rsidRDefault="000F7228">
      <w:pPr>
        <w:pStyle w:val="TOC5"/>
        <w:rPr>
          <w:rFonts w:asciiTheme="minorHAnsi" w:eastAsiaTheme="minorEastAsia" w:hAnsiTheme="minorHAnsi" w:cstheme="minorBidi"/>
          <w:noProof/>
          <w:kern w:val="0"/>
          <w:sz w:val="22"/>
          <w:szCs w:val="22"/>
        </w:rPr>
      </w:pPr>
      <w:r>
        <w:rPr>
          <w:noProof/>
        </w:rPr>
        <w:t>5.29  Publication of specified information by the Commission</w:t>
      </w:r>
      <w:r>
        <w:rPr>
          <w:noProof/>
        </w:rPr>
        <w:tab/>
      </w:r>
      <w:r>
        <w:rPr>
          <w:noProof/>
        </w:rPr>
        <w:fldChar w:fldCharType="begin"/>
      </w:r>
      <w:r>
        <w:rPr>
          <w:noProof/>
        </w:rPr>
        <w:instrText xml:space="preserve"> PAGEREF _Toc77064986 \h </w:instrText>
      </w:r>
      <w:r>
        <w:rPr>
          <w:noProof/>
        </w:rPr>
      </w:r>
      <w:r>
        <w:rPr>
          <w:noProof/>
        </w:rPr>
        <w:fldChar w:fldCharType="separate"/>
      </w:r>
      <w:r w:rsidR="002F429D">
        <w:rPr>
          <w:noProof/>
        </w:rPr>
        <w:t>109</w:t>
      </w:r>
      <w:r>
        <w:rPr>
          <w:noProof/>
        </w:rPr>
        <w:fldChar w:fldCharType="end"/>
      </w:r>
    </w:p>
    <w:p w14:paraId="6C93DADD" w14:textId="30F223BF" w:rsidR="000F7228" w:rsidRDefault="000F7228">
      <w:pPr>
        <w:pStyle w:val="TOC5"/>
        <w:rPr>
          <w:rFonts w:asciiTheme="minorHAnsi" w:eastAsiaTheme="minorEastAsia" w:hAnsiTheme="minorHAnsi" w:cstheme="minorBidi"/>
          <w:noProof/>
          <w:kern w:val="0"/>
          <w:sz w:val="22"/>
          <w:szCs w:val="22"/>
        </w:rPr>
      </w:pPr>
      <w:r>
        <w:rPr>
          <w:noProof/>
        </w:rPr>
        <w:t>5.30  Other functions of Accreditation Registrar</w:t>
      </w:r>
      <w:r>
        <w:rPr>
          <w:noProof/>
        </w:rPr>
        <w:tab/>
      </w:r>
      <w:r>
        <w:rPr>
          <w:noProof/>
        </w:rPr>
        <w:fldChar w:fldCharType="begin"/>
      </w:r>
      <w:r>
        <w:rPr>
          <w:noProof/>
        </w:rPr>
        <w:instrText xml:space="preserve"> PAGEREF _Toc77064987 \h </w:instrText>
      </w:r>
      <w:r>
        <w:rPr>
          <w:noProof/>
        </w:rPr>
      </w:r>
      <w:r>
        <w:rPr>
          <w:noProof/>
        </w:rPr>
        <w:fldChar w:fldCharType="separate"/>
      </w:r>
      <w:r w:rsidR="002F429D">
        <w:rPr>
          <w:noProof/>
        </w:rPr>
        <w:t>109</w:t>
      </w:r>
      <w:r>
        <w:rPr>
          <w:noProof/>
        </w:rPr>
        <w:fldChar w:fldCharType="end"/>
      </w:r>
    </w:p>
    <w:p w14:paraId="7F404ADD" w14:textId="6D0BB587" w:rsidR="000F7228" w:rsidRDefault="000F7228">
      <w:pPr>
        <w:pStyle w:val="TOC5"/>
        <w:rPr>
          <w:rFonts w:asciiTheme="minorHAnsi" w:eastAsiaTheme="minorEastAsia" w:hAnsiTheme="minorHAnsi" w:cstheme="minorBidi"/>
          <w:noProof/>
          <w:kern w:val="0"/>
          <w:sz w:val="22"/>
          <w:szCs w:val="22"/>
        </w:rPr>
      </w:pPr>
      <w:r>
        <w:rPr>
          <w:noProof/>
        </w:rPr>
        <w:t>5.31  Obligation to comply with Accreditation Registrar’s request</w:t>
      </w:r>
      <w:r>
        <w:rPr>
          <w:noProof/>
        </w:rPr>
        <w:tab/>
      </w:r>
      <w:r>
        <w:rPr>
          <w:noProof/>
        </w:rPr>
        <w:fldChar w:fldCharType="begin"/>
      </w:r>
      <w:r>
        <w:rPr>
          <w:noProof/>
        </w:rPr>
        <w:instrText xml:space="preserve"> PAGEREF _Toc77064988 \h </w:instrText>
      </w:r>
      <w:r>
        <w:rPr>
          <w:noProof/>
        </w:rPr>
      </w:r>
      <w:r>
        <w:rPr>
          <w:noProof/>
        </w:rPr>
        <w:fldChar w:fldCharType="separate"/>
      </w:r>
      <w:r w:rsidR="002F429D">
        <w:rPr>
          <w:noProof/>
        </w:rPr>
        <w:t>110</w:t>
      </w:r>
      <w:r>
        <w:rPr>
          <w:noProof/>
        </w:rPr>
        <w:fldChar w:fldCharType="end"/>
      </w:r>
    </w:p>
    <w:p w14:paraId="608506C8" w14:textId="32133631" w:rsidR="000F7228" w:rsidRDefault="000F7228">
      <w:pPr>
        <w:pStyle w:val="TOC5"/>
        <w:rPr>
          <w:rFonts w:asciiTheme="minorHAnsi" w:eastAsiaTheme="minorEastAsia" w:hAnsiTheme="minorHAnsi" w:cstheme="minorBidi"/>
          <w:noProof/>
          <w:kern w:val="0"/>
          <w:sz w:val="22"/>
          <w:szCs w:val="22"/>
        </w:rPr>
      </w:pPr>
      <w:r>
        <w:rPr>
          <w:noProof/>
        </w:rPr>
        <w:t>5.32  Automated decision</w:t>
      </w:r>
      <w:r>
        <w:rPr>
          <w:noProof/>
        </w:rPr>
        <w:noBreakHyphen/>
        <w:t>making—Accreditation Registrar</w:t>
      </w:r>
      <w:r>
        <w:rPr>
          <w:noProof/>
        </w:rPr>
        <w:tab/>
      </w:r>
      <w:r>
        <w:rPr>
          <w:noProof/>
        </w:rPr>
        <w:fldChar w:fldCharType="begin"/>
      </w:r>
      <w:r>
        <w:rPr>
          <w:noProof/>
        </w:rPr>
        <w:instrText xml:space="preserve"> PAGEREF _Toc77064989 \h </w:instrText>
      </w:r>
      <w:r>
        <w:rPr>
          <w:noProof/>
        </w:rPr>
      </w:r>
      <w:r>
        <w:rPr>
          <w:noProof/>
        </w:rPr>
        <w:fldChar w:fldCharType="separate"/>
      </w:r>
      <w:r w:rsidR="002F429D">
        <w:rPr>
          <w:noProof/>
        </w:rPr>
        <w:t>110</w:t>
      </w:r>
      <w:r>
        <w:rPr>
          <w:noProof/>
        </w:rPr>
        <w:fldChar w:fldCharType="end"/>
      </w:r>
    </w:p>
    <w:p w14:paraId="6A62024B" w14:textId="36D7C4BD" w:rsidR="000F7228" w:rsidRDefault="000F7228">
      <w:pPr>
        <w:pStyle w:val="TOC5"/>
        <w:rPr>
          <w:rFonts w:asciiTheme="minorHAnsi" w:eastAsiaTheme="minorEastAsia" w:hAnsiTheme="minorHAnsi" w:cstheme="minorBidi"/>
          <w:noProof/>
          <w:kern w:val="0"/>
          <w:sz w:val="22"/>
          <w:szCs w:val="22"/>
        </w:rPr>
      </w:pPr>
      <w:r>
        <w:rPr>
          <w:noProof/>
        </w:rPr>
        <w:t>5.33  Temporary restriction on use of the Register in relation to data holder</w:t>
      </w:r>
      <w:r>
        <w:rPr>
          <w:noProof/>
        </w:rPr>
        <w:tab/>
      </w:r>
      <w:r>
        <w:rPr>
          <w:noProof/>
        </w:rPr>
        <w:fldChar w:fldCharType="begin"/>
      </w:r>
      <w:r>
        <w:rPr>
          <w:noProof/>
        </w:rPr>
        <w:instrText xml:space="preserve"> PAGEREF _Toc77064990 \h </w:instrText>
      </w:r>
      <w:r>
        <w:rPr>
          <w:noProof/>
        </w:rPr>
      </w:r>
      <w:r>
        <w:rPr>
          <w:noProof/>
        </w:rPr>
        <w:fldChar w:fldCharType="separate"/>
      </w:r>
      <w:r w:rsidR="002F429D">
        <w:rPr>
          <w:noProof/>
        </w:rPr>
        <w:t>110</w:t>
      </w:r>
      <w:r>
        <w:rPr>
          <w:noProof/>
        </w:rPr>
        <w:fldChar w:fldCharType="end"/>
      </w:r>
    </w:p>
    <w:p w14:paraId="4CFED6B4" w14:textId="2C63A40E" w:rsidR="000F7228" w:rsidRDefault="000F7228">
      <w:pPr>
        <w:pStyle w:val="TOC5"/>
        <w:rPr>
          <w:rFonts w:asciiTheme="minorHAnsi" w:eastAsiaTheme="minorEastAsia" w:hAnsiTheme="minorHAnsi" w:cstheme="minorBidi"/>
          <w:noProof/>
          <w:kern w:val="0"/>
          <w:sz w:val="22"/>
          <w:szCs w:val="22"/>
        </w:rPr>
      </w:pPr>
      <w:r>
        <w:rPr>
          <w:noProof/>
        </w:rPr>
        <w:t>5.34  Temporary direction to refrain from processing consumer data requests</w:t>
      </w:r>
      <w:r>
        <w:rPr>
          <w:noProof/>
        </w:rPr>
        <w:tab/>
      </w:r>
      <w:r>
        <w:rPr>
          <w:noProof/>
        </w:rPr>
        <w:fldChar w:fldCharType="begin"/>
      </w:r>
      <w:r>
        <w:rPr>
          <w:noProof/>
        </w:rPr>
        <w:instrText xml:space="preserve"> PAGEREF _Toc77064991 \h </w:instrText>
      </w:r>
      <w:r>
        <w:rPr>
          <w:noProof/>
        </w:rPr>
      </w:r>
      <w:r>
        <w:rPr>
          <w:noProof/>
        </w:rPr>
        <w:fldChar w:fldCharType="separate"/>
      </w:r>
      <w:r w:rsidR="002F429D">
        <w:rPr>
          <w:noProof/>
        </w:rPr>
        <w:t>111</w:t>
      </w:r>
      <w:r>
        <w:rPr>
          <w:noProof/>
        </w:rPr>
        <w:fldChar w:fldCharType="end"/>
      </w:r>
    </w:p>
    <w:p w14:paraId="677FA0F6" w14:textId="6950B804" w:rsidR="000F7228" w:rsidRDefault="000F7228">
      <w:pPr>
        <w:pStyle w:val="TOC2"/>
        <w:rPr>
          <w:rFonts w:asciiTheme="minorHAnsi" w:eastAsiaTheme="minorEastAsia" w:hAnsiTheme="minorHAnsi" w:cstheme="minorBidi"/>
          <w:b w:val="0"/>
          <w:noProof/>
          <w:kern w:val="0"/>
          <w:sz w:val="22"/>
          <w:szCs w:val="22"/>
        </w:rPr>
      </w:pPr>
      <w:r>
        <w:rPr>
          <w:noProof/>
        </w:rPr>
        <w:t>Part 6—Rules relating to dispute resolution</w:t>
      </w:r>
      <w:r>
        <w:rPr>
          <w:noProof/>
        </w:rPr>
        <w:tab/>
      </w:r>
      <w:r>
        <w:rPr>
          <w:noProof/>
        </w:rPr>
        <w:fldChar w:fldCharType="begin"/>
      </w:r>
      <w:r>
        <w:rPr>
          <w:noProof/>
        </w:rPr>
        <w:instrText xml:space="preserve"> PAGEREF _Toc77064992 \h </w:instrText>
      </w:r>
      <w:r>
        <w:rPr>
          <w:noProof/>
        </w:rPr>
      </w:r>
      <w:r>
        <w:rPr>
          <w:noProof/>
        </w:rPr>
        <w:fldChar w:fldCharType="separate"/>
      </w:r>
      <w:r w:rsidR="002F429D">
        <w:rPr>
          <w:noProof/>
        </w:rPr>
        <w:t>112</w:t>
      </w:r>
      <w:r>
        <w:rPr>
          <w:noProof/>
        </w:rPr>
        <w:fldChar w:fldCharType="end"/>
      </w:r>
    </w:p>
    <w:p w14:paraId="264EFAF3" w14:textId="007E7451"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6.1  Requirement for data holders―internal dispute resolution</w:t>
      </w:r>
      <w:r>
        <w:rPr>
          <w:noProof/>
        </w:rPr>
        <w:tab/>
      </w:r>
      <w:r>
        <w:rPr>
          <w:noProof/>
        </w:rPr>
        <w:fldChar w:fldCharType="begin"/>
      </w:r>
      <w:r>
        <w:rPr>
          <w:noProof/>
        </w:rPr>
        <w:instrText xml:space="preserve"> PAGEREF _Toc77064993 \h </w:instrText>
      </w:r>
      <w:r>
        <w:rPr>
          <w:noProof/>
        </w:rPr>
      </w:r>
      <w:r>
        <w:rPr>
          <w:noProof/>
        </w:rPr>
        <w:fldChar w:fldCharType="separate"/>
      </w:r>
      <w:r w:rsidR="002F429D">
        <w:rPr>
          <w:noProof/>
        </w:rPr>
        <w:t>112</w:t>
      </w:r>
      <w:r>
        <w:rPr>
          <w:noProof/>
        </w:rPr>
        <w:fldChar w:fldCharType="end"/>
      </w:r>
    </w:p>
    <w:p w14:paraId="3EFE003D" w14:textId="6C485436" w:rsidR="000F7228" w:rsidRDefault="000F7228">
      <w:pPr>
        <w:pStyle w:val="TOC5"/>
        <w:rPr>
          <w:rFonts w:asciiTheme="minorHAnsi" w:eastAsiaTheme="minorEastAsia" w:hAnsiTheme="minorHAnsi" w:cstheme="minorBidi"/>
          <w:noProof/>
          <w:kern w:val="0"/>
          <w:sz w:val="22"/>
          <w:szCs w:val="22"/>
        </w:rPr>
      </w:pPr>
      <w:r>
        <w:rPr>
          <w:noProof/>
        </w:rPr>
        <w:lastRenderedPageBreak/>
        <w:t>6.2  Requirement for data holders―external dispute resolution</w:t>
      </w:r>
      <w:r>
        <w:rPr>
          <w:noProof/>
        </w:rPr>
        <w:tab/>
      </w:r>
      <w:r>
        <w:rPr>
          <w:noProof/>
        </w:rPr>
        <w:fldChar w:fldCharType="begin"/>
      </w:r>
      <w:r>
        <w:rPr>
          <w:noProof/>
        </w:rPr>
        <w:instrText xml:space="preserve"> PAGEREF _Toc77064994 \h </w:instrText>
      </w:r>
      <w:r>
        <w:rPr>
          <w:noProof/>
        </w:rPr>
      </w:r>
      <w:r>
        <w:rPr>
          <w:noProof/>
        </w:rPr>
        <w:fldChar w:fldCharType="separate"/>
      </w:r>
      <w:r w:rsidR="002F429D">
        <w:rPr>
          <w:noProof/>
        </w:rPr>
        <w:t>112</w:t>
      </w:r>
      <w:r>
        <w:rPr>
          <w:noProof/>
        </w:rPr>
        <w:fldChar w:fldCharType="end"/>
      </w:r>
    </w:p>
    <w:p w14:paraId="315BF456" w14:textId="28A7B92D" w:rsidR="000F7228" w:rsidRDefault="000F7228">
      <w:pPr>
        <w:pStyle w:val="TOC2"/>
        <w:rPr>
          <w:rFonts w:asciiTheme="minorHAnsi" w:eastAsiaTheme="minorEastAsia" w:hAnsiTheme="minorHAnsi" w:cstheme="minorBidi"/>
          <w:b w:val="0"/>
          <w:noProof/>
          <w:kern w:val="0"/>
          <w:sz w:val="22"/>
          <w:szCs w:val="22"/>
        </w:rPr>
      </w:pPr>
      <w:r>
        <w:rPr>
          <w:noProof/>
        </w:rPr>
        <w:t>Part 7—Rules relating to privacy safeguards</w:t>
      </w:r>
      <w:r>
        <w:rPr>
          <w:noProof/>
        </w:rPr>
        <w:tab/>
      </w:r>
      <w:r>
        <w:rPr>
          <w:noProof/>
        </w:rPr>
        <w:fldChar w:fldCharType="begin"/>
      </w:r>
      <w:r>
        <w:rPr>
          <w:noProof/>
        </w:rPr>
        <w:instrText xml:space="preserve"> PAGEREF _Toc77064995 \h </w:instrText>
      </w:r>
      <w:r>
        <w:rPr>
          <w:noProof/>
        </w:rPr>
      </w:r>
      <w:r>
        <w:rPr>
          <w:noProof/>
        </w:rPr>
        <w:fldChar w:fldCharType="separate"/>
      </w:r>
      <w:r w:rsidR="002F429D">
        <w:rPr>
          <w:noProof/>
        </w:rPr>
        <w:t>113</w:t>
      </w:r>
      <w:r>
        <w:rPr>
          <w:noProof/>
        </w:rPr>
        <w:fldChar w:fldCharType="end"/>
      </w:r>
    </w:p>
    <w:p w14:paraId="2FB9485B" w14:textId="1DEDF44C" w:rsidR="000F7228" w:rsidRDefault="000F7228">
      <w:pPr>
        <w:pStyle w:val="TOC3"/>
        <w:rPr>
          <w:rFonts w:asciiTheme="minorHAnsi" w:eastAsiaTheme="minorEastAsia" w:hAnsiTheme="minorHAnsi" w:cstheme="minorBidi"/>
          <w:b w:val="0"/>
          <w:noProof/>
          <w:kern w:val="0"/>
          <w:szCs w:val="22"/>
        </w:rPr>
      </w:pPr>
      <w:r>
        <w:rPr>
          <w:noProof/>
        </w:rPr>
        <w:t>Division 7.1—Preliminary</w:t>
      </w:r>
      <w:r>
        <w:rPr>
          <w:noProof/>
        </w:rPr>
        <w:tab/>
      </w:r>
      <w:r>
        <w:rPr>
          <w:noProof/>
        </w:rPr>
        <w:fldChar w:fldCharType="begin"/>
      </w:r>
      <w:r>
        <w:rPr>
          <w:noProof/>
        </w:rPr>
        <w:instrText xml:space="preserve"> PAGEREF _Toc77064996 \h </w:instrText>
      </w:r>
      <w:r>
        <w:rPr>
          <w:noProof/>
        </w:rPr>
      </w:r>
      <w:r>
        <w:rPr>
          <w:noProof/>
        </w:rPr>
        <w:fldChar w:fldCharType="separate"/>
      </w:r>
      <w:r w:rsidR="002F429D">
        <w:rPr>
          <w:noProof/>
        </w:rPr>
        <w:t>113</w:t>
      </w:r>
      <w:r>
        <w:rPr>
          <w:noProof/>
        </w:rPr>
        <w:fldChar w:fldCharType="end"/>
      </w:r>
    </w:p>
    <w:p w14:paraId="72199EFA" w14:textId="3FA3279F" w:rsidR="000F7228" w:rsidRDefault="000F7228">
      <w:pPr>
        <w:pStyle w:val="TOC5"/>
        <w:rPr>
          <w:rFonts w:asciiTheme="minorHAnsi" w:eastAsiaTheme="minorEastAsia" w:hAnsiTheme="minorHAnsi" w:cstheme="minorBidi"/>
          <w:noProof/>
          <w:kern w:val="0"/>
          <w:sz w:val="22"/>
          <w:szCs w:val="22"/>
        </w:rPr>
      </w:pPr>
      <w:r>
        <w:rPr>
          <w:noProof/>
        </w:rPr>
        <w:t>7.1  Simplified outline of this Part</w:t>
      </w:r>
      <w:r>
        <w:rPr>
          <w:noProof/>
        </w:rPr>
        <w:tab/>
      </w:r>
      <w:r>
        <w:rPr>
          <w:noProof/>
        </w:rPr>
        <w:fldChar w:fldCharType="begin"/>
      </w:r>
      <w:r>
        <w:rPr>
          <w:noProof/>
        </w:rPr>
        <w:instrText xml:space="preserve"> PAGEREF _Toc77064997 \h </w:instrText>
      </w:r>
      <w:r>
        <w:rPr>
          <w:noProof/>
        </w:rPr>
      </w:r>
      <w:r>
        <w:rPr>
          <w:noProof/>
        </w:rPr>
        <w:fldChar w:fldCharType="separate"/>
      </w:r>
      <w:r w:rsidR="002F429D">
        <w:rPr>
          <w:noProof/>
        </w:rPr>
        <w:t>113</w:t>
      </w:r>
      <w:r>
        <w:rPr>
          <w:noProof/>
        </w:rPr>
        <w:fldChar w:fldCharType="end"/>
      </w:r>
    </w:p>
    <w:p w14:paraId="5BF4C771" w14:textId="6BE14AEF" w:rsidR="000F7228" w:rsidRDefault="000F7228">
      <w:pPr>
        <w:pStyle w:val="TOC3"/>
        <w:rPr>
          <w:rFonts w:asciiTheme="minorHAnsi" w:eastAsiaTheme="minorEastAsia" w:hAnsiTheme="minorHAnsi" w:cstheme="minorBidi"/>
          <w:b w:val="0"/>
          <w:noProof/>
          <w:kern w:val="0"/>
          <w:szCs w:val="22"/>
        </w:rPr>
      </w:pPr>
      <w:r>
        <w:rPr>
          <w:noProof/>
        </w:rPr>
        <w:t>Division 7.2—Rules relating to privacy safeguards</w:t>
      </w:r>
      <w:r>
        <w:rPr>
          <w:noProof/>
        </w:rPr>
        <w:tab/>
      </w:r>
      <w:r>
        <w:rPr>
          <w:noProof/>
        </w:rPr>
        <w:fldChar w:fldCharType="begin"/>
      </w:r>
      <w:r>
        <w:rPr>
          <w:noProof/>
        </w:rPr>
        <w:instrText xml:space="preserve"> PAGEREF _Toc77064998 \h </w:instrText>
      </w:r>
      <w:r>
        <w:rPr>
          <w:noProof/>
        </w:rPr>
      </w:r>
      <w:r>
        <w:rPr>
          <w:noProof/>
        </w:rPr>
        <w:fldChar w:fldCharType="separate"/>
      </w:r>
      <w:r w:rsidR="002F429D">
        <w:rPr>
          <w:noProof/>
        </w:rPr>
        <w:t>114</w:t>
      </w:r>
      <w:r>
        <w:rPr>
          <w:noProof/>
        </w:rPr>
        <w:fldChar w:fldCharType="end"/>
      </w:r>
    </w:p>
    <w:p w14:paraId="5894262C" w14:textId="78A561AA" w:rsidR="000F7228" w:rsidRDefault="000F7228">
      <w:pPr>
        <w:pStyle w:val="TOC4"/>
        <w:rPr>
          <w:rFonts w:asciiTheme="minorHAnsi" w:eastAsiaTheme="minorEastAsia" w:hAnsiTheme="minorHAnsi" w:cstheme="minorBidi"/>
          <w:b w:val="0"/>
          <w:noProof/>
          <w:kern w:val="0"/>
          <w:sz w:val="22"/>
          <w:szCs w:val="22"/>
        </w:rPr>
      </w:pPr>
      <w:r>
        <w:rPr>
          <w:noProof/>
        </w:rPr>
        <w:t>Subdivision 7.2.1—Rules relating to consideration of CDR data privacy</w:t>
      </w:r>
      <w:r>
        <w:rPr>
          <w:noProof/>
        </w:rPr>
        <w:tab/>
      </w:r>
      <w:r>
        <w:rPr>
          <w:noProof/>
        </w:rPr>
        <w:fldChar w:fldCharType="begin"/>
      </w:r>
      <w:r>
        <w:rPr>
          <w:noProof/>
        </w:rPr>
        <w:instrText xml:space="preserve"> PAGEREF _Toc77064999 \h </w:instrText>
      </w:r>
      <w:r>
        <w:rPr>
          <w:noProof/>
        </w:rPr>
      </w:r>
      <w:r>
        <w:rPr>
          <w:noProof/>
        </w:rPr>
        <w:fldChar w:fldCharType="separate"/>
      </w:r>
      <w:r w:rsidR="002F429D">
        <w:rPr>
          <w:noProof/>
        </w:rPr>
        <w:t>114</w:t>
      </w:r>
      <w:r>
        <w:rPr>
          <w:noProof/>
        </w:rPr>
        <w:fldChar w:fldCharType="end"/>
      </w:r>
    </w:p>
    <w:p w14:paraId="468943F2" w14:textId="60866274" w:rsidR="000F7228" w:rsidRDefault="000F7228">
      <w:pPr>
        <w:pStyle w:val="TOC5"/>
        <w:rPr>
          <w:rFonts w:asciiTheme="minorHAnsi" w:eastAsiaTheme="minorEastAsia" w:hAnsiTheme="minorHAnsi" w:cstheme="minorBidi"/>
          <w:noProof/>
          <w:kern w:val="0"/>
          <w:sz w:val="22"/>
          <w:szCs w:val="22"/>
        </w:rPr>
      </w:pPr>
      <w:r w:rsidRPr="003C3E47">
        <w:rPr>
          <w:noProof/>
          <w:color w:val="FF0000"/>
        </w:rPr>
        <w:t>7.2  Rule relating to privacy safeguard 1—open and transparent management of CDR data</w:t>
      </w:r>
      <w:r>
        <w:rPr>
          <w:noProof/>
        </w:rPr>
        <w:tab/>
      </w:r>
      <w:r>
        <w:rPr>
          <w:noProof/>
        </w:rPr>
        <w:fldChar w:fldCharType="begin"/>
      </w:r>
      <w:r>
        <w:rPr>
          <w:noProof/>
        </w:rPr>
        <w:instrText xml:space="preserve"> PAGEREF _Toc77065000 \h </w:instrText>
      </w:r>
      <w:r>
        <w:rPr>
          <w:noProof/>
        </w:rPr>
      </w:r>
      <w:r>
        <w:rPr>
          <w:noProof/>
        </w:rPr>
        <w:fldChar w:fldCharType="separate"/>
      </w:r>
      <w:r w:rsidR="002F429D">
        <w:rPr>
          <w:noProof/>
        </w:rPr>
        <w:t>114</w:t>
      </w:r>
      <w:r>
        <w:rPr>
          <w:noProof/>
        </w:rPr>
        <w:fldChar w:fldCharType="end"/>
      </w:r>
    </w:p>
    <w:p w14:paraId="1B006C37" w14:textId="1250B2E4" w:rsidR="000F7228" w:rsidRDefault="000F7228">
      <w:pPr>
        <w:pStyle w:val="TOC5"/>
        <w:rPr>
          <w:rFonts w:asciiTheme="minorHAnsi" w:eastAsiaTheme="minorEastAsia" w:hAnsiTheme="minorHAnsi" w:cstheme="minorBidi"/>
          <w:noProof/>
          <w:kern w:val="0"/>
          <w:sz w:val="22"/>
          <w:szCs w:val="22"/>
        </w:rPr>
      </w:pPr>
      <w:r w:rsidRPr="003C3E47">
        <w:rPr>
          <w:strike/>
          <w:noProof/>
          <w:color w:val="FF0000"/>
        </w:rPr>
        <w:t>7.2  Rule relating to privacy safeguard 1—open and transparent management of CDR data</w:t>
      </w:r>
      <w:r>
        <w:rPr>
          <w:noProof/>
        </w:rPr>
        <w:tab/>
      </w:r>
      <w:r>
        <w:rPr>
          <w:noProof/>
        </w:rPr>
        <w:fldChar w:fldCharType="begin"/>
      </w:r>
      <w:r>
        <w:rPr>
          <w:noProof/>
        </w:rPr>
        <w:instrText xml:space="preserve"> PAGEREF _Toc77065001 \h </w:instrText>
      </w:r>
      <w:r>
        <w:rPr>
          <w:noProof/>
        </w:rPr>
      </w:r>
      <w:r>
        <w:rPr>
          <w:noProof/>
        </w:rPr>
        <w:fldChar w:fldCharType="separate"/>
      </w:r>
      <w:r w:rsidR="002F429D">
        <w:rPr>
          <w:noProof/>
        </w:rPr>
        <w:t>116</w:t>
      </w:r>
      <w:r>
        <w:rPr>
          <w:noProof/>
        </w:rPr>
        <w:fldChar w:fldCharType="end"/>
      </w:r>
    </w:p>
    <w:p w14:paraId="7A443086" w14:textId="326BAEEC" w:rsidR="000F7228" w:rsidRDefault="000F7228">
      <w:pPr>
        <w:pStyle w:val="TOC5"/>
        <w:rPr>
          <w:rFonts w:asciiTheme="minorHAnsi" w:eastAsiaTheme="minorEastAsia" w:hAnsiTheme="minorHAnsi" w:cstheme="minorBidi"/>
          <w:noProof/>
          <w:kern w:val="0"/>
          <w:sz w:val="22"/>
          <w:szCs w:val="22"/>
        </w:rPr>
      </w:pPr>
      <w:r>
        <w:rPr>
          <w:noProof/>
        </w:rPr>
        <w:t>7.3  Rule relating to privacy safeguard 2—anonymity and pseudonymity</w:t>
      </w:r>
      <w:r>
        <w:rPr>
          <w:noProof/>
        </w:rPr>
        <w:tab/>
      </w:r>
      <w:r>
        <w:rPr>
          <w:noProof/>
        </w:rPr>
        <w:fldChar w:fldCharType="begin"/>
      </w:r>
      <w:r>
        <w:rPr>
          <w:noProof/>
        </w:rPr>
        <w:instrText xml:space="preserve"> PAGEREF _Toc77065002 \h </w:instrText>
      </w:r>
      <w:r>
        <w:rPr>
          <w:noProof/>
        </w:rPr>
      </w:r>
      <w:r>
        <w:rPr>
          <w:noProof/>
        </w:rPr>
        <w:fldChar w:fldCharType="separate"/>
      </w:r>
      <w:r w:rsidR="002F429D">
        <w:rPr>
          <w:noProof/>
        </w:rPr>
        <w:t>119</w:t>
      </w:r>
      <w:r>
        <w:rPr>
          <w:noProof/>
        </w:rPr>
        <w:fldChar w:fldCharType="end"/>
      </w:r>
    </w:p>
    <w:p w14:paraId="25068DE0" w14:textId="0C39ED6C" w:rsidR="000F7228" w:rsidRDefault="000F7228">
      <w:pPr>
        <w:pStyle w:val="TOC5"/>
        <w:rPr>
          <w:rFonts w:asciiTheme="minorHAnsi" w:eastAsiaTheme="minorEastAsia" w:hAnsiTheme="minorHAnsi" w:cstheme="minorBidi"/>
          <w:noProof/>
          <w:kern w:val="0"/>
          <w:sz w:val="22"/>
          <w:szCs w:val="22"/>
        </w:rPr>
      </w:pPr>
      <w:r w:rsidRPr="003C3E47">
        <w:rPr>
          <w:noProof/>
          <w:color w:val="0000FF"/>
        </w:rPr>
        <w:t>7.3A  Rule relating to privacy safeguard 4—destruction of unsolicited data—CDR representative</w:t>
      </w:r>
      <w:r>
        <w:rPr>
          <w:noProof/>
        </w:rPr>
        <w:tab/>
      </w:r>
      <w:r>
        <w:rPr>
          <w:noProof/>
        </w:rPr>
        <w:fldChar w:fldCharType="begin"/>
      </w:r>
      <w:r>
        <w:rPr>
          <w:noProof/>
        </w:rPr>
        <w:instrText xml:space="preserve"> PAGEREF _Toc77065003 \h </w:instrText>
      </w:r>
      <w:r>
        <w:rPr>
          <w:noProof/>
        </w:rPr>
      </w:r>
      <w:r>
        <w:rPr>
          <w:noProof/>
        </w:rPr>
        <w:fldChar w:fldCharType="separate"/>
      </w:r>
      <w:r w:rsidR="002F429D">
        <w:rPr>
          <w:noProof/>
        </w:rPr>
        <w:t>120</w:t>
      </w:r>
      <w:r>
        <w:rPr>
          <w:noProof/>
        </w:rPr>
        <w:fldChar w:fldCharType="end"/>
      </w:r>
    </w:p>
    <w:p w14:paraId="077D9455" w14:textId="6F587EC5" w:rsidR="000F7228" w:rsidRDefault="000F7228">
      <w:pPr>
        <w:pStyle w:val="TOC5"/>
        <w:rPr>
          <w:rFonts w:asciiTheme="minorHAnsi" w:eastAsiaTheme="minorEastAsia" w:hAnsiTheme="minorHAnsi" w:cstheme="minorBidi"/>
          <w:noProof/>
          <w:kern w:val="0"/>
          <w:sz w:val="22"/>
          <w:szCs w:val="22"/>
        </w:rPr>
      </w:pPr>
      <w:r w:rsidRPr="003C3E47">
        <w:rPr>
          <w:noProof/>
          <w:color w:val="FF0000"/>
        </w:rPr>
        <w:t>7.3B  Rule relating to privacy safeguard 4—destruction of unsolicited data—primary data holder</w:t>
      </w:r>
      <w:r>
        <w:rPr>
          <w:noProof/>
        </w:rPr>
        <w:tab/>
      </w:r>
      <w:r>
        <w:rPr>
          <w:noProof/>
        </w:rPr>
        <w:fldChar w:fldCharType="begin"/>
      </w:r>
      <w:r>
        <w:rPr>
          <w:noProof/>
        </w:rPr>
        <w:instrText xml:space="preserve"> PAGEREF _Toc77065004 \h </w:instrText>
      </w:r>
      <w:r>
        <w:rPr>
          <w:noProof/>
        </w:rPr>
      </w:r>
      <w:r>
        <w:rPr>
          <w:noProof/>
        </w:rPr>
        <w:fldChar w:fldCharType="separate"/>
      </w:r>
      <w:r w:rsidR="002F429D">
        <w:rPr>
          <w:noProof/>
        </w:rPr>
        <w:t>120</w:t>
      </w:r>
      <w:r>
        <w:rPr>
          <w:noProof/>
        </w:rPr>
        <w:fldChar w:fldCharType="end"/>
      </w:r>
    </w:p>
    <w:p w14:paraId="77B03F11" w14:textId="08FEC2CE" w:rsidR="000F7228" w:rsidRDefault="000F7228">
      <w:pPr>
        <w:pStyle w:val="TOC4"/>
        <w:rPr>
          <w:rFonts w:asciiTheme="minorHAnsi" w:eastAsiaTheme="minorEastAsia" w:hAnsiTheme="minorHAnsi" w:cstheme="minorBidi"/>
          <w:b w:val="0"/>
          <w:noProof/>
          <w:kern w:val="0"/>
          <w:sz w:val="22"/>
          <w:szCs w:val="22"/>
        </w:rPr>
      </w:pPr>
      <w:r>
        <w:rPr>
          <w:noProof/>
        </w:rPr>
        <w:t>Subdivision 7.2.2—Rules relating to collecting CDR data</w:t>
      </w:r>
      <w:r>
        <w:rPr>
          <w:noProof/>
        </w:rPr>
        <w:tab/>
      </w:r>
      <w:r>
        <w:rPr>
          <w:noProof/>
        </w:rPr>
        <w:fldChar w:fldCharType="begin"/>
      </w:r>
      <w:r>
        <w:rPr>
          <w:noProof/>
        </w:rPr>
        <w:instrText xml:space="preserve"> PAGEREF _Toc77065005 \h </w:instrText>
      </w:r>
      <w:r>
        <w:rPr>
          <w:noProof/>
        </w:rPr>
      </w:r>
      <w:r>
        <w:rPr>
          <w:noProof/>
        </w:rPr>
        <w:fldChar w:fldCharType="separate"/>
      </w:r>
      <w:r w:rsidR="002F429D">
        <w:rPr>
          <w:noProof/>
        </w:rPr>
        <w:t>121</w:t>
      </w:r>
      <w:r>
        <w:rPr>
          <w:noProof/>
        </w:rPr>
        <w:fldChar w:fldCharType="end"/>
      </w:r>
    </w:p>
    <w:p w14:paraId="3F70663D" w14:textId="558E4296" w:rsidR="000F7228" w:rsidRDefault="000F7228">
      <w:pPr>
        <w:pStyle w:val="TOC5"/>
        <w:rPr>
          <w:rFonts w:asciiTheme="minorHAnsi" w:eastAsiaTheme="minorEastAsia" w:hAnsiTheme="minorHAnsi" w:cstheme="minorBidi"/>
          <w:noProof/>
          <w:kern w:val="0"/>
          <w:sz w:val="22"/>
          <w:szCs w:val="22"/>
        </w:rPr>
      </w:pPr>
      <w:r>
        <w:rPr>
          <w:noProof/>
        </w:rPr>
        <w:t>7.4  Rule relating to privacy safeguard 5—notifying of the collection of CDR data</w:t>
      </w:r>
      <w:r>
        <w:rPr>
          <w:noProof/>
        </w:rPr>
        <w:tab/>
      </w:r>
      <w:r>
        <w:rPr>
          <w:noProof/>
        </w:rPr>
        <w:fldChar w:fldCharType="begin"/>
      </w:r>
      <w:r>
        <w:rPr>
          <w:noProof/>
        </w:rPr>
        <w:instrText xml:space="preserve"> PAGEREF _Toc77065006 \h </w:instrText>
      </w:r>
      <w:r>
        <w:rPr>
          <w:noProof/>
        </w:rPr>
      </w:r>
      <w:r>
        <w:rPr>
          <w:noProof/>
        </w:rPr>
        <w:fldChar w:fldCharType="separate"/>
      </w:r>
      <w:r w:rsidR="002F429D">
        <w:rPr>
          <w:noProof/>
        </w:rPr>
        <w:t>121</w:t>
      </w:r>
      <w:r>
        <w:rPr>
          <w:noProof/>
        </w:rPr>
        <w:fldChar w:fldCharType="end"/>
      </w:r>
    </w:p>
    <w:p w14:paraId="560EFDC3" w14:textId="2817B5F0" w:rsidR="000F7228" w:rsidRDefault="000F7228">
      <w:pPr>
        <w:pStyle w:val="TOC4"/>
        <w:rPr>
          <w:rFonts w:asciiTheme="minorHAnsi" w:eastAsiaTheme="minorEastAsia" w:hAnsiTheme="minorHAnsi" w:cstheme="minorBidi"/>
          <w:b w:val="0"/>
          <w:noProof/>
          <w:kern w:val="0"/>
          <w:sz w:val="22"/>
          <w:szCs w:val="22"/>
        </w:rPr>
      </w:pPr>
      <w:r>
        <w:rPr>
          <w:noProof/>
        </w:rPr>
        <w:t>Subdivision 7.2.3—Rules relating to dealing with CDR data</w:t>
      </w:r>
      <w:r>
        <w:rPr>
          <w:noProof/>
        </w:rPr>
        <w:tab/>
      </w:r>
      <w:r>
        <w:rPr>
          <w:noProof/>
        </w:rPr>
        <w:fldChar w:fldCharType="begin"/>
      </w:r>
      <w:r>
        <w:rPr>
          <w:noProof/>
        </w:rPr>
        <w:instrText xml:space="preserve"> PAGEREF _Toc77065007 \h </w:instrText>
      </w:r>
      <w:r>
        <w:rPr>
          <w:noProof/>
        </w:rPr>
      </w:r>
      <w:r>
        <w:rPr>
          <w:noProof/>
        </w:rPr>
        <w:fldChar w:fldCharType="separate"/>
      </w:r>
      <w:r w:rsidR="002F429D">
        <w:rPr>
          <w:noProof/>
        </w:rPr>
        <w:t>122</w:t>
      </w:r>
      <w:r>
        <w:rPr>
          <w:noProof/>
        </w:rPr>
        <w:fldChar w:fldCharType="end"/>
      </w:r>
    </w:p>
    <w:p w14:paraId="182A063F" w14:textId="4030922C"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 xml:space="preserve">7.5  Meaning of </w:t>
      </w:r>
      <w:r w:rsidRPr="003C3E47">
        <w:rPr>
          <w:i/>
          <w:noProof/>
          <w:color w:val="000000" w:themeColor="text1"/>
        </w:rPr>
        <w:t xml:space="preserve">permitted use or </w:t>
      </w:r>
      <w:r w:rsidRPr="003C3E47">
        <w:rPr>
          <w:i/>
          <w:noProof/>
        </w:rPr>
        <w:t xml:space="preserve">disclosure </w:t>
      </w:r>
      <w:r>
        <w:rPr>
          <w:noProof/>
        </w:rPr>
        <w:t>and</w:t>
      </w:r>
      <w:r w:rsidRPr="003C3E47">
        <w:rPr>
          <w:noProof/>
        </w:rPr>
        <w:t xml:space="preserve"> </w:t>
      </w:r>
      <w:r w:rsidRPr="003C3E47">
        <w:rPr>
          <w:i/>
          <w:noProof/>
        </w:rPr>
        <w:t>relates to direct marketing</w:t>
      </w:r>
      <w:r>
        <w:rPr>
          <w:noProof/>
        </w:rPr>
        <w:tab/>
      </w:r>
      <w:r>
        <w:rPr>
          <w:noProof/>
        </w:rPr>
        <w:fldChar w:fldCharType="begin"/>
      </w:r>
      <w:r>
        <w:rPr>
          <w:noProof/>
        </w:rPr>
        <w:instrText xml:space="preserve"> PAGEREF _Toc77065008 \h </w:instrText>
      </w:r>
      <w:r>
        <w:rPr>
          <w:noProof/>
        </w:rPr>
      </w:r>
      <w:r>
        <w:rPr>
          <w:noProof/>
        </w:rPr>
        <w:fldChar w:fldCharType="separate"/>
      </w:r>
      <w:r w:rsidR="002F429D">
        <w:rPr>
          <w:noProof/>
        </w:rPr>
        <w:t>122</w:t>
      </w:r>
      <w:r>
        <w:rPr>
          <w:noProof/>
        </w:rPr>
        <w:fldChar w:fldCharType="end"/>
      </w:r>
    </w:p>
    <w:p w14:paraId="1F3E61A6" w14:textId="056D6E21" w:rsidR="000F7228" w:rsidRDefault="000F7228">
      <w:pPr>
        <w:pStyle w:val="TOC5"/>
        <w:rPr>
          <w:rFonts w:asciiTheme="minorHAnsi" w:eastAsiaTheme="minorEastAsia" w:hAnsiTheme="minorHAnsi" w:cstheme="minorBidi"/>
          <w:noProof/>
          <w:kern w:val="0"/>
          <w:sz w:val="22"/>
          <w:szCs w:val="22"/>
        </w:rPr>
      </w:pPr>
      <w:r>
        <w:rPr>
          <w:noProof/>
        </w:rPr>
        <w:t>7.5A  Limitation to disclosures of CDR data under a disclosure consent</w:t>
      </w:r>
      <w:r>
        <w:rPr>
          <w:noProof/>
        </w:rPr>
        <w:tab/>
      </w:r>
      <w:r>
        <w:rPr>
          <w:noProof/>
        </w:rPr>
        <w:fldChar w:fldCharType="begin"/>
      </w:r>
      <w:r>
        <w:rPr>
          <w:noProof/>
        </w:rPr>
        <w:instrText xml:space="preserve"> PAGEREF _Toc77065009 \h </w:instrText>
      </w:r>
      <w:r>
        <w:rPr>
          <w:noProof/>
        </w:rPr>
      </w:r>
      <w:r>
        <w:rPr>
          <w:noProof/>
        </w:rPr>
        <w:fldChar w:fldCharType="separate"/>
      </w:r>
      <w:r w:rsidR="002F429D">
        <w:rPr>
          <w:noProof/>
        </w:rPr>
        <w:t>124</w:t>
      </w:r>
      <w:r>
        <w:rPr>
          <w:noProof/>
        </w:rPr>
        <w:fldChar w:fldCharType="end"/>
      </w:r>
    </w:p>
    <w:p w14:paraId="3734F113" w14:textId="2C6F29B1" w:rsidR="000F7228" w:rsidRDefault="000F7228">
      <w:pPr>
        <w:pStyle w:val="TOC5"/>
        <w:rPr>
          <w:rFonts w:asciiTheme="minorHAnsi" w:eastAsiaTheme="minorEastAsia" w:hAnsiTheme="minorHAnsi" w:cstheme="minorBidi"/>
          <w:noProof/>
          <w:kern w:val="0"/>
          <w:sz w:val="22"/>
          <w:szCs w:val="22"/>
        </w:rPr>
      </w:pPr>
      <w:r>
        <w:rPr>
          <w:noProof/>
        </w:rPr>
        <w:t>7.6  Use or disclosure of CDR data by accredited data recipients</w:t>
      </w:r>
      <w:r w:rsidRPr="003C3E47">
        <w:rPr>
          <w:noProof/>
          <w:color w:val="000000" w:themeColor="text1"/>
        </w:rPr>
        <w:t>,</w:t>
      </w:r>
      <w:r>
        <w:rPr>
          <w:noProof/>
        </w:rPr>
        <w:t xml:space="preserve"> outsourced service providers </w:t>
      </w:r>
      <w:r w:rsidRPr="003C3E47">
        <w:rPr>
          <w:noProof/>
          <w:color w:val="000000" w:themeColor="text1"/>
        </w:rPr>
        <w:t>and others</w:t>
      </w:r>
      <w:r>
        <w:rPr>
          <w:noProof/>
        </w:rPr>
        <w:tab/>
      </w:r>
      <w:r>
        <w:rPr>
          <w:noProof/>
        </w:rPr>
        <w:fldChar w:fldCharType="begin"/>
      </w:r>
      <w:r>
        <w:rPr>
          <w:noProof/>
        </w:rPr>
        <w:instrText xml:space="preserve"> PAGEREF _Toc77065010 \h </w:instrText>
      </w:r>
      <w:r>
        <w:rPr>
          <w:noProof/>
        </w:rPr>
      </w:r>
      <w:r>
        <w:rPr>
          <w:noProof/>
        </w:rPr>
        <w:fldChar w:fldCharType="separate"/>
      </w:r>
      <w:r w:rsidR="002F429D">
        <w:rPr>
          <w:noProof/>
        </w:rPr>
        <w:t>124</w:t>
      </w:r>
      <w:r>
        <w:rPr>
          <w:noProof/>
        </w:rPr>
        <w:fldChar w:fldCharType="end"/>
      </w:r>
    </w:p>
    <w:p w14:paraId="05114298" w14:textId="58DC4DE6" w:rsidR="000F7228" w:rsidRDefault="000F7228">
      <w:pPr>
        <w:pStyle w:val="TOC5"/>
        <w:rPr>
          <w:rFonts w:asciiTheme="minorHAnsi" w:eastAsiaTheme="minorEastAsia" w:hAnsiTheme="minorHAnsi" w:cstheme="minorBidi"/>
          <w:noProof/>
          <w:kern w:val="0"/>
          <w:sz w:val="22"/>
          <w:szCs w:val="22"/>
        </w:rPr>
      </w:pPr>
      <w:r>
        <w:rPr>
          <w:noProof/>
        </w:rPr>
        <w:t>7.7  Rule relating to privacy safeguard 6—use or disclosure of CDR data by accredited data recipients</w:t>
      </w:r>
      <w:r>
        <w:rPr>
          <w:noProof/>
        </w:rPr>
        <w:tab/>
      </w:r>
      <w:r>
        <w:rPr>
          <w:noProof/>
        </w:rPr>
        <w:fldChar w:fldCharType="begin"/>
      </w:r>
      <w:r>
        <w:rPr>
          <w:noProof/>
        </w:rPr>
        <w:instrText xml:space="preserve"> PAGEREF _Toc77065011 \h </w:instrText>
      </w:r>
      <w:r>
        <w:rPr>
          <w:noProof/>
        </w:rPr>
      </w:r>
      <w:r>
        <w:rPr>
          <w:noProof/>
        </w:rPr>
        <w:fldChar w:fldCharType="separate"/>
      </w:r>
      <w:r w:rsidR="002F429D">
        <w:rPr>
          <w:noProof/>
        </w:rPr>
        <w:t>125</w:t>
      </w:r>
      <w:r>
        <w:rPr>
          <w:noProof/>
        </w:rPr>
        <w:fldChar w:fldCharType="end"/>
      </w:r>
    </w:p>
    <w:p w14:paraId="023468C9" w14:textId="6209497C" w:rsidR="000F7228" w:rsidRDefault="000F7228">
      <w:pPr>
        <w:pStyle w:val="TOC5"/>
        <w:rPr>
          <w:rFonts w:asciiTheme="minorHAnsi" w:eastAsiaTheme="minorEastAsia" w:hAnsiTheme="minorHAnsi" w:cstheme="minorBidi"/>
          <w:noProof/>
          <w:kern w:val="0"/>
          <w:sz w:val="22"/>
          <w:szCs w:val="22"/>
        </w:rPr>
      </w:pPr>
      <w:r>
        <w:rPr>
          <w:noProof/>
        </w:rPr>
        <w:t>7.8  Rule relating to privacy safeguard 7—use or disclosure of CDR data for direct marketing by accredited data recipients</w:t>
      </w:r>
      <w:r>
        <w:rPr>
          <w:noProof/>
        </w:rPr>
        <w:tab/>
      </w:r>
      <w:r>
        <w:rPr>
          <w:noProof/>
        </w:rPr>
        <w:fldChar w:fldCharType="begin"/>
      </w:r>
      <w:r>
        <w:rPr>
          <w:noProof/>
        </w:rPr>
        <w:instrText xml:space="preserve"> PAGEREF _Toc77065012 \h </w:instrText>
      </w:r>
      <w:r>
        <w:rPr>
          <w:noProof/>
        </w:rPr>
      </w:r>
      <w:r>
        <w:rPr>
          <w:noProof/>
        </w:rPr>
        <w:fldChar w:fldCharType="separate"/>
      </w:r>
      <w:r w:rsidR="002F429D">
        <w:rPr>
          <w:noProof/>
        </w:rPr>
        <w:t>125</w:t>
      </w:r>
      <w:r>
        <w:rPr>
          <w:noProof/>
        </w:rPr>
        <w:fldChar w:fldCharType="end"/>
      </w:r>
    </w:p>
    <w:p w14:paraId="2FA496E6" w14:textId="6F364DEE" w:rsidR="000F7228" w:rsidRDefault="000F7228">
      <w:pPr>
        <w:pStyle w:val="TOC5"/>
        <w:rPr>
          <w:rFonts w:asciiTheme="minorHAnsi" w:eastAsiaTheme="minorEastAsia" w:hAnsiTheme="minorHAnsi" w:cstheme="minorBidi"/>
          <w:noProof/>
          <w:kern w:val="0"/>
          <w:sz w:val="22"/>
          <w:szCs w:val="22"/>
        </w:rPr>
      </w:pPr>
      <w:r>
        <w:rPr>
          <w:noProof/>
        </w:rPr>
        <w:t>7.9  Rule relating to privacy safeguard 10—notifying of the disclosure of CDR data</w:t>
      </w:r>
      <w:r>
        <w:rPr>
          <w:noProof/>
        </w:rPr>
        <w:tab/>
      </w:r>
      <w:r>
        <w:rPr>
          <w:noProof/>
        </w:rPr>
        <w:fldChar w:fldCharType="begin"/>
      </w:r>
      <w:r>
        <w:rPr>
          <w:noProof/>
        </w:rPr>
        <w:instrText xml:space="preserve"> PAGEREF _Toc77065013 \h </w:instrText>
      </w:r>
      <w:r>
        <w:rPr>
          <w:noProof/>
        </w:rPr>
      </w:r>
      <w:r>
        <w:rPr>
          <w:noProof/>
        </w:rPr>
        <w:fldChar w:fldCharType="separate"/>
      </w:r>
      <w:r w:rsidR="002F429D">
        <w:rPr>
          <w:noProof/>
        </w:rPr>
        <w:t>126</w:t>
      </w:r>
      <w:r>
        <w:rPr>
          <w:noProof/>
        </w:rPr>
        <w:fldChar w:fldCharType="end"/>
      </w:r>
    </w:p>
    <w:p w14:paraId="583DD204" w14:textId="0F46B132" w:rsidR="000F7228" w:rsidRDefault="000F7228">
      <w:pPr>
        <w:pStyle w:val="TOC4"/>
        <w:rPr>
          <w:rFonts w:asciiTheme="minorHAnsi" w:eastAsiaTheme="minorEastAsia" w:hAnsiTheme="minorHAnsi" w:cstheme="minorBidi"/>
          <w:b w:val="0"/>
          <w:noProof/>
          <w:kern w:val="0"/>
          <w:sz w:val="22"/>
          <w:szCs w:val="22"/>
        </w:rPr>
      </w:pPr>
      <w:r>
        <w:rPr>
          <w:noProof/>
        </w:rPr>
        <w:t>Subdivision 7.2.4—Rules relating to integrity and security of CDR data</w:t>
      </w:r>
      <w:r>
        <w:rPr>
          <w:noProof/>
        </w:rPr>
        <w:tab/>
      </w:r>
      <w:r>
        <w:rPr>
          <w:noProof/>
        </w:rPr>
        <w:fldChar w:fldCharType="begin"/>
      </w:r>
      <w:r>
        <w:rPr>
          <w:noProof/>
        </w:rPr>
        <w:instrText xml:space="preserve"> PAGEREF _Toc77065014 \h </w:instrText>
      </w:r>
      <w:r>
        <w:rPr>
          <w:noProof/>
        </w:rPr>
      </w:r>
      <w:r>
        <w:rPr>
          <w:noProof/>
        </w:rPr>
        <w:fldChar w:fldCharType="separate"/>
      </w:r>
      <w:r w:rsidR="002F429D">
        <w:rPr>
          <w:noProof/>
        </w:rPr>
        <w:t>128</w:t>
      </w:r>
      <w:r>
        <w:rPr>
          <w:noProof/>
        </w:rPr>
        <w:fldChar w:fldCharType="end"/>
      </w:r>
    </w:p>
    <w:p w14:paraId="56AED9D7" w14:textId="31C0AACA" w:rsidR="000F7228" w:rsidRDefault="000F7228">
      <w:pPr>
        <w:pStyle w:val="TOC5"/>
        <w:rPr>
          <w:rFonts w:asciiTheme="minorHAnsi" w:eastAsiaTheme="minorEastAsia" w:hAnsiTheme="minorHAnsi" w:cstheme="minorBidi"/>
          <w:noProof/>
          <w:kern w:val="0"/>
          <w:sz w:val="22"/>
          <w:szCs w:val="22"/>
        </w:rPr>
      </w:pPr>
      <w:r>
        <w:rPr>
          <w:noProof/>
        </w:rPr>
        <w:t>7.10  Rule relating to privacy safeguard 11—quality of CDR data</w:t>
      </w:r>
      <w:r>
        <w:rPr>
          <w:noProof/>
        </w:rPr>
        <w:tab/>
      </w:r>
      <w:r>
        <w:rPr>
          <w:noProof/>
        </w:rPr>
        <w:fldChar w:fldCharType="begin"/>
      </w:r>
      <w:r>
        <w:rPr>
          <w:noProof/>
        </w:rPr>
        <w:instrText xml:space="preserve"> PAGEREF _Toc77065015 \h </w:instrText>
      </w:r>
      <w:r>
        <w:rPr>
          <w:noProof/>
        </w:rPr>
      </w:r>
      <w:r>
        <w:rPr>
          <w:noProof/>
        </w:rPr>
        <w:fldChar w:fldCharType="separate"/>
      </w:r>
      <w:r w:rsidR="002F429D">
        <w:rPr>
          <w:noProof/>
        </w:rPr>
        <w:t>128</w:t>
      </w:r>
      <w:r>
        <w:rPr>
          <w:noProof/>
        </w:rPr>
        <w:fldChar w:fldCharType="end"/>
      </w:r>
    </w:p>
    <w:p w14:paraId="0CE7E6A6" w14:textId="044677B4" w:rsidR="000F7228" w:rsidRDefault="000F7228">
      <w:pPr>
        <w:pStyle w:val="TOC5"/>
        <w:rPr>
          <w:rFonts w:asciiTheme="minorHAnsi" w:eastAsiaTheme="minorEastAsia" w:hAnsiTheme="minorHAnsi" w:cstheme="minorBidi"/>
          <w:noProof/>
          <w:kern w:val="0"/>
          <w:sz w:val="22"/>
          <w:szCs w:val="22"/>
        </w:rPr>
      </w:pPr>
      <w:r w:rsidRPr="003C3E47">
        <w:rPr>
          <w:noProof/>
          <w:color w:val="0000FF"/>
        </w:rPr>
        <w:t>7.10A  Rule relating to privacy safeguard 11—quality of data—CDR representative</w:t>
      </w:r>
      <w:r>
        <w:rPr>
          <w:noProof/>
        </w:rPr>
        <w:tab/>
      </w:r>
      <w:r>
        <w:rPr>
          <w:noProof/>
        </w:rPr>
        <w:fldChar w:fldCharType="begin"/>
      </w:r>
      <w:r>
        <w:rPr>
          <w:noProof/>
        </w:rPr>
        <w:instrText xml:space="preserve"> PAGEREF _Toc77065016 \h </w:instrText>
      </w:r>
      <w:r>
        <w:rPr>
          <w:noProof/>
        </w:rPr>
      </w:r>
      <w:r>
        <w:rPr>
          <w:noProof/>
        </w:rPr>
        <w:fldChar w:fldCharType="separate"/>
      </w:r>
      <w:r w:rsidR="002F429D">
        <w:rPr>
          <w:noProof/>
        </w:rPr>
        <w:t>128</w:t>
      </w:r>
      <w:r>
        <w:rPr>
          <w:noProof/>
        </w:rPr>
        <w:fldChar w:fldCharType="end"/>
      </w:r>
    </w:p>
    <w:p w14:paraId="3788241B" w14:textId="03F53C5A" w:rsidR="000F7228" w:rsidRDefault="000F7228">
      <w:pPr>
        <w:pStyle w:val="TOC5"/>
        <w:rPr>
          <w:rFonts w:asciiTheme="minorHAnsi" w:eastAsiaTheme="minorEastAsia" w:hAnsiTheme="minorHAnsi" w:cstheme="minorBidi"/>
          <w:noProof/>
          <w:kern w:val="0"/>
          <w:sz w:val="22"/>
          <w:szCs w:val="22"/>
        </w:rPr>
      </w:pPr>
      <w:r>
        <w:rPr>
          <w:noProof/>
        </w:rPr>
        <w:t>7.11  Rule relating to privacy safeguard 12—security of CDR data</w:t>
      </w:r>
      <w:r>
        <w:rPr>
          <w:noProof/>
        </w:rPr>
        <w:tab/>
      </w:r>
      <w:r>
        <w:rPr>
          <w:noProof/>
        </w:rPr>
        <w:fldChar w:fldCharType="begin"/>
      </w:r>
      <w:r>
        <w:rPr>
          <w:noProof/>
        </w:rPr>
        <w:instrText xml:space="preserve"> PAGEREF _Toc77065017 \h </w:instrText>
      </w:r>
      <w:r>
        <w:rPr>
          <w:noProof/>
        </w:rPr>
      </w:r>
      <w:r>
        <w:rPr>
          <w:noProof/>
        </w:rPr>
        <w:fldChar w:fldCharType="separate"/>
      </w:r>
      <w:r w:rsidR="002F429D">
        <w:rPr>
          <w:noProof/>
        </w:rPr>
        <w:t>128</w:t>
      </w:r>
      <w:r>
        <w:rPr>
          <w:noProof/>
        </w:rPr>
        <w:fldChar w:fldCharType="end"/>
      </w:r>
    </w:p>
    <w:p w14:paraId="7CDDE351" w14:textId="4615B88F" w:rsidR="000F7228" w:rsidRDefault="000F7228">
      <w:pPr>
        <w:pStyle w:val="TOC5"/>
        <w:rPr>
          <w:rFonts w:asciiTheme="minorHAnsi" w:eastAsiaTheme="minorEastAsia" w:hAnsiTheme="minorHAnsi" w:cstheme="minorBidi"/>
          <w:noProof/>
          <w:kern w:val="0"/>
          <w:sz w:val="22"/>
          <w:szCs w:val="22"/>
        </w:rPr>
      </w:pPr>
      <w:r>
        <w:rPr>
          <w:noProof/>
        </w:rPr>
        <w:t>7.12  Rule relating to privacy safeguard 12—de</w:t>
      </w:r>
      <w:r>
        <w:rPr>
          <w:noProof/>
        </w:rPr>
        <w:noBreakHyphen/>
        <w:t>identification of redundant data</w:t>
      </w:r>
      <w:r>
        <w:rPr>
          <w:noProof/>
        </w:rPr>
        <w:tab/>
      </w:r>
      <w:r>
        <w:rPr>
          <w:noProof/>
        </w:rPr>
        <w:fldChar w:fldCharType="begin"/>
      </w:r>
      <w:r>
        <w:rPr>
          <w:noProof/>
        </w:rPr>
        <w:instrText xml:space="preserve"> PAGEREF _Toc77065018 \h </w:instrText>
      </w:r>
      <w:r>
        <w:rPr>
          <w:noProof/>
        </w:rPr>
      </w:r>
      <w:r>
        <w:rPr>
          <w:noProof/>
        </w:rPr>
        <w:fldChar w:fldCharType="separate"/>
      </w:r>
      <w:r w:rsidR="002F429D">
        <w:rPr>
          <w:noProof/>
        </w:rPr>
        <w:t>129</w:t>
      </w:r>
      <w:r>
        <w:rPr>
          <w:noProof/>
        </w:rPr>
        <w:fldChar w:fldCharType="end"/>
      </w:r>
    </w:p>
    <w:p w14:paraId="67668D83" w14:textId="6405E5F3" w:rsidR="000F7228" w:rsidRDefault="000F7228">
      <w:pPr>
        <w:pStyle w:val="TOC5"/>
        <w:rPr>
          <w:rFonts w:asciiTheme="minorHAnsi" w:eastAsiaTheme="minorEastAsia" w:hAnsiTheme="minorHAnsi" w:cstheme="minorBidi"/>
          <w:noProof/>
          <w:kern w:val="0"/>
          <w:sz w:val="22"/>
          <w:szCs w:val="22"/>
        </w:rPr>
      </w:pPr>
      <w:r>
        <w:rPr>
          <w:noProof/>
        </w:rPr>
        <w:t>7.13  Rule relating to privacy safeguard 12—deletion of redundant data</w:t>
      </w:r>
      <w:r>
        <w:rPr>
          <w:noProof/>
        </w:rPr>
        <w:tab/>
      </w:r>
      <w:r>
        <w:rPr>
          <w:noProof/>
        </w:rPr>
        <w:fldChar w:fldCharType="begin"/>
      </w:r>
      <w:r>
        <w:rPr>
          <w:noProof/>
        </w:rPr>
        <w:instrText xml:space="preserve"> PAGEREF _Toc77065019 \h </w:instrText>
      </w:r>
      <w:r>
        <w:rPr>
          <w:noProof/>
        </w:rPr>
      </w:r>
      <w:r>
        <w:rPr>
          <w:noProof/>
        </w:rPr>
        <w:fldChar w:fldCharType="separate"/>
      </w:r>
      <w:r w:rsidR="002F429D">
        <w:rPr>
          <w:noProof/>
        </w:rPr>
        <w:t>130</w:t>
      </w:r>
      <w:r>
        <w:rPr>
          <w:noProof/>
        </w:rPr>
        <w:fldChar w:fldCharType="end"/>
      </w:r>
    </w:p>
    <w:p w14:paraId="644FDACA" w14:textId="0EC2D7E5" w:rsidR="000F7228" w:rsidRDefault="000F7228">
      <w:pPr>
        <w:pStyle w:val="TOC4"/>
        <w:rPr>
          <w:rFonts w:asciiTheme="minorHAnsi" w:eastAsiaTheme="minorEastAsia" w:hAnsiTheme="minorHAnsi" w:cstheme="minorBidi"/>
          <w:b w:val="0"/>
          <w:noProof/>
          <w:kern w:val="0"/>
          <w:sz w:val="22"/>
          <w:szCs w:val="22"/>
        </w:rPr>
      </w:pPr>
      <w:r w:rsidRPr="003C3E47">
        <w:rPr>
          <w:noProof/>
          <w:color w:val="000000"/>
        </w:rPr>
        <w:t>Subdivision 7.2.5—Rules relating to correction of CDR data</w:t>
      </w:r>
      <w:r>
        <w:rPr>
          <w:noProof/>
        </w:rPr>
        <w:tab/>
      </w:r>
      <w:r>
        <w:rPr>
          <w:noProof/>
        </w:rPr>
        <w:fldChar w:fldCharType="begin"/>
      </w:r>
      <w:r>
        <w:rPr>
          <w:noProof/>
        </w:rPr>
        <w:instrText xml:space="preserve"> PAGEREF _Toc77065020 \h </w:instrText>
      </w:r>
      <w:r>
        <w:rPr>
          <w:noProof/>
        </w:rPr>
      </w:r>
      <w:r>
        <w:rPr>
          <w:noProof/>
        </w:rPr>
        <w:fldChar w:fldCharType="separate"/>
      </w:r>
      <w:r w:rsidR="002F429D">
        <w:rPr>
          <w:noProof/>
        </w:rPr>
        <w:t>131</w:t>
      </w:r>
      <w:r>
        <w:rPr>
          <w:noProof/>
        </w:rPr>
        <w:fldChar w:fldCharType="end"/>
      </w:r>
    </w:p>
    <w:p w14:paraId="66896F6A" w14:textId="4EFBAF9F" w:rsidR="000F7228" w:rsidRDefault="000F7228">
      <w:pPr>
        <w:pStyle w:val="TOC5"/>
        <w:rPr>
          <w:rFonts w:asciiTheme="minorHAnsi" w:eastAsiaTheme="minorEastAsia" w:hAnsiTheme="minorHAnsi" w:cstheme="minorBidi"/>
          <w:noProof/>
          <w:kern w:val="0"/>
          <w:sz w:val="22"/>
          <w:szCs w:val="22"/>
        </w:rPr>
      </w:pPr>
      <w:r w:rsidRPr="003C3E47">
        <w:rPr>
          <w:noProof/>
          <w:color w:val="000000"/>
        </w:rPr>
        <w:t>7.14  No fee for responding to or actioning correction request</w:t>
      </w:r>
      <w:r>
        <w:rPr>
          <w:noProof/>
        </w:rPr>
        <w:tab/>
      </w:r>
      <w:r>
        <w:rPr>
          <w:noProof/>
        </w:rPr>
        <w:fldChar w:fldCharType="begin"/>
      </w:r>
      <w:r>
        <w:rPr>
          <w:noProof/>
        </w:rPr>
        <w:instrText xml:space="preserve"> PAGEREF _Toc77065021 \h </w:instrText>
      </w:r>
      <w:r>
        <w:rPr>
          <w:noProof/>
        </w:rPr>
      </w:r>
      <w:r>
        <w:rPr>
          <w:noProof/>
        </w:rPr>
        <w:fldChar w:fldCharType="separate"/>
      </w:r>
      <w:r w:rsidR="002F429D">
        <w:rPr>
          <w:noProof/>
        </w:rPr>
        <w:t>131</w:t>
      </w:r>
      <w:r>
        <w:rPr>
          <w:noProof/>
        </w:rPr>
        <w:fldChar w:fldCharType="end"/>
      </w:r>
    </w:p>
    <w:p w14:paraId="41843543" w14:textId="4C2DFA0D" w:rsidR="000F7228" w:rsidRDefault="000F7228">
      <w:pPr>
        <w:pStyle w:val="TOC5"/>
        <w:rPr>
          <w:rFonts w:asciiTheme="minorHAnsi" w:eastAsiaTheme="minorEastAsia" w:hAnsiTheme="minorHAnsi" w:cstheme="minorBidi"/>
          <w:noProof/>
          <w:kern w:val="0"/>
          <w:sz w:val="22"/>
          <w:szCs w:val="22"/>
        </w:rPr>
      </w:pPr>
      <w:r w:rsidRPr="003C3E47">
        <w:rPr>
          <w:noProof/>
          <w:color w:val="000000"/>
        </w:rPr>
        <w:t>7.15  Rule relating to privacy safeguard 13—steps to be taken when responding to correction request</w:t>
      </w:r>
      <w:r>
        <w:rPr>
          <w:noProof/>
        </w:rPr>
        <w:tab/>
      </w:r>
      <w:r>
        <w:rPr>
          <w:noProof/>
        </w:rPr>
        <w:fldChar w:fldCharType="begin"/>
      </w:r>
      <w:r>
        <w:rPr>
          <w:noProof/>
        </w:rPr>
        <w:instrText xml:space="preserve"> PAGEREF _Toc77065022 \h </w:instrText>
      </w:r>
      <w:r>
        <w:rPr>
          <w:noProof/>
        </w:rPr>
      </w:r>
      <w:r>
        <w:rPr>
          <w:noProof/>
        </w:rPr>
        <w:fldChar w:fldCharType="separate"/>
      </w:r>
      <w:r w:rsidR="002F429D">
        <w:rPr>
          <w:noProof/>
        </w:rPr>
        <w:t>131</w:t>
      </w:r>
      <w:r>
        <w:rPr>
          <w:noProof/>
        </w:rPr>
        <w:fldChar w:fldCharType="end"/>
      </w:r>
    </w:p>
    <w:p w14:paraId="07FC1992" w14:textId="693C4E92" w:rsidR="000F7228" w:rsidRDefault="000F7228">
      <w:pPr>
        <w:pStyle w:val="TOC5"/>
        <w:rPr>
          <w:rFonts w:asciiTheme="minorHAnsi" w:eastAsiaTheme="minorEastAsia" w:hAnsiTheme="minorHAnsi" w:cstheme="minorBidi"/>
          <w:noProof/>
          <w:kern w:val="0"/>
          <w:sz w:val="22"/>
          <w:szCs w:val="22"/>
        </w:rPr>
      </w:pPr>
      <w:r w:rsidRPr="003C3E47">
        <w:rPr>
          <w:noProof/>
          <w:color w:val="0000FF"/>
        </w:rPr>
        <w:t>7.16  Rule relating to privacy safeguard 13—correction of data—CDR representative</w:t>
      </w:r>
      <w:r>
        <w:rPr>
          <w:noProof/>
        </w:rPr>
        <w:tab/>
      </w:r>
      <w:r>
        <w:rPr>
          <w:noProof/>
        </w:rPr>
        <w:fldChar w:fldCharType="begin"/>
      </w:r>
      <w:r>
        <w:rPr>
          <w:noProof/>
        </w:rPr>
        <w:instrText xml:space="preserve"> PAGEREF _Toc77065023 \h </w:instrText>
      </w:r>
      <w:r>
        <w:rPr>
          <w:noProof/>
        </w:rPr>
      </w:r>
      <w:r>
        <w:rPr>
          <w:noProof/>
        </w:rPr>
        <w:fldChar w:fldCharType="separate"/>
      </w:r>
      <w:r w:rsidR="002F429D">
        <w:rPr>
          <w:noProof/>
        </w:rPr>
        <w:t>131</w:t>
      </w:r>
      <w:r>
        <w:rPr>
          <w:noProof/>
        </w:rPr>
        <w:fldChar w:fldCharType="end"/>
      </w:r>
    </w:p>
    <w:p w14:paraId="6D6D9B6D" w14:textId="7720905B" w:rsidR="000F7228" w:rsidRDefault="000F7228">
      <w:pPr>
        <w:pStyle w:val="TOC2"/>
        <w:rPr>
          <w:rFonts w:asciiTheme="minorHAnsi" w:eastAsiaTheme="minorEastAsia" w:hAnsiTheme="minorHAnsi" w:cstheme="minorBidi"/>
          <w:b w:val="0"/>
          <w:noProof/>
          <w:kern w:val="0"/>
          <w:sz w:val="22"/>
          <w:szCs w:val="22"/>
        </w:rPr>
      </w:pPr>
      <w:r>
        <w:rPr>
          <w:noProof/>
        </w:rPr>
        <w:t>Part 8—Rules relating to data standards</w:t>
      </w:r>
      <w:r>
        <w:rPr>
          <w:noProof/>
        </w:rPr>
        <w:tab/>
      </w:r>
      <w:r>
        <w:rPr>
          <w:noProof/>
        </w:rPr>
        <w:fldChar w:fldCharType="begin"/>
      </w:r>
      <w:r>
        <w:rPr>
          <w:noProof/>
        </w:rPr>
        <w:instrText xml:space="preserve"> PAGEREF _Toc77065024 \h </w:instrText>
      </w:r>
      <w:r>
        <w:rPr>
          <w:noProof/>
        </w:rPr>
      </w:r>
      <w:r>
        <w:rPr>
          <w:noProof/>
        </w:rPr>
        <w:fldChar w:fldCharType="separate"/>
      </w:r>
      <w:r w:rsidR="002F429D">
        <w:rPr>
          <w:noProof/>
        </w:rPr>
        <w:t>133</w:t>
      </w:r>
      <w:r>
        <w:rPr>
          <w:noProof/>
        </w:rPr>
        <w:fldChar w:fldCharType="end"/>
      </w:r>
    </w:p>
    <w:p w14:paraId="20F096F1" w14:textId="67C94643" w:rsidR="000F7228" w:rsidRDefault="000F7228">
      <w:pPr>
        <w:pStyle w:val="TOC3"/>
        <w:rPr>
          <w:rFonts w:asciiTheme="minorHAnsi" w:eastAsiaTheme="minorEastAsia" w:hAnsiTheme="minorHAnsi" w:cstheme="minorBidi"/>
          <w:b w:val="0"/>
          <w:noProof/>
          <w:kern w:val="0"/>
          <w:szCs w:val="22"/>
        </w:rPr>
      </w:pPr>
      <w:r>
        <w:rPr>
          <w:noProof/>
        </w:rPr>
        <w:t>Division 8.1—Preliminary</w:t>
      </w:r>
      <w:r>
        <w:rPr>
          <w:noProof/>
        </w:rPr>
        <w:tab/>
      </w:r>
      <w:r>
        <w:rPr>
          <w:noProof/>
        </w:rPr>
        <w:fldChar w:fldCharType="begin"/>
      </w:r>
      <w:r>
        <w:rPr>
          <w:noProof/>
        </w:rPr>
        <w:instrText xml:space="preserve"> PAGEREF _Toc77065025 \h </w:instrText>
      </w:r>
      <w:r>
        <w:rPr>
          <w:noProof/>
        </w:rPr>
      </w:r>
      <w:r>
        <w:rPr>
          <w:noProof/>
        </w:rPr>
        <w:fldChar w:fldCharType="separate"/>
      </w:r>
      <w:r w:rsidR="002F429D">
        <w:rPr>
          <w:noProof/>
        </w:rPr>
        <w:t>133</w:t>
      </w:r>
      <w:r>
        <w:rPr>
          <w:noProof/>
        </w:rPr>
        <w:fldChar w:fldCharType="end"/>
      </w:r>
    </w:p>
    <w:p w14:paraId="48DB5638" w14:textId="2A2E86A6" w:rsidR="000F7228" w:rsidRDefault="000F7228">
      <w:pPr>
        <w:pStyle w:val="TOC5"/>
        <w:rPr>
          <w:rFonts w:asciiTheme="minorHAnsi" w:eastAsiaTheme="minorEastAsia" w:hAnsiTheme="minorHAnsi" w:cstheme="minorBidi"/>
          <w:noProof/>
          <w:kern w:val="0"/>
          <w:sz w:val="22"/>
          <w:szCs w:val="22"/>
        </w:rPr>
      </w:pPr>
      <w:r>
        <w:rPr>
          <w:noProof/>
        </w:rPr>
        <w:t>8.1  Simplified outline of this Part</w:t>
      </w:r>
      <w:r>
        <w:rPr>
          <w:noProof/>
        </w:rPr>
        <w:tab/>
      </w:r>
      <w:r>
        <w:rPr>
          <w:noProof/>
        </w:rPr>
        <w:fldChar w:fldCharType="begin"/>
      </w:r>
      <w:r>
        <w:rPr>
          <w:noProof/>
        </w:rPr>
        <w:instrText xml:space="preserve"> PAGEREF _Toc77065026 \h </w:instrText>
      </w:r>
      <w:r>
        <w:rPr>
          <w:noProof/>
        </w:rPr>
      </w:r>
      <w:r>
        <w:rPr>
          <w:noProof/>
        </w:rPr>
        <w:fldChar w:fldCharType="separate"/>
      </w:r>
      <w:r w:rsidR="002F429D">
        <w:rPr>
          <w:noProof/>
        </w:rPr>
        <w:t>133</w:t>
      </w:r>
      <w:r>
        <w:rPr>
          <w:noProof/>
        </w:rPr>
        <w:fldChar w:fldCharType="end"/>
      </w:r>
    </w:p>
    <w:p w14:paraId="218784CD" w14:textId="009C1EDA" w:rsidR="000F7228" w:rsidRDefault="000F7228">
      <w:pPr>
        <w:pStyle w:val="TOC3"/>
        <w:rPr>
          <w:rFonts w:asciiTheme="minorHAnsi" w:eastAsiaTheme="minorEastAsia" w:hAnsiTheme="minorHAnsi" w:cstheme="minorBidi"/>
          <w:b w:val="0"/>
          <w:noProof/>
          <w:kern w:val="0"/>
          <w:szCs w:val="22"/>
        </w:rPr>
      </w:pPr>
      <w:r>
        <w:rPr>
          <w:noProof/>
        </w:rPr>
        <w:t xml:space="preserve">Division 8.2—Data Standards Advisory </w:t>
      </w:r>
      <w:r w:rsidRPr="003C3E47">
        <w:rPr>
          <w:noProof/>
          <w:color w:val="FF0000"/>
        </w:rPr>
        <w:t>Committees</w:t>
      </w:r>
      <w:r w:rsidRPr="003C3E47">
        <w:rPr>
          <w:strike/>
          <w:noProof/>
          <w:color w:val="FF0000"/>
        </w:rPr>
        <w:t xml:space="preserve"> Committee</w:t>
      </w:r>
      <w:r>
        <w:rPr>
          <w:noProof/>
        </w:rPr>
        <w:tab/>
      </w:r>
      <w:r>
        <w:rPr>
          <w:noProof/>
        </w:rPr>
        <w:fldChar w:fldCharType="begin"/>
      </w:r>
      <w:r>
        <w:rPr>
          <w:noProof/>
        </w:rPr>
        <w:instrText xml:space="preserve"> PAGEREF _Toc77065027 \h </w:instrText>
      </w:r>
      <w:r>
        <w:rPr>
          <w:noProof/>
        </w:rPr>
      </w:r>
      <w:r>
        <w:rPr>
          <w:noProof/>
        </w:rPr>
        <w:fldChar w:fldCharType="separate"/>
      </w:r>
      <w:r w:rsidR="002F429D">
        <w:rPr>
          <w:noProof/>
        </w:rPr>
        <w:t>134</w:t>
      </w:r>
      <w:r>
        <w:rPr>
          <w:noProof/>
        </w:rPr>
        <w:fldChar w:fldCharType="end"/>
      </w:r>
    </w:p>
    <w:p w14:paraId="66FE79DF" w14:textId="5768D3F9" w:rsidR="000F7228" w:rsidRDefault="000F7228">
      <w:pPr>
        <w:pStyle w:val="TOC5"/>
        <w:rPr>
          <w:rFonts w:asciiTheme="minorHAnsi" w:eastAsiaTheme="minorEastAsia" w:hAnsiTheme="minorHAnsi" w:cstheme="minorBidi"/>
          <w:noProof/>
          <w:kern w:val="0"/>
          <w:sz w:val="22"/>
          <w:szCs w:val="22"/>
        </w:rPr>
      </w:pPr>
      <w:r w:rsidRPr="003C3E47">
        <w:rPr>
          <w:noProof/>
          <w:color w:val="FF0000"/>
        </w:rPr>
        <w:t>8.2  Establishment of Data Standards Advisory Committee</w:t>
      </w:r>
      <w:r>
        <w:rPr>
          <w:noProof/>
        </w:rPr>
        <w:tab/>
      </w:r>
      <w:r>
        <w:rPr>
          <w:noProof/>
        </w:rPr>
        <w:fldChar w:fldCharType="begin"/>
      </w:r>
      <w:r>
        <w:rPr>
          <w:noProof/>
        </w:rPr>
        <w:instrText xml:space="preserve"> PAGEREF _Toc77065028 \h </w:instrText>
      </w:r>
      <w:r>
        <w:rPr>
          <w:noProof/>
        </w:rPr>
      </w:r>
      <w:r>
        <w:rPr>
          <w:noProof/>
        </w:rPr>
        <w:fldChar w:fldCharType="separate"/>
      </w:r>
      <w:r w:rsidR="002F429D">
        <w:rPr>
          <w:noProof/>
        </w:rPr>
        <w:t>134</w:t>
      </w:r>
      <w:r>
        <w:rPr>
          <w:noProof/>
        </w:rPr>
        <w:fldChar w:fldCharType="end"/>
      </w:r>
    </w:p>
    <w:p w14:paraId="4B965234" w14:textId="61C8B0E8" w:rsidR="000F7228" w:rsidRDefault="000F7228">
      <w:pPr>
        <w:pStyle w:val="TOC5"/>
        <w:rPr>
          <w:rFonts w:asciiTheme="minorHAnsi" w:eastAsiaTheme="minorEastAsia" w:hAnsiTheme="minorHAnsi" w:cstheme="minorBidi"/>
          <w:noProof/>
          <w:kern w:val="0"/>
          <w:sz w:val="22"/>
          <w:szCs w:val="22"/>
        </w:rPr>
      </w:pPr>
      <w:r w:rsidRPr="003C3E47">
        <w:rPr>
          <w:strike/>
          <w:noProof/>
          <w:color w:val="FF0000"/>
        </w:rPr>
        <w:t>8.2  Establishment of Data Standards Advisory Committee</w:t>
      </w:r>
      <w:r>
        <w:rPr>
          <w:noProof/>
        </w:rPr>
        <w:tab/>
      </w:r>
      <w:r>
        <w:rPr>
          <w:noProof/>
        </w:rPr>
        <w:fldChar w:fldCharType="begin"/>
      </w:r>
      <w:r>
        <w:rPr>
          <w:noProof/>
        </w:rPr>
        <w:instrText xml:space="preserve"> PAGEREF _Toc77065029 \h </w:instrText>
      </w:r>
      <w:r>
        <w:rPr>
          <w:noProof/>
        </w:rPr>
      </w:r>
      <w:r>
        <w:rPr>
          <w:noProof/>
        </w:rPr>
        <w:fldChar w:fldCharType="separate"/>
      </w:r>
      <w:r w:rsidR="002F429D">
        <w:rPr>
          <w:noProof/>
        </w:rPr>
        <w:t>134</w:t>
      </w:r>
      <w:r>
        <w:rPr>
          <w:noProof/>
        </w:rPr>
        <w:fldChar w:fldCharType="end"/>
      </w:r>
    </w:p>
    <w:p w14:paraId="60DC67D6" w14:textId="4E8A7EF7" w:rsidR="000F7228" w:rsidRDefault="000F7228">
      <w:pPr>
        <w:pStyle w:val="TOC5"/>
        <w:rPr>
          <w:rFonts w:asciiTheme="minorHAnsi" w:eastAsiaTheme="minorEastAsia" w:hAnsiTheme="minorHAnsi" w:cstheme="minorBidi"/>
          <w:noProof/>
          <w:kern w:val="0"/>
          <w:sz w:val="22"/>
          <w:szCs w:val="22"/>
        </w:rPr>
      </w:pPr>
      <w:r>
        <w:rPr>
          <w:noProof/>
        </w:rPr>
        <w:t>8.3  Functions of Data Standards Advisory Committee</w:t>
      </w:r>
      <w:r>
        <w:rPr>
          <w:noProof/>
        </w:rPr>
        <w:tab/>
      </w:r>
      <w:r>
        <w:rPr>
          <w:noProof/>
        </w:rPr>
        <w:fldChar w:fldCharType="begin"/>
      </w:r>
      <w:r>
        <w:rPr>
          <w:noProof/>
        </w:rPr>
        <w:instrText xml:space="preserve"> PAGEREF _Toc77065030 \h </w:instrText>
      </w:r>
      <w:r>
        <w:rPr>
          <w:noProof/>
        </w:rPr>
      </w:r>
      <w:r>
        <w:rPr>
          <w:noProof/>
        </w:rPr>
        <w:fldChar w:fldCharType="separate"/>
      </w:r>
      <w:r w:rsidR="002F429D">
        <w:rPr>
          <w:noProof/>
        </w:rPr>
        <w:t>134</w:t>
      </w:r>
      <w:r>
        <w:rPr>
          <w:noProof/>
        </w:rPr>
        <w:fldChar w:fldCharType="end"/>
      </w:r>
    </w:p>
    <w:p w14:paraId="02885982" w14:textId="510FCFD8" w:rsidR="000F7228" w:rsidRDefault="000F7228">
      <w:pPr>
        <w:pStyle w:val="TOC5"/>
        <w:rPr>
          <w:rFonts w:asciiTheme="minorHAnsi" w:eastAsiaTheme="minorEastAsia" w:hAnsiTheme="minorHAnsi" w:cstheme="minorBidi"/>
          <w:noProof/>
          <w:kern w:val="0"/>
          <w:sz w:val="22"/>
          <w:szCs w:val="22"/>
        </w:rPr>
      </w:pPr>
      <w:r>
        <w:rPr>
          <w:noProof/>
        </w:rPr>
        <w:t>8.4  Appointment to Data Standards Advisory Committee</w:t>
      </w:r>
      <w:r>
        <w:rPr>
          <w:noProof/>
        </w:rPr>
        <w:tab/>
      </w:r>
      <w:r>
        <w:rPr>
          <w:noProof/>
        </w:rPr>
        <w:fldChar w:fldCharType="begin"/>
      </w:r>
      <w:r>
        <w:rPr>
          <w:noProof/>
        </w:rPr>
        <w:instrText xml:space="preserve"> PAGEREF _Toc77065031 \h </w:instrText>
      </w:r>
      <w:r>
        <w:rPr>
          <w:noProof/>
        </w:rPr>
      </w:r>
      <w:r>
        <w:rPr>
          <w:noProof/>
        </w:rPr>
        <w:fldChar w:fldCharType="separate"/>
      </w:r>
      <w:r w:rsidR="002F429D">
        <w:rPr>
          <w:noProof/>
        </w:rPr>
        <w:t>134</w:t>
      </w:r>
      <w:r>
        <w:rPr>
          <w:noProof/>
        </w:rPr>
        <w:fldChar w:fldCharType="end"/>
      </w:r>
    </w:p>
    <w:p w14:paraId="43DE7EC2" w14:textId="75F82601" w:rsidR="000F7228" w:rsidRDefault="000F7228">
      <w:pPr>
        <w:pStyle w:val="TOC5"/>
        <w:rPr>
          <w:rFonts w:asciiTheme="minorHAnsi" w:eastAsiaTheme="minorEastAsia" w:hAnsiTheme="minorHAnsi" w:cstheme="minorBidi"/>
          <w:noProof/>
          <w:kern w:val="0"/>
          <w:sz w:val="22"/>
          <w:szCs w:val="22"/>
        </w:rPr>
      </w:pPr>
      <w:r>
        <w:rPr>
          <w:noProof/>
        </w:rPr>
        <w:t>8.5  Termination of appointment and resignation</w:t>
      </w:r>
      <w:r>
        <w:rPr>
          <w:noProof/>
        </w:rPr>
        <w:tab/>
      </w:r>
      <w:r>
        <w:rPr>
          <w:noProof/>
        </w:rPr>
        <w:fldChar w:fldCharType="begin"/>
      </w:r>
      <w:r>
        <w:rPr>
          <w:noProof/>
        </w:rPr>
        <w:instrText xml:space="preserve"> PAGEREF _Toc77065032 \h </w:instrText>
      </w:r>
      <w:r>
        <w:rPr>
          <w:noProof/>
        </w:rPr>
      </w:r>
      <w:r>
        <w:rPr>
          <w:noProof/>
        </w:rPr>
        <w:fldChar w:fldCharType="separate"/>
      </w:r>
      <w:r w:rsidR="002F429D">
        <w:rPr>
          <w:noProof/>
        </w:rPr>
        <w:t>134</w:t>
      </w:r>
      <w:r>
        <w:rPr>
          <w:noProof/>
        </w:rPr>
        <w:fldChar w:fldCharType="end"/>
      </w:r>
    </w:p>
    <w:p w14:paraId="49B1AA9A" w14:textId="0C43E089" w:rsidR="000F7228" w:rsidRDefault="000F7228">
      <w:pPr>
        <w:pStyle w:val="TOC5"/>
        <w:rPr>
          <w:rFonts w:asciiTheme="minorHAnsi" w:eastAsiaTheme="minorEastAsia" w:hAnsiTheme="minorHAnsi" w:cstheme="minorBidi"/>
          <w:noProof/>
          <w:kern w:val="0"/>
          <w:sz w:val="22"/>
          <w:szCs w:val="22"/>
        </w:rPr>
      </w:pPr>
      <w:r>
        <w:rPr>
          <w:noProof/>
        </w:rPr>
        <w:lastRenderedPageBreak/>
        <w:t>8.6  Procedural directions</w:t>
      </w:r>
      <w:r>
        <w:rPr>
          <w:noProof/>
        </w:rPr>
        <w:tab/>
      </w:r>
      <w:r>
        <w:rPr>
          <w:noProof/>
        </w:rPr>
        <w:fldChar w:fldCharType="begin"/>
      </w:r>
      <w:r>
        <w:rPr>
          <w:noProof/>
        </w:rPr>
        <w:instrText xml:space="preserve"> PAGEREF _Toc77065033 \h </w:instrText>
      </w:r>
      <w:r>
        <w:rPr>
          <w:noProof/>
        </w:rPr>
      </w:r>
      <w:r>
        <w:rPr>
          <w:noProof/>
        </w:rPr>
        <w:fldChar w:fldCharType="separate"/>
      </w:r>
      <w:r w:rsidR="002F429D">
        <w:rPr>
          <w:noProof/>
        </w:rPr>
        <w:t>135</w:t>
      </w:r>
      <w:r>
        <w:rPr>
          <w:noProof/>
        </w:rPr>
        <w:fldChar w:fldCharType="end"/>
      </w:r>
    </w:p>
    <w:p w14:paraId="3FEAA36C" w14:textId="435628E5" w:rsidR="000F7228" w:rsidRDefault="000F7228">
      <w:pPr>
        <w:pStyle w:val="TOC5"/>
        <w:rPr>
          <w:rFonts w:asciiTheme="minorHAnsi" w:eastAsiaTheme="minorEastAsia" w:hAnsiTheme="minorHAnsi" w:cstheme="minorBidi"/>
          <w:noProof/>
          <w:kern w:val="0"/>
          <w:sz w:val="22"/>
          <w:szCs w:val="22"/>
        </w:rPr>
      </w:pPr>
      <w:r>
        <w:rPr>
          <w:noProof/>
        </w:rPr>
        <w:t>8.7  Observers</w:t>
      </w:r>
      <w:r>
        <w:rPr>
          <w:noProof/>
        </w:rPr>
        <w:tab/>
      </w:r>
      <w:r>
        <w:rPr>
          <w:noProof/>
        </w:rPr>
        <w:fldChar w:fldCharType="begin"/>
      </w:r>
      <w:r>
        <w:rPr>
          <w:noProof/>
        </w:rPr>
        <w:instrText xml:space="preserve"> PAGEREF _Toc77065034 \h </w:instrText>
      </w:r>
      <w:r>
        <w:rPr>
          <w:noProof/>
        </w:rPr>
      </w:r>
      <w:r>
        <w:rPr>
          <w:noProof/>
        </w:rPr>
        <w:fldChar w:fldCharType="separate"/>
      </w:r>
      <w:r w:rsidR="002F429D">
        <w:rPr>
          <w:noProof/>
        </w:rPr>
        <w:t>135</w:t>
      </w:r>
      <w:r>
        <w:rPr>
          <w:noProof/>
        </w:rPr>
        <w:fldChar w:fldCharType="end"/>
      </w:r>
    </w:p>
    <w:p w14:paraId="278C3908" w14:textId="4C8C796A" w:rsidR="000F7228" w:rsidRDefault="000F7228">
      <w:pPr>
        <w:pStyle w:val="TOC3"/>
        <w:rPr>
          <w:rFonts w:asciiTheme="minorHAnsi" w:eastAsiaTheme="minorEastAsia" w:hAnsiTheme="minorHAnsi" w:cstheme="minorBidi"/>
          <w:b w:val="0"/>
          <w:noProof/>
          <w:kern w:val="0"/>
          <w:szCs w:val="22"/>
        </w:rPr>
      </w:pPr>
      <w:r>
        <w:rPr>
          <w:noProof/>
        </w:rPr>
        <w:t>Division 8.3—Reviewing, developing and amending data standards</w:t>
      </w:r>
      <w:r>
        <w:rPr>
          <w:noProof/>
        </w:rPr>
        <w:tab/>
      </w:r>
      <w:r>
        <w:rPr>
          <w:noProof/>
        </w:rPr>
        <w:fldChar w:fldCharType="begin"/>
      </w:r>
      <w:r>
        <w:rPr>
          <w:noProof/>
        </w:rPr>
        <w:instrText xml:space="preserve"> PAGEREF _Toc77065035 \h </w:instrText>
      </w:r>
      <w:r>
        <w:rPr>
          <w:noProof/>
        </w:rPr>
      </w:r>
      <w:r>
        <w:rPr>
          <w:noProof/>
        </w:rPr>
        <w:fldChar w:fldCharType="separate"/>
      </w:r>
      <w:r w:rsidR="002F429D">
        <w:rPr>
          <w:noProof/>
        </w:rPr>
        <w:t>136</w:t>
      </w:r>
      <w:r>
        <w:rPr>
          <w:noProof/>
        </w:rPr>
        <w:fldChar w:fldCharType="end"/>
      </w:r>
    </w:p>
    <w:p w14:paraId="4974B6BB" w14:textId="51D8750F" w:rsidR="000F7228" w:rsidRDefault="000F7228">
      <w:pPr>
        <w:pStyle w:val="TOC5"/>
        <w:rPr>
          <w:rFonts w:asciiTheme="minorHAnsi" w:eastAsiaTheme="minorEastAsia" w:hAnsiTheme="minorHAnsi" w:cstheme="minorBidi"/>
          <w:noProof/>
          <w:kern w:val="0"/>
          <w:sz w:val="22"/>
          <w:szCs w:val="22"/>
        </w:rPr>
      </w:pPr>
      <w:r w:rsidRPr="003C3E47">
        <w:rPr>
          <w:noProof/>
          <w:color w:val="000000"/>
        </w:rPr>
        <w:t>8.8  Notification when developing or amending data standards</w:t>
      </w:r>
      <w:r>
        <w:rPr>
          <w:noProof/>
        </w:rPr>
        <w:tab/>
      </w:r>
      <w:r>
        <w:rPr>
          <w:noProof/>
        </w:rPr>
        <w:fldChar w:fldCharType="begin"/>
      </w:r>
      <w:r>
        <w:rPr>
          <w:noProof/>
        </w:rPr>
        <w:instrText xml:space="preserve"> PAGEREF _Toc77065036 \h </w:instrText>
      </w:r>
      <w:r>
        <w:rPr>
          <w:noProof/>
        </w:rPr>
      </w:r>
      <w:r>
        <w:rPr>
          <w:noProof/>
        </w:rPr>
        <w:fldChar w:fldCharType="separate"/>
      </w:r>
      <w:r w:rsidR="002F429D">
        <w:rPr>
          <w:noProof/>
        </w:rPr>
        <w:t>136</w:t>
      </w:r>
      <w:r>
        <w:rPr>
          <w:noProof/>
        </w:rPr>
        <w:fldChar w:fldCharType="end"/>
      </w:r>
    </w:p>
    <w:p w14:paraId="1D930112" w14:textId="0C3C9C6D" w:rsidR="000F7228" w:rsidRDefault="000F7228">
      <w:pPr>
        <w:pStyle w:val="TOC5"/>
        <w:rPr>
          <w:rFonts w:asciiTheme="minorHAnsi" w:eastAsiaTheme="minorEastAsia" w:hAnsiTheme="minorHAnsi" w:cstheme="minorBidi"/>
          <w:noProof/>
          <w:kern w:val="0"/>
          <w:sz w:val="22"/>
          <w:szCs w:val="22"/>
        </w:rPr>
      </w:pPr>
      <w:r>
        <w:rPr>
          <w:noProof/>
        </w:rPr>
        <w:t>8.9  Consultation when developing or amending data standards</w:t>
      </w:r>
      <w:r>
        <w:rPr>
          <w:noProof/>
        </w:rPr>
        <w:tab/>
      </w:r>
      <w:r>
        <w:rPr>
          <w:noProof/>
        </w:rPr>
        <w:fldChar w:fldCharType="begin"/>
      </w:r>
      <w:r>
        <w:rPr>
          <w:noProof/>
        </w:rPr>
        <w:instrText xml:space="preserve"> PAGEREF _Toc77065037 \h </w:instrText>
      </w:r>
      <w:r>
        <w:rPr>
          <w:noProof/>
        </w:rPr>
      </w:r>
      <w:r>
        <w:rPr>
          <w:noProof/>
        </w:rPr>
        <w:fldChar w:fldCharType="separate"/>
      </w:r>
      <w:r w:rsidR="002F429D">
        <w:rPr>
          <w:noProof/>
        </w:rPr>
        <w:t>136</w:t>
      </w:r>
      <w:r>
        <w:rPr>
          <w:noProof/>
        </w:rPr>
        <w:fldChar w:fldCharType="end"/>
      </w:r>
    </w:p>
    <w:p w14:paraId="2B9CE0EA" w14:textId="027AEE2A" w:rsidR="000F7228" w:rsidRDefault="000F7228">
      <w:pPr>
        <w:pStyle w:val="TOC5"/>
        <w:rPr>
          <w:rFonts w:asciiTheme="minorHAnsi" w:eastAsiaTheme="minorEastAsia" w:hAnsiTheme="minorHAnsi" w:cstheme="minorBidi"/>
          <w:noProof/>
          <w:kern w:val="0"/>
          <w:sz w:val="22"/>
          <w:szCs w:val="22"/>
        </w:rPr>
      </w:pPr>
      <w:r>
        <w:rPr>
          <w:noProof/>
        </w:rPr>
        <w:t>8.10  Matters to have regard to when making or amending data standards</w:t>
      </w:r>
      <w:r>
        <w:rPr>
          <w:noProof/>
        </w:rPr>
        <w:tab/>
      </w:r>
      <w:r>
        <w:rPr>
          <w:noProof/>
        </w:rPr>
        <w:fldChar w:fldCharType="begin"/>
      </w:r>
      <w:r>
        <w:rPr>
          <w:noProof/>
        </w:rPr>
        <w:instrText xml:space="preserve"> PAGEREF _Toc77065038 \h </w:instrText>
      </w:r>
      <w:r>
        <w:rPr>
          <w:noProof/>
        </w:rPr>
      </w:r>
      <w:r>
        <w:rPr>
          <w:noProof/>
        </w:rPr>
        <w:fldChar w:fldCharType="separate"/>
      </w:r>
      <w:r w:rsidR="002F429D">
        <w:rPr>
          <w:noProof/>
        </w:rPr>
        <w:t>136</w:t>
      </w:r>
      <w:r>
        <w:rPr>
          <w:noProof/>
        </w:rPr>
        <w:fldChar w:fldCharType="end"/>
      </w:r>
    </w:p>
    <w:p w14:paraId="3C6D2E86" w14:textId="09C758EC" w:rsidR="000F7228" w:rsidRDefault="000F7228">
      <w:pPr>
        <w:pStyle w:val="TOC3"/>
        <w:rPr>
          <w:rFonts w:asciiTheme="minorHAnsi" w:eastAsiaTheme="minorEastAsia" w:hAnsiTheme="minorHAnsi" w:cstheme="minorBidi"/>
          <w:b w:val="0"/>
          <w:noProof/>
          <w:kern w:val="0"/>
          <w:szCs w:val="22"/>
        </w:rPr>
      </w:pPr>
      <w:r>
        <w:rPr>
          <w:noProof/>
        </w:rPr>
        <w:t>Division 8.4—Data standards that must be made</w:t>
      </w:r>
      <w:r>
        <w:rPr>
          <w:noProof/>
        </w:rPr>
        <w:tab/>
      </w:r>
      <w:r>
        <w:rPr>
          <w:noProof/>
        </w:rPr>
        <w:fldChar w:fldCharType="begin"/>
      </w:r>
      <w:r>
        <w:rPr>
          <w:noProof/>
        </w:rPr>
        <w:instrText xml:space="preserve"> PAGEREF _Toc77065039 \h </w:instrText>
      </w:r>
      <w:r>
        <w:rPr>
          <w:noProof/>
        </w:rPr>
      </w:r>
      <w:r>
        <w:rPr>
          <w:noProof/>
        </w:rPr>
        <w:fldChar w:fldCharType="separate"/>
      </w:r>
      <w:r w:rsidR="002F429D">
        <w:rPr>
          <w:noProof/>
        </w:rPr>
        <w:t>138</w:t>
      </w:r>
      <w:r>
        <w:rPr>
          <w:noProof/>
        </w:rPr>
        <w:fldChar w:fldCharType="end"/>
      </w:r>
    </w:p>
    <w:p w14:paraId="439EA964" w14:textId="1FF1C9C4" w:rsidR="000F7228" w:rsidRDefault="000F7228">
      <w:pPr>
        <w:pStyle w:val="TOC5"/>
        <w:rPr>
          <w:rFonts w:asciiTheme="minorHAnsi" w:eastAsiaTheme="minorEastAsia" w:hAnsiTheme="minorHAnsi" w:cstheme="minorBidi"/>
          <w:noProof/>
          <w:kern w:val="0"/>
          <w:sz w:val="22"/>
          <w:szCs w:val="22"/>
        </w:rPr>
      </w:pPr>
      <w:r>
        <w:rPr>
          <w:noProof/>
        </w:rPr>
        <w:t>8.11  Data standards that must be made</w:t>
      </w:r>
      <w:r>
        <w:rPr>
          <w:noProof/>
        </w:rPr>
        <w:tab/>
      </w:r>
      <w:r>
        <w:rPr>
          <w:noProof/>
        </w:rPr>
        <w:fldChar w:fldCharType="begin"/>
      </w:r>
      <w:r>
        <w:rPr>
          <w:noProof/>
        </w:rPr>
        <w:instrText xml:space="preserve"> PAGEREF _Toc77065040 \h </w:instrText>
      </w:r>
      <w:r>
        <w:rPr>
          <w:noProof/>
        </w:rPr>
      </w:r>
      <w:r>
        <w:rPr>
          <w:noProof/>
        </w:rPr>
        <w:fldChar w:fldCharType="separate"/>
      </w:r>
      <w:r w:rsidR="002F429D">
        <w:rPr>
          <w:noProof/>
        </w:rPr>
        <w:t>138</w:t>
      </w:r>
      <w:r>
        <w:rPr>
          <w:noProof/>
        </w:rPr>
        <w:fldChar w:fldCharType="end"/>
      </w:r>
    </w:p>
    <w:p w14:paraId="38D52B95" w14:textId="46A790C0" w:rsidR="000F7228" w:rsidRDefault="000F7228">
      <w:pPr>
        <w:pStyle w:val="TOC2"/>
        <w:rPr>
          <w:rFonts w:asciiTheme="minorHAnsi" w:eastAsiaTheme="minorEastAsia" w:hAnsiTheme="minorHAnsi" w:cstheme="minorBidi"/>
          <w:b w:val="0"/>
          <w:noProof/>
          <w:kern w:val="0"/>
          <w:sz w:val="22"/>
          <w:szCs w:val="22"/>
        </w:rPr>
      </w:pPr>
      <w:r>
        <w:rPr>
          <w:noProof/>
        </w:rPr>
        <w:t>Part 9—Other matters</w:t>
      </w:r>
      <w:r>
        <w:rPr>
          <w:noProof/>
        </w:rPr>
        <w:tab/>
      </w:r>
      <w:r>
        <w:rPr>
          <w:noProof/>
        </w:rPr>
        <w:fldChar w:fldCharType="begin"/>
      </w:r>
      <w:r>
        <w:rPr>
          <w:noProof/>
        </w:rPr>
        <w:instrText xml:space="preserve"> PAGEREF _Toc77065041 \h </w:instrText>
      </w:r>
      <w:r>
        <w:rPr>
          <w:noProof/>
        </w:rPr>
      </w:r>
      <w:r>
        <w:rPr>
          <w:noProof/>
        </w:rPr>
        <w:fldChar w:fldCharType="separate"/>
      </w:r>
      <w:r w:rsidR="002F429D">
        <w:rPr>
          <w:noProof/>
        </w:rPr>
        <w:t>140</w:t>
      </w:r>
      <w:r>
        <w:rPr>
          <w:noProof/>
        </w:rPr>
        <w:fldChar w:fldCharType="end"/>
      </w:r>
    </w:p>
    <w:p w14:paraId="64F5CD31" w14:textId="482649B9" w:rsidR="000F7228" w:rsidRDefault="000F7228">
      <w:pPr>
        <w:pStyle w:val="TOC3"/>
        <w:rPr>
          <w:rFonts w:asciiTheme="minorHAnsi" w:eastAsiaTheme="minorEastAsia" w:hAnsiTheme="minorHAnsi" w:cstheme="minorBidi"/>
          <w:b w:val="0"/>
          <w:noProof/>
          <w:kern w:val="0"/>
          <w:szCs w:val="22"/>
        </w:rPr>
      </w:pPr>
      <w:r>
        <w:rPr>
          <w:noProof/>
        </w:rPr>
        <w:t>Division 9.1—Preliminary</w:t>
      </w:r>
      <w:r>
        <w:rPr>
          <w:noProof/>
        </w:rPr>
        <w:tab/>
      </w:r>
      <w:r>
        <w:rPr>
          <w:noProof/>
        </w:rPr>
        <w:fldChar w:fldCharType="begin"/>
      </w:r>
      <w:r>
        <w:rPr>
          <w:noProof/>
        </w:rPr>
        <w:instrText xml:space="preserve"> PAGEREF _Toc77065042 \h </w:instrText>
      </w:r>
      <w:r>
        <w:rPr>
          <w:noProof/>
        </w:rPr>
      </w:r>
      <w:r>
        <w:rPr>
          <w:noProof/>
        </w:rPr>
        <w:fldChar w:fldCharType="separate"/>
      </w:r>
      <w:r w:rsidR="002F429D">
        <w:rPr>
          <w:noProof/>
        </w:rPr>
        <w:t>140</w:t>
      </w:r>
      <w:r>
        <w:rPr>
          <w:noProof/>
        </w:rPr>
        <w:fldChar w:fldCharType="end"/>
      </w:r>
    </w:p>
    <w:p w14:paraId="44CDB761" w14:textId="5EF43D25" w:rsidR="000F7228" w:rsidRDefault="000F7228">
      <w:pPr>
        <w:pStyle w:val="TOC5"/>
        <w:rPr>
          <w:rFonts w:asciiTheme="minorHAnsi" w:eastAsiaTheme="minorEastAsia" w:hAnsiTheme="minorHAnsi" w:cstheme="minorBidi"/>
          <w:noProof/>
          <w:kern w:val="0"/>
          <w:sz w:val="22"/>
          <w:szCs w:val="22"/>
        </w:rPr>
      </w:pPr>
      <w:r>
        <w:rPr>
          <w:noProof/>
        </w:rPr>
        <w:t>9.1  Simplified outline of this Part</w:t>
      </w:r>
      <w:r>
        <w:rPr>
          <w:noProof/>
        </w:rPr>
        <w:tab/>
      </w:r>
      <w:r>
        <w:rPr>
          <w:noProof/>
        </w:rPr>
        <w:fldChar w:fldCharType="begin"/>
      </w:r>
      <w:r>
        <w:rPr>
          <w:noProof/>
        </w:rPr>
        <w:instrText xml:space="preserve"> PAGEREF _Toc77065043 \h </w:instrText>
      </w:r>
      <w:r>
        <w:rPr>
          <w:noProof/>
        </w:rPr>
      </w:r>
      <w:r>
        <w:rPr>
          <w:noProof/>
        </w:rPr>
        <w:fldChar w:fldCharType="separate"/>
      </w:r>
      <w:r w:rsidR="002F429D">
        <w:rPr>
          <w:noProof/>
        </w:rPr>
        <w:t>140</w:t>
      </w:r>
      <w:r>
        <w:rPr>
          <w:noProof/>
        </w:rPr>
        <w:fldChar w:fldCharType="end"/>
      </w:r>
    </w:p>
    <w:p w14:paraId="2300D144" w14:textId="0CFBB88E" w:rsidR="000F7228" w:rsidRDefault="000F7228">
      <w:pPr>
        <w:pStyle w:val="TOC3"/>
        <w:rPr>
          <w:rFonts w:asciiTheme="minorHAnsi" w:eastAsiaTheme="minorEastAsia" w:hAnsiTheme="minorHAnsi" w:cstheme="minorBidi"/>
          <w:b w:val="0"/>
          <w:noProof/>
          <w:kern w:val="0"/>
          <w:szCs w:val="22"/>
        </w:rPr>
      </w:pPr>
      <w:r>
        <w:rPr>
          <w:noProof/>
        </w:rPr>
        <w:t>Division 9.2—Review of decisions</w:t>
      </w:r>
      <w:r>
        <w:rPr>
          <w:noProof/>
        </w:rPr>
        <w:tab/>
      </w:r>
      <w:r>
        <w:rPr>
          <w:noProof/>
        </w:rPr>
        <w:fldChar w:fldCharType="begin"/>
      </w:r>
      <w:r>
        <w:rPr>
          <w:noProof/>
        </w:rPr>
        <w:instrText xml:space="preserve"> PAGEREF _Toc77065044 \h </w:instrText>
      </w:r>
      <w:r>
        <w:rPr>
          <w:noProof/>
        </w:rPr>
      </w:r>
      <w:r>
        <w:rPr>
          <w:noProof/>
        </w:rPr>
        <w:fldChar w:fldCharType="separate"/>
      </w:r>
      <w:r w:rsidR="002F429D">
        <w:rPr>
          <w:noProof/>
        </w:rPr>
        <w:t>141</w:t>
      </w:r>
      <w:r>
        <w:rPr>
          <w:noProof/>
        </w:rPr>
        <w:fldChar w:fldCharType="end"/>
      </w:r>
    </w:p>
    <w:p w14:paraId="7168ED0D" w14:textId="5571F876" w:rsidR="000F7228" w:rsidRDefault="000F7228">
      <w:pPr>
        <w:pStyle w:val="TOC5"/>
        <w:rPr>
          <w:rFonts w:asciiTheme="minorHAnsi" w:eastAsiaTheme="minorEastAsia" w:hAnsiTheme="minorHAnsi" w:cstheme="minorBidi"/>
          <w:noProof/>
          <w:kern w:val="0"/>
          <w:sz w:val="22"/>
          <w:szCs w:val="22"/>
        </w:rPr>
      </w:pPr>
      <w:r>
        <w:rPr>
          <w:noProof/>
        </w:rPr>
        <w:t>9.2  Review of decisions by the Administrative Appeals Tribunal</w:t>
      </w:r>
      <w:r>
        <w:rPr>
          <w:noProof/>
        </w:rPr>
        <w:tab/>
      </w:r>
      <w:r>
        <w:rPr>
          <w:noProof/>
        </w:rPr>
        <w:fldChar w:fldCharType="begin"/>
      </w:r>
      <w:r>
        <w:rPr>
          <w:noProof/>
        </w:rPr>
        <w:instrText xml:space="preserve"> PAGEREF _Toc77065045 \h </w:instrText>
      </w:r>
      <w:r>
        <w:rPr>
          <w:noProof/>
        </w:rPr>
      </w:r>
      <w:r>
        <w:rPr>
          <w:noProof/>
        </w:rPr>
        <w:fldChar w:fldCharType="separate"/>
      </w:r>
      <w:r w:rsidR="002F429D">
        <w:rPr>
          <w:noProof/>
        </w:rPr>
        <w:t>141</w:t>
      </w:r>
      <w:r>
        <w:rPr>
          <w:noProof/>
        </w:rPr>
        <w:fldChar w:fldCharType="end"/>
      </w:r>
    </w:p>
    <w:p w14:paraId="615AF346" w14:textId="4258F687" w:rsidR="000F7228" w:rsidRDefault="000F7228">
      <w:pPr>
        <w:pStyle w:val="TOC3"/>
        <w:rPr>
          <w:rFonts w:asciiTheme="minorHAnsi" w:eastAsiaTheme="minorEastAsia" w:hAnsiTheme="minorHAnsi" w:cstheme="minorBidi"/>
          <w:b w:val="0"/>
          <w:noProof/>
          <w:kern w:val="0"/>
          <w:szCs w:val="22"/>
        </w:rPr>
      </w:pPr>
      <w:r>
        <w:rPr>
          <w:noProof/>
        </w:rPr>
        <w:t>Division 9.3—Reporting, record keeping and audit</w:t>
      </w:r>
      <w:r>
        <w:rPr>
          <w:noProof/>
        </w:rPr>
        <w:tab/>
      </w:r>
      <w:r>
        <w:rPr>
          <w:noProof/>
        </w:rPr>
        <w:fldChar w:fldCharType="begin"/>
      </w:r>
      <w:r>
        <w:rPr>
          <w:noProof/>
        </w:rPr>
        <w:instrText xml:space="preserve"> PAGEREF _Toc77065046 \h </w:instrText>
      </w:r>
      <w:r>
        <w:rPr>
          <w:noProof/>
        </w:rPr>
      </w:r>
      <w:r>
        <w:rPr>
          <w:noProof/>
        </w:rPr>
        <w:fldChar w:fldCharType="separate"/>
      </w:r>
      <w:r w:rsidR="002F429D">
        <w:rPr>
          <w:noProof/>
        </w:rPr>
        <w:t>142</w:t>
      </w:r>
      <w:r>
        <w:rPr>
          <w:noProof/>
        </w:rPr>
        <w:fldChar w:fldCharType="end"/>
      </w:r>
    </w:p>
    <w:p w14:paraId="79339F77" w14:textId="2C96F150" w:rsidR="000F7228" w:rsidRDefault="000F7228">
      <w:pPr>
        <w:pStyle w:val="TOC4"/>
        <w:rPr>
          <w:rFonts w:asciiTheme="minorHAnsi" w:eastAsiaTheme="minorEastAsia" w:hAnsiTheme="minorHAnsi" w:cstheme="minorBidi"/>
          <w:b w:val="0"/>
          <w:noProof/>
          <w:kern w:val="0"/>
          <w:sz w:val="22"/>
          <w:szCs w:val="22"/>
        </w:rPr>
      </w:pPr>
      <w:r>
        <w:rPr>
          <w:noProof/>
        </w:rPr>
        <w:t>Subdivision 9.3.1—Reporting and record keeping</w:t>
      </w:r>
      <w:r>
        <w:rPr>
          <w:noProof/>
        </w:rPr>
        <w:tab/>
      </w:r>
      <w:r>
        <w:rPr>
          <w:noProof/>
        </w:rPr>
        <w:fldChar w:fldCharType="begin"/>
      </w:r>
      <w:r>
        <w:rPr>
          <w:noProof/>
        </w:rPr>
        <w:instrText xml:space="preserve"> PAGEREF _Toc77065047 \h </w:instrText>
      </w:r>
      <w:r>
        <w:rPr>
          <w:noProof/>
        </w:rPr>
      </w:r>
      <w:r>
        <w:rPr>
          <w:noProof/>
        </w:rPr>
        <w:fldChar w:fldCharType="separate"/>
      </w:r>
      <w:r w:rsidR="002F429D">
        <w:rPr>
          <w:noProof/>
        </w:rPr>
        <w:t>142</w:t>
      </w:r>
      <w:r>
        <w:rPr>
          <w:noProof/>
        </w:rPr>
        <w:fldChar w:fldCharType="end"/>
      </w:r>
    </w:p>
    <w:p w14:paraId="4C798CAB" w14:textId="61C3051C" w:rsidR="000F7228" w:rsidRDefault="000F7228">
      <w:pPr>
        <w:pStyle w:val="TOC5"/>
        <w:rPr>
          <w:rFonts w:asciiTheme="minorHAnsi" w:eastAsiaTheme="minorEastAsia" w:hAnsiTheme="minorHAnsi" w:cstheme="minorBidi"/>
          <w:noProof/>
          <w:kern w:val="0"/>
          <w:sz w:val="22"/>
          <w:szCs w:val="22"/>
        </w:rPr>
      </w:pPr>
      <w:r>
        <w:rPr>
          <w:noProof/>
        </w:rPr>
        <w:t>9.3  Records to be kept and maintained</w:t>
      </w:r>
      <w:r>
        <w:rPr>
          <w:noProof/>
        </w:rPr>
        <w:tab/>
      </w:r>
      <w:r>
        <w:rPr>
          <w:noProof/>
        </w:rPr>
        <w:fldChar w:fldCharType="begin"/>
      </w:r>
      <w:r>
        <w:rPr>
          <w:noProof/>
        </w:rPr>
        <w:instrText xml:space="preserve"> PAGEREF _Toc77065048 \h </w:instrText>
      </w:r>
      <w:r>
        <w:rPr>
          <w:noProof/>
        </w:rPr>
      </w:r>
      <w:r>
        <w:rPr>
          <w:noProof/>
        </w:rPr>
        <w:fldChar w:fldCharType="separate"/>
      </w:r>
      <w:r w:rsidR="002F429D">
        <w:rPr>
          <w:noProof/>
        </w:rPr>
        <w:t>142</w:t>
      </w:r>
      <w:r>
        <w:rPr>
          <w:noProof/>
        </w:rPr>
        <w:fldChar w:fldCharType="end"/>
      </w:r>
    </w:p>
    <w:p w14:paraId="6E166073" w14:textId="71CAB742" w:rsidR="000F7228" w:rsidRDefault="000F7228">
      <w:pPr>
        <w:pStyle w:val="TOC5"/>
        <w:rPr>
          <w:rFonts w:asciiTheme="minorHAnsi" w:eastAsiaTheme="minorEastAsia" w:hAnsiTheme="minorHAnsi" w:cstheme="minorBidi"/>
          <w:noProof/>
          <w:kern w:val="0"/>
          <w:sz w:val="22"/>
          <w:szCs w:val="22"/>
        </w:rPr>
      </w:pPr>
      <w:r>
        <w:rPr>
          <w:noProof/>
        </w:rPr>
        <w:t>9.4  Reporting requirements</w:t>
      </w:r>
      <w:r>
        <w:rPr>
          <w:noProof/>
        </w:rPr>
        <w:tab/>
      </w:r>
      <w:r>
        <w:rPr>
          <w:noProof/>
        </w:rPr>
        <w:fldChar w:fldCharType="begin"/>
      </w:r>
      <w:r>
        <w:rPr>
          <w:noProof/>
        </w:rPr>
        <w:instrText xml:space="preserve"> PAGEREF _Toc77065049 \h </w:instrText>
      </w:r>
      <w:r>
        <w:rPr>
          <w:noProof/>
        </w:rPr>
      </w:r>
      <w:r>
        <w:rPr>
          <w:noProof/>
        </w:rPr>
        <w:fldChar w:fldCharType="separate"/>
      </w:r>
      <w:r w:rsidR="002F429D">
        <w:rPr>
          <w:noProof/>
        </w:rPr>
        <w:t>144</w:t>
      </w:r>
      <w:r>
        <w:rPr>
          <w:noProof/>
        </w:rPr>
        <w:fldChar w:fldCharType="end"/>
      </w:r>
    </w:p>
    <w:p w14:paraId="6B7EFDEE" w14:textId="5E766803" w:rsidR="000F7228" w:rsidRDefault="000F7228">
      <w:pPr>
        <w:pStyle w:val="TOC5"/>
        <w:rPr>
          <w:rFonts w:asciiTheme="minorHAnsi" w:eastAsiaTheme="minorEastAsia" w:hAnsiTheme="minorHAnsi" w:cstheme="minorBidi"/>
          <w:noProof/>
          <w:kern w:val="0"/>
          <w:sz w:val="22"/>
          <w:szCs w:val="22"/>
        </w:rPr>
      </w:pPr>
      <w:r>
        <w:rPr>
          <w:noProof/>
        </w:rPr>
        <w:t>9.5  Requests from CDR consumers for copies of records</w:t>
      </w:r>
      <w:r>
        <w:rPr>
          <w:noProof/>
        </w:rPr>
        <w:tab/>
      </w:r>
      <w:r>
        <w:rPr>
          <w:noProof/>
        </w:rPr>
        <w:fldChar w:fldCharType="begin"/>
      </w:r>
      <w:r>
        <w:rPr>
          <w:noProof/>
        </w:rPr>
        <w:instrText xml:space="preserve"> PAGEREF _Toc77065050 \h </w:instrText>
      </w:r>
      <w:r>
        <w:rPr>
          <w:noProof/>
        </w:rPr>
      </w:r>
      <w:r>
        <w:rPr>
          <w:noProof/>
        </w:rPr>
        <w:fldChar w:fldCharType="separate"/>
      </w:r>
      <w:r w:rsidR="002F429D">
        <w:rPr>
          <w:noProof/>
        </w:rPr>
        <w:t>147</w:t>
      </w:r>
      <w:r>
        <w:rPr>
          <w:noProof/>
        </w:rPr>
        <w:fldChar w:fldCharType="end"/>
      </w:r>
    </w:p>
    <w:p w14:paraId="01E091DE" w14:textId="1AE3A865" w:rsidR="000F7228" w:rsidRDefault="000F7228">
      <w:pPr>
        <w:pStyle w:val="TOC4"/>
        <w:rPr>
          <w:rFonts w:asciiTheme="minorHAnsi" w:eastAsiaTheme="minorEastAsia" w:hAnsiTheme="minorHAnsi" w:cstheme="minorBidi"/>
          <w:b w:val="0"/>
          <w:noProof/>
          <w:kern w:val="0"/>
          <w:sz w:val="22"/>
          <w:szCs w:val="22"/>
        </w:rPr>
      </w:pPr>
      <w:r>
        <w:rPr>
          <w:noProof/>
        </w:rPr>
        <w:t>Subdivision 9.3.2—Audits</w:t>
      </w:r>
      <w:r>
        <w:rPr>
          <w:noProof/>
        </w:rPr>
        <w:tab/>
      </w:r>
      <w:r>
        <w:rPr>
          <w:noProof/>
        </w:rPr>
        <w:fldChar w:fldCharType="begin"/>
      </w:r>
      <w:r>
        <w:rPr>
          <w:noProof/>
        </w:rPr>
        <w:instrText xml:space="preserve"> PAGEREF _Toc77065051 \h </w:instrText>
      </w:r>
      <w:r>
        <w:rPr>
          <w:noProof/>
        </w:rPr>
      </w:r>
      <w:r>
        <w:rPr>
          <w:noProof/>
        </w:rPr>
        <w:fldChar w:fldCharType="separate"/>
      </w:r>
      <w:r w:rsidR="002F429D">
        <w:rPr>
          <w:noProof/>
        </w:rPr>
        <w:t>148</w:t>
      </w:r>
      <w:r>
        <w:rPr>
          <w:noProof/>
        </w:rPr>
        <w:fldChar w:fldCharType="end"/>
      </w:r>
    </w:p>
    <w:p w14:paraId="1F48B59C" w14:textId="21B47B84" w:rsidR="000F7228" w:rsidRDefault="000F7228">
      <w:pPr>
        <w:pStyle w:val="TOC5"/>
        <w:rPr>
          <w:rFonts w:asciiTheme="minorHAnsi" w:eastAsiaTheme="minorEastAsia" w:hAnsiTheme="minorHAnsi" w:cstheme="minorBidi"/>
          <w:noProof/>
          <w:kern w:val="0"/>
          <w:sz w:val="22"/>
          <w:szCs w:val="22"/>
        </w:rPr>
      </w:pPr>
      <w:r>
        <w:rPr>
          <w:noProof/>
        </w:rPr>
        <w:t>9.6  Audits by the Commission and the Information Commissioner</w:t>
      </w:r>
      <w:r>
        <w:rPr>
          <w:noProof/>
        </w:rPr>
        <w:tab/>
      </w:r>
      <w:r>
        <w:rPr>
          <w:noProof/>
        </w:rPr>
        <w:fldChar w:fldCharType="begin"/>
      </w:r>
      <w:r>
        <w:rPr>
          <w:noProof/>
        </w:rPr>
        <w:instrText xml:space="preserve"> PAGEREF _Toc77065052 \h </w:instrText>
      </w:r>
      <w:r>
        <w:rPr>
          <w:noProof/>
        </w:rPr>
      </w:r>
      <w:r>
        <w:rPr>
          <w:noProof/>
        </w:rPr>
        <w:fldChar w:fldCharType="separate"/>
      </w:r>
      <w:r w:rsidR="002F429D">
        <w:rPr>
          <w:noProof/>
        </w:rPr>
        <w:t>148</w:t>
      </w:r>
      <w:r>
        <w:rPr>
          <w:noProof/>
        </w:rPr>
        <w:fldChar w:fldCharType="end"/>
      </w:r>
    </w:p>
    <w:p w14:paraId="436BF1D9" w14:textId="42761238" w:rsidR="000F7228" w:rsidRDefault="000F7228">
      <w:pPr>
        <w:pStyle w:val="TOC5"/>
        <w:rPr>
          <w:rFonts w:asciiTheme="minorHAnsi" w:eastAsiaTheme="minorEastAsia" w:hAnsiTheme="minorHAnsi" w:cstheme="minorBidi"/>
          <w:noProof/>
          <w:kern w:val="0"/>
          <w:sz w:val="22"/>
          <w:szCs w:val="22"/>
        </w:rPr>
      </w:pPr>
      <w:r>
        <w:rPr>
          <w:noProof/>
        </w:rPr>
        <w:t>9.7  Audits by the Data Recipient Accreditor</w:t>
      </w:r>
      <w:r>
        <w:rPr>
          <w:noProof/>
        </w:rPr>
        <w:tab/>
      </w:r>
      <w:r>
        <w:rPr>
          <w:noProof/>
        </w:rPr>
        <w:fldChar w:fldCharType="begin"/>
      </w:r>
      <w:r>
        <w:rPr>
          <w:noProof/>
        </w:rPr>
        <w:instrText xml:space="preserve"> PAGEREF _Toc77065053 \h </w:instrText>
      </w:r>
      <w:r>
        <w:rPr>
          <w:noProof/>
        </w:rPr>
      </w:r>
      <w:r>
        <w:rPr>
          <w:noProof/>
        </w:rPr>
        <w:fldChar w:fldCharType="separate"/>
      </w:r>
      <w:r w:rsidR="002F429D">
        <w:rPr>
          <w:noProof/>
        </w:rPr>
        <w:t>148</w:t>
      </w:r>
      <w:r>
        <w:rPr>
          <w:noProof/>
        </w:rPr>
        <w:fldChar w:fldCharType="end"/>
      </w:r>
    </w:p>
    <w:p w14:paraId="1F29E9F3" w14:textId="61C6BBB1" w:rsidR="000F7228" w:rsidRDefault="000F7228">
      <w:pPr>
        <w:pStyle w:val="TOC3"/>
        <w:rPr>
          <w:rFonts w:asciiTheme="minorHAnsi" w:eastAsiaTheme="minorEastAsia" w:hAnsiTheme="minorHAnsi" w:cstheme="minorBidi"/>
          <w:b w:val="0"/>
          <w:noProof/>
          <w:kern w:val="0"/>
          <w:szCs w:val="22"/>
        </w:rPr>
      </w:pPr>
      <w:r>
        <w:rPr>
          <w:noProof/>
        </w:rPr>
        <w:t>Division 9.4—Civil penalty provisions</w:t>
      </w:r>
      <w:r>
        <w:rPr>
          <w:noProof/>
        </w:rPr>
        <w:tab/>
      </w:r>
      <w:r>
        <w:rPr>
          <w:noProof/>
        </w:rPr>
        <w:fldChar w:fldCharType="begin"/>
      </w:r>
      <w:r>
        <w:rPr>
          <w:noProof/>
        </w:rPr>
        <w:instrText xml:space="preserve"> PAGEREF _Toc77065054 \h </w:instrText>
      </w:r>
      <w:r>
        <w:rPr>
          <w:noProof/>
        </w:rPr>
      </w:r>
      <w:r>
        <w:rPr>
          <w:noProof/>
        </w:rPr>
        <w:fldChar w:fldCharType="separate"/>
      </w:r>
      <w:r w:rsidR="002F429D">
        <w:rPr>
          <w:noProof/>
        </w:rPr>
        <w:t>150</w:t>
      </w:r>
      <w:r>
        <w:rPr>
          <w:noProof/>
        </w:rPr>
        <w:fldChar w:fldCharType="end"/>
      </w:r>
    </w:p>
    <w:p w14:paraId="2600DA22" w14:textId="5569CAB6" w:rsidR="000F7228" w:rsidRDefault="000F7228">
      <w:pPr>
        <w:pStyle w:val="TOC5"/>
        <w:rPr>
          <w:rFonts w:asciiTheme="minorHAnsi" w:eastAsiaTheme="minorEastAsia" w:hAnsiTheme="minorHAnsi" w:cstheme="minorBidi"/>
          <w:noProof/>
          <w:kern w:val="0"/>
          <w:sz w:val="22"/>
          <w:szCs w:val="22"/>
        </w:rPr>
      </w:pPr>
      <w:r>
        <w:rPr>
          <w:noProof/>
        </w:rPr>
        <w:t>9.8  Civil penalty provisions</w:t>
      </w:r>
      <w:r>
        <w:rPr>
          <w:noProof/>
        </w:rPr>
        <w:tab/>
      </w:r>
      <w:r>
        <w:rPr>
          <w:noProof/>
        </w:rPr>
        <w:fldChar w:fldCharType="begin"/>
      </w:r>
      <w:r>
        <w:rPr>
          <w:noProof/>
        </w:rPr>
        <w:instrText xml:space="preserve"> PAGEREF _Toc77065055 \h </w:instrText>
      </w:r>
      <w:r>
        <w:rPr>
          <w:noProof/>
        </w:rPr>
      </w:r>
      <w:r>
        <w:rPr>
          <w:noProof/>
        </w:rPr>
        <w:fldChar w:fldCharType="separate"/>
      </w:r>
      <w:r w:rsidR="002F429D">
        <w:rPr>
          <w:noProof/>
        </w:rPr>
        <w:t>150</w:t>
      </w:r>
      <w:r>
        <w:rPr>
          <w:noProof/>
        </w:rPr>
        <w:fldChar w:fldCharType="end"/>
      </w:r>
    </w:p>
    <w:p w14:paraId="09BD0F70" w14:textId="4EC117F7" w:rsidR="000F7228" w:rsidRDefault="000F7228">
      <w:pPr>
        <w:pStyle w:val="TOC6"/>
        <w:rPr>
          <w:rFonts w:asciiTheme="minorHAnsi" w:eastAsiaTheme="minorEastAsia" w:hAnsiTheme="minorHAnsi" w:cstheme="minorBidi"/>
          <w:b w:val="0"/>
          <w:noProof/>
          <w:kern w:val="0"/>
          <w:sz w:val="22"/>
          <w:szCs w:val="22"/>
        </w:rPr>
      </w:pPr>
      <w:r>
        <w:rPr>
          <w:noProof/>
        </w:rPr>
        <w:t>Schedule 1—Default conditions on accreditations</w:t>
      </w:r>
      <w:r>
        <w:rPr>
          <w:noProof/>
        </w:rPr>
        <w:tab/>
      </w:r>
      <w:r>
        <w:rPr>
          <w:noProof/>
        </w:rPr>
        <w:fldChar w:fldCharType="begin"/>
      </w:r>
      <w:r>
        <w:rPr>
          <w:noProof/>
        </w:rPr>
        <w:instrText xml:space="preserve"> PAGEREF _Toc77065056 \h </w:instrText>
      </w:r>
      <w:r>
        <w:rPr>
          <w:noProof/>
        </w:rPr>
      </w:r>
      <w:r>
        <w:rPr>
          <w:noProof/>
        </w:rPr>
        <w:fldChar w:fldCharType="separate"/>
      </w:r>
      <w:r w:rsidR="002F429D">
        <w:rPr>
          <w:noProof/>
        </w:rPr>
        <w:t>153</w:t>
      </w:r>
      <w:r>
        <w:rPr>
          <w:noProof/>
        </w:rPr>
        <w:fldChar w:fldCharType="end"/>
      </w:r>
    </w:p>
    <w:p w14:paraId="3506014C" w14:textId="731962E0" w:rsidR="000F7228" w:rsidRDefault="000F7228">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_Toc77065057 \h </w:instrText>
      </w:r>
      <w:r>
        <w:rPr>
          <w:noProof/>
        </w:rPr>
      </w:r>
      <w:r>
        <w:rPr>
          <w:noProof/>
        </w:rPr>
        <w:fldChar w:fldCharType="separate"/>
      </w:r>
      <w:r w:rsidR="002F429D">
        <w:rPr>
          <w:noProof/>
        </w:rPr>
        <w:t>153</w:t>
      </w:r>
      <w:r>
        <w:rPr>
          <w:noProof/>
        </w:rPr>
        <w:fldChar w:fldCharType="end"/>
      </w:r>
    </w:p>
    <w:p w14:paraId="426C90A2" w14:textId="1E4BE4FB" w:rsidR="000F7228" w:rsidRDefault="000F7228">
      <w:pPr>
        <w:pStyle w:val="TOC5"/>
        <w:rPr>
          <w:rFonts w:asciiTheme="minorHAnsi" w:eastAsiaTheme="minorEastAsia" w:hAnsiTheme="minorHAnsi" w:cstheme="minorBidi"/>
          <w:noProof/>
          <w:kern w:val="0"/>
          <w:sz w:val="22"/>
          <w:szCs w:val="22"/>
        </w:rPr>
      </w:pPr>
      <w:r>
        <w:rPr>
          <w:noProof/>
        </w:rPr>
        <w:t>1.1  Purpose of Schedule</w:t>
      </w:r>
      <w:r>
        <w:rPr>
          <w:noProof/>
        </w:rPr>
        <w:tab/>
      </w:r>
      <w:r>
        <w:rPr>
          <w:noProof/>
        </w:rPr>
        <w:fldChar w:fldCharType="begin"/>
      </w:r>
      <w:r>
        <w:rPr>
          <w:noProof/>
        </w:rPr>
        <w:instrText xml:space="preserve"> PAGEREF _Toc77065058 \h </w:instrText>
      </w:r>
      <w:r>
        <w:rPr>
          <w:noProof/>
        </w:rPr>
      </w:r>
      <w:r>
        <w:rPr>
          <w:noProof/>
        </w:rPr>
        <w:fldChar w:fldCharType="separate"/>
      </w:r>
      <w:r w:rsidR="002F429D">
        <w:rPr>
          <w:noProof/>
        </w:rPr>
        <w:t>153</w:t>
      </w:r>
      <w:r>
        <w:rPr>
          <w:noProof/>
        </w:rPr>
        <w:fldChar w:fldCharType="end"/>
      </w:r>
    </w:p>
    <w:p w14:paraId="59F57064" w14:textId="6453753E" w:rsidR="000F7228" w:rsidRDefault="000F7228">
      <w:pPr>
        <w:pStyle w:val="TOC2"/>
        <w:rPr>
          <w:rFonts w:asciiTheme="minorHAnsi" w:eastAsiaTheme="minorEastAsia" w:hAnsiTheme="minorHAnsi" w:cstheme="minorBidi"/>
          <w:b w:val="0"/>
          <w:noProof/>
          <w:kern w:val="0"/>
          <w:sz w:val="22"/>
          <w:szCs w:val="22"/>
        </w:rPr>
      </w:pPr>
      <w:r>
        <w:rPr>
          <w:noProof/>
        </w:rPr>
        <w:t>Part 2—Default conditions on accreditations</w:t>
      </w:r>
      <w:r>
        <w:rPr>
          <w:noProof/>
        </w:rPr>
        <w:tab/>
      </w:r>
      <w:r>
        <w:rPr>
          <w:noProof/>
        </w:rPr>
        <w:fldChar w:fldCharType="begin"/>
      </w:r>
      <w:r>
        <w:rPr>
          <w:noProof/>
        </w:rPr>
        <w:instrText xml:space="preserve"> PAGEREF _Toc77065059 \h </w:instrText>
      </w:r>
      <w:r>
        <w:rPr>
          <w:noProof/>
        </w:rPr>
      </w:r>
      <w:r>
        <w:rPr>
          <w:noProof/>
        </w:rPr>
        <w:fldChar w:fldCharType="separate"/>
      </w:r>
      <w:r w:rsidR="002F429D">
        <w:rPr>
          <w:noProof/>
        </w:rPr>
        <w:t>153</w:t>
      </w:r>
      <w:r>
        <w:rPr>
          <w:noProof/>
        </w:rPr>
        <w:fldChar w:fldCharType="end"/>
      </w:r>
    </w:p>
    <w:p w14:paraId="37E5887E" w14:textId="6ABBC311" w:rsidR="000F7228" w:rsidRDefault="000F7228">
      <w:pPr>
        <w:pStyle w:val="TOC5"/>
        <w:rPr>
          <w:rFonts w:asciiTheme="minorHAnsi" w:eastAsiaTheme="minorEastAsia" w:hAnsiTheme="minorHAnsi" w:cstheme="minorBidi"/>
          <w:noProof/>
          <w:kern w:val="0"/>
          <w:sz w:val="22"/>
          <w:szCs w:val="22"/>
        </w:rPr>
      </w:pPr>
      <w:r w:rsidRPr="003C3E47">
        <w:rPr>
          <w:noProof/>
          <w:color w:val="FF0000"/>
        </w:rPr>
        <w:t>2.1  Ongoing reporting obligation on accredited persons without streamlined accreditation</w:t>
      </w:r>
      <w:r>
        <w:rPr>
          <w:noProof/>
        </w:rPr>
        <w:tab/>
      </w:r>
      <w:r>
        <w:rPr>
          <w:noProof/>
        </w:rPr>
        <w:fldChar w:fldCharType="begin"/>
      </w:r>
      <w:r>
        <w:rPr>
          <w:noProof/>
        </w:rPr>
        <w:instrText xml:space="preserve"> PAGEREF _Toc77065060 \h </w:instrText>
      </w:r>
      <w:r>
        <w:rPr>
          <w:noProof/>
        </w:rPr>
      </w:r>
      <w:r>
        <w:rPr>
          <w:noProof/>
        </w:rPr>
        <w:fldChar w:fldCharType="separate"/>
      </w:r>
      <w:r w:rsidR="002F429D">
        <w:rPr>
          <w:noProof/>
        </w:rPr>
        <w:t>153</w:t>
      </w:r>
      <w:r>
        <w:rPr>
          <w:noProof/>
        </w:rPr>
        <w:fldChar w:fldCharType="end"/>
      </w:r>
    </w:p>
    <w:p w14:paraId="7BB20D48" w14:textId="235D466B" w:rsidR="000F7228" w:rsidRDefault="000F7228">
      <w:pPr>
        <w:pStyle w:val="TOC5"/>
        <w:rPr>
          <w:rFonts w:asciiTheme="minorHAnsi" w:eastAsiaTheme="minorEastAsia" w:hAnsiTheme="minorHAnsi" w:cstheme="minorBidi"/>
          <w:noProof/>
          <w:kern w:val="0"/>
          <w:sz w:val="22"/>
          <w:szCs w:val="22"/>
        </w:rPr>
      </w:pPr>
      <w:r w:rsidRPr="003C3E47">
        <w:rPr>
          <w:strike/>
          <w:noProof/>
          <w:color w:val="FF0000"/>
        </w:rPr>
        <w:t>2.1  Ongoing reporting obligation on accredited persons</w:t>
      </w:r>
      <w:r>
        <w:rPr>
          <w:noProof/>
        </w:rPr>
        <w:tab/>
      </w:r>
      <w:r>
        <w:rPr>
          <w:noProof/>
        </w:rPr>
        <w:fldChar w:fldCharType="begin"/>
      </w:r>
      <w:r>
        <w:rPr>
          <w:noProof/>
        </w:rPr>
        <w:instrText xml:space="preserve"> PAGEREF _Toc77065061 \h </w:instrText>
      </w:r>
      <w:r>
        <w:rPr>
          <w:noProof/>
        </w:rPr>
      </w:r>
      <w:r>
        <w:rPr>
          <w:noProof/>
        </w:rPr>
        <w:fldChar w:fldCharType="separate"/>
      </w:r>
      <w:r w:rsidR="002F429D">
        <w:rPr>
          <w:noProof/>
        </w:rPr>
        <w:t>153</w:t>
      </w:r>
      <w:r>
        <w:rPr>
          <w:noProof/>
        </w:rPr>
        <w:fldChar w:fldCharType="end"/>
      </w:r>
    </w:p>
    <w:p w14:paraId="78B4763E" w14:textId="16D1C22D" w:rsidR="000F7228" w:rsidRDefault="000F7228">
      <w:pPr>
        <w:pStyle w:val="TOC5"/>
        <w:rPr>
          <w:rFonts w:asciiTheme="minorHAnsi" w:eastAsiaTheme="minorEastAsia" w:hAnsiTheme="minorHAnsi" w:cstheme="minorBidi"/>
          <w:noProof/>
          <w:kern w:val="0"/>
          <w:sz w:val="22"/>
          <w:szCs w:val="22"/>
        </w:rPr>
      </w:pPr>
      <w:r w:rsidRPr="003C3E47">
        <w:rPr>
          <w:noProof/>
          <w:color w:val="0000FF"/>
        </w:rPr>
        <w:t>2.2  Conditions on sponsors and potential sponsors</w:t>
      </w:r>
      <w:r>
        <w:rPr>
          <w:noProof/>
        </w:rPr>
        <w:tab/>
      </w:r>
      <w:r>
        <w:rPr>
          <w:noProof/>
        </w:rPr>
        <w:fldChar w:fldCharType="begin"/>
      </w:r>
      <w:r>
        <w:rPr>
          <w:noProof/>
        </w:rPr>
        <w:instrText xml:space="preserve"> PAGEREF _Toc77065062 \h </w:instrText>
      </w:r>
      <w:r>
        <w:rPr>
          <w:noProof/>
        </w:rPr>
      </w:r>
      <w:r>
        <w:rPr>
          <w:noProof/>
        </w:rPr>
        <w:fldChar w:fldCharType="separate"/>
      </w:r>
      <w:r w:rsidR="002F429D">
        <w:rPr>
          <w:noProof/>
        </w:rPr>
        <w:t>155</w:t>
      </w:r>
      <w:r>
        <w:rPr>
          <w:noProof/>
        </w:rPr>
        <w:fldChar w:fldCharType="end"/>
      </w:r>
    </w:p>
    <w:p w14:paraId="3E2928BA" w14:textId="585E15CA" w:rsidR="000F7228" w:rsidRDefault="000F7228">
      <w:pPr>
        <w:pStyle w:val="TOC5"/>
        <w:rPr>
          <w:rFonts w:asciiTheme="minorHAnsi" w:eastAsiaTheme="minorEastAsia" w:hAnsiTheme="minorHAnsi" w:cstheme="minorBidi"/>
          <w:noProof/>
          <w:kern w:val="0"/>
          <w:sz w:val="22"/>
          <w:szCs w:val="22"/>
        </w:rPr>
      </w:pPr>
      <w:r w:rsidRPr="003C3E47">
        <w:rPr>
          <w:noProof/>
          <w:color w:val="0000FF"/>
        </w:rPr>
        <w:t>2.3  Conditions in relation to CDR representatives</w:t>
      </w:r>
      <w:r>
        <w:rPr>
          <w:noProof/>
        </w:rPr>
        <w:tab/>
      </w:r>
      <w:r>
        <w:rPr>
          <w:noProof/>
        </w:rPr>
        <w:fldChar w:fldCharType="begin"/>
      </w:r>
      <w:r>
        <w:rPr>
          <w:noProof/>
        </w:rPr>
        <w:instrText xml:space="preserve"> PAGEREF _Toc77065063 \h </w:instrText>
      </w:r>
      <w:r>
        <w:rPr>
          <w:noProof/>
        </w:rPr>
      </w:r>
      <w:r>
        <w:rPr>
          <w:noProof/>
        </w:rPr>
        <w:fldChar w:fldCharType="separate"/>
      </w:r>
      <w:r w:rsidR="002F429D">
        <w:rPr>
          <w:noProof/>
        </w:rPr>
        <w:t>155</w:t>
      </w:r>
      <w:r>
        <w:rPr>
          <w:noProof/>
        </w:rPr>
        <w:fldChar w:fldCharType="end"/>
      </w:r>
    </w:p>
    <w:p w14:paraId="4C0C3951" w14:textId="64CA0495" w:rsidR="000F7228" w:rsidRDefault="000F7228">
      <w:pPr>
        <w:pStyle w:val="TOC6"/>
        <w:rPr>
          <w:rFonts w:asciiTheme="minorHAnsi" w:eastAsiaTheme="minorEastAsia" w:hAnsiTheme="minorHAnsi" w:cstheme="minorBidi"/>
          <w:b w:val="0"/>
          <w:noProof/>
          <w:kern w:val="0"/>
          <w:sz w:val="22"/>
          <w:szCs w:val="22"/>
        </w:rPr>
      </w:pPr>
      <w:r w:rsidRPr="003C3E47">
        <w:rPr>
          <w:noProof/>
          <w:color w:val="000000" w:themeColor="text1"/>
        </w:rPr>
        <w:t>Schedule 2—Steps for privacy safeguard 12</w:t>
      </w:r>
      <w:r w:rsidRPr="003C3E47">
        <w:rPr>
          <w:rFonts w:cs="Arial"/>
          <w:noProof/>
          <w:color w:val="000000" w:themeColor="text1"/>
        </w:rPr>
        <w:t>—</w:t>
      </w:r>
      <w:r>
        <w:rPr>
          <w:noProof/>
        </w:rPr>
        <w:t>security of CDR data held by accredited data recipients</w:t>
      </w:r>
      <w:r>
        <w:rPr>
          <w:noProof/>
        </w:rPr>
        <w:tab/>
      </w:r>
      <w:r>
        <w:rPr>
          <w:noProof/>
        </w:rPr>
        <w:fldChar w:fldCharType="begin"/>
      </w:r>
      <w:r>
        <w:rPr>
          <w:noProof/>
        </w:rPr>
        <w:instrText xml:space="preserve"> PAGEREF _Toc77065064 \h </w:instrText>
      </w:r>
      <w:r>
        <w:rPr>
          <w:noProof/>
        </w:rPr>
      </w:r>
      <w:r>
        <w:rPr>
          <w:noProof/>
        </w:rPr>
        <w:fldChar w:fldCharType="separate"/>
      </w:r>
      <w:r w:rsidR="002F429D">
        <w:rPr>
          <w:noProof/>
        </w:rPr>
        <w:t>156</w:t>
      </w:r>
      <w:r>
        <w:rPr>
          <w:noProof/>
        </w:rPr>
        <w:fldChar w:fldCharType="end"/>
      </w:r>
    </w:p>
    <w:p w14:paraId="0BFFB8C9" w14:textId="74802A05" w:rsidR="000F7228" w:rsidRDefault="000F7228">
      <w:pPr>
        <w:pStyle w:val="TOC2"/>
        <w:rPr>
          <w:rFonts w:asciiTheme="minorHAnsi" w:eastAsiaTheme="minorEastAsia" w:hAnsiTheme="minorHAnsi" w:cstheme="minorBidi"/>
          <w:b w:val="0"/>
          <w:noProof/>
          <w:kern w:val="0"/>
          <w:sz w:val="22"/>
          <w:szCs w:val="22"/>
        </w:rPr>
      </w:pPr>
      <w:r>
        <w:rPr>
          <w:noProof/>
        </w:rPr>
        <w:t>Part 1—Steps for privacy safeguard 12</w:t>
      </w:r>
      <w:r>
        <w:rPr>
          <w:noProof/>
        </w:rPr>
        <w:tab/>
      </w:r>
      <w:r>
        <w:rPr>
          <w:noProof/>
        </w:rPr>
        <w:fldChar w:fldCharType="begin"/>
      </w:r>
      <w:r>
        <w:rPr>
          <w:noProof/>
        </w:rPr>
        <w:instrText xml:space="preserve"> PAGEREF _Toc77065065 \h </w:instrText>
      </w:r>
      <w:r>
        <w:rPr>
          <w:noProof/>
        </w:rPr>
      </w:r>
      <w:r>
        <w:rPr>
          <w:noProof/>
        </w:rPr>
        <w:fldChar w:fldCharType="separate"/>
      </w:r>
      <w:r w:rsidR="002F429D">
        <w:rPr>
          <w:noProof/>
        </w:rPr>
        <w:t>156</w:t>
      </w:r>
      <w:r>
        <w:rPr>
          <w:noProof/>
        </w:rPr>
        <w:fldChar w:fldCharType="end"/>
      </w:r>
    </w:p>
    <w:p w14:paraId="6C60C11F" w14:textId="65B3DCA2" w:rsidR="000F7228" w:rsidRDefault="000F7228">
      <w:pPr>
        <w:pStyle w:val="TOC5"/>
        <w:rPr>
          <w:rFonts w:asciiTheme="minorHAnsi" w:eastAsiaTheme="minorEastAsia" w:hAnsiTheme="minorHAnsi" w:cstheme="minorBidi"/>
          <w:noProof/>
          <w:kern w:val="0"/>
          <w:sz w:val="22"/>
          <w:szCs w:val="22"/>
        </w:rPr>
      </w:pPr>
      <w:r>
        <w:rPr>
          <w:noProof/>
        </w:rPr>
        <w:t>1.1  Purpose of Part</w:t>
      </w:r>
      <w:r>
        <w:rPr>
          <w:noProof/>
        </w:rPr>
        <w:tab/>
      </w:r>
      <w:r>
        <w:rPr>
          <w:noProof/>
        </w:rPr>
        <w:fldChar w:fldCharType="begin"/>
      </w:r>
      <w:r>
        <w:rPr>
          <w:noProof/>
        </w:rPr>
        <w:instrText xml:space="preserve"> PAGEREF _Toc77065066 \h </w:instrText>
      </w:r>
      <w:r>
        <w:rPr>
          <w:noProof/>
        </w:rPr>
      </w:r>
      <w:r>
        <w:rPr>
          <w:noProof/>
        </w:rPr>
        <w:fldChar w:fldCharType="separate"/>
      </w:r>
      <w:r w:rsidR="002F429D">
        <w:rPr>
          <w:noProof/>
        </w:rPr>
        <w:t>156</w:t>
      </w:r>
      <w:r>
        <w:rPr>
          <w:noProof/>
        </w:rPr>
        <w:fldChar w:fldCharType="end"/>
      </w:r>
    </w:p>
    <w:p w14:paraId="56DDB4C0" w14:textId="440D1CB2" w:rsidR="000F7228" w:rsidRDefault="000F7228">
      <w:pPr>
        <w:pStyle w:val="TOC5"/>
        <w:rPr>
          <w:rFonts w:asciiTheme="minorHAnsi" w:eastAsiaTheme="minorEastAsia" w:hAnsiTheme="minorHAnsi" w:cstheme="minorBidi"/>
          <w:noProof/>
          <w:kern w:val="0"/>
          <w:sz w:val="22"/>
          <w:szCs w:val="22"/>
        </w:rPr>
      </w:pPr>
      <w:r>
        <w:rPr>
          <w:noProof/>
        </w:rPr>
        <w:t>1.2  Interpretation</w:t>
      </w:r>
      <w:r>
        <w:rPr>
          <w:noProof/>
        </w:rPr>
        <w:tab/>
      </w:r>
      <w:r>
        <w:rPr>
          <w:noProof/>
        </w:rPr>
        <w:fldChar w:fldCharType="begin"/>
      </w:r>
      <w:r>
        <w:rPr>
          <w:noProof/>
        </w:rPr>
        <w:instrText xml:space="preserve"> PAGEREF _Toc77065067 \h </w:instrText>
      </w:r>
      <w:r>
        <w:rPr>
          <w:noProof/>
        </w:rPr>
      </w:r>
      <w:r>
        <w:rPr>
          <w:noProof/>
        </w:rPr>
        <w:fldChar w:fldCharType="separate"/>
      </w:r>
      <w:r w:rsidR="002F429D">
        <w:rPr>
          <w:noProof/>
        </w:rPr>
        <w:t>156</w:t>
      </w:r>
      <w:r>
        <w:rPr>
          <w:noProof/>
        </w:rPr>
        <w:fldChar w:fldCharType="end"/>
      </w:r>
    </w:p>
    <w:p w14:paraId="126C1892" w14:textId="5457278E" w:rsidR="000F7228" w:rsidRDefault="000F7228">
      <w:pPr>
        <w:pStyle w:val="TOC5"/>
        <w:rPr>
          <w:rFonts w:asciiTheme="minorHAnsi" w:eastAsiaTheme="minorEastAsia" w:hAnsiTheme="minorHAnsi" w:cstheme="minorBidi"/>
          <w:noProof/>
          <w:kern w:val="0"/>
          <w:sz w:val="22"/>
          <w:szCs w:val="22"/>
        </w:rPr>
      </w:pPr>
      <w:r>
        <w:rPr>
          <w:noProof/>
        </w:rPr>
        <w:t>1.3  Step 1—Define and implement security governance in relation to CDR data</w:t>
      </w:r>
      <w:r>
        <w:rPr>
          <w:noProof/>
        </w:rPr>
        <w:tab/>
      </w:r>
      <w:r>
        <w:rPr>
          <w:noProof/>
        </w:rPr>
        <w:fldChar w:fldCharType="begin"/>
      </w:r>
      <w:r>
        <w:rPr>
          <w:noProof/>
        </w:rPr>
        <w:instrText xml:space="preserve"> PAGEREF _Toc77065068 \h </w:instrText>
      </w:r>
      <w:r>
        <w:rPr>
          <w:noProof/>
        </w:rPr>
      </w:r>
      <w:r>
        <w:rPr>
          <w:noProof/>
        </w:rPr>
        <w:fldChar w:fldCharType="separate"/>
      </w:r>
      <w:r w:rsidR="002F429D">
        <w:rPr>
          <w:noProof/>
        </w:rPr>
        <w:t>156</w:t>
      </w:r>
      <w:r>
        <w:rPr>
          <w:noProof/>
        </w:rPr>
        <w:fldChar w:fldCharType="end"/>
      </w:r>
    </w:p>
    <w:p w14:paraId="57F76551" w14:textId="3142BC07" w:rsidR="000F7228" w:rsidRDefault="000F7228">
      <w:pPr>
        <w:pStyle w:val="TOC5"/>
        <w:rPr>
          <w:rFonts w:asciiTheme="minorHAnsi" w:eastAsiaTheme="minorEastAsia" w:hAnsiTheme="minorHAnsi" w:cstheme="minorBidi"/>
          <w:noProof/>
          <w:kern w:val="0"/>
          <w:sz w:val="22"/>
          <w:szCs w:val="22"/>
        </w:rPr>
      </w:pPr>
      <w:r>
        <w:rPr>
          <w:noProof/>
        </w:rPr>
        <w:t>1.4  Step 2—Define the boundaries of the CDR data environment</w:t>
      </w:r>
      <w:r>
        <w:rPr>
          <w:noProof/>
        </w:rPr>
        <w:tab/>
      </w:r>
      <w:r>
        <w:rPr>
          <w:noProof/>
        </w:rPr>
        <w:fldChar w:fldCharType="begin"/>
      </w:r>
      <w:r>
        <w:rPr>
          <w:noProof/>
        </w:rPr>
        <w:instrText xml:space="preserve"> PAGEREF _Toc77065069 \h </w:instrText>
      </w:r>
      <w:r>
        <w:rPr>
          <w:noProof/>
        </w:rPr>
      </w:r>
      <w:r>
        <w:rPr>
          <w:noProof/>
        </w:rPr>
        <w:fldChar w:fldCharType="separate"/>
      </w:r>
      <w:r w:rsidR="002F429D">
        <w:rPr>
          <w:noProof/>
        </w:rPr>
        <w:t>157</w:t>
      </w:r>
      <w:r>
        <w:rPr>
          <w:noProof/>
        </w:rPr>
        <w:fldChar w:fldCharType="end"/>
      </w:r>
    </w:p>
    <w:p w14:paraId="48F6AAD1" w14:textId="35556D16" w:rsidR="000F7228" w:rsidRDefault="000F7228">
      <w:pPr>
        <w:pStyle w:val="TOC5"/>
        <w:rPr>
          <w:rFonts w:asciiTheme="minorHAnsi" w:eastAsiaTheme="minorEastAsia" w:hAnsiTheme="minorHAnsi" w:cstheme="minorBidi"/>
          <w:noProof/>
          <w:kern w:val="0"/>
          <w:sz w:val="22"/>
          <w:szCs w:val="22"/>
        </w:rPr>
      </w:pPr>
      <w:r>
        <w:rPr>
          <w:noProof/>
        </w:rPr>
        <w:t>1.5  Step 3—Have and maintain an information security capability</w:t>
      </w:r>
      <w:r>
        <w:rPr>
          <w:noProof/>
        </w:rPr>
        <w:tab/>
      </w:r>
      <w:r>
        <w:rPr>
          <w:noProof/>
        </w:rPr>
        <w:fldChar w:fldCharType="begin"/>
      </w:r>
      <w:r>
        <w:rPr>
          <w:noProof/>
        </w:rPr>
        <w:instrText xml:space="preserve"> PAGEREF _Toc77065070 \h </w:instrText>
      </w:r>
      <w:r>
        <w:rPr>
          <w:noProof/>
        </w:rPr>
      </w:r>
      <w:r>
        <w:rPr>
          <w:noProof/>
        </w:rPr>
        <w:fldChar w:fldCharType="separate"/>
      </w:r>
      <w:r w:rsidR="002F429D">
        <w:rPr>
          <w:noProof/>
        </w:rPr>
        <w:t>157</w:t>
      </w:r>
      <w:r>
        <w:rPr>
          <w:noProof/>
        </w:rPr>
        <w:fldChar w:fldCharType="end"/>
      </w:r>
    </w:p>
    <w:p w14:paraId="3A03FE53" w14:textId="172864AE" w:rsidR="000F7228" w:rsidRDefault="000F7228">
      <w:pPr>
        <w:pStyle w:val="TOC5"/>
        <w:rPr>
          <w:rFonts w:asciiTheme="minorHAnsi" w:eastAsiaTheme="minorEastAsia" w:hAnsiTheme="minorHAnsi" w:cstheme="minorBidi"/>
          <w:noProof/>
          <w:kern w:val="0"/>
          <w:sz w:val="22"/>
          <w:szCs w:val="22"/>
        </w:rPr>
      </w:pPr>
      <w:r>
        <w:rPr>
          <w:noProof/>
        </w:rPr>
        <w:t>1.6  Step 4—Implement a formal controls assessment program</w:t>
      </w:r>
      <w:r>
        <w:rPr>
          <w:noProof/>
        </w:rPr>
        <w:tab/>
      </w:r>
      <w:r>
        <w:rPr>
          <w:noProof/>
        </w:rPr>
        <w:fldChar w:fldCharType="begin"/>
      </w:r>
      <w:r>
        <w:rPr>
          <w:noProof/>
        </w:rPr>
        <w:instrText xml:space="preserve"> PAGEREF _Toc77065071 \h </w:instrText>
      </w:r>
      <w:r>
        <w:rPr>
          <w:noProof/>
        </w:rPr>
      </w:r>
      <w:r>
        <w:rPr>
          <w:noProof/>
        </w:rPr>
        <w:fldChar w:fldCharType="separate"/>
      </w:r>
      <w:r w:rsidR="002F429D">
        <w:rPr>
          <w:noProof/>
        </w:rPr>
        <w:t>158</w:t>
      </w:r>
      <w:r>
        <w:rPr>
          <w:noProof/>
        </w:rPr>
        <w:fldChar w:fldCharType="end"/>
      </w:r>
    </w:p>
    <w:p w14:paraId="46408D4B" w14:textId="55B2E90A" w:rsidR="000F7228" w:rsidRDefault="000F7228">
      <w:pPr>
        <w:pStyle w:val="TOC5"/>
        <w:rPr>
          <w:rFonts w:asciiTheme="minorHAnsi" w:eastAsiaTheme="minorEastAsia" w:hAnsiTheme="minorHAnsi" w:cstheme="minorBidi"/>
          <w:noProof/>
          <w:kern w:val="0"/>
          <w:sz w:val="22"/>
          <w:szCs w:val="22"/>
        </w:rPr>
      </w:pPr>
      <w:r>
        <w:rPr>
          <w:noProof/>
        </w:rPr>
        <w:t>1.7  Step 5—Manage and report security incidents</w:t>
      </w:r>
      <w:r>
        <w:rPr>
          <w:noProof/>
        </w:rPr>
        <w:tab/>
      </w:r>
      <w:r>
        <w:rPr>
          <w:noProof/>
        </w:rPr>
        <w:fldChar w:fldCharType="begin"/>
      </w:r>
      <w:r>
        <w:rPr>
          <w:noProof/>
        </w:rPr>
        <w:instrText xml:space="preserve"> PAGEREF _Toc77065072 \h </w:instrText>
      </w:r>
      <w:r>
        <w:rPr>
          <w:noProof/>
        </w:rPr>
      </w:r>
      <w:r>
        <w:rPr>
          <w:noProof/>
        </w:rPr>
        <w:fldChar w:fldCharType="separate"/>
      </w:r>
      <w:r w:rsidR="002F429D">
        <w:rPr>
          <w:noProof/>
        </w:rPr>
        <w:t>158</w:t>
      </w:r>
      <w:r>
        <w:rPr>
          <w:noProof/>
        </w:rPr>
        <w:fldChar w:fldCharType="end"/>
      </w:r>
    </w:p>
    <w:p w14:paraId="3579599A" w14:textId="49E91885" w:rsidR="000F7228" w:rsidRDefault="000F7228">
      <w:pPr>
        <w:pStyle w:val="TOC2"/>
        <w:rPr>
          <w:rFonts w:asciiTheme="minorHAnsi" w:eastAsiaTheme="minorEastAsia" w:hAnsiTheme="minorHAnsi" w:cstheme="minorBidi"/>
          <w:b w:val="0"/>
          <w:noProof/>
          <w:kern w:val="0"/>
          <w:sz w:val="22"/>
          <w:szCs w:val="22"/>
        </w:rPr>
      </w:pPr>
      <w:r>
        <w:rPr>
          <w:noProof/>
        </w:rPr>
        <w:lastRenderedPageBreak/>
        <w:t>Part 2 —Minimum information security controls</w:t>
      </w:r>
      <w:r>
        <w:rPr>
          <w:noProof/>
        </w:rPr>
        <w:tab/>
      </w:r>
      <w:r>
        <w:rPr>
          <w:noProof/>
        </w:rPr>
        <w:fldChar w:fldCharType="begin"/>
      </w:r>
      <w:r>
        <w:rPr>
          <w:noProof/>
        </w:rPr>
        <w:instrText xml:space="preserve"> PAGEREF _Toc77065073 \h </w:instrText>
      </w:r>
      <w:r>
        <w:rPr>
          <w:noProof/>
        </w:rPr>
      </w:r>
      <w:r>
        <w:rPr>
          <w:noProof/>
        </w:rPr>
        <w:fldChar w:fldCharType="separate"/>
      </w:r>
      <w:r w:rsidR="002F429D">
        <w:rPr>
          <w:noProof/>
        </w:rPr>
        <w:t>160</w:t>
      </w:r>
      <w:r>
        <w:rPr>
          <w:noProof/>
        </w:rPr>
        <w:fldChar w:fldCharType="end"/>
      </w:r>
    </w:p>
    <w:p w14:paraId="0B6F3D3E" w14:textId="5D35EFDF" w:rsidR="000F7228" w:rsidRDefault="000F7228">
      <w:pPr>
        <w:pStyle w:val="TOC5"/>
        <w:rPr>
          <w:rFonts w:asciiTheme="minorHAnsi" w:eastAsiaTheme="minorEastAsia" w:hAnsiTheme="minorHAnsi" w:cstheme="minorBidi"/>
          <w:noProof/>
          <w:kern w:val="0"/>
          <w:sz w:val="22"/>
          <w:szCs w:val="22"/>
        </w:rPr>
      </w:pPr>
      <w:r>
        <w:rPr>
          <w:noProof/>
        </w:rPr>
        <w:t>2.1  Purpose of Part</w:t>
      </w:r>
      <w:r>
        <w:rPr>
          <w:noProof/>
        </w:rPr>
        <w:tab/>
      </w:r>
      <w:r>
        <w:rPr>
          <w:noProof/>
        </w:rPr>
        <w:fldChar w:fldCharType="begin"/>
      </w:r>
      <w:r>
        <w:rPr>
          <w:noProof/>
        </w:rPr>
        <w:instrText xml:space="preserve"> PAGEREF _Toc77065074 \h </w:instrText>
      </w:r>
      <w:r>
        <w:rPr>
          <w:noProof/>
        </w:rPr>
      </w:r>
      <w:r>
        <w:rPr>
          <w:noProof/>
        </w:rPr>
        <w:fldChar w:fldCharType="separate"/>
      </w:r>
      <w:r w:rsidR="002F429D">
        <w:rPr>
          <w:noProof/>
        </w:rPr>
        <w:t>160</w:t>
      </w:r>
      <w:r>
        <w:rPr>
          <w:noProof/>
        </w:rPr>
        <w:fldChar w:fldCharType="end"/>
      </w:r>
    </w:p>
    <w:p w14:paraId="458D3443" w14:textId="2BA34F13" w:rsidR="000F7228" w:rsidRDefault="000F7228">
      <w:pPr>
        <w:pStyle w:val="TOC5"/>
        <w:rPr>
          <w:rFonts w:asciiTheme="minorHAnsi" w:eastAsiaTheme="minorEastAsia" w:hAnsiTheme="minorHAnsi" w:cstheme="minorBidi"/>
          <w:noProof/>
          <w:kern w:val="0"/>
          <w:sz w:val="22"/>
          <w:szCs w:val="22"/>
        </w:rPr>
      </w:pPr>
      <w:r>
        <w:rPr>
          <w:noProof/>
        </w:rPr>
        <w:t>2.2   Information security controls</w:t>
      </w:r>
      <w:r>
        <w:rPr>
          <w:noProof/>
        </w:rPr>
        <w:tab/>
      </w:r>
      <w:r>
        <w:rPr>
          <w:noProof/>
        </w:rPr>
        <w:fldChar w:fldCharType="begin"/>
      </w:r>
      <w:r>
        <w:rPr>
          <w:noProof/>
        </w:rPr>
        <w:instrText xml:space="preserve"> PAGEREF _Toc77065075 \h </w:instrText>
      </w:r>
      <w:r>
        <w:rPr>
          <w:noProof/>
        </w:rPr>
      </w:r>
      <w:r>
        <w:rPr>
          <w:noProof/>
        </w:rPr>
        <w:fldChar w:fldCharType="separate"/>
      </w:r>
      <w:r w:rsidR="002F429D">
        <w:rPr>
          <w:noProof/>
        </w:rPr>
        <w:t>160</w:t>
      </w:r>
      <w:r>
        <w:rPr>
          <w:noProof/>
        </w:rPr>
        <w:fldChar w:fldCharType="end"/>
      </w:r>
    </w:p>
    <w:p w14:paraId="551AC5C8" w14:textId="08091064" w:rsidR="000F7228" w:rsidRDefault="000F7228">
      <w:pPr>
        <w:pStyle w:val="TOC6"/>
        <w:rPr>
          <w:rFonts w:asciiTheme="minorHAnsi" w:eastAsiaTheme="minorEastAsia" w:hAnsiTheme="minorHAnsi" w:cstheme="minorBidi"/>
          <w:b w:val="0"/>
          <w:noProof/>
          <w:kern w:val="0"/>
          <w:sz w:val="22"/>
          <w:szCs w:val="22"/>
        </w:rPr>
      </w:pPr>
      <w:r w:rsidRPr="003C3E47">
        <w:rPr>
          <w:noProof/>
          <w:color w:val="000000" w:themeColor="text1"/>
        </w:rPr>
        <w:t>Schedule 3—Provisions relevant to the banking sector</w:t>
      </w:r>
      <w:r>
        <w:rPr>
          <w:noProof/>
        </w:rPr>
        <w:tab/>
      </w:r>
      <w:r>
        <w:rPr>
          <w:noProof/>
        </w:rPr>
        <w:fldChar w:fldCharType="begin"/>
      </w:r>
      <w:r>
        <w:rPr>
          <w:noProof/>
        </w:rPr>
        <w:instrText xml:space="preserve"> PAGEREF _Toc77065076 \h </w:instrText>
      </w:r>
      <w:r>
        <w:rPr>
          <w:noProof/>
        </w:rPr>
      </w:r>
      <w:r>
        <w:rPr>
          <w:noProof/>
        </w:rPr>
        <w:fldChar w:fldCharType="separate"/>
      </w:r>
      <w:r w:rsidR="002F429D">
        <w:rPr>
          <w:noProof/>
        </w:rPr>
        <w:t>167</w:t>
      </w:r>
      <w:r>
        <w:rPr>
          <w:noProof/>
        </w:rPr>
        <w:fldChar w:fldCharType="end"/>
      </w:r>
    </w:p>
    <w:p w14:paraId="7F226285" w14:textId="012487DF" w:rsidR="000F7228" w:rsidRDefault="000F7228">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_Toc77065077 \h </w:instrText>
      </w:r>
      <w:r>
        <w:rPr>
          <w:noProof/>
        </w:rPr>
      </w:r>
      <w:r>
        <w:rPr>
          <w:noProof/>
        </w:rPr>
        <w:fldChar w:fldCharType="separate"/>
      </w:r>
      <w:r w:rsidR="002F429D">
        <w:rPr>
          <w:noProof/>
        </w:rPr>
        <w:t>167</w:t>
      </w:r>
      <w:r>
        <w:rPr>
          <w:noProof/>
        </w:rPr>
        <w:fldChar w:fldCharType="end"/>
      </w:r>
    </w:p>
    <w:p w14:paraId="652A727D" w14:textId="6B84DCDF" w:rsidR="000F7228" w:rsidRDefault="000F7228">
      <w:pPr>
        <w:pStyle w:val="TOC5"/>
        <w:rPr>
          <w:rFonts w:asciiTheme="minorHAnsi" w:eastAsiaTheme="minorEastAsia" w:hAnsiTheme="minorHAnsi" w:cstheme="minorBidi"/>
          <w:noProof/>
          <w:kern w:val="0"/>
          <w:sz w:val="22"/>
          <w:szCs w:val="22"/>
        </w:rPr>
      </w:pPr>
      <w:r>
        <w:rPr>
          <w:noProof/>
        </w:rPr>
        <w:t>1.1  Simplified outline of this Schedule</w:t>
      </w:r>
      <w:r>
        <w:rPr>
          <w:noProof/>
        </w:rPr>
        <w:tab/>
      </w:r>
      <w:r>
        <w:rPr>
          <w:noProof/>
        </w:rPr>
        <w:fldChar w:fldCharType="begin"/>
      </w:r>
      <w:r>
        <w:rPr>
          <w:noProof/>
        </w:rPr>
        <w:instrText xml:space="preserve"> PAGEREF _Toc77065078 \h </w:instrText>
      </w:r>
      <w:r>
        <w:rPr>
          <w:noProof/>
        </w:rPr>
      </w:r>
      <w:r>
        <w:rPr>
          <w:noProof/>
        </w:rPr>
        <w:fldChar w:fldCharType="separate"/>
      </w:r>
      <w:r w:rsidR="002F429D">
        <w:rPr>
          <w:noProof/>
        </w:rPr>
        <w:t>167</w:t>
      </w:r>
      <w:r>
        <w:rPr>
          <w:noProof/>
        </w:rPr>
        <w:fldChar w:fldCharType="end"/>
      </w:r>
    </w:p>
    <w:p w14:paraId="28770E16" w14:textId="02ADC075" w:rsidR="000F7228" w:rsidRDefault="000F7228">
      <w:pPr>
        <w:pStyle w:val="TOC5"/>
        <w:rPr>
          <w:rFonts w:asciiTheme="minorHAnsi" w:eastAsiaTheme="minorEastAsia" w:hAnsiTheme="minorHAnsi" w:cstheme="minorBidi"/>
          <w:noProof/>
          <w:kern w:val="0"/>
          <w:sz w:val="22"/>
          <w:szCs w:val="22"/>
        </w:rPr>
      </w:pPr>
      <w:r>
        <w:rPr>
          <w:noProof/>
        </w:rPr>
        <w:t>1.2  Interpretation</w:t>
      </w:r>
      <w:r>
        <w:rPr>
          <w:noProof/>
        </w:rPr>
        <w:tab/>
      </w:r>
      <w:r>
        <w:rPr>
          <w:noProof/>
        </w:rPr>
        <w:fldChar w:fldCharType="begin"/>
      </w:r>
      <w:r>
        <w:rPr>
          <w:noProof/>
        </w:rPr>
        <w:instrText xml:space="preserve"> PAGEREF _Toc77065079 \h </w:instrText>
      </w:r>
      <w:r>
        <w:rPr>
          <w:noProof/>
        </w:rPr>
      </w:r>
      <w:r>
        <w:rPr>
          <w:noProof/>
        </w:rPr>
        <w:fldChar w:fldCharType="separate"/>
      </w:r>
      <w:r w:rsidR="002F429D">
        <w:rPr>
          <w:noProof/>
        </w:rPr>
        <w:t>167</w:t>
      </w:r>
      <w:r>
        <w:rPr>
          <w:noProof/>
        </w:rPr>
        <w:fldChar w:fldCharType="end"/>
      </w:r>
    </w:p>
    <w:p w14:paraId="7A643250" w14:textId="145AAF81" w:rsidR="000F7228" w:rsidRDefault="000F7228">
      <w:pPr>
        <w:pStyle w:val="TOC5"/>
        <w:rPr>
          <w:rFonts w:asciiTheme="minorHAnsi" w:eastAsiaTheme="minorEastAsia" w:hAnsiTheme="minorHAnsi" w:cstheme="minorBidi"/>
          <w:noProof/>
          <w:kern w:val="0"/>
          <w:sz w:val="22"/>
          <w:szCs w:val="22"/>
        </w:rPr>
      </w:pPr>
      <w:r>
        <w:rPr>
          <w:noProof/>
        </w:rPr>
        <w:t xml:space="preserve">1.3  Meaning of </w:t>
      </w:r>
      <w:r w:rsidRPr="003C3E47">
        <w:rPr>
          <w:i/>
          <w:noProof/>
        </w:rPr>
        <w:t>customer data</w:t>
      </w:r>
      <w:r>
        <w:rPr>
          <w:noProof/>
        </w:rPr>
        <w:t xml:space="preserve">, </w:t>
      </w:r>
      <w:r w:rsidRPr="003C3E47">
        <w:rPr>
          <w:i/>
          <w:noProof/>
        </w:rPr>
        <w:t>account data</w:t>
      </w:r>
      <w:r>
        <w:rPr>
          <w:noProof/>
        </w:rPr>
        <w:t xml:space="preserve">, </w:t>
      </w:r>
      <w:r w:rsidRPr="003C3E47">
        <w:rPr>
          <w:i/>
          <w:noProof/>
        </w:rPr>
        <w:t xml:space="preserve">transaction data </w:t>
      </w:r>
      <w:r>
        <w:rPr>
          <w:noProof/>
        </w:rPr>
        <w:t xml:space="preserve">and </w:t>
      </w:r>
      <w:r w:rsidRPr="003C3E47">
        <w:rPr>
          <w:i/>
          <w:noProof/>
        </w:rPr>
        <w:t>product specific data</w:t>
      </w:r>
      <w:r>
        <w:rPr>
          <w:noProof/>
        </w:rPr>
        <w:tab/>
      </w:r>
      <w:r>
        <w:rPr>
          <w:noProof/>
        </w:rPr>
        <w:fldChar w:fldCharType="begin"/>
      </w:r>
      <w:r>
        <w:rPr>
          <w:noProof/>
        </w:rPr>
        <w:instrText xml:space="preserve"> PAGEREF _Toc77065080 \h </w:instrText>
      </w:r>
      <w:r>
        <w:rPr>
          <w:noProof/>
        </w:rPr>
      </w:r>
      <w:r>
        <w:rPr>
          <w:noProof/>
        </w:rPr>
        <w:fldChar w:fldCharType="separate"/>
      </w:r>
      <w:r w:rsidR="002F429D">
        <w:rPr>
          <w:noProof/>
        </w:rPr>
        <w:t>168</w:t>
      </w:r>
      <w:r>
        <w:rPr>
          <w:noProof/>
        </w:rPr>
        <w:fldChar w:fldCharType="end"/>
      </w:r>
    </w:p>
    <w:p w14:paraId="70EB1C79" w14:textId="3A247E4F" w:rsidR="000F7228" w:rsidRDefault="000F7228">
      <w:pPr>
        <w:pStyle w:val="TOC5"/>
        <w:rPr>
          <w:rFonts w:asciiTheme="minorHAnsi" w:eastAsiaTheme="minorEastAsia" w:hAnsiTheme="minorHAnsi" w:cstheme="minorBidi"/>
          <w:noProof/>
          <w:kern w:val="0"/>
          <w:sz w:val="22"/>
          <w:szCs w:val="22"/>
        </w:rPr>
      </w:pPr>
      <w:r>
        <w:rPr>
          <w:noProof/>
        </w:rPr>
        <w:t xml:space="preserve">1.4  Meaning of </w:t>
      </w:r>
      <w:r w:rsidRPr="003C3E47">
        <w:rPr>
          <w:i/>
          <w:noProof/>
        </w:rPr>
        <w:t>phase 1 product</w:t>
      </w:r>
      <w:r>
        <w:rPr>
          <w:noProof/>
        </w:rPr>
        <w:t xml:space="preserve">, </w:t>
      </w:r>
      <w:r w:rsidRPr="003C3E47">
        <w:rPr>
          <w:i/>
          <w:noProof/>
        </w:rPr>
        <w:t xml:space="preserve">phase 2 product </w:t>
      </w:r>
      <w:r>
        <w:rPr>
          <w:noProof/>
        </w:rPr>
        <w:t xml:space="preserve">and </w:t>
      </w:r>
      <w:r w:rsidRPr="003C3E47">
        <w:rPr>
          <w:i/>
          <w:noProof/>
        </w:rPr>
        <w:t>phase 3 product</w:t>
      </w:r>
      <w:r>
        <w:rPr>
          <w:noProof/>
        </w:rPr>
        <w:tab/>
      </w:r>
      <w:r>
        <w:rPr>
          <w:noProof/>
        </w:rPr>
        <w:fldChar w:fldCharType="begin"/>
      </w:r>
      <w:r>
        <w:rPr>
          <w:noProof/>
        </w:rPr>
        <w:instrText xml:space="preserve"> PAGEREF _Toc77065081 \h </w:instrText>
      </w:r>
      <w:r>
        <w:rPr>
          <w:noProof/>
        </w:rPr>
      </w:r>
      <w:r>
        <w:rPr>
          <w:noProof/>
        </w:rPr>
        <w:fldChar w:fldCharType="separate"/>
      </w:r>
      <w:r w:rsidR="002F429D">
        <w:rPr>
          <w:noProof/>
        </w:rPr>
        <w:t>170</w:t>
      </w:r>
      <w:r>
        <w:rPr>
          <w:noProof/>
        </w:rPr>
        <w:fldChar w:fldCharType="end"/>
      </w:r>
    </w:p>
    <w:p w14:paraId="06B04014" w14:textId="33D880FB" w:rsidR="000F7228" w:rsidRDefault="000F7228">
      <w:pPr>
        <w:pStyle w:val="TOC2"/>
        <w:rPr>
          <w:rFonts w:asciiTheme="minorHAnsi" w:eastAsiaTheme="minorEastAsia" w:hAnsiTheme="minorHAnsi" w:cstheme="minorBidi"/>
          <w:b w:val="0"/>
          <w:noProof/>
          <w:kern w:val="0"/>
          <w:sz w:val="22"/>
          <w:szCs w:val="22"/>
        </w:rPr>
      </w:pPr>
      <w:r>
        <w:rPr>
          <w:noProof/>
        </w:rPr>
        <w:t>Part 2—Eligible CDR consumers—banking sector</w:t>
      </w:r>
      <w:r>
        <w:rPr>
          <w:noProof/>
        </w:rPr>
        <w:tab/>
      </w:r>
      <w:r>
        <w:rPr>
          <w:noProof/>
        </w:rPr>
        <w:fldChar w:fldCharType="begin"/>
      </w:r>
      <w:r>
        <w:rPr>
          <w:noProof/>
        </w:rPr>
        <w:instrText xml:space="preserve"> PAGEREF _Toc77065082 \h </w:instrText>
      </w:r>
      <w:r>
        <w:rPr>
          <w:noProof/>
        </w:rPr>
      </w:r>
      <w:r>
        <w:rPr>
          <w:noProof/>
        </w:rPr>
        <w:fldChar w:fldCharType="separate"/>
      </w:r>
      <w:r w:rsidR="002F429D">
        <w:rPr>
          <w:noProof/>
        </w:rPr>
        <w:t>172</w:t>
      </w:r>
      <w:r>
        <w:rPr>
          <w:noProof/>
        </w:rPr>
        <w:fldChar w:fldCharType="end"/>
      </w:r>
    </w:p>
    <w:p w14:paraId="3296E4F5" w14:textId="06BA2526" w:rsidR="000F7228" w:rsidRDefault="000F7228">
      <w:pPr>
        <w:pStyle w:val="TOC5"/>
        <w:rPr>
          <w:rFonts w:asciiTheme="minorHAnsi" w:eastAsiaTheme="minorEastAsia" w:hAnsiTheme="minorHAnsi" w:cstheme="minorBidi"/>
          <w:noProof/>
          <w:kern w:val="0"/>
          <w:sz w:val="22"/>
          <w:szCs w:val="22"/>
        </w:rPr>
      </w:pPr>
      <w:r w:rsidRPr="003C3E47">
        <w:rPr>
          <w:noProof/>
          <w:color w:val="FF0000"/>
        </w:rPr>
        <w:t>2.1  Additional criteria for eligibility—banking sector</w:t>
      </w:r>
      <w:r>
        <w:rPr>
          <w:noProof/>
        </w:rPr>
        <w:tab/>
      </w:r>
      <w:r>
        <w:rPr>
          <w:noProof/>
        </w:rPr>
        <w:fldChar w:fldCharType="begin"/>
      </w:r>
      <w:r>
        <w:rPr>
          <w:noProof/>
        </w:rPr>
        <w:instrText xml:space="preserve"> PAGEREF _Toc77065083 \h </w:instrText>
      </w:r>
      <w:r>
        <w:rPr>
          <w:noProof/>
        </w:rPr>
      </w:r>
      <w:r>
        <w:rPr>
          <w:noProof/>
        </w:rPr>
        <w:fldChar w:fldCharType="separate"/>
      </w:r>
      <w:r w:rsidR="002F429D">
        <w:rPr>
          <w:noProof/>
        </w:rPr>
        <w:t>172</w:t>
      </w:r>
      <w:r>
        <w:rPr>
          <w:noProof/>
        </w:rPr>
        <w:fldChar w:fldCharType="end"/>
      </w:r>
    </w:p>
    <w:p w14:paraId="61DA4C7D" w14:textId="79F1F435" w:rsidR="000F7228" w:rsidRDefault="000F7228">
      <w:pPr>
        <w:pStyle w:val="TOC5"/>
        <w:rPr>
          <w:rFonts w:asciiTheme="minorHAnsi" w:eastAsiaTheme="minorEastAsia" w:hAnsiTheme="minorHAnsi" w:cstheme="minorBidi"/>
          <w:noProof/>
          <w:kern w:val="0"/>
          <w:sz w:val="22"/>
          <w:szCs w:val="22"/>
        </w:rPr>
      </w:pPr>
      <w:r w:rsidRPr="003C3E47">
        <w:rPr>
          <w:strike/>
          <w:noProof/>
          <w:color w:val="FF0000"/>
        </w:rPr>
        <w:t xml:space="preserve">2.1  Meaning of </w:t>
      </w:r>
      <w:r w:rsidRPr="003C3E47">
        <w:rPr>
          <w:i/>
          <w:strike/>
          <w:noProof/>
          <w:color w:val="FF0000"/>
        </w:rPr>
        <w:t>eligible</w:t>
      </w:r>
      <w:r w:rsidRPr="003C3E47">
        <w:rPr>
          <w:strike/>
          <w:noProof/>
          <w:color w:val="FF0000"/>
        </w:rPr>
        <w:t>—banking sector</w:t>
      </w:r>
      <w:r>
        <w:rPr>
          <w:noProof/>
        </w:rPr>
        <w:tab/>
      </w:r>
      <w:r>
        <w:rPr>
          <w:noProof/>
        </w:rPr>
        <w:fldChar w:fldCharType="begin"/>
      </w:r>
      <w:r>
        <w:rPr>
          <w:noProof/>
        </w:rPr>
        <w:instrText xml:space="preserve"> PAGEREF _Toc77065084 \h </w:instrText>
      </w:r>
      <w:r>
        <w:rPr>
          <w:noProof/>
        </w:rPr>
      </w:r>
      <w:r>
        <w:rPr>
          <w:noProof/>
        </w:rPr>
        <w:fldChar w:fldCharType="separate"/>
      </w:r>
      <w:r w:rsidR="002F429D">
        <w:rPr>
          <w:noProof/>
        </w:rPr>
        <w:t>172</w:t>
      </w:r>
      <w:r>
        <w:rPr>
          <w:noProof/>
        </w:rPr>
        <w:fldChar w:fldCharType="end"/>
      </w:r>
    </w:p>
    <w:p w14:paraId="0EB54E2D" w14:textId="790CC1B7" w:rsidR="000F7228" w:rsidRDefault="000F7228">
      <w:pPr>
        <w:pStyle w:val="TOC5"/>
        <w:rPr>
          <w:rFonts w:asciiTheme="minorHAnsi" w:eastAsiaTheme="minorEastAsia" w:hAnsiTheme="minorHAnsi" w:cstheme="minorBidi"/>
          <w:noProof/>
          <w:kern w:val="0"/>
          <w:sz w:val="22"/>
          <w:szCs w:val="22"/>
        </w:rPr>
      </w:pPr>
      <w:r>
        <w:rPr>
          <w:noProof/>
        </w:rPr>
        <w:t xml:space="preserve">2.2  Meaning of </w:t>
      </w:r>
      <w:r w:rsidRPr="003C3E47">
        <w:rPr>
          <w:i/>
          <w:noProof/>
        </w:rPr>
        <w:t>account privileges</w:t>
      </w:r>
      <w:r>
        <w:rPr>
          <w:noProof/>
        </w:rPr>
        <w:t>—banking sector</w:t>
      </w:r>
      <w:r>
        <w:rPr>
          <w:noProof/>
        </w:rPr>
        <w:tab/>
      </w:r>
      <w:r>
        <w:rPr>
          <w:noProof/>
        </w:rPr>
        <w:fldChar w:fldCharType="begin"/>
      </w:r>
      <w:r>
        <w:rPr>
          <w:noProof/>
        </w:rPr>
        <w:instrText xml:space="preserve"> PAGEREF _Toc77065085 \h </w:instrText>
      </w:r>
      <w:r>
        <w:rPr>
          <w:noProof/>
        </w:rPr>
      </w:r>
      <w:r>
        <w:rPr>
          <w:noProof/>
        </w:rPr>
        <w:fldChar w:fldCharType="separate"/>
      </w:r>
      <w:r w:rsidR="002F429D">
        <w:rPr>
          <w:noProof/>
        </w:rPr>
        <w:t>172</w:t>
      </w:r>
      <w:r>
        <w:rPr>
          <w:noProof/>
        </w:rPr>
        <w:fldChar w:fldCharType="end"/>
      </w:r>
    </w:p>
    <w:p w14:paraId="5C84C400" w14:textId="6ABB4EA3" w:rsidR="000F7228" w:rsidRDefault="000F7228">
      <w:pPr>
        <w:pStyle w:val="TOC5"/>
        <w:rPr>
          <w:rFonts w:asciiTheme="minorHAnsi" w:eastAsiaTheme="minorEastAsia" w:hAnsiTheme="minorHAnsi" w:cstheme="minorBidi"/>
          <w:noProof/>
          <w:kern w:val="0"/>
          <w:sz w:val="22"/>
          <w:szCs w:val="22"/>
        </w:rPr>
      </w:pPr>
      <w:r w:rsidRPr="003C3E47">
        <w:rPr>
          <w:noProof/>
          <w:color w:val="FF0000"/>
        </w:rPr>
        <w:t>2.3  Data holder dashboards—application of rule 1.15</w:t>
      </w:r>
      <w:r>
        <w:rPr>
          <w:noProof/>
        </w:rPr>
        <w:tab/>
      </w:r>
      <w:r>
        <w:rPr>
          <w:noProof/>
        </w:rPr>
        <w:fldChar w:fldCharType="begin"/>
      </w:r>
      <w:r>
        <w:rPr>
          <w:noProof/>
        </w:rPr>
        <w:instrText xml:space="preserve"> PAGEREF _Toc77065086 \h </w:instrText>
      </w:r>
      <w:r>
        <w:rPr>
          <w:noProof/>
        </w:rPr>
      </w:r>
      <w:r>
        <w:rPr>
          <w:noProof/>
        </w:rPr>
        <w:fldChar w:fldCharType="separate"/>
      </w:r>
      <w:r w:rsidR="002F429D">
        <w:rPr>
          <w:noProof/>
        </w:rPr>
        <w:t>173</w:t>
      </w:r>
      <w:r>
        <w:rPr>
          <w:noProof/>
        </w:rPr>
        <w:fldChar w:fldCharType="end"/>
      </w:r>
    </w:p>
    <w:p w14:paraId="6C6021EB" w14:textId="4922E43D" w:rsidR="000F7228" w:rsidRDefault="000F7228">
      <w:pPr>
        <w:pStyle w:val="TOC2"/>
        <w:rPr>
          <w:rFonts w:asciiTheme="minorHAnsi" w:eastAsiaTheme="minorEastAsia" w:hAnsiTheme="minorHAnsi" w:cstheme="minorBidi"/>
          <w:b w:val="0"/>
          <w:noProof/>
          <w:kern w:val="0"/>
          <w:sz w:val="22"/>
          <w:szCs w:val="22"/>
        </w:rPr>
      </w:pPr>
      <w:r>
        <w:rPr>
          <w:noProof/>
        </w:rPr>
        <w:t>Part 3—CDR data that may be accessed under these rules—banking sector</w:t>
      </w:r>
      <w:r>
        <w:rPr>
          <w:noProof/>
        </w:rPr>
        <w:tab/>
      </w:r>
      <w:r>
        <w:rPr>
          <w:noProof/>
        </w:rPr>
        <w:fldChar w:fldCharType="begin"/>
      </w:r>
      <w:r>
        <w:rPr>
          <w:noProof/>
        </w:rPr>
        <w:instrText xml:space="preserve"> PAGEREF _Toc77065087 \h </w:instrText>
      </w:r>
      <w:r>
        <w:rPr>
          <w:noProof/>
        </w:rPr>
      </w:r>
      <w:r>
        <w:rPr>
          <w:noProof/>
        </w:rPr>
        <w:fldChar w:fldCharType="separate"/>
      </w:r>
      <w:r w:rsidR="002F429D">
        <w:rPr>
          <w:noProof/>
        </w:rPr>
        <w:t>174</w:t>
      </w:r>
      <w:r>
        <w:rPr>
          <w:noProof/>
        </w:rPr>
        <w:fldChar w:fldCharType="end"/>
      </w:r>
    </w:p>
    <w:p w14:paraId="3F02201E" w14:textId="0106D536" w:rsidR="000F7228" w:rsidRDefault="000F7228">
      <w:pPr>
        <w:pStyle w:val="TOC5"/>
        <w:rPr>
          <w:rFonts w:asciiTheme="minorHAnsi" w:eastAsiaTheme="minorEastAsia" w:hAnsiTheme="minorHAnsi" w:cstheme="minorBidi"/>
          <w:noProof/>
          <w:kern w:val="0"/>
          <w:sz w:val="22"/>
          <w:szCs w:val="22"/>
        </w:rPr>
      </w:pPr>
      <w:r>
        <w:rPr>
          <w:noProof/>
        </w:rPr>
        <w:t>3.1A  Application of Part</w:t>
      </w:r>
      <w:r>
        <w:rPr>
          <w:noProof/>
        </w:rPr>
        <w:tab/>
      </w:r>
      <w:r>
        <w:rPr>
          <w:noProof/>
        </w:rPr>
        <w:fldChar w:fldCharType="begin"/>
      </w:r>
      <w:r>
        <w:rPr>
          <w:noProof/>
        </w:rPr>
        <w:instrText xml:space="preserve"> PAGEREF _Toc77065088 \h </w:instrText>
      </w:r>
      <w:r>
        <w:rPr>
          <w:noProof/>
        </w:rPr>
      </w:r>
      <w:r>
        <w:rPr>
          <w:noProof/>
        </w:rPr>
        <w:fldChar w:fldCharType="separate"/>
      </w:r>
      <w:r w:rsidR="002F429D">
        <w:rPr>
          <w:noProof/>
        </w:rPr>
        <w:t>174</w:t>
      </w:r>
      <w:r>
        <w:rPr>
          <w:noProof/>
        </w:rPr>
        <w:fldChar w:fldCharType="end"/>
      </w:r>
    </w:p>
    <w:p w14:paraId="4F970088" w14:textId="4A2AFFBD" w:rsidR="000F7228" w:rsidRDefault="000F7228">
      <w:pPr>
        <w:pStyle w:val="TOC5"/>
        <w:rPr>
          <w:rFonts w:asciiTheme="minorHAnsi" w:eastAsiaTheme="minorEastAsia" w:hAnsiTheme="minorHAnsi" w:cstheme="minorBidi"/>
          <w:noProof/>
          <w:kern w:val="0"/>
          <w:sz w:val="22"/>
          <w:szCs w:val="22"/>
        </w:rPr>
      </w:pPr>
      <w:r w:rsidRPr="003C3E47">
        <w:rPr>
          <w:noProof/>
          <w:color w:val="000000"/>
        </w:rPr>
        <w:t xml:space="preserve">3.1  </w:t>
      </w:r>
      <w:r>
        <w:rPr>
          <w:noProof/>
        </w:rPr>
        <w:t xml:space="preserve">Meaning of </w:t>
      </w:r>
      <w:r w:rsidRPr="003C3E47">
        <w:rPr>
          <w:i/>
          <w:noProof/>
        </w:rPr>
        <w:t>required product data</w:t>
      </w:r>
      <w:r>
        <w:rPr>
          <w:noProof/>
        </w:rPr>
        <w:t xml:space="preserve"> and </w:t>
      </w:r>
      <w:r w:rsidRPr="003C3E47">
        <w:rPr>
          <w:i/>
          <w:noProof/>
        </w:rPr>
        <w:t>voluntary product data</w:t>
      </w:r>
      <w:r>
        <w:rPr>
          <w:noProof/>
        </w:rPr>
        <w:t>—banking sector</w:t>
      </w:r>
      <w:r>
        <w:rPr>
          <w:noProof/>
        </w:rPr>
        <w:tab/>
      </w:r>
      <w:r>
        <w:rPr>
          <w:noProof/>
        </w:rPr>
        <w:fldChar w:fldCharType="begin"/>
      </w:r>
      <w:r>
        <w:rPr>
          <w:noProof/>
        </w:rPr>
        <w:instrText xml:space="preserve"> PAGEREF _Toc77065089 \h </w:instrText>
      </w:r>
      <w:r>
        <w:rPr>
          <w:noProof/>
        </w:rPr>
      </w:r>
      <w:r>
        <w:rPr>
          <w:noProof/>
        </w:rPr>
        <w:fldChar w:fldCharType="separate"/>
      </w:r>
      <w:r w:rsidR="002F429D">
        <w:rPr>
          <w:noProof/>
        </w:rPr>
        <w:t>174</w:t>
      </w:r>
      <w:r>
        <w:rPr>
          <w:noProof/>
        </w:rPr>
        <w:fldChar w:fldCharType="end"/>
      </w:r>
    </w:p>
    <w:p w14:paraId="6EFC2EE1" w14:textId="529C1C69" w:rsidR="000F7228" w:rsidRDefault="000F7228">
      <w:pPr>
        <w:pStyle w:val="TOC5"/>
        <w:rPr>
          <w:rFonts w:asciiTheme="minorHAnsi" w:eastAsiaTheme="minorEastAsia" w:hAnsiTheme="minorHAnsi" w:cstheme="minorBidi"/>
          <w:noProof/>
          <w:kern w:val="0"/>
          <w:sz w:val="22"/>
          <w:szCs w:val="22"/>
        </w:rPr>
      </w:pPr>
      <w:r>
        <w:rPr>
          <w:noProof/>
        </w:rPr>
        <w:t xml:space="preserve">3.2  Meaning of </w:t>
      </w:r>
      <w:r w:rsidRPr="003C3E47">
        <w:rPr>
          <w:i/>
          <w:noProof/>
        </w:rPr>
        <w:t>required consumer data</w:t>
      </w:r>
      <w:r>
        <w:rPr>
          <w:noProof/>
        </w:rPr>
        <w:t xml:space="preserve"> and </w:t>
      </w:r>
      <w:r w:rsidRPr="003C3E47">
        <w:rPr>
          <w:i/>
          <w:noProof/>
        </w:rPr>
        <w:t>voluntary consumer data</w:t>
      </w:r>
      <w:r>
        <w:rPr>
          <w:noProof/>
        </w:rPr>
        <w:t>—banking sector</w:t>
      </w:r>
      <w:r>
        <w:rPr>
          <w:noProof/>
        </w:rPr>
        <w:tab/>
      </w:r>
      <w:r>
        <w:rPr>
          <w:noProof/>
        </w:rPr>
        <w:fldChar w:fldCharType="begin"/>
      </w:r>
      <w:r>
        <w:rPr>
          <w:noProof/>
        </w:rPr>
        <w:instrText xml:space="preserve"> PAGEREF _Toc77065090 \h </w:instrText>
      </w:r>
      <w:r>
        <w:rPr>
          <w:noProof/>
        </w:rPr>
      </w:r>
      <w:r>
        <w:rPr>
          <w:noProof/>
        </w:rPr>
        <w:fldChar w:fldCharType="separate"/>
      </w:r>
      <w:r w:rsidR="002F429D">
        <w:rPr>
          <w:noProof/>
        </w:rPr>
        <w:t>174</w:t>
      </w:r>
      <w:r>
        <w:rPr>
          <w:noProof/>
        </w:rPr>
        <w:fldChar w:fldCharType="end"/>
      </w:r>
    </w:p>
    <w:p w14:paraId="5B9F66E5" w14:textId="346F2C88" w:rsidR="000F7228" w:rsidRDefault="000F7228">
      <w:pPr>
        <w:pStyle w:val="TOC2"/>
        <w:rPr>
          <w:rFonts w:asciiTheme="minorHAnsi" w:eastAsiaTheme="minorEastAsia" w:hAnsiTheme="minorHAnsi" w:cstheme="minorBidi"/>
          <w:b w:val="0"/>
          <w:noProof/>
          <w:kern w:val="0"/>
          <w:sz w:val="22"/>
          <w:szCs w:val="22"/>
        </w:rPr>
      </w:pPr>
      <w:r w:rsidRPr="003C3E47">
        <w:rPr>
          <w:strike/>
          <w:noProof/>
          <w:color w:val="0000FF"/>
        </w:rPr>
        <w:t>Part 4—Joint accounts</w:t>
      </w:r>
      <w:r>
        <w:rPr>
          <w:noProof/>
        </w:rPr>
        <w:tab/>
      </w:r>
      <w:r>
        <w:rPr>
          <w:noProof/>
        </w:rPr>
        <w:fldChar w:fldCharType="begin"/>
      </w:r>
      <w:r>
        <w:rPr>
          <w:noProof/>
        </w:rPr>
        <w:instrText xml:space="preserve"> PAGEREF _Toc77065091 \h </w:instrText>
      </w:r>
      <w:r>
        <w:rPr>
          <w:noProof/>
        </w:rPr>
      </w:r>
      <w:r>
        <w:rPr>
          <w:noProof/>
        </w:rPr>
        <w:fldChar w:fldCharType="separate"/>
      </w:r>
      <w:r w:rsidR="002F429D">
        <w:rPr>
          <w:noProof/>
        </w:rPr>
        <w:t>176</w:t>
      </w:r>
      <w:r>
        <w:rPr>
          <w:noProof/>
        </w:rPr>
        <w:fldChar w:fldCharType="end"/>
      </w:r>
    </w:p>
    <w:p w14:paraId="0D3B5475" w14:textId="7371AE71" w:rsidR="000F7228" w:rsidRDefault="000F7228">
      <w:pPr>
        <w:pStyle w:val="TOC3"/>
        <w:rPr>
          <w:rFonts w:asciiTheme="minorHAnsi" w:eastAsiaTheme="minorEastAsia" w:hAnsiTheme="minorHAnsi" w:cstheme="minorBidi"/>
          <w:b w:val="0"/>
          <w:noProof/>
          <w:kern w:val="0"/>
          <w:szCs w:val="22"/>
        </w:rPr>
      </w:pPr>
      <w:r w:rsidRPr="003C3E47">
        <w:rPr>
          <w:strike/>
          <w:noProof/>
          <w:color w:val="0000FF"/>
        </w:rPr>
        <w:t>Division 4.1—Preliminary</w:t>
      </w:r>
      <w:r>
        <w:rPr>
          <w:noProof/>
        </w:rPr>
        <w:tab/>
      </w:r>
      <w:r>
        <w:rPr>
          <w:noProof/>
        </w:rPr>
        <w:fldChar w:fldCharType="begin"/>
      </w:r>
      <w:r>
        <w:rPr>
          <w:noProof/>
        </w:rPr>
        <w:instrText xml:space="preserve"> PAGEREF _Toc77065092 \h </w:instrText>
      </w:r>
      <w:r>
        <w:rPr>
          <w:noProof/>
        </w:rPr>
      </w:r>
      <w:r>
        <w:rPr>
          <w:noProof/>
        </w:rPr>
        <w:fldChar w:fldCharType="separate"/>
      </w:r>
      <w:r w:rsidR="002F429D">
        <w:rPr>
          <w:noProof/>
        </w:rPr>
        <w:t>176</w:t>
      </w:r>
      <w:r>
        <w:rPr>
          <w:noProof/>
        </w:rPr>
        <w:fldChar w:fldCharType="end"/>
      </w:r>
    </w:p>
    <w:p w14:paraId="3823CA3F" w14:textId="47D21B42"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4.1  Purpose of Part</w:t>
      </w:r>
      <w:r>
        <w:rPr>
          <w:noProof/>
        </w:rPr>
        <w:tab/>
      </w:r>
      <w:r>
        <w:rPr>
          <w:noProof/>
        </w:rPr>
        <w:fldChar w:fldCharType="begin"/>
      </w:r>
      <w:r>
        <w:rPr>
          <w:noProof/>
        </w:rPr>
        <w:instrText xml:space="preserve"> PAGEREF _Toc77065093 \h </w:instrText>
      </w:r>
      <w:r>
        <w:rPr>
          <w:noProof/>
        </w:rPr>
      </w:r>
      <w:r>
        <w:rPr>
          <w:noProof/>
        </w:rPr>
        <w:fldChar w:fldCharType="separate"/>
      </w:r>
      <w:r w:rsidR="002F429D">
        <w:rPr>
          <w:noProof/>
        </w:rPr>
        <w:t>176</w:t>
      </w:r>
      <w:r>
        <w:rPr>
          <w:noProof/>
        </w:rPr>
        <w:fldChar w:fldCharType="end"/>
      </w:r>
    </w:p>
    <w:p w14:paraId="5012A023" w14:textId="7C59DD74"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4.2  Application of Part</w:t>
      </w:r>
      <w:r>
        <w:rPr>
          <w:noProof/>
        </w:rPr>
        <w:tab/>
      </w:r>
      <w:r>
        <w:rPr>
          <w:noProof/>
        </w:rPr>
        <w:fldChar w:fldCharType="begin"/>
      </w:r>
      <w:r>
        <w:rPr>
          <w:noProof/>
        </w:rPr>
        <w:instrText xml:space="preserve"> PAGEREF _Toc77065094 \h </w:instrText>
      </w:r>
      <w:r>
        <w:rPr>
          <w:noProof/>
        </w:rPr>
      </w:r>
      <w:r>
        <w:rPr>
          <w:noProof/>
        </w:rPr>
        <w:fldChar w:fldCharType="separate"/>
      </w:r>
      <w:r w:rsidR="002F429D">
        <w:rPr>
          <w:noProof/>
        </w:rPr>
        <w:t>176</w:t>
      </w:r>
      <w:r>
        <w:rPr>
          <w:noProof/>
        </w:rPr>
        <w:fldChar w:fldCharType="end"/>
      </w:r>
    </w:p>
    <w:p w14:paraId="759642F7" w14:textId="5344F949"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4.3  Simplified outline of this Part</w:t>
      </w:r>
      <w:r>
        <w:rPr>
          <w:noProof/>
        </w:rPr>
        <w:tab/>
      </w:r>
      <w:r>
        <w:rPr>
          <w:noProof/>
        </w:rPr>
        <w:fldChar w:fldCharType="begin"/>
      </w:r>
      <w:r>
        <w:rPr>
          <w:noProof/>
        </w:rPr>
        <w:instrText xml:space="preserve"> PAGEREF _Toc77065095 \h </w:instrText>
      </w:r>
      <w:r>
        <w:rPr>
          <w:noProof/>
        </w:rPr>
      </w:r>
      <w:r>
        <w:rPr>
          <w:noProof/>
        </w:rPr>
        <w:fldChar w:fldCharType="separate"/>
      </w:r>
      <w:r w:rsidR="002F429D">
        <w:rPr>
          <w:noProof/>
        </w:rPr>
        <w:t>177</w:t>
      </w:r>
      <w:r>
        <w:rPr>
          <w:noProof/>
        </w:rPr>
        <w:fldChar w:fldCharType="end"/>
      </w:r>
    </w:p>
    <w:p w14:paraId="2093FF49" w14:textId="120D37B0" w:rsidR="000F7228" w:rsidRDefault="000F7228">
      <w:pPr>
        <w:pStyle w:val="TOC3"/>
        <w:rPr>
          <w:rFonts w:asciiTheme="minorHAnsi" w:eastAsiaTheme="minorEastAsia" w:hAnsiTheme="minorHAnsi" w:cstheme="minorBidi"/>
          <w:b w:val="0"/>
          <w:noProof/>
          <w:kern w:val="0"/>
          <w:szCs w:val="22"/>
        </w:rPr>
      </w:pPr>
      <w:r w:rsidRPr="003C3E47">
        <w:rPr>
          <w:strike/>
          <w:noProof/>
          <w:color w:val="0000FF"/>
          <w:lang w:val="en-US"/>
        </w:rPr>
        <w:t>Division 4.2—Disclosure options, joint account management service and notification requirements</w:t>
      </w:r>
      <w:r>
        <w:rPr>
          <w:noProof/>
        </w:rPr>
        <w:tab/>
      </w:r>
      <w:r>
        <w:rPr>
          <w:noProof/>
        </w:rPr>
        <w:fldChar w:fldCharType="begin"/>
      </w:r>
      <w:r>
        <w:rPr>
          <w:noProof/>
        </w:rPr>
        <w:instrText xml:space="preserve"> PAGEREF _Toc77065096 \h </w:instrText>
      </w:r>
      <w:r>
        <w:rPr>
          <w:noProof/>
        </w:rPr>
      </w:r>
      <w:r>
        <w:rPr>
          <w:noProof/>
        </w:rPr>
        <w:fldChar w:fldCharType="separate"/>
      </w:r>
      <w:r w:rsidR="002F429D">
        <w:rPr>
          <w:noProof/>
        </w:rPr>
        <w:t>177</w:t>
      </w:r>
      <w:r>
        <w:rPr>
          <w:noProof/>
        </w:rPr>
        <w:fldChar w:fldCharType="end"/>
      </w:r>
    </w:p>
    <w:p w14:paraId="68B5493E" w14:textId="3C97649F"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4.4  Simplified outline of this Division</w:t>
      </w:r>
      <w:r>
        <w:rPr>
          <w:noProof/>
        </w:rPr>
        <w:tab/>
      </w:r>
      <w:r>
        <w:rPr>
          <w:noProof/>
        </w:rPr>
        <w:fldChar w:fldCharType="begin"/>
      </w:r>
      <w:r>
        <w:rPr>
          <w:noProof/>
        </w:rPr>
        <w:instrText xml:space="preserve"> PAGEREF _Toc77065097 \h </w:instrText>
      </w:r>
      <w:r>
        <w:rPr>
          <w:noProof/>
        </w:rPr>
      </w:r>
      <w:r>
        <w:rPr>
          <w:noProof/>
        </w:rPr>
        <w:fldChar w:fldCharType="separate"/>
      </w:r>
      <w:r w:rsidR="002F429D">
        <w:rPr>
          <w:noProof/>
        </w:rPr>
        <w:t>177</w:t>
      </w:r>
      <w:r>
        <w:rPr>
          <w:noProof/>
        </w:rPr>
        <w:fldChar w:fldCharType="end"/>
      </w:r>
    </w:p>
    <w:p w14:paraId="0DC7B26F" w14:textId="5935CC63"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4.5  Disclosure options that can apply to joint accounts</w:t>
      </w:r>
      <w:r>
        <w:rPr>
          <w:noProof/>
        </w:rPr>
        <w:tab/>
      </w:r>
      <w:r>
        <w:rPr>
          <w:noProof/>
        </w:rPr>
        <w:fldChar w:fldCharType="begin"/>
      </w:r>
      <w:r>
        <w:rPr>
          <w:noProof/>
        </w:rPr>
        <w:instrText xml:space="preserve"> PAGEREF _Toc77065098 \h </w:instrText>
      </w:r>
      <w:r>
        <w:rPr>
          <w:noProof/>
        </w:rPr>
      </w:r>
      <w:r>
        <w:rPr>
          <w:noProof/>
        </w:rPr>
        <w:fldChar w:fldCharType="separate"/>
      </w:r>
      <w:r w:rsidR="002F429D">
        <w:rPr>
          <w:noProof/>
        </w:rPr>
        <w:t>178</w:t>
      </w:r>
      <w:r>
        <w:rPr>
          <w:noProof/>
        </w:rPr>
        <w:fldChar w:fldCharType="end"/>
      </w:r>
    </w:p>
    <w:p w14:paraId="4114F6CF" w14:textId="0AFE621E"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4.6  Obligation to provide joint account management service</w:t>
      </w:r>
      <w:r>
        <w:rPr>
          <w:noProof/>
        </w:rPr>
        <w:tab/>
      </w:r>
      <w:r>
        <w:rPr>
          <w:noProof/>
        </w:rPr>
        <w:fldChar w:fldCharType="begin"/>
      </w:r>
      <w:r>
        <w:rPr>
          <w:noProof/>
        </w:rPr>
        <w:instrText xml:space="preserve"> PAGEREF _Toc77065099 \h </w:instrText>
      </w:r>
      <w:r>
        <w:rPr>
          <w:noProof/>
        </w:rPr>
      </w:r>
      <w:r>
        <w:rPr>
          <w:noProof/>
        </w:rPr>
        <w:fldChar w:fldCharType="separate"/>
      </w:r>
      <w:r w:rsidR="002F429D">
        <w:rPr>
          <w:noProof/>
        </w:rPr>
        <w:t>179</w:t>
      </w:r>
      <w:r>
        <w:rPr>
          <w:noProof/>
        </w:rPr>
        <w:fldChar w:fldCharType="end"/>
      </w:r>
    </w:p>
    <w:p w14:paraId="5C4D3CAA" w14:textId="0D7EFDAB"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4.7  Asking other joint account holders to indicate disclosure option for joint account</w:t>
      </w:r>
      <w:r>
        <w:rPr>
          <w:noProof/>
        </w:rPr>
        <w:tab/>
      </w:r>
      <w:r>
        <w:rPr>
          <w:noProof/>
        </w:rPr>
        <w:fldChar w:fldCharType="begin"/>
      </w:r>
      <w:r>
        <w:rPr>
          <w:noProof/>
        </w:rPr>
        <w:instrText xml:space="preserve"> PAGEREF _Toc77065100 \h </w:instrText>
      </w:r>
      <w:r>
        <w:rPr>
          <w:noProof/>
        </w:rPr>
      </w:r>
      <w:r>
        <w:rPr>
          <w:noProof/>
        </w:rPr>
        <w:fldChar w:fldCharType="separate"/>
      </w:r>
      <w:r w:rsidR="002F429D">
        <w:rPr>
          <w:noProof/>
        </w:rPr>
        <w:t>180</w:t>
      </w:r>
      <w:r>
        <w:rPr>
          <w:noProof/>
        </w:rPr>
        <w:fldChar w:fldCharType="end"/>
      </w:r>
    </w:p>
    <w:p w14:paraId="1A1D1AF4" w14:textId="469FF714" w:rsidR="000F7228" w:rsidRDefault="000F7228">
      <w:pPr>
        <w:pStyle w:val="TOC3"/>
        <w:rPr>
          <w:rFonts w:asciiTheme="minorHAnsi" w:eastAsiaTheme="minorEastAsia" w:hAnsiTheme="minorHAnsi" w:cstheme="minorBidi"/>
          <w:b w:val="0"/>
          <w:noProof/>
          <w:kern w:val="0"/>
          <w:szCs w:val="22"/>
        </w:rPr>
      </w:pPr>
      <w:r w:rsidRPr="003C3E47">
        <w:rPr>
          <w:strike/>
          <w:noProof/>
          <w:color w:val="0000FF"/>
        </w:rPr>
        <w:t>Division 4.3—Consumer data requests that relate to joint accounts</w:t>
      </w:r>
      <w:r>
        <w:rPr>
          <w:noProof/>
        </w:rPr>
        <w:tab/>
      </w:r>
      <w:r>
        <w:rPr>
          <w:noProof/>
        </w:rPr>
        <w:fldChar w:fldCharType="begin"/>
      </w:r>
      <w:r>
        <w:rPr>
          <w:noProof/>
        </w:rPr>
        <w:instrText xml:space="preserve"> PAGEREF _Toc77065101 \h </w:instrText>
      </w:r>
      <w:r>
        <w:rPr>
          <w:noProof/>
        </w:rPr>
      </w:r>
      <w:r>
        <w:rPr>
          <w:noProof/>
        </w:rPr>
        <w:fldChar w:fldCharType="separate"/>
      </w:r>
      <w:r w:rsidR="002F429D">
        <w:rPr>
          <w:noProof/>
        </w:rPr>
        <w:t>181</w:t>
      </w:r>
      <w:r>
        <w:rPr>
          <w:noProof/>
        </w:rPr>
        <w:fldChar w:fldCharType="end"/>
      </w:r>
    </w:p>
    <w:p w14:paraId="699FCA45" w14:textId="214FD239" w:rsidR="000F7228" w:rsidRDefault="000F7228">
      <w:pPr>
        <w:pStyle w:val="TOC4"/>
        <w:rPr>
          <w:rFonts w:asciiTheme="minorHAnsi" w:eastAsiaTheme="minorEastAsia" w:hAnsiTheme="minorHAnsi" w:cstheme="minorBidi"/>
          <w:b w:val="0"/>
          <w:noProof/>
          <w:kern w:val="0"/>
          <w:sz w:val="22"/>
          <w:szCs w:val="22"/>
        </w:rPr>
      </w:pPr>
      <w:r w:rsidRPr="003C3E47">
        <w:rPr>
          <w:strike/>
          <w:noProof/>
          <w:color w:val="0000FF"/>
        </w:rPr>
        <w:t>Subdivision 4.3.1—Preliminary</w:t>
      </w:r>
      <w:r>
        <w:rPr>
          <w:noProof/>
        </w:rPr>
        <w:tab/>
      </w:r>
      <w:r>
        <w:rPr>
          <w:noProof/>
        </w:rPr>
        <w:fldChar w:fldCharType="begin"/>
      </w:r>
      <w:r>
        <w:rPr>
          <w:noProof/>
        </w:rPr>
        <w:instrText xml:space="preserve"> PAGEREF _Toc77065102 \h </w:instrText>
      </w:r>
      <w:r>
        <w:rPr>
          <w:noProof/>
        </w:rPr>
      </w:r>
      <w:r>
        <w:rPr>
          <w:noProof/>
        </w:rPr>
        <w:fldChar w:fldCharType="separate"/>
      </w:r>
      <w:r w:rsidR="002F429D">
        <w:rPr>
          <w:noProof/>
        </w:rPr>
        <w:t>181</w:t>
      </w:r>
      <w:r>
        <w:rPr>
          <w:noProof/>
        </w:rPr>
        <w:fldChar w:fldCharType="end"/>
      </w:r>
    </w:p>
    <w:p w14:paraId="321FABC8" w14:textId="5E81470E"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4.8  Application of Division</w:t>
      </w:r>
      <w:r>
        <w:rPr>
          <w:noProof/>
        </w:rPr>
        <w:tab/>
      </w:r>
      <w:r>
        <w:rPr>
          <w:noProof/>
        </w:rPr>
        <w:fldChar w:fldCharType="begin"/>
      </w:r>
      <w:r>
        <w:rPr>
          <w:noProof/>
        </w:rPr>
        <w:instrText xml:space="preserve"> PAGEREF _Toc77065103 \h </w:instrText>
      </w:r>
      <w:r>
        <w:rPr>
          <w:noProof/>
        </w:rPr>
      </w:r>
      <w:r>
        <w:rPr>
          <w:noProof/>
        </w:rPr>
        <w:fldChar w:fldCharType="separate"/>
      </w:r>
      <w:r w:rsidR="002F429D">
        <w:rPr>
          <w:noProof/>
        </w:rPr>
        <w:t>181</w:t>
      </w:r>
      <w:r>
        <w:rPr>
          <w:noProof/>
        </w:rPr>
        <w:fldChar w:fldCharType="end"/>
      </w:r>
    </w:p>
    <w:p w14:paraId="040DF505" w14:textId="48B4B965"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4.9  Interpretation</w:t>
      </w:r>
      <w:r>
        <w:rPr>
          <w:noProof/>
        </w:rPr>
        <w:tab/>
      </w:r>
      <w:r>
        <w:rPr>
          <w:noProof/>
        </w:rPr>
        <w:fldChar w:fldCharType="begin"/>
      </w:r>
      <w:r>
        <w:rPr>
          <w:noProof/>
        </w:rPr>
        <w:instrText xml:space="preserve"> PAGEREF _Toc77065104 \h </w:instrText>
      </w:r>
      <w:r>
        <w:rPr>
          <w:noProof/>
        </w:rPr>
      </w:r>
      <w:r>
        <w:rPr>
          <w:noProof/>
        </w:rPr>
        <w:fldChar w:fldCharType="separate"/>
      </w:r>
      <w:r w:rsidR="002F429D">
        <w:rPr>
          <w:noProof/>
        </w:rPr>
        <w:t>181</w:t>
      </w:r>
      <w:r>
        <w:rPr>
          <w:noProof/>
        </w:rPr>
        <w:fldChar w:fldCharType="end"/>
      </w:r>
    </w:p>
    <w:p w14:paraId="267D80BB" w14:textId="24DAA3D5" w:rsidR="000F7228" w:rsidRDefault="000F7228">
      <w:pPr>
        <w:pStyle w:val="TOC4"/>
        <w:rPr>
          <w:rFonts w:asciiTheme="minorHAnsi" w:eastAsiaTheme="minorEastAsia" w:hAnsiTheme="minorHAnsi" w:cstheme="minorBidi"/>
          <w:b w:val="0"/>
          <w:noProof/>
          <w:kern w:val="0"/>
          <w:sz w:val="22"/>
          <w:szCs w:val="22"/>
        </w:rPr>
      </w:pPr>
      <w:r w:rsidRPr="003C3E47">
        <w:rPr>
          <w:strike/>
          <w:noProof/>
          <w:color w:val="0000FF"/>
          <w:lang w:val="en-US"/>
        </w:rPr>
        <w:t xml:space="preserve">Subdivision 4.3.2—How </w:t>
      </w:r>
      <w:r w:rsidRPr="003C3E47">
        <w:rPr>
          <w:strike/>
          <w:noProof/>
          <w:color w:val="0000FF"/>
        </w:rPr>
        <w:t>consumer data requests to data holders under Part 4 of these rules that relate to joint accounts are handled</w:t>
      </w:r>
      <w:r>
        <w:rPr>
          <w:noProof/>
        </w:rPr>
        <w:tab/>
      </w:r>
      <w:r>
        <w:rPr>
          <w:noProof/>
        </w:rPr>
        <w:fldChar w:fldCharType="begin"/>
      </w:r>
      <w:r>
        <w:rPr>
          <w:noProof/>
        </w:rPr>
        <w:instrText xml:space="preserve"> PAGEREF _Toc77065105 \h </w:instrText>
      </w:r>
      <w:r>
        <w:rPr>
          <w:noProof/>
        </w:rPr>
      </w:r>
      <w:r>
        <w:rPr>
          <w:noProof/>
        </w:rPr>
        <w:fldChar w:fldCharType="separate"/>
      </w:r>
      <w:r w:rsidR="002F429D">
        <w:rPr>
          <w:noProof/>
        </w:rPr>
        <w:t>181</w:t>
      </w:r>
      <w:r>
        <w:rPr>
          <w:noProof/>
        </w:rPr>
        <w:fldChar w:fldCharType="end"/>
      </w:r>
    </w:p>
    <w:p w14:paraId="37C05D73" w14:textId="11705D61"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4.10  Asking requesting account holder to indicate disclosure option for joint account</w:t>
      </w:r>
      <w:r>
        <w:rPr>
          <w:noProof/>
        </w:rPr>
        <w:tab/>
      </w:r>
      <w:r>
        <w:rPr>
          <w:noProof/>
        </w:rPr>
        <w:fldChar w:fldCharType="begin"/>
      </w:r>
      <w:r>
        <w:rPr>
          <w:noProof/>
        </w:rPr>
        <w:instrText xml:space="preserve"> PAGEREF _Toc77065106 \h </w:instrText>
      </w:r>
      <w:r>
        <w:rPr>
          <w:noProof/>
        </w:rPr>
      </w:r>
      <w:r>
        <w:rPr>
          <w:noProof/>
        </w:rPr>
        <w:fldChar w:fldCharType="separate"/>
      </w:r>
      <w:r w:rsidR="002F429D">
        <w:rPr>
          <w:noProof/>
        </w:rPr>
        <w:t>181</w:t>
      </w:r>
      <w:r>
        <w:rPr>
          <w:noProof/>
        </w:rPr>
        <w:fldChar w:fldCharType="end"/>
      </w:r>
    </w:p>
    <w:p w14:paraId="69CDE49C" w14:textId="098BFB80"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4.11  Asking relevant account holders for approval to disclose joint account data</w:t>
      </w:r>
      <w:r>
        <w:rPr>
          <w:noProof/>
        </w:rPr>
        <w:tab/>
      </w:r>
      <w:r>
        <w:rPr>
          <w:noProof/>
        </w:rPr>
        <w:fldChar w:fldCharType="begin"/>
      </w:r>
      <w:r>
        <w:rPr>
          <w:noProof/>
        </w:rPr>
        <w:instrText xml:space="preserve"> PAGEREF _Toc77065107 \h </w:instrText>
      </w:r>
      <w:r>
        <w:rPr>
          <w:noProof/>
        </w:rPr>
      </w:r>
      <w:r>
        <w:rPr>
          <w:noProof/>
        </w:rPr>
        <w:fldChar w:fldCharType="separate"/>
      </w:r>
      <w:r w:rsidR="002F429D">
        <w:rPr>
          <w:noProof/>
        </w:rPr>
        <w:t>182</w:t>
      </w:r>
      <w:r>
        <w:rPr>
          <w:noProof/>
        </w:rPr>
        <w:fldChar w:fldCharType="end"/>
      </w:r>
    </w:p>
    <w:p w14:paraId="1AC81ABA" w14:textId="4B6FEEFF"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4.12  Continuation and removal of approvals</w:t>
      </w:r>
      <w:r>
        <w:rPr>
          <w:noProof/>
        </w:rPr>
        <w:tab/>
      </w:r>
      <w:r>
        <w:rPr>
          <w:noProof/>
        </w:rPr>
        <w:fldChar w:fldCharType="begin"/>
      </w:r>
      <w:r>
        <w:rPr>
          <w:noProof/>
        </w:rPr>
        <w:instrText xml:space="preserve"> PAGEREF _Toc77065108 \h </w:instrText>
      </w:r>
      <w:r>
        <w:rPr>
          <w:noProof/>
        </w:rPr>
      </w:r>
      <w:r>
        <w:rPr>
          <w:noProof/>
        </w:rPr>
        <w:fldChar w:fldCharType="separate"/>
      </w:r>
      <w:r w:rsidR="002F429D">
        <w:rPr>
          <w:noProof/>
        </w:rPr>
        <w:t>182</w:t>
      </w:r>
      <w:r>
        <w:rPr>
          <w:noProof/>
        </w:rPr>
        <w:fldChar w:fldCharType="end"/>
      </w:r>
    </w:p>
    <w:p w14:paraId="09B6142F" w14:textId="7ECC5D33" w:rsidR="000F7228" w:rsidRDefault="000F7228">
      <w:pPr>
        <w:pStyle w:val="TOC5"/>
        <w:rPr>
          <w:rFonts w:asciiTheme="minorHAnsi" w:eastAsiaTheme="minorEastAsia" w:hAnsiTheme="minorHAnsi" w:cstheme="minorBidi"/>
          <w:noProof/>
          <w:kern w:val="0"/>
          <w:sz w:val="22"/>
          <w:szCs w:val="22"/>
        </w:rPr>
      </w:pPr>
      <w:r w:rsidRPr="003C3E47">
        <w:rPr>
          <w:strike/>
          <w:noProof/>
          <w:color w:val="0000FF"/>
          <w:lang w:val="en-US"/>
        </w:rPr>
        <w:t>4.13  Joint account data the data holder is authorised to disclose</w:t>
      </w:r>
      <w:r>
        <w:rPr>
          <w:noProof/>
        </w:rPr>
        <w:tab/>
      </w:r>
      <w:r>
        <w:rPr>
          <w:noProof/>
        </w:rPr>
        <w:fldChar w:fldCharType="begin"/>
      </w:r>
      <w:r>
        <w:rPr>
          <w:noProof/>
        </w:rPr>
        <w:instrText xml:space="preserve"> PAGEREF _Toc77065109 \h </w:instrText>
      </w:r>
      <w:r>
        <w:rPr>
          <w:noProof/>
        </w:rPr>
      </w:r>
      <w:r>
        <w:rPr>
          <w:noProof/>
        </w:rPr>
        <w:fldChar w:fldCharType="separate"/>
      </w:r>
      <w:r w:rsidR="002F429D">
        <w:rPr>
          <w:noProof/>
        </w:rPr>
        <w:t>183</w:t>
      </w:r>
      <w:r>
        <w:rPr>
          <w:noProof/>
        </w:rPr>
        <w:fldChar w:fldCharType="end"/>
      </w:r>
    </w:p>
    <w:p w14:paraId="293114E9" w14:textId="51D9CACE"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4.14  Consumer dashboard for relevant account holders</w:t>
      </w:r>
      <w:r>
        <w:rPr>
          <w:noProof/>
        </w:rPr>
        <w:tab/>
      </w:r>
      <w:r>
        <w:rPr>
          <w:noProof/>
        </w:rPr>
        <w:fldChar w:fldCharType="begin"/>
      </w:r>
      <w:r>
        <w:rPr>
          <w:noProof/>
        </w:rPr>
        <w:instrText xml:space="preserve"> PAGEREF _Toc77065110 \h </w:instrText>
      </w:r>
      <w:r>
        <w:rPr>
          <w:noProof/>
        </w:rPr>
      </w:r>
      <w:r>
        <w:rPr>
          <w:noProof/>
        </w:rPr>
        <w:fldChar w:fldCharType="separate"/>
      </w:r>
      <w:r w:rsidR="002F429D">
        <w:rPr>
          <w:noProof/>
        </w:rPr>
        <w:t>183</w:t>
      </w:r>
      <w:r>
        <w:rPr>
          <w:noProof/>
        </w:rPr>
        <w:fldChar w:fldCharType="end"/>
      </w:r>
    </w:p>
    <w:p w14:paraId="5AFBED35" w14:textId="3AB9A4A6"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4.15  Consumer dashboard for the requester</w:t>
      </w:r>
      <w:r>
        <w:rPr>
          <w:noProof/>
        </w:rPr>
        <w:tab/>
      </w:r>
      <w:r>
        <w:rPr>
          <w:noProof/>
        </w:rPr>
        <w:fldChar w:fldCharType="begin"/>
      </w:r>
      <w:r>
        <w:rPr>
          <w:noProof/>
        </w:rPr>
        <w:instrText xml:space="preserve"> PAGEREF _Toc77065111 \h </w:instrText>
      </w:r>
      <w:r>
        <w:rPr>
          <w:noProof/>
        </w:rPr>
      </w:r>
      <w:r>
        <w:rPr>
          <w:noProof/>
        </w:rPr>
        <w:fldChar w:fldCharType="separate"/>
      </w:r>
      <w:r w:rsidR="002F429D">
        <w:rPr>
          <w:noProof/>
        </w:rPr>
        <w:t>184</w:t>
      </w:r>
      <w:r>
        <w:rPr>
          <w:noProof/>
        </w:rPr>
        <w:fldChar w:fldCharType="end"/>
      </w:r>
    </w:p>
    <w:p w14:paraId="0DC7FDCC" w14:textId="171634AB" w:rsidR="000F7228" w:rsidRDefault="000F7228">
      <w:pPr>
        <w:pStyle w:val="TOC5"/>
        <w:rPr>
          <w:rFonts w:asciiTheme="minorHAnsi" w:eastAsiaTheme="minorEastAsia" w:hAnsiTheme="minorHAnsi" w:cstheme="minorBidi"/>
          <w:noProof/>
          <w:kern w:val="0"/>
          <w:sz w:val="22"/>
          <w:szCs w:val="22"/>
        </w:rPr>
      </w:pPr>
      <w:r w:rsidRPr="003C3E47">
        <w:rPr>
          <w:strike/>
          <w:noProof/>
          <w:color w:val="0000FF"/>
        </w:rPr>
        <w:t>4.16  Notification requirements for consumer data requests on joint accounts</w:t>
      </w:r>
      <w:r>
        <w:rPr>
          <w:noProof/>
        </w:rPr>
        <w:tab/>
      </w:r>
      <w:r>
        <w:rPr>
          <w:noProof/>
        </w:rPr>
        <w:fldChar w:fldCharType="begin"/>
      </w:r>
      <w:r>
        <w:rPr>
          <w:noProof/>
        </w:rPr>
        <w:instrText xml:space="preserve"> PAGEREF _Toc77065112 \h </w:instrText>
      </w:r>
      <w:r>
        <w:rPr>
          <w:noProof/>
        </w:rPr>
      </w:r>
      <w:r>
        <w:rPr>
          <w:noProof/>
        </w:rPr>
        <w:fldChar w:fldCharType="separate"/>
      </w:r>
      <w:r w:rsidR="002F429D">
        <w:rPr>
          <w:noProof/>
        </w:rPr>
        <w:t>184</w:t>
      </w:r>
      <w:r>
        <w:rPr>
          <w:noProof/>
        </w:rPr>
        <w:fldChar w:fldCharType="end"/>
      </w:r>
    </w:p>
    <w:p w14:paraId="4C603208" w14:textId="7AD2A7A1" w:rsidR="000F7228" w:rsidRDefault="000F7228">
      <w:pPr>
        <w:pStyle w:val="TOC2"/>
        <w:rPr>
          <w:rFonts w:asciiTheme="minorHAnsi" w:eastAsiaTheme="minorEastAsia" w:hAnsiTheme="minorHAnsi" w:cstheme="minorBidi"/>
          <w:b w:val="0"/>
          <w:noProof/>
          <w:kern w:val="0"/>
          <w:sz w:val="22"/>
          <w:szCs w:val="22"/>
        </w:rPr>
      </w:pPr>
      <w:r w:rsidRPr="003C3E47">
        <w:rPr>
          <w:noProof/>
          <w:color w:val="000000" w:themeColor="text1"/>
        </w:rPr>
        <w:t>Part 5—Internal dispute resolution―banking sector</w:t>
      </w:r>
      <w:r>
        <w:rPr>
          <w:noProof/>
        </w:rPr>
        <w:tab/>
      </w:r>
      <w:r>
        <w:rPr>
          <w:noProof/>
        </w:rPr>
        <w:fldChar w:fldCharType="begin"/>
      </w:r>
      <w:r>
        <w:rPr>
          <w:noProof/>
        </w:rPr>
        <w:instrText xml:space="preserve"> PAGEREF _Toc77065113 \h </w:instrText>
      </w:r>
      <w:r>
        <w:rPr>
          <w:noProof/>
        </w:rPr>
      </w:r>
      <w:r>
        <w:rPr>
          <w:noProof/>
        </w:rPr>
        <w:fldChar w:fldCharType="separate"/>
      </w:r>
      <w:r w:rsidR="002F429D">
        <w:rPr>
          <w:noProof/>
        </w:rPr>
        <w:t>186</w:t>
      </w:r>
      <w:r>
        <w:rPr>
          <w:noProof/>
        </w:rPr>
        <w:fldChar w:fldCharType="end"/>
      </w:r>
    </w:p>
    <w:p w14:paraId="216C3C38" w14:textId="0550F6DE" w:rsidR="000F7228" w:rsidRDefault="000F7228">
      <w:pPr>
        <w:pStyle w:val="TOC5"/>
        <w:rPr>
          <w:rFonts w:asciiTheme="minorHAnsi" w:eastAsiaTheme="minorEastAsia" w:hAnsiTheme="minorHAnsi" w:cstheme="minorBidi"/>
          <w:noProof/>
          <w:kern w:val="0"/>
          <w:sz w:val="22"/>
          <w:szCs w:val="22"/>
        </w:rPr>
      </w:pPr>
      <w:r w:rsidRPr="003C3E47">
        <w:rPr>
          <w:noProof/>
          <w:color w:val="FF0000"/>
        </w:rPr>
        <w:t>5.1  Meeting internal dispute resolution ―banking sector</w:t>
      </w:r>
      <w:r>
        <w:rPr>
          <w:noProof/>
        </w:rPr>
        <w:tab/>
      </w:r>
      <w:r>
        <w:rPr>
          <w:noProof/>
        </w:rPr>
        <w:fldChar w:fldCharType="begin"/>
      </w:r>
      <w:r>
        <w:rPr>
          <w:noProof/>
        </w:rPr>
        <w:instrText xml:space="preserve"> PAGEREF _Toc77065114 \h </w:instrText>
      </w:r>
      <w:r>
        <w:rPr>
          <w:noProof/>
        </w:rPr>
      </w:r>
      <w:r>
        <w:rPr>
          <w:noProof/>
        </w:rPr>
        <w:fldChar w:fldCharType="separate"/>
      </w:r>
      <w:r w:rsidR="002F429D">
        <w:rPr>
          <w:noProof/>
        </w:rPr>
        <w:t>186</w:t>
      </w:r>
      <w:r>
        <w:rPr>
          <w:noProof/>
        </w:rPr>
        <w:fldChar w:fldCharType="end"/>
      </w:r>
    </w:p>
    <w:p w14:paraId="504EE59E" w14:textId="4773B5F0" w:rsidR="000F7228" w:rsidRDefault="000F7228">
      <w:pPr>
        <w:pStyle w:val="TOC5"/>
        <w:rPr>
          <w:rFonts w:asciiTheme="minorHAnsi" w:eastAsiaTheme="minorEastAsia" w:hAnsiTheme="minorHAnsi" w:cstheme="minorBidi"/>
          <w:noProof/>
          <w:kern w:val="0"/>
          <w:sz w:val="22"/>
          <w:szCs w:val="22"/>
        </w:rPr>
      </w:pPr>
      <w:r w:rsidRPr="003C3E47">
        <w:rPr>
          <w:strike/>
          <w:noProof/>
          <w:color w:val="FF0000"/>
        </w:rPr>
        <w:lastRenderedPageBreak/>
        <w:t>5.1  Internal dispute resolution―banking sector</w:t>
      </w:r>
      <w:r>
        <w:rPr>
          <w:noProof/>
        </w:rPr>
        <w:tab/>
      </w:r>
      <w:r>
        <w:rPr>
          <w:noProof/>
        </w:rPr>
        <w:fldChar w:fldCharType="begin"/>
      </w:r>
      <w:r>
        <w:rPr>
          <w:noProof/>
        </w:rPr>
        <w:instrText xml:space="preserve"> PAGEREF _Toc77065115 \h </w:instrText>
      </w:r>
      <w:r>
        <w:rPr>
          <w:noProof/>
        </w:rPr>
      </w:r>
      <w:r>
        <w:rPr>
          <w:noProof/>
        </w:rPr>
        <w:fldChar w:fldCharType="separate"/>
      </w:r>
      <w:r w:rsidR="002F429D">
        <w:rPr>
          <w:noProof/>
        </w:rPr>
        <w:t>186</w:t>
      </w:r>
      <w:r>
        <w:rPr>
          <w:noProof/>
        </w:rPr>
        <w:fldChar w:fldCharType="end"/>
      </w:r>
    </w:p>
    <w:p w14:paraId="7DCBBDDB" w14:textId="4CF66074" w:rsidR="000F7228" w:rsidRDefault="000F7228">
      <w:pPr>
        <w:pStyle w:val="TOC2"/>
        <w:rPr>
          <w:rFonts w:asciiTheme="minorHAnsi" w:eastAsiaTheme="minorEastAsia" w:hAnsiTheme="minorHAnsi" w:cstheme="minorBidi"/>
          <w:b w:val="0"/>
          <w:noProof/>
          <w:kern w:val="0"/>
          <w:sz w:val="22"/>
          <w:szCs w:val="22"/>
        </w:rPr>
      </w:pPr>
      <w:r>
        <w:rPr>
          <w:noProof/>
        </w:rPr>
        <w:t>Part 6—Staged application of these rules to the banking sector</w:t>
      </w:r>
      <w:r>
        <w:rPr>
          <w:noProof/>
        </w:rPr>
        <w:tab/>
      </w:r>
      <w:r>
        <w:rPr>
          <w:noProof/>
        </w:rPr>
        <w:fldChar w:fldCharType="begin"/>
      </w:r>
      <w:r>
        <w:rPr>
          <w:noProof/>
        </w:rPr>
        <w:instrText xml:space="preserve"> PAGEREF _Toc77065116 \h </w:instrText>
      </w:r>
      <w:r>
        <w:rPr>
          <w:noProof/>
        </w:rPr>
      </w:r>
      <w:r>
        <w:rPr>
          <w:noProof/>
        </w:rPr>
        <w:fldChar w:fldCharType="separate"/>
      </w:r>
      <w:r w:rsidR="002F429D">
        <w:rPr>
          <w:noProof/>
        </w:rPr>
        <w:t>187</w:t>
      </w:r>
      <w:r>
        <w:rPr>
          <w:noProof/>
        </w:rPr>
        <w:fldChar w:fldCharType="end"/>
      </w:r>
    </w:p>
    <w:p w14:paraId="0C3F6423" w14:textId="676059E7" w:rsidR="000F7228" w:rsidRDefault="000F7228">
      <w:pPr>
        <w:pStyle w:val="TOC3"/>
        <w:rPr>
          <w:rFonts w:asciiTheme="minorHAnsi" w:eastAsiaTheme="minorEastAsia" w:hAnsiTheme="minorHAnsi" w:cstheme="minorBidi"/>
          <w:b w:val="0"/>
          <w:noProof/>
          <w:kern w:val="0"/>
          <w:szCs w:val="22"/>
        </w:rPr>
      </w:pPr>
      <w:r>
        <w:rPr>
          <w:noProof/>
        </w:rPr>
        <w:t>Division 6.1—Preliminary</w:t>
      </w:r>
      <w:r>
        <w:rPr>
          <w:noProof/>
        </w:rPr>
        <w:tab/>
      </w:r>
      <w:r>
        <w:rPr>
          <w:noProof/>
        </w:rPr>
        <w:fldChar w:fldCharType="begin"/>
      </w:r>
      <w:r>
        <w:rPr>
          <w:noProof/>
        </w:rPr>
        <w:instrText xml:space="preserve"> PAGEREF _Toc77065117 \h </w:instrText>
      </w:r>
      <w:r>
        <w:rPr>
          <w:noProof/>
        </w:rPr>
      </w:r>
      <w:r>
        <w:rPr>
          <w:noProof/>
        </w:rPr>
        <w:fldChar w:fldCharType="separate"/>
      </w:r>
      <w:r w:rsidR="002F429D">
        <w:rPr>
          <w:noProof/>
        </w:rPr>
        <w:t>187</w:t>
      </w:r>
      <w:r>
        <w:rPr>
          <w:noProof/>
        </w:rPr>
        <w:fldChar w:fldCharType="end"/>
      </w:r>
    </w:p>
    <w:p w14:paraId="76F143A4" w14:textId="3B24F7DF" w:rsidR="000F7228" w:rsidRDefault="000F7228">
      <w:pPr>
        <w:pStyle w:val="TOC5"/>
        <w:rPr>
          <w:rFonts w:asciiTheme="minorHAnsi" w:eastAsiaTheme="minorEastAsia" w:hAnsiTheme="minorHAnsi" w:cstheme="minorBidi"/>
          <w:noProof/>
          <w:kern w:val="0"/>
          <w:sz w:val="22"/>
          <w:szCs w:val="22"/>
        </w:rPr>
      </w:pPr>
      <w:r>
        <w:rPr>
          <w:noProof/>
        </w:rPr>
        <w:t>6.1  Interpretation</w:t>
      </w:r>
      <w:r>
        <w:rPr>
          <w:noProof/>
        </w:rPr>
        <w:tab/>
      </w:r>
      <w:r>
        <w:rPr>
          <w:noProof/>
        </w:rPr>
        <w:fldChar w:fldCharType="begin"/>
      </w:r>
      <w:r>
        <w:rPr>
          <w:noProof/>
        </w:rPr>
        <w:instrText xml:space="preserve"> PAGEREF _Toc77065118 \h </w:instrText>
      </w:r>
      <w:r>
        <w:rPr>
          <w:noProof/>
        </w:rPr>
      </w:r>
      <w:r>
        <w:rPr>
          <w:noProof/>
        </w:rPr>
        <w:fldChar w:fldCharType="separate"/>
      </w:r>
      <w:r w:rsidR="002F429D">
        <w:rPr>
          <w:noProof/>
        </w:rPr>
        <w:t>187</w:t>
      </w:r>
      <w:r>
        <w:rPr>
          <w:noProof/>
        </w:rPr>
        <w:fldChar w:fldCharType="end"/>
      </w:r>
    </w:p>
    <w:p w14:paraId="20BCDBDF" w14:textId="5D21981B" w:rsidR="000F7228" w:rsidRDefault="000F7228">
      <w:pPr>
        <w:pStyle w:val="TOC5"/>
        <w:rPr>
          <w:rFonts w:asciiTheme="minorHAnsi" w:eastAsiaTheme="minorEastAsia" w:hAnsiTheme="minorHAnsi" w:cstheme="minorBidi"/>
          <w:noProof/>
          <w:kern w:val="0"/>
          <w:sz w:val="22"/>
          <w:szCs w:val="22"/>
        </w:rPr>
      </w:pPr>
      <w:r>
        <w:rPr>
          <w:noProof/>
        </w:rPr>
        <w:t xml:space="preserve">6.2  Meaning of </w:t>
      </w:r>
      <w:r w:rsidRPr="003C3E47">
        <w:rPr>
          <w:i/>
          <w:noProof/>
        </w:rPr>
        <w:t>initial data holder</w:t>
      </w:r>
      <w:r>
        <w:rPr>
          <w:noProof/>
        </w:rPr>
        <w:t>,</w:t>
      </w:r>
      <w:r w:rsidRPr="003C3E47">
        <w:rPr>
          <w:i/>
          <w:noProof/>
        </w:rPr>
        <w:t xml:space="preserve"> accredited ADI</w:t>
      </w:r>
      <w:r>
        <w:rPr>
          <w:noProof/>
        </w:rPr>
        <w:t xml:space="preserve">, </w:t>
      </w:r>
      <w:r w:rsidRPr="003C3E47">
        <w:rPr>
          <w:i/>
          <w:noProof/>
        </w:rPr>
        <w:t>any other relevant ADI</w:t>
      </w:r>
      <w:r>
        <w:rPr>
          <w:noProof/>
        </w:rPr>
        <w:t xml:space="preserve"> and </w:t>
      </w:r>
      <w:r w:rsidRPr="003C3E47">
        <w:rPr>
          <w:i/>
          <w:noProof/>
        </w:rPr>
        <w:t>accredited non</w:t>
      </w:r>
      <w:r w:rsidRPr="003C3E47">
        <w:rPr>
          <w:i/>
          <w:noProof/>
        </w:rPr>
        <w:noBreakHyphen/>
        <w:t>ADI</w:t>
      </w:r>
      <w:r>
        <w:rPr>
          <w:noProof/>
        </w:rPr>
        <w:tab/>
      </w:r>
      <w:r>
        <w:rPr>
          <w:noProof/>
        </w:rPr>
        <w:fldChar w:fldCharType="begin"/>
      </w:r>
      <w:r>
        <w:rPr>
          <w:noProof/>
        </w:rPr>
        <w:instrText xml:space="preserve"> PAGEREF _Toc77065119 \h </w:instrText>
      </w:r>
      <w:r>
        <w:rPr>
          <w:noProof/>
        </w:rPr>
      </w:r>
      <w:r>
        <w:rPr>
          <w:noProof/>
        </w:rPr>
        <w:fldChar w:fldCharType="separate"/>
      </w:r>
      <w:r w:rsidR="002F429D">
        <w:rPr>
          <w:noProof/>
        </w:rPr>
        <w:t>187</w:t>
      </w:r>
      <w:r>
        <w:rPr>
          <w:noProof/>
        </w:rPr>
        <w:fldChar w:fldCharType="end"/>
      </w:r>
    </w:p>
    <w:p w14:paraId="084BC611" w14:textId="49FE5706" w:rsidR="000F7228" w:rsidRDefault="000F7228">
      <w:pPr>
        <w:pStyle w:val="TOC3"/>
        <w:rPr>
          <w:rFonts w:asciiTheme="minorHAnsi" w:eastAsiaTheme="minorEastAsia" w:hAnsiTheme="minorHAnsi" w:cstheme="minorBidi"/>
          <w:b w:val="0"/>
          <w:noProof/>
          <w:kern w:val="0"/>
          <w:szCs w:val="22"/>
        </w:rPr>
      </w:pPr>
      <w:r w:rsidRPr="003C3E47">
        <w:rPr>
          <w:noProof/>
          <w:color w:val="000000" w:themeColor="text1"/>
        </w:rPr>
        <w:t>Division 6.2—Staged application of rules</w:t>
      </w:r>
      <w:r>
        <w:rPr>
          <w:noProof/>
        </w:rPr>
        <w:tab/>
      </w:r>
      <w:r>
        <w:rPr>
          <w:noProof/>
        </w:rPr>
        <w:fldChar w:fldCharType="begin"/>
      </w:r>
      <w:r>
        <w:rPr>
          <w:noProof/>
        </w:rPr>
        <w:instrText xml:space="preserve"> PAGEREF _Toc77065120 \h </w:instrText>
      </w:r>
      <w:r>
        <w:rPr>
          <w:noProof/>
        </w:rPr>
      </w:r>
      <w:r>
        <w:rPr>
          <w:noProof/>
        </w:rPr>
        <w:fldChar w:fldCharType="separate"/>
      </w:r>
      <w:r w:rsidR="002F429D">
        <w:rPr>
          <w:noProof/>
        </w:rPr>
        <w:t>189</w:t>
      </w:r>
      <w:r>
        <w:rPr>
          <w:noProof/>
        </w:rPr>
        <w:fldChar w:fldCharType="end"/>
      </w:r>
    </w:p>
    <w:p w14:paraId="5DFA3BA9" w14:textId="42319836" w:rsidR="000F7228" w:rsidRDefault="000F7228">
      <w:pPr>
        <w:pStyle w:val="TOC5"/>
        <w:rPr>
          <w:rFonts w:asciiTheme="minorHAnsi" w:eastAsiaTheme="minorEastAsia" w:hAnsiTheme="minorHAnsi" w:cstheme="minorBidi"/>
          <w:noProof/>
          <w:kern w:val="0"/>
          <w:sz w:val="22"/>
          <w:szCs w:val="22"/>
        </w:rPr>
      </w:pPr>
      <w:r>
        <w:rPr>
          <w:noProof/>
        </w:rPr>
        <w:t>6.4  Staged application of rules―requirement to disclose CDR data</w:t>
      </w:r>
      <w:r>
        <w:rPr>
          <w:noProof/>
        </w:rPr>
        <w:tab/>
      </w:r>
      <w:r>
        <w:rPr>
          <w:noProof/>
        </w:rPr>
        <w:fldChar w:fldCharType="begin"/>
      </w:r>
      <w:r>
        <w:rPr>
          <w:noProof/>
        </w:rPr>
        <w:instrText xml:space="preserve"> PAGEREF _Toc77065121 \h </w:instrText>
      </w:r>
      <w:r>
        <w:rPr>
          <w:noProof/>
        </w:rPr>
      </w:r>
      <w:r>
        <w:rPr>
          <w:noProof/>
        </w:rPr>
        <w:fldChar w:fldCharType="separate"/>
      </w:r>
      <w:r w:rsidR="002F429D">
        <w:rPr>
          <w:noProof/>
        </w:rPr>
        <w:t>189</w:t>
      </w:r>
      <w:r>
        <w:rPr>
          <w:noProof/>
        </w:rPr>
        <w:fldChar w:fldCharType="end"/>
      </w:r>
    </w:p>
    <w:p w14:paraId="63CFB927" w14:textId="0C4EF7AE" w:rsidR="000F7228" w:rsidRDefault="000F7228">
      <w:pPr>
        <w:pStyle w:val="TOC5"/>
        <w:rPr>
          <w:rFonts w:asciiTheme="minorHAnsi" w:eastAsiaTheme="minorEastAsia" w:hAnsiTheme="minorHAnsi" w:cstheme="minorBidi"/>
          <w:noProof/>
          <w:kern w:val="0"/>
          <w:sz w:val="22"/>
          <w:szCs w:val="22"/>
        </w:rPr>
      </w:pPr>
      <w:r>
        <w:rPr>
          <w:noProof/>
        </w:rPr>
        <w:t>6.5  Authorisation to disclose CDR data before required to do so</w:t>
      </w:r>
      <w:r>
        <w:rPr>
          <w:noProof/>
        </w:rPr>
        <w:tab/>
      </w:r>
      <w:r>
        <w:rPr>
          <w:noProof/>
        </w:rPr>
        <w:fldChar w:fldCharType="begin"/>
      </w:r>
      <w:r>
        <w:rPr>
          <w:noProof/>
        </w:rPr>
        <w:instrText xml:space="preserve"> PAGEREF _Toc77065122 \h </w:instrText>
      </w:r>
      <w:r>
        <w:rPr>
          <w:noProof/>
        </w:rPr>
      </w:r>
      <w:r>
        <w:rPr>
          <w:noProof/>
        </w:rPr>
        <w:fldChar w:fldCharType="separate"/>
      </w:r>
      <w:r w:rsidR="002F429D">
        <w:rPr>
          <w:noProof/>
        </w:rPr>
        <w:t>189</w:t>
      </w:r>
      <w:r>
        <w:rPr>
          <w:noProof/>
        </w:rPr>
        <w:fldChar w:fldCharType="end"/>
      </w:r>
    </w:p>
    <w:p w14:paraId="32FF098D" w14:textId="77979EA5" w:rsidR="000F7228" w:rsidRDefault="000F7228">
      <w:pPr>
        <w:pStyle w:val="TOC5"/>
        <w:rPr>
          <w:rFonts w:asciiTheme="minorHAnsi" w:eastAsiaTheme="minorEastAsia" w:hAnsiTheme="minorHAnsi" w:cstheme="minorBidi"/>
          <w:noProof/>
          <w:kern w:val="0"/>
          <w:sz w:val="22"/>
          <w:szCs w:val="22"/>
        </w:rPr>
      </w:pPr>
      <w:r>
        <w:rPr>
          <w:noProof/>
        </w:rPr>
        <w:t>6.6  Commencement table</w:t>
      </w:r>
      <w:r>
        <w:rPr>
          <w:noProof/>
        </w:rPr>
        <w:tab/>
      </w:r>
      <w:r>
        <w:rPr>
          <w:noProof/>
        </w:rPr>
        <w:fldChar w:fldCharType="begin"/>
      </w:r>
      <w:r>
        <w:rPr>
          <w:noProof/>
        </w:rPr>
        <w:instrText xml:space="preserve"> PAGEREF _Toc77065123 \h </w:instrText>
      </w:r>
      <w:r>
        <w:rPr>
          <w:noProof/>
        </w:rPr>
      </w:r>
      <w:r>
        <w:rPr>
          <w:noProof/>
        </w:rPr>
        <w:fldChar w:fldCharType="separate"/>
      </w:r>
      <w:r w:rsidR="002F429D">
        <w:rPr>
          <w:noProof/>
        </w:rPr>
        <w:t>191</w:t>
      </w:r>
      <w:r>
        <w:rPr>
          <w:noProof/>
        </w:rPr>
        <w:fldChar w:fldCharType="end"/>
      </w:r>
    </w:p>
    <w:p w14:paraId="7D1E2DC7" w14:textId="451A6AF8" w:rsidR="000F7228" w:rsidRDefault="000F7228">
      <w:pPr>
        <w:pStyle w:val="TOC5"/>
        <w:rPr>
          <w:rFonts w:asciiTheme="minorHAnsi" w:eastAsiaTheme="minorEastAsia" w:hAnsiTheme="minorHAnsi" w:cstheme="minorBidi"/>
          <w:noProof/>
          <w:kern w:val="0"/>
          <w:sz w:val="22"/>
          <w:szCs w:val="22"/>
        </w:rPr>
      </w:pPr>
      <w:r>
        <w:rPr>
          <w:noProof/>
        </w:rPr>
        <w:t>6.7  Application of certain rules</w:t>
      </w:r>
      <w:r>
        <w:rPr>
          <w:noProof/>
        </w:rPr>
        <w:tab/>
      </w:r>
      <w:r>
        <w:rPr>
          <w:noProof/>
        </w:rPr>
        <w:fldChar w:fldCharType="begin"/>
      </w:r>
      <w:r>
        <w:rPr>
          <w:noProof/>
        </w:rPr>
        <w:instrText xml:space="preserve"> PAGEREF _Toc77065124 \h </w:instrText>
      </w:r>
      <w:r>
        <w:rPr>
          <w:noProof/>
        </w:rPr>
      </w:r>
      <w:r>
        <w:rPr>
          <w:noProof/>
        </w:rPr>
        <w:fldChar w:fldCharType="separate"/>
      </w:r>
      <w:r w:rsidR="002F429D">
        <w:rPr>
          <w:noProof/>
        </w:rPr>
        <w:t>192</w:t>
      </w:r>
      <w:r>
        <w:rPr>
          <w:noProof/>
        </w:rPr>
        <w:fldChar w:fldCharType="end"/>
      </w:r>
    </w:p>
    <w:p w14:paraId="09CF170B" w14:textId="41EF466F" w:rsidR="000F7228" w:rsidRDefault="000F7228">
      <w:pPr>
        <w:pStyle w:val="TOC2"/>
        <w:rPr>
          <w:rFonts w:asciiTheme="minorHAnsi" w:eastAsiaTheme="minorEastAsia" w:hAnsiTheme="minorHAnsi" w:cstheme="minorBidi"/>
          <w:b w:val="0"/>
          <w:noProof/>
          <w:kern w:val="0"/>
          <w:sz w:val="22"/>
          <w:szCs w:val="22"/>
        </w:rPr>
      </w:pPr>
      <w:r w:rsidRPr="003C3E47">
        <w:rPr>
          <w:noProof/>
          <w:color w:val="000000" w:themeColor="text1"/>
        </w:rPr>
        <w:t xml:space="preserve">Part 7—Other </w:t>
      </w:r>
      <w:r>
        <w:rPr>
          <w:noProof/>
        </w:rPr>
        <w:t>rules, and modifications of these rules, for the banking sector</w:t>
      </w:r>
      <w:r>
        <w:rPr>
          <w:noProof/>
        </w:rPr>
        <w:tab/>
      </w:r>
      <w:r>
        <w:rPr>
          <w:noProof/>
        </w:rPr>
        <w:fldChar w:fldCharType="begin"/>
      </w:r>
      <w:r>
        <w:rPr>
          <w:noProof/>
        </w:rPr>
        <w:instrText xml:space="preserve"> PAGEREF _Toc77065125 \h </w:instrText>
      </w:r>
      <w:r>
        <w:rPr>
          <w:noProof/>
        </w:rPr>
      </w:r>
      <w:r>
        <w:rPr>
          <w:noProof/>
        </w:rPr>
        <w:fldChar w:fldCharType="separate"/>
      </w:r>
      <w:r w:rsidR="002F429D">
        <w:rPr>
          <w:noProof/>
        </w:rPr>
        <w:t>194</w:t>
      </w:r>
      <w:r>
        <w:rPr>
          <w:noProof/>
        </w:rPr>
        <w:fldChar w:fldCharType="end"/>
      </w:r>
    </w:p>
    <w:p w14:paraId="68B3BC43" w14:textId="7B8935BF" w:rsidR="000F7228" w:rsidRDefault="000F7228">
      <w:pPr>
        <w:pStyle w:val="TOC5"/>
        <w:rPr>
          <w:rFonts w:asciiTheme="minorHAnsi" w:eastAsiaTheme="minorEastAsia" w:hAnsiTheme="minorHAnsi" w:cstheme="minorBidi"/>
          <w:noProof/>
          <w:kern w:val="0"/>
          <w:sz w:val="22"/>
          <w:szCs w:val="22"/>
        </w:rPr>
      </w:pPr>
      <w:r>
        <w:rPr>
          <w:noProof/>
        </w:rPr>
        <w:t>7.1  Laws relevant to the management of CDR data—banking sector</w:t>
      </w:r>
      <w:r>
        <w:rPr>
          <w:noProof/>
        </w:rPr>
        <w:tab/>
      </w:r>
      <w:r>
        <w:rPr>
          <w:noProof/>
        </w:rPr>
        <w:fldChar w:fldCharType="begin"/>
      </w:r>
      <w:r>
        <w:rPr>
          <w:noProof/>
        </w:rPr>
        <w:instrText xml:space="preserve"> PAGEREF _Toc77065126 \h </w:instrText>
      </w:r>
      <w:r>
        <w:rPr>
          <w:noProof/>
        </w:rPr>
      </w:r>
      <w:r>
        <w:rPr>
          <w:noProof/>
        </w:rPr>
        <w:fldChar w:fldCharType="separate"/>
      </w:r>
      <w:r w:rsidR="002F429D">
        <w:rPr>
          <w:noProof/>
        </w:rPr>
        <w:t>194</w:t>
      </w:r>
      <w:r>
        <w:rPr>
          <w:noProof/>
        </w:rPr>
        <w:fldChar w:fldCharType="end"/>
      </w:r>
    </w:p>
    <w:p w14:paraId="524A4A2E" w14:textId="790BDCD0" w:rsidR="000F7228" w:rsidRDefault="000F7228">
      <w:pPr>
        <w:pStyle w:val="TOC5"/>
        <w:rPr>
          <w:rFonts w:asciiTheme="minorHAnsi" w:eastAsiaTheme="minorEastAsia" w:hAnsiTheme="minorHAnsi" w:cstheme="minorBidi"/>
          <w:noProof/>
          <w:kern w:val="0"/>
          <w:sz w:val="22"/>
          <w:szCs w:val="22"/>
        </w:rPr>
      </w:pPr>
      <w:r>
        <w:rPr>
          <w:noProof/>
        </w:rPr>
        <w:t>7.2  Conditions for accredited person to be data holder</w:t>
      </w:r>
      <w:r>
        <w:rPr>
          <w:noProof/>
        </w:rPr>
        <w:tab/>
      </w:r>
      <w:r>
        <w:rPr>
          <w:noProof/>
        </w:rPr>
        <w:fldChar w:fldCharType="begin"/>
      </w:r>
      <w:r>
        <w:rPr>
          <w:noProof/>
        </w:rPr>
        <w:instrText xml:space="preserve"> PAGEREF _Toc77065127 \h </w:instrText>
      </w:r>
      <w:r>
        <w:rPr>
          <w:noProof/>
        </w:rPr>
      </w:r>
      <w:r>
        <w:rPr>
          <w:noProof/>
        </w:rPr>
        <w:fldChar w:fldCharType="separate"/>
      </w:r>
      <w:r w:rsidR="002F429D">
        <w:rPr>
          <w:noProof/>
        </w:rPr>
        <w:t>194</w:t>
      </w:r>
      <w:r>
        <w:rPr>
          <w:noProof/>
        </w:rPr>
        <w:fldChar w:fldCharType="end"/>
      </w:r>
    </w:p>
    <w:p w14:paraId="070C9983" w14:textId="78FD2464"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7.3  Streamlined accreditation—banking sector</w:t>
      </w:r>
      <w:r>
        <w:rPr>
          <w:noProof/>
        </w:rPr>
        <w:tab/>
      </w:r>
      <w:r>
        <w:rPr>
          <w:noProof/>
        </w:rPr>
        <w:fldChar w:fldCharType="begin"/>
      </w:r>
      <w:r>
        <w:rPr>
          <w:noProof/>
        </w:rPr>
        <w:instrText xml:space="preserve"> PAGEREF _Toc77065128 \h </w:instrText>
      </w:r>
      <w:r>
        <w:rPr>
          <w:noProof/>
        </w:rPr>
      </w:r>
      <w:r>
        <w:rPr>
          <w:noProof/>
        </w:rPr>
        <w:fldChar w:fldCharType="separate"/>
      </w:r>
      <w:r w:rsidR="002F429D">
        <w:rPr>
          <w:noProof/>
        </w:rPr>
        <w:t>195</w:t>
      </w:r>
      <w:r>
        <w:rPr>
          <w:noProof/>
        </w:rPr>
        <w:fldChar w:fldCharType="end"/>
      </w:r>
    </w:p>
    <w:p w14:paraId="0969DF0E" w14:textId="5A1D2252" w:rsidR="000F7228" w:rsidRDefault="000F7228">
      <w:pPr>
        <w:pStyle w:val="TOC5"/>
        <w:rPr>
          <w:rFonts w:asciiTheme="minorHAnsi" w:eastAsiaTheme="minorEastAsia" w:hAnsiTheme="minorHAnsi" w:cstheme="minorBidi"/>
          <w:noProof/>
          <w:kern w:val="0"/>
          <w:sz w:val="22"/>
          <w:szCs w:val="22"/>
        </w:rPr>
      </w:pPr>
      <w:r w:rsidRPr="003C3E47">
        <w:rPr>
          <w:noProof/>
          <w:color w:val="000000" w:themeColor="text1"/>
        </w:rPr>
        <w:t>7.4  Exemptions to accreditation criteria—banking sector</w:t>
      </w:r>
      <w:r>
        <w:rPr>
          <w:noProof/>
        </w:rPr>
        <w:tab/>
      </w:r>
      <w:r>
        <w:rPr>
          <w:noProof/>
        </w:rPr>
        <w:fldChar w:fldCharType="begin"/>
      </w:r>
      <w:r>
        <w:rPr>
          <w:noProof/>
        </w:rPr>
        <w:instrText xml:space="preserve"> PAGEREF _Toc77065129 \h </w:instrText>
      </w:r>
      <w:r>
        <w:rPr>
          <w:noProof/>
        </w:rPr>
      </w:r>
      <w:r>
        <w:rPr>
          <w:noProof/>
        </w:rPr>
        <w:fldChar w:fldCharType="separate"/>
      </w:r>
      <w:r w:rsidR="002F429D">
        <w:rPr>
          <w:noProof/>
        </w:rPr>
        <w:t>195</w:t>
      </w:r>
      <w:r>
        <w:rPr>
          <w:noProof/>
        </w:rPr>
        <w:fldChar w:fldCharType="end"/>
      </w:r>
    </w:p>
    <w:p w14:paraId="3D9ED2DC" w14:textId="52E4D375" w:rsidR="000F7228" w:rsidRDefault="000F7228">
      <w:pPr>
        <w:pStyle w:val="TOC5"/>
        <w:rPr>
          <w:rFonts w:asciiTheme="minorHAnsi" w:eastAsiaTheme="minorEastAsia" w:hAnsiTheme="minorHAnsi" w:cstheme="minorBidi"/>
          <w:noProof/>
          <w:kern w:val="0"/>
          <w:sz w:val="22"/>
          <w:szCs w:val="22"/>
        </w:rPr>
      </w:pPr>
      <w:r w:rsidRPr="003C3E47">
        <w:rPr>
          <w:noProof/>
          <w:color w:val="FF0000"/>
        </w:rPr>
        <w:t>7.5  Grounds for revocation, suspension and surrender of accreditation—banking sector</w:t>
      </w:r>
      <w:r>
        <w:rPr>
          <w:noProof/>
        </w:rPr>
        <w:tab/>
      </w:r>
      <w:r>
        <w:rPr>
          <w:noProof/>
        </w:rPr>
        <w:fldChar w:fldCharType="begin"/>
      </w:r>
      <w:r>
        <w:rPr>
          <w:noProof/>
        </w:rPr>
        <w:instrText xml:space="preserve"> PAGEREF _Toc77065130 \h </w:instrText>
      </w:r>
      <w:r>
        <w:rPr>
          <w:noProof/>
        </w:rPr>
      </w:r>
      <w:r>
        <w:rPr>
          <w:noProof/>
        </w:rPr>
        <w:fldChar w:fldCharType="separate"/>
      </w:r>
      <w:r w:rsidR="002F429D">
        <w:rPr>
          <w:noProof/>
        </w:rPr>
        <w:t>195</w:t>
      </w:r>
      <w:r>
        <w:rPr>
          <w:noProof/>
        </w:rPr>
        <w:fldChar w:fldCharType="end"/>
      </w:r>
    </w:p>
    <w:p w14:paraId="110C134C" w14:textId="6A2EA5FE" w:rsidR="000F7228" w:rsidRDefault="000F7228">
      <w:pPr>
        <w:pStyle w:val="TOC1"/>
        <w:rPr>
          <w:rFonts w:asciiTheme="minorHAnsi" w:eastAsiaTheme="minorEastAsia" w:hAnsiTheme="minorHAnsi" w:cstheme="minorBidi"/>
          <w:b w:val="0"/>
          <w:noProof/>
          <w:kern w:val="0"/>
          <w:sz w:val="22"/>
          <w:szCs w:val="22"/>
        </w:rPr>
      </w:pPr>
      <w:r w:rsidRPr="003C3E47">
        <w:rPr>
          <w:noProof/>
          <w:color w:val="FF0000"/>
        </w:rPr>
        <w:t>Schedule 4—Provisions relevant to the energy sector</w:t>
      </w:r>
      <w:r>
        <w:rPr>
          <w:noProof/>
        </w:rPr>
        <w:tab/>
      </w:r>
      <w:r>
        <w:rPr>
          <w:noProof/>
        </w:rPr>
        <w:fldChar w:fldCharType="begin"/>
      </w:r>
      <w:r>
        <w:rPr>
          <w:noProof/>
        </w:rPr>
        <w:instrText xml:space="preserve"> PAGEREF _Toc77065131 \h </w:instrText>
      </w:r>
      <w:r>
        <w:rPr>
          <w:noProof/>
        </w:rPr>
      </w:r>
      <w:r>
        <w:rPr>
          <w:noProof/>
        </w:rPr>
        <w:fldChar w:fldCharType="separate"/>
      </w:r>
      <w:r w:rsidR="002F429D">
        <w:rPr>
          <w:noProof/>
        </w:rPr>
        <w:t>196</w:t>
      </w:r>
      <w:r>
        <w:rPr>
          <w:noProof/>
        </w:rPr>
        <w:fldChar w:fldCharType="end"/>
      </w:r>
    </w:p>
    <w:p w14:paraId="174D0821" w14:textId="7754BB54" w:rsidR="000F7228" w:rsidRDefault="000F7228">
      <w:pPr>
        <w:pStyle w:val="TOC2"/>
        <w:rPr>
          <w:rFonts w:asciiTheme="minorHAnsi" w:eastAsiaTheme="minorEastAsia" w:hAnsiTheme="minorHAnsi" w:cstheme="minorBidi"/>
          <w:b w:val="0"/>
          <w:noProof/>
          <w:kern w:val="0"/>
          <w:sz w:val="22"/>
          <w:szCs w:val="22"/>
        </w:rPr>
      </w:pPr>
      <w:r>
        <w:rPr>
          <w:noProof/>
        </w:rPr>
        <w:t xml:space="preserve">Part 1 </w:t>
      </w:r>
      <w:r w:rsidRPr="003C3E47">
        <w:rPr>
          <w:noProof/>
          <w:color w:val="FF0000"/>
        </w:rPr>
        <w:t>—Preliminary</w:t>
      </w:r>
      <w:r>
        <w:rPr>
          <w:noProof/>
        </w:rPr>
        <w:tab/>
      </w:r>
      <w:r>
        <w:rPr>
          <w:noProof/>
        </w:rPr>
        <w:fldChar w:fldCharType="begin"/>
      </w:r>
      <w:r>
        <w:rPr>
          <w:noProof/>
        </w:rPr>
        <w:instrText xml:space="preserve"> PAGEREF _Toc77065132 \h </w:instrText>
      </w:r>
      <w:r>
        <w:rPr>
          <w:noProof/>
        </w:rPr>
      </w:r>
      <w:r>
        <w:rPr>
          <w:noProof/>
        </w:rPr>
        <w:fldChar w:fldCharType="separate"/>
      </w:r>
      <w:r w:rsidR="002F429D">
        <w:rPr>
          <w:noProof/>
        </w:rPr>
        <w:t>196</w:t>
      </w:r>
      <w:r>
        <w:rPr>
          <w:noProof/>
        </w:rPr>
        <w:fldChar w:fldCharType="end"/>
      </w:r>
    </w:p>
    <w:p w14:paraId="013D9257" w14:textId="054D8A02" w:rsidR="000F7228" w:rsidRDefault="000F7228">
      <w:pPr>
        <w:pStyle w:val="TOC5"/>
        <w:rPr>
          <w:rFonts w:asciiTheme="minorHAnsi" w:eastAsiaTheme="minorEastAsia" w:hAnsiTheme="minorHAnsi" w:cstheme="minorBidi"/>
          <w:noProof/>
          <w:kern w:val="0"/>
          <w:sz w:val="22"/>
          <w:szCs w:val="22"/>
        </w:rPr>
      </w:pPr>
      <w:r>
        <w:rPr>
          <w:noProof/>
        </w:rPr>
        <w:t>1.1</w:t>
      </w:r>
      <w:r w:rsidRPr="003C3E47">
        <w:rPr>
          <w:noProof/>
          <w:color w:val="FF0000"/>
        </w:rPr>
        <w:t xml:space="preserve">  Simplified outline of this Schedule</w:t>
      </w:r>
      <w:r>
        <w:rPr>
          <w:noProof/>
        </w:rPr>
        <w:tab/>
      </w:r>
      <w:r>
        <w:rPr>
          <w:noProof/>
        </w:rPr>
        <w:fldChar w:fldCharType="begin"/>
      </w:r>
      <w:r>
        <w:rPr>
          <w:noProof/>
        </w:rPr>
        <w:instrText xml:space="preserve"> PAGEREF _Toc77065133 \h </w:instrText>
      </w:r>
      <w:r>
        <w:rPr>
          <w:noProof/>
        </w:rPr>
      </w:r>
      <w:r>
        <w:rPr>
          <w:noProof/>
        </w:rPr>
        <w:fldChar w:fldCharType="separate"/>
      </w:r>
      <w:r w:rsidR="002F429D">
        <w:rPr>
          <w:noProof/>
        </w:rPr>
        <w:t>196</w:t>
      </w:r>
      <w:r>
        <w:rPr>
          <w:noProof/>
        </w:rPr>
        <w:fldChar w:fldCharType="end"/>
      </w:r>
    </w:p>
    <w:p w14:paraId="3223B77F" w14:textId="3E067A3E" w:rsidR="000F7228" w:rsidRDefault="000F7228">
      <w:pPr>
        <w:pStyle w:val="TOC5"/>
        <w:rPr>
          <w:rFonts w:asciiTheme="minorHAnsi" w:eastAsiaTheme="minorEastAsia" w:hAnsiTheme="minorHAnsi" w:cstheme="minorBidi"/>
          <w:noProof/>
          <w:kern w:val="0"/>
          <w:sz w:val="22"/>
          <w:szCs w:val="22"/>
        </w:rPr>
      </w:pPr>
      <w:r>
        <w:rPr>
          <w:noProof/>
        </w:rPr>
        <w:t>1.2</w:t>
      </w:r>
      <w:r w:rsidRPr="003C3E47">
        <w:rPr>
          <w:noProof/>
          <w:color w:val="FF0000"/>
        </w:rPr>
        <w:t xml:space="preserve">  Interpretation</w:t>
      </w:r>
      <w:r>
        <w:rPr>
          <w:noProof/>
        </w:rPr>
        <w:tab/>
      </w:r>
      <w:r>
        <w:rPr>
          <w:noProof/>
        </w:rPr>
        <w:fldChar w:fldCharType="begin"/>
      </w:r>
      <w:r>
        <w:rPr>
          <w:noProof/>
        </w:rPr>
        <w:instrText xml:space="preserve"> PAGEREF _Toc77065134 \h </w:instrText>
      </w:r>
      <w:r>
        <w:rPr>
          <w:noProof/>
        </w:rPr>
      </w:r>
      <w:r>
        <w:rPr>
          <w:noProof/>
        </w:rPr>
        <w:fldChar w:fldCharType="separate"/>
      </w:r>
      <w:r w:rsidR="002F429D">
        <w:rPr>
          <w:noProof/>
        </w:rPr>
        <w:t>197</w:t>
      </w:r>
      <w:r>
        <w:rPr>
          <w:noProof/>
        </w:rPr>
        <w:fldChar w:fldCharType="end"/>
      </w:r>
    </w:p>
    <w:p w14:paraId="1F435D34" w14:textId="398F2306" w:rsidR="000F7228" w:rsidRDefault="000F7228">
      <w:pPr>
        <w:pStyle w:val="TOC5"/>
        <w:rPr>
          <w:rFonts w:asciiTheme="minorHAnsi" w:eastAsiaTheme="minorEastAsia" w:hAnsiTheme="minorHAnsi" w:cstheme="minorBidi"/>
          <w:noProof/>
          <w:kern w:val="0"/>
          <w:sz w:val="22"/>
          <w:szCs w:val="22"/>
        </w:rPr>
      </w:pPr>
      <w:r>
        <w:rPr>
          <w:noProof/>
        </w:rPr>
        <w:t>1.3</w:t>
      </w:r>
      <w:r w:rsidRPr="003C3E47">
        <w:rPr>
          <w:noProof/>
          <w:color w:val="FF0000"/>
        </w:rPr>
        <w:t xml:space="preserve">  Meaning of terms for types of data</w:t>
      </w:r>
      <w:r>
        <w:rPr>
          <w:noProof/>
        </w:rPr>
        <w:tab/>
      </w:r>
      <w:r>
        <w:rPr>
          <w:noProof/>
        </w:rPr>
        <w:fldChar w:fldCharType="begin"/>
      </w:r>
      <w:r>
        <w:rPr>
          <w:noProof/>
        </w:rPr>
        <w:instrText xml:space="preserve"> PAGEREF _Toc77065135 \h </w:instrText>
      </w:r>
      <w:r>
        <w:rPr>
          <w:noProof/>
        </w:rPr>
      </w:r>
      <w:r>
        <w:rPr>
          <w:noProof/>
        </w:rPr>
        <w:fldChar w:fldCharType="separate"/>
      </w:r>
      <w:r w:rsidR="002F429D">
        <w:rPr>
          <w:noProof/>
        </w:rPr>
        <w:t>198</w:t>
      </w:r>
      <w:r>
        <w:rPr>
          <w:noProof/>
        </w:rPr>
        <w:fldChar w:fldCharType="end"/>
      </w:r>
    </w:p>
    <w:p w14:paraId="765B5F9A" w14:textId="72110BA7" w:rsidR="000F7228" w:rsidRDefault="000F7228">
      <w:pPr>
        <w:pStyle w:val="TOC5"/>
        <w:rPr>
          <w:rFonts w:asciiTheme="minorHAnsi" w:eastAsiaTheme="minorEastAsia" w:hAnsiTheme="minorHAnsi" w:cstheme="minorBidi"/>
          <w:noProof/>
          <w:kern w:val="0"/>
          <w:sz w:val="22"/>
          <w:szCs w:val="22"/>
        </w:rPr>
      </w:pPr>
      <w:r>
        <w:rPr>
          <w:noProof/>
        </w:rPr>
        <w:t>1.4</w:t>
      </w:r>
      <w:r w:rsidRPr="003C3E47">
        <w:rPr>
          <w:noProof/>
          <w:color w:val="FF0000"/>
        </w:rPr>
        <w:t xml:space="preserve">  Meaning of </w:t>
      </w:r>
      <w:r w:rsidRPr="003C3E47">
        <w:rPr>
          <w:i/>
          <w:iCs/>
          <w:noProof/>
          <w:color w:val="FF0000"/>
        </w:rPr>
        <w:t>retailer</w:t>
      </w:r>
      <w:r>
        <w:rPr>
          <w:noProof/>
        </w:rPr>
        <w:tab/>
      </w:r>
      <w:r>
        <w:rPr>
          <w:noProof/>
        </w:rPr>
        <w:fldChar w:fldCharType="begin"/>
      </w:r>
      <w:r>
        <w:rPr>
          <w:noProof/>
        </w:rPr>
        <w:instrText xml:space="preserve"> PAGEREF _Toc77065136 \h </w:instrText>
      </w:r>
      <w:r>
        <w:rPr>
          <w:noProof/>
        </w:rPr>
      </w:r>
      <w:r>
        <w:rPr>
          <w:noProof/>
        </w:rPr>
        <w:fldChar w:fldCharType="separate"/>
      </w:r>
      <w:r w:rsidR="002F429D">
        <w:rPr>
          <w:noProof/>
        </w:rPr>
        <w:t>201</w:t>
      </w:r>
      <w:r>
        <w:rPr>
          <w:noProof/>
        </w:rPr>
        <w:fldChar w:fldCharType="end"/>
      </w:r>
    </w:p>
    <w:p w14:paraId="2A6F98FC" w14:textId="75ADF5D4" w:rsidR="000F7228" w:rsidRDefault="000F7228">
      <w:pPr>
        <w:pStyle w:val="TOC2"/>
        <w:rPr>
          <w:rFonts w:asciiTheme="minorHAnsi" w:eastAsiaTheme="minorEastAsia" w:hAnsiTheme="minorHAnsi" w:cstheme="minorBidi"/>
          <w:b w:val="0"/>
          <w:noProof/>
          <w:kern w:val="0"/>
          <w:sz w:val="22"/>
          <w:szCs w:val="22"/>
        </w:rPr>
      </w:pPr>
      <w:r>
        <w:rPr>
          <w:noProof/>
        </w:rPr>
        <w:t xml:space="preserve">Part 2 </w:t>
      </w:r>
      <w:r w:rsidRPr="003C3E47">
        <w:rPr>
          <w:noProof/>
          <w:color w:val="FF0000"/>
        </w:rPr>
        <w:t>—Eligible CDR consumers—energy sector</w:t>
      </w:r>
      <w:r>
        <w:rPr>
          <w:noProof/>
        </w:rPr>
        <w:tab/>
      </w:r>
      <w:r>
        <w:rPr>
          <w:noProof/>
        </w:rPr>
        <w:fldChar w:fldCharType="begin"/>
      </w:r>
      <w:r>
        <w:rPr>
          <w:noProof/>
        </w:rPr>
        <w:instrText xml:space="preserve"> PAGEREF _Toc77065137 \h </w:instrText>
      </w:r>
      <w:r>
        <w:rPr>
          <w:noProof/>
        </w:rPr>
      </w:r>
      <w:r>
        <w:rPr>
          <w:noProof/>
        </w:rPr>
        <w:fldChar w:fldCharType="separate"/>
      </w:r>
      <w:r w:rsidR="002F429D">
        <w:rPr>
          <w:noProof/>
        </w:rPr>
        <w:t>202</w:t>
      </w:r>
      <w:r>
        <w:rPr>
          <w:noProof/>
        </w:rPr>
        <w:fldChar w:fldCharType="end"/>
      </w:r>
    </w:p>
    <w:p w14:paraId="164CCB59" w14:textId="3CA5D455" w:rsidR="000F7228" w:rsidRDefault="000F7228">
      <w:pPr>
        <w:pStyle w:val="TOC5"/>
        <w:rPr>
          <w:rFonts w:asciiTheme="minorHAnsi" w:eastAsiaTheme="minorEastAsia" w:hAnsiTheme="minorHAnsi" w:cstheme="minorBidi"/>
          <w:noProof/>
          <w:kern w:val="0"/>
          <w:sz w:val="22"/>
          <w:szCs w:val="22"/>
        </w:rPr>
      </w:pPr>
      <w:r>
        <w:rPr>
          <w:noProof/>
        </w:rPr>
        <w:t>2.1</w:t>
      </w:r>
      <w:r w:rsidRPr="003C3E47">
        <w:rPr>
          <w:noProof/>
          <w:color w:val="FF0000"/>
        </w:rPr>
        <w:t xml:space="preserve">  Additional criteria for eligibility—energy sector</w:t>
      </w:r>
      <w:r>
        <w:rPr>
          <w:noProof/>
        </w:rPr>
        <w:tab/>
      </w:r>
      <w:r>
        <w:rPr>
          <w:noProof/>
        </w:rPr>
        <w:fldChar w:fldCharType="begin"/>
      </w:r>
      <w:r>
        <w:rPr>
          <w:noProof/>
        </w:rPr>
        <w:instrText xml:space="preserve"> PAGEREF _Toc77065138 \h </w:instrText>
      </w:r>
      <w:r>
        <w:rPr>
          <w:noProof/>
        </w:rPr>
      </w:r>
      <w:r>
        <w:rPr>
          <w:noProof/>
        </w:rPr>
        <w:fldChar w:fldCharType="separate"/>
      </w:r>
      <w:r w:rsidR="002F429D">
        <w:rPr>
          <w:noProof/>
        </w:rPr>
        <w:t>202</w:t>
      </w:r>
      <w:r>
        <w:rPr>
          <w:noProof/>
        </w:rPr>
        <w:fldChar w:fldCharType="end"/>
      </w:r>
    </w:p>
    <w:p w14:paraId="1B21D9F8" w14:textId="762A8520" w:rsidR="000F7228" w:rsidRDefault="000F7228">
      <w:pPr>
        <w:pStyle w:val="TOC5"/>
        <w:rPr>
          <w:rFonts w:asciiTheme="minorHAnsi" w:eastAsiaTheme="minorEastAsia" w:hAnsiTheme="minorHAnsi" w:cstheme="minorBidi"/>
          <w:noProof/>
          <w:kern w:val="0"/>
          <w:sz w:val="22"/>
          <w:szCs w:val="22"/>
        </w:rPr>
      </w:pPr>
      <w:r>
        <w:rPr>
          <w:noProof/>
        </w:rPr>
        <w:t>2.2</w:t>
      </w:r>
      <w:r w:rsidRPr="003C3E47">
        <w:rPr>
          <w:noProof/>
          <w:color w:val="FF0000"/>
        </w:rPr>
        <w:t xml:space="preserve">  Meaning of </w:t>
      </w:r>
      <w:r w:rsidRPr="003C3E47">
        <w:rPr>
          <w:i/>
          <w:noProof/>
          <w:color w:val="FF0000"/>
        </w:rPr>
        <w:t>account privileges</w:t>
      </w:r>
      <w:r w:rsidRPr="003C3E47">
        <w:rPr>
          <w:noProof/>
          <w:color w:val="FF0000"/>
        </w:rPr>
        <w:t>—energy sector</w:t>
      </w:r>
      <w:r>
        <w:rPr>
          <w:noProof/>
        </w:rPr>
        <w:tab/>
      </w:r>
      <w:r>
        <w:rPr>
          <w:noProof/>
        </w:rPr>
        <w:fldChar w:fldCharType="begin"/>
      </w:r>
      <w:r>
        <w:rPr>
          <w:noProof/>
        </w:rPr>
        <w:instrText xml:space="preserve"> PAGEREF _Toc77065139 \h </w:instrText>
      </w:r>
      <w:r>
        <w:rPr>
          <w:noProof/>
        </w:rPr>
      </w:r>
      <w:r>
        <w:rPr>
          <w:noProof/>
        </w:rPr>
        <w:fldChar w:fldCharType="separate"/>
      </w:r>
      <w:r w:rsidR="002F429D">
        <w:rPr>
          <w:noProof/>
        </w:rPr>
        <w:t>202</w:t>
      </w:r>
      <w:r>
        <w:rPr>
          <w:noProof/>
        </w:rPr>
        <w:fldChar w:fldCharType="end"/>
      </w:r>
    </w:p>
    <w:p w14:paraId="7CB3C141" w14:textId="7C139A47" w:rsidR="000F7228" w:rsidRDefault="000F7228">
      <w:pPr>
        <w:pStyle w:val="TOC5"/>
        <w:rPr>
          <w:rFonts w:asciiTheme="minorHAnsi" w:eastAsiaTheme="minorEastAsia" w:hAnsiTheme="minorHAnsi" w:cstheme="minorBidi"/>
          <w:noProof/>
          <w:kern w:val="0"/>
          <w:sz w:val="22"/>
          <w:szCs w:val="22"/>
        </w:rPr>
      </w:pPr>
      <w:r>
        <w:rPr>
          <w:noProof/>
        </w:rPr>
        <w:t>2.3</w:t>
      </w:r>
      <w:r w:rsidRPr="003C3E47">
        <w:rPr>
          <w:noProof/>
          <w:color w:val="FF0000"/>
        </w:rPr>
        <w:t xml:space="preserve">  Data holder dashboards—application of rule 1.15</w:t>
      </w:r>
      <w:r>
        <w:rPr>
          <w:noProof/>
        </w:rPr>
        <w:tab/>
      </w:r>
      <w:r>
        <w:rPr>
          <w:noProof/>
        </w:rPr>
        <w:fldChar w:fldCharType="begin"/>
      </w:r>
      <w:r>
        <w:rPr>
          <w:noProof/>
        </w:rPr>
        <w:instrText xml:space="preserve"> PAGEREF _Toc77065140 \h </w:instrText>
      </w:r>
      <w:r>
        <w:rPr>
          <w:noProof/>
        </w:rPr>
      </w:r>
      <w:r>
        <w:rPr>
          <w:noProof/>
        </w:rPr>
        <w:fldChar w:fldCharType="separate"/>
      </w:r>
      <w:r w:rsidR="002F429D">
        <w:rPr>
          <w:noProof/>
        </w:rPr>
        <w:t>202</w:t>
      </w:r>
      <w:r>
        <w:rPr>
          <w:noProof/>
        </w:rPr>
        <w:fldChar w:fldCharType="end"/>
      </w:r>
    </w:p>
    <w:p w14:paraId="1709C35E" w14:textId="3F19C912" w:rsidR="000F7228" w:rsidRDefault="000F7228">
      <w:pPr>
        <w:pStyle w:val="TOC2"/>
        <w:rPr>
          <w:rFonts w:asciiTheme="minorHAnsi" w:eastAsiaTheme="minorEastAsia" w:hAnsiTheme="minorHAnsi" w:cstheme="minorBidi"/>
          <w:b w:val="0"/>
          <w:noProof/>
          <w:kern w:val="0"/>
          <w:sz w:val="22"/>
          <w:szCs w:val="22"/>
        </w:rPr>
      </w:pPr>
      <w:r>
        <w:rPr>
          <w:noProof/>
        </w:rPr>
        <w:t xml:space="preserve">Part 3 </w:t>
      </w:r>
      <w:r w:rsidRPr="003C3E47">
        <w:rPr>
          <w:noProof/>
          <w:color w:val="FF0000"/>
        </w:rPr>
        <w:t>—CDR data that may be accessed under these rules—energy sector</w:t>
      </w:r>
      <w:r>
        <w:rPr>
          <w:noProof/>
        </w:rPr>
        <w:tab/>
      </w:r>
      <w:r>
        <w:rPr>
          <w:noProof/>
        </w:rPr>
        <w:fldChar w:fldCharType="begin"/>
      </w:r>
      <w:r>
        <w:rPr>
          <w:noProof/>
        </w:rPr>
        <w:instrText xml:space="preserve"> PAGEREF _Toc77065141 \h </w:instrText>
      </w:r>
      <w:r>
        <w:rPr>
          <w:noProof/>
        </w:rPr>
      </w:r>
      <w:r>
        <w:rPr>
          <w:noProof/>
        </w:rPr>
        <w:fldChar w:fldCharType="separate"/>
      </w:r>
      <w:r w:rsidR="002F429D">
        <w:rPr>
          <w:noProof/>
        </w:rPr>
        <w:t>203</w:t>
      </w:r>
      <w:r>
        <w:rPr>
          <w:noProof/>
        </w:rPr>
        <w:fldChar w:fldCharType="end"/>
      </w:r>
    </w:p>
    <w:p w14:paraId="6C989E39" w14:textId="4A5825F8" w:rsidR="000F7228" w:rsidRDefault="000F7228">
      <w:pPr>
        <w:pStyle w:val="TOC5"/>
        <w:rPr>
          <w:rFonts w:asciiTheme="minorHAnsi" w:eastAsiaTheme="minorEastAsia" w:hAnsiTheme="minorHAnsi" w:cstheme="minorBidi"/>
          <w:noProof/>
          <w:kern w:val="0"/>
          <w:sz w:val="22"/>
          <w:szCs w:val="22"/>
        </w:rPr>
      </w:pPr>
      <w:r>
        <w:rPr>
          <w:noProof/>
        </w:rPr>
        <w:t>3.1</w:t>
      </w:r>
      <w:r w:rsidRPr="003C3E47">
        <w:rPr>
          <w:noProof/>
          <w:color w:val="FF0000"/>
        </w:rPr>
        <w:t xml:space="preserve">  Meaning of </w:t>
      </w:r>
      <w:r w:rsidRPr="003C3E47">
        <w:rPr>
          <w:i/>
          <w:noProof/>
          <w:color w:val="FF0000"/>
        </w:rPr>
        <w:t>required product data</w:t>
      </w:r>
      <w:r w:rsidRPr="003C3E47">
        <w:rPr>
          <w:noProof/>
          <w:color w:val="FF0000"/>
        </w:rPr>
        <w:t xml:space="preserve"> and </w:t>
      </w:r>
      <w:r w:rsidRPr="003C3E47">
        <w:rPr>
          <w:i/>
          <w:noProof/>
          <w:color w:val="FF0000"/>
        </w:rPr>
        <w:t>voluntary product data</w:t>
      </w:r>
      <w:r w:rsidRPr="003C3E47">
        <w:rPr>
          <w:noProof/>
          <w:color w:val="FF0000"/>
        </w:rPr>
        <w:t>—energy sector</w:t>
      </w:r>
      <w:r>
        <w:rPr>
          <w:noProof/>
        </w:rPr>
        <w:tab/>
      </w:r>
      <w:r>
        <w:rPr>
          <w:noProof/>
        </w:rPr>
        <w:fldChar w:fldCharType="begin"/>
      </w:r>
      <w:r>
        <w:rPr>
          <w:noProof/>
        </w:rPr>
        <w:instrText xml:space="preserve"> PAGEREF _Toc77065142 \h </w:instrText>
      </w:r>
      <w:r>
        <w:rPr>
          <w:noProof/>
        </w:rPr>
      </w:r>
      <w:r>
        <w:rPr>
          <w:noProof/>
        </w:rPr>
        <w:fldChar w:fldCharType="separate"/>
      </w:r>
      <w:r w:rsidR="002F429D">
        <w:rPr>
          <w:noProof/>
        </w:rPr>
        <w:t>203</w:t>
      </w:r>
      <w:r>
        <w:rPr>
          <w:noProof/>
        </w:rPr>
        <w:fldChar w:fldCharType="end"/>
      </w:r>
    </w:p>
    <w:p w14:paraId="35FAEFF0" w14:textId="787E8D88" w:rsidR="000F7228" w:rsidRDefault="000F7228">
      <w:pPr>
        <w:pStyle w:val="TOC5"/>
        <w:rPr>
          <w:rFonts w:asciiTheme="minorHAnsi" w:eastAsiaTheme="minorEastAsia" w:hAnsiTheme="minorHAnsi" w:cstheme="minorBidi"/>
          <w:noProof/>
          <w:kern w:val="0"/>
          <w:sz w:val="22"/>
          <w:szCs w:val="22"/>
        </w:rPr>
      </w:pPr>
      <w:r>
        <w:rPr>
          <w:noProof/>
        </w:rPr>
        <w:t>3.2</w:t>
      </w:r>
      <w:r w:rsidRPr="003C3E47">
        <w:rPr>
          <w:noProof/>
          <w:color w:val="FF0000"/>
        </w:rPr>
        <w:t xml:space="preserve">  Meaning of </w:t>
      </w:r>
      <w:r w:rsidRPr="003C3E47">
        <w:rPr>
          <w:i/>
          <w:noProof/>
          <w:color w:val="FF0000"/>
        </w:rPr>
        <w:t>required consumer data</w:t>
      </w:r>
      <w:r w:rsidRPr="003C3E47">
        <w:rPr>
          <w:noProof/>
          <w:color w:val="FF0000"/>
        </w:rPr>
        <w:t xml:space="preserve"> and </w:t>
      </w:r>
      <w:r w:rsidRPr="003C3E47">
        <w:rPr>
          <w:i/>
          <w:noProof/>
          <w:color w:val="FF0000"/>
        </w:rPr>
        <w:t>voluntary consumer data</w:t>
      </w:r>
      <w:r w:rsidRPr="003C3E47">
        <w:rPr>
          <w:noProof/>
          <w:color w:val="FF0000"/>
        </w:rPr>
        <w:t>—energy sector</w:t>
      </w:r>
      <w:r>
        <w:rPr>
          <w:noProof/>
        </w:rPr>
        <w:tab/>
      </w:r>
      <w:r>
        <w:rPr>
          <w:noProof/>
        </w:rPr>
        <w:fldChar w:fldCharType="begin"/>
      </w:r>
      <w:r>
        <w:rPr>
          <w:noProof/>
        </w:rPr>
        <w:instrText xml:space="preserve"> PAGEREF _Toc77065143 \h </w:instrText>
      </w:r>
      <w:r>
        <w:rPr>
          <w:noProof/>
        </w:rPr>
      </w:r>
      <w:r>
        <w:rPr>
          <w:noProof/>
        </w:rPr>
        <w:fldChar w:fldCharType="separate"/>
      </w:r>
      <w:r w:rsidR="002F429D">
        <w:rPr>
          <w:noProof/>
        </w:rPr>
        <w:t>203</w:t>
      </w:r>
      <w:r>
        <w:rPr>
          <w:noProof/>
        </w:rPr>
        <w:fldChar w:fldCharType="end"/>
      </w:r>
    </w:p>
    <w:p w14:paraId="76D38E25" w14:textId="2898B38E" w:rsidR="000F7228" w:rsidRDefault="000F7228">
      <w:pPr>
        <w:pStyle w:val="TOC2"/>
        <w:rPr>
          <w:rFonts w:asciiTheme="minorHAnsi" w:eastAsiaTheme="minorEastAsia" w:hAnsiTheme="minorHAnsi" w:cstheme="minorBidi"/>
          <w:b w:val="0"/>
          <w:noProof/>
          <w:kern w:val="0"/>
          <w:sz w:val="22"/>
          <w:szCs w:val="22"/>
        </w:rPr>
      </w:pPr>
      <w:r>
        <w:rPr>
          <w:noProof/>
        </w:rPr>
        <w:t xml:space="preserve">Part 4 </w:t>
      </w:r>
      <w:r w:rsidRPr="003C3E47">
        <w:rPr>
          <w:noProof/>
          <w:color w:val="FF0000"/>
        </w:rPr>
        <w:t>—Roles of AEMO and the energy sector agencies</w:t>
      </w:r>
      <w:r>
        <w:rPr>
          <w:noProof/>
        </w:rPr>
        <w:tab/>
      </w:r>
      <w:r>
        <w:rPr>
          <w:noProof/>
        </w:rPr>
        <w:fldChar w:fldCharType="begin"/>
      </w:r>
      <w:r>
        <w:rPr>
          <w:noProof/>
        </w:rPr>
        <w:instrText xml:space="preserve"> PAGEREF _Toc77065144 \h </w:instrText>
      </w:r>
      <w:r>
        <w:rPr>
          <w:noProof/>
        </w:rPr>
      </w:r>
      <w:r>
        <w:rPr>
          <w:noProof/>
        </w:rPr>
        <w:fldChar w:fldCharType="separate"/>
      </w:r>
      <w:r w:rsidR="002F429D">
        <w:rPr>
          <w:noProof/>
        </w:rPr>
        <w:t>205</w:t>
      </w:r>
      <w:r>
        <w:rPr>
          <w:noProof/>
        </w:rPr>
        <w:fldChar w:fldCharType="end"/>
      </w:r>
    </w:p>
    <w:p w14:paraId="2D0117FB" w14:textId="2C4FFEFE" w:rsidR="000F7228" w:rsidRDefault="000F7228">
      <w:pPr>
        <w:pStyle w:val="TOC5"/>
        <w:rPr>
          <w:rFonts w:asciiTheme="minorHAnsi" w:eastAsiaTheme="minorEastAsia" w:hAnsiTheme="minorHAnsi" w:cstheme="minorBidi"/>
          <w:noProof/>
          <w:kern w:val="0"/>
          <w:sz w:val="22"/>
          <w:szCs w:val="22"/>
        </w:rPr>
      </w:pPr>
      <w:r>
        <w:rPr>
          <w:noProof/>
        </w:rPr>
        <w:t>4.1</w:t>
      </w:r>
      <w:r w:rsidRPr="003C3E47">
        <w:rPr>
          <w:noProof/>
          <w:color w:val="FF0000"/>
        </w:rPr>
        <w:t xml:space="preserve">  AER and the Victorian agency may act on each other’s behalf</w:t>
      </w:r>
      <w:r>
        <w:rPr>
          <w:noProof/>
        </w:rPr>
        <w:tab/>
      </w:r>
      <w:r>
        <w:rPr>
          <w:noProof/>
        </w:rPr>
        <w:fldChar w:fldCharType="begin"/>
      </w:r>
      <w:r>
        <w:rPr>
          <w:noProof/>
        </w:rPr>
        <w:instrText xml:space="preserve"> PAGEREF _Toc77065145 \h </w:instrText>
      </w:r>
      <w:r>
        <w:rPr>
          <w:noProof/>
        </w:rPr>
      </w:r>
      <w:r>
        <w:rPr>
          <w:noProof/>
        </w:rPr>
        <w:fldChar w:fldCharType="separate"/>
      </w:r>
      <w:r w:rsidR="002F429D">
        <w:rPr>
          <w:noProof/>
        </w:rPr>
        <w:t>205</w:t>
      </w:r>
      <w:r>
        <w:rPr>
          <w:noProof/>
        </w:rPr>
        <w:fldChar w:fldCharType="end"/>
      </w:r>
    </w:p>
    <w:p w14:paraId="1E01B973" w14:textId="647B92E8" w:rsidR="000F7228" w:rsidRDefault="000F7228">
      <w:pPr>
        <w:pStyle w:val="TOC5"/>
        <w:rPr>
          <w:rFonts w:asciiTheme="minorHAnsi" w:eastAsiaTheme="minorEastAsia" w:hAnsiTheme="minorHAnsi" w:cstheme="minorBidi"/>
          <w:noProof/>
          <w:kern w:val="0"/>
          <w:sz w:val="22"/>
          <w:szCs w:val="22"/>
        </w:rPr>
      </w:pPr>
      <w:r>
        <w:rPr>
          <w:noProof/>
        </w:rPr>
        <w:t>4.2</w:t>
      </w:r>
      <w:r w:rsidRPr="003C3E47">
        <w:rPr>
          <w:noProof/>
          <w:color w:val="FF0000"/>
        </w:rPr>
        <w:t xml:space="preserve">  Product data request service</w:t>
      </w:r>
      <w:r>
        <w:rPr>
          <w:noProof/>
        </w:rPr>
        <w:tab/>
      </w:r>
      <w:r>
        <w:rPr>
          <w:noProof/>
        </w:rPr>
        <w:fldChar w:fldCharType="begin"/>
      </w:r>
      <w:r>
        <w:rPr>
          <w:noProof/>
        </w:rPr>
        <w:instrText xml:space="preserve"> PAGEREF _Toc77065146 \h </w:instrText>
      </w:r>
      <w:r>
        <w:rPr>
          <w:noProof/>
        </w:rPr>
      </w:r>
      <w:r>
        <w:rPr>
          <w:noProof/>
        </w:rPr>
        <w:fldChar w:fldCharType="separate"/>
      </w:r>
      <w:r w:rsidR="002F429D">
        <w:rPr>
          <w:noProof/>
        </w:rPr>
        <w:t>205</w:t>
      </w:r>
      <w:r>
        <w:rPr>
          <w:noProof/>
        </w:rPr>
        <w:fldChar w:fldCharType="end"/>
      </w:r>
    </w:p>
    <w:p w14:paraId="43342C45" w14:textId="1D89FD71" w:rsidR="000F7228" w:rsidRDefault="000F7228">
      <w:pPr>
        <w:pStyle w:val="TOC5"/>
        <w:rPr>
          <w:rFonts w:asciiTheme="minorHAnsi" w:eastAsiaTheme="minorEastAsia" w:hAnsiTheme="minorHAnsi" w:cstheme="minorBidi"/>
          <w:noProof/>
          <w:kern w:val="0"/>
          <w:sz w:val="22"/>
          <w:szCs w:val="22"/>
        </w:rPr>
      </w:pPr>
      <w:r>
        <w:rPr>
          <w:noProof/>
        </w:rPr>
        <w:t>4.3</w:t>
      </w:r>
      <w:r w:rsidRPr="003C3E47">
        <w:rPr>
          <w:noProof/>
          <w:color w:val="FF0000"/>
        </w:rPr>
        <w:t xml:space="preserve">  Meaning of </w:t>
      </w:r>
      <w:r w:rsidRPr="003C3E47">
        <w:rPr>
          <w:i/>
          <w:noProof/>
          <w:color w:val="FF0000"/>
        </w:rPr>
        <w:t>SR data</w:t>
      </w:r>
      <w:r w:rsidRPr="003C3E47">
        <w:rPr>
          <w:noProof/>
          <w:color w:val="FF0000"/>
        </w:rPr>
        <w:t xml:space="preserve"> and </w:t>
      </w:r>
      <w:r w:rsidRPr="003C3E47">
        <w:rPr>
          <w:i/>
          <w:noProof/>
          <w:color w:val="FF0000"/>
        </w:rPr>
        <w:t>primary data holder</w:t>
      </w:r>
      <w:r w:rsidRPr="003C3E47">
        <w:rPr>
          <w:noProof/>
          <w:color w:val="FF0000"/>
        </w:rPr>
        <w:t>—energy sector</w:t>
      </w:r>
      <w:r>
        <w:rPr>
          <w:noProof/>
        </w:rPr>
        <w:tab/>
      </w:r>
      <w:r>
        <w:rPr>
          <w:noProof/>
        </w:rPr>
        <w:fldChar w:fldCharType="begin"/>
      </w:r>
      <w:r>
        <w:rPr>
          <w:noProof/>
        </w:rPr>
        <w:instrText xml:space="preserve"> PAGEREF _Toc77065147 \h </w:instrText>
      </w:r>
      <w:r>
        <w:rPr>
          <w:noProof/>
        </w:rPr>
      </w:r>
      <w:r>
        <w:rPr>
          <w:noProof/>
        </w:rPr>
        <w:fldChar w:fldCharType="separate"/>
      </w:r>
      <w:r w:rsidR="002F429D">
        <w:rPr>
          <w:noProof/>
        </w:rPr>
        <w:t>206</w:t>
      </w:r>
      <w:r>
        <w:rPr>
          <w:noProof/>
        </w:rPr>
        <w:fldChar w:fldCharType="end"/>
      </w:r>
    </w:p>
    <w:p w14:paraId="43933573" w14:textId="3008C098" w:rsidR="000F7228" w:rsidRDefault="000F7228">
      <w:pPr>
        <w:pStyle w:val="TOC5"/>
        <w:rPr>
          <w:rFonts w:asciiTheme="minorHAnsi" w:eastAsiaTheme="minorEastAsia" w:hAnsiTheme="minorHAnsi" w:cstheme="minorBidi"/>
          <w:noProof/>
          <w:kern w:val="0"/>
          <w:sz w:val="22"/>
          <w:szCs w:val="22"/>
        </w:rPr>
      </w:pPr>
      <w:r>
        <w:rPr>
          <w:noProof/>
        </w:rPr>
        <w:t>4.4</w:t>
      </w:r>
      <w:r w:rsidRPr="003C3E47">
        <w:rPr>
          <w:noProof/>
          <w:color w:val="FF0000"/>
        </w:rPr>
        <w:t xml:space="preserve">  SR data must be obtained from AEMO</w:t>
      </w:r>
      <w:r>
        <w:rPr>
          <w:noProof/>
        </w:rPr>
        <w:tab/>
      </w:r>
      <w:r>
        <w:rPr>
          <w:noProof/>
        </w:rPr>
        <w:fldChar w:fldCharType="begin"/>
      </w:r>
      <w:r>
        <w:rPr>
          <w:noProof/>
        </w:rPr>
        <w:instrText xml:space="preserve"> PAGEREF _Toc77065148 \h </w:instrText>
      </w:r>
      <w:r>
        <w:rPr>
          <w:noProof/>
        </w:rPr>
      </w:r>
      <w:r>
        <w:rPr>
          <w:noProof/>
        </w:rPr>
        <w:fldChar w:fldCharType="separate"/>
      </w:r>
      <w:r w:rsidR="002F429D">
        <w:rPr>
          <w:noProof/>
        </w:rPr>
        <w:t>206</w:t>
      </w:r>
      <w:r>
        <w:rPr>
          <w:noProof/>
        </w:rPr>
        <w:fldChar w:fldCharType="end"/>
      </w:r>
    </w:p>
    <w:p w14:paraId="01764337" w14:textId="2C155EAD" w:rsidR="000F7228" w:rsidRDefault="000F7228">
      <w:pPr>
        <w:pStyle w:val="TOC5"/>
        <w:rPr>
          <w:rFonts w:asciiTheme="minorHAnsi" w:eastAsiaTheme="minorEastAsia" w:hAnsiTheme="minorHAnsi" w:cstheme="minorBidi"/>
          <w:noProof/>
          <w:kern w:val="0"/>
          <w:sz w:val="22"/>
          <w:szCs w:val="22"/>
        </w:rPr>
      </w:pPr>
      <w:r>
        <w:rPr>
          <w:noProof/>
        </w:rPr>
        <w:t>4.5</w:t>
      </w:r>
      <w:r w:rsidRPr="003C3E47">
        <w:rPr>
          <w:noProof/>
          <w:color w:val="FF0000"/>
        </w:rPr>
        <w:t xml:space="preserve">  Civil penalties do not apply</w:t>
      </w:r>
      <w:r>
        <w:rPr>
          <w:noProof/>
        </w:rPr>
        <w:tab/>
      </w:r>
      <w:r>
        <w:rPr>
          <w:noProof/>
        </w:rPr>
        <w:fldChar w:fldCharType="begin"/>
      </w:r>
      <w:r>
        <w:rPr>
          <w:noProof/>
        </w:rPr>
        <w:instrText xml:space="preserve"> PAGEREF _Toc77065149 \h </w:instrText>
      </w:r>
      <w:r>
        <w:rPr>
          <w:noProof/>
        </w:rPr>
      </w:r>
      <w:r>
        <w:rPr>
          <w:noProof/>
        </w:rPr>
        <w:fldChar w:fldCharType="separate"/>
      </w:r>
      <w:r w:rsidR="002F429D">
        <w:rPr>
          <w:noProof/>
        </w:rPr>
        <w:t>206</w:t>
      </w:r>
      <w:r>
        <w:rPr>
          <w:noProof/>
        </w:rPr>
        <w:fldChar w:fldCharType="end"/>
      </w:r>
    </w:p>
    <w:p w14:paraId="30FD3E91" w14:textId="3D4CBEF1" w:rsidR="000F7228" w:rsidRDefault="000F7228">
      <w:pPr>
        <w:pStyle w:val="TOC2"/>
        <w:rPr>
          <w:rFonts w:asciiTheme="minorHAnsi" w:eastAsiaTheme="minorEastAsia" w:hAnsiTheme="minorHAnsi" w:cstheme="minorBidi"/>
          <w:b w:val="0"/>
          <w:noProof/>
          <w:kern w:val="0"/>
          <w:sz w:val="22"/>
          <w:szCs w:val="22"/>
        </w:rPr>
      </w:pPr>
      <w:r>
        <w:rPr>
          <w:noProof/>
        </w:rPr>
        <w:t xml:space="preserve">Part 5 </w:t>
      </w:r>
      <w:r w:rsidRPr="003C3E47">
        <w:rPr>
          <w:noProof/>
          <w:color w:val="FF0000"/>
        </w:rPr>
        <w:t>—Dispute resolution―energy sector</w:t>
      </w:r>
      <w:r>
        <w:rPr>
          <w:noProof/>
        </w:rPr>
        <w:tab/>
      </w:r>
      <w:r>
        <w:rPr>
          <w:noProof/>
        </w:rPr>
        <w:fldChar w:fldCharType="begin"/>
      </w:r>
      <w:r>
        <w:rPr>
          <w:noProof/>
        </w:rPr>
        <w:instrText xml:space="preserve"> PAGEREF _Toc77065150 \h </w:instrText>
      </w:r>
      <w:r>
        <w:rPr>
          <w:noProof/>
        </w:rPr>
      </w:r>
      <w:r>
        <w:rPr>
          <w:noProof/>
        </w:rPr>
        <w:fldChar w:fldCharType="separate"/>
      </w:r>
      <w:r w:rsidR="002F429D">
        <w:rPr>
          <w:noProof/>
        </w:rPr>
        <w:t>206</w:t>
      </w:r>
      <w:r>
        <w:rPr>
          <w:noProof/>
        </w:rPr>
        <w:fldChar w:fldCharType="end"/>
      </w:r>
    </w:p>
    <w:p w14:paraId="7E56133F" w14:textId="488A5FDE" w:rsidR="000F7228" w:rsidRDefault="000F7228">
      <w:pPr>
        <w:pStyle w:val="TOC5"/>
        <w:rPr>
          <w:rFonts w:asciiTheme="minorHAnsi" w:eastAsiaTheme="minorEastAsia" w:hAnsiTheme="minorHAnsi" w:cstheme="minorBidi"/>
          <w:noProof/>
          <w:kern w:val="0"/>
          <w:sz w:val="22"/>
          <w:szCs w:val="22"/>
        </w:rPr>
      </w:pPr>
      <w:r>
        <w:rPr>
          <w:noProof/>
        </w:rPr>
        <w:t>5.1</w:t>
      </w:r>
      <w:r w:rsidRPr="003C3E47">
        <w:rPr>
          <w:noProof/>
          <w:color w:val="FF0000"/>
        </w:rPr>
        <w:t xml:space="preserve">  Meeting internal dispute resolution requirements—energy sector</w:t>
      </w:r>
      <w:r>
        <w:rPr>
          <w:noProof/>
        </w:rPr>
        <w:tab/>
      </w:r>
      <w:r>
        <w:rPr>
          <w:noProof/>
        </w:rPr>
        <w:fldChar w:fldCharType="begin"/>
      </w:r>
      <w:r>
        <w:rPr>
          <w:noProof/>
        </w:rPr>
        <w:instrText xml:space="preserve"> PAGEREF _Toc77065151 \h </w:instrText>
      </w:r>
      <w:r>
        <w:rPr>
          <w:noProof/>
        </w:rPr>
      </w:r>
      <w:r>
        <w:rPr>
          <w:noProof/>
        </w:rPr>
        <w:fldChar w:fldCharType="separate"/>
      </w:r>
      <w:r w:rsidR="002F429D">
        <w:rPr>
          <w:noProof/>
        </w:rPr>
        <w:t>206</w:t>
      </w:r>
      <w:r>
        <w:rPr>
          <w:noProof/>
        </w:rPr>
        <w:fldChar w:fldCharType="end"/>
      </w:r>
    </w:p>
    <w:p w14:paraId="472D43AC" w14:textId="50BA4E7A" w:rsidR="000F7228" w:rsidRDefault="000F7228">
      <w:pPr>
        <w:pStyle w:val="TOC5"/>
        <w:rPr>
          <w:rFonts w:asciiTheme="minorHAnsi" w:eastAsiaTheme="minorEastAsia" w:hAnsiTheme="minorHAnsi" w:cstheme="minorBidi"/>
          <w:noProof/>
          <w:kern w:val="0"/>
          <w:sz w:val="22"/>
          <w:szCs w:val="22"/>
        </w:rPr>
      </w:pPr>
      <w:r>
        <w:rPr>
          <w:noProof/>
        </w:rPr>
        <w:t>5.2</w:t>
      </w:r>
      <w:r w:rsidRPr="003C3E47">
        <w:rPr>
          <w:noProof/>
          <w:color w:val="FF0000"/>
        </w:rPr>
        <w:t xml:space="preserve">  External dispute resolution requirements—energy sector</w:t>
      </w:r>
      <w:r>
        <w:rPr>
          <w:noProof/>
        </w:rPr>
        <w:tab/>
      </w:r>
      <w:r>
        <w:rPr>
          <w:noProof/>
        </w:rPr>
        <w:fldChar w:fldCharType="begin"/>
      </w:r>
      <w:r>
        <w:rPr>
          <w:noProof/>
        </w:rPr>
        <w:instrText xml:space="preserve"> PAGEREF _Toc77065152 \h </w:instrText>
      </w:r>
      <w:r>
        <w:rPr>
          <w:noProof/>
        </w:rPr>
      </w:r>
      <w:r>
        <w:rPr>
          <w:noProof/>
        </w:rPr>
        <w:fldChar w:fldCharType="separate"/>
      </w:r>
      <w:r w:rsidR="002F429D">
        <w:rPr>
          <w:noProof/>
        </w:rPr>
        <w:t>207</w:t>
      </w:r>
      <w:r>
        <w:rPr>
          <w:noProof/>
        </w:rPr>
        <w:fldChar w:fldCharType="end"/>
      </w:r>
    </w:p>
    <w:p w14:paraId="2E89EF62" w14:textId="37FA6426" w:rsidR="000F7228" w:rsidRDefault="000F7228">
      <w:pPr>
        <w:pStyle w:val="TOC2"/>
        <w:rPr>
          <w:rFonts w:asciiTheme="minorHAnsi" w:eastAsiaTheme="minorEastAsia" w:hAnsiTheme="minorHAnsi" w:cstheme="minorBidi"/>
          <w:b w:val="0"/>
          <w:noProof/>
          <w:kern w:val="0"/>
          <w:sz w:val="22"/>
          <w:szCs w:val="22"/>
        </w:rPr>
      </w:pPr>
      <w:r>
        <w:rPr>
          <w:noProof/>
        </w:rPr>
        <w:t xml:space="preserve">Part 6 </w:t>
      </w:r>
      <w:r w:rsidRPr="003C3E47">
        <w:rPr>
          <w:noProof/>
          <w:color w:val="FF0000"/>
        </w:rPr>
        <w:t>—Privacy safeguards―energy sector</w:t>
      </w:r>
      <w:r>
        <w:rPr>
          <w:noProof/>
        </w:rPr>
        <w:tab/>
      </w:r>
      <w:r>
        <w:rPr>
          <w:noProof/>
        </w:rPr>
        <w:fldChar w:fldCharType="begin"/>
      </w:r>
      <w:r>
        <w:rPr>
          <w:noProof/>
        </w:rPr>
        <w:instrText xml:space="preserve"> PAGEREF _Toc77065153 \h </w:instrText>
      </w:r>
      <w:r>
        <w:rPr>
          <w:noProof/>
        </w:rPr>
      </w:r>
      <w:r>
        <w:rPr>
          <w:noProof/>
        </w:rPr>
        <w:fldChar w:fldCharType="separate"/>
      </w:r>
      <w:r w:rsidR="002F429D">
        <w:rPr>
          <w:noProof/>
        </w:rPr>
        <w:t>208</w:t>
      </w:r>
      <w:r>
        <w:rPr>
          <w:noProof/>
        </w:rPr>
        <w:fldChar w:fldCharType="end"/>
      </w:r>
    </w:p>
    <w:p w14:paraId="7CB14A88" w14:textId="1B865EE9" w:rsidR="000F7228" w:rsidRDefault="000F7228">
      <w:pPr>
        <w:pStyle w:val="TOC5"/>
        <w:rPr>
          <w:rFonts w:asciiTheme="minorHAnsi" w:eastAsiaTheme="minorEastAsia" w:hAnsiTheme="minorHAnsi" w:cstheme="minorBidi"/>
          <w:noProof/>
          <w:kern w:val="0"/>
          <w:sz w:val="22"/>
          <w:szCs w:val="22"/>
        </w:rPr>
      </w:pPr>
      <w:r>
        <w:rPr>
          <w:noProof/>
        </w:rPr>
        <w:t>6.1</w:t>
      </w:r>
      <w:r w:rsidRPr="003C3E47">
        <w:rPr>
          <w:noProof/>
          <w:color w:val="FF0000"/>
        </w:rPr>
        <w:t xml:space="preserve">  Responding to correction request (rule 7.15)</w:t>
      </w:r>
      <w:r>
        <w:rPr>
          <w:noProof/>
        </w:rPr>
        <w:tab/>
      </w:r>
      <w:r>
        <w:rPr>
          <w:noProof/>
        </w:rPr>
        <w:fldChar w:fldCharType="begin"/>
      </w:r>
      <w:r>
        <w:rPr>
          <w:noProof/>
        </w:rPr>
        <w:instrText xml:space="preserve"> PAGEREF _Toc77065154 \h </w:instrText>
      </w:r>
      <w:r>
        <w:rPr>
          <w:noProof/>
        </w:rPr>
      </w:r>
      <w:r>
        <w:rPr>
          <w:noProof/>
        </w:rPr>
        <w:fldChar w:fldCharType="separate"/>
      </w:r>
      <w:r w:rsidR="002F429D">
        <w:rPr>
          <w:noProof/>
        </w:rPr>
        <w:t>208</w:t>
      </w:r>
      <w:r>
        <w:rPr>
          <w:noProof/>
        </w:rPr>
        <w:fldChar w:fldCharType="end"/>
      </w:r>
    </w:p>
    <w:p w14:paraId="38852BA2" w14:textId="01BA0847" w:rsidR="000F7228" w:rsidRDefault="000F7228">
      <w:pPr>
        <w:pStyle w:val="TOC2"/>
        <w:rPr>
          <w:rFonts w:asciiTheme="minorHAnsi" w:eastAsiaTheme="minorEastAsia" w:hAnsiTheme="minorHAnsi" w:cstheme="minorBidi"/>
          <w:b w:val="0"/>
          <w:noProof/>
          <w:kern w:val="0"/>
          <w:sz w:val="22"/>
          <w:szCs w:val="22"/>
        </w:rPr>
      </w:pPr>
      <w:r>
        <w:rPr>
          <w:noProof/>
        </w:rPr>
        <w:lastRenderedPageBreak/>
        <w:t xml:space="preserve">Part 7 </w:t>
      </w:r>
      <w:r w:rsidRPr="003C3E47">
        <w:rPr>
          <w:noProof/>
          <w:color w:val="FF0000"/>
        </w:rPr>
        <w:t>—Reporting and record keeping―energy sector</w:t>
      </w:r>
      <w:r>
        <w:rPr>
          <w:noProof/>
        </w:rPr>
        <w:tab/>
      </w:r>
      <w:r>
        <w:rPr>
          <w:noProof/>
        </w:rPr>
        <w:fldChar w:fldCharType="begin"/>
      </w:r>
      <w:r>
        <w:rPr>
          <w:noProof/>
        </w:rPr>
        <w:instrText xml:space="preserve"> PAGEREF _Toc77065155 \h </w:instrText>
      </w:r>
      <w:r>
        <w:rPr>
          <w:noProof/>
        </w:rPr>
      </w:r>
      <w:r>
        <w:rPr>
          <w:noProof/>
        </w:rPr>
        <w:fldChar w:fldCharType="separate"/>
      </w:r>
      <w:r w:rsidR="002F429D">
        <w:rPr>
          <w:noProof/>
        </w:rPr>
        <w:t>209</w:t>
      </w:r>
      <w:r>
        <w:rPr>
          <w:noProof/>
        </w:rPr>
        <w:fldChar w:fldCharType="end"/>
      </w:r>
    </w:p>
    <w:p w14:paraId="67E7B2CD" w14:textId="15993E8D" w:rsidR="000F7228" w:rsidRDefault="000F7228">
      <w:pPr>
        <w:pStyle w:val="TOC5"/>
        <w:rPr>
          <w:rFonts w:asciiTheme="minorHAnsi" w:eastAsiaTheme="minorEastAsia" w:hAnsiTheme="minorHAnsi" w:cstheme="minorBidi"/>
          <w:noProof/>
          <w:kern w:val="0"/>
          <w:sz w:val="22"/>
          <w:szCs w:val="22"/>
        </w:rPr>
      </w:pPr>
      <w:r>
        <w:rPr>
          <w:noProof/>
        </w:rPr>
        <w:t>7.1</w:t>
      </w:r>
      <w:r w:rsidRPr="003C3E47">
        <w:rPr>
          <w:noProof/>
          <w:color w:val="FF0000"/>
        </w:rPr>
        <w:t xml:space="preserve">  Reporting requirements (rule 9.4)</w:t>
      </w:r>
      <w:r>
        <w:rPr>
          <w:noProof/>
        </w:rPr>
        <w:tab/>
      </w:r>
      <w:r>
        <w:rPr>
          <w:noProof/>
        </w:rPr>
        <w:fldChar w:fldCharType="begin"/>
      </w:r>
      <w:r>
        <w:rPr>
          <w:noProof/>
        </w:rPr>
        <w:instrText xml:space="preserve"> PAGEREF _Toc77065156 \h </w:instrText>
      </w:r>
      <w:r>
        <w:rPr>
          <w:noProof/>
        </w:rPr>
      </w:r>
      <w:r>
        <w:rPr>
          <w:noProof/>
        </w:rPr>
        <w:fldChar w:fldCharType="separate"/>
      </w:r>
      <w:r w:rsidR="002F429D">
        <w:rPr>
          <w:noProof/>
        </w:rPr>
        <w:t>209</w:t>
      </w:r>
      <w:r>
        <w:rPr>
          <w:noProof/>
        </w:rPr>
        <w:fldChar w:fldCharType="end"/>
      </w:r>
    </w:p>
    <w:p w14:paraId="3EC35138" w14:textId="59A1CCED" w:rsidR="000F7228" w:rsidRDefault="000F7228">
      <w:pPr>
        <w:pStyle w:val="TOC2"/>
        <w:rPr>
          <w:rFonts w:asciiTheme="minorHAnsi" w:eastAsiaTheme="minorEastAsia" w:hAnsiTheme="minorHAnsi" w:cstheme="minorBidi"/>
          <w:b w:val="0"/>
          <w:noProof/>
          <w:kern w:val="0"/>
          <w:sz w:val="22"/>
          <w:szCs w:val="22"/>
        </w:rPr>
      </w:pPr>
      <w:r>
        <w:rPr>
          <w:noProof/>
        </w:rPr>
        <w:t xml:space="preserve">Part 8 </w:t>
      </w:r>
      <w:r w:rsidRPr="003C3E47">
        <w:rPr>
          <w:noProof/>
          <w:color w:val="FF0000"/>
        </w:rPr>
        <w:t>—Staged application of these rules to the energy sector</w:t>
      </w:r>
      <w:r>
        <w:rPr>
          <w:noProof/>
        </w:rPr>
        <w:tab/>
      </w:r>
      <w:r>
        <w:rPr>
          <w:noProof/>
        </w:rPr>
        <w:fldChar w:fldCharType="begin"/>
      </w:r>
      <w:r>
        <w:rPr>
          <w:noProof/>
        </w:rPr>
        <w:instrText xml:space="preserve"> PAGEREF _Toc77065157 \h </w:instrText>
      </w:r>
      <w:r>
        <w:rPr>
          <w:noProof/>
        </w:rPr>
      </w:r>
      <w:r>
        <w:rPr>
          <w:noProof/>
        </w:rPr>
        <w:fldChar w:fldCharType="separate"/>
      </w:r>
      <w:r w:rsidR="002F429D">
        <w:rPr>
          <w:noProof/>
        </w:rPr>
        <w:t>209</w:t>
      </w:r>
      <w:r>
        <w:rPr>
          <w:noProof/>
        </w:rPr>
        <w:fldChar w:fldCharType="end"/>
      </w:r>
    </w:p>
    <w:p w14:paraId="660F96A7" w14:textId="32E20A97" w:rsidR="000F7228" w:rsidRDefault="000F7228">
      <w:pPr>
        <w:pStyle w:val="TOC5"/>
        <w:rPr>
          <w:rFonts w:asciiTheme="minorHAnsi" w:eastAsiaTheme="minorEastAsia" w:hAnsiTheme="minorHAnsi" w:cstheme="minorBidi"/>
          <w:noProof/>
          <w:kern w:val="0"/>
          <w:sz w:val="22"/>
          <w:szCs w:val="22"/>
        </w:rPr>
      </w:pPr>
      <w:r>
        <w:rPr>
          <w:noProof/>
        </w:rPr>
        <w:t>8.1</w:t>
      </w:r>
      <w:r w:rsidRPr="003C3E47">
        <w:rPr>
          <w:noProof/>
          <w:color w:val="FF0000"/>
        </w:rPr>
        <w:t xml:space="preserve">  Interpretation</w:t>
      </w:r>
      <w:r>
        <w:rPr>
          <w:noProof/>
        </w:rPr>
        <w:tab/>
      </w:r>
      <w:r>
        <w:rPr>
          <w:noProof/>
        </w:rPr>
        <w:fldChar w:fldCharType="begin"/>
      </w:r>
      <w:r>
        <w:rPr>
          <w:noProof/>
        </w:rPr>
        <w:instrText xml:space="preserve"> PAGEREF _Toc77065158 \h </w:instrText>
      </w:r>
      <w:r>
        <w:rPr>
          <w:noProof/>
        </w:rPr>
      </w:r>
      <w:r>
        <w:rPr>
          <w:noProof/>
        </w:rPr>
        <w:fldChar w:fldCharType="separate"/>
      </w:r>
      <w:r w:rsidR="002F429D">
        <w:rPr>
          <w:noProof/>
        </w:rPr>
        <w:t>209</w:t>
      </w:r>
      <w:r>
        <w:rPr>
          <w:noProof/>
        </w:rPr>
        <w:fldChar w:fldCharType="end"/>
      </w:r>
    </w:p>
    <w:p w14:paraId="7F135F2E" w14:textId="05E8CB81" w:rsidR="000F7228" w:rsidRDefault="000F7228">
      <w:pPr>
        <w:pStyle w:val="TOC5"/>
        <w:rPr>
          <w:rFonts w:asciiTheme="minorHAnsi" w:eastAsiaTheme="minorEastAsia" w:hAnsiTheme="minorHAnsi" w:cstheme="minorBidi"/>
          <w:noProof/>
          <w:kern w:val="0"/>
          <w:sz w:val="22"/>
          <w:szCs w:val="22"/>
        </w:rPr>
      </w:pPr>
      <w:r>
        <w:rPr>
          <w:noProof/>
        </w:rPr>
        <w:t>8.2</w:t>
      </w:r>
      <w:r w:rsidRPr="003C3E47">
        <w:rPr>
          <w:noProof/>
          <w:color w:val="FF0000"/>
        </w:rPr>
        <w:t xml:space="preserve">  Meaning of </w:t>
      </w:r>
      <w:r w:rsidRPr="003C3E47">
        <w:rPr>
          <w:i/>
          <w:noProof/>
          <w:color w:val="FF0000"/>
        </w:rPr>
        <w:t>initial retailer</w:t>
      </w:r>
      <w:r>
        <w:rPr>
          <w:noProof/>
        </w:rPr>
        <w:tab/>
      </w:r>
      <w:r>
        <w:rPr>
          <w:noProof/>
        </w:rPr>
        <w:fldChar w:fldCharType="begin"/>
      </w:r>
      <w:r>
        <w:rPr>
          <w:noProof/>
        </w:rPr>
        <w:instrText xml:space="preserve"> PAGEREF _Toc77065159 \h </w:instrText>
      </w:r>
      <w:r>
        <w:rPr>
          <w:noProof/>
        </w:rPr>
      </w:r>
      <w:r>
        <w:rPr>
          <w:noProof/>
        </w:rPr>
        <w:fldChar w:fldCharType="separate"/>
      </w:r>
      <w:r w:rsidR="002F429D">
        <w:rPr>
          <w:noProof/>
        </w:rPr>
        <w:t>209</w:t>
      </w:r>
      <w:r>
        <w:rPr>
          <w:noProof/>
        </w:rPr>
        <w:fldChar w:fldCharType="end"/>
      </w:r>
    </w:p>
    <w:p w14:paraId="253751BD" w14:textId="2D510941" w:rsidR="000F7228" w:rsidRDefault="000F7228">
      <w:pPr>
        <w:pStyle w:val="TOC5"/>
        <w:rPr>
          <w:rFonts w:asciiTheme="minorHAnsi" w:eastAsiaTheme="minorEastAsia" w:hAnsiTheme="minorHAnsi" w:cstheme="minorBidi"/>
          <w:noProof/>
          <w:kern w:val="0"/>
          <w:sz w:val="22"/>
          <w:szCs w:val="22"/>
        </w:rPr>
      </w:pPr>
      <w:r>
        <w:rPr>
          <w:noProof/>
        </w:rPr>
        <w:t>8.3</w:t>
      </w:r>
      <w:r w:rsidRPr="003C3E47">
        <w:rPr>
          <w:noProof/>
          <w:color w:val="FF0000"/>
        </w:rPr>
        <w:t xml:space="preserve">  Product data requests under Part 2 of these rules</w:t>
      </w:r>
      <w:r>
        <w:rPr>
          <w:noProof/>
        </w:rPr>
        <w:tab/>
      </w:r>
      <w:r>
        <w:rPr>
          <w:noProof/>
        </w:rPr>
        <w:fldChar w:fldCharType="begin"/>
      </w:r>
      <w:r>
        <w:rPr>
          <w:noProof/>
        </w:rPr>
        <w:instrText xml:space="preserve"> PAGEREF _Toc77065160 \h </w:instrText>
      </w:r>
      <w:r>
        <w:rPr>
          <w:noProof/>
        </w:rPr>
      </w:r>
      <w:r>
        <w:rPr>
          <w:noProof/>
        </w:rPr>
        <w:fldChar w:fldCharType="separate"/>
      </w:r>
      <w:r w:rsidR="002F429D">
        <w:rPr>
          <w:noProof/>
        </w:rPr>
        <w:t>210</w:t>
      </w:r>
      <w:r>
        <w:rPr>
          <w:noProof/>
        </w:rPr>
        <w:fldChar w:fldCharType="end"/>
      </w:r>
    </w:p>
    <w:p w14:paraId="56477409" w14:textId="68E5E3A2" w:rsidR="000F7228" w:rsidRDefault="000F7228">
      <w:pPr>
        <w:pStyle w:val="TOC5"/>
        <w:rPr>
          <w:rFonts w:asciiTheme="minorHAnsi" w:eastAsiaTheme="minorEastAsia" w:hAnsiTheme="minorHAnsi" w:cstheme="minorBidi"/>
          <w:noProof/>
          <w:kern w:val="0"/>
          <w:sz w:val="22"/>
          <w:szCs w:val="22"/>
        </w:rPr>
      </w:pPr>
      <w:r>
        <w:rPr>
          <w:noProof/>
        </w:rPr>
        <w:t>8.4</w:t>
      </w:r>
      <w:r w:rsidRPr="003C3E47">
        <w:rPr>
          <w:noProof/>
          <w:color w:val="FF0000"/>
        </w:rPr>
        <w:t xml:space="preserve">  Consumer data requests under Part 3 of these rules</w:t>
      </w:r>
      <w:r>
        <w:rPr>
          <w:noProof/>
        </w:rPr>
        <w:tab/>
      </w:r>
      <w:r>
        <w:rPr>
          <w:noProof/>
        </w:rPr>
        <w:fldChar w:fldCharType="begin"/>
      </w:r>
      <w:r>
        <w:rPr>
          <w:noProof/>
        </w:rPr>
        <w:instrText xml:space="preserve"> PAGEREF _Toc77065161 \h </w:instrText>
      </w:r>
      <w:r>
        <w:rPr>
          <w:noProof/>
        </w:rPr>
      </w:r>
      <w:r>
        <w:rPr>
          <w:noProof/>
        </w:rPr>
        <w:fldChar w:fldCharType="separate"/>
      </w:r>
      <w:r w:rsidR="002F429D">
        <w:rPr>
          <w:noProof/>
        </w:rPr>
        <w:t>210</w:t>
      </w:r>
      <w:r>
        <w:rPr>
          <w:noProof/>
        </w:rPr>
        <w:fldChar w:fldCharType="end"/>
      </w:r>
    </w:p>
    <w:p w14:paraId="0E3B55D7" w14:textId="70C161B2" w:rsidR="000F7228" w:rsidRDefault="000F7228">
      <w:pPr>
        <w:pStyle w:val="TOC5"/>
        <w:rPr>
          <w:rFonts w:asciiTheme="minorHAnsi" w:eastAsiaTheme="minorEastAsia" w:hAnsiTheme="minorHAnsi" w:cstheme="minorBidi"/>
          <w:noProof/>
          <w:kern w:val="0"/>
          <w:sz w:val="22"/>
          <w:szCs w:val="22"/>
        </w:rPr>
      </w:pPr>
      <w:r>
        <w:rPr>
          <w:noProof/>
        </w:rPr>
        <w:t>8.5</w:t>
      </w:r>
      <w:r w:rsidRPr="003C3E47">
        <w:rPr>
          <w:noProof/>
          <w:color w:val="FF0000"/>
        </w:rPr>
        <w:t xml:space="preserve">  Consumer data requests under Part 4 of these rules</w:t>
      </w:r>
      <w:r>
        <w:rPr>
          <w:noProof/>
        </w:rPr>
        <w:tab/>
      </w:r>
      <w:r>
        <w:rPr>
          <w:noProof/>
        </w:rPr>
        <w:fldChar w:fldCharType="begin"/>
      </w:r>
      <w:r>
        <w:rPr>
          <w:noProof/>
        </w:rPr>
        <w:instrText xml:space="preserve"> PAGEREF _Toc77065162 \h </w:instrText>
      </w:r>
      <w:r>
        <w:rPr>
          <w:noProof/>
        </w:rPr>
      </w:r>
      <w:r>
        <w:rPr>
          <w:noProof/>
        </w:rPr>
        <w:fldChar w:fldCharType="separate"/>
      </w:r>
      <w:r w:rsidR="002F429D">
        <w:rPr>
          <w:noProof/>
        </w:rPr>
        <w:t>210</w:t>
      </w:r>
      <w:r>
        <w:rPr>
          <w:noProof/>
        </w:rPr>
        <w:fldChar w:fldCharType="end"/>
      </w:r>
    </w:p>
    <w:p w14:paraId="1558C10C" w14:textId="07EAD777" w:rsidR="000F7228" w:rsidRDefault="000F7228">
      <w:pPr>
        <w:pStyle w:val="TOC5"/>
        <w:rPr>
          <w:rFonts w:asciiTheme="minorHAnsi" w:eastAsiaTheme="minorEastAsia" w:hAnsiTheme="minorHAnsi" w:cstheme="minorBidi"/>
          <w:noProof/>
          <w:kern w:val="0"/>
          <w:sz w:val="22"/>
          <w:szCs w:val="22"/>
        </w:rPr>
      </w:pPr>
      <w:r>
        <w:rPr>
          <w:noProof/>
        </w:rPr>
        <w:t>8.6</w:t>
      </w:r>
      <w:r w:rsidRPr="003C3E47">
        <w:rPr>
          <w:noProof/>
          <w:color w:val="FF0000"/>
        </w:rPr>
        <w:t xml:space="preserve">  Authorisation to disclose CDR data before being required to do so</w:t>
      </w:r>
      <w:r>
        <w:rPr>
          <w:noProof/>
        </w:rPr>
        <w:tab/>
      </w:r>
      <w:r>
        <w:rPr>
          <w:noProof/>
        </w:rPr>
        <w:fldChar w:fldCharType="begin"/>
      </w:r>
      <w:r>
        <w:rPr>
          <w:noProof/>
        </w:rPr>
        <w:instrText xml:space="preserve"> PAGEREF _Toc77065163 \h </w:instrText>
      </w:r>
      <w:r>
        <w:rPr>
          <w:noProof/>
        </w:rPr>
      </w:r>
      <w:r>
        <w:rPr>
          <w:noProof/>
        </w:rPr>
        <w:fldChar w:fldCharType="separate"/>
      </w:r>
      <w:r w:rsidR="002F429D">
        <w:rPr>
          <w:noProof/>
        </w:rPr>
        <w:t>210</w:t>
      </w:r>
      <w:r>
        <w:rPr>
          <w:noProof/>
        </w:rPr>
        <w:fldChar w:fldCharType="end"/>
      </w:r>
    </w:p>
    <w:p w14:paraId="08F295B8" w14:textId="7EACC700" w:rsidR="000F7228" w:rsidRDefault="000F7228">
      <w:pPr>
        <w:pStyle w:val="TOC5"/>
        <w:rPr>
          <w:rFonts w:asciiTheme="minorHAnsi" w:eastAsiaTheme="minorEastAsia" w:hAnsiTheme="minorHAnsi" w:cstheme="minorBidi"/>
          <w:noProof/>
          <w:kern w:val="0"/>
          <w:sz w:val="22"/>
          <w:szCs w:val="22"/>
        </w:rPr>
      </w:pPr>
      <w:r>
        <w:rPr>
          <w:noProof/>
        </w:rPr>
        <w:t>8.7</w:t>
      </w:r>
      <w:r w:rsidRPr="003C3E47">
        <w:rPr>
          <w:noProof/>
          <w:color w:val="FF0000"/>
        </w:rPr>
        <w:t xml:space="preserve">  Application of certain rules</w:t>
      </w:r>
      <w:r>
        <w:rPr>
          <w:noProof/>
        </w:rPr>
        <w:tab/>
      </w:r>
      <w:r>
        <w:rPr>
          <w:noProof/>
        </w:rPr>
        <w:fldChar w:fldCharType="begin"/>
      </w:r>
      <w:r>
        <w:rPr>
          <w:noProof/>
        </w:rPr>
        <w:instrText xml:space="preserve"> PAGEREF _Toc77065164 \h </w:instrText>
      </w:r>
      <w:r>
        <w:rPr>
          <w:noProof/>
        </w:rPr>
      </w:r>
      <w:r>
        <w:rPr>
          <w:noProof/>
        </w:rPr>
        <w:fldChar w:fldCharType="separate"/>
      </w:r>
      <w:r w:rsidR="002F429D">
        <w:rPr>
          <w:noProof/>
        </w:rPr>
        <w:t>211</w:t>
      </w:r>
      <w:r>
        <w:rPr>
          <w:noProof/>
        </w:rPr>
        <w:fldChar w:fldCharType="end"/>
      </w:r>
    </w:p>
    <w:p w14:paraId="5D667BB3" w14:textId="5944485D" w:rsidR="000F7228" w:rsidRDefault="000F7228">
      <w:pPr>
        <w:pStyle w:val="TOC2"/>
        <w:rPr>
          <w:rFonts w:asciiTheme="minorHAnsi" w:eastAsiaTheme="minorEastAsia" w:hAnsiTheme="minorHAnsi" w:cstheme="minorBidi"/>
          <w:b w:val="0"/>
          <w:noProof/>
          <w:kern w:val="0"/>
          <w:sz w:val="22"/>
          <w:szCs w:val="22"/>
        </w:rPr>
      </w:pPr>
      <w:r>
        <w:rPr>
          <w:noProof/>
        </w:rPr>
        <w:t xml:space="preserve">Part 9 </w:t>
      </w:r>
      <w:r w:rsidRPr="003C3E47">
        <w:rPr>
          <w:noProof/>
          <w:color w:val="FF0000"/>
        </w:rPr>
        <w:t>—Other rules, and modifications of these rules, for the energy sector</w:t>
      </w:r>
      <w:r>
        <w:rPr>
          <w:noProof/>
        </w:rPr>
        <w:tab/>
      </w:r>
      <w:r>
        <w:rPr>
          <w:noProof/>
        </w:rPr>
        <w:fldChar w:fldCharType="begin"/>
      </w:r>
      <w:r>
        <w:rPr>
          <w:noProof/>
        </w:rPr>
        <w:instrText xml:space="preserve"> PAGEREF _Toc77065165 \h </w:instrText>
      </w:r>
      <w:r>
        <w:rPr>
          <w:noProof/>
        </w:rPr>
      </w:r>
      <w:r>
        <w:rPr>
          <w:noProof/>
        </w:rPr>
        <w:fldChar w:fldCharType="separate"/>
      </w:r>
      <w:r w:rsidR="002F429D">
        <w:rPr>
          <w:noProof/>
        </w:rPr>
        <w:t>211</w:t>
      </w:r>
      <w:r>
        <w:rPr>
          <w:noProof/>
        </w:rPr>
        <w:fldChar w:fldCharType="end"/>
      </w:r>
    </w:p>
    <w:p w14:paraId="3FA46349" w14:textId="290F4F8B" w:rsidR="000F7228" w:rsidRDefault="000F7228">
      <w:pPr>
        <w:pStyle w:val="TOC5"/>
        <w:rPr>
          <w:rFonts w:asciiTheme="minorHAnsi" w:eastAsiaTheme="minorEastAsia" w:hAnsiTheme="minorHAnsi" w:cstheme="minorBidi"/>
          <w:noProof/>
          <w:kern w:val="0"/>
          <w:sz w:val="22"/>
          <w:szCs w:val="22"/>
        </w:rPr>
      </w:pPr>
      <w:r>
        <w:rPr>
          <w:noProof/>
        </w:rPr>
        <w:t>9.1</w:t>
      </w:r>
      <w:r w:rsidRPr="003C3E47">
        <w:rPr>
          <w:noProof/>
          <w:color w:val="FF0000"/>
        </w:rPr>
        <w:t xml:space="preserve">  Laws relevant to the management of CDR data—energy sector</w:t>
      </w:r>
      <w:r>
        <w:rPr>
          <w:noProof/>
        </w:rPr>
        <w:tab/>
      </w:r>
      <w:r>
        <w:rPr>
          <w:noProof/>
        </w:rPr>
        <w:fldChar w:fldCharType="begin"/>
      </w:r>
      <w:r>
        <w:rPr>
          <w:noProof/>
        </w:rPr>
        <w:instrText xml:space="preserve"> PAGEREF _Toc77065166 \h </w:instrText>
      </w:r>
      <w:r>
        <w:rPr>
          <w:noProof/>
        </w:rPr>
      </w:r>
      <w:r>
        <w:rPr>
          <w:noProof/>
        </w:rPr>
        <w:fldChar w:fldCharType="separate"/>
      </w:r>
      <w:r w:rsidR="002F429D">
        <w:rPr>
          <w:noProof/>
        </w:rPr>
        <w:t>211</w:t>
      </w:r>
      <w:r>
        <w:rPr>
          <w:noProof/>
        </w:rPr>
        <w:fldChar w:fldCharType="end"/>
      </w:r>
    </w:p>
    <w:p w14:paraId="2081B885" w14:textId="6FE6E468" w:rsidR="000F7228" w:rsidRDefault="000F7228">
      <w:pPr>
        <w:pStyle w:val="TOC5"/>
        <w:rPr>
          <w:rFonts w:asciiTheme="minorHAnsi" w:eastAsiaTheme="minorEastAsia" w:hAnsiTheme="minorHAnsi" w:cstheme="minorBidi"/>
          <w:noProof/>
          <w:kern w:val="0"/>
          <w:sz w:val="22"/>
          <w:szCs w:val="22"/>
        </w:rPr>
      </w:pPr>
      <w:r>
        <w:rPr>
          <w:noProof/>
        </w:rPr>
        <w:t>9.2</w:t>
      </w:r>
      <w:r w:rsidRPr="003C3E47">
        <w:rPr>
          <w:noProof/>
          <w:color w:val="FF0000"/>
        </w:rPr>
        <w:t xml:space="preserve">  Conditions for accredited person to be data holder</w:t>
      </w:r>
      <w:r>
        <w:rPr>
          <w:noProof/>
        </w:rPr>
        <w:tab/>
      </w:r>
      <w:r>
        <w:rPr>
          <w:noProof/>
        </w:rPr>
        <w:fldChar w:fldCharType="begin"/>
      </w:r>
      <w:r>
        <w:rPr>
          <w:noProof/>
        </w:rPr>
        <w:instrText xml:space="preserve"> PAGEREF _Toc77065167 \h </w:instrText>
      </w:r>
      <w:r>
        <w:rPr>
          <w:noProof/>
        </w:rPr>
      </w:r>
      <w:r>
        <w:rPr>
          <w:noProof/>
        </w:rPr>
        <w:fldChar w:fldCharType="separate"/>
      </w:r>
      <w:r w:rsidR="002F429D">
        <w:rPr>
          <w:noProof/>
        </w:rPr>
        <w:t>211</w:t>
      </w:r>
      <w:r>
        <w:rPr>
          <w:noProof/>
        </w:rPr>
        <w:fldChar w:fldCharType="end"/>
      </w:r>
    </w:p>
    <w:p w14:paraId="2B90875B" w14:textId="1D928570" w:rsidR="000F7228" w:rsidRDefault="000F7228">
      <w:pPr>
        <w:pStyle w:val="TOC5"/>
        <w:rPr>
          <w:rFonts w:asciiTheme="minorHAnsi" w:eastAsiaTheme="minorEastAsia" w:hAnsiTheme="minorHAnsi" w:cstheme="minorBidi"/>
          <w:noProof/>
          <w:kern w:val="0"/>
          <w:sz w:val="22"/>
          <w:szCs w:val="22"/>
        </w:rPr>
      </w:pPr>
      <w:r>
        <w:rPr>
          <w:noProof/>
        </w:rPr>
        <w:t>9.3</w:t>
      </w:r>
      <w:r w:rsidRPr="003C3E47">
        <w:rPr>
          <w:noProof/>
          <w:color w:val="FF0000"/>
        </w:rPr>
        <w:t xml:space="preserve">  Consultation by Data Recipient Accreditor (rule 5.4)</w:t>
      </w:r>
      <w:r>
        <w:rPr>
          <w:noProof/>
        </w:rPr>
        <w:tab/>
      </w:r>
      <w:r>
        <w:rPr>
          <w:noProof/>
        </w:rPr>
        <w:fldChar w:fldCharType="begin"/>
      </w:r>
      <w:r>
        <w:rPr>
          <w:noProof/>
        </w:rPr>
        <w:instrText xml:space="preserve"> PAGEREF _Toc77065168 \h </w:instrText>
      </w:r>
      <w:r>
        <w:rPr>
          <w:noProof/>
        </w:rPr>
      </w:r>
      <w:r>
        <w:rPr>
          <w:noProof/>
        </w:rPr>
        <w:fldChar w:fldCharType="separate"/>
      </w:r>
      <w:r w:rsidR="002F429D">
        <w:rPr>
          <w:noProof/>
        </w:rPr>
        <w:t>212</w:t>
      </w:r>
      <w:r>
        <w:rPr>
          <w:noProof/>
        </w:rPr>
        <w:fldChar w:fldCharType="end"/>
      </w:r>
    </w:p>
    <w:p w14:paraId="62A57B02" w14:textId="7521ADC7" w:rsidR="000F7228" w:rsidRDefault="000F7228">
      <w:pPr>
        <w:pStyle w:val="TOC5"/>
        <w:rPr>
          <w:rFonts w:asciiTheme="minorHAnsi" w:eastAsiaTheme="minorEastAsia" w:hAnsiTheme="minorHAnsi" w:cstheme="minorBidi"/>
          <w:noProof/>
          <w:kern w:val="0"/>
          <w:sz w:val="22"/>
          <w:szCs w:val="22"/>
        </w:rPr>
      </w:pPr>
      <w:r>
        <w:rPr>
          <w:noProof/>
        </w:rPr>
        <w:t>9.4</w:t>
      </w:r>
      <w:r w:rsidRPr="003C3E47">
        <w:rPr>
          <w:noProof/>
          <w:color w:val="FF0000"/>
        </w:rPr>
        <w:t xml:space="preserve">  AEMO not to appear on Registrar’s data base (rule 5.25)</w:t>
      </w:r>
      <w:r>
        <w:rPr>
          <w:noProof/>
        </w:rPr>
        <w:tab/>
      </w:r>
      <w:r>
        <w:rPr>
          <w:noProof/>
        </w:rPr>
        <w:fldChar w:fldCharType="begin"/>
      </w:r>
      <w:r>
        <w:rPr>
          <w:noProof/>
        </w:rPr>
        <w:instrText xml:space="preserve"> PAGEREF _Toc77065169 \h </w:instrText>
      </w:r>
      <w:r>
        <w:rPr>
          <w:noProof/>
        </w:rPr>
      </w:r>
      <w:r>
        <w:rPr>
          <w:noProof/>
        </w:rPr>
        <w:fldChar w:fldCharType="separate"/>
      </w:r>
      <w:r w:rsidR="002F429D">
        <w:rPr>
          <w:noProof/>
        </w:rPr>
        <w:t>212</w:t>
      </w:r>
      <w:r>
        <w:rPr>
          <w:noProof/>
        </w:rPr>
        <w:fldChar w:fldCharType="end"/>
      </w:r>
    </w:p>
    <w:p w14:paraId="016CEA7A" w14:textId="3D48CA32" w:rsidR="000F7228" w:rsidRDefault="000F7228">
      <w:pPr>
        <w:pStyle w:val="TOC5"/>
        <w:rPr>
          <w:rFonts w:asciiTheme="minorHAnsi" w:eastAsiaTheme="minorEastAsia" w:hAnsiTheme="minorHAnsi" w:cstheme="minorBidi"/>
          <w:noProof/>
          <w:kern w:val="0"/>
          <w:sz w:val="22"/>
          <w:szCs w:val="22"/>
        </w:rPr>
      </w:pPr>
      <w:r>
        <w:rPr>
          <w:noProof/>
        </w:rPr>
        <w:t>9.5</w:t>
      </w:r>
      <w:r w:rsidRPr="003C3E47">
        <w:rPr>
          <w:noProof/>
          <w:color w:val="FF0000"/>
        </w:rPr>
        <w:t xml:space="preserve">  Grounds for revocation, suspension and surrender of accreditation—energy sector</w:t>
      </w:r>
      <w:r>
        <w:rPr>
          <w:noProof/>
        </w:rPr>
        <w:tab/>
      </w:r>
      <w:r>
        <w:rPr>
          <w:noProof/>
        </w:rPr>
        <w:fldChar w:fldCharType="begin"/>
      </w:r>
      <w:r>
        <w:rPr>
          <w:noProof/>
        </w:rPr>
        <w:instrText xml:space="preserve"> PAGEREF _Toc77065170 \h </w:instrText>
      </w:r>
      <w:r>
        <w:rPr>
          <w:noProof/>
        </w:rPr>
      </w:r>
      <w:r>
        <w:rPr>
          <w:noProof/>
        </w:rPr>
        <w:fldChar w:fldCharType="separate"/>
      </w:r>
      <w:r w:rsidR="002F429D">
        <w:rPr>
          <w:noProof/>
        </w:rPr>
        <w:t>213</w:t>
      </w:r>
      <w:r>
        <w:rPr>
          <w:noProof/>
        </w:rPr>
        <w:fldChar w:fldCharType="end"/>
      </w:r>
    </w:p>
    <w:p w14:paraId="4ED52378" w14:textId="06EC33FF" w:rsidR="000F7228" w:rsidRDefault="000F7228">
      <w:pPr>
        <w:pStyle w:val="TOC6"/>
        <w:rPr>
          <w:rFonts w:asciiTheme="minorHAnsi" w:eastAsiaTheme="minorEastAsia" w:hAnsiTheme="minorHAnsi" w:cstheme="minorBidi"/>
          <w:b w:val="0"/>
          <w:noProof/>
          <w:kern w:val="0"/>
          <w:sz w:val="22"/>
          <w:szCs w:val="22"/>
        </w:rPr>
      </w:pPr>
      <w:r>
        <w:rPr>
          <w:noProof/>
        </w:rPr>
        <w:t xml:space="preserve">Transitional provisions from the proposed </w:t>
      </w:r>
      <w:r w:rsidRPr="003C3E47">
        <w:rPr>
          <w:i/>
          <w:noProof/>
        </w:rPr>
        <w:t>Competition and Consumer (Consumer Data Right) Amendment Rules (No. 1) 2021</w:t>
      </w:r>
      <w:r>
        <w:rPr>
          <w:i/>
          <w:noProof/>
        </w:rPr>
        <w:t xml:space="preserve"> </w:t>
      </w:r>
      <w:r>
        <w:rPr>
          <w:noProof/>
        </w:rPr>
        <w:t xml:space="preserve">(Exposure draft of </w:t>
      </w:r>
      <w:r w:rsidR="001634C9">
        <w:rPr>
          <w:noProof/>
        </w:rPr>
        <w:t>1 July</w:t>
      </w:r>
      <w:r>
        <w:rPr>
          <w:noProof/>
        </w:rPr>
        <w:t>)</w:t>
      </w:r>
      <w:r>
        <w:rPr>
          <w:noProof/>
        </w:rPr>
        <w:tab/>
      </w:r>
      <w:r>
        <w:rPr>
          <w:noProof/>
        </w:rPr>
        <w:fldChar w:fldCharType="begin"/>
      </w:r>
      <w:r>
        <w:rPr>
          <w:noProof/>
        </w:rPr>
        <w:instrText xml:space="preserve"> PAGEREF _Toc77065173 \h </w:instrText>
      </w:r>
      <w:r>
        <w:rPr>
          <w:noProof/>
        </w:rPr>
      </w:r>
      <w:r>
        <w:rPr>
          <w:noProof/>
        </w:rPr>
        <w:fldChar w:fldCharType="separate"/>
      </w:r>
      <w:r w:rsidR="002F429D">
        <w:rPr>
          <w:noProof/>
        </w:rPr>
        <w:t>213</w:t>
      </w:r>
      <w:r>
        <w:rPr>
          <w:noProof/>
        </w:rPr>
        <w:fldChar w:fldCharType="end"/>
      </w:r>
    </w:p>
    <w:p w14:paraId="650A5C69" w14:textId="15D1DA25" w:rsidR="000F7228" w:rsidRDefault="000F7228">
      <w:pPr>
        <w:pStyle w:val="TOC9"/>
        <w:rPr>
          <w:rFonts w:asciiTheme="minorHAnsi" w:eastAsiaTheme="minorEastAsia" w:hAnsiTheme="minorHAnsi" w:cstheme="minorBidi"/>
          <w:i w:val="0"/>
          <w:noProof/>
          <w:kern w:val="0"/>
          <w:sz w:val="22"/>
          <w:szCs w:val="22"/>
        </w:rPr>
      </w:pPr>
    </w:p>
    <w:p w14:paraId="56F6F06B" w14:textId="5F139273" w:rsidR="00CF0E3D" w:rsidRPr="008B1BE1" w:rsidRDefault="00CF0E3D" w:rsidP="00CF0E3D">
      <w:pPr>
        <w:outlineLvl w:val="0"/>
        <w:sectPr w:rsidR="00CF0E3D" w:rsidRPr="008B1BE1" w:rsidSect="003507D2">
          <w:headerReference w:type="even" r:id="rId8"/>
          <w:headerReference w:type="default" r:id="rId9"/>
          <w:footerReference w:type="even" r:id="rId10"/>
          <w:footerReference w:type="default" r:id="rId11"/>
          <w:headerReference w:type="first" r:id="rId12"/>
          <w:pgSz w:w="11907" w:h="16839"/>
          <w:pgMar w:top="2099" w:right="1797" w:bottom="1440" w:left="1797" w:header="720" w:footer="709" w:gutter="0"/>
          <w:pgNumType w:fmt="lowerRoman" w:start="1"/>
          <w:cols w:space="708"/>
          <w:docGrid w:linePitch="360"/>
        </w:sectPr>
      </w:pPr>
      <w:r>
        <w:fldChar w:fldCharType="end"/>
      </w:r>
      <w:r>
        <w:tab/>
      </w:r>
    </w:p>
    <w:p w14:paraId="5A722584" w14:textId="247ED77C" w:rsidR="00CF0E3D" w:rsidRDefault="00CF0E3D" w:rsidP="00CF0E3D">
      <w:pPr>
        <w:pStyle w:val="ActHead2"/>
      </w:pPr>
      <w:bookmarkStart w:id="0" w:name="_Toc11771556"/>
      <w:bookmarkStart w:id="1" w:name="_Toc77064811"/>
      <w:r>
        <w:lastRenderedPageBreak/>
        <w:t>Part 1—Preliminary</w:t>
      </w:r>
      <w:bookmarkEnd w:id="0"/>
      <w:bookmarkEnd w:id="1"/>
    </w:p>
    <w:p w14:paraId="68162153" w14:textId="77777777" w:rsidR="00CF0E3D" w:rsidRPr="000C3240" w:rsidRDefault="00CF0E3D" w:rsidP="00CF0E3D">
      <w:pPr>
        <w:pStyle w:val="ActHead3"/>
        <w:rPr>
          <w:color w:val="000000" w:themeColor="text1"/>
        </w:rPr>
      </w:pPr>
      <w:bookmarkStart w:id="2" w:name="_Toc11771557"/>
      <w:bookmarkStart w:id="3" w:name="_Toc77064812"/>
      <w:r>
        <w:t>Division 1.1</w:t>
      </w:r>
      <w:r w:rsidRPr="00B3173B">
        <w:t>—Preliminary</w:t>
      </w:r>
      <w:bookmarkEnd w:id="2"/>
      <w:bookmarkEnd w:id="3"/>
    </w:p>
    <w:p w14:paraId="34096E54" w14:textId="77777777" w:rsidR="00CF0E3D" w:rsidRPr="00554826" w:rsidRDefault="00CF0E3D" w:rsidP="00CF0E3D">
      <w:pPr>
        <w:pStyle w:val="ActHead5"/>
      </w:pPr>
      <w:bookmarkStart w:id="4" w:name="_Toc11771558"/>
      <w:bookmarkStart w:id="5" w:name="_Toc77064813"/>
      <w:r>
        <w:t xml:space="preserve">1.1  </w:t>
      </w:r>
      <w:r w:rsidRPr="00554826">
        <w:t>Name</w:t>
      </w:r>
      <w:bookmarkEnd w:id="4"/>
      <w:bookmarkEnd w:id="5"/>
    </w:p>
    <w:p w14:paraId="68DA6C0C" w14:textId="77777777" w:rsidR="00CF0E3D" w:rsidRDefault="00CF0E3D" w:rsidP="00CF0E3D">
      <w:pPr>
        <w:pStyle w:val="subsection"/>
      </w:pPr>
      <w:r w:rsidRPr="009C2562">
        <w:tab/>
      </w:r>
      <w:r w:rsidRPr="009C2562">
        <w:tab/>
        <w:t xml:space="preserve">This </w:t>
      </w:r>
      <w:r>
        <w:t xml:space="preserve">instrument </w:t>
      </w:r>
      <w:r w:rsidRPr="009C2562">
        <w:t xml:space="preserve">is the </w:t>
      </w:r>
      <w:bookmarkStart w:id="6" w:name="BKCheck15B_3"/>
      <w:bookmarkEnd w:id="6"/>
      <w:r>
        <w:rPr>
          <w:i/>
          <w:noProof/>
        </w:rPr>
        <w:t>Competition and Consumer (Consumer Data Right) Rules 2020</w:t>
      </w:r>
      <w:r w:rsidRPr="009C2562">
        <w:t>.</w:t>
      </w:r>
    </w:p>
    <w:p w14:paraId="1E6FF8E7" w14:textId="77777777" w:rsidR="00CF0E3D" w:rsidRDefault="00CF0E3D" w:rsidP="00CF0E3D">
      <w:pPr>
        <w:pStyle w:val="ActHead5"/>
      </w:pPr>
      <w:bookmarkStart w:id="7" w:name="_Toc11771560"/>
      <w:bookmarkStart w:id="8" w:name="_Toc77064814"/>
      <w:r>
        <w:t xml:space="preserve">1.3  </w:t>
      </w:r>
      <w:r w:rsidRPr="00554826">
        <w:t>Authority</w:t>
      </w:r>
      <w:bookmarkEnd w:id="7"/>
      <w:bookmarkEnd w:id="8"/>
    </w:p>
    <w:p w14:paraId="48AC8903" w14:textId="77777777" w:rsidR="00CF0E3D" w:rsidRPr="00693A57" w:rsidRDefault="00CF0E3D" w:rsidP="00CF0E3D">
      <w:pPr>
        <w:pStyle w:val="subsection"/>
        <w:rPr>
          <w:color w:val="FF0000"/>
        </w:rPr>
      </w:pPr>
      <w:r w:rsidRPr="009C2562">
        <w:tab/>
      </w:r>
      <w:r w:rsidRPr="009C2562">
        <w:tab/>
        <w:t>This instrument is made under</w:t>
      </w:r>
      <w:r>
        <w:t xml:space="preserve"> section 56BA of the </w:t>
      </w:r>
      <w:r>
        <w:rPr>
          <w:i/>
        </w:rPr>
        <w:t>Competition and Consumer Act 2010</w:t>
      </w:r>
      <w:r w:rsidRPr="009C2562">
        <w:t>.</w:t>
      </w:r>
    </w:p>
    <w:p w14:paraId="1E1122CA" w14:textId="77777777" w:rsidR="00CF0E3D" w:rsidRPr="00B3173B" w:rsidRDefault="00CF0E3D" w:rsidP="00CF0E3D">
      <w:pPr>
        <w:pStyle w:val="ActHead3"/>
        <w:pageBreakBefore/>
      </w:pPr>
      <w:bookmarkStart w:id="9" w:name="_Toc11771561"/>
      <w:bookmarkStart w:id="10" w:name="_Toc77064815"/>
      <w:r>
        <w:lastRenderedPageBreak/>
        <w:t>Division 1.2</w:t>
      </w:r>
      <w:r w:rsidRPr="00B3173B">
        <w:t>—Simplified outline and overview of these rules</w:t>
      </w:r>
      <w:bookmarkEnd w:id="9"/>
      <w:bookmarkEnd w:id="10"/>
    </w:p>
    <w:p w14:paraId="12706C0A" w14:textId="77777777" w:rsidR="00CF0E3D" w:rsidRDefault="00CF0E3D" w:rsidP="00CF0E3D">
      <w:pPr>
        <w:pStyle w:val="ActHead5"/>
      </w:pPr>
      <w:bookmarkStart w:id="11" w:name="_Toc11771562"/>
      <w:bookmarkStart w:id="12" w:name="_Toc77064816"/>
      <w:r>
        <w:t>1.4</w:t>
      </w:r>
      <w:r w:rsidRPr="00225545">
        <w:t xml:space="preserve">  Simplified outline of these rules</w:t>
      </w:r>
      <w:bookmarkEnd w:id="11"/>
      <w:bookmarkEnd w:id="12"/>
    </w:p>
    <w:p w14:paraId="7DED6823" w14:textId="77777777" w:rsidR="00CF0E3D" w:rsidRPr="00A20945" w:rsidRDefault="00CF0E3D" w:rsidP="00CF0E3D">
      <w:pPr>
        <w:pStyle w:val="SOText"/>
      </w:pPr>
      <w:r w:rsidRPr="00A20945">
        <w:t>There are 3 ways to request CDR data under these rules.</w:t>
      </w:r>
    </w:p>
    <w:p w14:paraId="17C102E0" w14:textId="77777777" w:rsidR="00CF0E3D" w:rsidRPr="00A20945" w:rsidRDefault="00CF0E3D" w:rsidP="00CF0E3D">
      <w:pPr>
        <w:pStyle w:val="SOHeadBold"/>
      </w:pPr>
      <w:r w:rsidRPr="00A20945">
        <w:t>Product data requests</w:t>
      </w:r>
    </w:p>
    <w:p w14:paraId="6297FE1A" w14:textId="77777777" w:rsidR="00CF0E3D" w:rsidRPr="00A20945" w:rsidRDefault="00CF0E3D" w:rsidP="00CF0E3D">
      <w:pPr>
        <w:pStyle w:val="SOText"/>
        <w:spacing w:before="40"/>
      </w:pPr>
      <w:r w:rsidRPr="00A20945">
        <w:t xml:space="preserve">Any person may request a data holder to disclose CDR data that relates to </w:t>
      </w:r>
      <w:r>
        <w:t>product</w:t>
      </w:r>
      <w:r w:rsidRPr="00A20945">
        <w:t xml:space="preserve">s offered by the data holder. Such a request is called </w:t>
      </w:r>
      <w:r w:rsidRPr="00A20945">
        <w:rPr>
          <w:rFonts w:cs="Times New Roman"/>
        </w:rPr>
        <w:t>a product data request</w:t>
      </w:r>
      <w:r w:rsidRPr="00A20945">
        <w:t>.</w:t>
      </w:r>
    </w:p>
    <w:p w14:paraId="7BFC0428" w14:textId="77777777" w:rsidR="00CF0E3D" w:rsidRPr="00A20945" w:rsidRDefault="00CF0E3D" w:rsidP="00CF0E3D">
      <w:pPr>
        <w:pStyle w:val="SOText"/>
      </w:pPr>
      <w:r w:rsidRPr="00A20945">
        <w:t xml:space="preserve">A product data request is made in accordance with relevant data standards, using a specialised service provided by the data holder. Such a request cannot be made for CDR data that relates to </w:t>
      </w:r>
      <w:r w:rsidRPr="007E69B9">
        <w:t xml:space="preserve">a </w:t>
      </w:r>
      <w:r w:rsidRPr="00A20945">
        <w:t>particular identifiable CDR consumer. The data is disclosed, in machine</w:t>
      </w:r>
      <w:r w:rsidRPr="00A20945">
        <w:noBreakHyphen/>
        <w:t>readable form, to the person who made the request.</w:t>
      </w:r>
      <w:r>
        <w:t xml:space="preserve"> </w:t>
      </w:r>
      <w:r w:rsidRPr="00796ADB">
        <w:t>The data holder cannot impose conditions, restrictions or limitations of any kind on the use of the disclosed data.</w:t>
      </w:r>
    </w:p>
    <w:p w14:paraId="0E387522" w14:textId="77777777" w:rsidR="00CF0E3D" w:rsidRPr="00A20945" w:rsidRDefault="00CF0E3D" w:rsidP="00CF0E3D">
      <w:pPr>
        <w:pStyle w:val="SOHeadBold"/>
      </w:pPr>
      <w:r w:rsidRPr="00A20945">
        <w:t xml:space="preserve">Consumer data requests made </w:t>
      </w:r>
      <w:r>
        <w:t>by CDR consumers</w:t>
      </w:r>
    </w:p>
    <w:p w14:paraId="26F263E8" w14:textId="77777777" w:rsidR="00CF0E3D" w:rsidRPr="00A20945" w:rsidRDefault="00CF0E3D" w:rsidP="00CF0E3D">
      <w:pPr>
        <w:pStyle w:val="SOText"/>
        <w:spacing w:before="40"/>
      </w:pPr>
      <w:r w:rsidRPr="00A20945">
        <w:t xml:space="preserve">A CDR consumer </w:t>
      </w:r>
      <w:r w:rsidRPr="00796ADB">
        <w:t>who, in accordance with a Schedule to these rules, is eligible to do so</w:t>
      </w:r>
      <w:r w:rsidRPr="007C39E2">
        <w:t xml:space="preserve"> </w:t>
      </w:r>
      <w:r w:rsidRPr="00A20945">
        <w:t>may</w:t>
      </w:r>
      <w:r>
        <w:t xml:space="preserve"> directly</w:t>
      </w:r>
      <w:r w:rsidRPr="00A20945">
        <w:t xml:space="preserve"> request a data holder to disclose CDR data </w:t>
      </w:r>
      <w:r>
        <w:t>that relates to them</w:t>
      </w:r>
      <w:r w:rsidRPr="00A20945">
        <w:t>.</w:t>
      </w:r>
      <w:r>
        <w:t xml:space="preserve"> Such a request is called a consumer data request.</w:t>
      </w:r>
    </w:p>
    <w:p w14:paraId="3BEF8ADB" w14:textId="77777777" w:rsidR="00CF0E3D" w:rsidRDefault="00CF0E3D" w:rsidP="00CF0E3D">
      <w:pPr>
        <w:pStyle w:val="SOText"/>
      </w:pPr>
      <w:r w:rsidRPr="00A20945">
        <w:t xml:space="preserve">A consumer data request that is made directly to a data holder is made using </w:t>
      </w:r>
      <w:r w:rsidRPr="00BD2AB7">
        <w:t xml:space="preserve">a specialised </w:t>
      </w:r>
      <w:r w:rsidRPr="00A20945">
        <w:t>online service provided by the data holder. The data is disclosed, in human</w:t>
      </w:r>
      <w:r w:rsidRPr="00A20945">
        <w:noBreakHyphen/>
        <w:t>readable form, to the CDR consumer who made the request.</w:t>
      </w:r>
    </w:p>
    <w:p w14:paraId="6FAEC9A6" w14:textId="77777777" w:rsidR="00CF0E3D" w:rsidRPr="00A20945" w:rsidRDefault="00CF0E3D" w:rsidP="00CF0E3D">
      <w:pPr>
        <w:pStyle w:val="SOHeadBold"/>
      </w:pPr>
      <w:r>
        <w:t>C</w:t>
      </w:r>
      <w:r w:rsidRPr="00A20945">
        <w:t xml:space="preserve">onsumer data requests made </w:t>
      </w:r>
      <w:r>
        <w:t>on behalf of CDR consumers</w:t>
      </w:r>
    </w:p>
    <w:p w14:paraId="1F7ADA32" w14:textId="77777777" w:rsidR="00CF0E3D" w:rsidRPr="00F07699" w:rsidRDefault="00CF0E3D" w:rsidP="00CF0E3D">
      <w:pPr>
        <w:pStyle w:val="SOText"/>
      </w:pPr>
      <w:r w:rsidRPr="00F07699">
        <w:t>A CDR consumer who, in accordance with a Schedule to these rules, is eligible to do so may request an accredited person to request a</w:t>
      </w:r>
      <w:r w:rsidRPr="00572C56">
        <w:t xml:space="preserve"> </w:t>
      </w:r>
      <w:r w:rsidRPr="00771FEA">
        <w:t xml:space="preserve">CDR participant </w:t>
      </w:r>
      <w:r w:rsidRPr="00F07699">
        <w:t>to disclose CDR data that relates to the consumer. The request made by the accredited person is called a consumer data request.</w:t>
      </w:r>
    </w:p>
    <w:p w14:paraId="4711716D" w14:textId="77777777" w:rsidR="00CF0E3D" w:rsidRPr="00F07699" w:rsidRDefault="00CF0E3D" w:rsidP="00CF0E3D">
      <w:pPr>
        <w:pStyle w:val="SOText"/>
      </w:pPr>
      <w:r w:rsidRPr="00F07699">
        <w:t xml:space="preserve">A consumer data request that is made </w:t>
      </w:r>
      <w:r w:rsidRPr="00771FEA">
        <w:t xml:space="preserve">to a data holder </w:t>
      </w:r>
      <w:r w:rsidRPr="00F07699">
        <w:t>on behalf of a CDR consumer by an accredited person must be made in accordance with relevant data standards, using a specialised service provided by the data holder. The data is disclosed, in machine</w:t>
      </w:r>
      <w:r w:rsidRPr="00F07699">
        <w:noBreakHyphen/>
        <w:t>readable form, to the accredited person.</w:t>
      </w:r>
    </w:p>
    <w:p w14:paraId="03394475" w14:textId="77777777" w:rsidR="00CF0E3D" w:rsidRPr="00F214C6" w:rsidRDefault="00CF0E3D" w:rsidP="00CF0E3D">
      <w:pPr>
        <w:pStyle w:val="SOText"/>
      </w:pPr>
      <w:r w:rsidRPr="00F07699">
        <w:t xml:space="preserve">Under the data minimisation principle, the accredited person may only collect and use CDR data in order to provide goods or services in accordance with a request from a CDR </w:t>
      </w:r>
      <w:r w:rsidRPr="00771FEA">
        <w:t xml:space="preserve">consumer, and may only use it for that purpose, or for a limited number of other purposes which require an additional consent from the </w:t>
      </w:r>
      <w:r w:rsidRPr="00F214C6">
        <w:t>CDR consumer.</w:t>
      </w:r>
    </w:p>
    <w:p w14:paraId="4703F885" w14:textId="064DA5D5" w:rsidR="00CF0E3D" w:rsidRPr="00693A57" w:rsidRDefault="00CF0E3D" w:rsidP="00CF0E3D">
      <w:pPr>
        <w:pStyle w:val="SOText"/>
        <w:rPr>
          <w:strike/>
          <w:color w:val="FF0000"/>
        </w:rPr>
      </w:pPr>
      <w:r w:rsidRPr="00693A57">
        <w:rPr>
          <w:strike/>
          <w:color w:val="FF0000"/>
        </w:rPr>
        <w:t>These rules only apply in relation to certain classes of product and consumer CDR data that are set out in Schedules to these rules which relate to</w:t>
      </w:r>
      <w:r w:rsidRPr="00693A57">
        <w:rPr>
          <w:rFonts w:cs="Times New Roman"/>
          <w:strike/>
          <w:color w:val="FF0000"/>
        </w:rPr>
        <w:t xml:space="preserve"> different </w:t>
      </w:r>
      <w:r w:rsidRPr="00693A57">
        <w:rPr>
          <w:strike/>
          <w:color w:val="FF0000"/>
        </w:rPr>
        <w:lastRenderedPageBreak/>
        <w:t>designated sectors.</w:t>
      </w:r>
      <w:r w:rsidR="007A574D" w:rsidRPr="00693A57">
        <w:rPr>
          <w:strike/>
          <w:color w:val="FF0000"/>
        </w:rPr>
        <w:t xml:space="preserve"> </w:t>
      </w:r>
      <w:r w:rsidRPr="00693A57">
        <w:rPr>
          <w:strike/>
          <w:color w:val="FF0000"/>
        </w:rPr>
        <w:t>Schedule 3 relates to the banking sector. Initially, these rules will apply only in relation to certain products that are offered by certain data holders within the banking sector. These rules will then apply to a progressively broader range of data holders and products.</w:t>
      </w:r>
      <w:r w:rsidR="00674C29" w:rsidRPr="00693A57">
        <w:rPr>
          <w:strike/>
          <w:color w:val="FF0000"/>
        </w:rPr>
        <w:t xml:space="preserve"> </w:t>
      </w:r>
    </w:p>
    <w:p w14:paraId="02BE34D6" w14:textId="77777777" w:rsidR="007A574D" w:rsidRPr="00693A57" w:rsidRDefault="007A574D" w:rsidP="007A574D">
      <w:pPr>
        <w:pStyle w:val="SOText"/>
        <w:rPr>
          <w:strike/>
          <w:color w:val="FF0000"/>
        </w:rPr>
      </w:pPr>
      <w:r w:rsidRPr="00693A57">
        <w:rPr>
          <w:strike/>
          <w:color w:val="FF0000"/>
        </w:rPr>
        <w:t>These rules also deal with a range of ancillary and related matters.</w:t>
      </w:r>
    </w:p>
    <w:p w14:paraId="5A241ED6" w14:textId="77777777" w:rsidR="007A574D" w:rsidRPr="00693A57" w:rsidRDefault="007A574D" w:rsidP="007A574D">
      <w:pPr>
        <w:pStyle w:val="SOText"/>
        <w:rPr>
          <w:b/>
          <w:color w:val="FF0000"/>
        </w:rPr>
      </w:pPr>
      <w:r w:rsidRPr="00693A57">
        <w:rPr>
          <w:b/>
          <w:color w:val="FF0000"/>
        </w:rPr>
        <w:t>When consumers are eligible to make requests</w:t>
      </w:r>
    </w:p>
    <w:p w14:paraId="36BFCEE2" w14:textId="77777777" w:rsidR="007A574D" w:rsidRPr="00693A57" w:rsidRDefault="007A574D" w:rsidP="007A574D">
      <w:pPr>
        <w:pStyle w:val="SOText"/>
        <w:rPr>
          <w:color w:val="FF0000"/>
        </w:rPr>
      </w:pPr>
      <w:r w:rsidRPr="00693A57">
        <w:rPr>
          <w:color w:val="FF0000"/>
        </w:rPr>
        <w:t>A consumer data request can only be made in relation to certain classes of product and consumer CDR data.  These are specified in Schedules to these rules that relate to different designated sectors. The relevant Schedule will also set out:</w:t>
      </w:r>
    </w:p>
    <w:p w14:paraId="77709774" w14:textId="77777777" w:rsidR="007A574D" w:rsidRPr="00693A57" w:rsidRDefault="007A574D" w:rsidP="007A574D">
      <w:pPr>
        <w:pStyle w:val="SOPara"/>
        <w:rPr>
          <w:color w:val="FF0000"/>
        </w:rPr>
      </w:pPr>
      <w:r w:rsidRPr="00693A57">
        <w:rPr>
          <w:color w:val="FF0000"/>
        </w:rPr>
        <w:t xml:space="preserve"> </w:t>
      </w:r>
      <w:r w:rsidRPr="00693A57">
        <w:rPr>
          <w:color w:val="FF0000"/>
        </w:rPr>
        <w:tab/>
        <w:t>•</w:t>
      </w:r>
      <w:r w:rsidRPr="00693A57">
        <w:rPr>
          <w:color w:val="FF0000"/>
        </w:rPr>
        <w:tab/>
        <w:t>the circumstances in which a CDR consumer will be eligible to make or initiate a consumer data request for CDR data in that sector; and</w:t>
      </w:r>
    </w:p>
    <w:p w14:paraId="356F37CD" w14:textId="77777777" w:rsidR="007A574D" w:rsidRPr="00693A57" w:rsidRDefault="007A574D" w:rsidP="007A574D">
      <w:pPr>
        <w:pStyle w:val="SOPara"/>
        <w:rPr>
          <w:color w:val="FF0000"/>
        </w:rPr>
      </w:pPr>
      <w:r w:rsidRPr="00693A57">
        <w:rPr>
          <w:color w:val="FF0000"/>
        </w:rPr>
        <w:tab/>
        <w:t>•</w:t>
      </w:r>
      <w:r w:rsidRPr="00693A57">
        <w:rPr>
          <w:color w:val="FF0000"/>
        </w:rPr>
        <w:tab/>
        <w:t>the CDR data that must be disclosed by the data holder in response to a valid request and the CDR data that may be, but is not required to be, disclosed by the data holder.</w:t>
      </w:r>
    </w:p>
    <w:p w14:paraId="4FE9DF30" w14:textId="77777777" w:rsidR="007A574D" w:rsidRPr="00693A57" w:rsidRDefault="007A574D" w:rsidP="00CF0E3D">
      <w:pPr>
        <w:pStyle w:val="SOText"/>
        <w:rPr>
          <w:strike/>
          <w:color w:val="FF0000"/>
        </w:rPr>
      </w:pPr>
    </w:p>
    <w:p w14:paraId="131891C4" w14:textId="77777777" w:rsidR="007A574D" w:rsidRPr="00693A57" w:rsidRDefault="007A574D" w:rsidP="007A574D">
      <w:pPr>
        <w:pStyle w:val="SOText"/>
        <w:rPr>
          <w:color w:val="FF0000"/>
        </w:rPr>
      </w:pPr>
      <w:r w:rsidRPr="00693A57">
        <w:rPr>
          <w:color w:val="FF0000"/>
        </w:rPr>
        <w:t xml:space="preserve">Schedule 3 relates to the banking sector. Initially, these rules will apply only in relation to certain products that are offered by certain data holders within the banking sector. These rules will then apply to a progressively broader range of data holders and products. </w:t>
      </w:r>
    </w:p>
    <w:p w14:paraId="6AE096CC" w14:textId="28CE5107" w:rsidR="00B176C1" w:rsidRPr="00693A57" w:rsidRDefault="00674C29" w:rsidP="00F13038">
      <w:pPr>
        <w:pStyle w:val="SOText"/>
        <w:rPr>
          <w:color w:val="FF0000"/>
        </w:rPr>
      </w:pPr>
      <w:r w:rsidRPr="00693A57">
        <w:rPr>
          <w:color w:val="FF0000"/>
        </w:rPr>
        <w:t xml:space="preserve">Schedule 4 relates to the energy sector. In this sector, the product data that can be requested is data that is required by law to be passed to either </w:t>
      </w:r>
      <w:r w:rsidR="001C4B2C" w:rsidRPr="00693A57">
        <w:rPr>
          <w:color w:val="FF0000"/>
        </w:rPr>
        <w:t>the AER</w:t>
      </w:r>
      <w:r w:rsidRPr="00693A57">
        <w:rPr>
          <w:color w:val="FF0000"/>
        </w:rPr>
        <w:t xml:space="preserve"> or </w:t>
      </w:r>
      <w:r w:rsidR="00826EE4" w:rsidRPr="00693A57">
        <w:rPr>
          <w:color w:val="FF0000"/>
        </w:rPr>
        <w:t>the Victorian agency</w:t>
      </w:r>
      <w:r w:rsidR="00B176C1" w:rsidRPr="00693A57">
        <w:rPr>
          <w:color w:val="FF0000"/>
        </w:rPr>
        <w:t xml:space="preserve">; </w:t>
      </w:r>
      <w:r w:rsidRPr="00693A57">
        <w:rPr>
          <w:color w:val="FF0000"/>
        </w:rPr>
        <w:t xml:space="preserve">product data requests are </w:t>
      </w:r>
      <w:r w:rsidR="00B176C1" w:rsidRPr="00693A57">
        <w:rPr>
          <w:color w:val="FF0000"/>
        </w:rPr>
        <w:t xml:space="preserve">therefore </w:t>
      </w:r>
      <w:r w:rsidRPr="00693A57">
        <w:rPr>
          <w:color w:val="FF0000"/>
        </w:rPr>
        <w:t xml:space="preserve">made to those agencies as data holders.  </w:t>
      </w:r>
      <w:r w:rsidR="005504C2" w:rsidRPr="00693A57">
        <w:rPr>
          <w:color w:val="FF0000"/>
        </w:rPr>
        <w:t xml:space="preserve">In addition, some of the </w:t>
      </w:r>
      <w:r w:rsidR="00B176C1" w:rsidRPr="00693A57">
        <w:rPr>
          <w:color w:val="FF0000"/>
        </w:rPr>
        <w:t xml:space="preserve">relevant </w:t>
      </w:r>
      <w:r w:rsidR="005504C2" w:rsidRPr="00693A57">
        <w:rPr>
          <w:color w:val="FF0000"/>
        </w:rPr>
        <w:t>consumer data</w:t>
      </w:r>
      <w:r w:rsidR="00B176C1" w:rsidRPr="00693A57">
        <w:rPr>
          <w:color w:val="FF0000"/>
        </w:rPr>
        <w:t xml:space="preserve"> is in practice collected and held by AEMO, which does not have</w:t>
      </w:r>
      <w:r w:rsidR="00135449" w:rsidRPr="00693A57">
        <w:rPr>
          <w:color w:val="FF0000"/>
        </w:rPr>
        <w:t xml:space="preserve"> a</w:t>
      </w:r>
      <w:r w:rsidR="00B176C1" w:rsidRPr="00693A57">
        <w:rPr>
          <w:color w:val="FF0000"/>
        </w:rPr>
        <w:t xml:space="preserve"> direct relationship with consumers.  </w:t>
      </w:r>
      <w:r w:rsidR="008B4132" w:rsidRPr="00693A57">
        <w:rPr>
          <w:color w:val="FF0000"/>
        </w:rPr>
        <w:t>R</w:t>
      </w:r>
      <w:r w:rsidR="00B176C1" w:rsidRPr="00693A57">
        <w:rPr>
          <w:color w:val="FF0000"/>
        </w:rPr>
        <w:t xml:space="preserve">esponsibility for dealing with a consumer data request for this data </w:t>
      </w:r>
      <w:r w:rsidR="00B82A8D" w:rsidRPr="00693A57">
        <w:rPr>
          <w:color w:val="FF0000"/>
        </w:rPr>
        <w:t xml:space="preserve">made by or on behalf of </w:t>
      </w:r>
      <w:r w:rsidR="00B176C1" w:rsidRPr="00693A57">
        <w:rPr>
          <w:color w:val="FF0000"/>
        </w:rPr>
        <w:t>a customer of a retailer is</w:t>
      </w:r>
      <w:r w:rsidR="00B82A8D" w:rsidRPr="00693A57">
        <w:rPr>
          <w:color w:val="FF0000"/>
        </w:rPr>
        <w:t xml:space="preserve"> therefore</w:t>
      </w:r>
      <w:r w:rsidR="00B176C1" w:rsidRPr="00693A57">
        <w:rPr>
          <w:color w:val="FF0000"/>
        </w:rPr>
        <w:t xml:space="preserve"> shared between AEMO and the retailer.</w:t>
      </w:r>
    </w:p>
    <w:p w14:paraId="7E61F31C" w14:textId="77777777" w:rsidR="00CF0E3D" w:rsidRPr="00693A57" w:rsidRDefault="00CF0E3D" w:rsidP="00CF0E3D">
      <w:pPr>
        <w:pStyle w:val="SOText"/>
        <w:rPr>
          <w:color w:val="FF0000"/>
        </w:rPr>
      </w:pPr>
      <w:r w:rsidRPr="00693A57">
        <w:rPr>
          <w:color w:val="FF0000"/>
        </w:rPr>
        <w:t>These rules also deal with a range of ancillary and related matters.</w:t>
      </w:r>
    </w:p>
    <w:p w14:paraId="0EB8867D" w14:textId="77777777" w:rsidR="00CF0E3D" w:rsidRPr="000C3240" w:rsidRDefault="00CF0E3D" w:rsidP="00CF0E3D">
      <w:pPr>
        <w:pStyle w:val="ActHead5"/>
        <w:rPr>
          <w:color w:val="000000" w:themeColor="text1"/>
        </w:rPr>
      </w:pPr>
      <w:bookmarkStart w:id="13" w:name="_Toc11771563"/>
      <w:bookmarkStart w:id="14" w:name="_Toc77064817"/>
      <w:r>
        <w:rPr>
          <w:color w:val="000000" w:themeColor="text1"/>
        </w:rPr>
        <w:t>1.5</w:t>
      </w:r>
      <w:r w:rsidRPr="000C3240">
        <w:rPr>
          <w:color w:val="000000" w:themeColor="text1"/>
        </w:rPr>
        <w:t xml:space="preserve">  What these rules are about</w:t>
      </w:r>
      <w:bookmarkEnd w:id="13"/>
      <w:bookmarkEnd w:id="14"/>
    </w:p>
    <w:p w14:paraId="580C3310" w14:textId="77777777" w:rsidR="00CF0E3D" w:rsidRDefault="00CF0E3D" w:rsidP="00CF0E3D">
      <w:pPr>
        <w:pStyle w:val="subsection"/>
      </w:pPr>
      <w:r>
        <w:tab/>
      </w:r>
      <w:r>
        <w:rPr>
          <w:color w:val="000000" w:themeColor="text1"/>
        </w:rPr>
        <w:t>(1)</w:t>
      </w:r>
      <w:r>
        <w:tab/>
      </w:r>
      <w:r w:rsidRPr="00641354">
        <w:t>These rules set out details of how</w:t>
      </w:r>
      <w:r>
        <w:t xml:space="preserve"> the consumer data right works.</w:t>
      </w:r>
    </w:p>
    <w:p w14:paraId="670FDBDB" w14:textId="77777777" w:rsidR="00CF0E3D" w:rsidRPr="00641354" w:rsidRDefault="00CF0E3D" w:rsidP="00CF0E3D">
      <w:pPr>
        <w:pStyle w:val="subsection"/>
      </w:pPr>
      <w:r>
        <w:tab/>
      </w:r>
      <w:r>
        <w:rPr>
          <w:color w:val="000000" w:themeColor="text1"/>
        </w:rPr>
        <w:t>(2)</w:t>
      </w:r>
      <w:r>
        <w:tab/>
      </w:r>
      <w:r w:rsidRPr="00641354">
        <w:t>These rules should be read in conjunction with</w:t>
      </w:r>
      <w:r>
        <w:t xml:space="preserve"> the following</w:t>
      </w:r>
      <w:r w:rsidRPr="00641354">
        <w:t>:</w:t>
      </w:r>
    </w:p>
    <w:p w14:paraId="667241BD" w14:textId="77777777" w:rsidR="00CF0E3D" w:rsidRPr="00641354" w:rsidRDefault="00CF0E3D" w:rsidP="00CF0E3D">
      <w:pPr>
        <w:pStyle w:val="paragraph"/>
      </w:pPr>
      <w:r>
        <w:tab/>
        <w:t>(a)</w:t>
      </w:r>
      <w:r>
        <w:tab/>
      </w:r>
      <w:r w:rsidRPr="00641354">
        <w:t xml:space="preserve">the </w:t>
      </w:r>
      <w:r w:rsidRPr="00641354">
        <w:rPr>
          <w:i/>
        </w:rPr>
        <w:t xml:space="preserve">Competition and Consumer Act 2010 </w:t>
      </w:r>
      <w:r w:rsidRPr="00641354">
        <w:t xml:space="preserve">(the Act), </w:t>
      </w:r>
      <w:r>
        <w:t xml:space="preserve">and in particular, </w:t>
      </w:r>
      <w:r w:rsidRPr="00641354">
        <w:t xml:space="preserve">Part IVD of </w:t>
      </w:r>
      <w:r>
        <w:t xml:space="preserve">the Act, </w:t>
      </w:r>
      <w:r w:rsidRPr="00641354">
        <w:t>which sets out the general framework for how the consumer data right works;</w:t>
      </w:r>
    </w:p>
    <w:p w14:paraId="4850E00D" w14:textId="77777777" w:rsidR="00CF0E3D" w:rsidRPr="00641354" w:rsidRDefault="00CF0E3D" w:rsidP="00CF0E3D">
      <w:pPr>
        <w:pStyle w:val="paragraph"/>
      </w:pPr>
      <w:r>
        <w:tab/>
        <w:t>(b)</w:t>
      </w:r>
      <w:r>
        <w:tab/>
      </w:r>
      <w:r w:rsidRPr="00641354">
        <w:t>designation instruments made under section 56AC of the Act;</w:t>
      </w:r>
    </w:p>
    <w:p w14:paraId="61B03E3E" w14:textId="77777777" w:rsidR="00CF0E3D" w:rsidRPr="00BD2AB7" w:rsidRDefault="00CF0E3D" w:rsidP="00CF0E3D">
      <w:pPr>
        <w:pStyle w:val="paragraph"/>
      </w:pPr>
      <w:r>
        <w:tab/>
      </w:r>
      <w:r>
        <w:rPr>
          <w:color w:val="000000" w:themeColor="text1"/>
        </w:rPr>
        <w:t>(c)</w:t>
      </w:r>
      <w:r w:rsidRPr="000C3240">
        <w:rPr>
          <w:color w:val="000000" w:themeColor="text1"/>
        </w:rPr>
        <w:tab/>
        <w:t xml:space="preserve">guidelines </w:t>
      </w:r>
      <w:r>
        <w:rPr>
          <w:color w:val="000000" w:themeColor="text1"/>
        </w:rPr>
        <w:t xml:space="preserve">made </w:t>
      </w:r>
      <w:r w:rsidRPr="000C3240">
        <w:rPr>
          <w:color w:val="000000" w:themeColor="text1"/>
        </w:rPr>
        <w:t>by the Information Commissioner under section 56EQ of the Act</w:t>
      </w:r>
      <w:r w:rsidRPr="00BD2AB7">
        <w:t>;</w:t>
      </w:r>
    </w:p>
    <w:p w14:paraId="4150C377" w14:textId="77777777" w:rsidR="00CF0E3D" w:rsidRPr="00BD2AB7" w:rsidRDefault="00CF0E3D" w:rsidP="00CF0E3D">
      <w:pPr>
        <w:pStyle w:val="paragraph"/>
      </w:pPr>
      <w:r w:rsidRPr="00BD2AB7">
        <w:lastRenderedPageBreak/>
        <w:tab/>
      </w:r>
      <w:r>
        <w:t>(d)</w:t>
      </w:r>
      <w:r w:rsidRPr="00BD2AB7">
        <w:tab/>
        <w:t>data standards made under section 56FA of the Act;</w:t>
      </w:r>
    </w:p>
    <w:p w14:paraId="52677822" w14:textId="77777777" w:rsidR="00CF0E3D" w:rsidRPr="00641354" w:rsidRDefault="00CF0E3D" w:rsidP="00CF0E3D">
      <w:pPr>
        <w:pStyle w:val="paragraph"/>
      </w:pPr>
      <w:r w:rsidRPr="00BD2AB7">
        <w:tab/>
      </w:r>
      <w:r>
        <w:t>(e)</w:t>
      </w:r>
      <w:r w:rsidRPr="00BD2AB7">
        <w:tab/>
        <w:t>regulations</w:t>
      </w:r>
      <w:r>
        <w:t xml:space="preserve"> made</w:t>
      </w:r>
      <w:r w:rsidRPr="00BD2AB7">
        <w:t xml:space="preserve"> under section 172 of the Act.</w:t>
      </w:r>
    </w:p>
    <w:p w14:paraId="66788A43" w14:textId="77777777" w:rsidR="00CF0E3D" w:rsidRPr="009C5AAC" w:rsidRDefault="00CF0E3D" w:rsidP="00CF0E3D">
      <w:pPr>
        <w:pStyle w:val="ActHead5"/>
      </w:pPr>
      <w:bookmarkStart w:id="15" w:name="_Toc11771564"/>
      <w:bookmarkStart w:id="16" w:name="_Toc77064818"/>
      <w:r>
        <w:t xml:space="preserve">1.6  </w:t>
      </w:r>
      <w:r w:rsidRPr="009C5AAC">
        <w:t>Overview of these rules</w:t>
      </w:r>
      <w:bookmarkEnd w:id="15"/>
      <w:bookmarkEnd w:id="16"/>
    </w:p>
    <w:p w14:paraId="395D2B58" w14:textId="77777777" w:rsidR="00CF0E3D" w:rsidRDefault="00CF0E3D" w:rsidP="00CF0E3D">
      <w:pPr>
        <w:pStyle w:val="subsection"/>
      </w:pPr>
      <w:r>
        <w:tab/>
        <w:t>(1)</w:t>
      </w:r>
      <w:r>
        <w:tab/>
        <w:t>Part 1</w:t>
      </w:r>
      <w:r w:rsidRPr="009C5AAC">
        <w:t xml:space="preserve"> of these rules deals with preliminary matters, such as</w:t>
      </w:r>
      <w:r>
        <w:t>:</w:t>
      </w:r>
    </w:p>
    <w:p w14:paraId="4654A43D" w14:textId="77777777" w:rsidR="00CF0E3D" w:rsidRPr="007C39E2" w:rsidRDefault="00CF0E3D" w:rsidP="00CF0E3D">
      <w:pPr>
        <w:pStyle w:val="paragraph"/>
      </w:pPr>
      <w:r>
        <w:tab/>
        <w:t>(a)</w:t>
      </w:r>
      <w:r>
        <w:tab/>
      </w:r>
      <w:r w:rsidRPr="009C5AAC">
        <w:t>definitions of terms that are used in these rules</w:t>
      </w:r>
      <w:r>
        <w:t>;</w:t>
      </w:r>
      <w:r w:rsidRPr="007C39E2">
        <w:t xml:space="preserve"> and</w:t>
      </w:r>
    </w:p>
    <w:p w14:paraId="382D86C3" w14:textId="77777777" w:rsidR="00CF0E3D" w:rsidRPr="00796ADB" w:rsidRDefault="00CF0E3D" w:rsidP="00CF0E3D">
      <w:pPr>
        <w:pStyle w:val="paragraph"/>
      </w:pPr>
      <w:r>
        <w:tab/>
        <w:t>(b)</w:t>
      </w:r>
      <w:r>
        <w:tab/>
      </w:r>
      <w:r w:rsidRPr="00796ADB">
        <w:t>the usage, in these rules, of certain terms that are defined in the Act.</w:t>
      </w:r>
    </w:p>
    <w:p w14:paraId="4597AF12" w14:textId="77777777" w:rsidR="00CF0E3D" w:rsidRPr="00F214C6" w:rsidRDefault="00CF0E3D" w:rsidP="00CF0E3D">
      <w:pPr>
        <w:pStyle w:val="subsection"/>
        <w:spacing w:before="40"/>
      </w:pPr>
      <w:r w:rsidRPr="00796ADB">
        <w:tab/>
      </w:r>
      <w:r w:rsidRPr="00796ADB">
        <w:tab/>
        <w:t>The other provisions of these rules should be read together with these definitions and other interpretive provisi</w:t>
      </w:r>
      <w:r w:rsidRPr="00F214C6">
        <w:t>ons. Part 1 also deals with services that must be provided by data holders and accredited persons that allow consumers to make and manage requests for CDR data.</w:t>
      </w:r>
    </w:p>
    <w:p w14:paraId="447679F0" w14:textId="69D72BF0" w:rsidR="007A574D" w:rsidRPr="00693A57" w:rsidRDefault="007A574D" w:rsidP="007A574D">
      <w:pPr>
        <w:pStyle w:val="subsection"/>
        <w:rPr>
          <w:color w:val="FF0000"/>
        </w:rPr>
      </w:pPr>
      <w:r w:rsidRPr="00693A57">
        <w:rPr>
          <w:color w:val="FF0000"/>
        </w:rPr>
        <w:tab/>
        <w:t>(2)</w:t>
      </w:r>
      <w:r w:rsidRPr="00693A57">
        <w:rPr>
          <w:color w:val="FF0000"/>
        </w:rPr>
        <w:tab/>
        <w:t xml:space="preserve">Part 2 of these rules deals with product data requests, and should be read in conjunction with </w:t>
      </w:r>
      <w:r w:rsidR="00135449" w:rsidRPr="00693A57">
        <w:rPr>
          <w:color w:val="FF0000"/>
        </w:rPr>
        <w:t xml:space="preserve">the </w:t>
      </w:r>
      <w:r w:rsidRPr="00693A57">
        <w:rPr>
          <w:color w:val="FF0000"/>
        </w:rPr>
        <w:t>relevant sector Schedule.</w:t>
      </w:r>
    </w:p>
    <w:p w14:paraId="1030BCD0" w14:textId="7EBD8681" w:rsidR="007A574D" w:rsidRPr="00693A57" w:rsidRDefault="007A574D" w:rsidP="007A574D">
      <w:pPr>
        <w:pStyle w:val="subsection"/>
        <w:rPr>
          <w:color w:val="FF0000"/>
        </w:rPr>
      </w:pPr>
      <w:r w:rsidRPr="00693A57">
        <w:rPr>
          <w:color w:val="FF0000"/>
        </w:rPr>
        <w:tab/>
        <w:t>(3)</w:t>
      </w:r>
      <w:r w:rsidRPr="00693A57">
        <w:rPr>
          <w:color w:val="FF0000"/>
        </w:rPr>
        <w:tab/>
        <w:t xml:space="preserve">Part 3 of these rules deals with consumer data requests that are made by CDR consumers, and should be read in conjunction with </w:t>
      </w:r>
      <w:r w:rsidR="00135449" w:rsidRPr="00693A57">
        <w:rPr>
          <w:color w:val="FF0000"/>
        </w:rPr>
        <w:t xml:space="preserve">the </w:t>
      </w:r>
      <w:r w:rsidRPr="00693A57">
        <w:rPr>
          <w:color w:val="FF0000"/>
        </w:rPr>
        <w:t>relevant sector Schedule. Only CDR consumers who are eligible to do so may make such requests. The eligibility criteria for each sector are set out in the relevant sector Schedule.</w:t>
      </w:r>
    </w:p>
    <w:p w14:paraId="38C83C1F" w14:textId="3EB109B6" w:rsidR="007A574D" w:rsidRPr="00693A57" w:rsidRDefault="007A574D" w:rsidP="007A574D">
      <w:pPr>
        <w:pStyle w:val="subsection"/>
        <w:rPr>
          <w:color w:val="FF0000"/>
        </w:rPr>
      </w:pPr>
      <w:r w:rsidRPr="00693A57">
        <w:rPr>
          <w:color w:val="FF0000"/>
        </w:rPr>
        <w:tab/>
        <w:t>(4)</w:t>
      </w:r>
      <w:r w:rsidRPr="00693A57">
        <w:rPr>
          <w:color w:val="FF0000"/>
        </w:rPr>
        <w:tab/>
        <w:t xml:space="preserve">Part 4 of these rules deals with consumer data requests that involve accredited persons, and should be read in conjunction with </w:t>
      </w:r>
      <w:r w:rsidR="00135449" w:rsidRPr="00693A57">
        <w:rPr>
          <w:color w:val="FF0000"/>
        </w:rPr>
        <w:t xml:space="preserve">the </w:t>
      </w:r>
      <w:r w:rsidRPr="00693A57">
        <w:rPr>
          <w:color w:val="FF0000"/>
        </w:rPr>
        <w:t>relevant sector Schedule.</w:t>
      </w:r>
    </w:p>
    <w:p w14:paraId="67242346" w14:textId="0CE3999F" w:rsidR="00CF0E3D" w:rsidRPr="00693A57" w:rsidRDefault="00CF0E3D" w:rsidP="00CF0E3D">
      <w:pPr>
        <w:pStyle w:val="subsection"/>
        <w:rPr>
          <w:strike/>
          <w:color w:val="FF0000"/>
        </w:rPr>
      </w:pPr>
      <w:r w:rsidRPr="00693A57">
        <w:rPr>
          <w:strike/>
          <w:color w:val="FF0000"/>
        </w:rPr>
        <w:tab/>
        <w:t>(2)</w:t>
      </w:r>
      <w:r w:rsidRPr="00693A57">
        <w:rPr>
          <w:strike/>
          <w:color w:val="FF0000"/>
        </w:rPr>
        <w:tab/>
        <w:t>Part 2 of these rules deals with product data requests, and should be read in conjunction with relevant</w:t>
      </w:r>
      <w:r w:rsidR="00324D67" w:rsidRPr="00693A57">
        <w:rPr>
          <w:strike/>
          <w:color w:val="FF0000"/>
        </w:rPr>
        <w:t>.</w:t>
      </w:r>
      <w:r w:rsidR="003636C9" w:rsidRPr="00693A57">
        <w:rPr>
          <w:strike/>
          <w:color w:val="FF0000"/>
        </w:rPr>
        <w:t>Schedule</w:t>
      </w:r>
      <w:r w:rsidRPr="00693A57">
        <w:rPr>
          <w:strike/>
          <w:color w:val="FF0000"/>
        </w:rPr>
        <w:t>s to these rules that deal with particular designated sectors.</w:t>
      </w:r>
    </w:p>
    <w:p w14:paraId="706A172F" w14:textId="7B36CF11" w:rsidR="00CF0E3D" w:rsidRPr="00693A57" w:rsidRDefault="00CF0E3D" w:rsidP="00CF0E3D">
      <w:pPr>
        <w:pStyle w:val="subsection"/>
        <w:rPr>
          <w:strike/>
          <w:color w:val="FF0000"/>
        </w:rPr>
      </w:pPr>
      <w:r w:rsidRPr="00693A57">
        <w:rPr>
          <w:strike/>
          <w:color w:val="FF0000"/>
        </w:rPr>
        <w:tab/>
        <w:t>(3)</w:t>
      </w:r>
      <w:r w:rsidRPr="00693A57">
        <w:rPr>
          <w:strike/>
          <w:color w:val="FF0000"/>
        </w:rPr>
        <w:tab/>
        <w:t>Part 3 of these rules deals with consumer data requests that are made by CDR consumers, and should be read in conjunction with relevant</w:t>
      </w:r>
      <w:r w:rsidR="00324D67" w:rsidRPr="00693A57">
        <w:rPr>
          <w:strike/>
          <w:color w:val="FF0000"/>
        </w:rPr>
        <w:t>.</w:t>
      </w:r>
      <w:r w:rsidR="003636C9" w:rsidRPr="00693A57">
        <w:rPr>
          <w:strike/>
          <w:color w:val="FF0000"/>
        </w:rPr>
        <w:t xml:space="preserve"> Schedules to these rules that deal with particular designated sectors.</w:t>
      </w:r>
      <w:r w:rsidRPr="00693A57">
        <w:rPr>
          <w:strike/>
          <w:color w:val="FF0000"/>
        </w:rPr>
        <w:t xml:space="preserve"> Only CDR consumers who are eligible </w:t>
      </w:r>
      <w:r w:rsidR="002E1052" w:rsidRPr="00693A57">
        <w:rPr>
          <w:strike/>
          <w:color w:val="FF0000"/>
        </w:rPr>
        <w:t>to do so may make such requests</w:t>
      </w:r>
      <w:r w:rsidR="00727B02" w:rsidRPr="00693A57">
        <w:rPr>
          <w:strike/>
          <w:color w:val="FF0000"/>
        </w:rPr>
        <w:t>.</w:t>
      </w:r>
      <w:r w:rsidR="002E1052" w:rsidRPr="00693A57">
        <w:rPr>
          <w:strike/>
          <w:color w:val="FF0000"/>
        </w:rPr>
        <w:t xml:space="preserve"> </w:t>
      </w:r>
      <w:r w:rsidRPr="00693A57">
        <w:rPr>
          <w:strike/>
          <w:color w:val="FF0000"/>
        </w:rPr>
        <w:t>Schedule 3 to these rules sets out eligibility criteria for the banking sector.</w:t>
      </w:r>
    </w:p>
    <w:p w14:paraId="31084F5A" w14:textId="00B2C29B" w:rsidR="00CF0E3D" w:rsidRPr="00693A57" w:rsidRDefault="00CF0E3D" w:rsidP="00CF0E3D">
      <w:pPr>
        <w:pStyle w:val="subsection"/>
        <w:rPr>
          <w:strike/>
          <w:color w:val="FF0000"/>
        </w:rPr>
      </w:pPr>
      <w:r w:rsidRPr="00693A57">
        <w:rPr>
          <w:strike/>
          <w:color w:val="FF0000"/>
        </w:rPr>
        <w:tab/>
        <w:t>(4)</w:t>
      </w:r>
      <w:r w:rsidRPr="00693A57">
        <w:rPr>
          <w:strike/>
          <w:color w:val="FF0000"/>
        </w:rPr>
        <w:tab/>
        <w:t>Part 4 of these rules deals with consumer data requests that involve accredited persons, and should be read in conjunction with relevant</w:t>
      </w:r>
      <w:r w:rsidR="00324D67" w:rsidRPr="00693A57">
        <w:rPr>
          <w:strike/>
          <w:color w:val="FF0000"/>
        </w:rPr>
        <w:t>.</w:t>
      </w:r>
      <w:r w:rsidR="003636C9" w:rsidRPr="00693A57">
        <w:rPr>
          <w:strike/>
          <w:color w:val="FF0000"/>
        </w:rPr>
        <w:t xml:space="preserve"> Schedules to these rules that deal with particular designated sectors.</w:t>
      </w:r>
    </w:p>
    <w:p w14:paraId="26D8EB1E" w14:textId="77777777" w:rsidR="00CF0E3D" w:rsidRPr="009C5AAC" w:rsidRDefault="00CF0E3D" w:rsidP="00CF0E3D">
      <w:pPr>
        <w:pStyle w:val="subsection"/>
      </w:pPr>
      <w:r w:rsidRPr="00F214C6">
        <w:tab/>
        <w:t>(5)</w:t>
      </w:r>
      <w:r w:rsidRPr="00F214C6">
        <w:tab/>
        <w:t>Part 5 of these rules deals with how persons can become accredited persons. It also deals with ancillary matters, such as revocation and suspension of accreditation, obligations of accredited persons, and the Register of Accredited Persons. The rules set out in this Part should be read in conjunction with</w:t>
      </w:r>
      <w:r w:rsidRPr="009C5AAC">
        <w:t xml:space="preserve"> Division 3 of Part IVD of the Act.</w:t>
      </w:r>
    </w:p>
    <w:p w14:paraId="6AC092F2" w14:textId="77777777" w:rsidR="00CF0E3D" w:rsidRPr="009C5AAC" w:rsidRDefault="00CF0E3D" w:rsidP="00CF0E3D">
      <w:pPr>
        <w:pStyle w:val="subsection"/>
      </w:pPr>
      <w:r>
        <w:tab/>
        <w:t>(6)</w:t>
      </w:r>
      <w:r>
        <w:tab/>
        <w:t>Part 6</w:t>
      </w:r>
      <w:r w:rsidRPr="009C5AAC">
        <w:t xml:space="preserve"> of these rules deals with dispute resolution.</w:t>
      </w:r>
    </w:p>
    <w:p w14:paraId="78D23ED4" w14:textId="77777777" w:rsidR="00CF0E3D" w:rsidRPr="009C5AAC" w:rsidRDefault="00CF0E3D" w:rsidP="00CF0E3D">
      <w:pPr>
        <w:pStyle w:val="subsection"/>
      </w:pPr>
      <w:r>
        <w:tab/>
        <w:t>(7)</w:t>
      </w:r>
      <w:r>
        <w:tab/>
        <w:t>Part 7</w:t>
      </w:r>
      <w:r w:rsidRPr="009C5AAC">
        <w:t xml:space="preserve"> of these rules deals with </w:t>
      </w:r>
      <w:r w:rsidRPr="00B31455">
        <w:t xml:space="preserve">rules relating to the privacy safeguards. The rules set out in this Part should be read in conjunction with Division 5 of Part IVD of the Act. </w:t>
      </w:r>
      <w:r>
        <w:t>Part 7</w:t>
      </w:r>
      <w:r w:rsidRPr="00B31455">
        <w:t xml:space="preserve"> also sets out some additional civil penalty provisions </w:t>
      </w:r>
      <w:r w:rsidRPr="00B31455">
        <w:rPr>
          <w:szCs w:val="22"/>
          <w:shd w:val="clear" w:color="auto" w:fill="FFFFFF"/>
        </w:rPr>
        <w:t>that protect the privacy or confidentiality of CDR consumers’ CDR data</w:t>
      </w:r>
      <w:r w:rsidRPr="00B31455">
        <w:t>.</w:t>
      </w:r>
    </w:p>
    <w:p w14:paraId="34C140F4" w14:textId="77777777" w:rsidR="00CF0E3D" w:rsidRPr="009C5AAC" w:rsidRDefault="00CF0E3D" w:rsidP="00CF0E3D">
      <w:pPr>
        <w:pStyle w:val="subsection"/>
      </w:pPr>
      <w:r>
        <w:lastRenderedPageBreak/>
        <w:tab/>
        <w:t>(8)</w:t>
      </w:r>
      <w:r>
        <w:tab/>
        <w:t xml:space="preserve">Part 8 </w:t>
      </w:r>
      <w:r w:rsidRPr="009C5AAC">
        <w:t>of these rules deals with data standards. The rules set out in this Part should be read in conjunction with Division 6 of Part IVD of the Act.</w:t>
      </w:r>
    </w:p>
    <w:p w14:paraId="74E5A6E1" w14:textId="77777777" w:rsidR="00CF0E3D" w:rsidRDefault="00CF0E3D" w:rsidP="00CF0E3D">
      <w:pPr>
        <w:pStyle w:val="subsection"/>
      </w:pPr>
      <w:r>
        <w:tab/>
        <w:t>(9)</w:t>
      </w:r>
      <w:r>
        <w:tab/>
        <w:t>Part 9</w:t>
      </w:r>
      <w:r w:rsidRPr="009C5AAC">
        <w:t xml:space="preserve"> of these rules deals with miscellaneous matters, such as review of decisions, reporting, record keeping and audit, and civil penalty provisions</w:t>
      </w:r>
      <w:r>
        <w:t xml:space="preserve"> </w:t>
      </w:r>
      <w:r w:rsidRPr="00B31455">
        <w:t>of the consumer data rules</w:t>
      </w:r>
      <w:r w:rsidRPr="009C5AAC">
        <w:t>.</w:t>
      </w:r>
    </w:p>
    <w:p w14:paraId="29400891" w14:textId="77777777" w:rsidR="00CF0E3D" w:rsidRPr="00796ADB" w:rsidRDefault="00CF0E3D" w:rsidP="00CF0E3D">
      <w:pPr>
        <w:pStyle w:val="subsection"/>
      </w:pPr>
      <w:r w:rsidRPr="00796ADB">
        <w:tab/>
      </w:r>
      <w:r>
        <w:t>(10)</w:t>
      </w:r>
      <w:r w:rsidRPr="00796ADB">
        <w:tab/>
      </w:r>
      <w:r>
        <w:t>Schedule 1</w:t>
      </w:r>
      <w:r w:rsidRPr="00796ADB">
        <w:t xml:space="preserve"> to these rules deals with default conditions on accreditations.</w:t>
      </w:r>
    </w:p>
    <w:p w14:paraId="18955BD9" w14:textId="05804F91" w:rsidR="00CF0E3D" w:rsidRPr="00693A57" w:rsidRDefault="00CF0E3D" w:rsidP="00CF0E3D">
      <w:pPr>
        <w:pStyle w:val="subsection"/>
        <w:rPr>
          <w:color w:val="0000FF"/>
        </w:rPr>
      </w:pPr>
      <w:r>
        <w:tab/>
        <w:t>(11)</w:t>
      </w:r>
      <w:r>
        <w:tab/>
        <w:t xml:space="preserve">Schedule 2 </w:t>
      </w:r>
      <w:r w:rsidRPr="00BD2AB7">
        <w:t xml:space="preserve">to these rules </w:t>
      </w:r>
      <w:r>
        <w:t xml:space="preserve">sets out detailed steps for privacy safeguard 12 (subsection 56EO(1) of the Act and rule 7.11 of these rules). </w:t>
      </w:r>
      <w:r w:rsidRPr="006F4A42">
        <w:t xml:space="preserve">These steps are also relevant to </w:t>
      </w:r>
      <w:r w:rsidRPr="005F3D40">
        <w:rPr>
          <w:color w:val="000000" w:themeColor="text1"/>
        </w:rPr>
        <w:t xml:space="preserve">persons who </w:t>
      </w:r>
      <w:r w:rsidRPr="004D57B9">
        <w:t xml:space="preserve">hold CDR data (service data) </w:t>
      </w:r>
      <w:r w:rsidRPr="005F3D40">
        <w:rPr>
          <w:color w:val="000000" w:themeColor="text1"/>
        </w:rPr>
        <w:t xml:space="preserve">under </w:t>
      </w:r>
      <w:r>
        <w:rPr>
          <w:color w:val="000000" w:themeColor="text1"/>
        </w:rPr>
        <w:t>a CDR</w:t>
      </w:r>
      <w:r w:rsidRPr="005F3D40">
        <w:rPr>
          <w:color w:val="000000" w:themeColor="text1"/>
        </w:rPr>
        <w:t xml:space="preserve"> outsourcing arrangement</w:t>
      </w:r>
      <w:r>
        <w:t>,</w:t>
      </w:r>
      <w:r w:rsidRPr="006F4A42">
        <w:t xml:space="preserve"> and are an element of the ongoing obligations of </w:t>
      </w:r>
      <w:r w:rsidR="00350945" w:rsidRPr="00693A57">
        <w:rPr>
          <w:strike/>
          <w:color w:val="0000FF"/>
        </w:rPr>
        <w:t xml:space="preserve">persons accredited at the “unrestricted” level </w:t>
      </w:r>
      <w:r w:rsidR="00350945" w:rsidRPr="00693A57">
        <w:rPr>
          <w:color w:val="0000FF"/>
        </w:rPr>
        <w:t>accredited persons</w:t>
      </w:r>
      <w:r w:rsidR="00350945" w:rsidRPr="006F4A42">
        <w:t xml:space="preserve"> </w:t>
      </w:r>
      <w:r w:rsidRPr="006F4A42">
        <w:t>(see paragraph </w:t>
      </w:r>
      <w:r>
        <w:t>5.12(1)(a)</w:t>
      </w:r>
      <w:r w:rsidRPr="006F4A42">
        <w:t>).</w:t>
      </w:r>
    </w:p>
    <w:p w14:paraId="34F15E03" w14:textId="77777777" w:rsidR="00CF0E3D" w:rsidRPr="00796ADB" w:rsidRDefault="00CF0E3D" w:rsidP="00CF0E3D">
      <w:pPr>
        <w:pStyle w:val="subsection"/>
      </w:pPr>
      <w:r w:rsidRPr="00796ADB">
        <w:tab/>
      </w:r>
      <w:r>
        <w:t>(12)</w:t>
      </w:r>
      <w:r w:rsidRPr="00796ADB">
        <w:tab/>
      </w:r>
      <w:r>
        <w:t>Schedule 3</w:t>
      </w:r>
      <w:r w:rsidRPr="00796ADB">
        <w:t xml:space="preserve"> to these rules contains details that are relevant to the banking sector. </w:t>
      </w:r>
      <w:r>
        <w:t>Schedule 3</w:t>
      </w:r>
      <w:r w:rsidRPr="00796ADB">
        <w:t>:</w:t>
      </w:r>
    </w:p>
    <w:p w14:paraId="2AB06C30" w14:textId="77777777" w:rsidR="00CF0E3D" w:rsidRPr="00796ADB" w:rsidRDefault="00CF0E3D" w:rsidP="00CF0E3D">
      <w:pPr>
        <w:pStyle w:val="paragraph"/>
      </w:pPr>
      <w:r w:rsidRPr="00796ADB">
        <w:tab/>
      </w:r>
      <w:r>
        <w:t>(a)</w:t>
      </w:r>
      <w:r w:rsidRPr="00796ADB">
        <w:tab/>
        <w:t>sets out the specific CDR data in respect of which requests under these rules may be made; and</w:t>
      </w:r>
    </w:p>
    <w:p w14:paraId="4D3331C6" w14:textId="77777777" w:rsidR="00CF0E3D" w:rsidRPr="00796ADB" w:rsidRDefault="00CF0E3D" w:rsidP="00CF0E3D">
      <w:pPr>
        <w:pStyle w:val="paragraph"/>
      </w:pPr>
      <w:r w:rsidRPr="00796ADB">
        <w:tab/>
      </w:r>
      <w:r>
        <w:t>(b)</w:t>
      </w:r>
      <w:r w:rsidRPr="00796ADB">
        <w:tab/>
        <w:t>sets out the circumstances in which CDR consumers are eligible in relation to requests for banking sector CDR data that relates to themselves; and</w:t>
      </w:r>
    </w:p>
    <w:p w14:paraId="40094595" w14:textId="77777777" w:rsidR="00CF0E3D" w:rsidRDefault="00CF0E3D" w:rsidP="00CF0E3D">
      <w:pPr>
        <w:pStyle w:val="paragraph"/>
      </w:pPr>
      <w:r w:rsidRPr="00F214C6">
        <w:tab/>
        <w:t>(c)</w:t>
      </w:r>
      <w:r w:rsidRPr="00F214C6">
        <w:tab/>
        <w:t>deals with the progressive application of these rules to the banking sector.</w:t>
      </w:r>
    </w:p>
    <w:p w14:paraId="621C4C18" w14:textId="77777777" w:rsidR="007D757F" w:rsidRPr="00693A57" w:rsidRDefault="007D757F" w:rsidP="007D757F">
      <w:pPr>
        <w:pStyle w:val="subsection"/>
        <w:spacing w:before="40"/>
        <w:rPr>
          <w:strike/>
          <w:color w:val="FF0000"/>
        </w:rPr>
      </w:pPr>
      <w:r w:rsidRPr="00693A57">
        <w:rPr>
          <w:strike/>
          <w:color w:val="FF0000"/>
        </w:rPr>
        <w:tab/>
      </w:r>
      <w:r w:rsidRPr="00693A57">
        <w:rPr>
          <w:strike/>
          <w:color w:val="FF0000"/>
        </w:rPr>
        <w:tab/>
        <w:t>It is intended that these rules will be amended at a later time to deal with additional sectors of the economy.</w:t>
      </w:r>
    </w:p>
    <w:p w14:paraId="1DDA78F6" w14:textId="4F91D01A" w:rsidR="00D112B6" w:rsidRPr="00693A57" w:rsidRDefault="00D112B6" w:rsidP="00D112B6">
      <w:pPr>
        <w:pStyle w:val="subsection"/>
        <w:rPr>
          <w:color w:val="FF0000"/>
        </w:rPr>
      </w:pPr>
      <w:r w:rsidRPr="00693A57">
        <w:rPr>
          <w:color w:val="FF0000"/>
        </w:rPr>
        <w:tab/>
        <w:t>(13)</w:t>
      </w:r>
      <w:r w:rsidRPr="00693A57">
        <w:rPr>
          <w:color w:val="FF0000"/>
        </w:rPr>
        <w:tab/>
        <w:t>Schedule 4 to these rules contains details that are relevant to the energy sector. Schedule</w:t>
      </w:r>
      <w:r w:rsidR="00277660" w:rsidRPr="00693A57">
        <w:rPr>
          <w:color w:val="FF0000"/>
        </w:rPr>
        <w:t> </w:t>
      </w:r>
      <w:r w:rsidRPr="00693A57">
        <w:rPr>
          <w:color w:val="FF0000"/>
        </w:rPr>
        <w:t>4:</w:t>
      </w:r>
    </w:p>
    <w:p w14:paraId="615F2625" w14:textId="77777777" w:rsidR="00D112B6" w:rsidRPr="00693A57" w:rsidRDefault="00D112B6" w:rsidP="00D112B6">
      <w:pPr>
        <w:pStyle w:val="paragraph"/>
        <w:rPr>
          <w:color w:val="FF0000"/>
        </w:rPr>
      </w:pPr>
      <w:r w:rsidRPr="00693A57">
        <w:rPr>
          <w:color w:val="FF0000"/>
        </w:rPr>
        <w:tab/>
        <w:t>(a)</w:t>
      </w:r>
      <w:r w:rsidRPr="00693A57">
        <w:rPr>
          <w:color w:val="FF0000"/>
        </w:rPr>
        <w:tab/>
        <w:t>sets out the specific CDR data in respect of which requests under these rules may be made; and</w:t>
      </w:r>
    </w:p>
    <w:p w14:paraId="1A473CCD" w14:textId="242A807E" w:rsidR="00D112B6" w:rsidRPr="00693A57" w:rsidRDefault="00D112B6" w:rsidP="00D112B6">
      <w:pPr>
        <w:pStyle w:val="paragraph"/>
        <w:rPr>
          <w:color w:val="FF0000"/>
        </w:rPr>
      </w:pPr>
      <w:r w:rsidRPr="00693A57">
        <w:rPr>
          <w:color w:val="FF0000"/>
        </w:rPr>
        <w:tab/>
        <w:t>(b)</w:t>
      </w:r>
      <w:r w:rsidRPr="00693A57">
        <w:rPr>
          <w:color w:val="FF0000"/>
        </w:rPr>
        <w:tab/>
        <w:t xml:space="preserve">sets out the circumstances in which CDR consumers are eligible in relation to requests for </w:t>
      </w:r>
      <w:r w:rsidR="00727B02" w:rsidRPr="00693A57">
        <w:rPr>
          <w:color w:val="FF0000"/>
        </w:rPr>
        <w:t>energy</w:t>
      </w:r>
      <w:r w:rsidRPr="00693A57">
        <w:rPr>
          <w:color w:val="FF0000"/>
        </w:rPr>
        <w:t xml:space="preserve"> sector CDR data that relates to themselves; and</w:t>
      </w:r>
    </w:p>
    <w:p w14:paraId="62CF13F0" w14:textId="62EA56F9" w:rsidR="009A4422" w:rsidRPr="00693A57" w:rsidRDefault="00D112B6" w:rsidP="00D112B6">
      <w:pPr>
        <w:pStyle w:val="paragraph"/>
        <w:rPr>
          <w:color w:val="FF0000"/>
        </w:rPr>
      </w:pPr>
      <w:r w:rsidRPr="00693A57">
        <w:rPr>
          <w:color w:val="FF0000"/>
        </w:rPr>
        <w:tab/>
        <w:t>(c)</w:t>
      </w:r>
      <w:r w:rsidRPr="00693A57">
        <w:rPr>
          <w:color w:val="FF0000"/>
        </w:rPr>
        <w:tab/>
        <w:t xml:space="preserve">sets out some modifications of the general rules that apply in the energy sector because </w:t>
      </w:r>
      <w:r w:rsidR="00B41E08" w:rsidRPr="00693A57">
        <w:rPr>
          <w:color w:val="FF0000"/>
        </w:rPr>
        <w:t xml:space="preserve">certain types of data are collected or held by agencies specified in its designation instrument rather than the </w:t>
      </w:r>
      <w:r w:rsidR="00045173" w:rsidRPr="00693A57">
        <w:rPr>
          <w:color w:val="FF0000"/>
        </w:rPr>
        <w:t>retailers with which the CDR consumers have accounts</w:t>
      </w:r>
      <w:r w:rsidR="009A4422" w:rsidRPr="00693A57">
        <w:rPr>
          <w:color w:val="FF0000"/>
        </w:rPr>
        <w:t>; and</w:t>
      </w:r>
    </w:p>
    <w:p w14:paraId="39F43268" w14:textId="030AD2B6" w:rsidR="00D112B6" w:rsidRPr="00693A57" w:rsidRDefault="009A4422" w:rsidP="00D112B6">
      <w:pPr>
        <w:pStyle w:val="paragraph"/>
        <w:rPr>
          <w:color w:val="FF0000"/>
        </w:rPr>
      </w:pPr>
      <w:r w:rsidRPr="00693A57">
        <w:rPr>
          <w:color w:val="FF0000"/>
        </w:rPr>
        <w:tab/>
        <w:t>(d)</w:t>
      </w:r>
      <w:r w:rsidRPr="00693A57">
        <w:rPr>
          <w:color w:val="FF0000"/>
        </w:rPr>
        <w:tab/>
        <w:t xml:space="preserve">deals with the progressive application of these rules to the </w:t>
      </w:r>
      <w:r w:rsidR="004F78CD" w:rsidRPr="00693A57">
        <w:rPr>
          <w:color w:val="FF0000"/>
        </w:rPr>
        <w:t>energy</w:t>
      </w:r>
      <w:r w:rsidRPr="00693A57">
        <w:rPr>
          <w:color w:val="FF0000"/>
        </w:rPr>
        <w:t xml:space="preserve"> sector</w:t>
      </w:r>
      <w:r w:rsidR="005947E5" w:rsidRPr="00693A57">
        <w:rPr>
          <w:color w:val="FF0000"/>
        </w:rPr>
        <w:t>.</w:t>
      </w:r>
    </w:p>
    <w:p w14:paraId="3EBF3800" w14:textId="77777777" w:rsidR="00CF0E3D" w:rsidRPr="00693A57" w:rsidRDefault="00CF0E3D" w:rsidP="00CF0E3D">
      <w:pPr>
        <w:pStyle w:val="subsection"/>
        <w:spacing w:before="40"/>
        <w:rPr>
          <w:color w:val="FF0000"/>
        </w:rPr>
      </w:pPr>
      <w:r w:rsidRPr="00693A57">
        <w:rPr>
          <w:color w:val="FF0000"/>
        </w:rPr>
        <w:tab/>
      </w:r>
      <w:r w:rsidRPr="00693A57">
        <w:rPr>
          <w:color w:val="FF0000"/>
        </w:rPr>
        <w:tab/>
        <w:t>It is intended that these rules will be amended at a later time to deal with additional sectors of the economy.</w:t>
      </w:r>
    </w:p>
    <w:p w14:paraId="48D42DCB" w14:textId="77777777" w:rsidR="00CF0E3D" w:rsidRPr="00B3173B" w:rsidRDefault="00CF0E3D" w:rsidP="00CF0E3D">
      <w:pPr>
        <w:pStyle w:val="ActHead3"/>
        <w:pageBreakBefore/>
      </w:pPr>
      <w:bookmarkStart w:id="17" w:name="_Toc11771565"/>
      <w:bookmarkStart w:id="18" w:name="_Toc77064819"/>
      <w:r>
        <w:lastRenderedPageBreak/>
        <w:t>Division 1.3</w:t>
      </w:r>
      <w:r w:rsidRPr="00B3173B">
        <w:t>—Interpretation</w:t>
      </w:r>
      <w:bookmarkEnd w:id="17"/>
      <w:bookmarkEnd w:id="18"/>
    </w:p>
    <w:p w14:paraId="0EED9DC4" w14:textId="77777777" w:rsidR="00CF0E3D" w:rsidRDefault="00CF0E3D" w:rsidP="00CF0E3D">
      <w:pPr>
        <w:pStyle w:val="ActHead5"/>
      </w:pPr>
      <w:bookmarkStart w:id="19" w:name="_Toc77064820"/>
      <w:r>
        <w:t>1.7  Definitions</w:t>
      </w:r>
      <w:bookmarkEnd w:id="19"/>
    </w:p>
    <w:p w14:paraId="4CCA1396" w14:textId="77777777" w:rsidR="00CF0E3D" w:rsidRPr="009C2562" w:rsidRDefault="00CF0E3D" w:rsidP="00CF0E3D">
      <w:pPr>
        <w:pStyle w:val="notetext"/>
      </w:pPr>
      <w:r w:rsidRPr="009C2562">
        <w:t>Note</w:t>
      </w:r>
      <w:r>
        <w:t xml:space="preserve"> 1</w:t>
      </w:r>
      <w:r w:rsidRPr="009C2562">
        <w:t>:</w:t>
      </w:r>
      <w:r w:rsidRPr="009C2562">
        <w:tab/>
        <w:t xml:space="preserve">A number of expressions used in this instrument are defined in </w:t>
      </w:r>
      <w:r>
        <w:t>the Act</w:t>
      </w:r>
      <w:r w:rsidRPr="009C2562">
        <w:t>, including the following:</w:t>
      </w:r>
    </w:p>
    <w:p w14:paraId="7F5E41D9" w14:textId="77777777" w:rsidR="00CF0E3D" w:rsidRPr="00000C1C" w:rsidRDefault="00CF0E3D" w:rsidP="00CF0E3D">
      <w:pPr>
        <w:pStyle w:val="notepara"/>
      </w:pPr>
      <w:r w:rsidRPr="00000C1C">
        <w:sym w:font="Symbol" w:char="F0B7"/>
      </w:r>
      <w:r w:rsidRPr="00000C1C">
        <w:tab/>
        <w:t>Accreditation Registrar;</w:t>
      </w:r>
    </w:p>
    <w:p w14:paraId="5E11124C" w14:textId="77777777" w:rsidR="00CF0E3D" w:rsidRDefault="00CF0E3D" w:rsidP="00CF0E3D">
      <w:pPr>
        <w:pStyle w:val="notepara"/>
      </w:pPr>
      <w:r>
        <w:sym w:font="Symbol" w:char="F0B7"/>
      </w:r>
      <w:r w:rsidRPr="009C2562">
        <w:tab/>
      </w:r>
      <w:r>
        <w:t>accredited data recipient;</w:t>
      </w:r>
    </w:p>
    <w:p w14:paraId="4FF7E02D" w14:textId="77777777" w:rsidR="00CF0E3D" w:rsidRDefault="00CF0E3D" w:rsidP="00CF0E3D">
      <w:pPr>
        <w:pStyle w:val="notepara"/>
      </w:pPr>
      <w:r>
        <w:sym w:font="Symbol" w:char="F0B7"/>
      </w:r>
      <w:r w:rsidRPr="009C2562">
        <w:tab/>
      </w:r>
      <w:r w:rsidRPr="00C560DF">
        <w:t>accredited person</w:t>
      </w:r>
      <w:r>
        <w:t>;</w:t>
      </w:r>
    </w:p>
    <w:p w14:paraId="735FEDC5" w14:textId="77777777" w:rsidR="00CF0E3D" w:rsidRDefault="00CF0E3D" w:rsidP="00CF0E3D">
      <w:pPr>
        <w:pStyle w:val="notepara"/>
      </w:pPr>
      <w:r>
        <w:sym w:font="Symbol" w:char="F0B7"/>
      </w:r>
      <w:r w:rsidRPr="009C2562">
        <w:tab/>
      </w:r>
      <w:r>
        <w:t>Australian Consumer Law;</w:t>
      </w:r>
    </w:p>
    <w:p w14:paraId="112B354C" w14:textId="67EAC6F5" w:rsidR="00BE3CC4" w:rsidRPr="00693A57" w:rsidRDefault="00BE3CC4" w:rsidP="00BE3CC4">
      <w:pPr>
        <w:pStyle w:val="notepara"/>
        <w:rPr>
          <w:color w:val="FF0000"/>
        </w:rPr>
      </w:pPr>
      <w:r w:rsidRPr="00693A57">
        <w:rPr>
          <w:color w:val="FF0000"/>
        </w:rPr>
        <w:sym w:font="Symbol" w:char="F0B7"/>
      </w:r>
      <w:r w:rsidRPr="00693A57">
        <w:rPr>
          <w:color w:val="FF0000"/>
        </w:rPr>
        <w:tab/>
        <w:t>Australian Energy Regulator;</w:t>
      </w:r>
    </w:p>
    <w:p w14:paraId="42318D16" w14:textId="77777777" w:rsidR="00CF0E3D" w:rsidRDefault="00CF0E3D" w:rsidP="00CF0E3D">
      <w:pPr>
        <w:pStyle w:val="notepara"/>
      </w:pPr>
      <w:r>
        <w:sym w:font="Symbol" w:char="F0B7"/>
      </w:r>
      <w:r w:rsidRPr="009C2562">
        <w:tab/>
      </w:r>
      <w:r w:rsidRPr="00C560DF">
        <w:t>binding data standard</w:t>
      </w:r>
      <w:r>
        <w:t>;</w:t>
      </w:r>
    </w:p>
    <w:p w14:paraId="01FE5BD7" w14:textId="77777777" w:rsidR="00CF0E3D" w:rsidRDefault="00CF0E3D" w:rsidP="00CF0E3D">
      <w:pPr>
        <w:pStyle w:val="notepara"/>
      </w:pPr>
      <w:r>
        <w:sym w:font="Symbol" w:char="F0B7"/>
      </w:r>
      <w:r w:rsidRPr="009C2562">
        <w:tab/>
      </w:r>
      <w:r>
        <w:t>CDR consumer;</w:t>
      </w:r>
    </w:p>
    <w:p w14:paraId="1615E83A" w14:textId="77777777" w:rsidR="00CF0E3D" w:rsidRDefault="00CF0E3D" w:rsidP="00CF0E3D">
      <w:pPr>
        <w:pStyle w:val="notepara"/>
      </w:pPr>
      <w:r>
        <w:sym w:font="Symbol" w:char="F0B7"/>
      </w:r>
      <w:r w:rsidRPr="009C2562">
        <w:tab/>
      </w:r>
      <w:r>
        <w:t>CDR data;</w:t>
      </w:r>
    </w:p>
    <w:p w14:paraId="617AB77C" w14:textId="77777777" w:rsidR="00CF0E3D" w:rsidRDefault="00CF0E3D" w:rsidP="00CF0E3D">
      <w:pPr>
        <w:pStyle w:val="notepara"/>
      </w:pPr>
      <w:r>
        <w:sym w:font="Symbol" w:char="F0B7"/>
      </w:r>
      <w:r w:rsidRPr="009C2562">
        <w:tab/>
      </w:r>
      <w:r>
        <w:t>CDR participant;</w:t>
      </w:r>
    </w:p>
    <w:p w14:paraId="3BDE0CA7" w14:textId="77777777" w:rsidR="00CF0E3D" w:rsidRDefault="00CF0E3D" w:rsidP="00CF0E3D">
      <w:pPr>
        <w:pStyle w:val="notepara"/>
      </w:pPr>
      <w:r>
        <w:sym w:font="Symbol" w:char="F0B7"/>
      </w:r>
      <w:r w:rsidRPr="009C2562">
        <w:tab/>
      </w:r>
      <w:r w:rsidRPr="00C560DF">
        <w:t>collects</w:t>
      </w:r>
      <w:r>
        <w:t>;</w:t>
      </w:r>
    </w:p>
    <w:p w14:paraId="50983F21" w14:textId="77777777" w:rsidR="00CF0E3D" w:rsidRDefault="00CF0E3D" w:rsidP="00CF0E3D">
      <w:pPr>
        <w:pStyle w:val="notepara"/>
      </w:pPr>
      <w:r>
        <w:sym w:font="Symbol" w:char="F0B7"/>
      </w:r>
      <w:r w:rsidRPr="009C2562">
        <w:tab/>
      </w:r>
      <w:r>
        <w:t>Commission;</w:t>
      </w:r>
    </w:p>
    <w:p w14:paraId="7BBAB45E" w14:textId="77777777" w:rsidR="00CF0E3D" w:rsidRDefault="00CF0E3D" w:rsidP="00CF0E3D">
      <w:pPr>
        <w:pStyle w:val="notepara"/>
      </w:pPr>
      <w:r>
        <w:sym w:font="Symbol" w:char="F0B7"/>
      </w:r>
      <w:r w:rsidRPr="009C2562">
        <w:tab/>
      </w:r>
      <w:r w:rsidRPr="00C560DF">
        <w:t>court/tribunal order</w:t>
      </w:r>
      <w:r>
        <w:t>;</w:t>
      </w:r>
    </w:p>
    <w:p w14:paraId="44A6831E" w14:textId="77777777" w:rsidR="00CF0E3D" w:rsidRDefault="00CF0E3D" w:rsidP="00CF0E3D">
      <w:pPr>
        <w:pStyle w:val="notepara"/>
      </w:pPr>
      <w:r>
        <w:sym w:font="Symbol" w:char="F0B7"/>
      </w:r>
      <w:r w:rsidRPr="009C2562">
        <w:tab/>
      </w:r>
      <w:r>
        <w:t>data holder;</w:t>
      </w:r>
    </w:p>
    <w:p w14:paraId="4300F13C" w14:textId="77777777" w:rsidR="00CF0E3D" w:rsidRPr="00000C1C" w:rsidRDefault="00CF0E3D" w:rsidP="00CF0E3D">
      <w:pPr>
        <w:pStyle w:val="notepara"/>
      </w:pPr>
      <w:r w:rsidRPr="00000C1C">
        <w:sym w:font="Symbol" w:char="F0B7"/>
      </w:r>
      <w:r w:rsidRPr="00000C1C">
        <w:tab/>
        <w:t>Data Recipient Accreditor;</w:t>
      </w:r>
    </w:p>
    <w:p w14:paraId="163374C0" w14:textId="77777777" w:rsidR="00CF0E3D" w:rsidRPr="00CB0342" w:rsidRDefault="00CF0E3D" w:rsidP="00CF0E3D">
      <w:pPr>
        <w:pStyle w:val="notepara"/>
      </w:pPr>
      <w:r>
        <w:sym w:font="Symbol" w:char="F0B7"/>
      </w:r>
      <w:r w:rsidRPr="009C2562">
        <w:tab/>
      </w:r>
      <w:r>
        <w:t>data standard;</w:t>
      </w:r>
    </w:p>
    <w:p w14:paraId="4F129715" w14:textId="77777777" w:rsidR="00CF0E3D" w:rsidRDefault="00CF0E3D" w:rsidP="00CF0E3D">
      <w:pPr>
        <w:pStyle w:val="notepara"/>
      </w:pPr>
      <w:r>
        <w:sym w:font="Symbol" w:char="F0B7"/>
      </w:r>
      <w:r w:rsidRPr="009C2562">
        <w:tab/>
      </w:r>
      <w:r>
        <w:t>Data Standards Body;</w:t>
      </w:r>
    </w:p>
    <w:p w14:paraId="173AD65A" w14:textId="77777777" w:rsidR="00CF0E3D" w:rsidRDefault="00CF0E3D" w:rsidP="00CF0E3D">
      <w:pPr>
        <w:pStyle w:val="notepara"/>
      </w:pPr>
      <w:r>
        <w:sym w:font="Symbol" w:char="F0B7"/>
      </w:r>
      <w:r w:rsidRPr="009C2562">
        <w:tab/>
      </w:r>
      <w:r>
        <w:t>Data Standards Chair;</w:t>
      </w:r>
    </w:p>
    <w:p w14:paraId="473DE661" w14:textId="77777777" w:rsidR="00CF0E3D" w:rsidRDefault="00CF0E3D" w:rsidP="00CF0E3D">
      <w:pPr>
        <w:pStyle w:val="notepara"/>
      </w:pPr>
      <w:r>
        <w:sym w:font="Symbol" w:char="F0B7"/>
      </w:r>
      <w:r w:rsidRPr="009C2562">
        <w:tab/>
      </w:r>
      <w:r>
        <w:t>designated sector</w:t>
      </w:r>
      <w:r w:rsidRPr="009C2562">
        <w:t>;</w:t>
      </w:r>
    </w:p>
    <w:p w14:paraId="2CBBED1C" w14:textId="77777777" w:rsidR="00CF0E3D" w:rsidRPr="00360E15" w:rsidRDefault="00CF0E3D" w:rsidP="00CF0E3D">
      <w:pPr>
        <w:pStyle w:val="notepara"/>
      </w:pPr>
      <w:r w:rsidRPr="00360E15">
        <w:sym w:font="Symbol" w:char="F0B7"/>
      </w:r>
      <w:r w:rsidRPr="00360E15">
        <w:tab/>
        <w:t>directly or indirectly derived;</w:t>
      </w:r>
    </w:p>
    <w:p w14:paraId="408404CB" w14:textId="77777777" w:rsidR="00CF0E3D" w:rsidRDefault="00CF0E3D" w:rsidP="00CF0E3D">
      <w:pPr>
        <w:pStyle w:val="notepara"/>
      </w:pPr>
      <w:r>
        <w:sym w:font="Symbol" w:char="F0B7"/>
      </w:r>
      <w:r w:rsidRPr="009C2562">
        <w:tab/>
      </w:r>
      <w:r>
        <w:t>privacy safeguards;</w:t>
      </w:r>
    </w:p>
    <w:p w14:paraId="23B8AD60" w14:textId="77777777" w:rsidR="00CF0E3D" w:rsidRDefault="00CF0E3D" w:rsidP="00CF0E3D">
      <w:pPr>
        <w:pStyle w:val="notepara"/>
      </w:pPr>
      <w:r>
        <w:sym w:font="Symbol" w:char="F0B7"/>
      </w:r>
      <w:r w:rsidRPr="009C2562">
        <w:tab/>
      </w:r>
      <w:r>
        <w:t>Regulatory Powers Act.</w:t>
      </w:r>
    </w:p>
    <w:p w14:paraId="7EDFF63E" w14:textId="77777777" w:rsidR="00CF0E3D" w:rsidRPr="00394674" w:rsidRDefault="00CF0E3D" w:rsidP="00CF0E3D">
      <w:pPr>
        <w:pStyle w:val="notetext"/>
      </w:pPr>
      <w:r>
        <w:t>Note 2:</w:t>
      </w:r>
      <w:r>
        <w:tab/>
      </w:r>
      <w:r>
        <w:rPr>
          <w:b/>
          <w:i/>
        </w:rPr>
        <w:t xml:space="preserve">Information Commissioner </w:t>
      </w:r>
      <w:r w:rsidRPr="00394674">
        <w:t>has the same meaning as in the Act</w:t>
      </w:r>
      <w:r>
        <w:t xml:space="preserve">: </w:t>
      </w:r>
      <w:r w:rsidRPr="00394674">
        <w:t>see</w:t>
      </w:r>
      <w:r>
        <w:rPr>
          <w:b/>
        </w:rPr>
        <w:t xml:space="preserve"> </w:t>
      </w:r>
      <w:r>
        <w:t xml:space="preserve">section 3A of the </w:t>
      </w:r>
      <w:r>
        <w:rPr>
          <w:i/>
        </w:rPr>
        <w:t xml:space="preserve">Australian Information Commissioner Act 2010 </w:t>
      </w:r>
      <w:r>
        <w:t xml:space="preserve">and paragraph 13(1)(b) of the </w:t>
      </w:r>
      <w:r>
        <w:rPr>
          <w:i/>
        </w:rPr>
        <w:t>Legislation Act 2003</w:t>
      </w:r>
      <w:r>
        <w:t>.</w:t>
      </w:r>
    </w:p>
    <w:p w14:paraId="70F69577" w14:textId="77777777" w:rsidR="00CF0E3D" w:rsidRDefault="00CF0E3D" w:rsidP="00CF0E3D">
      <w:pPr>
        <w:pStyle w:val="subsection"/>
      </w:pPr>
      <w:r>
        <w:tab/>
        <w:t>(1)</w:t>
      </w:r>
      <w:r>
        <w:tab/>
      </w:r>
      <w:r w:rsidRPr="009C2562">
        <w:t>In this instrument:</w:t>
      </w:r>
    </w:p>
    <w:p w14:paraId="3ED0FAA1" w14:textId="06A2AC1B" w:rsidR="00CF0E3D" w:rsidRPr="009B560D" w:rsidRDefault="00682D57" w:rsidP="00CF0E3D">
      <w:pPr>
        <w:pStyle w:val="Definition"/>
      </w:pPr>
      <w:r w:rsidRPr="009B560D">
        <w:rPr>
          <w:b/>
          <w:i/>
        </w:rPr>
        <w:t>account privileges</w:t>
      </w:r>
      <w:r w:rsidR="00CF0E3D" w:rsidRPr="009B560D">
        <w:t>, in relation to:</w:t>
      </w:r>
    </w:p>
    <w:p w14:paraId="722BCAD3" w14:textId="77777777" w:rsidR="00CF0E3D" w:rsidRPr="009B560D" w:rsidRDefault="00CF0E3D" w:rsidP="00CF0E3D">
      <w:pPr>
        <w:pStyle w:val="paragraph"/>
      </w:pPr>
      <w:r w:rsidRPr="009B560D">
        <w:tab/>
        <w:t>(a)</w:t>
      </w:r>
      <w:r w:rsidRPr="009B560D">
        <w:tab/>
        <w:t>an account with a data holder; and</w:t>
      </w:r>
    </w:p>
    <w:p w14:paraId="151106C7" w14:textId="77777777" w:rsidR="00CF0E3D" w:rsidRPr="009B560D" w:rsidRDefault="00CF0E3D" w:rsidP="00CF0E3D">
      <w:pPr>
        <w:pStyle w:val="paragraph"/>
      </w:pPr>
      <w:r w:rsidRPr="009B560D">
        <w:tab/>
        <w:t>(b)</w:t>
      </w:r>
      <w:r w:rsidRPr="009B560D">
        <w:tab/>
        <w:t>a particular designated sector;</w:t>
      </w:r>
    </w:p>
    <w:p w14:paraId="493DB92A" w14:textId="5C415EDB" w:rsidR="00CF0E3D" w:rsidRPr="009B560D" w:rsidRDefault="00CF0E3D" w:rsidP="002D51A1">
      <w:pPr>
        <w:pStyle w:val="subsection20"/>
      </w:pPr>
      <w:r w:rsidRPr="009B560D">
        <w:tab/>
      </w:r>
      <w:r w:rsidRPr="009B560D">
        <w:tab/>
        <w:t>has the meaning set out</w:t>
      </w:r>
      <w:r w:rsidR="003557E5" w:rsidRPr="009B560D">
        <w:t xml:space="preserve"> in</w:t>
      </w:r>
      <w:r w:rsidR="006F0D6C" w:rsidRPr="009B560D">
        <w:t xml:space="preserve"> a Schedule to these rules that relates to that sector.</w:t>
      </w:r>
    </w:p>
    <w:p w14:paraId="5FF554ED" w14:textId="77777777" w:rsidR="00CF0E3D" w:rsidRDefault="00CF0E3D" w:rsidP="00CF0E3D">
      <w:pPr>
        <w:pStyle w:val="Definition"/>
      </w:pPr>
      <w:r w:rsidRPr="000C3240">
        <w:rPr>
          <w:b/>
          <w:i/>
          <w:color w:val="000000" w:themeColor="text1"/>
        </w:rPr>
        <w:t xml:space="preserve">accreditation </w:t>
      </w:r>
      <w:r>
        <w:rPr>
          <w:b/>
          <w:i/>
        </w:rPr>
        <w:t xml:space="preserve">applicant </w:t>
      </w:r>
      <w:r>
        <w:t>means a person who has applied to be an accredited person under rule 5.2.</w:t>
      </w:r>
    </w:p>
    <w:p w14:paraId="61C7EBAD" w14:textId="77777777" w:rsidR="00CF0E3D" w:rsidRPr="00005026" w:rsidRDefault="00CF0E3D" w:rsidP="00CF0E3D">
      <w:pPr>
        <w:pStyle w:val="Definition"/>
      </w:pPr>
      <w:r w:rsidRPr="00005026">
        <w:rPr>
          <w:b/>
          <w:i/>
        </w:rPr>
        <w:t>accreditation number</w:t>
      </w:r>
      <w:r w:rsidRPr="00005026">
        <w:t xml:space="preserve"> of an accredited person has the meaning given by rule </w:t>
      </w:r>
      <w:r>
        <w:t>5.6</w:t>
      </w:r>
      <w:r w:rsidRPr="00005026">
        <w:t>.</w:t>
      </w:r>
    </w:p>
    <w:p w14:paraId="4DA9350C" w14:textId="77777777" w:rsidR="00CF0E3D" w:rsidRDefault="00CF0E3D" w:rsidP="00CF0E3D">
      <w:pPr>
        <w:pStyle w:val="Definition"/>
      </w:pPr>
      <w:r w:rsidRPr="0023036E">
        <w:rPr>
          <w:b/>
          <w:i/>
        </w:rPr>
        <w:t xml:space="preserve">accredited data recipient </w:t>
      </w:r>
      <w:r w:rsidRPr="0023036E">
        <w:t>has a meaning affected by subrule</w:t>
      </w:r>
      <w:r>
        <w:t> (2)</w:t>
      </w:r>
      <w:r w:rsidRPr="0023036E">
        <w:t>.</w:t>
      </w:r>
    </w:p>
    <w:p w14:paraId="6F64E818" w14:textId="77777777" w:rsidR="00CF0E3D" w:rsidRPr="00796ADB" w:rsidRDefault="00CF0E3D" w:rsidP="00CF0E3D">
      <w:pPr>
        <w:pStyle w:val="notetext"/>
      </w:pPr>
      <w:r w:rsidRPr="00796ADB">
        <w:t>Note:</w:t>
      </w:r>
      <w:r w:rsidRPr="00796ADB">
        <w:tab/>
        <w:t>The term “accredited data recipient” is defined in the Act: see section 56AK of the Act. Subrule </w:t>
      </w:r>
      <w:r>
        <w:t>(2)</w:t>
      </w:r>
      <w:r w:rsidRPr="00796ADB">
        <w:t xml:space="preserve"> deals with the usage of this term in these rules.</w:t>
      </w:r>
    </w:p>
    <w:p w14:paraId="0D28DFA7" w14:textId="77777777" w:rsidR="00CF0E3D" w:rsidRPr="006F4229" w:rsidRDefault="00CF0E3D" w:rsidP="00CF0E3D">
      <w:pPr>
        <w:pStyle w:val="Definition"/>
      </w:pPr>
      <w:r w:rsidRPr="006F4229">
        <w:rPr>
          <w:b/>
          <w:i/>
        </w:rPr>
        <w:t xml:space="preserve">accredited person request service </w:t>
      </w:r>
      <w:r w:rsidRPr="006F4229">
        <w:t>has the meaning given by subrule </w:t>
      </w:r>
      <w:r>
        <w:t>1.13(3)</w:t>
      </w:r>
      <w:r w:rsidRPr="006F4229">
        <w:t>.</w:t>
      </w:r>
    </w:p>
    <w:p w14:paraId="7418B1C0" w14:textId="77777777" w:rsidR="00CF0E3D" w:rsidRDefault="00CF0E3D" w:rsidP="00CF0E3D">
      <w:pPr>
        <w:pStyle w:val="Definition"/>
      </w:pPr>
      <w:r w:rsidRPr="009C2562">
        <w:rPr>
          <w:b/>
          <w:i/>
        </w:rPr>
        <w:t>Act</w:t>
      </w:r>
      <w:r w:rsidRPr="009C2562">
        <w:t xml:space="preserve"> means the </w:t>
      </w:r>
      <w:r>
        <w:rPr>
          <w:i/>
        </w:rPr>
        <w:t>Competition and Consumer Act 2010</w:t>
      </w:r>
      <w:r>
        <w:t>.</w:t>
      </w:r>
    </w:p>
    <w:p w14:paraId="726819C5" w14:textId="77777777" w:rsidR="00CF0E3D" w:rsidRPr="006F4A42" w:rsidRDefault="00CF0E3D" w:rsidP="00CF0E3D">
      <w:pPr>
        <w:pStyle w:val="Definition"/>
      </w:pPr>
      <w:r w:rsidRPr="006F4A42">
        <w:rPr>
          <w:b/>
          <w:i/>
        </w:rPr>
        <w:t>addresses for service</w:t>
      </w:r>
      <w:r w:rsidRPr="006F4A42">
        <w:t xml:space="preserve"> means both of the following:</w:t>
      </w:r>
    </w:p>
    <w:p w14:paraId="1EB180B2" w14:textId="77777777" w:rsidR="00CF0E3D" w:rsidRPr="006F4A42" w:rsidRDefault="00CF0E3D" w:rsidP="00CF0E3D">
      <w:pPr>
        <w:pStyle w:val="paragraph"/>
      </w:pPr>
      <w:r w:rsidRPr="006F4A42">
        <w:lastRenderedPageBreak/>
        <w:tab/>
        <w:t>(a)</w:t>
      </w:r>
      <w:r w:rsidRPr="006F4A42">
        <w:tab/>
        <w:t>a physical address for service in Australia;</w:t>
      </w:r>
    </w:p>
    <w:p w14:paraId="1AA2F652" w14:textId="77777777" w:rsidR="00CF0E3D" w:rsidRPr="006F4A42" w:rsidRDefault="00CF0E3D" w:rsidP="00CF0E3D">
      <w:pPr>
        <w:pStyle w:val="paragraph"/>
      </w:pPr>
      <w:r w:rsidRPr="006F4A42">
        <w:tab/>
        <w:t>(b)</w:t>
      </w:r>
      <w:r w:rsidRPr="006F4A42">
        <w:tab/>
        <w:t>an electronic address for service.</w:t>
      </w:r>
    </w:p>
    <w:p w14:paraId="78D07077" w14:textId="77777777" w:rsidR="00CF0E3D" w:rsidRDefault="00CF0E3D" w:rsidP="00CF0E3D">
      <w:pPr>
        <w:pStyle w:val="Definition"/>
      </w:pPr>
      <w:r>
        <w:rPr>
          <w:b/>
          <w:i/>
        </w:rPr>
        <w:t>ADI</w:t>
      </w:r>
      <w:r>
        <w:t xml:space="preserve"> (short for authorised deposit</w:t>
      </w:r>
      <w:r>
        <w:noBreakHyphen/>
        <w:t xml:space="preserve">taking institution) has the meaning given by the </w:t>
      </w:r>
      <w:r>
        <w:rPr>
          <w:i/>
        </w:rPr>
        <w:t>Banking Act 1959</w:t>
      </w:r>
      <w:r>
        <w:t>.</w:t>
      </w:r>
    </w:p>
    <w:p w14:paraId="2D5AF29A" w14:textId="77777777" w:rsidR="008A6C8F" w:rsidRPr="00771FEA" w:rsidRDefault="00350945" w:rsidP="008A6C8F">
      <w:pPr>
        <w:pStyle w:val="Definition"/>
      </w:pPr>
      <w:r w:rsidRPr="00693A57">
        <w:rPr>
          <w:b/>
          <w:i/>
          <w:color w:val="0000FF"/>
        </w:rPr>
        <w:t>affiliate</w:t>
      </w:r>
      <w:r w:rsidRPr="00693A57">
        <w:rPr>
          <w:color w:val="0000FF"/>
        </w:rPr>
        <w:t xml:space="preserve"> </w:t>
      </w:r>
      <w:r w:rsidR="008A6C8F" w:rsidRPr="00693A57">
        <w:rPr>
          <w:color w:val="0000FF"/>
        </w:rPr>
        <w:t>has the meaning given by by rule 1.10D.</w:t>
      </w:r>
      <w:r w:rsidR="008A6C8F" w:rsidRPr="008A6C8F">
        <w:t xml:space="preserve"> </w:t>
      </w:r>
    </w:p>
    <w:p w14:paraId="6F778CC6" w14:textId="1519CB80" w:rsidR="00CF0E3D" w:rsidRPr="00771FEA" w:rsidRDefault="00CF0E3D" w:rsidP="00CF0E3D">
      <w:pPr>
        <w:pStyle w:val="Definition"/>
      </w:pPr>
      <w:r w:rsidRPr="00771FEA">
        <w:rPr>
          <w:b/>
          <w:i/>
        </w:rPr>
        <w:t>AP disclosure consent</w:t>
      </w:r>
      <w:r w:rsidRPr="00771FEA">
        <w:t xml:space="preserve"> has the meaning given by rule 1.10A.</w:t>
      </w:r>
    </w:p>
    <w:p w14:paraId="58607865" w14:textId="77777777" w:rsidR="00CF0E3D" w:rsidRPr="000C3240" w:rsidRDefault="00CF0E3D" w:rsidP="00CF0E3D">
      <w:pPr>
        <w:pStyle w:val="Definition"/>
        <w:rPr>
          <w:color w:val="000000" w:themeColor="text1"/>
        </w:rPr>
      </w:pPr>
      <w:r w:rsidRPr="000C3240">
        <w:rPr>
          <w:b/>
          <w:i/>
          <w:color w:val="000000" w:themeColor="text1"/>
        </w:rPr>
        <w:t>associated person</w:t>
      </w:r>
      <w:r w:rsidRPr="000C3240">
        <w:rPr>
          <w:color w:val="000000" w:themeColor="text1"/>
        </w:rPr>
        <w:t>, of another person,</w:t>
      </w:r>
      <w:r w:rsidRPr="000C3240">
        <w:rPr>
          <w:b/>
          <w:i/>
          <w:color w:val="000000" w:themeColor="text1"/>
        </w:rPr>
        <w:t xml:space="preserve"> </w:t>
      </w:r>
      <w:r w:rsidRPr="000C3240">
        <w:rPr>
          <w:color w:val="000000" w:themeColor="text1"/>
        </w:rPr>
        <w:t xml:space="preserve">means </w:t>
      </w:r>
      <w:r w:rsidRPr="00466CCE">
        <w:t xml:space="preserve">any of </w:t>
      </w:r>
      <w:r w:rsidRPr="000C3240">
        <w:rPr>
          <w:color w:val="000000" w:themeColor="text1"/>
        </w:rPr>
        <w:t>the following:</w:t>
      </w:r>
    </w:p>
    <w:p w14:paraId="07F7AD43" w14:textId="77777777" w:rsidR="00CF0E3D" w:rsidRPr="000C3240" w:rsidRDefault="00CF0E3D" w:rsidP="00CF0E3D">
      <w:pPr>
        <w:pStyle w:val="paragraph"/>
        <w:rPr>
          <w:color w:val="000000" w:themeColor="text1"/>
        </w:rPr>
      </w:pPr>
      <w:r w:rsidRPr="000C3240">
        <w:rPr>
          <w:color w:val="000000" w:themeColor="text1"/>
        </w:rPr>
        <w:tab/>
        <w:t>(a)</w:t>
      </w:r>
      <w:r w:rsidRPr="000C3240">
        <w:rPr>
          <w:color w:val="000000" w:themeColor="text1"/>
        </w:rPr>
        <w:tab/>
      </w:r>
      <w:r w:rsidRPr="00466CCE">
        <w:t>a</w:t>
      </w:r>
      <w:r w:rsidRPr="000C3240">
        <w:rPr>
          <w:color w:val="000000" w:themeColor="text1"/>
        </w:rPr>
        <w:t xml:space="preserve"> person who:</w:t>
      </w:r>
    </w:p>
    <w:p w14:paraId="43BE8C67" w14:textId="77777777" w:rsidR="00CF0E3D" w:rsidRPr="000C3240" w:rsidRDefault="00CF0E3D" w:rsidP="00CF0E3D">
      <w:pPr>
        <w:pStyle w:val="paragraphsub"/>
        <w:rPr>
          <w:color w:val="000000" w:themeColor="text1"/>
        </w:rPr>
      </w:pPr>
      <w:r w:rsidRPr="000C3240">
        <w:rPr>
          <w:color w:val="000000" w:themeColor="text1"/>
        </w:rPr>
        <w:tab/>
        <w:t>(i)</w:t>
      </w:r>
      <w:r w:rsidRPr="000C3240">
        <w:rPr>
          <w:color w:val="000000" w:themeColor="text1"/>
        </w:rPr>
        <w:tab/>
        <w:t>makes or participates in making, or would (if the other person were an accredited person) make or participate in making, decisions that affect the management of CDR data</w:t>
      </w:r>
      <w:r w:rsidRPr="00596ABF">
        <w:rPr>
          <w:color w:val="000000" w:themeColor="text1"/>
        </w:rPr>
        <w:t xml:space="preserve"> </w:t>
      </w:r>
      <w:r w:rsidRPr="000C3240">
        <w:rPr>
          <w:color w:val="000000" w:themeColor="text1"/>
        </w:rPr>
        <w:t>by the other person; or</w:t>
      </w:r>
    </w:p>
    <w:p w14:paraId="001D1394" w14:textId="77777777" w:rsidR="00CF0E3D" w:rsidRPr="000C3240" w:rsidRDefault="00CF0E3D" w:rsidP="00CF0E3D">
      <w:pPr>
        <w:pStyle w:val="paragraphsub"/>
        <w:rPr>
          <w:color w:val="000000" w:themeColor="text1"/>
        </w:rPr>
      </w:pPr>
      <w:r w:rsidRPr="000C3240">
        <w:rPr>
          <w:color w:val="000000" w:themeColor="text1"/>
        </w:rPr>
        <w:tab/>
        <w:t>(ii)</w:t>
      </w:r>
      <w:r w:rsidRPr="000C3240">
        <w:rPr>
          <w:color w:val="000000" w:themeColor="text1"/>
        </w:rPr>
        <w:tab/>
        <w:t>has, or would have (if the other person were an accredited person), the capacity to significantly affect the other person’s management of CDR data;</w:t>
      </w:r>
    </w:p>
    <w:p w14:paraId="7684C52B" w14:textId="77777777" w:rsidR="00CF0E3D" w:rsidRPr="00AB73DF" w:rsidRDefault="00CF0E3D" w:rsidP="00CF0E3D">
      <w:pPr>
        <w:pStyle w:val="paragraph"/>
      </w:pPr>
      <w:r w:rsidRPr="000C3240">
        <w:rPr>
          <w:color w:val="000000" w:themeColor="text1"/>
        </w:rPr>
        <w:tab/>
        <w:t>(b)</w:t>
      </w:r>
      <w:r w:rsidRPr="000C3240">
        <w:rPr>
          <w:color w:val="000000" w:themeColor="text1"/>
        </w:rPr>
        <w:tab/>
        <w:t>if the other person is a body corporate</w:t>
      </w:r>
      <w:r w:rsidRPr="00AB73DF">
        <w:t>—a person who:</w:t>
      </w:r>
    </w:p>
    <w:p w14:paraId="5E8CE97F" w14:textId="77777777" w:rsidR="00CF0E3D" w:rsidRPr="00AB73DF" w:rsidRDefault="00CF0E3D" w:rsidP="00CF0E3D">
      <w:pPr>
        <w:pStyle w:val="paragraphsub"/>
      </w:pPr>
      <w:r w:rsidRPr="00AB73DF">
        <w:tab/>
        <w:t>(i)</w:t>
      </w:r>
      <w:r w:rsidRPr="00AB73DF">
        <w:tab/>
        <w:t xml:space="preserve">is an associate (within the meaning of the </w:t>
      </w:r>
      <w:r w:rsidRPr="00AB73DF">
        <w:rPr>
          <w:i/>
        </w:rPr>
        <w:t>Corporations Act 2001</w:t>
      </w:r>
      <w:r w:rsidRPr="00AB73DF">
        <w:t>) of the other person; or</w:t>
      </w:r>
    </w:p>
    <w:p w14:paraId="5EE6A47F" w14:textId="77777777" w:rsidR="00CF0E3D" w:rsidRPr="00AB73DF" w:rsidRDefault="00CF0E3D" w:rsidP="00CF0E3D">
      <w:pPr>
        <w:pStyle w:val="paragraphsub"/>
      </w:pPr>
      <w:r w:rsidRPr="00AB73DF">
        <w:tab/>
        <w:t>(ii)</w:t>
      </w:r>
      <w:r w:rsidRPr="00AB73DF">
        <w:tab/>
        <w:t xml:space="preserve">is an associated entity (within the meaning of the </w:t>
      </w:r>
      <w:r w:rsidRPr="00AB73DF">
        <w:rPr>
          <w:i/>
        </w:rPr>
        <w:t>Corporations Act 2001</w:t>
      </w:r>
      <w:r w:rsidRPr="00AB73DF">
        <w:t>) of the other person.</w:t>
      </w:r>
    </w:p>
    <w:p w14:paraId="51418389" w14:textId="77777777" w:rsidR="00CF0E3D" w:rsidRPr="00771FEA" w:rsidRDefault="00CF0E3D" w:rsidP="00CF0E3D">
      <w:pPr>
        <w:pStyle w:val="Definition"/>
      </w:pPr>
      <w:r w:rsidRPr="00771FEA">
        <w:rPr>
          <w:b/>
          <w:i/>
        </w:rPr>
        <w:t xml:space="preserve">authorisation </w:t>
      </w:r>
      <w:r w:rsidRPr="00771FEA">
        <w:t>to disclose CDR data means:</w:t>
      </w:r>
    </w:p>
    <w:p w14:paraId="59601215" w14:textId="77777777" w:rsidR="00CF0E3D" w:rsidRPr="00771FEA" w:rsidRDefault="00CF0E3D" w:rsidP="00CF0E3D">
      <w:pPr>
        <w:pStyle w:val="paragraph"/>
      </w:pPr>
      <w:r w:rsidRPr="00771FEA">
        <w:tab/>
        <w:t>(a)</w:t>
      </w:r>
      <w:r w:rsidRPr="00771FEA">
        <w:tab/>
        <w:t>an authorisation given by a CDR consumer under Part 4 to a data holder; or</w:t>
      </w:r>
    </w:p>
    <w:p w14:paraId="55A29E5F" w14:textId="77777777" w:rsidR="00CF0E3D" w:rsidRPr="00771FEA" w:rsidRDefault="00CF0E3D" w:rsidP="00CF0E3D">
      <w:pPr>
        <w:pStyle w:val="paragraph"/>
      </w:pPr>
      <w:r w:rsidRPr="00771FEA">
        <w:tab/>
        <w:t>(b)</w:t>
      </w:r>
      <w:r w:rsidRPr="00771FEA">
        <w:tab/>
        <w:t>such an authorisation as amended in accordance with these rules.</w:t>
      </w:r>
    </w:p>
    <w:p w14:paraId="5AA28E2F" w14:textId="77777777" w:rsidR="00CF0E3D" w:rsidRPr="00771FEA" w:rsidRDefault="00CF0E3D" w:rsidP="00CF0E3D">
      <w:pPr>
        <w:pStyle w:val="Definition"/>
      </w:pPr>
      <w:r w:rsidRPr="00771FEA">
        <w:rPr>
          <w:b/>
          <w:i/>
        </w:rPr>
        <w:t>category</w:t>
      </w:r>
      <w:r w:rsidRPr="00771FEA">
        <w:t>,</w:t>
      </w:r>
      <w:r w:rsidRPr="00771FEA">
        <w:rPr>
          <w:b/>
          <w:i/>
        </w:rPr>
        <w:t xml:space="preserve"> </w:t>
      </w:r>
      <w:r w:rsidRPr="00771FEA">
        <w:t>of consents, has the meaning given by rule 1.10A.</w:t>
      </w:r>
    </w:p>
    <w:p w14:paraId="29357B97" w14:textId="77777777" w:rsidR="00CF0E3D" w:rsidRPr="00964EDA" w:rsidRDefault="00CF0E3D" w:rsidP="00CF0E3D">
      <w:pPr>
        <w:pStyle w:val="Definition"/>
        <w:rPr>
          <w:color w:val="000000"/>
        </w:rPr>
      </w:pPr>
      <w:r w:rsidRPr="00964EDA">
        <w:rPr>
          <w:b/>
          <w:i/>
          <w:color w:val="000000"/>
        </w:rPr>
        <w:t>CDR complaint data</w:t>
      </w:r>
      <w:r>
        <w:rPr>
          <w:color w:val="000000"/>
        </w:rPr>
        <w:t>, in relation to a CDR participant,</w:t>
      </w:r>
      <w:r w:rsidRPr="00964EDA">
        <w:rPr>
          <w:b/>
          <w:color w:val="000000"/>
        </w:rPr>
        <w:t xml:space="preserve"> </w:t>
      </w:r>
      <w:r w:rsidRPr="00964EDA">
        <w:rPr>
          <w:color w:val="000000"/>
        </w:rPr>
        <w:t>means the following:</w:t>
      </w:r>
    </w:p>
    <w:p w14:paraId="03D31385" w14:textId="77777777" w:rsidR="00CF0E3D" w:rsidRPr="00964EDA" w:rsidRDefault="00CF0E3D" w:rsidP="00CF0E3D">
      <w:pPr>
        <w:pStyle w:val="paragraph"/>
        <w:rPr>
          <w:color w:val="000000"/>
        </w:rPr>
      </w:pPr>
      <w:r w:rsidRPr="00964EDA">
        <w:rPr>
          <w:color w:val="000000"/>
        </w:rPr>
        <w:tab/>
        <w:t>(a)</w:t>
      </w:r>
      <w:r w:rsidRPr="00964EDA">
        <w:rPr>
          <w:color w:val="000000"/>
        </w:rPr>
        <w:tab/>
        <w:t>the number of CDR consumer complaints</w:t>
      </w:r>
      <w:r>
        <w:rPr>
          <w:color w:val="000000"/>
        </w:rPr>
        <w:t xml:space="preserve"> received by the CDR participant</w:t>
      </w:r>
      <w:r w:rsidRPr="00964EDA">
        <w:rPr>
          <w:color w:val="000000"/>
        </w:rPr>
        <w:t>;</w:t>
      </w:r>
    </w:p>
    <w:p w14:paraId="53A0899E" w14:textId="77777777" w:rsidR="00CF0E3D" w:rsidRPr="00005026" w:rsidRDefault="00CF0E3D" w:rsidP="00CF0E3D">
      <w:pPr>
        <w:pStyle w:val="paragraph"/>
      </w:pPr>
      <w:r w:rsidRPr="00771FEA">
        <w:tab/>
        <w:t>(b)</w:t>
      </w:r>
      <w:r w:rsidRPr="00771FEA">
        <w:tab/>
        <w:t>the number of such complaints for each complaint type into which the CDR participant categorises complaints in accordance with i</w:t>
      </w:r>
      <w:r>
        <w:t>ts complaints handling process;</w:t>
      </w:r>
    </w:p>
    <w:p w14:paraId="50CC43FF" w14:textId="77777777" w:rsidR="00CF0E3D" w:rsidRPr="00005026" w:rsidRDefault="00CF0E3D" w:rsidP="00CF0E3D">
      <w:pPr>
        <w:pStyle w:val="paragraph"/>
      </w:pPr>
      <w:r w:rsidRPr="00005026">
        <w:tab/>
        <w:t>(c)</w:t>
      </w:r>
      <w:r w:rsidRPr="00005026">
        <w:tab/>
        <w:t>the number of such complaints resolved;</w:t>
      </w:r>
    </w:p>
    <w:p w14:paraId="4759600F" w14:textId="77777777" w:rsidR="00CF0E3D" w:rsidRPr="00005026" w:rsidRDefault="00CF0E3D" w:rsidP="00CF0E3D">
      <w:pPr>
        <w:pStyle w:val="paragraph"/>
      </w:pPr>
      <w:r w:rsidRPr="00005026">
        <w:tab/>
        <w:t>(d)</w:t>
      </w:r>
      <w:r w:rsidRPr="00005026">
        <w:tab/>
        <w:t>the average number of days taken to resolve CDR consumer complaints through internal dispute resolution;</w:t>
      </w:r>
    </w:p>
    <w:p w14:paraId="4AC6F1CC" w14:textId="77777777" w:rsidR="00CF0E3D" w:rsidRDefault="00CF0E3D" w:rsidP="00CF0E3D">
      <w:pPr>
        <w:pStyle w:val="paragraph"/>
        <w:rPr>
          <w:color w:val="000000"/>
        </w:rPr>
      </w:pPr>
      <w:r w:rsidRPr="00005026">
        <w:tab/>
        <w:t>(e)</w:t>
      </w:r>
      <w:r w:rsidRPr="00005026">
        <w:tab/>
        <w:t xml:space="preserve">the number of CDR consumer complaints referred to </w:t>
      </w:r>
      <w:r w:rsidRPr="00B31455">
        <w:t>a recognised external dispute resolution scheme</w:t>
      </w:r>
      <w:r w:rsidRPr="00964EDA">
        <w:rPr>
          <w:color w:val="000000"/>
        </w:rPr>
        <w:t>;</w:t>
      </w:r>
    </w:p>
    <w:p w14:paraId="4D36EA7D" w14:textId="77777777" w:rsidR="00CF0E3D" w:rsidRPr="00005026" w:rsidRDefault="00CF0E3D" w:rsidP="00CF0E3D">
      <w:pPr>
        <w:pStyle w:val="paragraph"/>
      </w:pPr>
      <w:r w:rsidRPr="00005026">
        <w:tab/>
        <w:t>(f)</w:t>
      </w:r>
      <w:r w:rsidRPr="00005026">
        <w:tab/>
        <w:t>the number of CDR consumer complaints resolved by external dispute resolution;</w:t>
      </w:r>
    </w:p>
    <w:p w14:paraId="4ECE8CE9" w14:textId="77777777" w:rsidR="00CF0E3D" w:rsidRPr="00005026" w:rsidRDefault="00CF0E3D" w:rsidP="00CF0E3D">
      <w:pPr>
        <w:pStyle w:val="paragraph"/>
      </w:pPr>
      <w:r w:rsidRPr="00771FEA">
        <w:tab/>
        <w:t>(g)</w:t>
      </w:r>
      <w:r w:rsidRPr="00771FEA">
        <w:tab/>
        <w:t>in relation to a CDR participant that is a data holder―the number of CDR pro</w:t>
      </w:r>
      <w:r>
        <w:t xml:space="preserve">duct data complaints received. </w:t>
      </w:r>
    </w:p>
    <w:p w14:paraId="650095C4" w14:textId="77777777" w:rsidR="00CF0E3D" w:rsidRPr="00005026" w:rsidRDefault="00CF0E3D" w:rsidP="00CF0E3D">
      <w:pPr>
        <w:pStyle w:val="notetext"/>
      </w:pPr>
      <w:r>
        <w:t>Note</w:t>
      </w:r>
      <w:r w:rsidRPr="00005026">
        <w:t xml:space="preserve">: </w:t>
      </w:r>
      <w:r w:rsidRPr="00005026">
        <w:tab/>
        <w:t>Complaints covered by paragraph (g) are not “CDR consumer complaints”.</w:t>
      </w:r>
    </w:p>
    <w:p w14:paraId="627E7936" w14:textId="77777777" w:rsidR="00CF0E3D" w:rsidRPr="0023036E" w:rsidRDefault="00CF0E3D" w:rsidP="00CF0E3D">
      <w:pPr>
        <w:pStyle w:val="Definition"/>
      </w:pPr>
      <w:r w:rsidRPr="0023036E">
        <w:rPr>
          <w:b/>
          <w:i/>
        </w:rPr>
        <w:t xml:space="preserve">CDR consumer </w:t>
      </w:r>
      <w:r w:rsidRPr="0023036E">
        <w:t>has a meaning affected by subrule</w:t>
      </w:r>
      <w:r>
        <w:t xml:space="preserve"> (2)</w:t>
      </w:r>
      <w:r w:rsidRPr="0023036E">
        <w:t>.</w:t>
      </w:r>
    </w:p>
    <w:p w14:paraId="28FCF3DF" w14:textId="77777777" w:rsidR="00CF0E3D" w:rsidRPr="00796ADB" w:rsidRDefault="00CF0E3D" w:rsidP="00CF0E3D">
      <w:pPr>
        <w:pStyle w:val="notetext"/>
      </w:pPr>
      <w:r w:rsidRPr="00796ADB">
        <w:lastRenderedPageBreak/>
        <w:t>Note:</w:t>
      </w:r>
      <w:r w:rsidRPr="00796ADB">
        <w:tab/>
        <w:t>The term “CDR consumer” is defined in the Act: see subsection 56AI(3) of the Act. Subrule </w:t>
      </w:r>
      <w:r>
        <w:t>(2)</w:t>
      </w:r>
      <w:r w:rsidRPr="00796ADB">
        <w:t xml:space="preserve"> deals with the usage of this term in these rules.</w:t>
      </w:r>
    </w:p>
    <w:p w14:paraId="0B247108" w14:textId="77777777" w:rsidR="00CF0E3D" w:rsidRPr="00796ADB" w:rsidRDefault="00CF0E3D" w:rsidP="00CF0E3D">
      <w:pPr>
        <w:pStyle w:val="Definition"/>
      </w:pPr>
      <w:r w:rsidRPr="00796ADB">
        <w:rPr>
          <w:b/>
          <w:i/>
        </w:rPr>
        <w:t>CDR consumer complaint</w:t>
      </w:r>
      <w:r w:rsidRPr="00796ADB">
        <w:t xml:space="preserve"> means any expression of dissatisfaction made by a CDR consumer to </w:t>
      </w:r>
      <w:r w:rsidRPr="00E1300D">
        <w:t xml:space="preserve">or about </w:t>
      </w:r>
      <w:r w:rsidRPr="00796ADB">
        <w:t>a CDR participant:</w:t>
      </w:r>
    </w:p>
    <w:p w14:paraId="1010EA2B" w14:textId="77777777" w:rsidR="00CF0E3D" w:rsidRPr="00796ADB" w:rsidRDefault="00CF0E3D" w:rsidP="00CF0E3D">
      <w:pPr>
        <w:pStyle w:val="paragraph"/>
      </w:pPr>
      <w:r w:rsidRPr="00796ADB">
        <w:tab/>
        <w:t>(a)</w:t>
      </w:r>
      <w:r w:rsidRPr="00796ADB">
        <w:tab/>
        <w:t>that relates to:</w:t>
      </w:r>
    </w:p>
    <w:p w14:paraId="73F4382D" w14:textId="77777777" w:rsidR="00CF0E3D" w:rsidRPr="00724397" w:rsidRDefault="00CF0E3D" w:rsidP="00CF0E3D">
      <w:pPr>
        <w:pStyle w:val="paragraphsub"/>
      </w:pPr>
      <w:r w:rsidRPr="00796ADB">
        <w:tab/>
        <w:t>(i)</w:t>
      </w:r>
      <w:r w:rsidRPr="00796ADB">
        <w:tab/>
      </w:r>
      <w:r w:rsidRPr="00724397">
        <w:t>the CDR participant’s obligations under or compliance with:</w:t>
      </w:r>
    </w:p>
    <w:p w14:paraId="7B1C1E44" w14:textId="77777777" w:rsidR="00CF0E3D" w:rsidRPr="00724397" w:rsidRDefault="00CF0E3D" w:rsidP="00CF0E3D">
      <w:pPr>
        <w:pStyle w:val="paragraphsub-sub"/>
      </w:pPr>
      <w:r w:rsidRPr="00724397">
        <w:tab/>
        <w:t>(A)</w:t>
      </w:r>
      <w:r w:rsidRPr="00724397">
        <w:tab/>
        <w:t>Part IVD of the Act; or</w:t>
      </w:r>
    </w:p>
    <w:p w14:paraId="00C203BA" w14:textId="77777777" w:rsidR="00CF0E3D" w:rsidRPr="00724397" w:rsidRDefault="00CF0E3D" w:rsidP="00CF0E3D">
      <w:pPr>
        <w:pStyle w:val="paragraphsub-sub"/>
      </w:pPr>
      <w:r w:rsidRPr="00724397">
        <w:tab/>
        <w:t>(B)</w:t>
      </w:r>
      <w:r w:rsidRPr="00724397">
        <w:tab/>
        <w:t>these rules; or</w:t>
      </w:r>
    </w:p>
    <w:p w14:paraId="2E15B523" w14:textId="77777777" w:rsidR="00CF0E3D" w:rsidRPr="00724397" w:rsidRDefault="00CF0E3D" w:rsidP="00CF0E3D">
      <w:pPr>
        <w:pStyle w:val="paragraphsub-sub"/>
      </w:pPr>
      <w:r w:rsidRPr="00724397">
        <w:tab/>
        <w:t>(C)</w:t>
      </w:r>
      <w:r w:rsidRPr="00724397">
        <w:tab/>
        <w:t>binding data standards; or</w:t>
      </w:r>
    </w:p>
    <w:p w14:paraId="11D2CCE5" w14:textId="77777777" w:rsidR="00CF0E3D" w:rsidRDefault="00CF0E3D" w:rsidP="00CF0E3D">
      <w:pPr>
        <w:pStyle w:val="paragraphsub"/>
      </w:pPr>
      <w:r w:rsidRPr="00724397">
        <w:tab/>
        <w:t>(ii)</w:t>
      </w:r>
      <w:r w:rsidRPr="00724397">
        <w:tab/>
        <w:t>the provision to the CDR consumer, by the CDR participant, of the goods or services in respect of which the consumer granted consent under Part 4</w:t>
      </w:r>
      <w:r w:rsidRPr="003F0A35">
        <w:t xml:space="preserve">; </w:t>
      </w:r>
      <w:r>
        <w:t>and</w:t>
      </w:r>
    </w:p>
    <w:p w14:paraId="5F0B2F9D" w14:textId="77777777" w:rsidR="00CF0E3D" w:rsidRDefault="00CF0E3D" w:rsidP="00CF0E3D">
      <w:pPr>
        <w:pStyle w:val="paragraph"/>
      </w:pPr>
      <w:r>
        <w:tab/>
        <w:t>(b)</w:t>
      </w:r>
      <w:r>
        <w:tab/>
      </w:r>
      <w:r w:rsidRPr="00796ADB">
        <w:t>for which a response or resolution could reasonably be expected.</w:t>
      </w:r>
    </w:p>
    <w:p w14:paraId="4B2E87FE" w14:textId="77777777" w:rsidR="00CF0E3D" w:rsidRDefault="00CF0E3D" w:rsidP="00CF0E3D">
      <w:pPr>
        <w:pStyle w:val="notetext"/>
      </w:pPr>
      <w:r>
        <w:t>Note:</w:t>
      </w:r>
      <w:r>
        <w:tab/>
        <w:t xml:space="preserve">Complaints of a kind referred to in </w:t>
      </w:r>
      <w:r w:rsidRPr="00FA14C2">
        <w:t>sub</w:t>
      </w:r>
      <w:r w:rsidRPr="00FA14C2">
        <w:noBreakHyphen/>
        <w:t xml:space="preserve">subparagraph (a)(i)(B) </w:t>
      </w:r>
      <w:r>
        <w:t>include a complaint relating to the participant’s obligations under, or compliance with, rules dealing with the handling of CDR consumer complaints.</w:t>
      </w:r>
    </w:p>
    <w:p w14:paraId="5323F749" w14:textId="77777777" w:rsidR="00CF0E3D" w:rsidRPr="00E53912" w:rsidRDefault="00CF0E3D" w:rsidP="00CF0E3D">
      <w:pPr>
        <w:pStyle w:val="Definition"/>
      </w:pPr>
      <w:r w:rsidRPr="00E53912">
        <w:rPr>
          <w:b/>
          <w:i/>
        </w:rPr>
        <w:t>CDR data de</w:t>
      </w:r>
      <w:r w:rsidRPr="00E53912">
        <w:rPr>
          <w:b/>
          <w:i/>
        </w:rPr>
        <w:noBreakHyphen/>
        <w:t>identification process</w:t>
      </w:r>
      <w:r w:rsidRPr="00E53912">
        <w:t xml:space="preserve"> has the meaning given by rule </w:t>
      </w:r>
      <w:r>
        <w:t>1.17</w:t>
      </w:r>
      <w:r w:rsidRPr="00E53912">
        <w:t>.</w:t>
      </w:r>
    </w:p>
    <w:p w14:paraId="25D28775" w14:textId="77777777" w:rsidR="00CF0E3D" w:rsidRPr="00E53912" w:rsidRDefault="00CF0E3D" w:rsidP="00CF0E3D">
      <w:pPr>
        <w:pStyle w:val="Definition"/>
      </w:pPr>
      <w:r w:rsidRPr="00E53912">
        <w:rPr>
          <w:b/>
          <w:i/>
        </w:rPr>
        <w:t>CDR data deletion process</w:t>
      </w:r>
      <w:r w:rsidRPr="00E53912">
        <w:t xml:space="preserve"> has the meaning given by rule </w:t>
      </w:r>
      <w:r>
        <w:t>1.18</w:t>
      </w:r>
      <w:r w:rsidRPr="00E53912">
        <w:t>.</w:t>
      </w:r>
    </w:p>
    <w:p w14:paraId="0F411416" w14:textId="4BCD2A01" w:rsidR="00883E94" w:rsidRPr="00693A57" w:rsidRDefault="00D65475" w:rsidP="00883E94">
      <w:pPr>
        <w:pStyle w:val="subsection"/>
        <w:rPr>
          <w:color w:val="0000FF"/>
        </w:rPr>
      </w:pPr>
      <w:r w:rsidRPr="00693A57">
        <w:rPr>
          <w:color w:val="0000FF"/>
        </w:rPr>
        <w:tab/>
      </w:r>
      <w:r w:rsidRPr="00693A57">
        <w:rPr>
          <w:color w:val="0000FF"/>
        </w:rPr>
        <w:tab/>
      </w:r>
      <w:r w:rsidRPr="00693A57">
        <w:rPr>
          <w:b/>
          <w:i/>
          <w:color w:val="0000FF"/>
        </w:rPr>
        <w:t>CDR insight</w:t>
      </w:r>
      <w:r w:rsidR="00883E94" w:rsidRPr="00693A57">
        <w:rPr>
          <w:color w:val="0000FF"/>
        </w:rPr>
        <w:t>, in relation to an insight disclosure consent, means the CDR data subject to the consent.</w:t>
      </w:r>
    </w:p>
    <w:p w14:paraId="18A3687A" w14:textId="77777777" w:rsidR="00CF0E3D" w:rsidRDefault="00CF0E3D" w:rsidP="00CF0E3D">
      <w:pPr>
        <w:pStyle w:val="Definition"/>
      </w:pPr>
      <w:r w:rsidRPr="00B61E66">
        <w:rPr>
          <w:b/>
          <w:bCs/>
          <w:i/>
          <w:iCs/>
        </w:rPr>
        <w:t>CDR logo</w:t>
      </w:r>
      <w:r w:rsidRPr="00B61E66">
        <w:t xml:space="preserve"> means a logo or symbol, including one whose use requires a licence or authorisation from a person other than the Commonwealth, approved by the Commission for the purposes of this definition. </w:t>
      </w:r>
    </w:p>
    <w:p w14:paraId="4FEBC30C" w14:textId="77777777" w:rsidR="00CF0E3D" w:rsidRDefault="00CF0E3D" w:rsidP="00CF0E3D">
      <w:pPr>
        <w:pStyle w:val="Definition"/>
        <w:rPr>
          <w:b/>
          <w:i/>
          <w:color w:val="000000" w:themeColor="text1"/>
        </w:rPr>
      </w:pPr>
      <w:r w:rsidRPr="005F3D40">
        <w:rPr>
          <w:b/>
          <w:i/>
          <w:color w:val="000000" w:themeColor="text1"/>
        </w:rPr>
        <w:t>CDR outsourcing arrangement</w:t>
      </w:r>
      <w:r w:rsidRPr="009C222D">
        <w:rPr>
          <w:color w:val="000000" w:themeColor="text1"/>
        </w:rPr>
        <w:t xml:space="preserve"> </w:t>
      </w:r>
      <w:r w:rsidRPr="009500AD">
        <w:t>has the meaning given by rule </w:t>
      </w:r>
      <w:r>
        <w:t>1.10</w:t>
      </w:r>
      <w:r w:rsidRPr="009500AD">
        <w:t>.</w:t>
      </w:r>
    </w:p>
    <w:p w14:paraId="22A67C14" w14:textId="77777777" w:rsidR="00CF0E3D" w:rsidRPr="00796ADB" w:rsidRDefault="00CF0E3D" w:rsidP="00CF0E3D">
      <w:pPr>
        <w:pStyle w:val="Definition"/>
      </w:pPr>
      <w:r w:rsidRPr="00796ADB">
        <w:rPr>
          <w:b/>
          <w:i/>
        </w:rPr>
        <w:t xml:space="preserve">CDR participant </w:t>
      </w:r>
      <w:r w:rsidRPr="00796ADB">
        <w:t>has a meaning affected by subrule </w:t>
      </w:r>
      <w:r>
        <w:t>(2)</w:t>
      </w:r>
      <w:r w:rsidRPr="00796ADB">
        <w:t>.</w:t>
      </w:r>
    </w:p>
    <w:p w14:paraId="67F2C123" w14:textId="77777777" w:rsidR="00CF0E3D" w:rsidRPr="00796ADB" w:rsidRDefault="00CF0E3D" w:rsidP="00CF0E3D">
      <w:pPr>
        <w:pStyle w:val="notetext"/>
      </w:pPr>
      <w:r w:rsidRPr="00796ADB">
        <w:t>Note:</w:t>
      </w:r>
      <w:r w:rsidRPr="00796ADB">
        <w:tab/>
        <w:t>The term “CDR participant” is defined in the Act: see subsection 56AL(1) of the Act. Subrule </w:t>
      </w:r>
      <w:r>
        <w:t>(2)</w:t>
      </w:r>
      <w:r w:rsidRPr="00796ADB">
        <w:t xml:space="preserve"> deals with the usage of this term in these rules.</w:t>
      </w:r>
    </w:p>
    <w:p w14:paraId="66E84C8E" w14:textId="77777777" w:rsidR="00CF0E3D" w:rsidRDefault="00CF0E3D" w:rsidP="00CF0E3D">
      <w:pPr>
        <w:pStyle w:val="Definition"/>
      </w:pPr>
      <w:r>
        <w:rPr>
          <w:b/>
          <w:i/>
        </w:rPr>
        <w:t xml:space="preserve">CDR policy </w:t>
      </w:r>
      <w:r w:rsidRPr="00925D00">
        <w:t xml:space="preserve">means a </w:t>
      </w:r>
      <w:r>
        <w:t>policy that a CDR participant has and maintains in compliance with subsection 56ED(3) of the Act.</w:t>
      </w:r>
    </w:p>
    <w:p w14:paraId="78CDD28D" w14:textId="77777777" w:rsidR="00CF0E3D" w:rsidRPr="00771FEA" w:rsidRDefault="00CF0E3D" w:rsidP="00CF0E3D">
      <w:pPr>
        <w:pStyle w:val="Definition"/>
      </w:pPr>
      <w:r w:rsidRPr="00771FEA">
        <w:rPr>
          <w:b/>
          <w:i/>
        </w:rPr>
        <w:t>CDR product data complaint</w:t>
      </w:r>
      <w:r w:rsidRPr="00771FEA">
        <w:t xml:space="preserve"> means an expression of dissatisfaction made to a data holder about its required product data or its voluntary product data for which a response or resolution could reasonably be expected.</w:t>
      </w:r>
    </w:p>
    <w:p w14:paraId="3CF97DE4" w14:textId="1568E693" w:rsidR="003B4F1E" w:rsidRPr="00693A57" w:rsidRDefault="00182338" w:rsidP="003B4F1E">
      <w:pPr>
        <w:pStyle w:val="Definition"/>
        <w:rPr>
          <w:b/>
          <w:i/>
          <w:color w:val="0000FF"/>
        </w:rPr>
      </w:pPr>
      <w:r w:rsidRPr="00693A57">
        <w:rPr>
          <w:b/>
          <w:i/>
          <w:color w:val="0000FF"/>
        </w:rPr>
        <w:t>CDR representative</w:t>
      </w:r>
      <w:r w:rsidR="003B4F1E" w:rsidRPr="00693A57">
        <w:rPr>
          <w:b/>
          <w:i/>
          <w:color w:val="0000FF"/>
        </w:rPr>
        <w:t xml:space="preserve"> </w:t>
      </w:r>
      <w:r w:rsidR="003B4F1E" w:rsidRPr="00693A57">
        <w:rPr>
          <w:color w:val="0000FF"/>
        </w:rPr>
        <w:t>has the meaning given by rule 1.10AA.</w:t>
      </w:r>
    </w:p>
    <w:p w14:paraId="61F93A5B" w14:textId="7BB7B8B5" w:rsidR="003B4F1E" w:rsidRPr="00693A57" w:rsidRDefault="00182338" w:rsidP="003B4F1E">
      <w:pPr>
        <w:pStyle w:val="Definition"/>
        <w:rPr>
          <w:b/>
          <w:i/>
          <w:color w:val="0000FF"/>
        </w:rPr>
      </w:pPr>
      <w:r w:rsidRPr="00693A57">
        <w:rPr>
          <w:b/>
          <w:i/>
          <w:color w:val="0000FF"/>
        </w:rPr>
        <w:t>CDR representative</w:t>
      </w:r>
      <w:r w:rsidR="003B4F1E" w:rsidRPr="00693A57">
        <w:rPr>
          <w:b/>
          <w:i/>
          <w:color w:val="0000FF"/>
        </w:rPr>
        <w:t xml:space="preserve"> arrangement</w:t>
      </w:r>
      <w:r w:rsidR="003B4F1E" w:rsidRPr="00693A57">
        <w:rPr>
          <w:color w:val="0000FF"/>
        </w:rPr>
        <w:t xml:space="preserve"> has the meaning given by rule 1.10AA.</w:t>
      </w:r>
    </w:p>
    <w:p w14:paraId="3140A215" w14:textId="51067BE3" w:rsidR="003B4F1E" w:rsidRPr="00693A57" w:rsidRDefault="003B4F1E" w:rsidP="003B4F1E">
      <w:pPr>
        <w:pStyle w:val="Definition"/>
        <w:rPr>
          <w:b/>
          <w:i/>
          <w:color w:val="0000FF"/>
        </w:rPr>
      </w:pPr>
      <w:r w:rsidRPr="00693A57">
        <w:rPr>
          <w:b/>
          <w:i/>
          <w:color w:val="0000FF"/>
        </w:rPr>
        <w:t xml:space="preserve">CDR principal </w:t>
      </w:r>
      <w:r w:rsidRPr="00693A57">
        <w:rPr>
          <w:color w:val="0000FF"/>
        </w:rPr>
        <w:t>has the meaning given by rule 1.10AA.</w:t>
      </w:r>
    </w:p>
    <w:p w14:paraId="459C1A0E" w14:textId="2F457A65" w:rsidR="00FE6A8A" w:rsidRPr="00693A57" w:rsidRDefault="00FE6A8A" w:rsidP="00FE6A8A">
      <w:pPr>
        <w:pStyle w:val="Definition"/>
        <w:rPr>
          <w:b/>
          <w:i/>
          <w:color w:val="0000FF"/>
        </w:rPr>
      </w:pPr>
      <w:r w:rsidRPr="00693A57">
        <w:rPr>
          <w:b/>
          <w:i/>
          <w:color w:val="0000FF"/>
        </w:rPr>
        <w:t xml:space="preserve">co-approval option </w:t>
      </w:r>
      <w:r w:rsidRPr="00693A57">
        <w:rPr>
          <w:color w:val="0000FF"/>
        </w:rPr>
        <w:t>has the meaning given by rule </w:t>
      </w:r>
      <w:r w:rsidR="000B1D10" w:rsidRPr="00693A57">
        <w:rPr>
          <w:color w:val="0000FF"/>
        </w:rPr>
        <w:t>4</w:t>
      </w:r>
      <w:r w:rsidR="00F976E0" w:rsidRPr="00693A57">
        <w:rPr>
          <w:color w:val="0000FF"/>
        </w:rPr>
        <w:t>A</w:t>
      </w:r>
      <w:r w:rsidR="000B1D10" w:rsidRPr="00693A57">
        <w:rPr>
          <w:color w:val="0000FF"/>
        </w:rPr>
        <w:t>.4</w:t>
      </w:r>
      <w:r w:rsidR="009D41D4" w:rsidRPr="00693A57">
        <w:rPr>
          <w:color w:val="0000FF"/>
        </w:rPr>
        <w:t>.</w:t>
      </w:r>
    </w:p>
    <w:p w14:paraId="0B136BCE" w14:textId="77777777" w:rsidR="00CF0E3D" w:rsidRPr="00771FEA" w:rsidRDefault="00CF0E3D" w:rsidP="00CF0E3D">
      <w:pPr>
        <w:pStyle w:val="Definition"/>
      </w:pPr>
      <w:r w:rsidRPr="00771FEA">
        <w:rPr>
          <w:b/>
          <w:i/>
        </w:rPr>
        <w:t xml:space="preserve">collection consent </w:t>
      </w:r>
      <w:r w:rsidRPr="00771FEA">
        <w:t>has the meaning given by rule 1.10A.</w:t>
      </w:r>
    </w:p>
    <w:p w14:paraId="031B65A0" w14:textId="77777777" w:rsidR="00CF0E3D" w:rsidRPr="00771FEA" w:rsidRDefault="00CF0E3D" w:rsidP="00CF0E3D">
      <w:pPr>
        <w:pStyle w:val="Definition"/>
        <w:rPr>
          <w:bCs/>
          <w:iCs/>
          <w:szCs w:val="22"/>
        </w:rPr>
      </w:pPr>
      <w:r w:rsidRPr="00771FEA">
        <w:rPr>
          <w:b/>
          <w:bCs/>
          <w:i/>
          <w:iCs/>
          <w:szCs w:val="22"/>
        </w:rPr>
        <w:lastRenderedPageBreak/>
        <w:t xml:space="preserve">consent </w:t>
      </w:r>
      <w:r w:rsidRPr="00771FEA">
        <w:rPr>
          <w:bCs/>
          <w:iCs/>
          <w:szCs w:val="22"/>
        </w:rPr>
        <w:t>means:</w:t>
      </w:r>
    </w:p>
    <w:p w14:paraId="4D166FE9" w14:textId="77777777" w:rsidR="00CF0E3D" w:rsidRPr="00771FEA" w:rsidRDefault="00CF0E3D" w:rsidP="00CF0E3D">
      <w:pPr>
        <w:pStyle w:val="paragraph"/>
      </w:pPr>
      <w:r w:rsidRPr="00771FEA">
        <w:tab/>
        <w:t>(a)</w:t>
      </w:r>
      <w:r w:rsidRPr="00771FEA">
        <w:tab/>
        <w:t>a collection consent, a use consent or a disclosure consent; or</w:t>
      </w:r>
    </w:p>
    <w:p w14:paraId="70D00DBE" w14:textId="77777777" w:rsidR="00CF0E3D" w:rsidRDefault="00CF0E3D" w:rsidP="00CF0E3D">
      <w:pPr>
        <w:pStyle w:val="paragraph"/>
      </w:pPr>
      <w:r w:rsidRPr="00771FEA">
        <w:tab/>
        <w:t>(b)</w:t>
      </w:r>
      <w:r w:rsidRPr="00771FEA">
        <w:tab/>
        <w:t>such a consent as amended in accordance with these rules.</w:t>
      </w:r>
    </w:p>
    <w:p w14:paraId="78AC2988" w14:textId="77777777" w:rsidR="00CF0E3D" w:rsidRPr="00B3173B" w:rsidRDefault="00CF0E3D" w:rsidP="00CF0E3D">
      <w:pPr>
        <w:pStyle w:val="Definition"/>
      </w:pPr>
      <w:r w:rsidRPr="00B3173B">
        <w:rPr>
          <w:b/>
          <w:i/>
        </w:rPr>
        <w:t>consumer dashboard</w:t>
      </w:r>
      <w:r w:rsidRPr="00B3173B">
        <w:t>:</w:t>
      </w:r>
    </w:p>
    <w:p w14:paraId="7FC23BD1" w14:textId="77777777" w:rsidR="00CF0E3D" w:rsidRPr="00D64732" w:rsidRDefault="00CF0E3D" w:rsidP="00CF0E3D">
      <w:pPr>
        <w:pStyle w:val="paragraph"/>
      </w:pPr>
      <w:r w:rsidRPr="00B3173B">
        <w:tab/>
        <w:t>(</w:t>
      </w:r>
      <w:r>
        <w:t>a</w:t>
      </w:r>
      <w:r w:rsidRPr="00B3173B">
        <w:t>)</w:t>
      </w:r>
      <w:r w:rsidRPr="00B3173B">
        <w:tab/>
        <w:t xml:space="preserve">in </w:t>
      </w:r>
      <w:r w:rsidRPr="00D64732">
        <w:t>relation to an accredited person—has the meaning given by rule 1.14; and</w:t>
      </w:r>
    </w:p>
    <w:p w14:paraId="597DB30A" w14:textId="0BCA9A55" w:rsidR="00CF0E3D" w:rsidRPr="00B3173B" w:rsidRDefault="00CF0E3D" w:rsidP="00CF0E3D">
      <w:pPr>
        <w:pStyle w:val="paragraph"/>
      </w:pPr>
      <w:r w:rsidRPr="00B3173B">
        <w:tab/>
        <w:t>(</w:t>
      </w:r>
      <w:r>
        <w:t>b</w:t>
      </w:r>
      <w:r w:rsidRPr="00B3173B">
        <w:t>)</w:t>
      </w:r>
      <w:r w:rsidRPr="00B3173B">
        <w:tab/>
        <w:t>in relation to a data holder—</w:t>
      </w:r>
      <w:r>
        <w:t>has the meaning given by</w:t>
      </w:r>
      <w:r w:rsidRPr="00693A57">
        <w:rPr>
          <w:color w:val="0000FF"/>
        </w:rPr>
        <w:t xml:space="preserve"> rule</w:t>
      </w:r>
      <w:r w:rsidR="00325DB2" w:rsidRPr="00693A57">
        <w:rPr>
          <w:color w:val="0000FF"/>
        </w:rPr>
        <w:t>s</w:t>
      </w:r>
      <w:r w:rsidRPr="00693A57">
        <w:rPr>
          <w:color w:val="0000FF"/>
        </w:rPr>
        <w:t xml:space="preserve"> 1.15</w:t>
      </w:r>
      <w:r w:rsidR="00325DB2" w:rsidRPr="00693A57">
        <w:rPr>
          <w:color w:val="0000FF"/>
        </w:rPr>
        <w:t xml:space="preserve"> and </w:t>
      </w:r>
      <w:r w:rsidR="000B1D10" w:rsidRPr="00693A57">
        <w:rPr>
          <w:color w:val="0000FF"/>
        </w:rPr>
        <w:t>4</w:t>
      </w:r>
      <w:r w:rsidR="00F976E0" w:rsidRPr="00693A57">
        <w:rPr>
          <w:color w:val="0000FF"/>
        </w:rPr>
        <w:t>A</w:t>
      </w:r>
      <w:r w:rsidR="000B1D10" w:rsidRPr="00693A57">
        <w:rPr>
          <w:color w:val="0000FF"/>
        </w:rPr>
        <w:t>.15</w:t>
      </w:r>
      <w:r w:rsidR="00D64732" w:rsidRPr="00693A57">
        <w:rPr>
          <w:strike/>
          <w:color w:val="0000FF"/>
        </w:rPr>
        <w:t xml:space="preserve"> rule 1.15</w:t>
      </w:r>
      <w:r>
        <w:t>.</w:t>
      </w:r>
    </w:p>
    <w:p w14:paraId="464A790C" w14:textId="77777777" w:rsidR="00CF0E3D" w:rsidRPr="00F07699" w:rsidRDefault="00CF0E3D" w:rsidP="00CF0E3D">
      <w:pPr>
        <w:pStyle w:val="definition0"/>
        <w:shd w:val="clear" w:color="auto" w:fill="FFFFFF"/>
        <w:spacing w:before="180" w:beforeAutospacing="0" w:after="0" w:afterAutospacing="0"/>
        <w:ind w:left="1134"/>
        <w:rPr>
          <w:sz w:val="22"/>
          <w:szCs w:val="22"/>
        </w:rPr>
      </w:pPr>
      <w:r w:rsidRPr="00F07699">
        <w:rPr>
          <w:b/>
          <w:bCs/>
          <w:i/>
          <w:iCs/>
          <w:sz w:val="22"/>
          <w:szCs w:val="22"/>
        </w:rPr>
        <w:t>consumer data request</w:t>
      </w:r>
      <w:r w:rsidRPr="00F07699">
        <w:rPr>
          <w:sz w:val="22"/>
          <w:szCs w:val="22"/>
        </w:rPr>
        <w:t>:</w:t>
      </w:r>
    </w:p>
    <w:p w14:paraId="3212A936" w14:textId="77777777" w:rsidR="00CF0E3D" w:rsidRPr="00F07699" w:rsidRDefault="00CF0E3D" w:rsidP="00CF0E3D">
      <w:pPr>
        <w:pStyle w:val="paragraph"/>
      </w:pPr>
      <w:r w:rsidRPr="00F07699">
        <w:tab/>
        <w:t>(a)</w:t>
      </w:r>
      <w:r w:rsidRPr="00F07699">
        <w:tab/>
        <w:t>by a CDR consumer—has the meaning given by rule 3.3; and</w:t>
      </w:r>
    </w:p>
    <w:p w14:paraId="10F24D05" w14:textId="77777777" w:rsidR="00CF0E3D" w:rsidRPr="00771FEA" w:rsidRDefault="00CF0E3D" w:rsidP="00CF0E3D">
      <w:pPr>
        <w:pStyle w:val="paragraph"/>
      </w:pPr>
      <w:r w:rsidRPr="00F07699">
        <w:tab/>
        <w:t>(b)</w:t>
      </w:r>
      <w:r w:rsidRPr="00F07699">
        <w:tab/>
        <w:t>by an accredited person on behalf of a CDR consumer—has the meaning given by rule 4.</w:t>
      </w:r>
      <w:r w:rsidRPr="00771FEA">
        <w:t>4 or rule 4.7A.</w:t>
      </w:r>
    </w:p>
    <w:p w14:paraId="3A816879" w14:textId="77777777" w:rsidR="00CF0E3D" w:rsidRPr="00771FEA" w:rsidRDefault="00CF0E3D" w:rsidP="00CF0E3D">
      <w:pPr>
        <w:pStyle w:val="notetext"/>
      </w:pPr>
      <w:r w:rsidRPr="00771FEA">
        <w:t>Note:</w:t>
      </w:r>
      <w:r w:rsidRPr="00771FEA">
        <w:tab/>
        <w:t>The different types of consumer data request are summarised in the following table:</w:t>
      </w:r>
    </w:p>
    <w:p w14:paraId="1191B184" w14:textId="77777777" w:rsidR="00CF0E3D" w:rsidRPr="00771FEA" w:rsidRDefault="00CF0E3D" w:rsidP="00CF0E3D">
      <w:pPr>
        <w:pStyle w:val="note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8"/>
        <w:gridCol w:w="2078"/>
        <w:gridCol w:w="2079"/>
      </w:tblGrid>
      <w:tr w:rsidR="00CF0E3D" w:rsidRPr="00771FEA" w14:paraId="0C4843B2" w14:textId="77777777" w:rsidTr="007941AE">
        <w:trPr>
          <w:tblHeader/>
        </w:trPr>
        <w:tc>
          <w:tcPr>
            <w:tcW w:w="2078" w:type="dxa"/>
            <w:tcBorders>
              <w:top w:val="single" w:sz="12" w:space="0" w:color="auto"/>
              <w:bottom w:val="single" w:sz="12" w:space="0" w:color="auto"/>
            </w:tcBorders>
          </w:tcPr>
          <w:p w14:paraId="1D53DA57" w14:textId="77777777" w:rsidR="00CF0E3D" w:rsidRPr="00771FEA" w:rsidRDefault="00CF0E3D" w:rsidP="007941AE">
            <w:pPr>
              <w:pStyle w:val="notepara"/>
              <w:ind w:left="0" w:firstLine="0"/>
              <w:rPr>
                <w:b/>
              </w:rPr>
            </w:pPr>
            <w:r w:rsidRPr="00771FEA">
              <w:rPr>
                <w:b/>
              </w:rPr>
              <w:t>A consumer data request made under:</w:t>
            </w:r>
          </w:p>
        </w:tc>
        <w:tc>
          <w:tcPr>
            <w:tcW w:w="2078" w:type="dxa"/>
            <w:tcBorders>
              <w:top w:val="single" w:sz="12" w:space="0" w:color="auto"/>
              <w:bottom w:val="single" w:sz="12" w:space="0" w:color="auto"/>
            </w:tcBorders>
          </w:tcPr>
          <w:p w14:paraId="34EBF6BA" w14:textId="77777777" w:rsidR="00CF0E3D" w:rsidRPr="00771FEA" w:rsidRDefault="00CF0E3D" w:rsidP="007941AE">
            <w:pPr>
              <w:pStyle w:val="notepara"/>
              <w:ind w:left="0" w:firstLine="0"/>
              <w:rPr>
                <w:b/>
              </w:rPr>
            </w:pPr>
            <w:r w:rsidRPr="00771FEA">
              <w:rPr>
                <w:b/>
              </w:rPr>
              <w:t>is made by:</w:t>
            </w:r>
          </w:p>
        </w:tc>
        <w:tc>
          <w:tcPr>
            <w:tcW w:w="2078" w:type="dxa"/>
            <w:tcBorders>
              <w:top w:val="single" w:sz="12" w:space="0" w:color="auto"/>
              <w:bottom w:val="single" w:sz="12" w:space="0" w:color="auto"/>
            </w:tcBorders>
          </w:tcPr>
          <w:p w14:paraId="5B64FD1C" w14:textId="77777777" w:rsidR="00CF0E3D" w:rsidRPr="00771FEA" w:rsidRDefault="00CF0E3D" w:rsidP="007941AE">
            <w:pPr>
              <w:pStyle w:val="notepara"/>
              <w:ind w:left="0" w:firstLine="0"/>
              <w:rPr>
                <w:b/>
              </w:rPr>
            </w:pPr>
            <w:r w:rsidRPr="00771FEA">
              <w:rPr>
                <w:b/>
              </w:rPr>
              <w:t>to:</w:t>
            </w:r>
          </w:p>
        </w:tc>
        <w:tc>
          <w:tcPr>
            <w:tcW w:w="2079" w:type="dxa"/>
            <w:tcBorders>
              <w:top w:val="single" w:sz="12" w:space="0" w:color="auto"/>
              <w:bottom w:val="single" w:sz="12" w:space="0" w:color="auto"/>
            </w:tcBorders>
          </w:tcPr>
          <w:p w14:paraId="4C4EF636" w14:textId="77777777" w:rsidR="00CF0E3D" w:rsidRPr="00771FEA" w:rsidRDefault="00CF0E3D" w:rsidP="007941AE">
            <w:pPr>
              <w:pStyle w:val="notepara"/>
              <w:ind w:left="0" w:firstLine="0"/>
              <w:rPr>
                <w:b/>
              </w:rPr>
            </w:pPr>
            <w:r w:rsidRPr="00771FEA">
              <w:rPr>
                <w:b/>
              </w:rPr>
              <w:t>for disclosure of CDR data to:</w:t>
            </w:r>
          </w:p>
        </w:tc>
      </w:tr>
      <w:tr w:rsidR="00CF0E3D" w:rsidRPr="00771FEA" w14:paraId="26766803" w14:textId="77777777" w:rsidTr="007941AE">
        <w:tc>
          <w:tcPr>
            <w:tcW w:w="2078" w:type="dxa"/>
            <w:tcBorders>
              <w:top w:val="single" w:sz="12" w:space="0" w:color="auto"/>
              <w:bottom w:val="single" w:sz="2" w:space="0" w:color="auto"/>
            </w:tcBorders>
          </w:tcPr>
          <w:p w14:paraId="4B59C17B" w14:textId="77777777" w:rsidR="00CF0E3D" w:rsidRPr="00771FEA" w:rsidRDefault="00CF0E3D" w:rsidP="007941AE">
            <w:pPr>
              <w:pStyle w:val="notepara"/>
              <w:ind w:left="0" w:firstLine="0"/>
            </w:pPr>
            <w:r w:rsidRPr="00771FEA">
              <w:t>rule 3.3</w:t>
            </w:r>
          </w:p>
        </w:tc>
        <w:tc>
          <w:tcPr>
            <w:tcW w:w="2078" w:type="dxa"/>
            <w:tcBorders>
              <w:top w:val="single" w:sz="12" w:space="0" w:color="auto"/>
              <w:bottom w:val="single" w:sz="2" w:space="0" w:color="auto"/>
            </w:tcBorders>
          </w:tcPr>
          <w:p w14:paraId="4D605FE7" w14:textId="77777777" w:rsidR="00CF0E3D" w:rsidRPr="00771FEA" w:rsidRDefault="00CF0E3D" w:rsidP="007941AE">
            <w:pPr>
              <w:pStyle w:val="notepara"/>
              <w:ind w:left="0" w:firstLine="0"/>
            </w:pPr>
            <w:r w:rsidRPr="00771FEA">
              <w:t>a CDR consumer</w:t>
            </w:r>
          </w:p>
        </w:tc>
        <w:tc>
          <w:tcPr>
            <w:tcW w:w="2078" w:type="dxa"/>
            <w:tcBorders>
              <w:top w:val="single" w:sz="12" w:space="0" w:color="auto"/>
              <w:bottom w:val="single" w:sz="2" w:space="0" w:color="auto"/>
            </w:tcBorders>
          </w:tcPr>
          <w:p w14:paraId="054C010E" w14:textId="77777777" w:rsidR="00CF0E3D" w:rsidRPr="00771FEA" w:rsidRDefault="00CF0E3D" w:rsidP="007941AE">
            <w:pPr>
              <w:pStyle w:val="notepara"/>
              <w:ind w:left="0" w:firstLine="0"/>
            </w:pPr>
            <w:r w:rsidRPr="00771FEA">
              <w:t>a data holder</w:t>
            </w:r>
          </w:p>
        </w:tc>
        <w:tc>
          <w:tcPr>
            <w:tcW w:w="2079" w:type="dxa"/>
            <w:tcBorders>
              <w:top w:val="single" w:sz="12" w:space="0" w:color="auto"/>
              <w:bottom w:val="single" w:sz="2" w:space="0" w:color="auto"/>
            </w:tcBorders>
          </w:tcPr>
          <w:p w14:paraId="4FD12B49" w14:textId="77777777" w:rsidR="00CF0E3D" w:rsidRPr="00771FEA" w:rsidRDefault="00CF0E3D" w:rsidP="007941AE">
            <w:pPr>
              <w:pStyle w:val="notepara"/>
              <w:ind w:left="0" w:firstLine="0"/>
            </w:pPr>
            <w:r w:rsidRPr="00771FEA">
              <w:t>the CDR consumer</w:t>
            </w:r>
          </w:p>
        </w:tc>
      </w:tr>
      <w:tr w:rsidR="00CF0E3D" w:rsidRPr="00771FEA" w14:paraId="4FB25ADC" w14:textId="77777777" w:rsidTr="007941AE">
        <w:tc>
          <w:tcPr>
            <w:tcW w:w="2078" w:type="dxa"/>
            <w:tcBorders>
              <w:top w:val="single" w:sz="2" w:space="0" w:color="auto"/>
              <w:bottom w:val="single" w:sz="2" w:space="0" w:color="auto"/>
            </w:tcBorders>
          </w:tcPr>
          <w:p w14:paraId="2781026C" w14:textId="77777777" w:rsidR="00CF0E3D" w:rsidRPr="00771FEA" w:rsidRDefault="00CF0E3D" w:rsidP="007941AE">
            <w:pPr>
              <w:pStyle w:val="notepara"/>
              <w:ind w:left="0" w:firstLine="0"/>
            </w:pPr>
            <w:r w:rsidRPr="00771FEA">
              <w:t>rule 4.4</w:t>
            </w:r>
          </w:p>
        </w:tc>
        <w:tc>
          <w:tcPr>
            <w:tcW w:w="2078" w:type="dxa"/>
            <w:tcBorders>
              <w:top w:val="single" w:sz="2" w:space="0" w:color="auto"/>
              <w:bottom w:val="single" w:sz="2" w:space="0" w:color="auto"/>
            </w:tcBorders>
          </w:tcPr>
          <w:p w14:paraId="1B46C014" w14:textId="77777777" w:rsidR="00CF0E3D" w:rsidRPr="00771FEA" w:rsidRDefault="00CF0E3D" w:rsidP="007941AE">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14:paraId="044386C0" w14:textId="77777777" w:rsidR="00CF0E3D" w:rsidRPr="00771FEA" w:rsidRDefault="00CF0E3D" w:rsidP="007941AE">
            <w:pPr>
              <w:pStyle w:val="notepara"/>
              <w:ind w:left="0" w:firstLine="0"/>
            </w:pPr>
            <w:r w:rsidRPr="00771FEA">
              <w:t>a data holder</w:t>
            </w:r>
          </w:p>
        </w:tc>
        <w:tc>
          <w:tcPr>
            <w:tcW w:w="2079" w:type="dxa"/>
            <w:tcBorders>
              <w:top w:val="single" w:sz="2" w:space="0" w:color="auto"/>
              <w:bottom w:val="single" w:sz="2" w:space="0" w:color="auto"/>
            </w:tcBorders>
          </w:tcPr>
          <w:p w14:paraId="2D95322B" w14:textId="77777777" w:rsidR="00CF0E3D" w:rsidRPr="00771FEA" w:rsidRDefault="00CF0E3D" w:rsidP="007941AE">
            <w:pPr>
              <w:pStyle w:val="notepara"/>
              <w:ind w:left="0" w:firstLine="0"/>
            </w:pPr>
            <w:r w:rsidRPr="00771FEA">
              <w:t>the accredited person</w:t>
            </w:r>
          </w:p>
        </w:tc>
      </w:tr>
      <w:tr w:rsidR="00CF0E3D" w:rsidRPr="00771FEA" w14:paraId="1A3A9377" w14:textId="77777777" w:rsidTr="007941AE">
        <w:tc>
          <w:tcPr>
            <w:tcW w:w="2078" w:type="dxa"/>
            <w:tcBorders>
              <w:top w:val="single" w:sz="2" w:space="0" w:color="auto"/>
              <w:bottom w:val="single" w:sz="2" w:space="0" w:color="auto"/>
            </w:tcBorders>
          </w:tcPr>
          <w:p w14:paraId="08548F74" w14:textId="77777777" w:rsidR="00CF0E3D" w:rsidRPr="00771FEA" w:rsidRDefault="00CF0E3D" w:rsidP="007941AE">
            <w:pPr>
              <w:pStyle w:val="notepara"/>
              <w:ind w:left="0" w:firstLine="0"/>
            </w:pPr>
            <w:r w:rsidRPr="00771FEA">
              <w:t>rule 4.7A</w:t>
            </w:r>
          </w:p>
        </w:tc>
        <w:tc>
          <w:tcPr>
            <w:tcW w:w="2078" w:type="dxa"/>
            <w:tcBorders>
              <w:top w:val="single" w:sz="2" w:space="0" w:color="auto"/>
              <w:bottom w:val="single" w:sz="2" w:space="0" w:color="auto"/>
            </w:tcBorders>
          </w:tcPr>
          <w:p w14:paraId="2F100D57" w14:textId="77777777" w:rsidR="00CF0E3D" w:rsidRPr="00771FEA" w:rsidRDefault="00CF0E3D" w:rsidP="007941AE">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14:paraId="15DC7EED" w14:textId="77777777" w:rsidR="00CF0E3D" w:rsidRPr="00771FEA" w:rsidRDefault="00CF0E3D" w:rsidP="007941AE">
            <w:pPr>
              <w:pStyle w:val="notepara"/>
              <w:ind w:left="0" w:firstLine="0"/>
            </w:pPr>
            <w:r w:rsidRPr="00771FEA">
              <w:t>an accredited data recipient</w:t>
            </w:r>
          </w:p>
        </w:tc>
        <w:tc>
          <w:tcPr>
            <w:tcW w:w="2079" w:type="dxa"/>
            <w:tcBorders>
              <w:top w:val="single" w:sz="2" w:space="0" w:color="auto"/>
              <w:bottom w:val="single" w:sz="2" w:space="0" w:color="auto"/>
            </w:tcBorders>
          </w:tcPr>
          <w:p w14:paraId="46FE060A" w14:textId="77777777" w:rsidR="00CF0E3D" w:rsidRPr="00771FEA" w:rsidRDefault="00CF0E3D" w:rsidP="007941AE">
            <w:pPr>
              <w:pStyle w:val="notepara"/>
              <w:ind w:left="0" w:firstLine="0"/>
            </w:pPr>
            <w:r w:rsidRPr="00771FEA">
              <w:t>the accredited person</w:t>
            </w:r>
          </w:p>
        </w:tc>
      </w:tr>
    </w:tbl>
    <w:p w14:paraId="5437E9F0" w14:textId="77777777" w:rsidR="00CF0E3D" w:rsidRPr="00641354" w:rsidRDefault="00CF0E3D" w:rsidP="00CF0E3D">
      <w:pPr>
        <w:pStyle w:val="Definition"/>
      </w:pPr>
      <w:r w:rsidRPr="00641354">
        <w:rPr>
          <w:b/>
          <w:i/>
        </w:rPr>
        <w:t>current</w:t>
      </w:r>
      <w:r w:rsidRPr="00641354">
        <w:t>:</w:t>
      </w:r>
    </w:p>
    <w:p w14:paraId="00166E63" w14:textId="77777777" w:rsidR="00CF0E3D" w:rsidRPr="00641354" w:rsidRDefault="00CF0E3D" w:rsidP="00CF0E3D">
      <w:pPr>
        <w:pStyle w:val="paragraph"/>
      </w:pPr>
      <w:r w:rsidRPr="00641354">
        <w:tab/>
        <w:t>(a)</w:t>
      </w:r>
      <w:r w:rsidRPr="00641354">
        <w:tab/>
        <w:t xml:space="preserve">a </w:t>
      </w:r>
      <w:r>
        <w:t>consent</w:t>
      </w:r>
      <w:r w:rsidRPr="00641354">
        <w:t xml:space="preserve"> is </w:t>
      </w:r>
      <w:r w:rsidRPr="00641354">
        <w:rPr>
          <w:b/>
          <w:i/>
        </w:rPr>
        <w:t xml:space="preserve">current </w:t>
      </w:r>
      <w:r w:rsidRPr="00641354">
        <w:t xml:space="preserve">if it has not expired in accordance with </w:t>
      </w:r>
      <w:r>
        <w:t>rule</w:t>
      </w:r>
      <w:r w:rsidRPr="00641354">
        <w:t> </w:t>
      </w:r>
      <w:r>
        <w:t>4.14</w:t>
      </w:r>
      <w:r w:rsidRPr="00641354">
        <w:t>; and</w:t>
      </w:r>
    </w:p>
    <w:p w14:paraId="77958967" w14:textId="77777777" w:rsidR="00CF0E3D" w:rsidRPr="00641354" w:rsidRDefault="00CF0E3D" w:rsidP="00CF0E3D">
      <w:pPr>
        <w:pStyle w:val="paragraph"/>
      </w:pPr>
      <w:r w:rsidRPr="00641354">
        <w:tab/>
        <w:t>(</w:t>
      </w:r>
      <w:r w:rsidRPr="00E1300D">
        <w:t>b</w:t>
      </w:r>
      <w:r w:rsidRPr="00641354">
        <w:t>)</w:t>
      </w:r>
      <w:r w:rsidRPr="00641354">
        <w:tab/>
        <w:t>a</w:t>
      </w:r>
      <w:r>
        <w:t>n</w:t>
      </w:r>
      <w:r w:rsidRPr="00641354">
        <w:t xml:space="preserve"> </w:t>
      </w:r>
      <w:r>
        <w:t>authorisation</w:t>
      </w:r>
      <w:r w:rsidRPr="00641354">
        <w:t xml:space="preserve"> </w:t>
      </w:r>
      <w:r>
        <w:t xml:space="preserve">to disclose particular CDR data </w:t>
      </w:r>
      <w:r w:rsidRPr="00641354">
        <w:t xml:space="preserve">is </w:t>
      </w:r>
      <w:r w:rsidRPr="00641354">
        <w:rPr>
          <w:b/>
          <w:i/>
        </w:rPr>
        <w:t xml:space="preserve">current </w:t>
      </w:r>
      <w:r w:rsidRPr="00641354">
        <w:t xml:space="preserve">if it has not expired in accordance with </w:t>
      </w:r>
      <w:r>
        <w:t>rule</w:t>
      </w:r>
      <w:r w:rsidRPr="00641354">
        <w:t> </w:t>
      </w:r>
      <w:r>
        <w:t>4.26</w:t>
      </w:r>
      <w:r w:rsidRPr="00641354">
        <w:t>.</w:t>
      </w:r>
    </w:p>
    <w:p w14:paraId="3EC53286" w14:textId="77777777" w:rsidR="00CF0E3D" w:rsidRPr="00771FEA" w:rsidRDefault="00CF0E3D" w:rsidP="00CF0E3D">
      <w:pPr>
        <w:pStyle w:val="notetext"/>
      </w:pPr>
      <w:r w:rsidRPr="00771FEA">
        <w:t>Note:</w:t>
      </w:r>
      <w:r w:rsidRPr="00771FEA">
        <w:tab/>
        <w:t>For paragraph (a), there are the following 3 kinds of consent:</w:t>
      </w:r>
    </w:p>
    <w:p w14:paraId="2E301AC5" w14:textId="77777777" w:rsidR="00CF0E3D" w:rsidRPr="00771FEA" w:rsidRDefault="00CF0E3D" w:rsidP="00CF0E3D">
      <w:pPr>
        <w:pStyle w:val="notepara"/>
      </w:pPr>
      <w:r w:rsidRPr="00771FEA">
        <w:sym w:font="Symbol" w:char="F0B7"/>
      </w:r>
      <w:r w:rsidRPr="00771FEA">
        <w:tab/>
        <w:t>collection consents;</w:t>
      </w:r>
    </w:p>
    <w:p w14:paraId="067FB41D" w14:textId="77777777" w:rsidR="00CF0E3D" w:rsidRPr="00771FEA" w:rsidRDefault="00CF0E3D" w:rsidP="00CF0E3D">
      <w:pPr>
        <w:pStyle w:val="notepara"/>
      </w:pPr>
      <w:r w:rsidRPr="00771FEA">
        <w:sym w:font="Symbol" w:char="F0B7"/>
      </w:r>
      <w:r w:rsidRPr="00771FEA">
        <w:tab/>
        <w:t>use consents;</w:t>
      </w:r>
    </w:p>
    <w:p w14:paraId="6C2D6704" w14:textId="77777777" w:rsidR="00CF0E3D" w:rsidRPr="00771FEA" w:rsidRDefault="00CF0E3D" w:rsidP="00CF0E3D">
      <w:pPr>
        <w:pStyle w:val="notepara"/>
      </w:pPr>
      <w:r w:rsidRPr="00771FEA">
        <w:sym w:font="Symbol" w:char="F0B7"/>
      </w:r>
      <w:r w:rsidRPr="00771FEA">
        <w:tab/>
        <w:t>disclosure consents.</w:t>
      </w:r>
    </w:p>
    <w:p w14:paraId="24D60448" w14:textId="77777777" w:rsidR="00CF0E3D" w:rsidRPr="0023036E" w:rsidRDefault="00CF0E3D" w:rsidP="00CF0E3D">
      <w:pPr>
        <w:pStyle w:val="Definition"/>
      </w:pPr>
      <w:r w:rsidRPr="0023036E">
        <w:rPr>
          <w:b/>
          <w:i/>
        </w:rPr>
        <w:t xml:space="preserve">data holder </w:t>
      </w:r>
      <w:r w:rsidRPr="0023036E">
        <w:t>has a meaning affected by subrule</w:t>
      </w:r>
      <w:r>
        <w:t> (2)</w:t>
      </w:r>
      <w:r w:rsidRPr="0023036E">
        <w:t>.</w:t>
      </w:r>
    </w:p>
    <w:p w14:paraId="416F1380" w14:textId="77777777" w:rsidR="00CF0E3D" w:rsidRPr="00796ADB" w:rsidRDefault="00CF0E3D" w:rsidP="00CF0E3D">
      <w:pPr>
        <w:pStyle w:val="notetext"/>
      </w:pPr>
      <w:r w:rsidRPr="00796ADB">
        <w:t>Note:</w:t>
      </w:r>
      <w:r w:rsidRPr="00796ADB">
        <w:tab/>
        <w:t>The term “data holder” is defined in the Act: see subsection 56AJ of the Act. Subrule </w:t>
      </w:r>
      <w:r>
        <w:t>(2)</w:t>
      </w:r>
      <w:r w:rsidRPr="00796ADB">
        <w:t xml:space="preserve"> deals with the usage of this term in these rules.</w:t>
      </w:r>
    </w:p>
    <w:p w14:paraId="5D4BEB11" w14:textId="77777777" w:rsidR="00CF0E3D" w:rsidRPr="00E1300D" w:rsidRDefault="00CF0E3D" w:rsidP="00CF0E3D">
      <w:pPr>
        <w:pStyle w:val="Definition"/>
        <w:rPr>
          <w:color w:val="000000" w:themeColor="text1"/>
        </w:rPr>
      </w:pPr>
      <w:r w:rsidRPr="006F4A42">
        <w:rPr>
          <w:b/>
          <w:i/>
        </w:rPr>
        <w:t>data minimisation principle</w:t>
      </w:r>
      <w:r>
        <w:rPr>
          <w:b/>
          <w:i/>
        </w:rPr>
        <w:t xml:space="preserve"> </w:t>
      </w:r>
      <w:r w:rsidRPr="00E1300D">
        <w:t>has the meaning given by rule </w:t>
      </w:r>
      <w:r>
        <w:t>1.8</w:t>
      </w:r>
      <w:r w:rsidRPr="00E1300D">
        <w:rPr>
          <w:color w:val="000000" w:themeColor="text1"/>
        </w:rPr>
        <w:t>.</w:t>
      </w:r>
    </w:p>
    <w:p w14:paraId="4485D5A6" w14:textId="77777777" w:rsidR="00CF0E3D" w:rsidRPr="00964EDA" w:rsidRDefault="00CF0E3D" w:rsidP="00CF0E3D">
      <w:pPr>
        <w:pStyle w:val="Definition"/>
        <w:rPr>
          <w:color w:val="000000"/>
        </w:rPr>
      </w:pPr>
      <w:r w:rsidRPr="00964EDA">
        <w:rPr>
          <w:b/>
          <w:i/>
          <w:color w:val="000000"/>
        </w:rPr>
        <w:t xml:space="preserve">Data Standards Advisory </w:t>
      </w:r>
      <w:r>
        <w:rPr>
          <w:b/>
          <w:i/>
          <w:color w:val="000000"/>
        </w:rPr>
        <w:t>Committee</w:t>
      </w:r>
      <w:r w:rsidRPr="00964EDA">
        <w:rPr>
          <w:b/>
          <w:i/>
          <w:color w:val="000000"/>
        </w:rPr>
        <w:t xml:space="preserve"> </w:t>
      </w:r>
      <w:r>
        <w:rPr>
          <w:color w:val="000000"/>
        </w:rPr>
        <w:t>has the meaning given by</w:t>
      </w:r>
      <w:r w:rsidRPr="00964EDA">
        <w:rPr>
          <w:color w:val="000000"/>
        </w:rPr>
        <w:t xml:space="preserve"> </w:t>
      </w:r>
      <w:r>
        <w:rPr>
          <w:color w:val="000000"/>
        </w:rPr>
        <w:t>rule</w:t>
      </w:r>
      <w:r w:rsidRPr="00964EDA">
        <w:rPr>
          <w:color w:val="000000"/>
        </w:rPr>
        <w:t> </w:t>
      </w:r>
      <w:r>
        <w:rPr>
          <w:color w:val="000000"/>
        </w:rPr>
        <w:t>8.2</w:t>
      </w:r>
      <w:r w:rsidRPr="00964EDA">
        <w:rPr>
          <w:color w:val="000000"/>
        </w:rPr>
        <w:t>.</w:t>
      </w:r>
    </w:p>
    <w:p w14:paraId="5D621F6A" w14:textId="77777777" w:rsidR="00CF0E3D" w:rsidRPr="00B61E66" w:rsidRDefault="00CF0E3D" w:rsidP="00CF0E3D">
      <w:pPr>
        <w:pStyle w:val="Definition"/>
        <w:rPr>
          <w:szCs w:val="22"/>
        </w:rPr>
      </w:pPr>
      <w:r w:rsidRPr="00A32529">
        <w:rPr>
          <w:b/>
          <w:bCs/>
          <w:i/>
          <w:iCs/>
        </w:rPr>
        <w:t>de-identification consent</w:t>
      </w:r>
      <w:r w:rsidRPr="00B61E66">
        <w:t xml:space="preserve"> has the meaning given by rule 1.10A.</w:t>
      </w:r>
    </w:p>
    <w:p w14:paraId="185C04BF" w14:textId="77777777" w:rsidR="00CF0E3D" w:rsidRPr="00B61E66" w:rsidRDefault="00CF0E3D" w:rsidP="00CF0E3D">
      <w:pPr>
        <w:pStyle w:val="Definition"/>
      </w:pPr>
      <w:r w:rsidRPr="00B61E66">
        <w:rPr>
          <w:b/>
          <w:i/>
        </w:rPr>
        <w:t xml:space="preserve">direct marketing </w:t>
      </w:r>
      <w:r w:rsidRPr="00A32529">
        <w:rPr>
          <w:b/>
          <w:i/>
        </w:rPr>
        <w:t>consent</w:t>
      </w:r>
      <w:r w:rsidRPr="004F7FBE">
        <w:rPr>
          <w:b/>
          <w:i/>
        </w:rPr>
        <w:t xml:space="preserve"> </w:t>
      </w:r>
      <w:r w:rsidRPr="00B61E66">
        <w:t>has the meaning given by rule 1.10A.</w:t>
      </w:r>
    </w:p>
    <w:p w14:paraId="1D2EC1B2" w14:textId="77777777" w:rsidR="00CF0E3D" w:rsidRPr="00F87C2B" w:rsidRDefault="00CF0E3D" w:rsidP="00CF0E3D">
      <w:pPr>
        <w:pStyle w:val="Definition"/>
      </w:pPr>
      <w:r w:rsidRPr="00641354">
        <w:rPr>
          <w:b/>
          <w:i/>
        </w:rPr>
        <w:t>direct request</w:t>
      </w:r>
      <w:r>
        <w:rPr>
          <w:b/>
          <w:i/>
        </w:rPr>
        <w:t xml:space="preserve"> service </w:t>
      </w:r>
      <w:r>
        <w:t>has the meaning given by subrule 1.13(2).</w:t>
      </w:r>
    </w:p>
    <w:p w14:paraId="25C986E2" w14:textId="77777777" w:rsidR="00CF0E3D" w:rsidRDefault="00CF0E3D" w:rsidP="00CF0E3D">
      <w:pPr>
        <w:pStyle w:val="Definition"/>
      </w:pPr>
      <w:r w:rsidRPr="00771FEA">
        <w:rPr>
          <w:b/>
          <w:i/>
        </w:rPr>
        <w:t xml:space="preserve">disclosure consent </w:t>
      </w:r>
      <w:r w:rsidRPr="00771FEA">
        <w:t>has the meaning given by rule 1.10A.</w:t>
      </w:r>
    </w:p>
    <w:p w14:paraId="0E321B28" w14:textId="2EE7AFE8" w:rsidR="00FE6A8A" w:rsidRPr="00693A57" w:rsidRDefault="00FE6A8A" w:rsidP="00FE6A8A">
      <w:pPr>
        <w:pStyle w:val="Definition"/>
        <w:rPr>
          <w:b/>
          <w:i/>
          <w:color w:val="0000FF"/>
        </w:rPr>
      </w:pPr>
      <w:r w:rsidRPr="00693A57">
        <w:rPr>
          <w:b/>
          <w:i/>
          <w:color w:val="0000FF"/>
        </w:rPr>
        <w:lastRenderedPageBreak/>
        <w:t xml:space="preserve">disclosure option </w:t>
      </w:r>
      <w:r w:rsidRPr="00693A57">
        <w:rPr>
          <w:color w:val="0000FF"/>
        </w:rPr>
        <w:t>has the meaning given by rule </w:t>
      </w:r>
      <w:r w:rsidR="000B1D10" w:rsidRPr="00693A57">
        <w:rPr>
          <w:color w:val="0000FF"/>
        </w:rPr>
        <w:t>4</w:t>
      </w:r>
      <w:r w:rsidR="00F976E0" w:rsidRPr="00693A57">
        <w:rPr>
          <w:color w:val="0000FF"/>
        </w:rPr>
        <w:t>A</w:t>
      </w:r>
      <w:r w:rsidR="000B1D10" w:rsidRPr="00693A57">
        <w:rPr>
          <w:color w:val="0000FF"/>
        </w:rPr>
        <w:t>.4</w:t>
      </w:r>
      <w:r w:rsidRPr="00693A57">
        <w:rPr>
          <w:color w:val="0000FF"/>
        </w:rPr>
        <w:t>.</w:t>
      </w:r>
    </w:p>
    <w:p w14:paraId="39881387" w14:textId="7CE4CFD4" w:rsidR="00F55D7E" w:rsidRPr="00693A57" w:rsidRDefault="00F55D7E" w:rsidP="00F55D7E">
      <w:pPr>
        <w:pStyle w:val="Definition"/>
        <w:rPr>
          <w:color w:val="0000FF"/>
        </w:rPr>
      </w:pPr>
      <w:r w:rsidRPr="00693A57">
        <w:rPr>
          <w:b/>
          <w:i/>
          <w:color w:val="0000FF"/>
        </w:rPr>
        <w:t xml:space="preserve">disclosure option management service </w:t>
      </w:r>
      <w:r w:rsidRPr="00693A57">
        <w:rPr>
          <w:color w:val="0000FF"/>
        </w:rPr>
        <w:t>has the meaning given by rule </w:t>
      </w:r>
      <w:r w:rsidR="000B1D10" w:rsidRPr="00693A57">
        <w:rPr>
          <w:color w:val="0000FF"/>
        </w:rPr>
        <w:t>4</w:t>
      </w:r>
      <w:r w:rsidR="00F976E0" w:rsidRPr="00693A57">
        <w:rPr>
          <w:color w:val="0000FF"/>
        </w:rPr>
        <w:t>A</w:t>
      </w:r>
      <w:r w:rsidR="000B1D10" w:rsidRPr="00693A57">
        <w:rPr>
          <w:color w:val="0000FF"/>
        </w:rPr>
        <w:t>.5</w:t>
      </w:r>
      <w:r w:rsidRPr="00693A57">
        <w:rPr>
          <w:color w:val="0000FF"/>
        </w:rPr>
        <w:t>.</w:t>
      </w:r>
    </w:p>
    <w:p w14:paraId="531512D2" w14:textId="77777777" w:rsidR="002E1052" w:rsidRPr="00693A57" w:rsidRDefault="002E1052" w:rsidP="00CF0E3D">
      <w:pPr>
        <w:pStyle w:val="Definition"/>
        <w:rPr>
          <w:strike/>
          <w:color w:val="FF0000"/>
          <w:szCs w:val="22"/>
          <w:shd w:val="clear" w:color="auto" w:fill="FFFFFF"/>
        </w:rPr>
      </w:pPr>
      <w:r w:rsidRPr="00693A57">
        <w:rPr>
          <w:b/>
          <w:bCs/>
          <w:i/>
          <w:iCs/>
          <w:strike/>
          <w:color w:val="FF0000"/>
          <w:szCs w:val="22"/>
          <w:shd w:val="clear" w:color="auto" w:fill="FFFFFF"/>
        </w:rPr>
        <w:t>eligible</w:t>
      </w:r>
      <w:r w:rsidRPr="00693A57">
        <w:rPr>
          <w:strike/>
          <w:color w:val="FF0000"/>
          <w:szCs w:val="22"/>
          <w:shd w:val="clear" w:color="auto" w:fill="FFFFFF"/>
        </w:rPr>
        <w:t>,</w:t>
      </w:r>
      <w:r w:rsidRPr="00693A57">
        <w:rPr>
          <w:b/>
          <w:bCs/>
          <w:i/>
          <w:iCs/>
          <w:strike/>
          <w:color w:val="FF0000"/>
          <w:szCs w:val="22"/>
          <w:shd w:val="clear" w:color="auto" w:fill="FFFFFF"/>
        </w:rPr>
        <w:t> </w:t>
      </w:r>
      <w:r w:rsidRPr="00693A57">
        <w:rPr>
          <w:strike/>
          <w:color w:val="FF0000"/>
          <w:szCs w:val="22"/>
          <w:shd w:val="clear" w:color="auto" w:fill="FFFFFF"/>
        </w:rPr>
        <w:t>in relation to a particular designated sector, has the meaning set out in a Schedule to these rules that relates to that sector.</w:t>
      </w:r>
    </w:p>
    <w:p w14:paraId="62B0966A" w14:textId="77777777" w:rsidR="002E1052" w:rsidRPr="00693A57" w:rsidRDefault="002E1052" w:rsidP="002E1052">
      <w:pPr>
        <w:pStyle w:val="notetext"/>
        <w:rPr>
          <w:strike/>
          <w:color w:val="FF0000"/>
        </w:rPr>
      </w:pPr>
      <w:r w:rsidRPr="00693A57">
        <w:rPr>
          <w:strike/>
          <w:color w:val="FF0000"/>
        </w:rPr>
        <w:t>Note:</w:t>
      </w:r>
      <w:r w:rsidRPr="00693A57">
        <w:rPr>
          <w:strike/>
          <w:color w:val="FF0000"/>
        </w:rPr>
        <w:tab/>
        <w:t>For the banking sector, see clause 2.1 of Schedule 3 to these rules.</w:t>
      </w:r>
    </w:p>
    <w:p w14:paraId="3F484EF0" w14:textId="47FE5AB6" w:rsidR="00CF0E3D" w:rsidRPr="00693A57" w:rsidRDefault="00CF0E3D" w:rsidP="00CF0E3D">
      <w:pPr>
        <w:pStyle w:val="Definition"/>
        <w:rPr>
          <w:color w:val="FF0000"/>
        </w:rPr>
      </w:pPr>
      <w:r w:rsidRPr="00693A57">
        <w:rPr>
          <w:b/>
          <w:i/>
          <w:color w:val="FF0000"/>
        </w:rPr>
        <w:t>eligible</w:t>
      </w:r>
      <w:r w:rsidRPr="00693A57">
        <w:rPr>
          <w:color w:val="FF0000"/>
        </w:rPr>
        <w:t>,</w:t>
      </w:r>
      <w:r w:rsidRPr="00693A57">
        <w:rPr>
          <w:b/>
          <w:i/>
          <w:color w:val="FF0000"/>
        </w:rPr>
        <w:t xml:space="preserve"> </w:t>
      </w:r>
      <w:r w:rsidRPr="00693A57">
        <w:rPr>
          <w:color w:val="FF0000"/>
        </w:rPr>
        <w:t xml:space="preserve">in relation to a particular designated sector, has the meaning </w:t>
      </w:r>
      <w:r w:rsidR="006F0D6C" w:rsidRPr="00693A57">
        <w:rPr>
          <w:color w:val="FF0000"/>
        </w:rPr>
        <w:t>given by rule 1.10B.</w:t>
      </w:r>
    </w:p>
    <w:p w14:paraId="7264E21F" w14:textId="77777777" w:rsidR="00D81BCA" w:rsidRPr="00693A57" w:rsidRDefault="00CF0E3D" w:rsidP="00CF0E3D">
      <w:pPr>
        <w:pStyle w:val="notetext"/>
        <w:rPr>
          <w:color w:val="FF0000"/>
        </w:rPr>
      </w:pPr>
      <w:r w:rsidRPr="00693A57">
        <w:rPr>
          <w:color w:val="FF0000"/>
        </w:rPr>
        <w:t>Note:</w:t>
      </w:r>
      <w:r w:rsidRPr="00693A57">
        <w:rPr>
          <w:color w:val="FF0000"/>
        </w:rPr>
        <w:tab/>
      </w:r>
      <w:r w:rsidR="00D81BCA" w:rsidRPr="00693A57">
        <w:rPr>
          <w:color w:val="FF0000"/>
        </w:rPr>
        <w:t>See also:</w:t>
      </w:r>
    </w:p>
    <w:p w14:paraId="0DFF3F47" w14:textId="3E6E6D45" w:rsidR="00D81BCA" w:rsidRPr="00693A57" w:rsidRDefault="00D81BCA" w:rsidP="007D5353">
      <w:pPr>
        <w:pStyle w:val="notepara"/>
        <w:numPr>
          <w:ilvl w:val="0"/>
          <w:numId w:val="10"/>
        </w:numPr>
        <w:rPr>
          <w:color w:val="FF0000"/>
        </w:rPr>
      </w:pPr>
      <w:r w:rsidRPr="00693A57">
        <w:rPr>
          <w:color w:val="FF0000"/>
        </w:rPr>
        <w:t>for the banking sector</w:t>
      </w:r>
      <w:r w:rsidR="00A531B6" w:rsidRPr="00693A57">
        <w:rPr>
          <w:color w:val="FF0000"/>
        </w:rPr>
        <w:t>—</w:t>
      </w:r>
      <w:r w:rsidRPr="00693A57">
        <w:rPr>
          <w:color w:val="FF0000"/>
        </w:rPr>
        <w:t>clause 2.1 of Schedule 3; and</w:t>
      </w:r>
    </w:p>
    <w:p w14:paraId="142B522D" w14:textId="60945779" w:rsidR="00D81BCA" w:rsidRPr="00693A57" w:rsidRDefault="00D81BCA" w:rsidP="007D5353">
      <w:pPr>
        <w:pStyle w:val="notepara"/>
        <w:numPr>
          <w:ilvl w:val="0"/>
          <w:numId w:val="10"/>
        </w:numPr>
        <w:rPr>
          <w:color w:val="FF0000"/>
        </w:rPr>
      </w:pPr>
      <w:r w:rsidRPr="00693A57">
        <w:rPr>
          <w:color w:val="FF0000"/>
        </w:rPr>
        <w:t>for the energy sector</w:t>
      </w:r>
      <w:r w:rsidR="00A531B6" w:rsidRPr="00693A57">
        <w:rPr>
          <w:color w:val="FF0000"/>
        </w:rPr>
        <w:t>—</w:t>
      </w:r>
      <w:r w:rsidRPr="00693A57">
        <w:rPr>
          <w:color w:val="FF0000"/>
        </w:rPr>
        <w:t>clause 2.1 of Schedule 4.</w:t>
      </w:r>
    </w:p>
    <w:p w14:paraId="7E4D87A9" w14:textId="77777777" w:rsidR="00CF0E3D" w:rsidRPr="007C18B8" w:rsidRDefault="00CF0E3D" w:rsidP="00CF0E3D">
      <w:pPr>
        <w:pStyle w:val="Definition"/>
      </w:pPr>
      <w:r>
        <w:rPr>
          <w:b/>
          <w:i/>
        </w:rPr>
        <w:t xml:space="preserve">fit and proper person criteria </w:t>
      </w:r>
      <w:r>
        <w:t>has the meaning given by rule 1.9.</w:t>
      </w:r>
    </w:p>
    <w:p w14:paraId="7F5A530E" w14:textId="77777777" w:rsidR="00CF0E3D" w:rsidRPr="00A90C37" w:rsidRDefault="00CF0E3D" w:rsidP="00CF0E3D">
      <w:pPr>
        <w:pStyle w:val="Definition"/>
        <w:rPr>
          <w:b/>
        </w:rPr>
      </w:pPr>
      <w:r w:rsidRPr="00A90C37">
        <w:rPr>
          <w:b/>
          <w:i/>
        </w:rPr>
        <w:t xml:space="preserve">foreign entity </w:t>
      </w:r>
      <w:r w:rsidRPr="00A90C37">
        <w:t>means a person who:</w:t>
      </w:r>
    </w:p>
    <w:p w14:paraId="4731393F" w14:textId="77777777" w:rsidR="00CF0E3D" w:rsidRPr="00A90C37" w:rsidRDefault="00CF0E3D" w:rsidP="00CF0E3D">
      <w:pPr>
        <w:pStyle w:val="paragraph"/>
      </w:pPr>
      <w:r w:rsidRPr="00A90C37">
        <w:tab/>
        <w:t>(a)</w:t>
      </w:r>
      <w:r w:rsidRPr="00A90C37">
        <w:tab/>
        <w:t>is not a body corporate established by or under a law of the Commonwealth, of a State or of a Territory; and</w:t>
      </w:r>
    </w:p>
    <w:p w14:paraId="466DF4C9" w14:textId="77777777" w:rsidR="00CF0E3D" w:rsidRPr="00A90C37" w:rsidRDefault="00CF0E3D" w:rsidP="00CF0E3D">
      <w:pPr>
        <w:pStyle w:val="paragraph"/>
      </w:pPr>
      <w:r w:rsidRPr="00A90C37">
        <w:tab/>
        <w:t>(b)</w:t>
      </w:r>
      <w:r w:rsidRPr="00A90C37">
        <w:tab/>
        <w:t xml:space="preserve">is neither an Australian citizen, nor a permanent resident (within the meaning of the </w:t>
      </w:r>
      <w:r w:rsidRPr="00A90C37">
        <w:rPr>
          <w:i/>
        </w:rPr>
        <w:t>Australian Citizenship Act 2007</w:t>
      </w:r>
      <w:r w:rsidRPr="00A90C37">
        <w:t>).</w:t>
      </w:r>
    </w:p>
    <w:p w14:paraId="0354A721" w14:textId="77777777" w:rsidR="00CF0E3D" w:rsidRDefault="00CF0E3D" w:rsidP="00CF0E3D">
      <w:pPr>
        <w:pStyle w:val="notetext"/>
      </w:pPr>
      <w:r w:rsidRPr="00A90C37">
        <w:t>Note:</w:t>
      </w:r>
      <w:r w:rsidRPr="00A90C37">
        <w:tab/>
        <w:t>See subsection 56C</w:t>
      </w:r>
      <w:r>
        <w:t>A</w:t>
      </w:r>
      <w:r w:rsidRPr="00A90C37">
        <w:t>(2) of the Act.</w:t>
      </w:r>
    </w:p>
    <w:p w14:paraId="619C43E0" w14:textId="77777777" w:rsidR="00CF0E3D" w:rsidRPr="00771FEA" w:rsidRDefault="00CF0E3D" w:rsidP="00CF0E3D">
      <w:pPr>
        <w:pStyle w:val="Definition"/>
      </w:pPr>
      <w:r w:rsidRPr="00771FEA">
        <w:rPr>
          <w:b/>
          <w:i/>
        </w:rPr>
        <w:t>general research</w:t>
      </w:r>
      <w:r w:rsidRPr="00771FEA">
        <w:t>, in relation to an accredited data recipient, means research by the accredited data recipient:</w:t>
      </w:r>
    </w:p>
    <w:p w14:paraId="42E4CCA2" w14:textId="77777777" w:rsidR="00CF0E3D" w:rsidRPr="00771FEA" w:rsidRDefault="00CF0E3D" w:rsidP="00CF0E3D">
      <w:pPr>
        <w:pStyle w:val="paragraph"/>
      </w:pPr>
      <w:r w:rsidRPr="00771FEA">
        <w:tab/>
        <w:t>(a)</w:t>
      </w:r>
      <w:r w:rsidRPr="00771FEA">
        <w:tab/>
        <w:t>using CDR data that has been de</w:t>
      </w:r>
      <w:r w:rsidRPr="00771FEA">
        <w:noBreakHyphen/>
        <w:t>identified in accordance with</w:t>
      </w:r>
      <w:r w:rsidRPr="00F2318F">
        <w:t xml:space="preserve"> </w:t>
      </w:r>
      <w:r w:rsidRPr="00B61E66">
        <w:t>the CDR data de-identification process</w:t>
      </w:r>
      <w:r w:rsidRPr="00771FEA">
        <w:t>; and</w:t>
      </w:r>
    </w:p>
    <w:p w14:paraId="5E8B2EAD" w14:textId="77777777" w:rsidR="00CF0E3D" w:rsidRPr="00771FEA" w:rsidRDefault="00CF0E3D" w:rsidP="00CF0E3D">
      <w:pPr>
        <w:pStyle w:val="paragraph"/>
      </w:pPr>
      <w:r w:rsidRPr="00771FEA">
        <w:tab/>
        <w:t>(b)</w:t>
      </w:r>
      <w:r w:rsidRPr="00771FEA">
        <w:tab/>
        <w:t>that does not relate to the provision of goods or services to any particular CDR consumer.</w:t>
      </w:r>
    </w:p>
    <w:p w14:paraId="1C8A9C29" w14:textId="77777777" w:rsidR="00CF0E3D" w:rsidRDefault="00CF0E3D" w:rsidP="00CF0E3D">
      <w:pPr>
        <w:pStyle w:val="Definition"/>
      </w:pPr>
      <w:r>
        <w:rPr>
          <w:b/>
          <w:i/>
        </w:rPr>
        <w:t xml:space="preserve">goods </w:t>
      </w:r>
      <w:r>
        <w:t>includes products.</w:t>
      </w:r>
    </w:p>
    <w:p w14:paraId="7D3B713C" w14:textId="77777777" w:rsidR="00CC28A8" w:rsidRPr="00693A57" w:rsidRDefault="00CC28A8" w:rsidP="00CC28A8">
      <w:pPr>
        <w:pStyle w:val="Definition"/>
        <w:rPr>
          <w:color w:val="0000FF"/>
        </w:rPr>
      </w:pPr>
      <w:r w:rsidRPr="00693A57">
        <w:rPr>
          <w:b/>
          <w:i/>
          <w:color w:val="0000FF"/>
        </w:rPr>
        <w:t>joint account</w:t>
      </w:r>
      <w:r w:rsidRPr="00693A57">
        <w:rPr>
          <w:color w:val="0000FF"/>
        </w:rPr>
        <w:t>:</w:t>
      </w:r>
    </w:p>
    <w:p w14:paraId="577BE7B9" w14:textId="77777777" w:rsidR="00624C46" w:rsidRPr="00693A57" w:rsidRDefault="00CC28A8" w:rsidP="00CC28A8">
      <w:pPr>
        <w:pStyle w:val="paragraph"/>
        <w:rPr>
          <w:color w:val="0000FF"/>
        </w:rPr>
      </w:pPr>
      <w:r w:rsidRPr="00693A57">
        <w:rPr>
          <w:color w:val="0000FF"/>
        </w:rPr>
        <w:tab/>
        <w:t>(a)</w:t>
      </w:r>
      <w:r w:rsidRPr="00693A57">
        <w:rPr>
          <w:color w:val="0000FF"/>
        </w:rPr>
        <w:tab/>
        <w:t>means a joint account with a data holder for which there are 2 or more joint account holders, each of which is an individual who</w:t>
      </w:r>
      <w:r w:rsidR="00624C46" w:rsidRPr="00693A57">
        <w:rPr>
          <w:color w:val="0000FF"/>
        </w:rPr>
        <w:t>:</w:t>
      </w:r>
    </w:p>
    <w:p w14:paraId="6C73FCC3" w14:textId="53ED1288" w:rsidR="00CC28A8" w:rsidRPr="00693A57" w:rsidRDefault="00624C46" w:rsidP="00624C46">
      <w:pPr>
        <w:pStyle w:val="paragraphsub"/>
        <w:rPr>
          <w:color w:val="0000FF"/>
        </w:rPr>
      </w:pPr>
      <w:r>
        <w:tab/>
      </w:r>
      <w:r w:rsidRPr="00693A57">
        <w:rPr>
          <w:color w:val="0000FF"/>
        </w:rPr>
        <w:t>(i)</w:t>
      </w:r>
      <w:r w:rsidRPr="00693A57">
        <w:rPr>
          <w:color w:val="0000FF"/>
        </w:rPr>
        <w:tab/>
      </w:r>
      <w:r w:rsidR="00CC28A8" w:rsidRPr="00693A57">
        <w:rPr>
          <w:color w:val="0000FF"/>
        </w:rPr>
        <w:t xml:space="preserve">so far as the data holder is aware, is acting in their own capacity and not </w:t>
      </w:r>
      <w:r w:rsidRPr="00693A57">
        <w:rPr>
          <w:color w:val="0000FF"/>
        </w:rPr>
        <w:t>on behalf of another person; and</w:t>
      </w:r>
    </w:p>
    <w:p w14:paraId="2A9C942C" w14:textId="3FB0C40A" w:rsidR="00624C46" w:rsidRPr="00693A57" w:rsidRDefault="00624C46" w:rsidP="00624C46">
      <w:pPr>
        <w:pStyle w:val="paragraphsub"/>
        <w:rPr>
          <w:color w:val="0000FF"/>
        </w:rPr>
      </w:pPr>
      <w:r w:rsidRPr="00693A57">
        <w:rPr>
          <w:color w:val="0000FF"/>
        </w:rPr>
        <w:tab/>
        <w:t>(ii)</w:t>
      </w:r>
      <w:r w:rsidRPr="00693A57">
        <w:rPr>
          <w:color w:val="0000FF"/>
        </w:rPr>
        <w:tab/>
        <w:t>is eligible in relation to the data holder; but</w:t>
      </w:r>
    </w:p>
    <w:p w14:paraId="38B4A952" w14:textId="77777777" w:rsidR="00CC28A8" w:rsidRPr="00693A57" w:rsidRDefault="00CC28A8" w:rsidP="00CC28A8">
      <w:pPr>
        <w:pStyle w:val="paragraph"/>
        <w:rPr>
          <w:color w:val="0000FF"/>
        </w:rPr>
      </w:pPr>
      <w:r w:rsidRPr="00693A57">
        <w:rPr>
          <w:color w:val="0000FF"/>
        </w:rPr>
        <w:tab/>
        <w:t>(b)</w:t>
      </w:r>
      <w:r w:rsidRPr="00693A57">
        <w:rPr>
          <w:color w:val="0000FF"/>
        </w:rPr>
        <w:tab/>
        <w:t>does not include a partnership account with a data holder.</w:t>
      </w:r>
    </w:p>
    <w:p w14:paraId="1BE8C16F" w14:textId="77777777" w:rsidR="00D65475" w:rsidRPr="00693A57" w:rsidRDefault="00D65475" w:rsidP="00D65475">
      <w:pPr>
        <w:pStyle w:val="Definition"/>
        <w:rPr>
          <w:color w:val="0000FF"/>
        </w:rPr>
      </w:pPr>
      <w:r w:rsidRPr="00693A57">
        <w:rPr>
          <w:b/>
          <w:i/>
          <w:color w:val="0000FF"/>
        </w:rPr>
        <w:t>insight disclosure consent</w:t>
      </w:r>
      <w:r w:rsidRPr="00693A57">
        <w:rPr>
          <w:color w:val="0000FF"/>
        </w:rPr>
        <w:t xml:space="preserve"> has the meaning given by rule 1.10A.</w:t>
      </w:r>
    </w:p>
    <w:p w14:paraId="0C95874C" w14:textId="77777777" w:rsidR="00CF0E3D" w:rsidRDefault="00CF0E3D" w:rsidP="00CF0E3D">
      <w:pPr>
        <w:pStyle w:val="Definition"/>
      </w:pPr>
      <w:r w:rsidRPr="00701680">
        <w:rPr>
          <w:b/>
          <w:i/>
        </w:rPr>
        <w:t>law releva</w:t>
      </w:r>
      <w:r>
        <w:rPr>
          <w:b/>
          <w:i/>
        </w:rPr>
        <w:t xml:space="preserve">nt to the management of CDR data </w:t>
      </w:r>
      <w:r>
        <w:t>means any of the following:</w:t>
      </w:r>
    </w:p>
    <w:p w14:paraId="5F741D23" w14:textId="77777777" w:rsidR="00CF0E3D" w:rsidRDefault="00CF0E3D" w:rsidP="00CF0E3D">
      <w:pPr>
        <w:pStyle w:val="paragraph"/>
      </w:pPr>
      <w:r>
        <w:tab/>
        <w:t>(a)</w:t>
      </w:r>
      <w:r>
        <w:tab/>
        <w:t>the Act;</w:t>
      </w:r>
    </w:p>
    <w:p w14:paraId="048EC034" w14:textId="77777777" w:rsidR="00CF0E3D" w:rsidRDefault="00CF0E3D" w:rsidP="00CF0E3D">
      <w:pPr>
        <w:pStyle w:val="paragraph"/>
      </w:pPr>
      <w:r>
        <w:tab/>
        <w:t>(b)</w:t>
      </w:r>
      <w:r>
        <w:tab/>
        <w:t>any regulation made for the purposes of the Act;</w:t>
      </w:r>
    </w:p>
    <w:p w14:paraId="7370415C" w14:textId="77777777" w:rsidR="00CF0E3D" w:rsidRDefault="00CF0E3D" w:rsidP="00CF0E3D">
      <w:pPr>
        <w:pStyle w:val="paragraph"/>
      </w:pPr>
      <w:r>
        <w:tab/>
        <w:t>(c)</w:t>
      </w:r>
      <w:r>
        <w:tab/>
        <w:t>these rules;</w:t>
      </w:r>
    </w:p>
    <w:p w14:paraId="348868A6" w14:textId="77777777" w:rsidR="00CF0E3D" w:rsidRPr="005D5E64" w:rsidRDefault="00CF0E3D" w:rsidP="00CF0E3D">
      <w:pPr>
        <w:pStyle w:val="paragraph"/>
        <w:rPr>
          <w:sz w:val="20"/>
        </w:rPr>
      </w:pPr>
      <w:r>
        <w:tab/>
      </w:r>
      <w:r w:rsidRPr="005D5E64">
        <w:t>(d)</w:t>
      </w:r>
      <w:r>
        <w:tab/>
      </w:r>
      <w:r w:rsidRPr="005D5E64">
        <w:t xml:space="preserve">the </w:t>
      </w:r>
      <w:r w:rsidRPr="005D5E64">
        <w:rPr>
          <w:i/>
          <w:iCs/>
        </w:rPr>
        <w:t xml:space="preserve">Corporations Act 2001 </w:t>
      </w:r>
      <w:r w:rsidRPr="005D5E64">
        <w:t>and the</w:t>
      </w:r>
      <w:r w:rsidRPr="005D5E64">
        <w:rPr>
          <w:i/>
          <w:iCs/>
        </w:rPr>
        <w:t xml:space="preserve"> Corporations Regulations 2001</w:t>
      </w:r>
      <w:r w:rsidRPr="005D5E64">
        <w:t>;</w:t>
      </w:r>
    </w:p>
    <w:p w14:paraId="70237674" w14:textId="77777777" w:rsidR="00CF0E3D" w:rsidRDefault="00CF0E3D" w:rsidP="00CF0E3D">
      <w:pPr>
        <w:pStyle w:val="paragraph"/>
        <w:rPr>
          <w:b/>
          <w:bCs/>
        </w:rPr>
      </w:pPr>
      <w:r>
        <w:tab/>
        <w:t>(e)</w:t>
      </w:r>
      <w:r>
        <w:tab/>
        <w:t xml:space="preserve">the </w:t>
      </w:r>
      <w:r>
        <w:rPr>
          <w:i/>
          <w:iCs/>
        </w:rPr>
        <w:t>Privacy Act 1988</w:t>
      </w:r>
      <w:r>
        <w:t>;</w:t>
      </w:r>
    </w:p>
    <w:p w14:paraId="1B842B4A" w14:textId="1CDF1A37" w:rsidR="00CF0E3D" w:rsidRPr="00693A57" w:rsidRDefault="00CF0E3D" w:rsidP="00CF0E3D">
      <w:pPr>
        <w:pStyle w:val="paragraph"/>
        <w:rPr>
          <w:color w:val="FF0000"/>
        </w:rPr>
      </w:pPr>
      <w:r w:rsidRPr="00F214C6">
        <w:lastRenderedPageBreak/>
        <w:tab/>
      </w:r>
      <w:r w:rsidRPr="00693A57">
        <w:rPr>
          <w:color w:val="FF0000"/>
        </w:rPr>
        <w:t>(f)</w:t>
      </w:r>
      <w:r w:rsidRPr="00693A57">
        <w:rPr>
          <w:color w:val="FF0000"/>
        </w:rPr>
        <w:tab/>
        <w:t xml:space="preserve">in relation to a particular designated sector—any law that is specified for the purposes of this paragraph in a </w:t>
      </w:r>
      <w:r w:rsidR="00324D67" w:rsidRPr="00693A57">
        <w:rPr>
          <w:color w:val="FF0000"/>
        </w:rPr>
        <w:t>sector</w:t>
      </w:r>
      <w:r w:rsidR="003636C9" w:rsidRPr="00693A57">
        <w:rPr>
          <w:color w:val="FF0000"/>
        </w:rPr>
        <w:t xml:space="preserve"> Schedule.</w:t>
      </w:r>
    </w:p>
    <w:p w14:paraId="43BF6EDE" w14:textId="77777777" w:rsidR="00C66FC2" w:rsidRPr="00693A57" w:rsidRDefault="00C66FC2" w:rsidP="00C66FC2">
      <w:pPr>
        <w:pStyle w:val="notetext"/>
        <w:rPr>
          <w:color w:val="FF0000"/>
        </w:rPr>
      </w:pPr>
      <w:r w:rsidRPr="00693A57">
        <w:rPr>
          <w:color w:val="FF0000"/>
        </w:rPr>
        <w:t>Note:</w:t>
      </w:r>
      <w:r w:rsidRPr="00693A57">
        <w:rPr>
          <w:color w:val="FF0000"/>
        </w:rPr>
        <w:tab/>
        <w:t>In relation to paragraph (f):</w:t>
      </w:r>
    </w:p>
    <w:p w14:paraId="220D2486" w14:textId="77777777" w:rsidR="00C66FC2" w:rsidRPr="00693A57" w:rsidRDefault="00C66FC2" w:rsidP="00C66FC2">
      <w:pPr>
        <w:pStyle w:val="notepara"/>
        <w:numPr>
          <w:ilvl w:val="0"/>
          <w:numId w:val="10"/>
        </w:numPr>
        <w:rPr>
          <w:color w:val="FF0000"/>
        </w:rPr>
      </w:pPr>
      <w:r w:rsidRPr="00693A57">
        <w:rPr>
          <w:color w:val="FF0000"/>
        </w:rPr>
        <w:t>for the banking sector, see clause 7.1 of Schedule 3; and</w:t>
      </w:r>
    </w:p>
    <w:p w14:paraId="6D3EF567" w14:textId="77777777" w:rsidR="00C66FC2" w:rsidRPr="00693A57" w:rsidRDefault="00C66FC2" w:rsidP="00C66FC2">
      <w:pPr>
        <w:pStyle w:val="notepara"/>
        <w:numPr>
          <w:ilvl w:val="0"/>
          <w:numId w:val="10"/>
        </w:numPr>
        <w:rPr>
          <w:color w:val="FF0000"/>
        </w:rPr>
      </w:pPr>
      <w:r w:rsidRPr="00693A57">
        <w:rPr>
          <w:color w:val="FF0000"/>
        </w:rPr>
        <w:t xml:space="preserve">for the energy sector, see clause </w:t>
      </w:r>
      <w:r w:rsidRPr="00693A57">
        <w:rPr>
          <w:color w:val="FF0000"/>
        </w:rPr>
        <w:fldChar w:fldCharType="begin" w:fldLock="1"/>
      </w:r>
      <w:r w:rsidRPr="00693A57">
        <w:rPr>
          <w:color w:val="FF0000"/>
        </w:rPr>
        <w:instrText xml:space="preserve"> REF _Ref62550367 \n </w:instrText>
      </w:r>
      <w:r w:rsidRPr="00693A57">
        <w:rPr>
          <w:color w:val="FF0000"/>
        </w:rPr>
        <w:fldChar w:fldCharType="separate"/>
      </w:r>
      <w:r w:rsidR="000F7228">
        <w:rPr>
          <w:color w:val="FF0000"/>
        </w:rPr>
        <w:t>9.1</w:t>
      </w:r>
      <w:r w:rsidRPr="00693A57">
        <w:rPr>
          <w:color w:val="FF0000"/>
        </w:rPr>
        <w:fldChar w:fldCharType="end"/>
      </w:r>
      <w:r w:rsidRPr="00693A57">
        <w:rPr>
          <w:color w:val="FF0000"/>
        </w:rPr>
        <w:t xml:space="preserve"> of Schedule 4.</w:t>
      </w:r>
    </w:p>
    <w:p w14:paraId="0170F07F" w14:textId="55B2079B" w:rsidR="002E1052" w:rsidRPr="00693A57" w:rsidRDefault="002E1052" w:rsidP="002E1052">
      <w:pPr>
        <w:pStyle w:val="paragraph"/>
        <w:rPr>
          <w:strike/>
          <w:color w:val="FF0000"/>
        </w:rPr>
      </w:pPr>
      <w:r w:rsidRPr="00F214C6">
        <w:rPr>
          <w:strike/>
        </w:rPr>
        <w:tab/>
      </w:r>
      <w:r w:rsidRPr="00693A57">
        <w:rPr>
          <w:strike/>
          <w:color w:val="FF0000"/>
        </w:rPr>
        <w:t>(f)</w:t>
      </w:r>
      <w:r w:rsidRPr="00693A57">
        <w:rPr>
          <w:strike/>
          <w:color w:val="FF0000"/>
        </w:rPr>
        <w:tab/>
        <w:t>in relation to a particular designated sector—any law that is specified for the purposes of this paragraph in a Schedule to these rules that relates to that designated sector.</w:t>
      </w:r>
    </w:p>
    <w:p w14:paraId="01237980" w14:textId="4343D8C0" w:rsidR="00A5023D" w:rsidRPr="00F214C6" w:rsidRDefault="002E1052" w:rsidP="00A5023D">
      <w:pPr>
        <w:pStyle w:val="notetext"/>
        <w:rPr>
          <w:strike/>
        </w:rPr>
      </w:pPr>
      <w:r w:rsidRPr="00693A57">
        <w:rPr>
          <w:strike/>
          <w:color w:val="FF0000"/>
        </w:rPr>
        <w:t>Note:</w:t>
      </w:r>
      <w:r w:rsidR="00A5023D" w:rsidRPr="00693A57">
        <w:rPr>
          <w:strike/>
          <w:color w:val="FF0000"/>
        </w:rPr>
        <w:tab/>
        <w:t>In relation to paragraph (f), for the banking sector, see clause 7.1 of Schedule 3.</w:t>
      </w:r>
    </w:p>
    <w:p w14:paraId="2C5C5F63" w14:textId="77777777" w:rsidR="0059575F" w:rsidRPr="00693A57" w:rsidRDefault="0059575F" w:rsidP="0059575F">
      <w:pPr>
        <w:pStyle w:val="Definition"/>
        <w:rPr>
          <w:color w:val="0000FF"/>
        </w:rPr>
      </w:pPr>
      <w:r w:rsidRPr="00693A57">
        <w:rPr>
          <w:b/>
          <w:i/>
          <w:color w:val="0000FF"/>
        </w:rPr>
        <w:t>level</w:t>
      </w:r>
      <w:r w:rsidRPr="00693A57">
        <w:rPr>
          <w:color w:val="0000FF"/>
        </w:rPr>
        <w:t>, in relation to accreditation, has the meaning given by rule 5.1A.</w:t>
      </w:r>
    </w:p>
    <w:p w14:paraId="428F8E6F" w14:textId="77777777" w:rsidR="00CF0E3D" w:rsidRDefault="00CF0E3D" w:rsidP="00CF0E3D">
      <w:pPr>
        <w:pStyle w:val="Definition"/>
      </w:pPr>
      <w:r>
        <w:rPr>
          <w:b/>
          <w:i/>
        </w:rPr>
        <w:t>local agent</w:t>
      </w:r>
      <w:r>
        <w:t>, in relation to a foreign entity, means a person who:</w:t>
      </w:r>
    </w:p>
    <w:p w14:paraId="18580820" w14:textId="77777777" w:rsidR="00CF0E3D" w:rsidRDefault="00CF0E3D" w:rsidP="00CF0E3D">
      <w:pPr>
        <w:pStyle w:val="paragraph"/>
      </w:pPr>
      <w:r>
        <w:tab/>
        <w:t>(a)</w:t>
      </w:r>
      <w:r>
        <w:tab/>
        <w:t>is appointed by the foreign entity; and</w:t>
      </w:r>
    </w:p>
    <w:p w14:paraId="043C7843" w14:textId="77777777" w:rsidR="00CF0E3D" w:rsidRDefault="00CF0E3D" w:rsidP="00CF0E3D">
      <w:pPr>
        <w:pStyle w:val="paragraph"/>
      </w:pPr>
      <w:r>
        <w:tab/>
        <w:t>(b)</w:t>
      </w:r>
      <w:r>
        <w:tab/>
        <w:t>has addresses for service; and</w:t>
      </w:r>
    </w:p>
    <w:p w14:paraId="1EDE6481" w14:textId="77777777" w:rsidR="00CF0E3D" w:rsidRPr="00715048" w:rsidRDefault="00CF0E3D" w:rsidP="00CF0E3D">
      <w:pPr>
        <w:pStyle w:val="paragraph"/>
      </w:pPr>
      <w:r>
        <w:tab/>
        <w:t>(c)</w:t>
      </w:r>
      <w:r>
        <w:tab/>
        <w:t>is authorised to accept service of documents on behalf of the foreign entity.</w:t>
      </w:r>
    </w:p>
    <w:p w14:paraId="54C26B40" w14:textId="295AED12" w:rsidR="00CF0E3D" w:rsidRPr="00693A57" w:rsidRDefault="00CF0E3D" w:rsidP="00A328E1">
      <w:pPr>
        <w:pStyle w:val="Definition"/>
        <w:tabs>
          <w:tab w:val="left" w:pos="1985"/>
        </w:tabs>
        <w:rPr>
          <w:color w:val="FF0000"/>
        </w:rPr>
      </w:pPr>
      <w:r w:rsidRPr="00693A57">
        <w:rPr>
          <w:b/>
          <w:i/>
          <w:color w:val="FF0000"/>
        </w:rPr>
        <w:t>meet the internal dispute resolution requirements</w:t>
      </w:r>
      <w:r w:rsidR="00727B02" w:rsidRPr="00693A57">
        <w:rPr>
          <w:color w:val="FF0000"/>
        </w:rPr>
        <w:t>,</w:t>
      </w:r>
      <w:r w:rsidR="00727B02" w:rsidRPr="00693A57">
        <w:rPr>
          <w:b/>
          <w:i/>
          <w:color w:val="FF0000"/>
        </w:rPr>
        <w:t xml:space="preserve"> </w:t>
      </w:r>
      <w:r w:rsidR="00727B02" w:rsidRPr="00693A57">
        <w:rPr>
          <w:color w:val="FF0000"/>
        </w:rPr>
        <w:t>in relation to a particular designated sector, has the meaning set out in the relevant sector Schedule.</w:t>
      </w:r>
    </w:p>
    <w:p w14:paraId="7E8657F9" w14:textId="685F9E88" w:rsidR="00727B02" w:rsidRPr="00693A57" w:rsidRDefault="00727B02" w:rsidP="00727B02">
      <w:pPr>
        <w:pStyle w:val="notetext"/>
        <w:rPr>
          <w:color w:val="FF0000"/>
        </w:rPr>
      </w:pPr>
      <w:r w:rsidRPr="00693A57">
        <w:rPr>
          <w:color w:val="FF0000"/>
        </w:rPr>
        <w:t>Note:</w:t>
      </w:r>
      <w:r w:rsidRPr="00693A57">
        <w:rPr>
          <w:color w:val="FF0000"/>
        </w:rPr>
        <w:tab/>
        <w:t xml:space="preserve">For the </w:t>
      </w:r>
      <w:r w:rsidR="00B00AE1" w:rsidRPr="00693A57">
        <w:rPr>
          <w:color w:val="FF0000"/>
        </w:rPr>
        <w:t>meaning</w:t>
      </w:r>
      <w:r w:rsidRPr="00693A57">
        <w:rPr>
          <w:color w:val="FF0000"/>
        </w:rPr>
        <w:t xml:space="preserve"> of the term:</w:t>
      </w:r>
    </w:p>
    <w:p w14:paraId="0807242A" w14:textId="17DAE204" w:rsidR="00B00AE1" w:rsidRPr="00693A57" w:rsidRDefault="00B00AE1" w:rsidP="007D5353">
      <w:pPr>
        <w:pStyle w:val="notepara"/>
        <w:numPr>
          <w:ilvl w:val="0"/>
          <w:numId w:val="10"/>
        </w:numPr>
        <w:rPr>
          <w:color w:val="FF0000"/>
        </w:rPr>
      </w:pPr>
      <w:r w:rsidRPr="00693A57">
        <w:rPr>
          <w:color w:val="FF0000"/>
        </w:rPr>
        <w:t>in the banking sector, see clause 5.1 of Schedule 3; and</w:t>
      </w:r>
    </w:p>
    <w:p w14:paraId="60EFAAA4" w14:textId="68F01066" w:rsidR="002E1052" w:rsidRPr="00693A57" w:rsidRDefault="00B00AE1" w:rsidP="007D5353">
      <w:pPr>
        <w:pStyle w:val="notepara"/>
        <w:numPr>
          <w:ilvl w:val="0"/>
          <w:numId w:val="10"/>
        </w:numPr>
        <w:rPr>
          <w:color w:val="FF0000"/>
        </w:rPr>
      </w:pPr>
      <w:r w:rsidRPr="00693A57">
        <w:rPr>
          <w:color w:val="FF0000"/>
        </w:rPr>
        <w:t xml:space="preserve">in the energy sector, see clause </w:t>
      </w:r>
      <w:r w:rsidR="000B1D10" w:rsidRPr="00693A57">
        <w:rPr>
          <w:color w:val="FF0000"/>
        </w:rPr>
        <w:t>5.1</w:t>
      </w:r>
      <w:r w:rsidRPr="00693A57">
        <w:rPr>
          <w:color w:val="FF0000"/>
        </w:rPr>
        <w:t xml:space="preserve"> of Schedule 4.</w:t>
      </w:r>
    </w:p>
    <w:p w14:paraId="6DA25337" w14:textId="77777777" w:rsidR="002E1052" w:rsidRPr="00693A57" w:rsidRDefault="002E1052" w:rsidP="002E1052">
      <w:pPr>
        <w:pStyle w:val="Definition"/>
        <w:tabs>
          <w:tab w:val="left" w:pos="1985"/>
        </w:tabs>
        <w:rPr>
          <w:strike/>
          <w:color w:val="FF0000"/>
          <w:szCs w:val="22"/>
          <w:shd w:val="clear" w:color="auto" w:fill="FFFFFF"/>
        </w:rPr>
      </w:pPr>
      <w:r w:rsidRPr="00693A57">
        <w:rPr>
          <w:b/>
          <w:bCs/>
          <w:i/>
          <w:iCs/>
          <w:strike/>
          <w:color w:val="FF0000"/>
          <w:szCs w:val="22"/>
          <w:shd w:val="clear" w:color="auto" w:fill="FFFFFF"/>
        </w:rPr>
        <w:t>meet the internal dispute resolution requirements</w:t>
      </w:r>
      <w:r w:rsidRPr="00693A57">
        <w:rPr>
          <w:strike/>
          <w:color w:val="FF0000"/>
          <w:szCs w:val="22"/>
          <w:shd w:val="clear" w:color="auto" w:fill="FFFFFF"/>
        </w:rPr>
        <w:t>, in relation to the banking sector, has the meaning given by clause 5.1 of Schedule 3.</w:t>
      </w:r>
    </w:p>
    <w:p w14:paraId="41994D8B" w14:textId="77777777" w:rsidR="00CF0E3D" w:rsidRDefault="00CF0E3D" w:rsidP="00CF0E3D">
      <w:pPr>
        <w:pStyle w:val="Definition"/>
      </w:pPr>
      <w:r w:rsidRPr="00771FEA">
        <w:rPr>
          <w:b/>
          <w:i/>
        </w:rPr>
        <w:t xml:space="preserve">nominated representative </w:t>
      </w:r>
      <w:r w:rsidRPr="00771FEA">
        <w:t>has the meaning given by subparagraph 1.13(1)(c)(i) or subparagraph 1.13(1)(d)(i), as appropriate.</w:t>
      </w:r>
    </w:p>
    <w:p w14:paraId="5BFBF0E0" w14:textId="0C5296A1" w:rsidR="009D41D4" w:rsidRPr="00693A57" w:rsidRDefault="009D41D4" w:rsidP="009D41D4">
      <w:pPr>
        <w:pStyle w:val="Definition"/>
        <w:rPr>
          <w:b/>
          <w:i/>
          <w:color w:val="0000FF"/>
        </w:rPr>
      </w:pPr>
      <w:r w:rsidRPr="00693A57">
        <w:rPr>
          <w:b/>
          <w:i/>
          <w:color w:val="0000FF"/>
        </w:rPr>
        <w:t xml:space="preserve">non-disclosure option </w:t>
      </w:r>
      <w:r w:rsidRPr="00693A57">
        <w:rPr>
          <w:color w:val="0000FF"/>
        </w:rPr>
        <w:t xml:space="preserve">has the meaning given by rule </w:t>
      </w:r>
      <w:r w:rsidR="000B1D10" w:rsidRPr="00693A57">
        <w:rPr>
          <w:color w:val="0000FF"/>
        </w:rPr>
        <w:t>4</w:t>
      </w:r>
      <w:r w:rsidR="00F976E0" w:rsidRPr="00693A57">
        <w:rPr>
          <w:color w:val="0000FF"/>
        </w:rPr>
        <w:t>A</w:t>
      </w:r>
      <w:r w:rsidR="000B1D10" w:rsidRPr="00693A57">
        <w:rPr>
          <w:color w:val="0000FF"/>
        </w:rPr>
        <w:t>.4</w:t>
      </w:r>
      <w:r w:rsidRPr="00693A57">
        <w:rPr>
          <w:color w:val="0000FF"/>
        </w:rPr>
        <w:t>.</w:t>
      </w:r>
    </w:p>
    <w:p w14:paraId="3140986D" w14:textId="77777777" w:rsidR="00CF0E3D" w:rsidRPr="009500AD" w:rsidRDefault="00CF0E3D" w:rsidP="00CF0E3D">
      <w:pPr>
        <w:pStyle w:val="Definition"/>
      </w:pPr>
      <w:r w:rsidRPr="005F3D40">
        <w:rPr>
          <w:b/>
          <w:i/>
          <w:color w:val="000000" w:themeColor="text1"/>
        </w:rPr>
        <w:t xml:space="preserve">outsourced service provider </w:t>
      </w:r>
      <w:r w:rsidRPr="009500AD">
        <w:t>has the meaning given by rule </w:t>
      </w:r>
      <w:r>
        <w:t>1.10</w:t>
      </w:r>
      <w:r w:rsidRPr="009500AD">
        <w:t>.</w:t>
      </w:r>
    </w:p>
    <w:p w14:paraId="162459A7" w14:textId="77777777" w:rsidR="00CF0E3D" w:rsidRDefault="00CF0E3D" w:rsidP="00CF0E3D">
      <w:pPr>
        <w:pStyle w:val="Definition"/>
      </w:pPr>
      <w:r w:rsidRPr="00771FEA">
        <w:rPr>
          <w:b/>
          <w:i/>
        </w:rPr>
        <w:t>partnership account</w:t>
      </w:r>
      <w:r w:rsidRPr="00771FEA">
        <w:t>, with a data holder, means an account with a data holder that is held by or on behalf of a partnership or the partners in a partnership.</w:t>
      </w:r>
    </w:p>
    <w:p w14:paraId="657B028F" w14:textId="2FCBC8AC" w:rsidR="00AA7F0D" w:rsidRPr="00693A57" w:rsidRDefault="00AA7F0D" w:rsidP="00AA7F0D">
      <w:pPr>
        <w:pStyle w:val="Definition"/>
        <w:rPr>
          <w:b/>
          <w:i/>
          <w:color w:val="0000FF"/>
        </w:rPr>
      </w:pPr>
      <w:r w:rsidRPr="00693A57">
        <w:rPr>
          <w:b/>
          <w:i/>
          <w:color w:val="0000FF"/>
        </w:rPr>
        <w:t xml:space="preserve">pre-approval option </w:t>
      </w:r>
      <w:r w:rsidRPr="00693A57">
        <w:rPr>
          <w:color w:val="0000FF"/>
        </w:rPr>
        <w:t>has the meaning</w:t>
      </w:r>
      <w:r w:rsidR="009D41D4" w:rsidRPr="00693A57">
        <w:rPr>
          <w:color w:val="0000FF"/>
        </w:rPr>
        <w:t xml:space="preserve"> given by rule </w:t>
      </w:r>
      <w:r w:rsidR="000B1D10" w:rsidRPr="00693A57">
        <w:rPr>
          <w:color w:val="0000FF"/>
        </w:rPr>
        <w:t>4</w:t>
      </w:r>
      <w:r w:rsidR="00F976E0" w:rsidRPr="00693A57">
        <w:rPr>
          <w:color w:val="0000FF"/>
        </w:rPr>
        <w:t>A</w:t>
      </w:r>
      <w:r w:rsidR="000B1D10" w:rsidRPr="00693A57">
        <w:rPr>
          <w:color w:val="0000FF"/>
        </w:rPr>
        <w:t>.</w:t>
      </w:r>
      <w:r w:rsidR="00F976E0" w:rsidRPr="00693A57">
        <w:rPr>
          <w:color w:val="0000FF"/>
        </w:rPr>
        <w:t>4</w:t>
      </w:r>
      <w:r w:rsidR="009D41D4" w:rsidRPr="00693A57">
        <w:rPr>
          <w:color w:val="0000FF"/>
        </w:rPr>
        <w:t>.</w:t>
      </w:r>
    </w:p>
    <w:p w14:paraId="5E1D52D3" w14:textId="33F2F6DA" w:rsidR="00336AE5" w:rsidRPr="00693A57" w:rsidRDefault="001A1BCE" w:rsidP="00484439">
      <w:pPr>
        <w:pStyle w:val="Definition"/>
        <w:rPr>
          <w:color w:val="FF0000"/>
        </w:rPr>
      </w:pPr>
      <w:r w:rsidRPr="00693A57">
        <w:rPr>
          <w:b/>
          <w:i/>
          <w:color w:val="FF0000"/>
        </w:rPr>
        <w:t>primary data holder</w:t>
      </w:r>
      <w:r w:rsidR="00484439" w:rsidRPr="00693A57">
        <w:rPr>
          <w:color w:val="FF0000"/>
        </w:rPr>
        <w:t xml:space="preserve">, in relation to </w:t>
      </w:r>
      <w:r w:rsidR="00C7287E" w:rsidRPr="00693A57">
        <w:rPr>
          <w:color w:val="FF0000"/>
        </w:rPr>
        <w:t xml:space="preserve">SR </w:t>
      </w:r>
      <w:r w:rsidR="00484439" w:rsidRPr="00693A57">
        <w:rPr>
          <w:color w:val="FF0000"/>
        </w:rPr>
        <w:t xml:space="preserve">data and a particular designated sector, </w:t>
      </w:r>
      <w:r w:rsidR="00336AE5" w:rsidRPr="00693A57">
        <w:rPr>
          <w:color w:val="FF0000"/>
        </w:rPr>
        <w:t>means the data holder specified in the sector Schedule as t</w:t>
      </w:r>
      <w:r w:rsidR="00B82A8D" w:rsidRPr="00693A57">
        <w:rPr>
          <w:color w:val="FF0000"/>
        </w:rPr>
        <w:t xml:space="preserve">he </w:t>
      </w:r>
      <w:r w:rsidRPr="00693A57">
        <w:rPr>
          <w:color w:val="FF0000"/>
        </w:rPr>
        <w:t>primary data holder</w:t>
      </w:r>
      <w:r w:rsidR="00B82A8D" w:rsidRPr="00693A57">
        <w:rPr>
          <w:color w:val="FF0000"/>
        </w:rPr>
        <w:t xml:space="preserve"> for the SR </w:t>
      </w:r>
      <w:r w:rsidR="00336AE5" w:rsidRPr="00693A57">
        <w:rPr>
          <w:color w:val="FF0000"/>
        </w:rPr>
        <w:t>data.</w:t>
      </w:r>
    </w:p>
    <w:p w14:paraId="0B901D29" w14:textId="77777777" w:rsidR="00CF0E3D" w:rsidRPr="00641354" w:rsidRDefault="00CF0E3D" w:rsidP="00CF0E3D">
      <w:pPr>
        <w:pStyle w:val="Definition"/>
        <w:rPr>
          <w:color w:val="000000"/>
        </w:rPr>
      </w:pPr>
      <w:r w:rsidRPr="00641354">
        <w:rPr>
          <w:b/>
          <w:i/>
          <w:color w:val="000000"/>
        </w:rPr>
        <w:t xml:space="preserve">product data request </w:t>
      </w:r>
      <w:r w:rsidRPr="00B31455">
        <w:t xml:space="preserve">has the meaning given by </w:t>
      </w:r>
      <w:r>
        <w:rPr>
          <w:color w:val="000000"/>
        </w:rPr>
        <w:t>rule</w:t>
      </w:r>
      <w:r w:rsidRPr="00641354">
        <w:rPr>
          <w:color w:val="000000"/>
        </w:rPr>
        <w:t> </w:t>
      </w:r>
      <w:r>
        <w:rPr>
          <w:color w:val="000000"/>
        </w:rPr>
        <w:t>2.3</w:t>
      </w:r>
      <w:r w:rsidRPr="00641354">
        <w:rPr>
          <w:color w:val="000000"/>
        </w:rPr>
        <w:t>.</w:t>
      </w:r>
    </w:p>
    <w:p w14:paraId="32BB57EE" w14:textId="77777777" w:rsidR="00CF0E3D" w:rsidRDefault="00CF0E3D" w:rsidP="00CF0E3D">
      <w:pPr>
        <w:pStyle w:val="Definition"/>
        <w:rPr>
          <w:b/>
          <w:i/>
          <w:color w:val="000000"/>
        </w:rPr>
      </w:pPr>
      <w:r>
        <w:rPr>
          <w:b/>
          <w:i/>
        </w:rPr>
        <w:t>product data request service</w:t>
      </w:r>
      <w:r>
        <w:t xml:space="preserve"> has the meaning given by rule 1.12.</w:t>
      </w:r>
    </w:p>
    <w:p w14:paraId="58291B7A" w14:textId="77777777" w:rsidR="00CF0E3D" w:rsidRDefault="00CF0E3D" w:rsidP="00CF0E3D">
      <w:pPr>
        <w:pStyle w:val="Definition"/>
      </w:pPr>
      <w:r>
        <w:rPr>
          <w:b/>
          <w:i/>
        </w:rPr>
        <w:t xml:space="preserve">recognised </w:t>
      </w:r>
      <w:r w:rsidRPr="001C4BD2">
        <w:rPr>
          <w:b/>
          <w:i/>
        </w:rPr>
        <w:t>external dispute resolution scheme</w:t>
      </w:r>
      <w:r>
        <w:t xml:space="preserve"> means a dispute resolution scheme that is recognised under section 56DA of the Act.</w:t>
      </w:r>
    </w:p>
    <w:p w14:paraId="3C10053E" w14:textId="77777777" w:rsidR="00CF0E3D" w:rsidRPr="00005026" w:rsidRDefault="00CF0E3D" w:rsidP="00CF0E3D">
      <w:pPr>
        <w:pStyle w:val="Definition"/>
      </w:pPr>
      <w:r w:rsidRPr="00005026">
        <w:rPr>
          <w:b/>
          <w:i/>
        </w:rPr>
        <w:t>redundant data</w:t>
      </w:r>
      <w:r w:rsidRPr="00005026">
        <w:t xml:space="preserve"> has the meaning given by paragraph 56E</w:t>
      </w:r>
      <w:r>
        <w:t>O</w:t>
      </w:r>
      <w:r w:rsidRPr="00005026">
        <w:t>(2)(a) of the Act.</w:t>
      </w:r>
    </w:p>
    <w:p w14:paraId="4DA5E0E8" w14:textId="77777777" w:rsidR="00CF0E3D" w:rsidRDefault="00CF0E3D" w:rsidP="00CF0E3D">
      <w:pPr>
        <w:pStyle w:val="Definition"/>
      </w:pPr>
      <w:r w:rsidRPr="00FB522A">
        <w:rPr>
          <w:b/>
          <w:i/>
        </w:rPr>
        <w:lastRenderedPageBreak/>
        <w:t xml:space="preserve">Register of Accredited Persons </w:t>
      </w:r>
      <w:r w:rsidRPr="00FB522A">
        <w:t>means the</w:t>
      </w:r>
      <w:r>
        <w:t xml:space="preserve"> Register of Accredited Persons</w:t>
      </w:r>
      <w:r w:rsidRPr="00FB522A">
        <w:t xml:space="preserve"> established under subsection 56CE(1) of the Act.</w:t>
      </w:r>
    </w:p>
    <w:p w14:paraId="6FB205C3" w14:textId="77777777" w:rsidR="00CF0E3D" w:rsidRDefault="00CF0E3D" w:rsidP="00CF0E3D">
      <w:pPr>
        <w:pStyle w:val="Definition"/>
        <w:rPr>
          <w:b/>
          <w:i/>
        </w:rPr>
      </w:pPr>
      <w:r>
        <w:rPr>
          <w:b/>
          <w:i/>
        </w:rPr>
        <w:t>requester</w:t>
      </w:r>
      <w:r w:rsidRPr="006F4229">
        <w:t>, in relation to a product data request</w:t>
      </w:r>
      <w:r w:rsidRPr="00C131F7">
        <w:t>,</w:t>
      </w:r>
      <w:r w:rsidRPr="007C39E2">
        <w:t xml:space="preserve"> </w:t>
      </w:r>
      <w:r w:rsidRPr="006F4229">
        <w:t>means the person who made the request under rule </w:t>
      </w:r>
      <w:r>
        <w:t>2.3</w:t>
      </w:r>
      <w:r w:rsidRPr="006F4229">
        <w:t>.</w:t>
      </w:r>
    </w:p>
    <w:p w14:paraId="4C770946" w14:textId="6CE4BA18" w:rsidR="00727B02" w:rsidRPr="00693A57" w:rsidRDefault="00CF0E3D" w:rsidP="00727B02">
      <w:pPr>
        <w:pStyle w:val="Definition"/>
        <w:rPr>
          <w:color w:val="FF0000"/>
        </w:rPr>
      </w:pPr>
      <w:r w:rsidRPr="00693A57">
        <w:rPr>
          <w:b/>
          <w:i/>
          <w:color w:val="FF0000"/>
        </w:rPr>
        <w:t>required consumer data</w:t>
      </w:r>
      <w:r w:rsidRPr="00693A57">
        <w:rPr>
          <w:color w:val="FF0000"/>
        </w:rPr>
        <w:t xml:space="preserve">, </w:t>
      </w:r>
      <w:r w:rsidR="00727B02" w:rsidRPr="00693A57">
        <w:rPr>
          <w:color w:val="FF0000"/>
        </w:rPr>
        <w:t>in relation to a particular designated sector, has the meaning set out in the relevant sector Schedule.</w:t>
      </w:r>
    </w:p>
    <w:p w14:paraId="0DAB9920" w14:textId="32A4BFA3" w:rsidR="00727B02" w:rsidRPr="00693A57" w:rsidRDefault="00727B02" w:rsidP="00727B02">
      <w:pPr>
        <w:pStyle w:val="notetext"/>
        <w:rPr>
          <w:color w:val="FF0000"/>
        </w:rPr>
      </w:pPr>
      <w:r w:rsidRPr="00693A57">
        <w:rPr>
          <w:color w:val="FF0000"/>
        </w:rPr>
        <w:t>Note:</w:t>
      </w:r>
      <w:r w:rsidRPr="00693A57">
        <w:rPr>
          <w:color w:val="FF0000"/>
        </w:rPr>
        <w:tab/>
        <w:t>For the meaning of the term:</w:t>
      </w:r>
    </w:p>
    <w:p w14:paraId="60011A08" w14:textId="3E2FFCEB" w:rsidR="00B00AE1" w:rsidRPr="00693A57" w:rsidRDefault="00B00AE1" w:rsidP="007D5353">
      <w:pPr>
        <w:pStyle w:val="notepara"/>
        <w:numPr>
          <w:ilvl w:val="0"/>
          <w:numId w:val="10"/>
        </w:numPr>
        <w:rPr>
          <w:color w:val="FF0000"/>
        </w:rPr>
      </w:pPr>
      <w:r w:rsidRPr="00693A57">
        <w:rPr>
          <w:color w:val="FF0000"/>
        </w:rPr>
        <w:t>in the banking sector, see clause 3.2 of Schedule 3; and</w:t>
      </w:r>
    </w:p>
    <w:p w14:paraId="255083C4" w14:textId="1CE10C28" w:rsidR="00B00AE1" w:rsidRPr="00693A57" w:rsidRDefault="00B00AE1" w:rsidP="007D5353">
      <w:pPr>
        <w:pStyle w:val="notepara"/>
        <w:numPr>
          <w:ilvl w:val="0"/>
          <w:numId w:val="10"/>
        </w:numPr>
        <w:rPr>
          <w:color w:val="FF0000"/>
        </w:rPr>
      </w:pPr>
      <w:r w:rsidRPr="00693A57">
        <w:rPr>
          <w:color w:val="FF0000"/>
        </w:rPr>
        <w:t xml:space="preserve">in the energy sector, see clause </w:t>
      </w:r>
      <w:r w:rsidR="000B1D10" w:rsidRPr="00693A57">
        <w:rPr>
          <w:color w:val="FF0000"/>
        </w:rPr>
        <w:t>3.2</w:t>
      </w:r>
      <w:r w:rsidRPr="00693A57">
        <w:rPr>
          <w:color w:val="FF0000"/>
        </w:rPr>
        <w:t xml:space="preserve"> of Schedule 4.</w:t>
      </w:r>
    </w:p>
    <w:p w14:paraId="6525F88A" w14:textId="77777777" w:rsidR="002E1052" w:rsidRPr="00693A57" w:rsidRDefault="002E1052" w:rsidP="00CF0E3D">
      <w:pPr>
        <w:pStyle w:val="Definition"/>
        <w:rPr>
          <w:strike/>
          <w:color w:val="FF0000"/>
          <w:szCs w:val="22"/>
          <w:shd w:val="clear" w:color="auto" w:fill="FFFFFF"/>
        </w:rPr>
      </w:pPr>
      <w:r w:rsidRPr="00693A57">
        <w:rPr>
          <w:b/>
          <w:bCs/>
          <w:i/>
          <w:iCs/>
          <w:strike/>
          <w:color w:val="FF0000"/>
          <w:szCs w:val="22"/>
          <w:shd w:val="clear" w:color="auto" w:fill="FFFFFF"/>
        </w:rPr>
        <w:t>required consumer data</w:t>
      </w:r>
      <w:r w:rsidRPr="00693A57">
        <w:rPr>
          <w:strike/>
          <w:color w:val="FF0000"/>
          <w:szCs w:val="22"/>
          <w:shd w:val="clear" w:color="auto" w:fill="FFFFFF"/>
        </w:rPr>
        <w:t>, in relation to the banking sector,</w:t>
      </w:r>
      <w:r w:rsidRPr="00693A57">
        <w:rPr>
          <w:b/>
          <w:bCs/>
          <w:i/>
          <w:iCs/>
          <w:strike/>
          <w:color w:val="FF0000"/>
          <w:szCs w:val="22"/>
          <w:shd w:val="clear" w:color="auto" w:fill="FFFFFF"/>
        </w:rPr>
        <w:t> </w:t>
      </w:r>
      <w:r w:rsidRPr="00693A57">
        <w:rPr>
          <w:strike/>
          <w:color w:val="FF0000"/>
          <w:szCs w:val="22"/>
          <w:shd w:val="clear" w:color="auto" w:fill="FFFFFF"/>
        </w:rPr>
        <w:t>has the meaning given by clause 3.2 of Schedule 3.</w:t>
      </w:r>
    </w:p>
    <w:p w14:paraId="4F514888" w14:textId="30472485" w:rsidR="00823C55" w:rsidRPr="00693A57" w:rsidRDefault="00CF0E3D" w:rsidP="00CF0E3D">
      <w:pPr>
        <w:pStyle w:val="Definition"/>
        <w:rPr>
          <w:color w:val="FF0000"/>
        </w:rPr>
      </w:pPr>
      <w:r w:rsidRPr="00693A57">
        <w:rPr>
          <w:b/>
          <w:i/>
          <w:color w:val="FF0000"/>
        </w:rPr>
        <w:t>required product data</w:t>
      </w:r>
      <w:r w:rsidR="00727B02" w:rsidRPr="00693A57">
        <w:rPr>
          <w:color w:val="FF0000"/>
        </w:rPr>
        <w:t>, in relation to a particular designated sector, has the meaning set out in the relevant sector Schedule.</w:t>
      </w:r>
    </w:p>
    <w:p w14:paraId="1863B055" w14:textId="7558AD7F" w:rsidR="00727B02" w:rsidRPr="00693A57" w:rsidRDefault="00727B02" w:rsidP="00727B02">
      <w:pPr>
        <w:pStyle w:val="notetext"/>
        <w:rPr>
          <w:color w:val="FF0000"/>
        </w:rPr>
      </w:pPr>
      <w:r w:rsidRPr="00693A57">
        <w:rPr>
          <w:color w:val="FF0000"/>
        </w:rPr>
        <w:t>Note:</w:t>
      </w:r>
      <w:r w:rsidRPr="00693A57">
        <w:rPr>
          <w:color w:val="FF0000"/>
        </w:rPr>
        <w:tab/>
        <w:t>For the meaning of the term:</w:t>
      </w:r>
    </w:p>
    <w:p w14:paraId="0D48F79B" w14:textId="6C3104D8" w:rsidR="00B00AE1" w:rsidRPr="00693A57" w:rsidRDefault="00B00AE1" w:rsidP="007D5353">
      <w:pPr>
        <w:pStyle w:val="notepara"/>
        <w:numPr>
          <w:ilvl w:val="0"/>
          <w:numId w:val="10"/>
        </w:numPr>
        <w:rPr>
          <w:color w:val="FF0000"/>
        </w:rPr>
      </w:pPr>
      <w:r w:rsidRPr="00693A57">
        <w:rPr>
          <w:color w:val="FF0000"/>
        </w:rPr>
        <w:t>in the banking sector, see clause 3.1 of Schedule 3; and</w:t>
      </w:r>
    </w:p>
    <w:p w14:paraId="434F9CCC" w14:textId="210FAF4B" w:rsidR="00B00AE1" w:rsidRPr="00693A57" w:rsidRDefault="00B00AE1" w:rsidP="007D5353">
      <w:pPr>
        <w:pStyle w:val="notepara"/>
        <w:numPr>
          <w:ilvl w:val="0"/>
          <w:numId w:val="10"/>
        </w:numPr>
        <w:rPr>
          <w:color w:val="FF0000"/>
        </w:rPr>
      </w:pPr>
      <w:r w:rsidRPr="00693A57">
        <w:rPr>
          <w:color w:val="FF0000"/>
        </w:rPr>
        <w:t xml:space="preserve">in the energy sector, see clause </w:t>
      </w:r>
      <w:r w:rsidR="000B1D10" w:rsidRPr="00693A57">
        <w:rPr>
          <w:color w:val="FF0000"/>
        </w:rPr>
        <w:t>3.1</w:t>
      </w:r>
      <w:r w:rsidRPr="00693A57">
        <w:rPr>
          <w:color w:val="FF0000"/>
        </w:rPr>
        <w:t xml:space="preserve"> of Schedule 4.</w:t>
      </w:r>
    </w:p>
    <w:p w14:paraId="39C9D10B" w14:textId="2A1939AE" w:rsidR="00F70DDB" w:rsidRPr="00693A57" w:rsidRDefault="00F70DDB" w:rsidP="00CF0E3D">
      <w:pPr>
        <w:pStyle w:val="Definition"/>
        <w:rPr>
          <w:b/>
          <w:i/>
          <w:strike/>
          <w:color w:val="FF0000"/>
        </w:rPr>
      </w:pPr>
      <w:r w:rsidRPr="00693A57">
        <w:rPr>
          <w:b/>
          <w:bCs/>
          <w:i/>
          <w:iCs/>
          <w:strike/>
          <w:color w:val="FF0000"/>
          <w:szCs w:val="22"/>
          <w:shd w:val="clear" w:color="auto" w:fill="FFFFFF"/>
        </w:rPr>
        <w:t>required product data</w:t>
      </w:r>
      <w:r w:rsidRPr="00693A57">
        <w:rPr>
          <w:strike/>
          <w:color w:val="FF0000"/>
          <w:szCs w:val="22"/>
          <w:shd w:val="clear" w:color="auto" w:fill="FFFFFF"/>
        </w:rPr>
        <w:t>, in relation to the banking sector,</w:t>
      </w:r>
      <w:r w:rsidRPr="00693A57">
        <w:rPr>
          <w:b/>
          <w:bCs/>
          <w:i/>
          <w:iCs/>
          <w:strike/>
          <w:color w:val="FF0000"/>
          <w:szCs w:val="22"/>
          <w:shd w:val="clear" w:color="auto" w:fill="FFFFFF"/>
        </w:rPr>
        <w:t> </w:t>
      </w:r>
      <w:r w:rsidRPr="00693A57">
        <w:rPr>
          <w:strike/>
          <w:color w:val="FF0000"/>
          <w:szCs w:val="22"/>
          <w:shd w:val="clear" w:color="auto" w:fill="FFFFFF"/>
        </w:rPr>
        <w:t>has the meaning given by clause 3.1 of Schedule 3.</w:t>
      </w:r>
    </w:p>
    <w:p w14:paraId="4B245EE3" w14:textId="77777777" w:rsidR="00CF0E3D" w:rsidRPr="00636EDA" w:rsidRDefault="00CF0E3D" w:rsidP="00CF0E3D">
      <w:pPr>
        <w:pStyle w:val="Definition"/>
      </w:pPr>
      <w:r w:rsidRPr="00636EDA">
        <w:rPr>
          <w:b/>
          <w:i/>
        </w:rPr>
        <w:t xml:space="preserve">restricted ADI </w:t>
      </w:r>
      <w:r w:rsidRPr="00636EDA">
        <w:t xml:space="preserve">means an ADI that has an authority under section 9 of the </w:t>
      </w:r>
      <w:r w:rsidRPr="00636EDA">
        <w:rPr>
          <w:i/>
        </w:rPr>
        <w:t xml:space="preserve">Banking Act 1959 </w:t>
      </w:r>
      <w:r w:rsidRPr="00636EDA">
        <w:t>to carry on a banking business in Australia for a limited time specified in accordance with section 9D of that Act.</w:t>
      </w:r>
    </w:p>
    <w:p w14:paraId="4F135768" w14:textId="017B14BC" w:rsidR="00576790" w:rsidRPr="00693A57" w:rsidRDefault="00576790" w:rsidP="00576790">
      <w:pPr>
        <w:pStyle w:val="Definition"/>
        <w:rPr>
          <w:color w:val="FF0000"/>
        </w:rPr>
      </w:pPr>
      <w:r w:rsidRPr="00693A57">
        <w:rPr>
          <w:b/>
          <w:i/>
          <w:color w:val="FF0000"/>
        </w:rPr>
        <w:t xml:space="preserve">secondary </w:t>
      </w:r>
      <w:r w:rsidR="00135449" w:rsidRPr="00693A57">
        <w:rPr>
          <w:b/>
          <w:i/>
          <w:color w:val="FF0000"/>
        </w:rPr>
        <w:t>data holder</w:t>
      </w:r>
      <w:r w:rsidRPr="00693A57">
        <w:rPr>
          <w:color w:val="FF0000"/>
        </w:rPr>
        <w:t xml:space="preserve">, in relation to SR data and a particular designated sector, means the data holder specified in the sector Schedule as the secondary </w:t>
      </w:r>
      <w:r w:rsidR="00135449" w:rsidRPr="00693A57">
        <w:rPr>
          <w:color w:val="FF0000"/>
        </w:rPr>
        <w:t>data holder</w:t>
      </w:r>
      <w:r w:rsidRPr="00693A57">
        <w:rPr>
          <w:color w:val="FF0000"/>
        </w:rPr>
        <w:t xml:space="preserve"> for the SR data.</w:t>
      </w:r>
    </w:p>
    <w:p w14:paraId="4D590EA5" w14:textId="77777777" w:rsidR="00CF0E3D" w:rsidRPr="009B560D" w:rsidRDefault="00CF0E3D" w:rsidP="00CF0E3D">
      <w:pPr>
        <w:pStyle w:val="Definition"/>
      </w:pPr>
      <w:r w:rsidRPr="009B560D">
        <w:rPr>
          <w:b/>
          <w:i/>
        </w:rPr>
        <w:t>secondary user</w:t>
      </w:r>
      <w:r w:rsidRPr="009B560D">
        <w:t xml:space="preserve">: a person is a </w:t>
      </w:r>
      <w:r w:rsidRPr="009B560D">
        <w:rPr>
          <w:b/>
          <w:i/>
        </w:rPr>
        <w:t xml:space="preserve">secondary user </w:t>
      </w:r>
      <w:r w:rsidRPr="009B560D">
        <w:t>for an account with a data holder in a particular designated sector if:</w:t>
      </w:r>
    </w:p>
    <w:p w14:paraId="5DE772AB" w14:textId="7CA1F307" w:rsidR="00CE2860" w:rsidRPr="00693A57" w:rsidRDefault="00CE2860" w:rsidP="00CE2860">
      <w:pPr>
        <w:pStyle w:val="paragraph"/>
        <w:rPr>
          <w:color w:val="FF0000"/>
        </w:rPr>
      </w:pPr>
      <w:r w:rsidRPr="00693A57">
        <w:rPr>
          <w:color w:val="FF0000"/>
        </w:rPr>
        <w:tab/>
        <w:t>(aa)</w:t>
      </w:r>
      <w:r w:rsidRPr="00693A57">
        <w:rPr>
          <w:color w:val="FF0000"/>
        </w:rPr>
        <w:tab/>
        <w:t>the person is an individual who is 18 years of age or older; and</w:t>
      </w:r>
    </w:p>
    <w:p w14:paraId="6C93A429" w14:textId="77777777" w:rsidR="00CF0E3D" w:rsidRPr="009B560D" w:rsidRDefault="00CF0E3D" w:rsidP="00CF0E3D">
      <w:pPr>
        <w:pStyle w:val="paragraph"/>
      </w:pPr>
      <w:r w:rsidRPr="009B560D">
        <w:tab/>
        <w:t>(a)</w:t>
      </w:r>
      <w:r w:rsidRPr="009B560D">
        <w:tab/>
        <w:t>the person has account privileges in relation to the account; and</w:t>
      </w:r>
    </w:p>
    <w:p w14:paraId="770D9906" w14:textId="26FC0BF8" w:rsidR="00CF0E3D" w:rsidRPr="009B560D" w:rsidRDefault="00CF0E3D" w:rsidP="00CF0E3D">
      <w:pPr>
        <w:pStyle w:val="paragraph"/>
      </w:pPr>
      <w:r w:rsidRPr="009B560D">
        <w:tab/>
        <w:t>(b)</w:t>
      </w:r>
      <w:r w:rsidRPr="009B560D">
        <w:tab/>
      </w:r>
      <w:r w:rsidR="00636DED" w:rsidRPr="009B560D">
        <w:t xml:space="preserve"> </w:t>
      </w:r>
      <w:r w:rsidRPr="009B560D">
        <w:t>the account holder has given the data holder an instruction to treat the person as a secondary user for the purposes of these rules.</w:t>
      </w:r>
    </w:p>
    <w:p w14:paraId="5FB47D2E" w14:textId="77777777" w:rsidR="00CF0E3D" w:rsidRPr="00771FEA" w:rsidRDefault="00CF0E3D" w:rsidP="00CF0E3D">
      <w:pPr>
        <w:pStyle w:val="Definition"/>
      </w:pPr>
      <w:r w:rsidRPr="00771FEA">
        <w:rPr>
          <w:b/>
          <w:i/>
        </w:rPr>
        <w:t xml:space="preserve">secondary user instruction </w:t>
      </w:r>
      <w:r w:rsidRPr="00771FEA">
        <w:t>means an instruction given for the purposes of paragraph (b) of the definition of secondary user.</w:t>
      </w:r>
    </w:p>
    <w:p w14:paraId="5F0627C3" w14:textId="77777777" w:rsidR="007A3BC8" w:rsidRPr="00693A57" w:rsidRDefault="00CF0E3D" w:rsidP="00CF0E3D">
      <w:pPr>
        <w:pStyle w:val="Definition"/>
        <w:rPr>
          <w:bCs/>
          <w:iCs/>
          <w:color w:val="0000FF"/>
        </w:rPr>
      </w:pPr>
      <w:r w:rsidRPr="00693A57">
        <w:rPr>
          <w:b/>
          <w:bCs/>
          <w:i/>
          <w:iCs/>
          <w:color w:val="0000FF"/>
        </w:rPr>
        <w:t>service data</w:t>
      </w:r>
      <w:r w:rsidR="007A3BC8" w:rsidRPr="00693A57">
        <w:rPr>
          <w:bCs/>
          <w:iCs/>
          <w:color w:val="0000FF"/>
        </w:rPr>
        <w:t>:</w:t>
      </w:r>
    </w:p>
    <w:p w14:paraId="13CE1E8A" w14:textId="77777777" w:rsidR="007A3BC8" w:rsidRPr="00693A57" w:rsidRDefault="007A3BC8" w:rsidP="007A3BC8">
      <w:pPr>
        <w:pStyle w:val="paragraph"/>
        <w:rPr>
          <w:color w:val="0000FF"/>
        </w:rPr>
      </w:pPr>
      <w:r w:rsidRPr="00693A57">
        <w:rPr>
          <w:color w:val="0000FF"/>
        </w:rPr>
        <w:tab/>
        <w:t>(a)</w:t>
      </w:r>
      <w:r w:rsidRPr="00693A57">
        <w:rPr>
          <w:color w:val="0000FF"/>
        </w:rPr>
        <w:tab/>
        <w:t>in relation to a CDR outsourcing arrangement—</w:t>
      </w:r>
      <w:r w:rsidR="00CF0E3D" w:rsidRPr="00693A57">
        <w:rPr>
          <w:color w:val="0000FF"/>
        </w:rPr>
        <w:t>has the meaning given by rule 1.10</w:t>
      </w:r>
      <w:r w:rsidRPr="00693A57">
        <w:rPr>
          <w:color w:val="0000FF"/>
        </w:rPr>
        <w:t>; and</w:t>
      </w:r>
    </w:p>
    <w:p w14:paraId="2A332D3F" w14:textId="786E26AA" w:rsidR="00CF0E3D" w:rsidRPr="004D57B9" w:rsidRDefault="007A3BC8" w:rsidP="007A3BC8">
      <w:pPr>
        <w:pStyle w:val="paragraph"/>
      </w:pPr>
      <w:r w:rsidRPr="00693A57">
        <w:rPr>
          <w:color w:val="0000FF"/>
        </w:rPr>
        <w:tab/>
        <w:t>(b)</w:t>
      </w:r>
      <w:r w:rsidRPr="00693A57">
        <w:rPr>
          <w:color w:val="0000FF"/>
        </w:rPr>
        <w:tab/>
        <w:t xml:space="preserve">in relation to a </w:t>
      </w:r>
      <w:r w:rsidR="00182338" w:rsidRPr="00693A57">
        <w:rPr>
          <w:color w:val="0000FF"/>
        </w:rPr>
        <w:t>CDR representative</w:t>
      </w:r>
      <w:r w:rsidRPr="00693A57">
        <w:rPr>
          <w:color w:val="0000FF"/>
        </w:rPr>
        <w:t xml:space="preserve"> arrangement— has the meaning given by rule 1.10AA</w:t>
      </w:r>
      <w:r w:rsidR="00CF0E3D" w:rsidRPr="004D57B9">
        <w:t>.</w:t>
      </w:r>
    </w:p>
    <w:p w14:paraId="6170D6E0" w14:textId="77777777" w:rsidR="00F70DDB" w:rsidRPr="00693A57" w:rsidRDefault="00F70DDB" w:rsidP="00F70DDB">
      <w:pPr>
        <w:pStyle w:val="Definition"/>
        <w:rPr>
          <w:strike/>
          <w:color w:val="0000FF"/>
        </w:rPr>
      </w:pPr>
      <w:r w:rsidRPr="00693A57">
        <w:rPr>
          <w:b/>
          <w:bCs/>
          <w:i/>
          <w:iCs/>
          <w:strike/>
          <w:color w:val="0000FF"/>
        </w:rPr>
        <w:t>service data</w:t>
      </w:r>
      <w:r w:rsidRPr="00693A57">
        <w:rPr>
          <w:bCs/>
          <w:iCs/>
          <w:strike/>
          <w:color w:val="0000FF"/>
        </w:rPr>
        <w:t xml:space="preserve"> </w:t>
      </w:r>
      <w:r w:rsidRPr="00693A57">
        <w:rPr>
          <w:strike/>
          <w:color w:val="0000FF"/>
        </w:rPr>
        <w:t>has the meaning given by rule 1.10</w:t>
      </w:r>
    </w:p>
    <w:p w14:paraId="34EC712F" w14:textId="3405C63F" w:rsidR="0037678E" w:rsidRPr="00693A57" w:rsidRDefault="0037678E" w:rsidP="0037678E">
      <w:pPr>
        <w:pStyle w:val="Definition"/>
        <w:rPr>
          <w:color w:val="FF0000"/>
        </w:rPr>
      </w:pPr>
      <w:r w:rsidRPr="00693A57">
        <w:rPr>
          <w:b/>
          <w:bCs/>
          <w:i/>
          <w:iCs/>
          <w:color w:val="FF0000"/>
        </w:rPr>
        <w:lastRenderedPageBreak/>
        <w:t>s</w:t>
      </w:r>
      <w:r w:rsidR="00324D67" w:rsidRPr="00693A57">
        <w:rPr>
          <w:b/>
          <w:bCs/>
          <w:i/>
          <w:iCs/>
          <w:color w:val="FF0000"/>
        </w:rPr>
        <w:t>ector S</w:t>
      </w:r>
      <w:r w:rsidRPr="00693A57">
        <w:rPr>
          <w:b/>
          <w:bCs/>
          <w:i/>
          <w:iCs/>
          <w:color w:val="FF0000"/>
        </w:rPr>
        <w:t xml:space="preserve">chedule </w:t>
      </w:r>
      <w:r w:rsidRPr="00693A57">
        <w:rPr>
          <w:color w:val="FF0000"/>
        </w:rPr>
        <w:t xml:space="preserve">means a </w:t>
      </w:r>
      <w:r w:rsidR="00324D67" w:rsidRPr="00693A57">
        <w:rPr>
          <w:color w:val="FF0000"/>
        </w:rPr>
        <w:t>S</w:t>
      </w:r>
      <w:r w:rsidRPr="00693A57">
        <w:rPr>
          <w:color w:val="FF0000"/>
        </w:rPr>
        <w:t>chedule to these rules that deals with a particular designated sector.</w:t>
      </w:r>
    </w:p>
    <w:p w14:paraId="35E9099F" w14:textId="786499C1" w:rsidR="008874F8" w:rsidRPr="00693A57" w:rsidRDefault="00350945" w:rsidP="00FC394C">
      <w:pPr>
        <w:pStyle w:val="Definition"/>
        <w:rPr>
          <w:color w:val="0000FF"/>
        </w:rPr>
      </w:pPr>
      <w:r w:rsidRPr="00693A57">
        <w:rPr>
          <w:b/>
          <w:i/>
          <w:color w:val="0000FF"/>
        </w:rPr>
        <w:t>sponsor</w:t>
      </w:r>
      <w:r w:rsidRPr="00693A57">
        <w:rPr>
          <w:color w:val="0000FF"/>
        </w:rPr>
        <w:t xml:space="preserve"> has the meaning given </w:t>
      </w:r>
      <w:r w:rsidR="008A6C8F" w:rsidRPr="00693A57">
        <w:rPr>
          <w:color w:val="0000FF"/>
        </w:rPr>
        <w:t>by rule 1.10D</w:t>
      </w:r>
      <w:r w:rsidR="00FC394C" w:rsidRPr="00693A57">
        <w:rPr>
          <w:color w:val="0000FF"/>
        </w:rPr>
        <w:t>.</w:t>
      </w:r>
    </w:p>
    <w:p w14:paraId="2AE7B23F" w14:textId="77777777" w:rsidR="00CF36F6" w:rsidRPr="00693A57" w:rsidRDefault="00CF36F6" w:rsidP="00CF36F6">
      <w:pPr>
        <w:pStyle w:val="Definition"/>
        <w:rPr>
          <w:color w:val="0000FF"/>
        </w:rPr>
      </w:pPr>
      <w:r w:rsidRPr="00693A57">
        <w:rPr>
          <w:b/>
          <w:i/>
          <w:color w:val="0000FF"/>
        </w:rPr>
        <w:t xml:space="preserve">sponsored accreditation </w:t>
      </w:r>
      <w:r w:rsidRPr="00693A57">
        <w:rPr>
          <w:color w:val="0000FF"/>
        </w:rPr>
        <w:t>means accreditation at the sponsored level mentioned in rule 5.1A.</w:t>
      </w:r>
    </w:p>
    <w:p w14:paraId="15ADD662" w14:textId="77777777" w:rsidR="00CF36F6" w:rsidRPr="00693A57" w:rsidRDefault="00CF36F6" w:rsidP="00CF36F6">
      <w:pPr>
        <w:pStyle w:val="notetext"/>
        <w:rPr>
          <w:b/>
          <w:i/>
          <w:color w:val="0000FF"/>
        </w:rPr>
      </w:pPr>
      <w:r w:rsidRPr="00693A57">
        <w:rPr>
          <w:color w:val="0000FF"/>
        </w:rPr>
        <w:t>Note:</w:t>
      </w:r>
      <w:r w:rsidRPr="00693A57">
        <w:rPr>
          <w:color w:val="0000FF"/>
        </w:rPr>
        <w:tab/>
        <w:t>See also rules 1.10D and 5.1B.</w:t>
      </w:r>
    </w:p>
    <w:p w14:paraId="295BA884" w14:textId="7289EE54" w:rsidR="00071EEB" w:rsidRPr="00693A57" w:rsidRDefault="00071EEB" w:rsidP="00071EEB">
      <w:pPr>
        <w:pStyle w:val="Definition"/>
        <w:rPr>
          <w:color w:val="0000FF"/>
        </w:rPr>
      </w:pPr>
      <w:r w:rsidRPr="00693A57">
        <w:rPr>
          <w:b/>
          <w:i/>
          <w:color w:val="0000FF"/>
        </w:rPr>
        <w:t>sponsorship arrangement</w:t>
      </w:r>
      <w:r w:rsidRPr="00693A57">
        <w:rPr>
          <w:color w:val="0000FF"/>
        </w:rPr>
        <w:t xml:space="preserve"> has the meaning given by rule 1.10D.</w:t>
      </w:r>
    </w:p>
    <w:p w14:paraId="50AA84CE" w14:textId="25499041" w:rsidR="00484439" w:rsidRPr="00693A57" w:rsidRDefault="00303990" w:rsidP="0037678E">
      <w:pPr>
        <w:pStyle w:val="Definition"/>
        <w:rPr>
          <w:color w:val="FF0000"/>
        </w:rPr>
      </w:pPr>
      <w:r w:rsidRPr="00693A57">
        <w:rPr>
          <w:b/>
          <w:i/>
          <w:color w:val="FF0000"/>
        </w:rPr>
        <w:t xml:space="preserve">SR </w:t>
      </w:r>
      <w:r w:rsidR="00484439" w:rsidRPr="00693A57">
        <w:rPr>
          <w:b/>
          <w:i/>
          <w:color w:val="FF0000"/>
        </w:rPr>
        <w:t>data</w:t>
      </w:r>
      <w:r w:rsidRPr="00693A57">
        <w:rPr>
          <w:b/>
          <w:i/>
          <w:color w:val="FF0000"/>
        </w:rPr>
        <w:t xml:space="preserve"> </w:t>
      </w:r>
      <w:r w:rsidRPr="00693A57">
        <w:rPr>
          <w:color w:val="FF0000"/>
        </w:rPr>
        <w:t xml:space="preserve">(for </w:t>
      </w:r>
      <w:r w:rsidRPr="00693A57">
        <w:rPr>
          <w:b/>
          <w:i/>
          <w:color w:val="FF0000"/>
        </w:rPr>
        <w:t>shared responsibility data</w:t>
      </w:r>
      <w:r w:rsidRPr="00693A57">
        <w:rPr>
          <w:color w:val="FF0000"/>
        </w:rPr>
        <w:t>)</w:t>
      </w:r>
      <w:r w:rsidR="00484439" w:rsidRPr="00693A57">
        <w:rPr>
          <w:color w:val="FF0000"/>
        </w:rPr>
        <w:t>, in relation to a CDR consumer and a particular designated sector, has the meaning set out in the relevant sector Schedule.</w:t>
      </w:r>
    </w:p>
    <w:p w14:paraId="2CB7BAD0" w14:textId="65454956" w:rsidR="00712A9B" w:rsidRPr="00693A57" w:rsidRDefault="00712A9B" w:rsidP="00712A9B">
      <w:pPr>
        <w:pStyle w:val="notetext"/>
        <w:rPr>
          <w:color w:val="FF0000"/>
        </w:rPr>
      </w:pPr>
      <w:r w:rsidRPr="00693A57">
        <w:rPr>
          <w:color w:val="FF0000"/>
        </w:rPr>
        <w:t>Note:</w:t>
      </w:r>
      <w:r w:rsidRPr="00693A57">
        <w:rPr>
          <w:color w:val="FF0000"/>
        </w:rPr>
        <w:tab/>
        <w:t>Where CDR data for which there is a CDR consumer in a designated sector is held by one data holder, but it would be more practical for consumer data requests for the data to be directed to, and actioned by, a different data holder with which the CDR consumer has a relationship, such CDR data may be specified as SR data in the sector Schedule.  Part</w:t>
      </w:r>
      <w:r w:rsidR="00B82A8D" w:rsidRPr="00693A57">
        <w:rPr>
          <w:color w:val="FF0000"/>
        </w:rPr>
        <w:t>s</w:t>
      </w:r>
      <w:r w:rsidRPr="00693A57">
        <w:rPr>
          <w:color w:val="FF0000"/>
        </w:rPr>
        <w:t xml:space="preserve"> </w:t>
      </w:r>
      <w:r w:rsidR="00B82A8D" w:rsidRPr="00693A57">
        <w:rPr>
          <w:color w:val="FF0000"/>
        </w:rPr>
        <w:t xml:space="preserve">3 and </w:t>
      </w:r>
      <w:r w:rsidRPr="00693A57">
        <w:rPr>
          <w:color w:val="FF0000"/>
        </w:rPr>
        <w:t>4 then appl</w:t>
      </w:r>
      <w:r w:rsidR="00B82A8D" w:rsidRPr="00693A57">
        <w:rPr>
          <w:color w:val="FF0000"/>
        </w:rPr>
        <w:t xml:space="preserve">y </w:t>
      </w:r>
      <w:r w:rsidRPr="00693A57">
        <w:rPr>
          <w:color w:val="FF0000"/>
        </w:rPr>
        <w:t xml:space="preserve">with the modifications set out in Division </w:t>
      </w:r>
      <w:r w:rsidR="00B82A8D" w:rsidRPr="00693A57">
        <w:rPr>
          <w:color w:val="FF0000"/>
        </w:rPr>
        <w:t>1.</w:t>
      </w:r>
      <w:r w:rsidRPr="00693A57">
        <w:rPr>
          <w:color w:val="FF0000"/>
        </w:rPr>
        <w:t>5.</w:t>
      </w:r>
    </w:p>
    <w:p w14:paraId="199DCC59" w14:textId="4EC97E7A" w:rsidR="00C57F8D" w:rsidRPr="00693A57" w:rsidRDefault="00303990" w:rsidP="00336AE5">
      <w:pPr>
        <w:pStyle w:val="Definition"/>
        <w:rPr>
          <w:strike/>
          <w:color w:val="FF0000"/>
        </w:rPr>
      </w:pPr>
      <w:r w:rsidRPr="00693A57">
        <w:rPr>
          <w:b/>
          <w:i/>
          <w:color w:val="FF0000"/>
        </w:rPr>
        <w:t xml:space="preserve">SR data request </w:t>
      </w:r>
      <w:r w:rsidRPr="00693A57">
        <w:rPr>
          <w:color w:val="FF0000"/>
        </w:rPr>
        <w:t xml:space="preserve">(for </w:t>
      </w:r>
      <w:r w:rsidR="00336AE5" w:rsidRPr="00693A57">
        <w:rPr>
          <w:b/>
          <w:i/>
          <w:color w:val="FF0000"/>
        </w:rPr>
        <w:t>shared responsibility data request</w:t>
      </w:r>
      <w:r w:rsidRPr="00693A57">
        <w:rPr>
          <w:color w:val="FF0000"/>
        </w:rPr>
        <w:t>)</w:t>
      </w:r>
      <w:r w:rsidR="00C57F8D" w:rsidRPr="00693A57">
        <w:rPr>
          <w:color w:val="FF0000"/>
        </w:rPr>
        <w:t xml:space="preserve"> means a consumer data request for CDR data that </w:t>
      </w:r>
      <w:r w:rsidR="00EB7BB3" w:rsidRPr="00693A57">
        <w:rPr>
          <w:color w:val="FF0000"/>
        </w:rPr>
        <w:t xml:space="preserve">is, or that </w:t>
      </w:r>
      <w:r w:rsidR="00C57F8D" w:rsidRPr="00693A57">
        <w:rPr>
          <w:color w:val="FF0000"/>
        </w:rPr>
        <w:t>includes</w:t>
      </w:r>
      <w:r w:rsidR="00EB7BB3" w:rsidRPr="00693A57">
        <w:rPr>
          <w:color w:val="FF0000"/>
        </w:rPr>
        <w:t>,</w:t>
      </w:r>
      <w:r w:rsidR="00C57F8D" w:rsidRPr="00693A57">
        <w:rPr>
          <w:color w:val="FF0000"/>
        </w:rPr>
        <w:t xml:space="preserve"> SR data of the CDR consumer</w:t>
      </w:r>
      <w:r w:rsidR="005947E5" w:rsidRPr="00693A57">
        <w:rPr>
          <w:color w:val="FF0000"/>
        </w:rPr>
        <w:t>.</w:t>
      </w:r>
    </w:p>
    <w:p w14:paraId="09E141B8" w14:textId="77777777" w:rsidR="00D65475" w:rsidRPr="00693A57" w:rsidRDefault="00D65475" w:rsidP="00D65475">
      <w:pPr>
        <w:pStyle w:val="Definition"/>
        <w:rPr>
          <w:color w:val="0000FF"/>
        </w:rPr>
      </w:pPr>
      <w:r w:rsidRPr="00693A57">
        <w:rPr>
          <w:b/>
          <w:i/>
          <w:color w:val="0000FF"/>
        </w:rPr>
        <w:t>TA disclosure consent</w:t>
      </w:r>
      <w:r w:rsidRPr="00693A57">
        <w:rPr>
          <w:color w:val="0000FF"/>
        </w:rPr>
        <w:t xml:space="preserve"> has the meaning given by rule 1.10A.</w:t>
      </w:r>
    </w:p>
    <w:p w14:paraId="125FA999" w14:textId="707FAB61" w:rsidR="00D65475" w:rsidRPr="00693A57" w:rsidRDefault="0038477E" w:rsidP="00D65475">
      <w:pPr>
        <w:pStyle w:val="Definition"/>
        <w:rPr>
          <w:color w:val="0000FF"/>
        </w:rPr>
      </w:pPr>
      <w:r w:rsidRPr="00693A57">
        <w:rPr>
          <w:b/>
          <w:i/>
          <w:color w:val="0000FF"/>
        </w:rPr>
        <w:t>trusted advise</w:t>
      </w:r>
      <w:r w:rsidR="00D65475" w:rsidRPr="00693A57">
        <w:rPr>
          <w:b/>
          <w:i/>
          <w:color w:val="0000FF"/>
        </w:rPr>
        <w:t>r</w:t>
      </w:r>
      <w:r w:rsidR="00D65475" w:rsidRPr="00693A57">
        <w:rPr>
          <w:color w:val="0000FF"/>
        </w:rPr>
        <w:t xml:space="preserve"> has the meaning given by rule 1.10B.</w:t>
      </w:r>
      <w:r w:rsidR="00D65475" w:rsidRPr="00693A57">
        <w:rPr>
          <w:b/>
          <w:i/>
          <w:color w:val="0000FF"/>
        </w:rPr>
        <w:t xml:space="preserve"> </w:t>
      </w:r>
    </w:p>
    <w:p w14:paraId="085B9412" w14:textId="77777777" w:rsidR="00CF0E3D" w:rsidRDefault="00CF0E3D" w:rsidP="00CF0E3D">
      <w:pPr>
        <w:pStyle w:val="Definition"/>
      </w:pPr>
      <w:r w:rsidRPr="007E69B9">
        <w:rPr>
          <w:b/>
          <w:i/>
        </w:rPr>
        <w:t xml:space="preserve">type </w:t>
      </w:r>
      <w:r w:rsidRPr="007E69B9">
        <w:t>of CDR data means a type of data that is identified in the data standards.</w:t>
      </w:r>
    </w:p>
    <w:p w14:paraId="3C4C2346" w14:textId="56172107" w:rsidR="00CF0E3D" w:rsidRDefault="00CF0E3D" w:rsidP="00CF0E3D">
      <w:pPr>
        <w:pStyle w:val="notetext"/>
      </w:pPr>
      <w:r>
        <w:t>Note:</w:t>
      </w:r>
      <w:r>
        <w:tab/>
        <w:t>See paragraph 8.11(1)(d).</w:t>
      </w:r>
    </w:p>
    <w:p w14:paraId="1B58B35E" w14:textId="6614A385" w:rsidR="00DE2C29" w:rsidRPr="00693A57" w:rsidRDefault="00DE2C29" w:rsidP="00DE2C29">
      <w:pPr>
        <w:pStyle w:val="Definition"/>
        <w:rPr>
          <w:color w:val="0000FF"/>
        </w:rPr>
      </w:pPr>
      <w:r w:rsidRPr="00693A57">
        <w:rPr>
          <w:b/>
          <w:i/>
          <w:color w:val="0000FF"/>
        </w:rPr>
        <w:t xml:space="preserve">unrestricted accreditation </w:t>
      </w:r>
      <w:r w:rsidRPr="00693A57">
        <w:rPr>
          <w:color w:val="0000FF"/>
        </w:rPr>
        <w:t>means accreditation at the unrestricted level mentioned in rule 5.1A.</w:t>
      </w:r>
    </w:p>
    <w:p w14:paraId="4FF1F8C3" w14:textId="77777777" w:rsidR="00CF0E3D" w:rsidRPr="00771FEA" w:rsidRDefault="00CF0E3D" w:rsidP="00CF0E3D">
      <w:pPr>
        <w:pStyle w:val="Definition"/>
      </w:pPr>
      <w:r w:rsidRPr="00771FEA">
        <w:rPr>
          <w:b/>
          <w:i/>
        </w:rPr>
        <w:t xml:space="preserve">use consent </w:t>
      </w:r>
      <w:r w:rsidRPr="00771FEA">
        <w:t>has the meaning given by rule 1.10A.</w:t>
      </w:r>
    </w:p>
    <w:p w14:paraId="10E143DC" w14:textId="77777777" w:rsidR="00CF0E3D" w:rsidRPr="006527A0" w:rsidRDefault="00CF0E3D" w:rsidP="00CF0E3D">
      <w:pPr>
        <w:pStyle w:val="Definition"/>
      </w:pPr>
      <w:r w:rsidRPr="00FB6550">
        <w:rPr>
          <w:b/>
          <w:i/>
        </w:rPr>
        <w:t>valid</w:t>
      </w:r>
      <w:r>
        <w:rPr>
          <w:b/>
          <w:i/>
        </w:rPr>
        <w:t xml:space="preserve"> </w:t>
      </w:r>
      <w:r>
        <w:t>has the meaning given by subrule 3.3(3) or subrule 4.3(3) as appropriate.</w:t>
      </w:r>
    </w:p>
    <w:p w14:paraId="00D5ADF9" w14:textId="5B2515B4" w:rsidR="00727B02" w:rsidRPr="00693A57" w:rsidRDefault="00CF0E3D" w:rsidP="00727B02">
      <w:pPr>
        <w:pStyle w:val="Definition"/>
        <w:rPr>
          <w:color w:val="FF0000"/>
        </w:rPr>
      </w:pPr>
      <w:r w:rsidRPr="00693A57">
        <w:rPr>
          <w:b/>
          <w:i/>
          <w:color w:val="FF0000"/>
        </w:rPr>
        <w:t>voluntary consumer data</w:t>
      </w:r>
      <w:r w:rsidRPr="00693A57">
        <w:rPr>
          <w:color w:val="FF0000"/>
        </w:rPr>
        <w:t xml:space="preserve">, </w:t>
      </w:r>
      <w:r w:rsidR="00727B02" w:rsidRPr="00693A57">
        <w:rPr>
          <w:color w:val="FF0000"/>
        </w:rPr>
        <w:t>in relation to a particular designated sector, has the meaning set out in the relevant sector Schedule.</w:t>
      </w:r>
    </w:p>
    <w:p w14:paraId="74FE6BEE" w14:textId="77777777" w:rsidR="00727B02" w:rsidRPr="00693A57" w:rsidRDefault="00727B02" w:rsidP="00727B02">
      <w:pPr>
        <w:pStyle w:val="notetext"/>
        <w:rPr>
          <w:color w:val="FF0000"/>
        </w:rPr>
      </w:pPr>
      <w:r w:rsidRPr="00693A57">
        <w:rPr>
          <w:color w:val="FF0000"/>
        </w:rPr>
        <w:t>Note:</w:t>
      </w:r>
      <w:r w:rsidRPr="00693A57">
        <w:rPr>
          <w:color w:val="FF0000"/>
        </w:rPr>
        <w:tab/>
        <w:t>For the meaning of the term:</w:t>
      </w:r>
    </w:p>
    <w:p w14:paraId="78CE18BC" w14:textId="6E592017" w:rsidR="00B00AE1" w:rsidRPr="00693A57" w:rsidRDefault="00B00AE1" w:rsidP="007D5353">
      <w:pPr>
        <w:pStyle w:val="notepara"/>
        <w:numPr>
          <w:ilvl w:val="0"/>
          <w:numId w:val="10"/>
        </w:numPr>
        <w:rPr>
          <w:color w:val="FF0000"/>
        </w:rPr>
      </w:pPr>
      <w:r w:rsidRPr="00693A57">
        <w:rPr>
          <w:color w:val="FF0000"/>
        </w:rPr>
        <w:t>in the banking sector, see clause 3.2 of Schedule 3; and</w:t>
      </w:r>
    </w:p>
    <w:p w14:paraId="1597D73D" w14:textId="3D0C7848" w:rsidR="00B00AE1" w:rsidRPr="00693A57" w:rsidRDefault="00B00AE1" w:rsidP="007D5353">
      <w:pPr>
        <w:pStyle w:val="notepara"/>
        <w:numPr>
          <w:ilvl w:val="0"/>
          <w:numId w:val="10"/>
        </w:numPr>
        <w:rPr>
          <w:color w:val="FF0000"/>
        </w:rPr>
      </w:pPr>
      <w:r w:rsidRPr="00693A57">
        <w:rPr>
          <w:color w:val="FF0000"/>
        </w:rPr>
        <w:t xml:space="preserve">in the energy sector, see clause </w:t>
      </w:r>
      <w:r w:rsidR="000B1D10" w:rsidRPr="00693A57">
        <w:rPr>
          <w:color w:val="FF0000"/>
        </w:rPr>
        <w:t>3.2</w:t>
      </w:r>
      <w:r w:rsidRPr="00693A57">
        <w:rPr>
          <w:color w:val="FF0000"/>
        </w:rPr>
        <w:t xml:space="preserve"> of Schedule 4.</w:t>
      </w:r>
    </w:p>
    <w:p w14:paraId="40F02D1C" w14:textId="6290A684" w:rsidR="00F70DDB" w:rsidRPr="00693A57" w:rsidRDefault="00F70DDB" w:rsidP="00727B02">
      <w:pPr>
        <w:pStyle w:val="Definition"/>
        <w:rPr>
          <w:b/>
          <w:i/>
          <w:strike/>
          <w:color w:val="FF0000"/>
        </w:rPr>
      </w:pPr>
      <w:r w:rsidRPr="00693A57">
        <w:rPr>
          <w:b/>
          <w:bCs/>
          <w:i/>
          <w:iCs/>
          <w:strike/>
          <w:color w:val="FF0000"/>
          <w:szCs w:val="22"/>
          <w:shd w:val="clear" w:color="auto" w:fill="FFFFFF"/>
        </w:rPr>
        <w:t>voluntary consumer data</w:t>
      </w:r>
      <w:r w:rsidRPr="00693A57">
        <w:rPr>
          <w:strike/>
          <w:color w:val="FF0000"/>
          <w:szCs w:val="22"/>
          <w:shd w:val="clear" w:color="auto" w:fill="FFFFFF"/>
        </w:rPr>
        <w:t>, in relation to the banking sector,</w:t>
      </w:r>
      <w:r w:rsidRPr="00693A57">
        <w:rPr>
          <w:b/>
          <w:bCs/>
          <w:i/>
          <w:iCs/>
          <w:strike/>
          <w:color w:val="FF0000"/>
          <w:szCs w:val="22"/>
          <w:shd w:val="clear" w:color="auto" w:fill="FFFFFF"/>
        </w:rPr>
        <w:t> </w:t>
      </w:r>
      <w:r w:rsidRPr="00693A57">
        <w:rPr>
          <w:strike/>
          <w:color w:val="FF0000"/>
          <w:szCs w:val="22"/>
          <w:shd w:val="clear" w:color="auto" w:fill="FFFFFF"/>
        </w:rPr>
        <w:t>has the meaning given by clause 3.2 of Schedule 3.</w:t>
      </w:r>
    </w:p>
    <w:p w14:paraId="6AA4EF62" w14:textId="08F54DFC" w:rsidR="00727B02" w:rsidRPr="00693A57" w:rsidRDefault="00727B02" w:rsidP="00727B02">
      <w:pPr>
        <w:pStyle w:val="Definition"/>
        <w:rPr>
          <w:color w:val="FF0000"/>
        </w:rPr>
      </w:pPr>
      <w:r w:rsidRPr="00693A57">
        <w:rPr>
          <w:b/>
          <w:i/>
          <w:color w:val="FF0000"/>
        </w:rPr>
        <w:t>voluntary product data</w:t>
      </w:r>
      <w:r w:rsidRPr="00693A57">
        <w:rPr>
          <w:color w:val="FF0000"/>
        </w:rPr>
        <w:t>, in relation to a particular designated sector, has the meaning set out in the relevant sector Schedule.</w:t>
      </w:r>
    </w:p>
    <w:p w14:paraId="2A9FFE78" w14:textId="552BEC0C" w:rsidR="00B00AE1" w:rsidRPr="00693A57" w:rsidRDefault="00727B02" w:rsidP="00B00AE1">
      <w:pPr>
        <w:pStyle w:val="notetext"/>
        <w:rPr>
          <w:color w:val="FF0000"/>
        </w:rPr>
      </w:pPr>
      <w:r w:rsidRPr="00693A57">
        <w:rPr>
          <w:color w:val="FF0000"/>
        </w:rPr>
        <w:t>Note:</w:t>
      </w:r>
      <w:r w:rsidRPr="00693A57">
        <w:rPr>
          <w:color w:val="FF0000"/>
        </w:rPr>
        <w:tab/>
      </w:r>
      <w:r w:rsidR="00B00AE1" w:rsidRPr="00693A57">
        <w:rPr>
          <w:color w:val="FF0000"/>
        </w:rPr>
        <w:t>For the meaning of the term:</w:t>
      </w:r>
    </w:p>
    <w:p w14:paraId="56F21224" w14:textId="4D3465BE" w:rsidR="00B00AE1" w:rsidRPr="00693A57" w:rsidRDefault="00B00AE1" w:rsidP="007D5353">
      <w:pPr>
        <w:pStyle w:val="notepara"/>
        <w:numPr>
          <w:ilvl w:val="0"/>
          <w:numId w:val="10"/>
        </w:numPr>
        <w:rPr>
          <w:color w:val="FF0000"/>
        </w:rPr>
      </w:pPr>
      <w:r w:rsidRPr="00693A57">
        <w:rPr>
          <w:color w:val="FF0000"/>
        </w:rPr>
        <w:t>in the banking sector, see clause 3.</w:t>
      </w:r>
      <w:r w:rsidR="00F10E41" w:rsidRPr="00693A57">
        <w:rPr>
          <w:color w:val="FF0000"/>
        </w:rPr>
        <w:t>1</w:t>
      </w:r>
      <w:r w:rsidRPr="00693A57">
        <w:rPr>
          <w:color w:val="FF0000"/>
        </w:rPr>
        <w:t xml:space="preserve"> of Schedule 3; and</w:t>
      </w:r>
    </w:p>
    <w:p w14:paraId="1FAED309" w14:textId="43650D61" w:rsidR="00B00AE1" w:rsidRPr="00693A57" w:rsidRDefault="00B00AE1" w:rsidP="007D5353">
      <w:pPr>
        <w:pStyle w:val="notepara"/>
        <w:numPr>
          <w:ilvl w:val="0"/>
          <w:numId w:val="10"/>
        </w:numPr>
        <w:rPr>
          <w:color w:val="FF0000"/>
        </w:rPr>
      </w:pPr>
      <w:r w:rsidRPr="00693A57">
        <w:rPr>
          <w:color w:val="FF0000"/>
        </w:rPr>
        <w:t xml:space="preserve">in the energy sector, see clause </w:t>
      </w:r>
      <w:r w:rsidR="000B1D10" w:rsidRPr="00693A57">
        <w:rPr>
          <w:color w:val="FF0000"/>
        </w:rPr>
        <w:t>3.1</w:t>
      </w:r>
      <w:r w:rsidRPr="00693A57">
        <w:rPr>
          <w:color w:val="FF0000"/>
        </w:rPr>
        <w:t xml:space="preserve"> of Schedule 4.</w:t>
      </w:r>
    </w:p>
    <w:p w14:paraId="47936162" w14:textId="7D88ECE7" w:rsidR="009471D5" w:rsidRPr="00693A57" w:rsidRDefault="009471D5" w:rsidP="009471D5">
      <w:pPr>
        <w:pStyle w:val="Definition"/>
        <w:rPr>
          <w:strike/>
          <w:color w:val="FF0000"/>
        </w:rPr>
      </w:pPr>
      <w:r w:rsidRPr="00693A57">
        <w:rPr>
          <w:b/>
          <w:bCs/>
          <w:i/>
          <w:iCs/>
          <w:strike/>
          <w:color w:val="FF0000"/>
          <w:shd w:val="clear" w:color="auto" w:fill="FFFFFF"/>
        </w:rPr>
        <w:lastRenderedPageBreak/>
        <w:t>voluntary product data</w:t>
      </w:r>
      <w:r w:rsidRPr="00693A57">
        <w:rPr>
          <w:strike/>
          <w:color w:val="FF0000"/>
          <w:shd w:val="clear" w:color="auto" w:fill="FFFFFF"/>
        </w:rPr>
        <w:t>, in relation to the banking sector,</w:t>
      </w:r>
      <w:r w:rsidRPr="00693A57">
        <w:rPr>
          <w:b/>
          <w:bCs/>
          <w:i/>
          <w:iCs/>
          <w:strike/>
          <w:color w:val="FF0000"/>
          <w:shd w:val="clear" w:color="auto" w:fill="FFFFFF"/>
        </w:rPr>
        <w:t> </w:t>
      </w:r>
      <w:r w:rsidRPr="00693A57">
        <w:rPr>
          <w:strike/>
          <w:color w:val="FF0000"/>
          <w:shd w:val="clear" w:color="auto" w:fill="FFFFFF"/>
        </w:rPr>
        <w:t>has the meaning given by clause 3.1 of Schedule 3.</w:t>
      </w:r>
    </w:p>
    <w:p w14:paraId="3D7E4521" w14:textId="77777777" w:rsidR="00CF0E3D" w:rsidRPr="00C87D53" w:rsidRDefault="00CF0E3D" w:rsidP="00CF0E3D">
      <w:pPr>
        <w:pStyle w:val="subsection"/>
      </w:pPr>
      <w:r>
        <w:tab/>
        <w:t>(2)</w:t>
      </w:r>
      <w:r>
        <w:tab/>
      </w:r>
      <w:r w:rsidRPr="00C87D53">
        <w:t>The table has effect:</w:t>
      </w:r>
    </w:p>
    <w:p w14:paraId="302ED4BD" w14:textId="77777777" w:rsidR="00CF0E3D" w:rsidRPr="007C39E2" w:rsidRDefault="00CF0E3D" w:rsidP="00CF0E3D">
      <w:pPr>
        <w:pStyle w:val="paragraph"/>
        <w:keepN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6"/>
        <w:gridCol w:w="2634"/>
        <w:gridCol w:w="4903"/>
      </w:tblGrid>
      <w:tr w:rsidR="00CF0E3D" w:rsidRPr="00C87D53" w14:paraId="241FC723" w14:textId="77777777" w:rsidTr="007941AE">
        <w:trPr>
          <w:tblHeader/>
        </w:trPr>
        <w:tc>
          <w:tcPr>
            <w:tcW w:w="5000" w:type="pct"/>
            <w:gridSpan w:val="3"/>
            <w:tcBorders>
              <w:top w:val="single" w:sz="12" w:space="0" w:color="auto"/>
              <w:bottom w:val="single" w:sz="2" w:space="0" w:color="auto"/>
            </w:tcBorders>
          </w:tcPr>
          <w:p w14:paraId="0FA410A8" w14:textId="77777777" w:rsidR="00CF0E3D" w:rsidRPr="003772DE" w:rsidRDefault="00CF0E3D" w:rsidP="007941AE">
            <w:pPr>
              <w:pStyle w:val="TableHeading"/>
              <w:jc w:val="center"/>
            </w:pPr>
            <w:r w:rsidRPr="003772DE">
              <w:t>Meaning of references to certain terms</w:t>
            </w:r>
          </w:p>
        </w:tc>
      </w:tr>
      <w:tr w:rsidR="00CF0E3D" w:rsidRPr="00C87D53" w14:paraId="3138A824" w14:textId="77777777" w:rsidTr="007941AE">
        <w:trPr>
          <w:tblHeader/>
        </w:trPr>
        <w:tc>
          <w:tcPr>
            <w:tcW w:w="467" w:type="pct"/>
            <w:tcBorders>
              <w:top w:val="single" w:sz="2" w:space="0" w:color="auto"/>
              <w:bottom w:val="single" w:sz="12" w:space="0" w:color="auto"/>
              <w:right w:val="nil"/>
            </w:tcBorders>
          </w:tcPr>
          <w:p w14:paraId="722755D7" w14:textId="77777777" w:rsidR="00CF0E3D" w:rsidRPr="003772DE" w:rsidRDefault="00CF0E3D" w:rsidP="007941AE">
            <w:pPr>
              <w:pStyle w:val="TableHeading"/>
            </w:pPr>
          </w:p>
        </w:tc>
        <w:tc>
          <w:tcPr>
            <w:tcW w:w="1584" w:type="pct"/>
            <w:tcBorders>
              <w:top w:val="single" w:sz="2" w:space="0" w:color="auto"/>
              <w:left w:val="nil"/>
              <w:bottom w:val="single" w:sz="12" w:space="0" w:color="auto"/>
              <w:right w:val="nil"/>
            </w:tcBorders>
          </w:tcPr>
          <w:p w14:paraId="6A1507EC" w14:textId="77777777" w:rsidR="00CF0E3D" w:rsidRPr="003772DE" w:rsidRDefault="00CF0E3D" w:rsidP="007941AE">
            <w:pPr>
              <w:pStyle w:val="TableHeading"/>
            </w:pPr>
            <w:r w:rsidRPr="003772DE">
              <w:t>A reference, in a particular provision of these rules, to:</w:t>
            </w:r>
          </w:p>
        </w:tc>
        <w:tc>
          <w:tcPr>
            <w:tcW w:w="2949" w:type="pct"/>
            <w:tcBorders>
              <w:top w:val="single" w:sz="2" w:space="0" w:color="auto"/>
              <w:left w:val="nil"/>
              <w:bottom w:val="single" w:sz="12" w:space="0" w:color="auto"/>
              <w:right w:val="nil"/>
            </w:tcBorders>
          </w:tcPr>
          <w:p w14:paraId="43DDDB73" w14:textId="77777777" w:rsidR="00CF0E3D" w:rsidRPr="003772DE" w:rsidRDefault="00CF0E3D" w:rsidP="007941AE">
            <w:pPr>
              <w:pStyle w:val="TableHeading"/>
            </w:pPr>
            <w:r w:rsidRPr="003772DE">
              <w:t>is, depending on the context, a reference to:</w:t>
            </w:r>
          </w:p>
        </w:tc>
      </w:tr>
      <w:tr w:rsidR="00CF0E3D" w:rsidRPr="00C87D53" w14:paraId="75472CD3" w14:textId="77777777" w:rsidTr="007941AE">
        <w:tc>
          <w:tcPr>
            <w:tcW w:w="467" w:type="pct"/>
            <w:tcBorders>
              <w:top w:val="single" w:sz="12" w:space="0" w:color="auto"/>
              <w:bottom w:val="single" w:sz="4" w:space="0" w:color="auto"/>
              <w:right w:val="nil"/>
            </w:tcBorders>
          </w:tcPr>
          <w:p w14:paraId="65972CFD" w14:textId="77777777" w:rsidR="00CF0E3D" w:rsidRPr="003772DE" w:rsidRDefault="00CF0E3D" w:rsidP="007941AE">
            <w:pPr>
              <w:pStyle w:val="Tabletext"/>
            </w:pPr>
            <w:r w:rsidRPr="003772DE">
              <w:t>1</w:t>
            </w:r>
          </w:p>
        </w:tc>
        <w:tc>
          <w:tcPr>
            <w:tcW w:w="1584" w:type="pct"/>
            <w:tcBorders>
              <w:top w:val="single" w:sz="12" w:space="0" w:color="auto"/>
              <w:left w:val="nil"/>
              <w:bottom w:val="single" w:sz="4" w:space="0" w:color="auto"/>
              <w:right w:val="nil"/>
            </w:tcBorders>
          </w:tcPr>
          <w:p w14:paraId="73A5E3C9" w14:textId="77777777" w:rsidR="00CF0E3D" w:rsidRPr="003772DE" w:rsidRDefault="00CF0E3D" w:rsidP="007941AE">
            <w:pPr>
              <w:pStyle w:val="Tabletext"/>
            </w:pPr>
            <w:r w:rsidRPr="003772DE">
              <w:t>a CDR consumer</w:t>
            </w:r>
          </w:p>
        </w:tc>
        <w:tc>
          <w:tcPr>
            <w:tcW w:w="2949" w:type="pct"/>
            <w:tcBorders>
              <w:top w:val="single" w:sz="12" w:space="0" w:color="auto"/>
              <w:left w:val="nil"/>
              <w:bottom w:val="single" w:sz="4" w:space="0" w:color="auto"/>
              <w:right w:val="nil"/>
            </w:tcBorders>
          </w:tcPr>
          <w:p w14:paraId="3E209C37" w14:textId="77777777" w:rsidR="00CF0E3D" w:rsidRPr="003772DE" w:rsidRDefault="00CF0E3D" w:rsidP="007941AE">
            <w:pPr>
              <w:pStyle w:val="Tablea"/>
            </w:pPr>
            <w:r w:rsidRPr="003772DE">
              <w:tab/>
              <w:t>(</w:t>
            </w:r>
            <w:r>
              <w:t>a</w:t>
            </w:r>
            <w:r w:rsidRPr="003772DE">
              <w:t>)</w:t>
            </w:r>
            <w:r w:rsidRPr="003772DE">
              <w:tab/>
              <w:t>a CDR consumer for any CDR data; or</w:t>
            </w:r>
          </w:p>
          <w:p w14:paraId="0415D01D" w14:textId="77777777" w:rsidR="00CF0E3D" w:rsidRPr="003772DE" w:rsidRDefault="00CF0E3D" w:rsidP="007941AE">
            <w:pPr>
              <w:pStyle w:val="Tablea"/>
            </w:pPr>
            <w:r w:rsidRPr="003772DE">
              <w:t>(</w:t>
            </w:r>
            <w:r>
              <w:t>b</w:t>
            </w:r>
            <w:r w:rsidRPr="003772DE">
              <w:t>)</w:t>
            </w:r>
            <w:r w:rsidRPr="003772DE">
              <w:tab/>
              <w:t>a CDR consumer for the particular CDR data that is dealt with in relation to the reference</w:t>
            </w:r>
            <w:r>
              <w:t>.</w:t>
            </w:r>
          </w:p>
          <w:p w14:paraId="53DD8BC0" w14:textId="77777777" w:rsidR="00CF0E3D" w:rsidRPr="003772DE" w:rsidRDefault="00CF0E3D" w:rsidP="007941AE">
            <w:pPr>
              <w:pStyle w:val="Tablei"/>
            </w:pPr>
          </w:p>
        </w:tc>
      </w:tr>
      <w:tr w:rsidR="00CF0E3D" w:rsidRPr="00C87D53" w14:paraId="7A7C3235" w14:textId="77777777" w:rsidTr="007941AE">
        <w:tc>
          <w:tcPr>
            <w:tcW w:w="467" w:type="pct"/>
            <w:tcBorders>
              <w:top w:val="single" w:sz="4" w:space="0" w:color="auto"/>
              <w:bottom w:val="single" w:sz="4" w:space="0" w:color="auto"/>
              <w:right w:val="nil"/>
            </w:tcBorders>
          </w:tcPr>
          <w:p w14:paraId="468F7FF5" w14:textId="77777777" w:rsidR="00CF0E3D" w:rsidRPr="003772DE" w:rsidRDefault="00CF0E3D" w:rsidP="007941AE">
            <w:pPr>
              <w:pStyle w:val="Tabletext"/>
            </w:pPr>
            <w:r w:rsidRPr="003772DE">
              <w:t>2</w:t>
            </w:r>
          </w:p>
        </w:tc>
        <w:tc>
          <w:tcPr>
            <w:tcW w:w="1584" w:type="pct"/>
            <w:tcBorders>
              <w:top w:val="single" w:sz="4" w:space="0" w:color="auto"/>
              <w:left w:val="nil"/>
              <w:bottom w:val="single" w:sz="4" w:space="0" w:color="auto"/>
              <w:right w:val="nil"/>
            </w:tcBorders>
          </w:tcPr>
          <w:p w14:paraId="0A2CA3A9" w14:textId="77777777" w:rsidR="00CF0E3D" w:rsidRPr="003772DE" w:rsidRDefault="00CF0E3D" w:rsidP="007941AE">
            <w:pPr>
              <w:pStyle w:val="Tabletext"/>
              <w:rPr>
                <w:b/>
                <w:i/>
              </w:rPr>
            </w:pPr>
            <w:r w:rsidRPr="003772DE">
              <w:t>a data holder</w:t>
            </w:r>
          </w:p>
        </w:tc>
        <w:tc>
          <w:tcPr>
            <w:tcW w:w="2949" w:type="pct"/>
            <w:tcBorders>
              <w:top w:val="single" w:sz="4" w:space="0" w:color="auto"/>
              <w:left w:val="nil"/>
              <w:bottom w:val="single" w:sz="4" w:space="0" w:color="auto"/>
              <w:right w:val="nil"/>
            </w:tcBorders>
          </w:tcPr>
          <w:p w14:paraId="6D8F5313" w14:textId="77777777" w:rsidR="00CF0E3D" w:rsidRPr="003772DE" w:rsidRDefault="00CF0E3D" w:rsidP="007941AE">
            <w:pPr>
              <w:pStyle w:val="Tablea"/>
            </w:pPr>
            <w:r w:rsidRPr="003772DE">
              <w:t>(a)</w:t>
            </w:r>
            <w:r w:rsidRPr="003772DE">
              <w:tab/>
              <w:t>a data holder of any CDR data; or</w:t>
            </w:r>
          </w:p>
          <w:p w14:paraId="2E72E116" w14:textId="77777777" w:rsidR="00CF0E3D" w:rsidRPr="003772DE" w:rsidRDefault="00CF0E3D" w:rsidP="007941AE">
            <w:pPr>
              <w:pStyle w:val="Tablea"/>
            </w:pPr>
            <w:r w:rsidRPr="003772DE">
              <w:t>(b)</w:t>
            </w:r>
            <w:r w:rsidRPr="003772DE">
              <w:tab/>
              <w:t>the data holder of the particular CDR data that is dealt with in relation to the reference.</w:t>
            </w:r>
          </w:p>
          <w:p w14:paraId="0831D31A" w14:textId="77777777" w:rsidR="00CF0E3D" w:rsidRPr="003772DE" w:rsidRDefault="00CF0E3D" w:rsidP="007941AE">
            <w:pPr>
              <w:pStyle w:val="notemargin"/>
            </w:pPr>
          </w:p>
        </w:tc>
      </w:tr>
      <w:tr w:rsidR="00CF0E3D" w:rsidRPr="00C87D53" w14:paraId="664C8165" w14:textId="77777777" w:rsidTr="007941AE">
        <w:tc>
          <w:tcPr>
            <w:tcW w:w="467" w:type="pct"/>
            <w:tcBorders>
              <w:top w:val="single" w:sz="4" w:space="0" w:color="auto"/>
              <w:bottom w:val="single" w:sz="4" w:space="0" w:color="auto"/>
              <w:right w:val="nil"/>
            </w:tcBorders>
          </w:tcPr>
          <w:p w14:paraId="099F0A14" w14:textId="77777777" w:rsidR="00CF0E3D" w:rsidRPr="003772DE" w:rsidRDefault="00CF0E3D" w:rsidP="007941AE">
            <w:pPr>
              <w:pStyle w:val="Tabletext"/>
            </w:pPr>
            <w:r w:rsidRPr="003772DE">
              <w:t>3</w:t>
            </w:r>
          </w:p>
        </w:tc>
        <w:tc>
          <w:tcPr>
            <w:tcW w:w="1584" w:type="pct"/>
            <w:tcBorders>
              <w:top w:val="single" w:sz="4" w:space="0" w:color="auto"/>
              <w:left w:val="nil"/>
              <w:bottom w:val="single" w:sz="4" w:space="0" w:color="auto"/>
              <w:right w:val="nil"/>
            </w:tcBorders>
          </w:tcPr>
          <w:p w14:paraId="35524741" w14:textId="77777777" w:rsidR="00CF0E3D" w:rsidRPr="003772DE" w:rsidRDefault="00CF0E3D" w:rsidP="007941AE">
            <w:pPr>
              <w:pStyle w:val="Tabletext"/>
            </w:pPr>
            <w:r w:rsidRPr="003772DE">
              <w:t>an accredited data recipient</w:t>
            </w:r>
          </w:p>
        </w:tc>
        <w:tc>
          <w:tcPr>
            <w:tcW w:w="2949" w:type="pct"/>
            <w:tcBorders>
              <w:top w:val="single" w:sz="4" w:space="0" w:color="auto"/>
              <w:left w:val="nil"/>
              <w:bottom w:val="single" w:sz="4" w:space="0" w:color="auto"/>
              <w:right w:val="nil"/>
            </w:tcBorders>
          </w:tcPr>
          <w:p w14:paraId="308465FA" w14:textId="77777777" w:rsidR="00CF0E3D" w:rsidRPr="003772DE" w:rsidRDefault="00CF0E3D" w:rsidP="007941AE">
            <w:pPr>
              <w:pStyle w:val="Tablea"/>
            </w:pPr>
            <w:r w:rsidRPr="003772DE">
              <w:t>(a)</w:t>
            </w:r>
            <w:r w:rsidRPr="003772DE">
              <w:tab/>
              <w:t>an accredited data recipient of any CDR data; or</w:t>
            </w:r>
          </w:p>
          <w:p w14:paraId="6248E7BB" w14:textId="77777777" w:rsidR="00CF0E3D" w:rsidRPr="003772DE" w:rsidRDefault="00CF0E3D" w:rsidP="007941AE">
            <w:pPr>
              <w:pStyle w:val="Tablea"/>
            </w:pPr>
            <w:r w:rsidRPr="003772DE">
              <w:t>(b)</w:t>
            </w:r>
            <w:r w:rsidRPr="003772DE">
              <w:tab/>
              <w:t>the accredited data recipient of the particular CDR data that is dealt with in relation to the reference.</w:t>
            </w:r>
          </w:p>
          <w:p w14:paraId="21EEEED1" w14:textId="77777777" w:rsidR="00CF0E3D" w:rsidRPr="003772DE" w:rsidRDefault="00CF0E3D" w:rsidP="007941AE">
            <w:pPr>
              <w:pStyle w:val="Tablea"/>
            </w:pPr>
          </w:p>
        </w:tc>
      </w:tr>
      <w:tr w:rsidR="00CF0E3D" w:rsidRPr="00C87D53" w14:paraId="748DD1A8" w14:textId="77777777" w:rsidTr="007941AE">
        <w:tc>
          <w:tcPr>
            <w:tcW w:w="467" w:type="pct"/>
            <w:tcBorders>
              <w:top w:val="single" w:sz="4" w:space="0" w:color="auto"/>
              <w:bottom w:val="single" w:sz="12" w:space="0" w:color="auto"/>
              <w:right w:val="nil"/>
            </w:tcBorders>
          </w:tcPr>
          <w:p w14:paraId="200CE5BF" w14:textId="77777777" w:rsidR="00CF0E3D" w:rsidRPr="003772DE" w:rsidRDefault="00CF0E3D" w:rsidP="007941AE">
            <w:pPr>
              <w:pStyle w:val="Tabletext"/>
            </w:pPr>
            <w:r w:rsidRPr="003772DE">
              <w:t>4</w:t>
            </w:r>
          </w:p>
        </w:tc>
        <w:tc>
          <w:tcPr>
            <w:tcW w:w="1584" w:type="pct"/>
            <w:tcBorders>
              <w:top w:val="single" w:sz="4" w:space="0" w:color="auto"/>
              <w:left w:val="nil"/>
              <w:bottom w:val="single" w:sz="12" w:space="0" w:color="auto"/>
              <w:right w:val="nil"/>
            </w:tcBorders>
          </w:tcPr>
          <w:p w14:paraId="29D69300" w14:textId="77777777" w:rsidR="00CF0E3D" w:rsidRPr="003772DE" w:rsidRDefault="00CF0E3D" w:rsidP="007941AE">
            <w:pPr>
              <w:pStyle w:val="Tabletext"/>
            </w:pPr>
            <w:r w:rsidRPr="003772DE">
              <w:t>a CDR participant</w:t>
            </w:r>
          </w:p>
        </w:tc>
        <w:tc>
          <w:tcPr>
            <w:tcW w:w="2949" w:type="pct"/>
            <w:tcBorders>
              <w:top w:val="single" w:sz="4" w:space="0" w:color="auto"/>
              <w:left w:val="nil"/>
              <w:bottom w:val="single" w:sz="12" w:space="0" w:color="auto"/>
              <w:right w:val="nil"/>
            </w:tcBorders>
          </w:tcPr>
          <w:p w14:paraId="27D22CD6" w14:textId="77777777" w:rsidR="00CF0E3D" w:rsidRPr="003772DE" w:rsidRDefault="00CF0E3D" w:rsidP="007941AE">
            <w:pPr>
              <w:pStyle w:val="Tablea"/>
            </w:pPr>
            <w:r w:rsidRPr="003772DE">
              <w:t>(a)</w:t>
            </w:r>
            <w:r w:rsidRPr="003772DE">
              <w:tab/>
              <w:t>a CDR participant for any CDR data; or</w:t>
            </w:r>
          </w:p>
          <w:p w14:paraId="450ECC4F" w14:textId="77777777" w:rsidR="00CF0E3D" w:rsidRPr="003772DE" w:rsidRDefault="00CF0E3D" w:rsidP="007941AE">
            <w:pPr>
              <w:pStyle w:val="Tablea"/>
            </w:pPr>
            <w:r w:rsidRPr="003772DE">
              <w:t>(b)</w:t>
            </w:r>
            <w:r w:rsidRPr="003772DE">
              <w:tab/>
              <w:t>the CDR participant for the particular CDR data that is dealt with in relation to the reference.</w:t>
            </w:r>
          </w:p>
          <w:p w14:paraId="63C0BFE0" w14:textId="77777777" w:rsidR="00CF0E3D" w:rsidRPr="003772DE" w:rsidRDefault="00CF0E3D" w:rsidP="007941AE">
            <w:pPr>
              <w:pStyle w:val="Tablea"/>
            </w:pPr>
          </w:p>
        </w:tc>
      </w:tr>
    </w:tbl>
    <w:p w14:paraId="7FB11FB3" w14:textId="77777777" w:rsidR="00CF0E3D" w:rsidRPr="004F7B69" w:rsidRDefault="00CF0E3D" w:rsidP="00CF0E3D">
      <w:pPr>
        <w:pStyle w:val="SubsectionHead"/>
      </w:pPr>
      <w:r w:rsidRPr="004F7B69">
        <w:t xml:space="preserve">References to </w:t>
      </w:r>
      <w:r w:rsidRPr="004F7B69">
        <w:rPr>
          <w:b/>
        </w:rPr>
        <w:t>data holder</w:t>
      </w:r>
    </w:p>
    <w:p w14:paraId="491A1807" w14:textId="77777777" w:rsidR="00CF0E3D" w:rsidRPr="004F7B69" w:rsidRDefault="00CF0E3D" w:rsidP="00CF0E3D">
      <w:pPr>
        <w:pStyle w:val="subsection"/>
      </w:pPr>
      <w:r>
        <w:tab/>
        <w:t>(3)</w:t>
      </w:r>
      <w:r>
        <w:tab/>
      </w:r>
      <w:r w:rsidRPr="004F7B69">
        <w:t xml:space="preserve">In these rules, </w:t>
      </w:r>
      <w:r w:rsidRPr="00E206FA">
        <w:t xml:space="preserve">depending on the context, a reference to a data holder is a reference to a data holder that would be required or that is authorised </w:t>
      </w:r>
      <w:r w:rsidRPr="004F7B69">
        <w:t>to disclose CDR data in response to a product data request or a consumer data request that is made in accordance with these rules.</w:t>
      </w:r>
    </w:p>
    <w:p w14:paraId="371E93EF" w14:textId="77777777" w:rsidR="0037678E" w:rsidRPr="00693A57" w:rsidRDefault="00CF0E3D" w:rsidP="00CF0E3D">
      <w:pPr>
        <w:pStyle w:val="notetext"/>
        <w:rPr>
          <w:color w:val="FF0000"/>
        </w:rPr>
      </w:pPr>
      <w:r w:rsidRPr="00693A57">
        <w:rPr>
          <w:color w:val="FF0000"/>
        </w:rPr>
        <w:t>Note:</w:t>
      </w:r>
      <w:r w:rsidRPr="00693A57">
        <w:rPr>
          <w:color w:val="FF0000"/>
        </w:rPr>
        <w:tab/>
        <w:t>These rules will progressively apply to a broader range of data holders</w:t>
      </w:r>
      <w:r w:rsidR="0037678E" w:rsidRPr="00693A57">
        <w:rPr>
          <w:color w:val="FF0000"/>
        </w:rPr>
        <w:t>:</w:t>
      </w:r>
    </w:p>
    <w:p w14:paraId="44148CA8" w14:textId="5AD7A700" w:rsidR="0037678E" w:rsidRPr="00693A57" w:rsidRDefault="0037678E" w:rsidP="007D5353">
      <w:pPr>
        <w:pStyle w:val="notepara"/>
        <w:numPr>
          <w:ilvl w:val="0"/>
          <w:numId w:val="13"/>
        </w:numPr>
        <w:rPr>
          <w:color w:val="FF0000"/>
        </w:rPr>
      </w:pPr>
      <w:r w:rsidRPr="00693A57">
        <w:rPr>
          <w:color w:val="FF0000"/>
        </w:rPr>
        <w:t xml:space="preserve">for the banking sector, see Part 6 of Schedule 3; </w:t>
      </w:r>
    </w:p>
    <w:p w14:paraId="6364EB09" w14:textId="7BBBE5FA" w:rsidR="0037678E" w:rsidRPr="00693A57" w:rsidRDefault="0037678E" w:rsidP="007D5353">
      <w:pPr>
        <w:pStyle w:val="notepara"/>
        <w:numPr>
          <w:ilvl w:val="0"/>
          <w:numId w:val="13"/>
        </w:numPr>
        <w:rPr>
          <w:color w:val="FF0000"/>
        </w:rPr>
      </w:pPr>
      <w:r w:rsidRPr="00693A57">
        <w:rPr>
          <w:color w:val="FF0000"/>
        </w:rPr>
        <w:t>for the energy sector, see Part 6 of Schedule 4.</w:t>
      </w:r>
    </w:p>
    <w:p w14:paraId="6F6418CF" w14:textId="45BD7DF6" w:rsidR="0037678E" w:rsidRPr="00693A57" w:rsidRDefault="009471D5" w:rsidP="0037678E">
      <w:pPr>
        <w:pStyle w:val="notetext"/>
        <w:rPr>
          <w:strike/>
          <w:color w:val="FF0000"/>
        </w:rPr>
      </w:pPr>
      <w:r w:rsidRPr="00693A57">
        <w:rPr>
          <w:strike/>
          <w:color w:val="FF0000"/>
        </w:rPr>
        <w:t>Note:</w:t>
      </w:r>
      <w:r w:rsidR="0037678E" w:rsidRPr="00693A57">
        <w:rPr>
          <w:strike/>
          <w:color w:val="FF0000"/>
        </w:rPr>
        <w:tab/>
        <w:t>These rules will progressively apply to a broader range of data holders within the banking sector: see Part 6 of Schedule 3 to these rules.</w:t>
      </w:r>
    </w:p>
    <w:p w14:paraId="115B5D73" w14:textId="77777777" w:rsidR="00CF0E3D" w:rsidRPr="00796ADB" w:rsidRDefault="00CF0E3D" w:rsidP="00CF0E3D">
      <w:pPr>
        <w:pStyle w:val="SubsectionHead"/>
      </w:pPr>
      <w:r w:rsidRPr="00796ADB">
        <w:t>References to a person’s CDR data</w:t>
      </w:r>
    </w:p>
    <w:p w14:paraId="791CB182" w14:textId="77777777" w:rsidR="00CF0E3D" w:rsidRDefault="00CF0E3D" w:rsidP="00CF0E3D">
      <w:pPr>
        <w:pStyle w:val="subsection"/>
      </w:pPr>
      <w:r w:rsidRPr="00796ADB">
        <w:tab/>
      </w:r>
      <w:r>
        <w:t>(4)</w:t>
      </w:r>
      <w:r w:rsidRPr="00796ADB">
        <w:tab/>
        <w:t>In these rules, a reference to a person’s CDR data is a reference to the CDR data for which that person is a CDR consumer.</w:t>
      </w:r>
    </w:p>
    <w:p w14:paraId="5CD2B2EC" w14:textId="77777777" w:rsidR="00CF0E3D" w:rsidRPr="004D57B9" w:rsidRDefault="00CF0E3D" w:rsidP="00CF0E3D">
      <w:pPr>
        <w:pStyle w:val="SubsectionHead"/>
      </w:pPr>
      <w:r w:rsidRPr="004D57B9">
        <w:t xml:space="preserve">References to </w:t>
      </w:r>
      <w:r w:rsidRPr="004D57B9">
        <w:rPr>
          <w:b/>
        </w:rPr>
        <w:t>accredited person</w:t>
      </w:r>
    </w:p>
    <w:p w14:paraId="1A26FAC0" w14:textId="77777777" w:rsidR="00CF0E3D" w:rsidRPr="004D57B9" w:rsidRDefault="00CF0E3D" w:rsidP="00CF0E3D">
      <w:pPr>
        <w:pStyle w:val="subsection"/>
      </w:pPr>
      <w:r w:rsidRPr="004D57B9">
        <w:tab/>
        <w:t>(5)</w:t>
      </w:r>
      <w:r w:rsidRPr="004D57B9">
        <w:tab/>
        <w:t xml:space="preserve">In these rules, unless the contrary intention appears, a reference to an accredited person making a consumer data request, </w:t>
      </w:r>
      <w:r>
        <w:t>collecting CDR data</w:t>
      </w:r>
      <w:r w:rsidRPr="004D57B9">
        <w:t xml:space="preserve">, obtaining consents, providing a consumer dashboard, or using or disclosing CDR data does </w:t>
      </w:r>
      <w:r w:rsidRPr="004D57B9">
        <w:lastRenderedPageBreak/>
        <w:t>not include a reference to an accredited person doing those things on behalf of a principal in its capacity as the provider in an outsourced service arrangement, in accordance with the arrangement.</w:t>
      </w:r>
    </w:p>
    <w:p w14:paraId="646E6A9E" w14:textId="77777777" w:rsidR="00CF0E3D" w:rsidRPr="00005026" w:rsidRDefault="00CF0E3D" w:rsidP="00CF0E3D">
      <w:pPr>
        <w:pStyle w:val="ActHead5"/>
      </w:pPr>
      <w:bookmarkStart w:id="20" w:name="_Toc77064821"/>
      <w:r>
        <w:t>1.8</w:t>
      </w:r>
      <w:r w:rsidRPr="00005026">
        <w:t xml:space="preserve">  Data minimisation principle</w:t>
      </w:r>
      <w:bookmarkEnd w:id="20"/>
    </w:p>
    <w:p w14:paraId="7AFD2B8D" w14:textId="77777777" w:rsidR="00CF0E3D" w:rsidRPr="00005026" w:rsidRDefault="00CF0E3D" w:rsidP="00CF0E3D">
      <w:pPr>
        <w:pStyle w:val="notemargin"/>
      </w:pPr>
      <w:r w:rsidRPr="00005026">
        <w:t>Note:</w:t>
      </w:r>
      <w:r w:rsidRPr="00005026">
        <w:tab/>
        <w:t>The data minimisation principle</w:t>
      </w:r>
      <w:r w:rsidRPr="00005026">
        <w:rPr>
          <w:b/>
          <w:i/>
        </w:rPr>
        <w:t xml:space="preserve"> </w:t>
      </w:r>
      <w:r w:rsidRPr="00005026">
        <w:t>is relevant when:</w:t>
      </w:r>
    </w:p>
    <w:p w14:paraId="5D7CBF99" w14:textId="77777777" w:rsidR="00CF0E3D" w:rsidRPr="00005026" w:rsidRDefault="00CF0E3D" w:rsidP="00CF0E3D">
      <w:pPr>
        <w:pStyle w:val="notemargin"/>
        <w:spacing w:before="40"/>
        <w:ind w:left="1078" w:hanging="369"/>
      </w:pPr>
      <w:r w:rsidRPr="00005026">
        <w:sym w:font="Symbol" w:char="F0B7"/>
      </w:r>
      <w:r w:rsidRPr="00005026">
        <w:tab/>
        <w:t>a CDR consumer requests an accredited person to provide goods or services to the CDR consumer or to another person; and</w:t>
      </w:r>
    </w:p>
    <w:p w14:paraId="15CF48B2" w14:textId="77777777" w:rsidR="00CF0E3D" w:rsidRDefault="00CF0E3D" w:rsidP="00CF0E3D">
      <w:pPr>
        <w:pStyle w:val="notemargin"/>
        <w:spacing w:before="40"/>
        <w:ind w:left="1078" w:hanging="369"/>
      </w:pPr>
      <w:r w:rsidRPr="00005026">
        <w:sym w:font="Symbol" w:char="F0B7"/>
      </w:r>
      <w:r w:rsidRPr="00005026">
        <w:tab/>
        <w:t>the accredited person needs to access the CDR consumer’s CDR data in order to provide those goods or services.</w:t>
      </w:r>
    </w:p>
    <w:p w14:paraId="4C248EA8" w14:textId="77777777" w:rsidR="00CF0E3D" w:rsidRPr="005F3D40" w:rsidRDefault="00CF0E3D" w:rsidP="00CF0E3D">
      <w:pPr>
        <w:pStyle w:val="notemargin"/>
        <w:rPr>
          <w:color w:val="000000" w:themeColor="text1"/>
        </w:rPr>
      </w:pPr>
      <w:r>
        <w:tab/>
      </w:r>
      <w:r w:rsidRPr="005F3D40">
        <w:rPr>
          <w:color w:val="000000" w:themeColor="text1"/>
        </w:rPr>
        <w:t>The data minimisation principle is also relevant when an accredited person uses CDR data to provide requested goods or services to a CDR consumer.</w:t>
      </w:r>
    </w:p>
    <w:p w14:paraId="3181B380" w14:textId="77777777" w:rsidR="00CF0E3D" w:rsidRDefault="00CF0E3D" w:rsidP="00CF0E3D">
      <w:pPr>
        <w:pStyle w:val="notemargin"/>
      </w:pPr>
      <w:r>
        <w:tab/>
      </w:r>
      <w:r w:rsidRPr="00814B1D">
        <w:t>The data minimisation principle limits the CDR data that an accredited person can collect, and also limits the uses that the accredited person can make of collected CDR data.</w:t>
      </w:r>
    </w:p>
    <w:p w14:paraId="57D001A0" w14:textId="77777777" w:rsidR="00CF0E3D" w:rsidRPr="00005026" w:rsidRDefault="00CF0E3D" w:rsidP="00CF0E3D">
      <w:pPr>
        <w:pStyle w:val="subsection"/>
      </w:pPr>
      <w:r w:rsidRPr="00005026">
        <w:tab/>
      </w:r>
      <w:r w:rsidRPr="00005026">
        <w:tab/>
        <w:t xml:space="preserve">An accredited person </w:t>
      </w:r>
      <w:r w:rsidRPr="005F3D40">
        <w:rPr>
          <w:color w:val="000000" w:themeColor="text1"/>
        </w:rPr>
        <w:t xml:space="preserve">complies </w:t>
      </w:r>
      <w:r w:rsidRPr="00005026">
        <w:t xml:space="preserve">with </w:t>
      </w:r>
      <w:r w:rsidRPr="00005026">
        <w:rPr>
          <w:b/>
          <w:i/>
        </w:rPr>
        <w:t>the</w:t>
      </w:r>
      <w:r w:rsidRPr="00005026">
        <w:t xml:space="preserve"> </w:t>
      </w:r>
      <w:r w:rsidRPr="00005026">
        <w:rPr>
          <w:b/>
          <w:i/>
        </w:rPr>
        <w:t xml:space="preserve">data minimisation principle </w:t>
      </w:r>
      <w:r w:rsidRPr="00005026">
        <w:t>if:</w:t>
      </w:r>
    </w:p>
    <w:p w14:paraId="61DB45F1" w14:textId="77777777" w:rsidR="00CF0E3D" w:rsidRDefault="00CF0E3D" w:rsidP="00CF0E3D">
      <w:pPr>
        <w:pStyle w:val="paragraph"/>
      </w:pPr>
      <w:r w:rsidRPr="00005026">
        <w:tab/>
      </w:r>
      <w:r>
        <w:t>(a)</w:t>
      </w:r>
      <w:r w:rsidRPr="00005026">
        <w:tab/>
        <w:t xml:space="preserve">when making a consumer data request on behalf of a CDR consumer, </w:t>
      </w:r>
      <w:r w:rsidRPr="005F3D40">
        <w:rPr>
          <w:color w:val="000000" w:themeColor="text1"/>
        </w:rPr>
        <w:t xml:space="preserve">it </w:t>
      </w:r>
      <w:r w:rsidRPr="00005026">
        <w:t xml:space="preserve">does not </w:t>
      </w:r>
      <w:r w:rsidRPr="00E53912">
        <w:rPr>
          <w:color w:val="000000" w:themeColor="text1"/>
        </w:rPr>
        <w:t xml:space="preserve">seek to </w:t>
      </w:r>
      <w:r w:rsidRPr="00005026">
        <w:t>collect:</w:t>
      </w:r>
    </w:p>
    <w:p w14:paraId="34172131" w14:textId="77777777" w:rsidR="00CF0E3D" w:rsidRPr="00005026" w:rsidRDefault="00CF0E3D" w:rsidP="00CF0E3D">
      <w:pPr>
        <w:pStyle w:val="paragraphsub"/>
      </w:pPr>
      <w:r w:rsidRPr="00005026">
        <w:tab/>
      </w:r>
      <w:r>
        <w:t>(i)</w:t>
      </w:r>
      <w:r w:rsidRPr="00005026">
        <w:tab/>
        <w:t xml:space="preserve">more CDR data than is reasonably </w:t>
      </w:r>
      <w:r w:rsidRPr="00724397">
        <w:t>needed</w:t>
      </w:r>
      <w:r w:rsidRPr="00005026">
        <w:t>; or</w:t>
      </w:r>
    </w:p>
    <w:p w14:paraId="76612B31" w14:textId="77777777" w:rsidR="00CF0E3D" w:rsidRPr="00005026" w:rsidRDefault="00CF0E3D" w:rsidP="00CF0E3D">
      <w:pPr>
        <w:pStyle w:val="paragraphsub"/>
      </w:pPr>
      <w:r w:rsidRPr="00005026">
        <w:tab/>
      </w:r>
      <w:r>
        <w:t>(ii)</w:t>
      </w:r>
      <w:r w:rsidRPr="00005026">
        <w:tab/>
        <w:t xml:space="preserve">CDR data that relates to a longer time period than is reasonably </w:t>
      </w:r>
      <w:r>
        <w:t>needed</w:t>
      </w:r>
      <w:r w:rsidRPr="00005026">
        <w:t>;</w:t>
      </w:r>
    </w:p>
    <w:p w14:paraId="08C2E134" w14:textId="77777777" w:rsidR="00CF0E3D" w:rsidRPr="00005026" w:rsidRDefault="00CF0E3D" w:rsidP="00CF0E3D">
      <w:pPr>
        <w:pStyle w:val="paragraph"/>
      </w:pPr>
      <w:r w:rsidRPr="00005026">
        <w:tab/>
      </w:r>
      <w:r w:rsidRPr="00005026">
        <w:tab/>
        <w:t>in order to provide the goods or services requested by the CDR consumer; and</w:t>
      </w:r>
    </w:p>
    <w:p w14:paraId="374638AB" w14:textId="77777777" w:rsidR="00CF0E3D" w:rsidRDefault="00CF0E3D" w:rsidP="00CF0E3D">
      <w:pPr>
        <w:pStyle w:val="paragraph"/>
      </w:pPr>
      <w:r w:rsidRPr="00F07699">
        <w:tab/>
      </w:r>
      <w:r w:rsidRPr="00771FEA">
        <w:t>(b)</w:t>
      </w:r>
      <w:r w:rsidRPr="00771FEA">
        <w:tab/>
        <w:t>when providing the requested goods or services, or using collected CDR data for any other purpose consented to by the CDR consumer, it does not use the collected CDR data, or CDR data derived from it, beyond what is reasonably needed in order to provide the requested goods or services or fulfil the other purpose.</w:t>
      </w:r>
    </w:p>
    <w:p w14:paraId="1BF8DB7B" w14:textId="77777777" w:rsidR="00CF0E3D" w:rsidRDefault="00CF0E3D" w:rsidP="00CF0E3D">
      <w:pPr>
        <w:pStyle w:val="ActHead5"/>
      </w:pPr>
      <w:bookmarkStart w:id="21" w:name="_Toc11771568"/>
      <w:bookmarkStart w:id="22" w:name="_Toc77064822"/>
      <w:r>
        <w:t>1.9  Fit and proper person criteria</w:t>
      </w:r>
      <w:bookmarkEnd w:id="21"/>
      <w:bookmarkEnd w:id="22"/>
    </w:p>
    <w:p w14:paraId="3508AB9E" w14:textId="77777777" w:rsidR="00CF0E3D" w:rsidRDefault="00CF0E3D" w:rsidP="00CF0E3D">
      <w:pPr>
        <w:pStyle w:val="subsection"/>
      </w:pPr>
      <w:r>
        <w:tab/>
        <w:t>(1)</w:t>
      </w:r>
      <w:r>
        <w:tab/>
        <w:t xml:space="preserve">For these rules, the </w:t>
      </w:r>
      <w:r>
        <w:rPr>
          <w:b/>
          <w:i/>
        </w:rPr>
        <w:t>fit and proper person</w:t>
      </w:r>
      <w:r w:rsidRPr="00183F9C">
        <w:rPr>
          <w:i/>
        </w:rPr>
        <w:t xml:space="preserve"> </w:t>
      </w:r>
      <w:r w:rsidRPr="0043396A">
        <w:rPr>
          <w:b/>
          <w:i/>
        </w:rPr>
        <w:t>criteria</w:t>
      </w:r>
      <w:r>
        <w:t>, in relation to a person, are the following:</w:t>
      </w:r>
    </w:p>
    <w:p w14:paraId="28AC8D23" w14:textId="77777777" w:rsidR="00CF0E3D" w:rsidRDefault="00CF0E3D" w:rsidP="00CF0E3D">
      <w:pPr>
        <w:pStyle w:val="paragraph"/>
      </w:pPr>
      <w:r>
        <w:tab/>
        <w:t>(a)</w:t>
      </w:r>
      <w:r>
        <w:tab/>
        <w:t>whether the person, or any associated person, has, within the previous 10 years, been convicted of:</w:t>
      </w:r>
    </w:p>
    <w:p w14:paraId="7EAF4F27" w14:textId="77777777" w:rsidR="00CF0E3D" w:rsidRDefault="00CF0E3D" w:rsidP="00CF0E3D">
      <w:pPr>
        <w:pStyle w:val="paragraphsub"/>
      </w:pPr>
      <w:r>
        <w:tab/>
        <w:t>(i)</w:t>
      </w:r>
      <w:r>
        <w:tab/>
        <w:t>a serious criminal offence; or</w:t>
      </w:r>
    </w:p>
    <w:p w14:paraId="267C8A66" w14:textId="77777777" w:rsidR="00CF0E3D" w:rsidRDefault="00CF0E3D" w:rsidP="00CF0E3D">
      <w:pPr>
        <w:pStyle w:val="paragraphsub"/>
      </w:pPr>
      <w:r>
        <w:tab/>
        <w:t>(ii)</w:t>
      </w:r>
      <w:r>
        <w:tab/>
        <w:t>an offence of dishonesty;</w:t>
      </w:r>
    </w:p>
    <w:p w14:paraId="12D62F05" w14:textId="77777777" w:rsidR="00CF0E3D" w:rsidRDefault="00CF0E3D" w:rsidP="00CF0E3D">
      <w:pPr>
        <w:pStyle w:val="paragraph"/>
      </w:pPr>
      <w:r>
        <w:tab/>
      </w:r>
      <w:r>
        <w:tab/>
        <w:t>against any law of the Commonwealth or of a State or a Territory, or a law of a foreign jurisdiction;</w:t>
      </w:r>
    </w:p>
    <w:p w14:paraId="3DD67CA0" w14:textId="77777777" w:rsidR="00CF0E3D" w:rsidRDefault="00CF0E3D" w:rsidP="00CF0E3D">
      <w:pPr>
        <w:pStyle w:val="paragraph"/>
      </w:pPr>
      <w:r>
        <w:tab/>
        <w:t>(b)</w:t>
      </w:r>
      <w:r>
        <w:tab/>
        <w:t>whether the person, or any associated person, has been found to have contravened:</w:t>
      </w:r>
    </w:p>
    <w:p w14:paraId="6877ED99" w14:textId="77777777" w:rsidR="00CF0E3D" w:rsidRDefault="00CF0E3D" w:rsidP="00CF0E3D">
      <w:pPr>
        <w:pStyle w:val="paragraphsub"/>
      </w:pPr>
      <w:r>
        <w:tab/>
        <w:t>(i)</w:t>
      </w:r>
      <w:r>
        <w:tab/>
        <w:t>a law relevant to the management of CDR data; or</w:t>
      </w:r>
    </w:p>
    <w:p w14:paraId="5BE300DD" w14:textId="77777777" w:rsidR="00CF0E3D" w:rsidRPr="00706DF7" w:rsidRDefault="00CF0E3D" w:rsidP="00CF0E3D">
      <w:pPr>
        <w:pStyle w:val="paragraphsub"/>
      </w:pPr>
      <w:r>
        <w:tab/>
        <w:t>(ii)</w:t>
      </w:r>
      <w:r>
        <w:tab/>
        <w:t>a similar law of a foreign jurisdiction;</w:t>
      </w:r>
    </w:p>
    <w:p w14:paraId="2EA508E9" w14:textId="77777777" w:rsidR="00CF0E3D" w:rsidRPr="009C222D" w:rsidRDefault="00CF0E3D" w:rsidP="00CF0E3D">
      <w:pPr>
        <w:pStyle w:val="paragraph"/>
        <w:rPr>
          <w:color w:val="000000" w:themeColor="text1"/>
        </w:rPr>
      </w:pPr>
      <w:r>
        <w:tab/>
        <w:t>(c)</w:t>
      </w:r>
      <w:r>
        <w:tab/>
        <w:t>whether the person, or any associated person, has been the subject of</w:t>
      </w:r>
      <w:r w:rsidRPr="009C222D">
        <w:rPr>
          <w:color w:val="000000" w:themeColor="text1"/>
        </w:rPr>
        <w:t>:</w:t>
      </w:r>
    </w:p>
    <w:p w14:paraId="0C539855" w14:textId="77777777" w:rsidR="00CF0E3D" w:rsidRPr="009500AD" w:rsidRDefault="00CF0E3D" w:rsidP="00CF0E3D">
      <w:pPr>
        <w:pStyle w:val="paragraphsub"/>
      </w:pPr>
      <w:r>
        <w:tab/>
        <w:t>(i)</w:t>
      </w:r>
      <w:r>
        <w:tab/>
        <w:t xml:space="preserve">a determination </w:t>
      </w:r>
      <w:r w:rsidRPr="00641354">
        <w:t xml:space="preserve">under paragraph 52(1)(b) or any of paragraphs 52(1A)(a), (b), (c) or (d) of the </w:t>
      </w:r>
      <w:r w:rsidRPr="00641354">
        <w:rPr>
          <w:i/>
        </w:rPr>
        <w:t>Privacy Act 1988</w:t>
      </w:r>
      <w:r>
        <w:t xml:space="preserve">; </w:t>
      </w:r>
      <w:r w:rsidRPr="009500AD">
        <w:t>or</w:t>
      </w:r>
    </w:p>
    <w:p w14:paraId="7E07A581" w14:textId="77777777" w:rsidR="00CF0E3D" w:rsidRDefault="00CF0E3D" w:rsidP="00CF0E3D">
      <w:pPr>
        <w:pStyle w:val="paragraphsub"/>
      </w:pPr>
      <w:r w:rsidRPr="009500AD">
        <w:lastRenderedPageBreak/>
        <w:tab/>
      </w:r>
      <w:r>
        <w:t>(ii)</w:t>
      </w:r>
      <w:r w:rsidRPr="009500AD">
        <w:tab/>
        <w:t xml:space="preserve">a finding </w:t>
      </w:r>
      <w:r w:rsidRPr="0018564F">
        <w:t xml:space="preserve">or determination of a similar nature </w:t>
      </w:r>
      <w:r w:rsidRPr="009500AD">
        <w:t>under a similar law of a foreign jurisdiction;</w:t>
      </w:r>
    </w:p>
    <w:p w14:paraId="066541A6" w14:textId="77777777" w:rsidR="00CF0E3D" w:rsidRDefault="00CF0E3D" w:rsidP="00CF0E3D">
      <w:pPr>
        <w:pStyle w:val="paragraph"/>
      </w:pPr>
      <w:r>
        <w:tab/>
        <w:t>(d)</w:t>
      </w:r>
      <w:r>
        <w:tab/>
        <w:t xml:space="preserve">if the person is a body corporate—whether any of the directors </w:t>
      </w:r>
      <w:r w:rsidRPr="000C3240">
        <w:rPr>
          <w:color w:val="000000" w:themeColor="text1"/>
        </w:rPr>
        <w:t xml:space="preserve">(within the meaning of the </w:t>
      </w:r>
      <w:r w:rsidRPr="000C3240">
        <w:rPr>
          <w:i/>
          <w:color w:val="000000" w:themeColor="text1"/>
        </w:rPr>
        <w:t>Corporations Act 2001</w:t>
      </w:r>
      <w:r w:rsidRPr="000C3240">
        <w:rPr>
          <w:color w:val="000000" w:themeColor="text1"/>
        </w:rPr>
        <w:t>)</w:t>
      </w:r>
      <w:r>
        <w:rPr>
          <w:i/>
        </w:rPr>
        <w:t xml:space="preserve"> </w:t>
      </w:r>
      <w:r>
        <w:t xml:space="preserve">of the person, </w:t>
      </w:r>
      <w:r w:rsidRPr="00AB73DF">
        <w:t>or any associated person</w:t>
      </w:r>
      <w:r>
        <w:t>:</w:t>
      </w:r>
    </w:p>
    <w:p w14:paraId="7594337A" w14:textId="77777777" w:rsidR="00CF0E3D" w:rsidRDefault="00CF0E3D" w:rsidP="00CF0E3D">
      <w:pPr>
        <w:pStyle w:val="paragraphsub"/>
      </w:pPr>
      <w:r>
        <w:tab/>
        <w:t>(i)</w:t>
      </w:r>
      <w:r>
        <w:tab/>
        <w:t>has been disqualified from managing corporations; or</w:t>
      </w:r>
    </w:p>
    <w:p w14:paraId="5187B5AC" w14:textId="77777777" w:rsidR="00CF0E3D" w:rsidRDefault="00CF0E3D" w:rsidP="00CF0E3D">
      <w:pPr>
        <w:pStyle w:val="paragraphsub"/>
      </w:pPr>
      <w:r>
        <w:tab/>
        <w:t>(ii)</w:t>
      </w:r>
      <w:r>
        <w:tab/>
        <w:t>is subject to a banning order;</w:t>
      </w:r>
    </w:p>
    <w:p w14:paraId="5E51661E" w14:textId="77777777" w:rsidR="00CF0E3D" w:rsidRDefault="00CF0E3D" w:rsidP="00CF0E3D">
      <w:pPr>
        <w:pStyle w:val="paragraph"/>
      </w:pPr>
      <w:r>
        <w:tab/>
        <w:t>(e)</w:t>
      </w:r>
      <w:r>
        <w:tab/>
        <w:t>whether the person, or any associated person, has a history of insolvency or bankruptcy;</w:t>
      </w:r>
    </w:p>
    <w:p w14:paraId="73C7768B" w14:textId="77777777" w:rsidR="00CF0E3D" w:rsidRPr="00724397" w:rsidRDefault="00CF0E3D" w:rsidP="00CF0E3D">
      <w:pPr>
        <w:pStyle w:val="paragraph"/>
      </w:pPr>
      <w:r>
        <w:tab/>
        <w:t>(f)</w:t>
      </w:r>
      <w:r>
        <w:tab/>
      </w:r>
      <w:r w:rsidRPr="00B1545A">
        <w:t>whether the person</w:t>
      </w:r>
      <w:r>
        <w:t>,</w:t>
      </w:r>
      <w:r w:rsidRPr="00B1545A">
        <w:t xml:space="preserve"> or any associated person</w:t>
      </w:r>
      <w:r>
        <w:t>,</w:t>
      </w:r>
      <w:r w:rsidRPr="00B1545A">
        <w:t xml:space="preserve"> has been the subject of a determination made under</w:t>
      </w:r>
      <w:r w:rsidRPr="00724397">
        <w:t xml:space="preserve"> an external dispute resolution scheme that:</w:t>
      </w:r>
    </w:p>
    <w:p w14:paraId="461BB70B" w14:textId="77777777" w:rsidR="00CF0E3D" w:rsidRPr="00724397" w:rsidRDefault="00CF0E3D" w:rsidP="00CF0E3D">
      <w:pPr>
        <w:pStyle w:val="paragraphsub"/>
      </w:pPr>
      <w:r w:rsidRPr="00724397">
        <w:tab/>
      </w:r>
      <w:r>
        <w:t>(i)</w:t>
      </w:r>
      <w:r w:rsidRPr="00724397">
        <w:tab/>
        <w:t>included a requirement to pay monetary compensation; and</w:t>
      </w:r>
    </w:p>
    <w:p w14:paraId="304A0746" w14:textId="77777777" w:rsidR="00CF0E3D" w:rsidRPr="00724397" w:rsidRDefault="00CF0E3D" w:rsidP="00CF0E3D">
      <w:pPr>
        <w:pStyle w:val="paragraphsub"/>
      </w:pPr>
      <w:r w:rsidRPr="00724397">
        <w:tab/>
      </w:r>
      <w:r>
        <w:t>(ii)</w:t>
      </w:r>
      <w:r w:rsidRPr="00724397">
        <w:tab/>
        <w:t>was, at the time the determination was made:</w:t>
      </w:r>
    </w:p>
    <w:p w14:paraId="2305DFF3" w14:textId="77777777" w:rsidR="00CF0E3D" w:rsidRDefault="00CF0E3D" w:rsidP="00CF0E3D">
      <w:pPr>
        <w:pStyle w:val="paragraphsub-sub"/>
      </w:pPr>
      <w:r>
        <w:tab/>
        <w:t>(A)</w:t>
      </w:r>
      <w:r>
        <w:tab/>
      </w:r>
      <w:r w:rsidRPr="00B1545A">
        <w:t xml:space="preserve">recognised under the </w:t>
      </w:r>
      <w:r w:rsidRPr="00714089">
        <w:rPr>
          <w:i/>
        </w:rPr>
        <w:t>Privacy Act 1988</w:t>
      </w:r>
      <w:r>
        <w:t>; or</w:t>
      </w:r>
    </w:p>
    <w:p w14:paraId="336D26C0" w14:textId="77777777" w:rsidR="00CF0E3D" w:rsidRDefault="00CF0E3D" w:rsidP="00CF0E3D">
      <w:pPr>
        <w:pStyle w:val="paragraphsub-sub"/>
      </w:pPr>
      <w:r>
        <w:tab/>
        <w:t>(B)</w:t>
      </w:r>
      <w:r>
        <w:tab/>
        <w:t>a recognised external dispute resolution scheme;</w:t>
      </w:r>
    </w:p>
    <w:p w14:paraId="7D745370" w14:textId="77777777" w:rsidR="00CF0E3D" w:rsidRDefault="00CF0E3D" w:rsidP="00CF0E3D">
      <w:pPr>
        <w:pStyle w:val="paragraph"/>
      </w:pPr>
      <w:r>
        <w:tab/>
        <w:t>(g)</w:t>
      </w:r>
      <w:r>
        <w:tab/>
        <w:t>any other relevant matter, including but not limited to the objects of Part IVD of the Act.</w:t>
      </w:r>
    </w:p>
    <w:p w14:paraId="72B1D8A9" w14:textId="77777777" w:rsidR="00CF0E3D" w:rsidRDefault="00CF0E3D" w:rsidP="00CF0E3D">
      <w:pPr>
        <w:pStyle w:val="notetext"/>
      </w:pPr>
      <w:r>
        <w:t>Note:</w:t>
      </w:r>
      <w:r>
        <w:tab/>
        <w:t>The objects of Part IVD are set out in section 56AA of the Act.</w:t>
      </w:r>
    </w:p>
    <w:p w14:paraId="2BD1B7AB" w14:textId="77777777" w:rsidR="00CF0E3D" w:rsidRDefault="00CF0E3D" w:rsidP="00CF0E3D">
      <w:pPr>
        <w:pStyle w:val="subsection"/>
      </w:pPr>
      <w:r>
        <w:tab/>
        <w:t>(2)</w:t>
      </w:r>
      <w:r>
        <w:tab/>
        <w:t>In this rule:</w:t>
      </w:r>
    </w:p>
    <w:p w14:paraId="277FE0BB" w14:textId="77777777" w:rsidR="00CF0E3D" w:rsidRDefault="00CF0E3D" w:rsidP="00CF0E3D">
      <w:pPr>
        <w:pStyle w:val="Definition"/>
      </w:pPr>
      <w:r>
        <w:rPr>
          <w:b/>
          <w:i/>
        </w:rPr>
        <w:t xml:space="preserve">banning order </w:t>
      </w:r>
      <w:r>
        <w:t xml:space="preserve">has the same meaning as in the </w:t>
      </w:r>
      <w:r>
        <w:rPr>
          <w:i/>
        </w:rPr>
        <w:t>Corporations Act 2001</w:t>
      </w:r>
      <w:r>
        <w:t>.</w:t>
      </w:r>
    </w:p>
    <w:p w14:paraId="6FDD35F4" w14:textId="77777777" w:rsidR="00CF0E3D" w:rsidRDefault="00CF0E3D" w:rsidP="00CF0E3D">
      <w:pPr>
        <w:pStyle w:val="Definition"/>
      </w:pPr>
      <w:r>
        <w:rPr>
          <w:b/>
          <w:i/>
        </w:rPr>
        <w:t xml:space="preserve">serious criminal offence </w:t>
      </w:r>
      <w:r>
        <w:t>means an offence for which, if the act or omission had taken place in the Jervis Bay Territory, a person would be liable, on first conviction, to imprisonment for a period of not less than 5 years.</w:t>
      </w:r>
    </w:p>
    <w:p w14:paraId="146BD18C" w14:textId="77777777" w:rsidR="00CF0E3D" w:rsidRDefault="00CF0E3D" w:rsidP="00CF0E3D">
      <w:pPr>
        <w:pStyle w:val="notetext"/>
        <w:rPr>
          <w:shd w:val="clear" w:color="auto" w:fill="FFFFFF"/>
        </w:rPr>
      </w:pPr>
      <w:r>
        <w:rPr>
          <w:shd w:val="clear" w:color="auto" w:fill="FFFFFF"/>
        </w:rPr>
        <w:t>Note:</w:t>
      </w:r>
      <w:r>
        <w:rPr>
          <w:shd w:val="clear" w:color="auto" w:fill="FFFFFF"/>
        </w:rPr>
        <w:tab/>
        <w:t>Jervis Bay Territory is mentioned because it is a jurisdiction in which the Commonwealth has control over the criminal law.</w:t>
      </w:r>
    </w:p>
    <w:p w14:paraId="07529DBD" w14:textId="77777777" w:rsidR="00CF0E3D" w:rsidRPr="004D57B9" w:rsidRDefault="00CF0E3D" w:rsidP="00CF0E3D">
      <w:pPr>
        <w:pStyle w:val="ActHead5"/>
        <w:rPr>
          <w:i/>
          <w:strike/>
          <w:shd w:val="clear" w:color="auto" w:fill="FFFFFF"/>
        </w:rPr>
      </w:pPr>
      <w:bookmarkStart w:id="23" w:name="_Toc50041691"/>
      <w:bookmarkStart w:id="24" w:name="_Toc50708279"/>
      <w:bookmarkStart w:id="25" w:name="_Toc50708312"/>
      <w:bookmarkStart w:id="26" w:name="_Toc77064823"/>
      <w:r w:rsidRPr="004D57B9">
        <w:rPr>
          <w:shd w:val="clear" w:color="auto" w:fill="FFFFFF"/>
        </w:rPr>
        <w:t xml:space="preserve">1.10  Meaning of </w:t>
      </w:r>
      <w:r w:rsidRPr="004D57B9">
        <w:rPr>
          <w:i/>
          <w:shd w:val="clear" w:color="auto" w:fill="FFFFFF"/>
        </w:rPr>
        <w:t xml:space="preserve">outsourced service provider </w:t>
      </w:r>
      <w:r w:rsidRPr="004D57B9">
        <w:rPr>
          <w:shd w:val="clear" w:color="auto" w:fill="FFFFFF"/>
        </w:rPr>
        <w:t>and related terms</w:t>
      </w:r>
      <w:bookmarkEnd w:id="23"/>
      <w:bookmarkEnd w:id="24"/>
      <w:bookmarkEnd w:id="25"/>
      <w:bookmarkEnd w:id="26"/>
    </w:p>
    <w:p w14:paraId="0779FFC8" w14:textId="77777777" w:rsidR="00CF0E3D" w:rsidRPr="004D57B9" w:rsidRDefault="00CF0E3D" w:rsidP="00CF0E3D">
      <w:pPr>
        <w:pStyle w:val="subsection"/>
      </w:pPr>
      <w:r w:rsidRPr="004D57B9">
        <w:tab/>
        <w:t>(1)</w:t>
      </w:r>
      <w:r w:rsidRPr="004D57B9">
        <w:tab/>
        <w:t xml:space="preserve">For these rules, where two persons are the principal and the provider in a CDR outsourcing arrangement, the provider is an </w:t>
      </w:r>
      <w:r w:rsidRPr="004D57B9">
        <w:rPr>
          <w:b/>
          <w:i/>
        </w:rPr>
        <w:t xml:space="preserve">outsourced service provider </w:t>
      </w:r>
      <w:r w:rsidRPr="004D57B9">
        <w:t>of the principal.</w:t>
      </w:r>
    </w:p>
    <w:p w14:paraId="6E563DE5" w14:textId="77777777" w:rsidR="00CF0E3D" w:rsidRPr="004D57B9" w:rsidRDefault="00CF0E3D" w:rsidP="00CF0E3D">
      <w:pPr>
        <w:pStyle w:val="subsection"/>
      </w:pPr>
      <w:r w:rsidRPr="004D57B9">
        <w:tab/>
        <w:t>(2)</w:t>
      </w:r>
      <w:r w:rsidRPr="004D57B9">
        <w:tab/>
        <w:t xml:space="preserve">For these rules, a </w:t>
      </w:r>
      <w:r w:rsidRPr="004D57B9">
        <w:rPr>
          <w:b/>
          <w:i/>
        </w:rPr>
        <w:t>CDR</w:t>
      </w:r>
      <w:r w:rsidRPr="004D57B9">
        <w:t xml:space="preserve"> </w:t>
      </w:r>
      <w:r w:rsidRPr="004D57B9">
        <w:rPr>
          <w:b/>
          <w:i/>
        </w:rPr>
        <w:t>outsourcing arrangement</w:t>
      </w:r>
      <w:r w:rsidRPr="004D57B9">
        <w:t xml:space="preserve"> is a written contract between a person (the </w:t>
      </w:r>
      <w:r w:rsidRPr="004D57B9">
        <w:rPr>
          <w:b/>
          <w:i/>
        </w:rPr>
        <w:t>principal</w:t>
      </w:r>
      <w:r w:rsidRPr="004D57B9">
        <w:t>)</w:t>
      </w:r>
      <w:r w:rsidRPr="004D57B9">
        <w:rPr>
          <w:b/>
          <w:i/>
        </w:rPr>
        <w:t xml:space="preserve"> </w:t>
      </w:r>
      <w:r w:rsidRPr="004D57B9">
        <w:t xml:space="preserve">and another person (the </w:t>
      </w:r>
      <w:r w:rsidRPr="004D57B9">
        <w:rPr>
          <w:b/>
          <w:i/>
        </w:rPr>
        <w:t>provider</w:t>
      </w:r>
      <w:r w:rsidRPr="004D57B9">
        <w:t>) under which:</w:t>
      </w:r>
    </w:p>
    <w:p w14:paraId="7D917AC4" w14:textId="77777777" w:rsidR="00CF0E3D" w:rsidRPr="00693A57" w:rsidRDefault="00CF0E3D" w:rsidP="00CF0E3D">
      <w:pPr>
        <w:pStyle w:val="paragraph"/>
        <w:rPr>
          <w:color w:val="0000FF"/>
        </w:rPr>
      </w:pPr>
      <w:r w:rsidRPr="00693A57">
        <w:rPr>
          <w:color w:val="0000FF"/>
        </w:rPr>
        <w:tab/>
        <w:t>(a)</w:t>
      </w:r>
      <w:r w:rsidRPr="00693A57">
        <w:rPr>
          <w:color w:val="0000FF"/>
        </w:rPr>
        <w:tab/>
        <w:t>the provider will do one or both of the following:</w:t>
      </w:r>
    </w:p>
    <w:p w14:paraId="511FA5B7" w14:textId="67EC6DEA" w:rsidR="00CF0E3D" w:rsidRPr="00693A57" w:rsidRDefault="00CF0E3D" w:rsidP="00CF0E3D">
      <w:pPr>
        <w:pStyle w:val="paragraphsub"/>
        <w:rPr>
          <w:color w:val="0000FF"/>
        </w:rPr>
      </w:pPr>
      <w:r w:rsidRPr="00693A57">
        <w:rPr>
          <w:color w:val="0000FF"/>
        </w:rPr>
        <w:tab/>
        <w:t>(i)</w:t>
      </w:r>
      <w:r w:rsidRPr="00693A57">
        <w:rPr>
          <w:color w:val="0000FF"/>
        </w:rPr>
        <w:tab/>
        <w:t>collect CDR data from a CDR participant in accordance with these rules on behalf of the principal;</w:t>
      </w:r>
    </w:p>
    <w:p w14:paraId="462548B4" w14:textId="74419B26" w:rsidR="00CF0E3D" w:rsidRPr="00693A57" w:rsidRDefault="00CF0E3D" w:rsidP="00CF0E3D">
      <w:pPr>
        <w:pStyle w:val="paragraphsub"/>
        <w:rPr>
          <w:color w:val="0000FF"/>
        </w:rPr>
      </w:pPr>
      <w:r w:rsidRPr="00693A57">
        <w:rPr>
          <w:color w:val="0000FF"/>
        </w:rPr>
        <w:tab/>
        <w:t>(ii)</w:t>
      </w:r>
      <w:r w:rsidRPr="00693A57">
        <w:rPr>
          <w:color w:val="0000FF"/>
        </w:rPr>
        <w:tab/>
        <w:t xml:space="preserve">provide goods or services to the principal using CDR data </w:t>
      </w:r>
      <w:r w:rsidR="00E710C8" w:rsidRPr="00693A57">
        <w:rPr>
          <w:color w:val="0000FF"/>
        </w:rPr>
        <w:t xml:space="preserve">that it has collected on behalf of the the principal or that has been </w:t>
      </w:r>
      <w:r w:rsidRPr="00693A57">
        <w:rPr>
          <w:color w:val="0000FF"/>
        </w:rPr>
        <w:t>disclosed to it by the principal; and</w:t>
      </w:r>
    </w:p>
    <w:p w14:paraId="118A9A72" w14:textId="2696525B" w:rsidR="009471D5" w:rsidRPr="00693A57" w:rsidRDefault="009471D5" w:rsidP="009471D5">
      <w:pPr>
        <w:pStyle w:val="paragraph"/>
        <w:rPr>
          <w:strike/>
          <w:color w:val="0000FF"/>
        </w:rPr>
      </w:pPr>
      <w:r w:rsidRPr="00693A57">
        <w:rPr>
          <w:strike/>
          <w:color w:val="0000FF"/>
        </w:rPr>
        <w:tab/>
        <w:t>(a)</w:t>
      </w:r>
      <w:r w:rsidRPr="00693A57">
        <w:rPr>
          <w:strike/>
          <w:color w:val="0000FF"/>
        </w:rPr>
        <w:tab/>
        <w:t>the provider will do one or both of the following:</w:t>
      </w:r>
    </w:p>
    <w:p w14:paraId="0D53B9B2" w14:textId="7DB715E6" w:rsidR="009471D5" w:rsidRPr="00693A57" w:rsidRDefault="009471D5" w:rsidP="009471D5">
      <w:pPr>
        <w:pStyle w:val="paragraphsub"/>
        <w:rPr>
          <w:strike/>
          <w:color w:val="0000FF"/>
        </w:rPr>
      </w:pPr>
      <w:r w:rsidRPr="00693A57">
        <w:rPr>
          <w:strike/>
          <w:color w:val="0000FF"/>
        </w:rPr>
        <w:tab/>
        <w:t>(i)</w:t>
      </w:r>
      <w:r w:rsidRPr="00693A57">
        <w:rPr>
          <w:strike/>
          <w:color w:val="0000FF"/>
        </w:rPr>
        <w:tab/>
        <w:t>if the provider is an accredited person―collect CDR data from a CDR participant in accordance with these rules on behalf of the principal;</w:t>
      </w:r>
    </w:p>
    <w:p w14:paraId="11960FCD" w14:textId="134F6543" w:rsidR="009471D5" w:rsidRPr="00693A57" w:rsidRDefault="009471D5" w:rsidP="00CF0E3D">
      <w:pPr>
        <w:pStyle w:val="paragraphsub"/>
        <w:rPr>
          <w:strike/>
          <w:color w:val="0000FF"/>
        </w:rPr>
      </w:pPr>
      <w:r w:rsidRPr="00693A57">
        <w:rPr>
          <w:strike/>
          <w:color w:val="0000FF"/>
        </w:rPr>
        <w:lastRenderedPageBreak/>
        <w:tab/>
        <w:t>(ii)</w:t>
      </w:r>
      <w:r w:rsidRPr="00693A57">
        <w:rPr>
          <w:strike/>
          <w:color w:val="0000FF"/>
        </w:rPr>
        <w:tab/>
        <w:t>in any case―provide goods or services to the principal using CDR data disclosed to it by the principal; and</w:t>
      </w:r>
    </w:p>
    <w:p w14:paraId="1F62F876" w14:textId="77777777" w:rsidR="00CF0E3D" w:rsidRPr="004D57B9" w:rsidRDefault="00CF0E3D" w:rsidP="00CF0E3D">
      <w:pPr>
        <w:pStyle w:val="paragraph"/>
      </w:pPr>
      <w:r w:rsidRPr="004D57B9">
        <w:tab/>
        <w:t>(b)</w:t>
      </w:r>
      <w:r w:rsidRPr="004D57B9">
        <w:tab/>
        <w:t>the provider is required to comply with the following requirements in relation to any service data:</w:t>
      </w:r>
    </w:p>
    <w:p w14:paraId="32E27CE4" w14:textId="77777777" w:rsidR="00CF0E3D" w:rsidRPr="004D57B9" w:rsidRDefault="00CF0E3D" w:rsidP="00CF0E3D">
      <w:pPr>
        <w:pStyle w:val="paragraphsub"/>
      </w:pPr>
      <w:r w:rsidRPr="004D57B9">
        <w:tab/>
        <w:t>(i)</w:t>
      </w:r>
      <w:r w:rsidRPr="004D57B9">
        <w:tab/>
        <w:t>the provider must take the steps in Schedule 2 to protect the service data as if it were an accredited data recipient; and</w:t>
      </w:r>
    </w:p>
    <w:p w14:paraId="35DE0F3F" w14:textId="77777777" w:rsidR="00CF0E3D" w:rsidRPr="004D57B9" w:rsidRDefault="00CF0E3D" w:rsidP="00CF0E3D">
      <w:pPr>
        <w:pStyle w:val="paragraphsub"/>
      </w:pPr>
      <w:r w:rsidRPr="004D57B9">
        <w:tab/>
        <w:t>(ii)</w:t>
      </w:r>
      <w:r w:rsidRPr="004D57B9">
        <w:tab/>
        <w:t>the provider must not use or disclose the service data other than in accordance with a contract with the principal; and</w:t>
      </w:r>
    </w:p>
    <w:p w14:paraId="22FBA441" w14:textId="77777777" w:rsidR="00CF0E3D" w:rsidRPr="004D57B9" w:rsidRDefault="00CF0E3D" w:rsidP="00CF0E3D">
      <w:pPr>
        <w:pStyle w:val="paragraphsub"/>
      </w:pPr>
      <w:r w:rsidRPr="004D57B9">
        <w:tab/>
        <w:t>(iii)</w:t>
      </w:r>
      <w:r w:rsidRPr="004D57B9">
        <w:tab/>
        <w:t>the provider must, when so directed by the principal, do any of the following:</w:t>
      </w:r>
    </w:p>
    <w:p w14:paraId="2AD90637" w14:textId="77777777" w:rsidR="00CF0E3D" w:rsidRPr="004D57B9" w:rsidRDefault="00CF0E3D" w:rsidP="00CF0E3D">
      <w:pPr>
        <w:pStyle w:val="paragraphsub-sub"/>
      </w:pPr>
      <w:r w:rsidRPr="004D57B9">
        <w:tab/>
        <w:t>(A)</w:t>
      </w:r>
      <w:r w:rsidRPr="004D57B9">
        <w:tab/>
        <w:t>provide the principal with access to any service data that it holds;</w:t>
      </w:r>
    </w:p>
    <w:p w14:paraId="62D03316" w14:textId="77777777" w:rsidR="00CF0E3D" w:rsidRPr="004D57B9" w:rsidRDefault="00CF0E3D" w:rsidP="00CF0E3D">
      <w:pPr>
        <w:pStyle w:val="paragraphsub-sub"/>
      </w:pPr>
      <w:r w:rsidRPr="004D57B9">
        <w:tab/>
        <w:t>(B)</w:t>
      </w:r>
      <w:r w:rsidRPr="004D57B9">
        <w:tab/>
        <w:t>return to the principal CDR data that the principal disclosed to it;</w:t>
      </w:r>
    </w:p>
    <w:p w14:paraId="6844BB4A" w14:textId="77777777" w:rsidR="00CF0E3D" w:rsidRPr="004D57B9" w:rsidRDefault="00CF0E3D" w:rsidP="00CF0E3D">
      <w:pPr>
        <w:pStyle w:val="paragraphsub-sub"/>
      </w:pPr>
      <w:r w:rsidRPr="004D57B9">
        <w:tab/>
        <w:t>(C)</w:t>
      </w:r>
      <w:r w:rsidRPr="004D57B9">
        <w:tab/>
        <w:t>delete any service data that it holds in accordance with the CDR data deletion process;</w:t>
      </w:r>
    </w:p>
    <w:p w14:paraId="2FD20018" w14:textId="77777777" w:rsidR="00CF0E3D" w:rsidRPr="004D57B9" w:rsidRDefault="00CF0E3D" w:rsidP="00CF0E3D">
      <w:pPr>
        <w:pStyle w:val="paragraphsub-sub"/>
      </w:pPr>
      <w:r w:rsidRPr="004D57B9">
        <w:tab/>
        <w:t>(D)</w:t>
      </w:r>
      <w:r w:rsidRPr="004D57B9">
        <w:tab/>
        <w:t>provide, to the principal, records of any deletion that are required to be made under the CDR data deletion process;</w:t>
      </w:r>
    </w:p>
    <w:p w14:paraId="265A5603" w14:textId="77777777" w:rsidR="00CF0E3D" w:rsidRPr="004D57B9" w:rsidRDefault="00CF0E3D" w:rsidP="00CF0E3D">
      <w:pPr>
        <w:pStyle w:val="paragraphsub-sub"/>
      </w:pPr>
      <w:r w:rsidRPr="004D57B9">
        <w:tab/>
        <w:t>(E)</w:t>
      </w:r>
      <w:r w:rsidRPr="004D57B9">
        <w:tab/>
        <w:t>direct any other person to which it has disclosed CDR data to take corresponding steps; and</w:t>
      </w:r>
    </w:p>
    <w:p w14:paraId="72A27AE4" w14:textId="12145D26" w:rsidR="00CF0E3D" w:rsidRPr="00693A57" w:rsidRDefault="00CF0E3D" w:rsidP="00CF0E3D">
      <w:pPr>
        <w:pStyle w:val="paragraphsub"/>
        <w:rPr>
          <w:strike/>
          <w:color w:val="0000FF"/>
        </w:rPr>
      </w:pPr>
      <w:r w:rsidRPr="00693A57">
        <w:rPr>
          <w:strike/>
          <w:color w:val="0000FF"/>
        </w:rPr>
        <w:tab/>
        <w:t>(iv)</w:t>
      </w:r>
      <w:r w:rsidRPr="00693A57">
        <w:rPr>
          <w:strike/>
          <w:color w:val="0000FF"/>
        </w:rPr>
        <w:tab/>
        <w:t>where the provider is to collect CDR data under the contract as mentioned in subparagraph (a)(i)—the provider must not further outsource that collection; and</w:t>
      </w:r>
    </w:p>
    <w:p w14:paraId="5E5179CF" w14:textId="77777777" w:rsidR="00CF0E3D" w:rsidRPr="004D57B9" w:rsidRDefault="00CF0E3D" w:rsidP="00CF0E3D">
      <w:pPr>
        <w:pStyle w:val="paragraphsub"/>
        <w:rPr>
          <w:strike/>
        </w:rPr>
      </w:pPr>
      <w:r w:rsidRPr="004D57B9">
        <w:tab/>
        <w:t xml:space="preserve">  (v)</w:t>
      </w:r>
      <w:r w:rsidRPr="004D57B9">
        <w:tab/>
        <w:t>the provider must not disclose any service data to another person, otherwise than under a further CDR outsourcing arrangement; and</w:t>
      </w:r>
    </w:p>
    <w:p w14:paraId="76BAD323" w14:textId="77777777" w:rsidR="00CF0E3D" w:rsidRPr="004D57B9" w:rsidRDefault="00CF0E3D" w:rsidP="00CF0E3D">
      <w:pPr>
        <w:pStyle w:val="paragraphsub"/>
      </w:pPr>
      <w:r w:rsidRPr="004D57B9">
        <w:tab/>
        <w:t>(vi)</w:t>
      </w:r>
      <w:r w:rsidRPr="004D57B9">
        <w:tab/>
        <w:t>if the provider does disclose such CDR data in accordance with subparagraph (v), it must ensure that the other person complies with the requirements of the further CDR outsourcing arrangement.</w:t>
      </w:r>
    </w:p>
    <w:p w14:paraId="7842D6DA" w14:textId="77777777" w:rsidR="00CF0E3D" w:rsidRPr="004D57B9" w:rsidRDefault="00CF0E3D" w:rsidP="00CF0E3D">
      <w:pPr>
        <w:pStyle w:val="notetext"/>
      </w:pPr>
      <w:r w:rsidRPr="004D57B9">
        <w:t>Note:</w:t>
      </w:r>
      <w:r w:rsidRPr="004D57B9">
        <w:tab/>
        <w:t>See rule 1.18 for the definition of “CDR data deletion process”.</w:t>
      </w:r>
    </w:p>
    <w:p w14:paraId="37397430" w14:textId="77777777" w:rsidR="00CF0E3D" w:rsidRPr="004D57B9" w:rsidRDefault="00CF0E3D" w:rsidP="00CF0E3D">
      <w:pPr>
        <w:pStyle w:val="subsection"/>
      </w:pPr>
      <w:r w:rsidRPr="004D57B9">
        <w:tab/>
        <w:t>(3)</w:t>
      </w:r>
      <w:r w:rsidRPr="004D57B9">
        <w:tab/>
        <w:t>For subparagraph (2)(a)(ii), the principal is taken to disclose CDR data to the provider if the principal gives the provider permission to access or use CDR data collected by the provider on behalf of the principal.</w:t>
      </w:r>
    </w:p>
    <w:p w14:paraId="322B2D2E" w14:textId="77777777" w:rsidR="00CF0E3D" w:rsidRPr="004D57B9" w:rsidRDefault="00CF0E3D" w:rsidP="00CF0E3D">
      <w:pPr>
        <w:pStyle w:val="subsection"/>
      </w:pPr>
      <w:r w:rsidRPr="004D57B9">
        <w:tab/>
        <w:t>(4)</w:t>
      </w:r>
      <w:r w:rsidRPr="004D57B9">
        <w:tab/>
        <w:t xml:space="preserve">For these rules, the </w:t>
      </w:r>
      <w:r w:rsidRPr="004D57B9">
        <w:rPr>
          <w:b/>
          <w:i/>
        </w:rPr>
        <w:t xml:space="preserve">service data </w:t>
      </w:r>
      <w:r w:rsidRPr="004D57B9">
        <w:t xml:space="preserve">in relation to a CDR outsourcing arrangement consists of any CDR data that: </w:t>
      </w:r>
    </w:p>
    <w:p w14:paraId="3D710C16" w14:textId="77777777" w:rsidR="00CF0E3D" w:rsidRPr="004D57B9" w:rsidRDefault="00CF0E3D" w:rsidP="00CF0E3D">
      <w:pPr>
        <w:pStyle w:val="paragraph"/>
      </w:pPr>
      <w:r w:rsidRPr="004D57B9">
        <w:tab/>
        <w:t>(a)</w:t>
      </w:r>
      <w:r w:rsidRPr="004D57B9">
        <w:tab/>
      </w:r>
      <w:r w:rsidRPr="00BD1239">
        <w:t>was</w:t>
      </w:r>
      <w:r w:rsidRPr="004D57B9">
        <w:t xml:space="preserve"> collected from a CDR participant in accordance with the arrangement; or</w:t>
      </w:r>
    </w:p>
    <w:p w14:paraId="34E981AF" w14:textId="77777777" w:rsidR="00CF0E3D" w:rsidRPr="004D57B9" w:rsidRDefault="00CF0E3D" w:rsidP="00CF0E3D">
      <w:pPr>
        <w:pStyle w:val="paragraph"/>
      </w:pPr>
      <w:r w:rsidRPr="004D57B9">
        <w:tab/>
        <w:t>(b)</w:t>
      </w:r>
      <w:r w:rsidRPr="004D57B9">
        <w:tab/>
        <w:t>was disclosed to the provider in the CDR outsourcing arrangement for the purposes of the arrangement; or</w:t>
      </w:r>
    </w:p>
    <w:p w14:paraId="7D20DA4E" w14:textId="77777777" w:rsidR="00CF0E3D" w:rsidRDefault="00CF0E3D" w:rsidP="00CF0E3D">
      <w:pPr>
        <w:pStyle w:val="paragraph"/>
      </w:pPr>
      <w:r w:rsidRPr="004D57B9">
        <w:tab/>
        <w:t>(c)</w:t>
      </w:r>
      <w:r w:rsidRPr="004D57B9">
        <w:tab/>
        <w:t>directly or indirectly derives from such CDR data.</w:t>
      </w:r>
    </w:p>
    <w:p w14:paraId="0165421B" w14:textId="69AB4E87" w:rsidR="00B86207" w:rsidRPr="00693A57" w:rsidRDefault="00B86207" w:rsidP="00B86207">
      <w:pPr>
        <w:pStyle w:val="ActHead5"/>
        <w:rPr>
          <w:color w:val="0000FF"/>
          <w:shd w:val="clear" w:color="auto" w:fill="FFFFFF"/>
        </w:rPr>
      </w:pPr>
      <w:bookmarkStart w:id="27" w:name="_Toc77064824"/>
      <w:bookmarkStart w:id="28" w:name="_Toc57218973"/>
      <w:bookmarkStart w:id="29" w:name="_Toc59549121"/>
      <w:r w:rsidRPr="00693A57">
        <w:rPr>
          <w:color w:val="0000FF"/>
          <w:shd w:val="clear" w:color="auto" w:fill="FFFFFF"/>
        </w:rPr>
        <w:t xml:space="preserve">1.10AA  Meaning of </w:t>
      </w:r>
      <w:r w:rsidR="00182338" w:rsidRPr="00693A57">
        <w:rPr>
          <w:i/>
          <w:color w:val="0000FF"/>
          <w:shd w:val="clear" w:color="auto" w:fill="FFFFFF"/>
        </w:rPr>
        <w:t>CDR representative</w:t>
      </w:r>
      <w:r w:rsidRPr="00693A57">
        <w:rPr>
          <w:i/>
          <w:color w:val="0000FF"/>
          <w:shd w:val="clear" w:color="auto" w:fill="FFFFFF"/>
        </w:rPr>
        <w:t xml:space="preserve"> </w:t>
      </w:r>
      <w:r w:rsidRPr="00693A57">
        <w:rPr>
          <w:color w:val="0000FF"/>
          <w:shd w:val="clear" w:color="auto" w:fill="FFFFFF"/>
        </w:rPr>
        <w:t>and related terms</w:t>
      </w:r>
      <w:bookmarkEnd w:id="27"/>
    </w:p>
    <w:p w14:paraId="6BFC3FE7" w14:textId="2D464E11" w:rsidR="00B86207" w:rsidRPr="00693A57" w:rsidRDefault="00B86207" w:rsidP="00B86207">
      <w:pPr>
        <w:pStyle w:val="notemargin"/>
        <w:rPr>
          <w:color w:val="0000FF"/>
        </w:rPr>
      </w:pPr>
      <w:r w:rsidRPr="00693A57">
        <w:rPr>
          <w:color w:val="0000FF"/>
        </w:rPr>
        <w:t>Note:</w:t>
      </w:r>
      <w:r w:rsidRPr="00693A57">
        <w:rPr>
          <w:color w:val="0000FF"/>
        </w:rPr>
        <w:tab/>
        <w:t xml:space="preserve">From the point of view of a CDR consumer who is the customer of a </w:t>
      </w:r>
      <w:r w:rsidR="00182338" w:rsidRPr="00693A57">
        <w:rPr>
          <w:color w:val="0000FF"/>
        </w:rPr>
        <w:t>CDR representative</w:t>
      </w:r>
      <w:r w:rsidRPr="00693A57">
        <w:rPr>
          <w:color w:val="0000FF"/>
        </w:rPr>
        <w:t xml:space="preserve">, the consumer deals only with the </w:t>
      </w:r>
      <w:r w:rsidR="00182338" w:rsidRPr="00693A57">
        <w:rPr>
          <w:color w:val="0000FF"/>
        </w:rPr>
        <w:t>CDR representative</w:t>
      </w:r>
      <w:r w:rsidRPr="00693A57">
        <w:rPr>
          <w:color w:val="0000FF"/>
        </w:rPr>
        <w:t xml:space="preserve">, as if it were an accredited person.  The consumer requests the goods or services from the </w:t>
      </w:r>
      <w:r w:rsidR="00182338" w:rsidRPr="00693A57">
        <w:rPr>
          <w:color w:val="0000FF"/>
        </w:rPr>
        <w:t>CDR representative</w:t>
      </w:r>
      <w:r w:rsidRPr="00693A57">
        <w:rPr>
          <w:color w:val="0000FF"/>
        </w:rPr>
        <w:t xml:space="preserve">; the </w:t>
      </w:r>
      <w:r w:rsidR="00182338" w:rsidRPr="00693A57">
        <w:rPr>
          <w:color w:val="0000FF"/>
        </w:rPr>
        <w:t>CDR representative</w:t>
      </w:r>
      <w:r w:rsidRPr="00693A57">
        <w:rPr>
          <w:color w:val="0000FF"/>
        </w:rPr>
        <w:t xml:space="preserve"> identifies the CDR data that it </w:t>
      </w:r>
      <w:r w:rsidRPr="00693A57">
        <w:rPr>
          <w:color w:val="0000FF"/>
        </w:rPr>
        <w:lastRenderedPageBreak/>
        <w:t xml:space="preserve">needs in order to provide the goods and services; the consumer gives their consent to the </w:t>
      </w:r>
      <w:r w:rsidR="00182338" w:rsidRPr="00693A57">
        <w:rPr>
          <w:color w:val="0000FF"/>
        </w:rPr>
        <w:t>CDR representative</w:t>
      </w:r>
      <w:r w:rsidRPr="00693A57">
        <w:rPr>
          <w:color w:val="0000FF"/>
        </w:rPr>
        <w:t xml:space="preserve"> for the collection and use of the CDR data.  The consumer is informed that the CDR principal will do the actual collecting, but as a background detail.</w:t>
      </w:r>
    </w:p>
    <w:p w14:paraId="24A5B46A" w14:textId="005C3218" w:rsidR="00B86207" w:rsidRPr="00693A57" w:rsidRDefault="00B86207" w:rsidP="00B86207">
      <w:pPr>
        <w:pStyle w:val="subsection"/>
        <w:rPr>
          <w:color w:val="0000FF"/>
        </w:rPr>
      </w:pPr>
      <w:r w:rsidRPr="00693A57">
        <w:rPr>
          <w:color w:val="0000FF"/>
        </w:rPr>
        <w:tab/>
        <w:t>(1)</w:t>
      </w:r>
      <w:r w:rsidRPr="00693A57">
        <w:rPr>
          <w:color w:val="0000FF"/>
        </w:rPr>
        <w:tab/>
        <w:t xml:space="preserve">For these rules, where two persons are the principal and the </w:t>
      </w:r>
      <w:r w:rsidR="00182338" w:rsidRPr="00693A57">
        <w:rPr>
          <w:color w:val="0000FF"/>
        </w:rPr>
        <w:t>representative</w:t>
      </w:r>
      <w:r w:rsidRPr="00693A57">
        <w:rPr>
          <w:color w:val="0000FF"/>
        </w:rPr>
        <w:t xml:space="preserve"> in a </w:t>
      </w:r>
      <w:r w:rsidR="00182338" w:rsidRPr="00693A57">
        <w:rPr>
          <w:color w:val="0000FF"/>
        </w:rPr>
        <w:t>CDR representative</w:t>
      </w:r>
      <w:r w:rsidRPr="00693A57">
        <w:rPr>
          <w:color w:val="0000FF"/>
        </w:rPr>
        <w:t xml:space="preserve"> arrangement, the </w:t>
      </w:r>
      <w:r w:rsidR="00182338" w:rsidRPr="00693A57">
        <w:rPr>
          <w:color w:val="0000FF"/>
        </w:rPr>
        <w:t>representative</w:t>
      </w:r>
      <w:r w:rsidRPr="00693A57">
        <w:rPr>
          <w:color w:val="0000FF"/>
        </w:rPr>
        <w:t xml:space="preserve"> is a </w:t>
      </w:r>
      <w:r w:rsidR="00182338" w:rsidRPr="00693A57">
        <w:rPr>
          <w:b/>
          <w:i/>
          <w:color w:val="0000FF"/>
        </w:rPr>
        <w:t>CDR representative</w:t>
      </w:r>
      <w:r w:rsidRPr="00693A57">
        <w:rPr>
          <w:b/>
          <w:i/>
          <w:color w:val="0000FF"/>
        </w:rPr>
        <w:t xml:space="preserve"> </w:t>
      </w:r>
      <w:r w:rsidRPr="00693A57">
        <w:rPr>
          <w:color w:val="0000FF"/>
        </w:rPr>
        <w:t>of the principal.</w:t>
      </w:r>
    </w:p>
    <w:p w14:paraId="04071F9A" w14:textId="014D7C96" w:rsidR="00B86207" w:rsidRPr="00693A57" w:rsidRDefault="00B86207" w:rsidP="00B86207">
      <w:pPr>
        <w:pStyle w:val="subsection"/>
        <w:rPr>
          <w:color w:val="0000FF"/>
        </w:rPr>
      </w:pPr>
      <w:r w:rsidRPr="00693A57">
        <w:rPr>
          <w:color w:val="0000FF"/>
        </w:rPr>
        <w:tab/>
        <w:t>(2)</w:t>
      </w:r>
      <w:r w:rsidRPr="00693A57">
        <w:rPr>
          <w:color w:val="0000FF"/>
        </w:rPr>
        <w:tab/>
        <w:t xml:space="preserve">For these rules, a </w:t>
      </w:r>
      <w:r w:rsidR="00182338" w:rsidRPr="00693A57">
        <w:rPr>
          <w:b/>
          <w:i/>
          <w:color w:val="0000FF"/>
        </w:rPr>
        <w:t>CDR representative</w:t>
      </w:r>
      <w:r w:rsidRPr="00693A57">
        <w:rPr>
          <w:b/>
          <w:i/>
          <w:color w:val="0000FF"/>
        </w:rPr>
        <w:t xml:space="preserve"> arrangement</w:t>
      </w:r>
      <w:r w:rsidRPr="00693A57">
        <w:rPr>
          <w:color w:val="0000FF"/>
        </w:rPr>
        <w:t xml:space="preserve"> is a written contract between a person with unrestricted accreditation (the </w:t>
      </w:r>
      <w:r w:rsidRPr="00693A57">
        <w:rPr>
          <w:b/>
          <w:i/>
          <w:color w:val="0000FF"/>
        </w:rPr>
        <w:t>principal</w:t>
      </w:r>
      <w:r w:rsidRPr="00693A57">
        <w:rPr>
          <w:color w:val="0000FF"/>
        </w:rPr>
        <w:t>)</w:t>
      </w:r>
      <w:r w:rsidRPr="00693A57">
        <w:rPr>
          <w:b/>
          <w:i/>
          <w:color w:val="0000FF"/>
        </w:rPr>
        <w:t xml:space="preserve"> </w:t>
      </w:r>
      <w:r w:rsidRPr="00693A57">
        <w:rPr>
          <w:color w:val="0000FF"/>
        </w:rPr>
        <w:t xml:space="preserve">and a person without accreditation (the </w:t>
      </w:r>
      <w:r w:rsidR="00182338" w:rsidRPr="00693A57">
        <w:rPr>
          <w:b/>
          <w:i/>
          <w:color w:val="0000FF"/>
        </w:rPr>
        <w:t>representative</w:t>
      </w:r>
      <w:r w:rsidRPr="00693A57">
        <w:rPr>
          <w:color w:val="0000FF"/>
        </w:rPr>
        <w:t>) under which:</w:t>
      </w:r>
    </w:p>
    <w:p w14:paraId="205414CD" w14:textId="6BCACAA1" w:rsidR="00B86207" w:rsidRPr="00693A57" w:rsidRDefault="00B86207" w:rsidP="00B86207">
      <w:pPr>
        <w:pStyle w:val="paragraph"/>
        <w:rPr>
          <w:color w:val="0000FF"/>
        </w:rPr>
      </w:pPr>
      <w:r w:rsidRPr="00693A57">
        <w:rPr>
          <w:color w:val="0000FF"/>
        </w:rPr>
        <w:tab/>
        <w:t>(a)</w:t>
      </w:r>
      <w:r w:rsidRPr="00693A57">
        <w:rPr>
          <w:color w:val="0000FF"/>
        </w:rPr>
        <w:tab/>
        <w:t xml:space="preserve">where the </w:t>
      </w:r>
      <w:r w:rsidR="00182338" w:rsidRPr="00693A57">
        <w:rPr>
          <w:color w:val="0000FF"/>
        </w:rPr>
        <w:t>representative</w:t>
      </w:r>
      <w:r w:rsidRPr="00693A57">
        <w:rPr>
          <w:color w:val="0000FF"/>
        </w:rPr>
        <w:t xml:space="preserve"> has obtained the consent of a CDR consumer to the collection and use of CDR data in accordance with rule </w:t>
      </w:r>
      <w:r w:rsidR="00EC1939" w:rsidRPr="00693A57">
        <w:rPr>
          <w:color w:val="0000FF"/>
        </w:rPr>
        <w:t>4.3A</w:t>
      </w:r>
      <w:r w:rsidRPr="00693A57">
        <w:rPr>
          <w:color w:val="0000FF"/>
        </w:rPr>
        <w:t>:</w:t>
      </w:r>
    </w:p>
    <w:p w14:paraId="54AEC0FE" w14:textId="77777777" w:rsidR="00B86207" w:rsidRPr="00693A57" w:rsidRDefault="00B86207" w:rsidP="00B86207">
      <w:pPr>
        <w:pStyle w:val="paragraphsub"/>
        <w:rPr>
          <w:color w:val="0000FF"/>
        </w:rPr>
      </w:pPr>
      <w:r w:rsidRPr="00693A57">
        <w:rPr>
          <w:color w:val="0000FF"/>
        </w:rPr>
        <w:tab/>
        <w:t>(i)</w:t>
      </w:r>
      <w:r w:rsidRPr="00693A57">
        <w:rPr>
          <w:color w:val="0000FF"/>
        </w:rPr>
        <w:tab/>
        <w:t>the principal will:</w:t>
      </w:r>
    </w:p>
    <w:p w14:paraId="4F2EC187" w14:textId="77777777" w:rsidR="00B86207" w:rsidRPr="00693A57" w:rsidRDefault="00B86207" w:rsidP="00B86207">
      <w:pPr>
        <w:pStyle w:val="paragraphsub-sub"/>
        <w:rPr>
          <w:color w:val="0000FF"/>
        </w:rPr>
      </w:pPr>
      <w:r w:rsidRPr="00693A57">
        <w:rPr>
          <w:color w:val="0000FF"/>
        </w:rPr>
        <w:tab/>
        <w:t>(A)</w:t>
      </w:r>
      <w:r w:rsidRPr="00693A57">
        <w:rPr>
          <w:color w:val="0000FF"/>
        </w:rPr>
        <w:tab/>
        <w:t>make any appropriate consumer data request; and</w:t>
      </w:r>
    </w:p>
    <w:p w14:paraId="4FC333C1" w14:textId="086FB128" w:rsidR="00B86207" w:rsidRPr="00693A57" w:rsidRDefault="00B86207" w:rsidP="00B86207">
      <w:pPr>
        <w:pStyle w:val="paragraphsub-sub"/>
        <w:rPr>
          <w:color w:val="0000FF"/>
        </w:rPr>
      </w:pPr>
      <w:r w:rsidRPr="00693A57">
        <w:rPr>
          <w:color w:val="0000FF"/>
        </w:rPr>
        <w:tab/>
        <w:t>(B)</w:t>
      </w:r>
      <w:r w:rsidRPr="00693A57">
        <w:rPr>
          <w:color w:val="0000FF"/>
        </w:rPr>
        <w:tab/>
        <w:t xml:space="preserve">disclose the relevant CDR data to the </w:t>
      </w:r>
      <w:r w:rsidR="00182338" w:rsidRPr="00693A57">
        <w:rPr>
          <w:color w:val="0000FF"/>
        </w:rPr>
        <w:t>representative</w:t>
      </w:r>
      <w:r w:rsidRPr="00693A57">
        <w:rPr>
          <w:color w:val="0000FF"/>
        </w:rPr>
        <w:t>; and</w:t>
      </w:r>
    </w:p>
    <w:p w14:paraId="0EA5598B" w14:textId="5A583045" w:rsidR="00B86207" w:rsidRPr="00693A57" w:rsidRDefault="00B86207" w:rsidP="00B86207">
      <w:pPr>
        <w:pStyle w:val="paragraphsub"/>
        <w:rPr>
          <w:color w:val="0000FF"/>
        </w:rPr>
      </w:pPr>
      <w:r w:rsidRPr="00693A57">
        <w:rPr>
          <w:color w:val="0000FF"/>
        </w:rPr>
        <w:tab/>
        <w:t>(ii)</w:t>
      </w:r>
      <w:r w:rsidRPr="00693A57">
        <w:rPr>
          <w:color w:val="0000FF"/>
        </w:rPr>
        <w:tab/>
        <w:t xml:space="preserve">the </w:t>
      </w:r>
      <w:r w:rsidR="00182338" w:rsidRPr="00693A57">
        <w:rPr>
          <w:color w:val="0000FF"/>
        </w:rPr>
        <w:t>representative</w:t>
      </w:r>
      <w:r w:rsidRPr="00693A57">
        <w:rPr>
          <w:color w:val="0000FF"/>
        </w:rPr>
        <w:t xml:space="preserve"> will use the CDR data to provide the relevant goods or services to the CDR consumer; and</w:t>
      </w:r>
    </w:p>
    <w:p w14:paraId="7868E895" w14:textId="4060BF52" w:rsidR="00B86207" w:rsidRPr="00693A57" w:rsidRDefault="00B86207" w:rsidP="00B86207">
      <w:pPr>
        <w:pStyle w:val="paragraph"/>
        <w:rPr>
          <w:color w:val="0000FF"/>
        </w:rPr>
      </w:pPr>
      <w:r w:rsidRPr="00693A57">
        <w:rPr>
          <w:color w:val="0000FF"/>
        </w:rPr>
        <w:tab/>
        <w:t>(b)</w:t>
      </w:r>
      <w:r w:rsidRPr="00693A57">
        <w:rPr>
          <w:color w:val="0000FF"/>
        </w:rPr>
        <w:tab/>
        <w:t xml:space="preserve">the </w:t>
      </w:r>
      <w:r w:rsidR="00182338" w:rsidRPr="00693A57">
        <w:rPr>
          <w:color w:val="0000FF"/>
        </w:rPr>
        <w:t>representative</w:t>
      </w:r>
      <w:r w:rsidRPr="00693A57">
        <w:rPr>
          <w:color w:val="0000FF"/>
        </w:rPr>
        <w:t xml:space="preserve"> must not enter into another </w:t>
      </w:r>
      <w:r w:rsidR="00182338" w:rsidRPr="00693A57">
        <w:rPr>
          <w:color w:val="0000FF"/>
        </w:rPr>
        <w:t>CDR representative</w:t>
      </w:r>
      <w:r w:rsidRPr="00693A57">
        <w:rPr>
          <w:color w:val="0000FF"/>
        </w:rPr>
        <w:t xml:space="preserve"> arrangement;</w:t>
      </w:r>
    </w:p>
    <w:p w14:paraId="6BAF9A15" w14:textId="73BE6975" w:rsidR="00B86207" w:rsidRPr="00693A57" w:rsidRDefault="0088284A" w:rsidP="00B86207">
      <w:pPr>
        <w:pStyle w:val="paragraph"/>
        <w:rPr>
          <w:color w:val="0000FF"/>
        </w:rPr>
      </w:pPr>
      <w:r w:rsidRPr="00693A57">
        <w:rPr>
          <w:color w:val="0000FF"/>
        </w:rPr>
        <w:tab/>
        <w:t>(c</w:t>
      </w:r>
      <w:r w:rsidR="00B86207" w:rsidRPr="00693A57">
        <w:rPr>
          <w:color w:val="0000FF"/>
        </w:rPr>
        <w:t>)</w:t>
      </w:r>
      <w:r w:rsidR="00B86207" w:rsidRPr="00693A57">
        <w:rPr>
          <w:color w:val="0000FF"/>
        </w:rPr>
        <w:tab/>
        <w:t xml:space="preserve">the </w:t>
      </w:r>
      <w:r w:rsidR="00182338" w:rsidRPr="00693A57">
        <w:rPr>
          <w:color w:val="0000FF"/>
        </w:rPr>
        <w:t>representative</w:t>
      </w:r>
      <w:r w:rsidR="00B86207" w:rsidRPr="00693A57">
        <w:rPr>
          <w:color w:val="0000FF"/>
        </w:rPr>
        <w:t xml:space="preserve"> is required to comply with the following requirements in relation to any service data:</w:t>
      </w:r>
    </w:p>
    <w:p w14:paraId="22342D68" w14:textId="06F3086B" w:rsidR="000B109D" w:rsidRPr="00693A57" w:rsidRDefault="000B109D" w:rsidP="000B109D">
      <w:pPr>
        <w:pStyle w:val="paragraphsub"/>
        <w:rPr>
          <w:color w:val="0000FF"/>
        </w:rPr>
      </w:pPr>
      <w:r w:rsidRPr="00693A57">
        <w:rPr>
          <w:color w:val="0000FF"/>
        </w:rPr>
        <w:tab/>
        <w:t>(i)</w:t>
      </w:r>
      <w:r w:rsidRPr="00693A57">
        <w:rPr>
          <w:color w:val="0000FF"/>
        </w:rPr>
        <w:tab/>
        <w:t xml:space="preserve">in holding, using or disclosing the service data, the </w:t>
      </w:r>
      <w:r w:rsidR="00182338" w:rsidRPr="00693A57">
        <w:rPr>
          <w:color w:val="0000FF"/>
        </w:rPr>
        <w:t>representative</w:t>
      </w:r>
      <w:r w:rsidRPr="00693A57">
        <w:rPr>
          <w:color w:val="0000FF"/>
        </w:rPr>
        <w:t xml:space="preserve"> </w:t>
      </w:r>
      <w:r w:rsidR="00110ECD" w:rsidRPr="00693A57">
        <w:rPr>
          <w:color w:val="0000FF"/>
        </w:rPr>
        <w:t>must</w:t>
      </w:r>
      <w:r w:rsidRPr="00693A57">
        <w:rPr>
          <w:color w:val="0000FF"/>
        </w:rPr>
        <w:t xml:space="preserve"> comply with:</w:t>
      </w:r>
    </w:p>
    <w:p w14:paraId="46BEB297" w14:textId="240C68F4" w:rsidR="000B109D" w:rsidRPr="00693A57" w:rsidRDefault="000B109D" w:rsidP="000B109D">
      <w:pPr>
        <w:pStyle w:val="paragraphsub-sub"/>
        <w:rPr>
          <w:color w:val="0000FF"/>
        </w:rPr>
      </w:pPr>
      <w:r w:rsidRPr="00693A57">
        <w:rPr>
          <w:color w:val="0000FF"/>
        </w:rPr>
        <w:tab/>
        <w:t>(A)</w:t>
      </w:r>
      <w:r w:rsidRPr="00693A57">
        <w:rPr>
          <w:color w:val="0000FF"/>
        </w:rPr>
        <w:tab/>
        <w:t>section 52EE of the Act (privacy safeguard 2);</w:t>
      </w:r>
    </w:p>
    <w:p w14:paraId="1CD63375" w14:textId="0B232991" w:rsidR="000B109D" w:rsidRPr="00693A57" w:rsidRDefault="000B109D" w:rsidP="000B109D">
      <w:pPr>
        <w:pStyle w:val="paragraphsub-sub"/>
        <w:rPr>
          <w:color w:val="0000FF"/>
        </w:rPr>
      </w:pPr>
      <w:r w:rsidRPr="00693A57">
        <w:rPr>
          <w:color w:val="0000FF"/>
        </w:rPr>
        <w:tab/>
        <w:t>(b)</w:t>
      </w:r>
      <w:r w:rsidRPr="00693A57">
        <w:rPr>
          <w:color w:val="0000FF"/>
        </w:rPr>
        <w:tab/>
        <w:t xml:space="preserve">section 52EG of the Act (privacy safeguard 4); </w:t>
      </w:r>
    </w:p>
    <w:p w14:paraId="6080D8DB" w14:textId="13F058F2" w:rsidR="000B109D" w:rsidRPr="00693A57" w:rsidRDefault="000B109D" w:rsidP="000B109D">
      <w:pPr>
        <w:pStyle w:val="paragraphsub-sub"/>
        <w:rPr>
          <w:color w:val="0000FF"/>
        </w:rPr>
      </w:pPr>
      <w:r w:rsidRPr="00693A57">
        <w:rPr>
          <w:color w:val="0000FF"/>
        </w:rPr>
        <w:tab/>
        <w:t>(C)</w:t>
      </w:r>
      <w:r w:rsidRPr="00693A57">
        <w:rPr>
          <w:color w:val="0000FF"/>
        </w:rPr>
        <w:tab/>
        <w:t xml:space="preserve">subsection 56EN(2) of the Act (privacy safeguard 11); </w:t>
      </w:r>
    </w:p>
    <w:p w14:paraId="4A0C4318" w14:textId="03BAC44B" w:rsidR="000B109D" w:rsidRPr="00693A57" w:rsidRDefault="000B109D" w:rsidP="000B109D">
      <w:pPr>
        <w:pStyle w:val="paragraphsub-sub"/>
        <w:rPr>
          <w:color w:val="0000FF"/>
        </w:rPr>
      </w:pPr>
      <w:r w:rsidRPr="00693A57">
        <w:rPr>
          <w:color w:val="0000FF"/>
        </w:rPr>
        <w:tab/>
        <w:t>(D)</w:t>
      </w:r>
      <w:r w:rsidRPr="00693A57">
        <w:rPr>
          <w:color w:val="0000FF"/>
        </w:rPr>
        <w:tab/>
        <w:t>section 56EO of the Act (privacy safeguard 12)</w:t>
      </w:r>
      <w:r w:rsidR="00110ECD" w:rsidRPr="00693A57">
        <w:rPr>
          <w:color w:val="0000FF"/>
        </w:rPr>
        <w:t>; and</w:t>
      </w:r>
    </w:p>
    <w:p w14:paraId="2F092A1E" w14:textId="3F3B7616" w:rsidR="00110ECD" w:rsidRPr="00693A57" w:rsidRDefault="00110ECD" w:rsidP="000B109D">
      <w:pPr>
        <w:pStyle w:val="paragraphsub-sub"/>
        <w:rPr>
          <w:color w:val="0000FF"/>
        </w:rPr>
      </w:pPr>
      <w:r w:rsidRPr="00693A57">
        <w:rPr>
          <w:color w:val="0000FF"/>
        </w:rPr>
        <w:tab/>
        <w:t>(E)</w:t>
      </w:r>
      <w:r w:rsidRPr="00693A57">
        <w:rPr>
          <w:color w:val="0000FF"/>
        </w:rPr>
        <w:tab/>
        <w:t>subsection 56EP(2) of the Act (privacy safeguard 13);</w:t>
      </w:r>
    </w:p>
    <w:p w14:paraId="7D89955E" w14:textId="1D0D8748" w:rsidR="000B109D" w:rsidRPr="00693A57" w:rsidRDefault="000B109D" w:rsidP="000B109D">
      <w:pPr>
        <w:pStyle w:val="paragraphsub"/>
        <w:rPr>
          <w:color w:val="0000FF"/>
        </w:rPr>
      </w:pPr>
      <w:r w:rsidRPr="00693A57">
        <w:rPr>
          <w:color w:val="0000FF"/>
        </w:rPr>
        <w:tab/>
      </w:r>
      <w:r w:rsidRPr="00693A57">
        <w:rPr>
          <w:color w:val="0000FF"/>
        </w:rPr>
        <w:tab/>
        <w:t>as if it were the principal;</w:t>
      </w:r>
      <w:r w:rsidRPr="00693A57">
        <w:rPr>
          <w:color w:val="0000FF"/>
        </w:rPr>
        <w:tab/>
      </w:r>
    </w:p>
    <w:p w14:paraId="4AB6FE81" w14:textId="109F0DDB" w:rsidR="00B86207" w:rsidRPr="00693A57" w:rsidRDefault="00B86207" w:rsidP="00B86207">
      <w:pPr>
        <w:pStyle w:val="paragraphsub"/>
        <w:rPr>
          <w:color w:val="0000FF"/>
        </w:rPr>
      </w:pPr>
      <w:r w:rsidRPr="00693A57">
        <w:rPr>
          <w:color w:val="0000FF"/>
        </w:rPr>
        <w:tab/>
        <w:t>(</w:t>
      </w:r>
      <w:r w:rsidR="000B109D" w:rsidRPr="00693A57">
        <w:rPr>
          <w:color w:val="0000FF"/>
        </w:rPr>
        <w:t>i</w:t>
      </w:r>
      <w:r w:rsidRPr="00693A57">
        <w:rPr>
          <w:color w:val="0000FF"/>
        </w:rPr>
        <w:t>i)</w:t>
      </w:r>
      <w:r w:rsidRPr="00693A57">
        <w:rPr>
          <w:color w:val="0000FF"/>
        </w:rPr>
        <w:tab/>
        <w:t xml:space="preserve">the </w:t>
      </w:r>
      <w:r w:rsidR="00182338" w:rsidRPr="00693A57">
        <w:rPr>
          <w:color w:val="0000FF"/>
        </w:rPr>
        <w:t>representative</w:t>
      </w:r>
      <w:r w:rsidRPr="00693A57">
        <w:rPr>
          <w:color w:val="0000FF"/>
        </w:rPr>
        <w:t xml:space="preserve"> must take the steps in Schedule 2 to protect the service data as if it were </w:t>
      </w:r>
      <w:r w:rsidR="00110ECD" w:rsidRPr="00693A57">
        <w:rPr>
          <w:color w:val="0000FF"/>
        </w:rPr>
        <w:t>the principal</w:t>
      </w:r>
      <w:r w:rsidRPr="00693A57">
        <w:rPr>
          <w:color w:val="0000FF"/>
        </w:rPr>
        <w:t>; and</w:t>
      </w:r>
    </w:p>
    <w:p w14:paraId="694E83D6" w14:textId="67BBBD5B" w:rsidR="00B86207" w:rsidRPr="00693A57" w:rsidRDefault="00B86207" w:rsidP="00B86207">
      <w:pPr>
        <w:pStyle w:val="paragraphsub"/>
        <w:rPr>
          <w:color w:val="0000FF"/>
        </w:rPr>
      </w:pPr>
      <w:r w:rsidRPr="00693A57">
        <w:rPr>
          <w:color w:val="0000FF"/>
        </w:rPr>
        <w:tab/>
        <w:t>(i</w:t>
      </w:r>
      <w:r w:rsidR="000B109D" w:rsidRPr="00693A57">
        <w:rPr>
          <w:color w:val="0000FF"/>
        </w:rPr>
        <w:t>i</w:t>
      </w:r>
      <w:r w:rsidRPr="00693A57">
        <w:rPr>
          <w:color w:val="0000FF"/>
        </w:rPr>
        <w:t>i)</w:t>
      </w:r>
      <w:r w:rsidRPr="00693A57">
        <w:rPr>
          <w:color w:val="0000FF"/>
        </w:rPr>
        <w:tab/>
        <w:t xml:space="preserve">the </w:t>
      </w:r>
      <w:r w:rsidR="00182338" w:rsidRPr="00693A57">
        <w:rPr>
          <w:color w:val="0000FF"/>
        </w:rPr>
        <w:t>representative</w:t>
      </w:r>
      <w:r w:rsidRPr="00693A57">
        <w:rPr>
          <w:color w:val="0000FF"/>
        </w:rPr>
        <w:t xml:space="preserve"> must not use or disclose the service data other than in accordance with a contract with the principal;</w:t>
      </w:r>
    </w:p>
    <w:p w14:paraId="042494F1" w14:textId="73E1664F" w:rsidR="00B86207" w:rsidRPr="00693A57" w:rsidRDefault="00B86207" w:rsidP="00B86207">
      <w:pPr>
        <w:pStyle w:val="paragraphsub"/>
        <w:rPr>
          <w:color w:val="0000FF"/>
        </w:rPr>
      </w:pPr>
      <w:r w:rsidRPr="00693A57">
        <w:rPr>
          <w:color w:val="0000FF"/>
        </w:rPr>
        <w:tab/>
        <w:t>(</w:t>
      </w:r>
      <w:r w:rsidR="000B109D" w:rsidRPr="00693A57">
        <w:rPr>
          <w:color w:val="0000FF"/>
        </w:rPr>
        <w:t>iv</w:t>
      </w:r>
      <w:r w:rsidR="00110ECD" w:rsidRPr="00693A57">
        <w:rPr>
          <w:color w:val="0000FF"/>
        </w:rPr>
        <w:t>)</w:t>
      </w:r>
      <w:r w:rsidR="00110ECD" w:rsidRPr="00693A57">
        <w:rPr>
          <w:color w:val="0000FF"/>
        </w:rPr>
        <w:tab/>
      </w:r>
      <w:r w:rsidRPr="00693A57">
        <w:rPr>
          <w:color w:val="0000FF"/>
        </w:rPr>
        <w:t xml:space="preserve">the </w:t>
      </w:r>
      <w:r w:rsidR="00182338" w:rsidRPr="00693A57">
        <w:rPr>
          <w:color w:val="0000FF"/>
        </w:rPr>
        <w:t>representative</w:t>
      </w:r>
      <w:r w:rsidRPr="00693A57">
        <w:rPr>
          <w:color w:val="0000FF"/>
        </w:rPr>
        <w:t xml:space="preserve"> must, when so directed by the principal, do any of the following:</w:t>
      </w:r>
    </w:p>
    <w:p w14:paraId="0A72A01F" w14:textId="77777777" w:rsidR="00B86207" w:rsidRPr="00693A57" w:rsidRDefault="00B86207" w:rsidP="00B86207">
      <w:pPr>
        <w:pStyle w:val="paragraphsub-sub"/>
        <w:rPr>
          <w:color w:val="0000FF"/>
        </w:rPr>
      </w:pPr>
      <w:r w:rsidRPr="00693A57">
        <w:rPr>
          <w:color w:val="0000FF"/>
        </w:rPr>
        <w:tab/>
        <w:t>(A)</w:t>
      </w:r>
      <w:r w:rsidRPr="00693A57">
        <w:rPr>
          <w:color w:val="0000FF"/>
        </w:rPr>
        <w:tab/>
        <w:t>delete any service data that it holds in accordance with the CDR data deletion process;</w:t>
      </w:r>
    </w:p>
    <w:p w14:paraId="6A756C13" w14:textId="77777777" w:rsidR="00B86207" w:rsidRPr="00693A57" w:rsidRDefault="00B86207" w:rsidP="00B86207">
      <w:pPr>
        <w:pStyle w:val="paragraphsub-sub"/>
        <w:rPr>
          <w:color w:val="0000FF"/>
        </w:rPr>
      </w:pPr>
      <w:r w:rsidRPr="00693A57">
        <w:rPr>
          <w:color w:val="0000FF"/>
        </w:rPr>
        <w:tab/>
        <w:t>(B)</w:t>
      </w:r>
      <w:r w:rsidRPr="00693A57">
        <w:rPr>
          <w:color w:val="0000FF"/>
        </w:rPr>
        <w:tab/>
        <w:t>provide, to the principal, records of any deletion that are required to be made under the CDR data deletion process;</w:t>
      </w:r>
    </w:p>
    <w:p w14:paraId="7A7FA9DE" w14:textId="77777777" w:rsidR="001A281A" w:rsidRPr="00693A57" w:rsidRDefault="00B86207" w:rsidP="00B86207">
      <w:pPr>
        <w:pStyle w:val="paragraphsub-sub"/>
        <w:rPr>
          <w:color w:val="0000FF"/>
        </w:rPr>
      </w:pPr>
      <w:r w:rsidRPr="00693A57">
        <w:rPr>
          <w:color w:val="0000FF"/>
        </w:rPr>
        <w:tab/>
        <w:t>(C)</w:t>
      </w:r>
      <w:r w:rsidRPr="00693A57">
        <w:rPr>
          <w:color w:val="0000FF"/>
        </w:rPr>
        <w:tab/>
        <w:t xml:space="preserve">direct any </w:t>
      </w:r>
      <w:r w:rsidR="003C23E8" w:rsidRPr="00693A57">
        <w:rPr>
          <w:color w:val="0000FF"/>
        </w:rPr>
        <w:t>outsourced service provider</w:t>
      </w:r>
      <w:r w:rsidRPr="00693A57">
        <w:rPr>
          <w:color w:val="0000FF"/>
        </w:rPr>
        <w:t xml:space="preserve"> to which it has disclosed CDR data to take corresponding steps</w:t>
      </w:r>
      <w:r w:rsidR="001A281A" w:rsidRPr="00693A57">
        <w:rPr>
          <w:color w:val="0000FF"/>
        </w:rPr>
        <w:t>;</w:t>
      </w:r>
    </w:p>
    <w:p w14:paraId="35BFF230" w14:textId="4486B7C4" w:rsidR="00B86207" w:rsidRPr="00693A57" w:rsidRDefault="0088284A" w:rsidP="000B109D">
      <w:pPr>
        <w:pStyle w:val="paragraph"/>
        <w:rPr>
          <w:color w:val="0000FF"/>
        </w:rPr>
      </w:pPr>
      <w:r w:rsidRPr="00693A57">
        <w:rPr>
          <w:color w:val="0000FF"/>
        </w:rPr>
        <w:tab/>
        <w:t>(d</w:t>
      </w:r>
      <w:r w:rsidR="001A281A" w:rsidRPr="00693A57">
        <w:rPr>
          <w:color w:val="0000FF"/>
        </w:rPr>
        <w:t>)</w:t>
      </w:r>
      <w:r w:rsidR="001A281A" w:rsidRPr="00693A57">
        <w:rPr>
          <w:color w:val="0000FF"/>
        </w:rPr>
        <w:tab/>
        <w:t xml:space="preserve">the </w:t>
      </w:r>
      <w:r w:rsidR="00182338" w:rsidRPr="00693A57">
        <w:rPr>
          <w:color w:val="0000FF"/>
        </w:rPr>
        <w:t>representative</w:t>
      </w:r>
      <w:r w:rsidR="001A281A" w:rsidRPr="00693A57">
        <w:rPr>
          <w:color w:val="0000FF"/>
        </w:rPr>
        <w:t xml:space="preserve"> </w:t>
      </w:r>
      <w:r w:rsidR="007E0700" w:rsidRPr="00693A57">
        <w:rPr>
          <w:color w:val="0000FF"/>
        </w:rPr>
        <w:t>is required to</w:t>
      </w:r>
      <w:r w:rsidR="001A281A" w:rsidRPr="00693A57">
        <w:rPr>
          <w:color w:val="0000FF"/>
        </w:rPr>
        <w:t xml:space="preserve"> </w:t>
      </w:r>
      <w:r w:rsidR="0086671F" w:rsidRPr="00693A57">
        <w:rPr>
          <w:color w:val="0000FF"/>
        </w:rPr>
        <w:t xml:space="preserve">adopt and comply with the </w:t>
      </w:r>
      <w:r w:rsidR="001A281A" w:rsidRPr="00693A57">
        <w:rPr>
          <w:color w:val="0000FF"/>
        </w:rPr>
        <w:t>principal’s CDR policy in relation to the service data.</w:t>
      </w:r>
    </w:p>
    <w:p w14:paraId="1FBAFAC0" w14:textId="77777777" w:rsidR="00B86207" w:rsidRPr="00693A57" w:rsidRDefault="00B86207" w:rsidP="00B86207">
      <w:pPr>
        <w:pStyle w:val="notetext"/>
        <w:rPr>
          <w:color w:val="0000FF"/>
        </w:rPr>
      </w:pPr>
      <w:r w:rsidRPr="00693A57">
        <w:rPr>
          <w:color w:val="0000FF"/>
        </w:rPr>
        <w:t>Note:</w:t>
      </w:r>
      <w:r w:rsidRPr="00693A57">
        <w:rPr>
          <w:color w:val="0000FF"/>
        </w:rPr>
        <w:tab/>
        <w:t>See rule 1.18 for the definition of “CDR data deletion process”.</w:t>
      </w:r>
    </w:p>
    <w:p w14:paraId="63324D06" w14:textId="1BC5491A" w:rsidR="00B86207" w:rsidRPr="00693A57" w:rsidRDefault="00B86207" w:rsidP="00B86207">
      <w:pPr>
        <w:pStyle w:val="subsection"/>
        <w:rPr>
          <w:color w:val="0000FF"/>
        </w:rPr>
      </w:pPr>
      <w:r w:rsidRPr="00693A57">
        <w:rPr>
          <w:color w:val="0000FF"/>
        </w:rPr>
        <w:lastRenderedPageBreak/>
        <w:tab/>
        <w:t>(3)</w:t>
      </w:r>
      <w:r w:rsidRPr="00693A57">
        <w:rPr>
          <w:color w:val="0000FF"/>
        </w:rPr>
        <w:tab/>
        <w:t xml:space="preserve">For these rules, the </w:t>
      </w:r>
      <w:r w:rsidRPr="00693A57">
        <w:rPr>
          <w:b/>
          <w:i/>
          <w:color w:val="0000FF"/>
        </w:rPr>
        <w:t xml:space="preserve">service data </w:t>
      </w:r>
      <w:r w:rsidRPr="00693A57">
        <w:rPr>
          <w:color w:val="0000FF"/>
        </w:rPr>
        <w:t xml:space="preserve">in relation to a </w:t>
      </w:r>
      <w:r w:rsidR="00182338" w:rsidRPr="00693A57">
        <w:rPr>
          <w:color w:val="0000FF"/>
        </w:rPr>
        <w:t>CDR representative</w:t>
      </w:r>
      <w:r w:rsidRPr="00693A57">
        <w:rPr>
          <w:color w:val="0000FF"/>
        </w:rPr>
        <w:t xml:space="preserve"> arrangement consists of any CDR data that: </w:t>
      </w:r>
    </w:p>
    <w:p w14:paraId="1BC1BEA4" w14:textId="51EBFFE8" w:rsidR="00B86207" w:rsidRPr="00693A57" w:rsidRDefault="00B86207" w:rsidP="00B86207">
      <w:pPr>
        <w:pStyle w:val="paragraph"/>
        <w:rPr>
          <w:color w:val="0000FF"/>
        </w:rPr>
      </w:pPr>
      <w:r w:rsidRPr="00693A57">
        <w:rPr>
          <w:color w:val="0000FF"/>
        </w:rPr>
        <w:tab/>
        <w:t>(a)</w:t>
      </w:r>
      <w:r w:rsidRPr="00693A57">
        <w:rPr>
          <w:color w:val="0000FF"/>
        </w:rPr>
        <w:tab/>
        <w:t xml:space="preserve">was disclosed to the </w:t>
      </w:r>
      <w:r w:rsidR="00182338" w:rsidRPr="00693A57">
        <w:rPr>
          <w:color w:val="0000FF"/>
        </w:rPr>
        <w:t>CDR representative</w:t>
      </w:r>
      <w:r w:rsidRPr="00693A57">
        <w:rPr>
          <w:color w:val="0000FF"/>
        </w:rPr>
        <w:t xml:space="preserve"> for the purposes of the arrangement; or</w:t>
      </w:r>
    </w:p>
    <w:p w14:paraId="72BB5CC9" w14:textId="77777777" w:rsidR="00B86207" w:rsidRPr="00693A57" w:rsidRDefault="00B86207" w:rsidP="00B86207">
      <w:pPr>
        <w:pStyle w:val="paragraph"/>
        <w:rPr>
          <w:color w:val="0000FF"/>
        </w:rPr>
      </w:pPr>
      <w:r w:rsidRPr="00693A57">
        <w:rPr>
          <w:color w:val="0000FF"/>
        </w:rPr>
        <w:tab/>
        <w:t>(b)</w:t>
      </w:r>
      <w:r w:rsidRPr="00693A57">
        <w:rPr>
          <w:color w:val="0000FF"/>
        </w:rPr>
        <w:tab/>
        <w:t>directly or indirectly derives from such CDR data.</w:t>
      </w:r>
    </w:p>
    <w:p w14:paraId="7063EA54" w14:textId="77777777" w:rsidR="00CF0E3D" w:rsidRPr="00BB7AC8" w:rsidRDefault="00CF0E3D" w:rsidP="00CF0E3D">
      <w:pPr>
        <w:pStyle w:val="ActHead5"/>
      </w:pPr>
      <w:bookmarkStart w:id="30" w:name="_Toc77064825"/>
      <w:r w:rsidRPr="00BB7AC8">
        <w:t>1.10A  Types of consents</w:t>
      </w:r>
      <w:bookmarkEnd w:id="28"/>
      <w:bookmarkEnd w:id="29"/>
      <w:bookmarkEnd w:id="30"/>
    </w:p>
    <w:p w14:paraId="44218C6E" w14:textId="77777777" w:rsidR="00CF0E3D" w:rsidRPr="00BB7AC8" w:rsidRDefault="00CF0E3D" w:rsidP="00CF0E3D">
      <w:pPr>
        <w:pStyle w:val="subsection"/>
      </w:pPr>
      <w:r w:rsidRPr="00BB7AC8">
        <w:tab/>
        <w:t>(1)</w:t>
      </w:r>
      <w:r w:rsidRPr="00BB7AC8">
        <w:tab/>
        <w:t>For these rules:</w:t>
      </w:r>
    </w:p>
    <w:p w14:paraId="561531CD" w14:textId="6FB7BB4B" w:rsidR="00CF0E3D" w:rsidRPr="00BB7AC8" w:rsidRDefault="00CF0E3D" w:rsidP="00CF0E3D">
      <w:pPr>
        <w:pStyle w:val="paragraph"/>
      </w:pPr>
      <w:r w:rsidRPr="00BB7AC8">
        <w:rPr>
          <w:b/>
          <w:i/>
        </w:rPr>
        <w:tab/>
      </w:r>
      <w:r w:rsidRPr="00BB7AC8">
        <w:t>(a)</w:t>
      </w:r>
      <w:r w:rsidRPr="00BB7AC8">
        <w:tab/>
        <w:t xml:space="preserve">a </w:t>
      </w:r>
      <w:r w:rsidRPr="00BB7AC8">
        <w:rPr>
          <w:b/>
          <w:i/>
        </w:rPr>
        <w:t xml:space="preserve">collection consent </w:t>
      </w:r>
      <w:r w:rsidRPr="00BB7AC8">
        <w:t>is a consent given by a CDR consumer under these rules for an accredited person to</w:t>
      </w:r>
      <w:r w:rsidR="00B82440">
        <w:t xml:space="preserve"> </w:t>
      </w:r>
      <w:r w:rsidRPr="00BB7AC8">
        <w:t>collect particular CDR data from a CDR participant for that CDR data; and</w:t>
      </w:r>
    </w:p>
    <w:p w14:paraId="06245726" w14:textId="77777777" w:rsidR="00CF0E3D" w:rsidRPr="00BB7AC8" w:rsidRDefault="00CF0E3D" w:rsidP="00CF0E3D">
      <w:pPr>
        <w:pStyle w:val="paragraph"/>
      </w:pPr>
      <w:r w:rsidRPr="00BB7AC8">
        <w:rPr>
          <w:b/>
          <w:i/>
        </w:rPr>
        <w:tab/>
      </w:r>
      <w:r w:rsidRPr="00BB7AC8">
        <w:t>(b)</w:t>
      </w:r>
      <w:r w:rsidRPr="00BB7AC8">
        <w:rPr>
          <w:b/>
          <w:i/>
        </w:rPr>
        <w:tab/>
      </w:r>
      <w:r w:rsidRPr="00BB7AC8">
        <w:t>a</w:t>
      </w:r>
      <w:r w:rsidRPr="00BB7AC8">
        <w:rPr>
          <w:b/>
          <w:i/>
        </w:rPr>
        <w:t xml:space="preserve"> use consent </w:t>
      </w:r>
      <w:r w:rsidRPr="00BB7AC8">
        <w:t>is a consent given by a CDR consumer under these rules for an accredited data recipient of particular CDR data to use that CDR data in a particular way; and</w:t>
      </w:r>
    </w:p>
    <w:p w14:paraId="3B2FFFD5" w14:textId="77777777" w:rsidR="00CF0E3D" w:rsidRPr="00BB7AC8" w:rsidRDefault="00CF0E3D" w:rsidP="00CF0E3D">
      <w:pPr>
        <w:pStyle w:val="paragraph"/>
      </w:pPr>
      <w:r w:rsidRPr="00BB7AC8">
        <w:rPr>
          <w:b/>
          <w:i/>
        </w:rPr>
        <w:tab/>
      </w:r>
      <w:r w:rsidRPr="00BB7AC8">
        <w:t>(c)</w:t>
      </w:r>
      <w:r w:rsidRPr="00BB7AC8">
        <w:tab/>
        <w:t xml:space="preserve">a </w:t>
      </w:r>
      <w:r w:rsidRPr="00BB7AC8">
        <w:rPr>
          <w:b/>
          <w:i/>
        </w:rPr>
        <w:t xml:space="preserve">disclosure consent </w:t>
      </w:r>
      <w:r w:rsidRPr="00BB7AC8">
        <w:t>is a consent given by a CDR consumer under these rules for an accredited data recipient of particular CDR data to disclose that CDR data:</w:t>
      </w:r>
    </w:p>
    <w:p w14:paraId="3B765C9B" w14:textId="77777777" w:rsidR="00CF0E3D" w:rsidRPr="00BB7AC8" w:rsidRDefault="00CF0E3D" w:rsidP="00CF0E3D">
      <w:pPr>
        <w:pStyle w:val="paragraphsub"/>
      </w:pPr>
      <w:r w:rsidRPr="00BB7AC8">
        <w:tab/>
        <w:t>(i)</w:t>
      </w:r>
      <w:r w:rsidRPr="00BB7AC8">
        <w:tab/>
        <w:t xml:space="preserve">to an accredited person in response to a consumer data request (an </w:t>
      </w:r>
      <w:r w:rsidRPr="00BB7AC8">
        <w:rPr>
          <w:b/>
          <w:i/>
        </w:rPr>
        <w:t>AP disclosure consent</w:t>
      </w:r>
      <w:r w:rsidRPr="00BB7AC8">
        <w:t>); or</w:t>
      </w:r>
    </w:p>
    <w:p w14:paraId="5FD84B89" w14:textId="176A1A35" w:rsidR="00D65475" w:rsidRPr="00693A57" w:rsidRDefault="00CF0E3D" w:rsidP="00CF0E3D">
      <w:pPr>
        <w:pStyle w:val="paragraphsub"/>
        <w:rPr>
          <w:color w:val="0000FF"/>
        </w:rPr>
      </w:pPr>
      <w:r w:rsidRPr="00B61E66">
        <w:tab/>
      </w:r>
      <w:r w:rsidRPr="00450982">
        <w:t>(ii)</w:t>
      </w:r>
      <w:r w:rsidRPr="00450982">
        <w:tab/>
        <w:t>to an</w:t>
      </w:r>
      <w:r w:rsidRPr="00B61E66">
        <w:t xml:space="preserve"> accredited person for the purposes of direct marketing;</w:t>
      </w:r>
      <w:r w:rsidR="00D65475">
        <w:t xml:space="preserve"> </w:t>
      </w:r>
      <w:r w:rsidR="00D65475" w:rsidRPr="00693A57">
        <w:rPr>
          <w:color w:val="0000FF"/>
        </w:rPr>
        <w:t>or</w:t>
      </w:r>
    </w:p>
    <w:p w14:paraId="50802AF9" w14:textId="3102B610" w:rsidR="00D65475" w:rsidRPr="00693A57" w:rsidRDefault="00D65475" w:rsidP="00D65475">
      <w:pPr>
        <w:pStyle w:val="paragraphsub"/>
        <w:rPr>
          <w:color w:val="0000FF"/>
        </w:rPr>
      </w:pPr>
      <w:r w:rsidRPr="00693A57">
        <w:rPr>
          <w:color w:val="0000FF"/>
        </w:rPr>
        <w:tab/>
        <w:t>(iii)</w:t>
      </w:r>
      <w:r w:rsidR="0038477E" w:rsidRPr="00693A57">
        <w:rPr>
          <w:color w:val="0000FF"/>
        </w:rPr>
        <w:tab/>
        <w:t>to a trusted advise</w:t>
      </w:r>
      <w:r w:rsidRPr="00693A57">
        <w:rPr>
          <w:color w:val="0000FF"/>
        </w:rPr>
        <w:t xml:space="preserve">r of the CDR consumer (a </w:t>
      </w:r>
      <w:r w:rsidRPr="00693A57">
        <w:rPr>
          <w:b/>
          <w:i/>
          <w:color w:val="0000FF"/>
        </w:rPr>
        <w:t>TA disclosure consent</w:t>
      </w:r>
      <w:r w:rsidRPr="00693A57">
        <w:rPr>
          <w:color w:val="0000FF"/>
        </w:rPr>
        <w:t>); or</w:t>
      </w:r>
    </w:p>
    <w:p w14:paraId="46CB7210" w14:textId="2953C19B" w:rsidR="00CF0E3D" w:rsidRPr="00B61E66" w:rsidRDefault="00D65475" w:rsidP="00CF0E3D">
      <w:pPr>
        <w:pStyle w:val="paragraphsub"/>
      </w:pPr>
      <w:r w:rsidRPr="00693A57">
        <w:rPr>
          <w:color w:val="0000FF"/>
        </w:rPr>
        <w:tab/>
        <w:t>(iv)</w:t>
      </w:r>
      <w:r w:rsidRPr="00693A57">
        <w:rPr>
          <w:color w:val="0000FF"/>
        </w:rPr>
        <w:tab/>
      </w:r>
      <w:r w:rsidR="00F625CE" w:rsidRPr="00693A57">
        <w:rPr>
          <w:color w:val="0000FF"/>
        </w:rPr>
        <w:t xml:space="preserve">to a specified person </w:t>
      </w:r>
      <w:r w:rsidR="00883E94" w:rsidRPr="00693A57">
        <w:rPr>
          <w:color w:val="0000FF"/>
        </w:rPr>
        <w:t xml:space="preserve">in accordance with </w:t>
      </w:r>
      <w:r w:rsidRPr="00693A57">
        <w:rPr>
          <w:color w:val="0000FF"/>
        </w:rPr>
        <w:t>an insight disclosure consent;</w:t>
      </w:r>
      <w:r w:rsidR="00B82440" w:rsidRPr="00693A57">
        <w:rPr>
          <w:color w:val="0000FF"/>
        </w:rPr>
        <w:t xml:space="preserve"> </w:t>
      </w:r>
      <w:r w:rsidR="00CF0E3D" w:rsidRPr="00B61E66">
        <w:t>and</w:t>
      </w:r>
    </w:p>
    <w:p w14:paraId="05E39BCB" w14:textId="77777777" w:rsidR="00CF0E3D" w:rsidRPr="00B61E66" w:rsidRDefault="00CF0E3D" w:rsidP="00CF0E3D">
      <w:pPr>
        <w:pStyle w:val="paragraph"/>
      </w:pPr>
      <w:r w:rsidRPr="00B61E66">
        <w:tab/>
        <w:t>(d)</w:t>
      </w:r>
      <w:r w:rsidRPr="00B61E66">
        <w:tab/>
        <w:t xml:space="preserve">a </w:t>
      </w:r>
      <w:r w:rsidRPr="00B61E66">
        <w:rPr>
          <w:b/>
          <w:bCs/>
          <w:i/>
          <w:iCs/>
        </w:rPr>
        <w:t>direct marketing consent</w:t>
      </w:r>
      <w:r w:rsidRPr="00B61E66">
        <w:t xml:space="preserve"> is a consent given by a CDR consumer under these rules for an accredited data recipient of particular CDR data to use or disclose the CDR data for the purposes of direct marketing; and</w:t>
      </w:r>
    </w:p>
    <w:p w14:paraId="07DC7545" w14:textId="77777777" w:rsidR="00CF0E3D" w:rsidRPr="00B61E66" w:rsidRDefault="00CF0E3D" w:rsidP="00CF0E3D">
      <w:pPr>
        <w:pStyle w:val="paragraph"/>
      </w:pPr>
      <w:r w:rsidRPr="00B61E66">
        <w:tab/>
        <w:t>(e)</w:t>
      </w:r>
      <w:r w:rsidRPr="00B61E66">
        <w:tab/>
        <w:t xml:space="preserve">a </w:t>
      </w:r>
      <w:r w:rsidRPr="00A32529">
        <w:rPr>
          <w:b/>
          <w:bCs/>
          <w:i/>
          <w:iCs/>
        </w:rPr>
        <w:t>de-identification consent</w:t>
      </w:r>
      <w:r w:rsidRPr="00B61E66">
        <w:t xml:space="preserve"> is a consent given by a CDR consumer under these rules for an accredited data recipient of particular CDR data to de</w:t>
      </w:r>
      <w:r w:rsidRPr="00B61E66">
        <w:noBreakHyphen/>
        <w:t>identify some or all of the collected CDR data and</w:t>
      </w:r>
      <w:r>
        <w:t xml:space="preserve"> </w:t>
      </w:r>
      <w:r w:rsidRPr="00A32529">
        <w:t>do either or both of the following</w:t>
      </w:r>
      <w:r w:rsidRPr="00B61E66">
        <w:t>:</w:t>
      </w:r>
    </w:p>
    <w:p w14:paraId="2F8B8639" w14:textId="77777777" w:rsidR="00CF0E3D" w:rsidRPr="00D94CDD" w:rsidRDefault="00CF0E3D" w:rsidP="00CF0E3D">
      <w:pPr>
        <w:pStyle w:val="paragraphsub"/>
      </w:pPr>
      <w:r w:rsidRPr="00B61E66">
        <w:tab/>
        <w:t>(i)</w:t>
      </w:r>
      <w:r w:rsidRPr="00B61E66">
        <w:tab/>
        <w:t xml:space="preserve">use the de-identified </w:t>
      </w:r>
      <w:r w:rsidRPr="00D94CDD">
        <w:t>data for general research;</w:t>
      </w:r>
    </w:p>
    <w:p w14:paraId="1934025A" w14:textId="5F2E73F7" w:rsidR="00295D9E" w:rsidRPr="00D94CDD" w:rsidRDefault="00CF0E3D" w:rsidP="00CF0E3D">
      <w:pPr>
        <w:pStyle w:val="paragraphsub"/>
      </w:pPr>
      <w:r w:rsidRPr="00D94CDD">
        <w:tab/>
        <w:t>(ii)</w:t>
      </w:r>
      <w:r w:rsidRPr="00D94CDD">
        <w:tab/>
        <w:t>disclose (including by selling) the de</w:t>
      </w:r>
      <w:r w:rsidRPr="00D94CDD">
        <w:noBreakHyphen/>
        <w:t>identified data</w:t>
      </w:r>
      <w:r w:rsidR="00EE7C51" w:rsidRPr="00D94CDD">
        <w:t>.</w:t>
      </w:r>
    </w:p>
    <w:p w14:paraId="6E985DC5" w14:textId="77777777" w:rsidR="00CF0E3D" w:rsidRPr="00BB7AC8" w:rsidRDefault="00CF0E3D" w:rsidP="00CF0E3D">
      <w:pPr>
        <w:pStyle w:val="subsection"/>
      </w:pPr>
      <w:r w:rsidRPr="00D94CDD">
        <w:tab/>
        <w:t>(2)</w:t>
      </w:r>
      <w:r w:rsidRPr="00D94CDD">
        <w:tab/>
        <w:t>For these rules, each of the following</w:t>
      </w:r>
      <w:r w:rsidRPr="00BB7AC8">
        <w:t xml:space="preserve"> is a </w:t>
      </w:r>
      <w:r w:rsidRPr="00BB7AC8">
        <w:rPr>
          <w:b/>
          <w:i/>
        </w:rPr>
        <w:t xml:space="preserve">category </w:t>
      </w:r>
      <w:r w:rsidRPr="00BB7AC8">
        <w:t>of consents:</w:t>
      </w:r>
    </w:p>
    <w:p w14:paraId="66524EEB" w14:textId="77777777" w:rsidR="00CF0E3D" w:rsidRPr="00BB7AC8" w:rsidRDefault="00CF0E3D" w:rsidP="00CF0E3D">
      <w:pPr>
        <w:pStyle w:val="paragraph"/>
      </w:pPr>
      <w:r w:rsidRPr="00BB7AC8">
        <w:tab/>
        <w:t>(a)</w:t>
      </w:r>
      <w:r w:rsidRPr="00BB7AC8">
        <w:tab/>
        <w:t>collection consents;</w:t>
      </w:r>
    </w:p>
    <w:p w14:paraId="7EAA6D0D" w14:textId="77777777" w:rsidR="00CF0E3D" w:rsidRPr="00BB7AC8" w:rsidRDefault="00CF0E3D" w:rsidP="00CF0E3D">
      <w:pPr>
        <w:pStyle w:val="paragraph"/>
      </w:pPr>
      <w:r w:rsidRPr="00BB7AC8">
        <w:tab/>
        <w:t>(b)</w:t>
      </w:r>
      <w:r w:rsidRPr="00BB7AC8">
        <w:tab/>
        <w:t>use consents relating to the goods or services requested by the CDR consumer;</w:t>
      </w:r>
    </w:p>
    <w:p w14:paraId="6B268A33" w14:textId="77777777" w:rsidR="00CF0E3D" w:rsidRPr="00B61E66" w:rsidRDefault="00CF0E3D" w:rsidP="00CF0E3D">
      <w:pPr>
        <w:pStyle w:val="paragraph"/>
      </w:pPr>
      <w:bookmarkStart w:id="31" w:name="_Toc57218974"/>
      <w:r w:rsidRPr="00B61E66">
        <w:tab/>
        <w:t>(c)</w:t>
      </w:r>
      <w:r w:rsidRPr="00B61E66">
        <w:tab/>
        <w:t>direct marketing consents;</w:t>
      </w:r>
    </w:p>
    <w:p w14:paraId="4090B7BF" w14:textId="77777777" w:rsidR="00CF0E3D" w:rsidRPr="00B61E66" w:rsidRDefault="00CF0E3D" w:rsidP="00CF0E3D">
      <w:pPr>
        <w:pStyle w:val="paragraph"/>
      </w:pPr>
      <w:r w:rsidRPr="00B61E66">
        <w:tab/>
        <w:t>(d)</w:t>
      </w:r>
      <w:r w:rsidRPr="00B61E66">
        <w:tab/>
      </w:r>
      <w:r w:rsidRPr="00A32529">
        <w:t>de</w:t>
      </w:r>
      <w:r w:rsidRPr="00A32529">
        <w:noBreakHyphen/>
        <w:t>identification consents</w:t>
      </w:r>
      <w:r w:rsidRPr="00B61E66">
        <w:t>;</w:t>
      </w:r>
    </w:p>
    <w:p w14:paraId="689A54CB" w14:textId="77777777" w:rsidR="00D65475" w:rsidRPr="00693A57" w:rsidRDefault="00CF0E3D" w:rsidP="00D65475">
      <w:pPr>
        <w:pStyle w:val="paragraph"/>
        <w:rPr>
          <w:color w:val="0000FF"/>
        </w:rPr>
      </w:pPr>
      <w:r w:rsidRPr="00B61E66">
        <w:tab/>
        <w:t>(e)</w:t>
      </w:r>
      <w:r w:rsidRPr="00B61E66">
        <w:tab/>
        <w:t xml:space="preserve">AP disclosure </w:t>
      </w:r>
      <w:r w:rsidRPr="00450982">
        <w:t>consents</w:t>
      </w:r>
      <w:r w:rsidR="00D65475" w:rsidRPr="00693A57">
        <w:rPr>
          <w:color w:val="0000FF"/>
        </w:rPr>
        <w:t>;</w:t>
      </w:r>
    </w:p>
    <w:p w14:paraId="5AEEF429" w14:textId="77777777" w:rsidR="00D65475" w:rsidRPr="00693A57" w:rsidRDefault="00D65475" w:rsidP="00D65475">
      <w:pPr>
        <w:pStyle w:val="paragraph"/>
        <w:rPr>
          <w:color w:val="0000FF"/>
        </w:rPr>
      </w:pPr>
      <w:r w:rsidRPr="00693A57">
        <w:rPr>
          <w:color w:val="0000FF"/>
        </w:rPr>
        <w:tab/>
        <w:t>(f)</w:t>
      </w:r>
      <w:r w:rsidRPr="00693A57">
        <w:rPr>
          <w:color w:val="0000FF"/>
        </w:rPr>
        <w:tab/>
        <w:t>TA disclosure consents;</w:t>
      </w:r>
    </w:p>
    <w:p w14:paraId="0AE5DF8D" w14:textId="5B47C45D" w:rsidR="00CF0E3D" w:rsidRPr="00693A57" w:rsidRDefault="00D65475" w:rsidP="00D65475">
      <w:pPr>
        <w:pStyle w:val="paragraph"/>
        <w:rPr>
          <w:color w:val="0000FF"/>
        </w:rPr>
      </w:pPr>
      <w:r w:rsidRPr="00693A57">
        <w:rPr>
          <w:color w:val="0000FF"/>
        </w:rPr>
        <w:tab/>
        <w:t>(g)</w:t>
      </w:r>
      <w:r w:rsidRPr="00693A57">
        <w:rPr>
          <w:color w:val="0000FF"/>
        </w:rPr>
        <w:tab/>
      </w:r>
      <w:r w:rsidR="0053309B" w:rsidRPr="00693A57">
        <w:rPr>
          <w:color w:val="0000FF"/>
        </w:rPr>
        <w:t>insight disclosure consents</w:t>
      </w:r>
      <w:r w:rsidR="00CF0E3D" w:rsidRPr="00693A57">
        <w:rPr>
          <w:color w:val="0000FF"/>
        </w:rPr>
        <w:t>.</w:t>
      </w:r>
      <w:bookmarkEnd w:id="31"/>
    </w:p>
    <w:p w14:paraId="05CF4B7B" w14:textId="3558D014" w:rsidR="00AC652D" w:rsidRPr="00693A57" w:rsidRDefault="00AB7B51" w:rsidP="00AB7B51">
      <w:pPr>
        <w:pStyle w:val="subsection"/>
        <w:rPr>
          <w:color w:val="0000FF"/>
        </w:rPr>
      </w:pPr>
      <w:r w:rsidRPr="00693A57">
        <w:rPr>
          <w:color w:val="0000FF"/>
        </w:rPr>
        <w:lastRenderedPageBreak/>
        <w:tab/>
        <w:t>(3)</w:t>
      </w:r>
      <w:r w:rsidRPr="00693A57">
        <w:rPr>
          <w:color w:val="0000FF"/>
        </w:rPr>
        <w:tab/>
      </w:r>
      <w:r w:rsidR="00AC652D" w:rsidRPr="00693A57">
        <w:rPr>
          <w:color w:val="0000FF"/>
        </w:rPr>
        <w:t xml:space="preserve">For these rules, an </w:t>
      </w:r>
      <w:r w:rsidR="00AC652D" w:rsidRPr="00693A57">
        <w:rPr>
          <w:b/>
          <w:i/>
          <w:color w:val="0000FF"/>
        </w:rPr>
        <w:t>insight disclosure consent</w:t>
      </w:r>
      <w:r w:rsidR="007A5F06" w:rsidRPr="00693A57">
        <w:rPr>
          <w:color w:val="0000FF"/>
        </w:rPr>
        <w:t xml:space="preserve"> is a consent given by a CD</w:t>
      </w:r>
      <w:r w:rsidR="00AC652D" w:rsidRPr="00693A57">
        <w:rPr>
          <w:color w:val="0000FF"/>
        </w:rPr>
        <w:t xml:space="preserve">R consumer under these rules for an accredited data recipient of particular CDR data to disclose it to a specified person </w:t>
      </w:r>
      <w:r w:rsidR="007A73A4" w:rsidRPr="00693A57">
        <w:rPr>
          <w:color w:val="0000FF"/>
        </w:rPr>
        <w:t>for one of the following purposes</w:t>
      </w:r>
      <w:r w:rsidR="00AC652D" w:rsidRPr="00693A57">
        <w:rPr>
          <w:color w:val="0000FF"/>
        </w:rPr>
        <w:t>:</w:t>
      </w:r>
    </w:p>
    <w:p w14:paraId="7C8F4E46" w14:textId="3AEFA693" w:rsidR="00AC652D" w:rsidRPr="00693A57" w:rsidRDefault="00AC652D" w:rsidP="00AC652D">
      <w:pPr>
        <w:pStyle w:val="paragraph"/>
        <w:rPr>
          <w:color w:val="0000FF"/>
        </w:rPr>
      </w:pPr>
      <w:r w:rsidRPr="00693A57">
        <w:rPr>
          <w:color w:val="0000FF"/>
        </w:rPr>
        <w:tab/>
        <w:t>(a)</w:t>
      </w:r>
      <w:r w:rsidRPr="00693A57">
        <w:rPr>
          <w:color w:val="0000FF"/>
        </w:rPr>
        <w:tab/>
        <w:t>identifying the consumer;</w:t>
      </w:r>
    </w:p>
    <w:p w14:paraId="20BAD429" w14:textId="7683F43C" w:rsidR="00AC652D" w:rsidRPr="00693A57" w:rsidRDefault="00AC652D" w:rsidP="00AC652D">
      <w:pPr>
        <w:pStyle w:val="paragraph"/>
        <w:rPr>
          <w:color w:val="0000FF"/>
        </w:rPr>
      </w:pPr>
      <w:r w:rsidRPr="00693A57">
        <w:rPr>
          <w:color w:val="0000FF"/>
        </w:rPr>
        <w:tab/>
        <w:t>(b)</w:t>
      </w:r>
      <w:r w:rsidRPr="00693A57">
        <w:rPr>
          <w:color w:val="0000FF"/>
        </w:rPr>
        <w:tab/>
        <w:t>verifying</w:t>
      </w:r>
      <w:r w:rsidR="007A73A4" w:rsidRPr="00693A57">
        <w:rPr>
          <w:color w:val="0000FF"/>
        </w:rPr>
        <w:t xml:space="preserve"> the consumer’s account balance</w:t>
      </w:r>
      <w:r w:rsidRPr="00693A57">
        <w:rPr>
          <w:color w:val="0000FF"/>
        </w:rPr>
        <w:t>;</w:t>
      </w:r>
    </w:p>
    <w:p w14:paraId="3A69DEC5" w14:textId="16D62A60" w:rsidR="00AC652D" w:rsidRPr="00693A57" w:rsidRDefault="00AC652D" w:rsidP="00AC652D">
      <w:pPr>
        <w:pStyle w:val="paragraph"/>
        <w:rPr>
          <w:color w:val="0000FF"/>
        </w:rPr>
      </w:pPr>
      <w:r w:rsidRPr="00693A57">
        <w:rPr>
          <w:color w:val="0000FF"/>
        </w:rPr>
        <w:tab/>
        <w:t>(</w:t>
      </w:r>
      <w:r w:rsidR="00F625CE" w:rsidRPr="00693A57">
        <w:rPr>
          <w:color w:val="0000FF"/>
        </w:rPr>
        <w:t>c</w:t>
      </w:r>
      <w:r w:rsidRPr="00693A57">
        <w:rPr>
          <w:color w:val="0000FF"/>
        </w:rPr>
        <w:t>)</w:t>
      </w:r>
      <w:r w:rsidRPr="00693A57">
        <w:rPr>
          <w:color w:val="0000FF"/>
        </w:rPr>
        <w:tab/>
        <w:t>verifying the consumer’s income;</w:t>
      </w:r>
    </w:p>
    <w:p w14:paraId="79DBF191" w14:textId="3124579A" w:rsidR="00AC652D" w:rsidRPr="00693A57" w:rsidRDefault="00AC652D" w:rsidP="00F625CE">
      <w:pPr>
        <w:pStyle w:val="paragraph"/>
        <w:rPr>
          <w:color w:val="0000FF"/>
        </w:rPr>
      </w:pPr>
      <w:r w:rsidRPr="00693A57">
        <w:rPr>
          <w:color w:val="0000FF"/>
        </w:rPr>
        <w:tab/>
        <w:t>(</w:t>
      </w:r>
      <w:r w:rsidR="00F625CE" w:rsidRPr="00693A57">
        <w:rPr>
          <w:color w:val="0000FF"/>
        </w:rPr>
        <w:t>d</w:t>
      </w:r>
      <w:r w:rsidRPr="00693A57">
        <w:rPr>
          <w:color w:val="0000FF"/>
        </w:rPr>
        <w:t>)</w:t>
      </w:r>
      <w:r w:rsidRPr="00693A57">
        <w:rPr>
          <w:color w:val="0000FF"/>
        </w:rPr>
        <w:tab/>
        <w:t>verifying the consumer’s expenses.</w:t>
      </w:r>
    </w:p>
    <w:p w14:paraId="250BC7BB" w14:textId="5CA20573" w:rsidR="00B82440" w:rsidRPr="00693A57" w:rsidRDefault="00B82440" w:rsidP="00B82440">
      <w:pPr>
        <w:pStyle w:val="SubsectionHead"/>
        <w:rPr>
          <w:color w:val="0000FF"/>
        </w:rPr>
      </w:pPr>
      <w:r w:rsidRPr="00693A57">
        <w:rPr>
          <w:color w:val="0000FF"/>
        </w:rPr>
        <w:t xml:space="preserve">Consents in relation to </w:t>
      </w:r>
      <w:r w:rsidR="00182338" w:rsidRPr="00693A57">
        <w:rPr>
          <w:color w:val="0000FF"/>
        </w:rPr>
        <w:t>CDR representative</w:t>
      </w:r>
      <w:r w:rsidRPr="00693A57">
        <w:rPr>
          <w:color w:val="0000FF"/>
        </w:rPr>
        <w:t>s</w:t>
      </w:r>
    </w:p>
    <w:p w14:paraId="0B4B0C00" w14:textId="5DD9273A" w:rsidR="00B82440" w:rsidRPr="00693A57" w:rsidRDefault="00B82440" w:rsidP="00B82440">
      <w:pPr>
        <w:pStyle w:val="subsection"/>
        <w:rPr>
          <w:color w:val="0000FF"/>
        </w:rPr>
      </w:pPr>
      <w:r w:rsidRPr="00693A57">
        <w:rPr>
          <w:color w:val="0000FF"/>
        </w:rPr>
        <w:tab/>
        <w:t>(</w:t>
      </w:r>
      <w:r w:rsidR="00F625CE" w:rsidRPr="00693A57">
        <w:rPr>
          <w:color w:val="0000FF"/>
        </w:rPr>
        <w:t>4</w:t>
      </w:r>
      <w:r w:rsidRPr="00693A57">
        <w:rPr>
          <w:color w:val="0000FF"/>
        </w:rPr>
        <w:t>)</w:t>
      </w:r>
      <w:r w:rsidRPr="00693A57">
        <w:rPr>
          <w:color w:val="0000FF"/>
        </w:rPr>
        <w:tab/>
        <w:t xml:space="preserve">For an accredited person with a </w:t>
      </w:r>
      <w:r w:rsidR="00182338" w:rsidRPr="00693A57">
        <w:rPr>
          <w:color w:val="0000FF"/>
        </w:rPr>
        <w:t>CDR representative</w:t>
      </w:r>
      <w:r w:rsidRPr="00693A57">
        <w:rPr>
          <w:color w:val="0000FF"/>
        </w:rPr>
        <w:t xml:space="preserve">, a consent given by a CDR consumer under these rules to the </w:t>
      </w:r>
      <w:r w:rsidR="00182338" w:rsidRPr="00693A57">
        <w:rPr>
          <w:color w:val="0000FF"/>
        </w:rPr>
        <w:t>CDR representative</w:t>
      </w:r>
      <w:r w:rsidRPr="00693A57">
        <w:rPr>
          <w:color w:val="0000FF"/>
        </w:rPr>
        <w:t xml:space="preserve"> for the accredited person to collect particular CDR data from a CDR participant for that CDR data and disclose it to the </w:t>
      </w:r>
      <w:r w:rsidR="00182338" w:rsidRPr="00693A57">
        <w:rPr>
          <w:color w:val="0000FF"/>
        </w:rPr>
        <w:t>CDR representative</w:t>
      </w:r>
      <w:r w:rsidRPr="00693A57">
        <w:rPr>
          <w:color w:val="0000FF"/>
        </w:rPr>
        <w:t xml:space="preserve"> is also a </w:t>
      </w:r>
      <w:r w:rsidRPr="00693A57">
        <w:rPr>
          <w:b/>
          <w:i/>
          <w:color w:val="0000FF"/>
        </w:rPr>
        <w:t>collection consent</w:t>
      </w:r>
      <w:r w:rsidRPr="00693A57">
        <w:rPr>
          <w:color w:val="0000FF"/>
        </w:rPr>
        <w:t xml:space="preserve">. </w:t>
      </w:r>
    </w:p>
    <w:p w14:paraId="5D7EEB69" w14:textId="3F78D56E" w:rsidR="00696A1A" w:rsidRPr="00693A57" w:rsidRDefault="007A5F06" w:rsidP="00B82440">
      <w:pPr>
        <w:pStyle w:val="subsection"/>
        <w:rPr>
          <w:color w:val="0000FF"/>
        </w:rPr>
      </w:pPr>
      <w:r w:rsidRPr="00693A57">
        <w:rPr>
          <w:color w:val="0000FF"/>
        </w:rPr>
        <w:tab/>
        <w:t>(5</w:t>
      </w:r>
      <w:r w:rsidR="00B82440" w:rsidRPr="00693A57">
        <w:rPr>
          <w:color w:val="0000FF"/>
        </w:rPr>
        <w:t>)</w:t>
      </w:r>
      <w:r w:rsidR="00B82440" w:rsidRPr="00693A57">
        <w:rPr>
          <w:color w:val="0000FF"/>
        </w:rPr>
        <w:tab/>
        <w:t xml:space="preserve">In this rule, other than in relation to subparagraph (1)(c)(i), a reference to an accredited data recipient of particular CDR data includes a reference to a </w:t>
      </w:r>
      <w:r w:rsidR="00182338" w:rsidRPr="00693A57">
        <w:rPr>
          <w:color w:val="0000FF"/>
        </w:rPr>
        <w:t>CDR representative</w:t>
      </w:r>
      <w:r w:rsidR="00B82440" w:rsidRPr="00693A57">
        <w:rPr>
          <w:color w:val="0000FF"/>
        </w:rPr>
        <w:t xml:space="preserve"> that holds the CDR data as service data.</w:t>
      </w:r>
    </w:p>
    <w:p w14:paraId="75ACAC3E" w14:textId="27CDE8F3" w:rsidR="006F0D6C" w:rsidRPr="00693A57" w:rsidRDefault="006F0D6C" w:rsidP="006F0D6C">
      <w:pPr>
        <w:pStyle w:val="ActHead5"/>
        <w:rPr>
          <w:i/>
          <w:color w:val="FF0000"/>
        </w:rPr>
      </w:pPr>
      <w:bookmarkStart w:id="32" w:name="_Toc77064826"/>
      <w:r w:rsidRPr="00693A57">
        <w:rPr>
          <w:color w:val="FF0000"/>
        </w:rPr>
        <w:t xml:space="preserve">1.10B  Meaning of </w:t>
      </w:r>
      <w:r w:rsidRPr="00693A57">
        <w:rPr>
          <w:i/>
          <w:color w:val="FF0000"/>
        </w:rPr>
        <w:t>eligible</w:t>
      </w:r>
      <w:bookmarkEnd w:id="32"/>
    </w:p>
    <w:p w14:paraId="4E84A333" w14:textId="7F3DDC26" w:rsidR="00F10E41" w:rsidRPr="00693A57" w:rsidRDefault="00F10E41" w:rsidP="00F10E41">
      <w:pPr>
        <w:pStyle w:val="notemargin"/>
        <w:rPr>
          <w:color w:val="FF0000"/>
        </w:rPr>
      </w:pPr>
      <w:r w:rsidRPr="00693A57">
        <w:rPr>
          <w:color w:val="FF0000"/>
        </w:rPr>
        <w:t>Note:</w:t>
      </w:r>
      <w:r w:rsidRPr="00693A57">
        <w:rPr>
          <w:color w:val="FF0000"/>
        </w:rPr>
        <w:tab/>
        <w:t xml:space="preserve">Sector Schedules may add additional criteria for eligibility.  </w:t>
      </w:r>
      <w:r w:rsidR="00664FFE" w:rsidRPr="00693A57">
        <w:rPr>
          <w:color w:val="FF0000"/>
        </w:rPr>
        <w:t>See also:</w:t>
      </w:r>
    </w:p>
    <w:p w14:paraId="2C933F1F" w14:textId="5A393219" w:rsidR="00F10E41" w:rsidRPr="00693A57" w:rsidRDefault="00664FFE" w:rsidP="007D5353">
      <w:pPr>
        <w:pStyle w:val="notepara"/>
        <w:numPr>
          <w:ilvl w:val="0"/>
          <w:numId w:val="10"/>
        </w:numPr>
        <w:ind w:left="1570" w:hanging="357"/>
        <w:rPr>
          <w:color w:val="FF0000"/>
        </w:rPr>
      </w:pPr>
      <w:r w:rsidRPr="00693A57">
        <w:rPr>
          <w:color w:val="FF0000"/>
        </w:rPr>
        <w:t>f</w:t>
      </w:r>
      <w:r w:rsidR="00D81BCA" w:rsidRPr="00693A57">
        <w:rPr>
          <w:color w:val="FF0000"/>
        </w:rPr>
        <w:t xml:space="preserve">or </w:t>
      </w:r>
      <w:r w:rsidR="00F10E41" w:rsidRPr="00693A57">
        <w:rPr>
          <w:color w:val="FF0000"/>
        </w:rPr>
        <w:t>the banking sector</w:t>
      </w:r>
      <w:r w:rsidRPr="00693A57">
        <w:rPr>
          <w:color w:val="FF0000"/>
        </w:rPr>
        <w:t>—</w:t>
      </w:r>
      <w:r w:rsidR="00F10E41" w:rsidRPr="00693A57">
        <w:rPr>
          <w:color w:val="FF0000"/>
        </w:rPr>
        <w:t>clause 2.1 of Schedule 3;</w:t>
      </w:r>
    </w:p>
    <w:p w14:paraId="27E95F7B" w14:textId="555D1943" w:rsidR="00F10E41" w:rsidRPr="00693A57" w:rsidRDefault="00664FFE" w:rsidP="007D5353">
      <w:pPr>
        <w:pStyle w:val="notepara"/>
        <w:numPr>
          <w:ilvl w:val="0"/>
          <w:numId w:val="10"/>
        </w:numPr>
        <w:ind w:left="1570" w:hanging="357"/>
        <w:rPr>
          <w:color w:val="FF0000"/>
        </w:rPr>
      </w:pPr>
      <w:r w:rsidRPr="00693A57">
        <w:rPr>
          <w:color w:val="FF0000"/>
        </w:rPr>
        <w:t>f</w:t>
      </w:r>
      <w:r w:rsidR="00D81BCA" w:rsidRPr="00693A57">
        <w:rPr>
          <w:color w:val="FF0000"/>
        </w:rPr>
        <w:t xml:space="preserve">or </w:t>
      </w:r>
      <w:r w:rsidR="00F10E41" w:rsidRPr="00693A57">
        <w:rPr>
          <w:color w:val="FF0000"/>
        </w:rPr>
        <w:t>the energy sector</w:t>
      </w:r>
      <w:r w:rsidRPr="00693A57">
        <w:rPr>
          <w:color w:val="FF0000"/>
        </w:rPr>
        <w:t>—</w:t>
      </w:r>
      <w:r w:rsidR="00F10E41" w:rsidRPr="00693A57">
        <w:rPr>
          <w:color w:val="FF0000"/>
        </w:rPr>
        <w:t xml:space="preserve">clause </w:t>
      </w:r>
      <w:r w:rsidR="000B1D10" w:rsidRPr="00693A57">
        <w:rPr>
          <w:color w:val="FF0000"/>
        </w:rPr>
        <w:t>2.1</w:t>
      </w:r>
      <w:r w:rsidR="00F10E41" w:rsidRPr="00693A57">
        <w:rPr>
          <w:color w:val="FF0000"/>
        </w:rPr>
        <w:t xml:space="preserve"> of Schedule 4.</w:t>
      </w:r>
    </w:p>
    <w:p w14:paraId="74064850" w14:textId="09681495" w:rsidR="006F0D6C" w:rsidRPr="00693A57" w:rsidRDefault="006F0D6C" w:rsidP="006F0D6C">
      <w:pPr>
        <w:pStyle w:val="subsection"/>
        <w:rPr>
          <w:color w:val="FF0000"/>
        </w:rPr>
      </w:pPr>
      <w:r w:rsidRPr="00693A57">
        <w:rPr>
          <w:color w:val="FF0000"/>
        </w:rPr>
        <w:tab/>
        <w:t>(1)</w:t>
      </w:r>
      <w:r w:rsidRPr="00693A57">
        <w:rPr>
          <w:color w:val="FF0000"/>
        </w:rPr>
        <w:tab/>
      </w:r>
      <w:r w:rsidR="008E6BBD" w:rsidRPr="00693A57">
        <w:rPr>
          <w:color w:val="FF0000"/>
        </w:rPr>
        <w:t>A</w:t>
      </w:r>
      <w:r w:rsidRPr="00693A57">
        <w:rPr>
          <w:color w:val="FF0000"/>
        </w:rPr>
        <w:t xml:space="preserve"> CDR consumer is </w:t>
      </w:r>
      <w:r w:rsidRPr="00693A57">
        <w:rPr>
          <w:b/>
          <w:i/>
          <w:color w:val="FF0000"/>
        </w:rPr>
        <w:t>eligible</w:t>
      </w:r>
      <w:r w:rsidRPr="00693A57">
        <w:rPr>
          <w:color w:val="FF0000"/>
        </w:rPr>
        <w:t>, in relation to a particular data holder at a particular time, if, at that time</w:t>
      </w:r>
      <w:r w:rsidR="00362EBC" w:rsidRPr="00693A57">
        <w:rPr>
          <w:color w:val="FF0000"/>
        </w:rPr>
        <w:t>:</w:t>
      </w:r>
    </w:p>
    <w:p w14:paraId="30111C46" w14:textId="022AD8F3" w:rsidR="006F0D6C" w:rsidRPr="00693A57" w:rsidRDefault="006F0D6C" w:rsidP="006F0D6C">
      <w:pPr>
        <w:pStyle w:val="paragraph"/>
        <w:rPr>
          <w:color w:val="FF0000"/>
        </w:rPr>
      </w:pPr>
      <w:r w:rsidRPr="00693A57">
        <w:rPr>
          <w:color w:val="FF0000"/>
        </w:rPr>
        <w:tab/>
        <w:t>(a)</w:t>
      </w:r>
      <w:r w:rsidRPr="00693A57">
        <w:rPr>
          <w:color w:val="FF0000"/>
        </w:rPr>
        <w:tab/>
      </w:r>
      <w:r w:rsidR="00362EBC" w:rsidRPr="00693A57">
        <w:rPr>
          <w:color w:val="FF0000"/>
        </w:rPr>
        <w:t xml:space="preserve">the CDR consumer </w:t>
      </w:r>
      <w:r w:rsidRPr="00693A57">
        <w:rPr>
          <w:color w:val="FF0000"/>
        </w:rPr>
        <w:t>is either:</w:t>
      </w:r>
    </w:p>
    <w:p w14:paraId="1B7682F9" w14:textId="77777777" w:rsidR="006F0D6C" w:rsidRPr="00693A57" w:rsidRDefault="006F0D6C" w:rsidP="006F0D6C">
      <w:pPr>
        <w:pStyle w:val="paragraphsub"/>
        <w:rPr>
          <w:color w:val="FF0000"/>
        </w:rPr>
      </w:pPr>
      <w:r w:rsidRPr="00693A57">
        <w:rPr>
          <w:color w:val="FF0000"/>
        </w:rPr>
        <w:tab/>
        <w:t>(i)</w:t>
      </w:r>
      <w:r w:rsidRPr="00693A57">
        <w:rPr>
          <w:color w:val="FF0000"/>
        </w:rPr>
        <w:tab/>
        <w:t>an individual who is 18 years of age or older; or</w:t>
      </w:r>
    </w:p>
    <w:p w14:paraId="2C8B4042" w14:textId="77777777" w:rsidR="006F0D6C" w:rsidRPr="00693A57" w:rsidRDefault="006F0D6C" w:rsidP="006F0D6C">
      <w:pPr>
        <w:pStyle w:val="paragraphsub"/>
        <w:rPr>
          <w:color w:val="FF0000"/>
        </w:rPr>
      </w:pPr>
      <w:r w:rsidRPr="00693A57">
        <w:rPr>
          <w:color w:val="FF0000"/>
        </w:rPr>
        <w:tab/>
        <w:t>(ii)</w:t>
      </w:r>
      <w:r w:rsidRPr="00693A57">
        <w:rPr>
          <w:color w:val="FF0000"/>
        </w:rPr>
        <w:tab/>
        <w:t>a person who is not an individual; and</w:t>
      </w:r>
    </w:p>
    <w:p w14:paraId="61559AB3" w14:textId="1D6CDEFF" w:rsidR="008E6BBD" w:rsidRPr="00693A57" w:rsidRDefault="008C61FA" w:rsidP="00F96BB3">
      <w:pPr>
        <w:pStyle w:val="paragraph"/>
        <w:rPr>
          <w:color w:val="FF0000"/>
        </w:rPr>
      </w:pPr>
      <w:r w:rsidRPr="00693A57">
        <w:rPr>
          <w:color w:val="FF0000"/>
        </w:rPr>
        <w:t xml:space="preserve">             </w:t>
      </w:r>
      <w:r w:rsidR="006F0D6C" w:rsidRPr="00693A57">
        <w:rPr>
          <w:color w:val="FF0000"/>
        </w:rPr>
        <w:tab/>
        <w:t>(b)</w:t>
      </w:r>
      <w:r w:rsidR="006F0D6C" w:rsidRPr="00693A57">
        <w:rPr>
          <w:color w:val="FF0000"/>
        </w:rPr>
        <w:tab/>
      </w:r>
      <w:r w:rsidR="00362EBC" w:rsidRPr="00693A57">
        <w:rPr>
          <w:color w:val="FF0000"/>
        </w:rPr>
        <w:t xml:space="preserve">the CDR consumer </w:t>
      </w:r>
      <w:r w:rsidR="006F0D6C" w:rsidRPr="00693A57">
        <w:rPr>
          <w:color w:val="FF0000"/>
        </w:rPr>
        <w:t>is an account holder or a secondary user for an account with the data holder</w:t>
      </w:r>
      <w:r w:rsidR="00F96BB3" w:rsidRPr="00693A57">
        <w:rPr>
          <w:color w:val="FF0000"/>
        </w:rPr>
        <w:t xml:space="preserve"> </w:t>
      </w:r>
      <w:r w:rsidR="003E177B" w:rsidRPr="00693A57">
        <w:rPr>
          <w:color w:val="FF0000"/>
        </w:rPr>
        <w:t xml:space="preserve">that </w:t>
      </w:r>
      <w:r w:rsidR="006F0D6C" w:rsidRPr="00693A57">
        <w:rPr>
          <w:color w:val="FF0000"/>
        </w:rPr>
        <w:t>is open; and</w:t>
      </w:r>
      <w:r w:rsidRPr="00693A57">
        <w:rPr>
          <w:color w:val="FF0000"/>
        </w:rPr>
        <w:t xml:space="preserve"> </w:t>
      </w:r>
    </w:p>
    <w:p w14:paraId="2382DF8E" w14:textId="4983B448" w:rsidR="006F0D6C" w:rsidRPr="00693A57" w:rsidRDefault="00225432" w:rsidP="00362EBC">
      <w:pPr>
        <w:pStyle w:val="paragraph"/>
        <w:rPr>
          <w:color w:val="FF0000"/>
        </w:rPr>
      </w:pPr>
      <w:r w:rsidRPr="00693A57">
        <w:rPr>
          <w:color w:val="FF0000"/>
        </w:rPr>
        <w:tab/>
        <w:t>(c</w:t>
      </w:r>
      <w:r w:rsidR="00ED6489" w:rsidRPr="00693A57">
        <w:rPr>
          <w:color w:val="FF0000"/>
        </w:rPr>
        <w:t>)</w:t>
      </w:r>
      <w:r w:rsidR="00ED6489" w:rsidRPr="00693A57">
        <w:rPr>
          <w:color w:val="FF0000"/>
        </w:rPr>
        <w:tab/>
      </w:r>
      <w:r w:rsidR="008E6BBD" w:rsidRPr="00693A57">
        <w:rPr>
          <w:color w:val="FF0000"/>
        </w:rPr>
        <w:t xml:space="preserve">any </w:t>
      </w:r>
      <w:r w:rsidR="002736B6" w:rsidRPr="00693A57">
        <w:rPr>
          <w:color w:val="FF0000"/>
        </w:rPr>
        <w:t xml:space="preserve">additional </w:t>
      </w:r>
      <w:r w:rsidR="008E6BBD" w:rsidRPr="00693A57">
        <w:rPr>
          <w:color w:val="FF0000"/>
        </w:rPr>
        <w:t xml:space="preserve">criteria </w:t>
      </w:r>
      <w:r w:rsidR="003E177B" w:rsidRPr="00693A57">
        <w:rPr>
          <w:color w:val="FF0000"/>
        </w:rPr>
        <w:t>set by the</w:t>
      </w:r>
      <w:r w:rsidR="008E6BBD" w:rsidRPr="00693A57">
        <w:rPr>
          <w:color w:val="FF0000"/>
        </w:rPr>
        <w:t xml:space="preserve"> </w:t>
      </w:r>
      <w:r w:rsidR="003E177B" w:rsidRPr="00693A57">
        <w:rPr>
          <w:color w:val="FF0000"/>
        </w:rPr>
        <w:t xml:space="preserve">relevant </w:t>
      </w:r>
      <w:r w:rsidR="008E6BBD" w:rsidRPr="00693A57">
        <w:rPr>
          <w:color w:val="FF0000"/>
        </w:rPr>
        <w:t>sector Schedule</w:t>
      </w:r>
      <w:r w:rsidR="002736B6" w:rsidRPr="00693A57">
        <w:rPr>
          <w:color w:val="FF0000"/>
        </w:rPr>
        <w:t xml:space="preserve"> for this subrule</w:t>
      </w:r>
      <w:r w:rsidR="00362EBC" w:rsidRPr="00693A57">
        <w:rPr>
          <w:color w:val="FF0000"/>
        </w:rPr>
        <w:t xml:space="preserve"> are met</w:t>
      </w:r>
      <w:r w:rsidR="008E6BBD" w:rsidRPr="00693A57">
        <w:rPr>
          <w:color w:val="FF0000"/>
        </w:rPr>
        <w:t>.</w:t>
      </w:r>
    </w:p>
    <w:p w14:paraId="6EC71C41" w14:textId="2062A977" w:rsidR="006F0D6C" w:rsidRPr="00693A57" w:rsidRDefault="006F0D6C" w:rsidP="006F0D6C">
      <w:pPr>
        <w:pStyle w:val="subsection"/>
        <w:rPr>
          <w:color w:val="FF0000"/>
        </w:rPr>
      </w:pPr>
      <w:r w:rsidRPr="00693A57">
        <w:rPr>
          <w:color w:val="FF0000"/>
        </w:rPr>
        <w:tab/>
      </w:r>
      <w:r w:rsidR="00591E01" w:rsidRPr="00693A57">
        <w:rPr>
          <w:color w:val="FF0000"/>
        </w:rPr>
        <w:t xml:space="preserve">      </w:t>
      </w:r>
      <w:r w:rsidR="002736B6" w:rsidRPr="00693A57">
        <w:rPr>
          <w:color w:val="FF0000"/>
        </w:rPr>
        <w:t>(2</w:t>
      </w:r>
      <w:r w:rsidRPr="00693A57">
        <w:rPr>
          <w:color w:val="FF0000"/>
        </w:rPr>
        <w:t>)</w:t>
      </w:r>
      <w:r w:rsidRPr="00693A57">
        <w:rPr>
          <w:color w:val="FF0000"/>
        </w:rPr>
        <w:tab/>
      </w:r>
      <w:r w:rsidR="00636DED" w:rsidRPr="00693A57">
        <w:rPr>
          <w:color w:val="FF0000"/>
        </w:rPr>
        <w:t xml:space="preserve">A CDR consumer is also </w:t>
      </w:r>
      <w:r w:rsidR="00636DED" w:rsidRPr="00693A57">
        <w:rPr>
          <w:b/>
          <w:i/>
          <w:color w:val="FF0000"/>
        </w:rPr>
        <w:t>eligible</w:t>
      </w:r>
      <w:r w:rsidRPr="00693A57">
        <w:rPr>
          <w:color w:val="FF0000"/>
        </w:rPr>
        <w:t>, in relation to a particular data holder at a particular time, if, at that time:</w:t>
      </w:r>
    </w:p>
    <w:p w14:paraId="6793E95D" w14:textId="77777777" w:rsidR="006F0D6C" w:rsidRPr="00693A57" w:rsidRDefault="006F0D6C" w:rsidP="006F0D6C">
      <w:pPr>
        <w:pStyle w:val="paragraph"/>
        <w:rPr>
          <w:color w:val="FF0000"/>
        </w:rPr>
      </w:pPr>
      <w:r w:rsidRPr="00693A57">
        <w:rPr>
          <w:color w:val="FF0000"/>
        </w:rPr>
        <w:tab/>
        <w:t>(a)</w:t>
      </w:r>
      <w:r w:rsidRPr="00693A57">
        <w:rPr>
          <w:color w:val="FF0000"/>
        </w:rPr>
        <w:tab/>
        <w:t>the CDR consumer is a partner in a partnership for which there is a partnership account with the data holder; and</w:t>
      </w:r>
    </w:p>
    <w:p w14:paraId="4EE1D37F" w14:textId="7CB5C54F" w:rsidR="006F0D6C" w:rsidRPr="00693A57" w:rsidRDefault="006F0D6C" w:rsidP="003557E5">
      <w:pPr>
        <w:pStyle w:val="paragraph"/>
        <w:rPr>
          <w:color w:val="FF0000"/>
        </w:rPr>
      </w:pPr>
      <w:r w:rsidRPr="00693A57">
        <w:rPr>
          <w:color w:val="FF0000"/>
        </w:rPr>
        <w:tab/>
        <w:t>(b)</w:t>
      </w:r>
      <w:r w:rsidRPr="00693A57">
        <w:rPr>
          <w:color w:val="FF0000"/>
        </w:rPr>
        <w:tab/>
        <w:t>the account</w:t>
      </w:r>
      <w:r w:rsidR="003557E5" w:rsidRPr="00693A57">
        <w:rPr>
          <w:color w:val="FF0000"/>
        </w:rPr>
        <w:t xml:space="preserve"> </w:t>
      </w:r>
      <w:r w:rsidRPr="00693A57">
        <w:rPr>
          <w:color w:val="FF0000"/>
        </w:rPr>
        <w:t>is open; and</w:t>
      </w:r>
    </w:p>
    <w:p w14:paraId="2FBDCA70" w14:textId="040BF2E1" w:rsidR="00CF0E3D" w:rsidRPr="00693A57" w:rsidRDefault="00636DED" w:rsidP="00636DED">
      <w:pPr>
        <w:pStyle w:val="paragraph"/>
        <w:rPr>
          <w:color w:val="FF0000"/>
        </w:rPr>
      </w:pPr>
      <w:r w:rsidRPr="00693A57">
        <w:rPr>
          <w:color w:val="FF0000"/>
        </w:rPr>
        <w:tab/>
        <w:t>(</w:t>
      </w:r>
      <w:r w:rsidR="008F110A" w:rsidRPr="00693A57">
        <w:rPr>
          <w:color w:val="FF0000"/>
        </w:rPr>
        <w:t>c</w:t>
      </w:r>
      <w:r w:rsidRPr="00693A57">
        <w:rPr>
          <w:color w:val="FF0000"/>
        </w:rPr>
        <w:t>)</w:t>
      </w:r>
      <w:r w:rsidRPr="00693A57">
        <w:rPr>
          <w:color w:val="FF0000"/>
        </w:rPr>
        <w:tab/>
        <w:t xml:space="preserve">any </w:t>
      </w:r>
      <w:r w:rsidR="00CE253F" w:rsidRPr="00693A57">
        <w:rPr>
          <w:color w:val="FF0000"/>
        </w:rPr>
        <w:t xml:space="preserve">additional </w:t>
      </w:r>
      <w:r w:rsidRPr="00693A57">
        <w:rPr>
          <w:color w:val="FF0000"/>
        </w:rPr>
        <w:t xml:space="preserve">criteria </w:t>
      </w:r>
      <w:r w:rsidR="003E177B" w:rsidRPr="00693A57">
        <w:rPr>
          <w:color w:val="FF0000"/>
        </w:rPr>
        <w:t xml:space="preserve">set by the relevant </w:t>
      </w:r>
      <w:r w:rsidRPr="00693A57">
        <w:rPr>
          <w:color w:val="FF0000"/>
        </w:rPr>
        <w:t xml:space="preserve">sector Schedule </w:t>
      </w:r>
      <w:r w:rsidR="002736B6" w:rsidRPr="00693A57">
        <w:rPr>
          <w:color w:val="FF0000"/>
        </w:rPr>
        <w:t xml:space="preserve">for this subrule </w:t>
      </w:r>
      <w:r w:rsidRPr="00693A57">
        <w:rPr>
          <w:color w:val="FF0000"/>
        </w:rPr>
        <w:t>are met.</w:t>
      </w:r>
    </w:p>
    <w:p w14:paraId="44A2EA6A" w14:textId="3C4EC7B9" w:rsidR="00D65475" w:rsidRPr="00693A57" w:rsidRDefault="00D65475" w:rsidP="00D65475">
      <w:pPr>
        <w:pStyle w:val="ActHead5"/>
        <w:rPr>
          <w:color w:val="0000FF"/>
        </w:rPr>
      </w:pPr>
      <w:bookmarkStart w:id="33" w:name="_Toc77064827"/>
      <w:bookmarkStart w:id="34" w:name="_Toc11771569"/>
      <w:r w:rsidRPr="00693A57">
        <w:rPr>
          <w:color w:val="0000FF"/>
        </w:rPr>
        <w:t>1.10C</w:t>
      </w:r>
      <w:r w:rsidR="001F5289" w:rsidRPr="00693A57">
        <w:rPr>
          <w:color w:val="0000FF"/>
        </w:rPr>
        <w:t xml:space="preserve">  Trusted advise</w:t>
      </w:r>
      <w:r w:rsidRPr="00693A57">
        <w:rPr>
          <w:color w:val="0000FF"/>
        </w:rPr>
        <w:t>rs</w:t>
      </w:r>
      <w:bookmarkEnd w:id="33"/>
    </w:p>
    <w:p w14:paraId="3907D041" w14:textId="5AA39F94" w:rsidR="00D65475" w:rsidRPr="00693A57" w:rsidRDefault="00D65475" w:rsidP="00D65475">
      <w:pPr>
        <w:pStyle w:val="subsection"/>
        <w:rPr>
          <w:color w:val="0000FF"/>
        </w:rPr>
      </w:pPr>
      <w:r w:rsidRPr="00693A57">
        <w:rPr>
          <w:color w:val="0000FF"/>
        </w:rPr>
        <w:tab/>
      </w:r>
      <w:r w:rsidR="000E44B7" w:rsidRPr="00693A57">
        <w:rPr>
          <w:color w:val="0000FF"/>
        </w:rPr>
        <w:t>(1)</w:t>
      </w:r>
      <w:r w:rsidRPr="00693A57">
        <w:rPr>
          <w:color w:val="0000FF"/>
        </w:rPr>
        <w:tab/>
        <w:t xml:space="preserve">An accredited person may invite a CDR consumer to nominate one or more persons as </w:t>
      </w:r>
      <w:r w:rsidR="0038477E" w:rsidRPr="00693A57">
        <w:rPr>
          <w:b/>
          <w:i/>
          <w:color w:val="0000FF"/>
        </w:rPr>
        <w:t>trusted advise</w:t>
      </w:r>
      <w:r w:rsidRPr="00693A57">
        <w:rPr>
          <w:b/>
          <w:i/>
          <w:color w:val="0000FF"/>
        </w:rPr>
        <w:t>rs</w:t>
      </w:r>
      <w:r w:rsidRPr="00693A57">
        <w:rPr>
          <w:color w:val="0000FF"/>
        </w:rPr>
        <w:t xml:space="preserve"> of the CDR consumer for the purposes of this </w:t>
      </w:r>
      <w:r w:rsidR="0038477E" w:rsidRPr="00693A57">
        <w:rPr>
          <w:color w:val="0000FF"/>
        </w:rPr>
        <w:t>rule</w:t>
      </w:r>
      <w:r w:rsidRPr="00693A57">
        <w:rPr>
          <w:color w:val="0000FF"/>
        </w:rPr>
        <w:t>.</w:t>
      </w:r>
    </w:p>
    <w:p w14:paraId="4A002CE0" w14:textId="6F8F6B5A" w:rsidR="0038477E" w:rsidRPr="00693A57" w:rsidRDefault="0038477E" w:rsidP="0038477E">
      <w:pPr>
        <w:pStyle w:val="subsection"/>
        <w:rPr>
          <w:color w:val="0000FF"/>
        </w:rPr>
      </w:pPr>
      <w:r w:rsidRPr="00693A57">
        <w:rPr>
          <w:color w:val="0000FF"/>
        </w:rPr>
        <w:lastRenderedPageBreak/>
        <w:tab/>
        <w:t>(2)</w:t>
      </w:r>
      <w:r w:rsidRPr="00693A57">
        <w:rPr>
          <w:color w:val="0000FF"/>
        </w:rPr>
        <w:tab/>
        <w:t>A trusted adviser must belong to one of the following classes:</w:t>
      </w:r>
    </w:p>
    <w:p w14:paraId="03C663B2" w14:textId="77777777" w:rsidR="0038477E" w:rsidRPr="00693A57" w:rsidRDefault="0038477E" w:rsidP="0038477E">
      <w:pPr>
        <w:pStyle w:val="paragraph"/>
        <w:rPr>
          <w:color w:val="0000FF"/>
        </w:rPr>
      </w:pPr>
      <w:r w:rsidRPr="00693A57">
        <w:rPr>
          <w:color w:val="0000FF"/>
        </w:rPr>
        <w:tab/>
        <w:t>(a)</w:t>
      </w:r>
      <w:r w:rsidRPr="00693A57">
        <w:rPr>
          <w:color w:val="0000FF"/>
        </w:rPr>
        <w:tab/>
        <w:t xml:space="preserve">qualified accountants within the meaning of the </w:t>
      </w:r>
      <w:r w:rsidRPr="00693A57">
        <w:rPr>
          <w:i/>
          <w:color w:val="0000FF"/>
        </w:rPr>
        <w:t>Corporations Act 2001</w:t>
      </w:r>
      <w:r w:rsidRPr="00693A57">
        <w:rPr>
          <w:color w:val="0000FF"/>
        </w:rPr>
        <w:t xml:space="preserve">; </w:t>
      </w:r>
    </w:p>
    <w:p w14:paraId="1CEAC133" w14:textId="77777777" w:rsidR="0038477E" w:rsidRPr="00693A57" w:rsidRDefault="0038477E" w:rsidP="0038477E">
      <w:pPr>
        <w:pStyle w:val="paragraph"/>
        <w:rPr>
          <w:color w:val="0000FF"/>
        </w:rPr>
      </w:pPr>
      <w:r w:rsidRPr="00693A57">
        <w:rPr>
          <w:color w:val="0000FF"/>
        </w:rPr>
        <w:tab/>
        <w:t>(b)</w:t>
      </w:r>
      <w:r w:rsidRPr="00693A57">
        <w:rPr>
          <w:color w:val="0000FF"/>
        </w:rPr>
        <w:tab/>
        <w:t>persons who are admitted to the legal profession (however described) and hold a current practising certificate under a law of a State or Territory that regulates the legal profession;</w:t>
      </w:r>
    </w:p>
    <w:p w14:paraId="75027E4B" w14:textId="77777777" w:rsidR="0038477E" w:rsidRPr="00693A57" w:rsidRDefault="0038477E" w:rsidP="0038477E">
      <w:pPr>
        <w:pStyle w:val="paragraph"/>
        <w:rPr>
          <w:color w:val="0000FF"/>
        </w:rPr>
      </w:pPr>
      <w:r w:rsidRPr="00693A57">
        <w:rPr>
          <w:color w:val="0000FF"/>
        </w:rPr>
        <w:tab/>
        <w:t>(c)</w:t>
      </w:r>
      <w:r w:rsidRPr="00693A57">
        <w:rPr>
          <w:color w:val="0000FF"/>
        </w:rPr>
        <w:tab/>
        <w:t xml:space="preserve">registered tax agents, BAS agents and tax (financial) advisers within the meaning of the </w:t>
      </w:r>
      <w:r w:rsidRPr="00693A57">
        <w:rPr>
          <w:i/>
          <w:color w:val="0000FF"/>
        </w:rPr>
        <w:t>Tax Agent Services Act 2009</w:t>
      </w:r>
      <w:r w:rsidRPr="00693A57">
        <w:rPr>
          <w:color w:val="0000FF"/>
        </w:rPr>
        <w:t>;</w:t>
      </w:r>
    </w:p>
    <w:p w14:paraId="7BB3E8FF" w14:textId="77777777" w:rsidR="0038477E" w:rsidRPr="00693A57" w:rsidRDefault="0038477E" w:rsidP="0038477E">
      <w:pPr>
        <w:pStyle w:val="paragraph"/>
        <w:rPr>
          <w:color w:val="0000FF"/>
        </w:rPr>
      </w:pPr>
      <w:r w:rsidRPr="00693A57">
        <w:rPr>
          <w:color w:val="0000FF"/>
        </w:rPr>
        <w:tab/>
        <w:t>(d)</w:t>
      </w:r>
      <w:r w:rsidRPr="00693A57">
        <w:rPr>
          <w:color w:val="0000FF"/>
        </w:rPr>
        <w:tab/>
        <w:t xml:space="preserve">financial counselling agencies within the meaning of the </w:t>
      </w:r>
      <w:r w:rsidRPr="00693A57">
        <w:rPr>
          <w:i/>
          <w:iCs/>
          <w:color w:val="0000FF"/>
          <w:shd w:val="clear" w:color="auto" w:fill="FFFFFF"/>
        </w:rPr>
        <w:t>ASIC Corporations (Financial Counselling Agencies) Instrument 2017/792</w:t>
      </w:r>
      <w:r w:rsidRPr="00693A57">
        <w:rPr>
          <w:iCs/>
          <w:color w:val="0000FF"/>
          <w:shd w:val="clear" w:color="auto" w:fill="FFFFFF"/>
        </w:rPr>
        <w:t>;</w:t>
      </w:r>
    </w:p>
    <w:p w14:paraId="3FFE7240" w14:textId="71974F67" w:rsidR="0038477E" w:rsidRPr="00693A57" w:rsidRDefault="0038477E" w:rsidP="0038477E">
      <w:pPr>
        <w:pStyle w:val="paragraph"/>
        <w:rPr>
          <w:color w:val="0000FF"/>
        </w:rPr>
      </w:pPr>
      <w:r w:rsidRPr="00693A57">
        <w:rPr>
          <w:color w:val="0000FF"/>
        </w:rPr>
        <w:tab/>
        <w:t>(e)</w:t>
      </w:r>
      <w:r w:rsidRPr="00693A57">
        <w:rPr>
          <w:color w:val="0000FF"/>
        </w:rPr>
        <w:tab/>
        <w:t xml:space="preserve">relevant providers within the meaning of the </w:t>
      </w:r>
      <w:r w:rsidRPr="00693A57">
        <w:rPr>
          <w:i/>
          <w:color w:val="0000FF"/>
        </w:rPr>
        <w:t xml:space="preserve">Corporations Act 2001 </w:t>
      </w:r>
      <w:r w:rsidRPr="00693A57">
        <w:rPr>
          <w:color w:val="0000FF"/>
        </w:rPr>
        <w:t xml:space="preserve">who would not contravene subsection 923C(1) or (2) of the </w:t>
      </w:r>
      <w:r w:rsidRPr="00693A57">
        <w:rPr>
          <w:i/>
          <w:color w:val="0000FF"/>
        </w:rPr>
        <w:t xml:space="preserve">Corporations Act 2001 </w:t>
      </w:r>
      <w:r w:rsidRPr="00693A57">
        <w:rPr>
          <w:color w:val="0000FF"/>
        </w:rPr>
        <w:t>if they were to assume or use the expression “financial adviser” or “financial planner” in relation to a financial services busness or a financial service they carry on or provide;</w:t>
      </w:r>
    </w:p>
    <w:p w14:paraId="51C71501" w14:textId="6C164CD6" w:rsidR="0038477E" w:rsidRPr="00693A57" w:rsidRDefault="0038477E" w:rsidP="0038477E">
      <w:pPr>
        <w:pStyle w:val="paragraph"/>
        <w:rPr>
          <w:color w:val="0000FF"/>
        </w:rPr>
      </w:pPr>
      <w:r w:rsidRPr="00693A57">
        <w:rPr>
          <w:color w:val="0000FF"/>
        </w:rPr>
        <w:tab/>
        <w:t>(f)</w:t>
      </w:r>
      <w:r w:rsidRPr="00693A57">
        <w:rPr>
          <w:color w:val="0000FF"/>
        </w:rPr>
        <w:tab/>
        <w:t xml:space="preserve">mortgage brokers within the meaning of the </w:t>
      </w:r>
      <w:r w:rsidRPr="00693A57">
        <w:rPr>
          <w:i/>
          <w:color w:val="0000FF"/>
        </w:rPr>
        <w:t>National Consumer Credit Protection Act 2009</w:t>
      </w:r>
      <w:r w:rsidRPr="00693A57">
        <w:rPr>
          <w:color w:val="0000FF"/>
        </w:rPr>
        <w:t>.</w:t>
      </w:r>
    </w:p>
    <w:p w14:paraId="5E96A7E5" w14:textId="77777777" w:rsidR="0038477E" w:rsidRPr="00693A57" w:rsidRDefault="0038477E" w:rsidP="0038477E">
      <w:pPr>
        <w:pStyle w:val="subsection"/>
        <w:rPr>
          <w:color w:val="0000FF"/>
        </w:rPr>
      </w:pPr>
      <w:r w:rsidRPr="00693A57">
        <w:rPr>
          <w:color w:val="0000FF"/>
        </w:rPr>
        <w:tab/>
        <w:t>(3)</w:t>
      </w:r>
      <w:r w:rsidRPr="00693A57">
        <w:rPr>
          <w:color w:val="0000FF"/>
        </w:rPr>
        <w:tab/>
        <w:t>The accredited person must not make:</w:t>
      </w:r>
    </w:p>
    <w:p w14:paraId="54B3E47E" w14:textId="2E8E925F" w:rsidR="0038477E" w:rsidRPr="00693A57" w:rsidRDefault="0038477E" w:rsidP="0038477E">
      <w:pPr>
        <w:pStyle w:val="paragraph"/>
        <w:rPr>
          <w:color w:val="0000FF"/>
        </w:rPr>
      </w:pPr>
      <w:r w:rsidRPr="00693A57">
        <w:rPr>
          <w:color w:val="0000FF"/>
        </w:rPr>
        <w:tab/>
        <w:t>(a)</w:t>
      </w:r>
      <w:r w:rsidRPr="00693A57">
        <w:rPr>
          <w:color w:val="0000FF"/>
        </w:rPr>
        <w:tab/>
        <w:t>the nomination of a trusted adviser; or</w:t>
      </w:r>
    </w:p>
    <w:p w14:paraId="1451899F" w14:textId="2E921E41" w:rsidR="0038477E" w:rsidRPr="00693A57" w:rsidRDefault="0038477E" w:rsidP="0038477E">
      <w:pPr>
        <w:pStyle w:val="paragraph"/>
        <w:rPr>
          <w:color w:val="0000FF"/>
        </w:rPr>
      </w:pPr>
      <w:r w:rsidRPr="00693A57">
        <w:rPr>
          <w:color w:val="0000FF"/>
        </w:rPr>
        <w:tab/>
        <w:t>(b)</w:t>
      </w:r>
      <w:r w:rsidRPr="00693A57">
        <w:rPr>
          <w:color w:val="0000FF"/>
        </w:rPr>
        <w:tab/>
        <w:t>the nomination of a particular person as a trusted adviser; or</w:t>
      </w:r>
    </w:p>
    <w:p w14:paraId="1719560E" w14:textId="77777777" w:rsidR="0038477E" w:rsidRPr="00693A57" w:rsidRDefault="0038477E" w:rsidP="0038477E">
      <w:pPr>
        <w:pStyle w:val="paragraph"/>
        <w:rPr>
          <w:color w:val="0000FF"/>
        </w:rPr>
      </w:pPr>
      <w:r w:rsidRPr="00693A57">
        <w:rPr>
          <w:color w:val="0000FF"/>
        </w:rPr>
        <w:tab/>
        <w:t>(c)</w:t>
      </w:r>
      <w:r w:rsidRPr="00693A57">
        <w:rPr>
          <w:color w:val="0000FF"/>
        </w:rPr>
        <w:tab/>
        <w:t>the giving of a TA disclosure consent;</w:t>
      </w:r>
    </w:p>
    <w:p w14:paraId="420720E4" w14:textId="77777777" w:rsidR="0038477E" w:rsidRPr="00693A57" w:rsidRDefault="0038477E" w:rsidP="0038477E">
      <w:pPr>
        <w:pStyle w:val="subsection"/>
        <w:spacing w:before="100"/>
        <w:rPr>
          <w:color w:val="0000FF"/>
        </w:rPr>
      </w:pPr>
      <w:r w:rsidRPr="00693A57">
        <w:rPr>
          <w:color w:val="0000FF"/>
        </w:rPr>
        <w:tab/>
      </w:r>
      <w:r w:rsidRPr="00693A57">
        <w:rPr>
          <w:color w:val="0000FF"/>
        </w:rPr>
        <w:tab/>
        <w:t>a condition for supply of the goods or services requested by the CDR consumer.</w:t>
      </w:r>
    </w:p>
    <w:p w14:paraId="34C5AB45" w14:textId="319C1F3F" w:rsidR="001B3D4A" w:rsidRPr="00693A57" w:rsidRDefault="001B3D4A" w:rsidP="001B3D4A">
      <w:pPr>
        <w:pStyle w:val="ActHead5"/>
        <w:rPr>
          <w:bCs/>
          <w:i/>
          <w:iCs/>
          <w:color w:val="0000FF"/>
        </w:rPr>
      </w:pPr>
      <w:bookmarkStart w:id="35" w:name="_Toc77064828"/>
      <w:r w:rsidRPr="00693A57">
        <w:rPr>
          <w:color w:val="0000FF"/>
        </w:rPr>
        <w:t xml:space="preserve">1.10D  Meaning of </w:t>
      </w:r>
      <w:r w:rsidRPr="00693A57">
        <w:rPr>
          <w:i/>
          <w:color w:val="0000FF"/>
        </w:rPr>
        <w:t>sponsorship arrangement</w:t>
      </w:r>
      <w:r w:rsidR="00386C4A" w:rsidRPr="00693A57">
        <w:rPr>
          <w:iCs/>
          <w:color w:val="0000FF"/>
        </w:rPr>
        <w:t>,</w:t>
      </w:r>
      <w:r w:rsidR="004B4478" w:rsidRPr="00693A57">
        <w:rPr>
          <w:b w:val="0"/>
          <w:bCs/>
          <w:iCs/>
          <w:color w:val="0000FF"/>
        </w:rPr>
        <w:t xml:space="preserve"> </w:t>
      </w:r>
      <w:r w:rsidR="004B4478" w:rsidRPr="00693A57">
        <w:rPr>
          <w:i/>
          <w:color w:val="0000FF"/>
        </w:rPr>
        <w:t>sponsor</w:t>
      </w:r>
      <w:r w:rsidR="00686487" w:rsidRPr="00693A57">
        <w:rPr>
          <w:b w:val="0"/>
          <w:color w:val="0000FF"/>
        </w:rPr>
        <w:t xml:space="preserve"> and </w:t>
      </w:r>
      <w:r w:rsidR="00686487" w:rsidRPr="00693A57">
        <w:rPr>
          <w:i/>
          <w:color w:val="0000FF"/>
        </w:rPr>
        <w:t>affiliate</w:t>
      </w:r>
      <w:bookmarkEnd w:id="35"/>
    </w:p>
    <w:p w14:paraId="3B8513C5" w14:textId="5BD18871" w:rsidR="003801D6" w:rsidRPr="00693A57" w:rsidRDefault="001B3D4A" w:rsidP="001B3D4A">
      <w:pPr>
        <w:pStyle w:val="subsection"/>
        <w:rPr>
          <w:color w:val="0000FF"/>
        </w:rPr>
      </w:pPr>
      <w:r w:rsidRPr="00693A57">
        <w:rPr>
          <w:color w:val="0000FF"/>
        </w:rPr>
        <w:tab/>
        <w:t>(1)</w:t>
      </w:r>
      <w:r w:rsidRPr="00693A57">
        <w:rPr>
          <w:color w:val="0000FF"/>
        </w:rPr>
        <w:tab/>
        <w:t xml:space="preserve">A </w:t>
      </w:r>
      <w:r w:rsidR="00117A5B" w:rsidRPr="00693A57">
        <w:rPr>
          <w:b/>
          <w:bCs/>
          <w:i/>
          <w:iCs/>
          <w:color w:val="0000FF"/>
        </w:rPr>
        <w:t>sponsorship arrangement</w:t>
      </w:r>
      <w:r w:rsidR="00117A5B" w:rsidRPr="00693A57">
        <w:rPr>
          <w:color w:val="0000FF"/>
        </w:rPr>
        <w:t xml:space="preserve"> is </w:t>
      </w:r>
      <w:r w:rsidR="00E23BBA" w:rsidRPr="00693A57">
        <w:rPr>
          <w:color w:val="0000FF"/>
        </w:rPr>
        <w:t xml:space="preserve">a written contract </w:t>
      </w:r>
      <w:r w:rsidR="00117A5B" w:rsidRPr="00693A57">
        <w:rPr>
          <w:color w:val="0000FF"/>
        </w:rPr>
        <w:t xml:space="preserve">between a person with unrestricted </w:t>
      </w:r>
      <w:r w:rsidR="00EA67BC" w:rsidRPr="00693A57">
        <w:rPr>
          <w:color w:val="0000FF"/>
        </w:rPr>
        <w:t>accreditation</w:t>
      </w:r>
      <w:r w:rsidR="00117A5B" w:rsidRPr="00693A57">
        <w:rPr>
          <w:color w:val="0000FF"/>
        </w:rPr>
        <w:t xml:space="preserve"> </w:t>
      </w:r>
      <w:r w:rsidR="002C2F62" w:rsidRPr="00693A57">
        <w:rPr>
          <w:color w:val="0000FF"/>
        </w:rPr>
        <w:t xml:space="preserve">(the </w:t>
      </w:r>
      <w:r w:rsidR="002C2F62" w:rsidRPr="00693A57">
        <w:rPr>
          <w:b/>
          <w:i/>
          <w:color w:val="0000FF"/>
        </w:rPr>
        <w:t>sponsor</w:t>
      </w:r>
      <w:r w:rsidR="002C2F62" w:rsidRPr="00693A57">
        <w:rPr>
          <w:color w:val="0000FF"/>
        </w:rPr>
        <w:t>)</w:t>
      </w:r>
      <w:r w:rsidR="002C2F62" w:rsidRPr="00693A57">
        <w:rPr>
          <w:b/>
          <w:color w:val="0000FF"/>
        </w:rPr>
        <w:t xml:space="preserve"> </w:t>
      </w:r>
      <w:r w:rsidR="00117A5B" w:rsidRPr="00693A57">
        <w:rPr>
          <w:color w:val="0000FF"/>
        </w:rPr>
        <w:t xml:space="preserve">and </w:t>
      </w:r>
      <w:r w:rsidR="008A6C8F" w:rsidRPr="00693A57">
        <w:rPr>
          <w:color w:val="0000FF"/>
        </w:rPr>
        <w:t>a</w:t>
      </w:r>
      <w:r w:rsidR="00F3080A" w:rsidRPr="00693A57">
        <w:rPr>
          <w:color w:val="0000FF"/>
        </w:rPr>
        <w:t xml:space="preserve">nother </w:t>
      </w:r>
      <w:r w:rsidR="00686487" w:rsidRPr="00693A57">
        <w:rPr>
          <w:color w:val="0000FF"/>
        </w:rPr>
        <w:t xml:space="preserve">person </w:t>
      </w:r>
      <w:r w:rsidR="008A6C8F" w:rsidRPr="00693A57">
        <w:rPr>
          <w:color w:val="0000FF"/>
        </w:rPr>
        <w:t xml:space="preserve">(the </w:t>
      </w:r>
      <w:r w:rsidR="008A6C8F" w:rsidRPr="00693A57">
        <w:rPr>
          <w:b/>
          <w:i/>
          <w:color w:val="0000FF"/>
        </w:rPr>
        <w:t>affiliate</w:t>
      </w:r>
      <w:r w:rsidR="008A6C8F" w:rsidRPr="00693A57">
        <w:rPr>
          <w:color w:val="0000FF"/>
        </w:rPr>
        <w:t>)</w:t>
      </w:r>
      <w:r w:rsidR="00117A5B" w:rsidRPr="00693A57">
        <w:rPr>
          <w:color w:val="0000FF"/>
        </w:rPr>
        <w:t>, under which</w:t>
      </w:r>
      <w:r w:rsidR="003801D6" w:rsidRPr="00693A57">
        <w:rPr>
          <w:color w:val="0000FF"/>
        </w:rPr>
        <w:t>:</w:t>
      </w:r>
    </w:p>
    <w:p w14:paraId="44F839BC" w14:textId="0A569D71" w:rsidR="00DE57EB" w:rsidRPr="00693A57" w:rsidRDefault="003801D6" w:rsidP="00EA67BC">
      <w:pPr>
        <w:pStyle w:val="paragraph"/>
        <w:rPr>
          <w:color w:val="0000FF"/>
        </w:rPr>
      </w:pPr>
      <w:r w:rsidRPr="00693A57">
        <w:rPr>
          <w:color w:val="0000FF"/>
        </w:rPr>
        <w:tab/>
        <w:t>(a)</w:t>
      </w:r>
      <w:r w:rsidRPr="00693A57">
        <w:rPr>
          <w:color w:val="0000FF"/>
        </w:rPr>
        <w:tab/>
      </w:r>
      <w:r w:rsidR="00DE57EB" w:rsidRPr="00693A57">
        <w:rPr>
          <w:color w:val="0000FF"/>
        </w:rPr>
        <w:t xml:space="preserve">the </w:t>
      </w:r>
      <w:r w:rsidR="002C2F62" w:rsidRPr="00693A57">
        <w:rPr>
          <w:color w:val="0000FF"/>
        </w:rPr>
        <w:t>sponsor</w:t>
      </w:r>
      <w:r w:rsidR="00DE57EB" w:rsidRPr="00693A57">
        <w:rPr>
          <w:color w:val="0000FF"/>
        </w:rPr>
        <w:t xml:space="preserve"> agrees</w:t>
      </w:r>
      <w:r w:rsidR="00EA67BC" w:rsidRPr="00693A57">
        <w:rPr>
          <w:color w:val="0000FF"/>
        </w:rPr>
        <w:t xml:space="preserve"> </w:t>
      </w:r>
      <w:r w:rsidR="00DE57EB" w:rsidRPr="00693A57">
        <w:rPr>
          <w:color w:val="0000FF"/>
        </w:rPr>
        <w:t>to disclose</w:t>
      </w:r>
      <w:r w:rsidR="00686487" w:rsidRPr="00693A57">
        <w:rPr>
          <w:color w:val="0000FF"/>
        </w:rPr>
        <w:t xml:space="preserve"> to the affiliate, </w:t>
      </w:r>
      <w:r w:rsidR="00DE57EB" w:rsidRPr="00693A57">
        <w:rPr>
          <w:color w:val="0000FF"/>
        </w:rPr>
        <w:t>in response to a consumer data request</w:t>
      </w:r>
      <w:r w:rsidR="00686487" w:rsidRPr="00693A57">
        <w:rPr>
          <w:color w:val="0000FF"/>
        </w:rPr>
        <w:t xml:space="preserve"> </w:t>
      </w:r>
      <w:r w:rsidR="00F3080A" w:rsidRPr="00693A57">
        <w:rPr>
          <w:color w:val="0000FF"/>
        </w:rPr>
        <w:t xml:space="preserve">made </w:t>
      </w:r>
      <w:r w:rsidR="00686487" w:rsidRPr="00693A57">
        <w:rPr>
          <w:color w:val="0000FF"/>
        </w:rPr>
        <w:t xml:space="preserve">by the affiliate </w:t>
      </w:r>
      <w:r w:rsidR="00950F44" w:rsidRPr="00693A57">
        <w:rPr>
          <w:color w:val="0000FF"/>
        </w:rPr>
        <w:t>in accordance with rule 5.1B(2</w:t>
      </w:r>
      <w:r w:rsidR="00F3080A" w:rsidRPr="00693A57">
        <w:rPr>
          <w:color w:val="0000FF"/>
        </w:rPr>
        <w:t>)</w:t>
      </w:r>
      <w:r w:rsidR="00686487" w:rsidRPr="00693A57">
        <w:rPr>
          <w:color w:val="0000FF"/>
        </w:rPr>
        <w:t>, CDR data that it holds as an accredited data recipient</w:t>
      </w:r>
      <w:r w:rsidR="00DE57EB" w:rsidRPr="00693A57">
        <w:rPr>
          <w:color w:val="0000FF"/>
        </w:rPr>
        <w:t>; and</w:t>
      </w:r>
    </w:p>
    <w:p w14:paraId="35A3E1A0" w14:textId="2817F409" w:rsidR="00117A5B" w:rsidRPr="00693A57" w:rsidRDefault="003801D6" w:rsidP="003801D6">
      <w:pPr>
        <w:pStyle w:val="paragraph"/>
        <w:rPr>
          <w:color w:val="0000FF"/>
        </w:rPr>
      </w:pPr>
      <w:r w:rsidRPr="00693A57">
        <w:rPr>
          <w:color w:val="0000FF"/>
        </w:rPr>
        <w:tab/>
        <w:t>(b)</w:t>
      </w:r>
      <w:r w:rsidRPr="00693A57">
        <w:rPr>
          <w:color w:val="0000FF"/>
        </w:rPr>
        <w:tab/>
      </w:r>
      <w:r w:rsidR="00117A5B" w:rsidRPr="00693A57">
        <w:rPr>
          <w:color w:val="0000FF"/>
        </w:rPr>
        <w:t xml:space="preserve">the affiliate undertakes to provide the </w:t>
      </w:r>
      <w:r w:rsidR="002C2F62" w:rsidRPr="00693A57">
        <w:rPr>
          <w:color w:val="0000FF"/>
        </w:rPr>
        <w:t>sponsor</w:t>
      </w:r>
      <w:r w:rsidR="00117A5B" w:rsidRPr="00693A57">
        <w:rPr>
          <w:color w:val="0000FF"/>
        </w:rPr>
        <w:t xml:space="preserve"> with such information and access to its operations as is needed for the </w:t>
      </w:r>
      <w:r w:rsidR="002C2F62" w:rsidRPr="00693A57">
        <w:rPr>
          <w:color w:val="0000FF"/>
        </w:rPr>
        <w:t>sponsor</w:t>
      </w:r>
      <w:r w:rsidR="00117A5B" w:rsidRPr="00693A57">
        <w:rPr>
          <w:color w:val="0000FF"/>
        </w:rPr>
        <w:t xml:space="preserve"> to fulfil its obligations as a sponsor</w:t>
      </w:r>
      <w:r w:rsidR="004B4478" w:rsidRPr="00693A57">
        <w:rPr>
          <w:color w:val="0000FF"/>
        </w:rPr>
        <w:t>.</w:t>
      </w:r>
    </w:p>
    <w:p w14:paraId="261A4B4A" w14:textId="0655EC22" w:rsidR="00686487" w:rsidRPr="00693A57" w:rsidRDefault="00686487" w:rsidP="00686487">
      <w:pPr>
        <w:pStyle w:val="notetext"/>
        <w:rPr>
          <w:color w:val="0000FF"/>
        </w:rPr>
      </w:pPr>
      <w:r w:rsidRPr="00693A57">
        <w:rPr>
          <w:color w:val="0000FF"/>
        </w:rPr>
        <w:t>Note:</w:t>
      </w:r>
      <w:r w:rsidRPr="00693A57">
        <w:rPr>
          <w:color w:val="0000FF"/>
        </w:rPr>
        <w:tab/>
        <w:t>A person does not need to have sponsored accreditation to enter into a sponsorship arrangement as an affiliate, but will need it to make the consumer data requests mentioned in paragraph (a)</w:t>
      </w:r>
    </w:p>
    <w:p w14:paraId="4308874E" w14:textId="592E9249" w:rsidR="00EA67BC" w:rsidRPr="00693A57" w:rsidRDefault="003801D6" w:rsidP="003801D6">
      <w:pPr>
        <w:pStyle w:val="subsection"/>
        <w:rPr>
          <w:color w:val="0000FF"/>
        </w:rPr>
      </w:pPr>
      <w:r w:rsidRPr="00693A57">
        <w:rPr>
          <w:color w:val="0000FF"/>
        </w:rPr>
        <w:tab/>
        <w:t>(</w:t>
      </w:r>
      <w:r w:rsidR="007B24AA" w:rsidRPr="00693A57">
        <w:rPr>
          <w:color w:val="0000FF"/>
        </w:rPr>
        <w:t>2</w:t>
      </w:r>
      <w:r w:rsidRPr="00693A57">
        <w:rPr>
          <w:color w:val="0000FF"/>
        </w:rPr>
        <w:t>)</w:t>
      </w:r>
      <w:r w:rsidRPr="00693A57">
        <w:rPr>
          <w:color w:val="0000FF"/>
        </w:rPr>
        <w:tab/>
      </w:r>
      <w:r w:rsidR="00117A5B" w:rsidRPr="00693A57">
        <w:rPr>
          <w:color w:val="0000FF"/>
        </w:rPr>
        <w:t xml:space="preserve">A </w:t>
      </w:r>
      <w:r w:rsidR="00767F8D" w:rsidRPr="00693A57">
        <w:rPr>
          <w:color w:val="0000FF"/>
        </w:rPr>
        <w:t>sponsorship</w:t>
      </w:r>
      <w:r w:rsidR="00117A5B" w:rsidRPr="00693A57">
        <w:rPr>
          <w:color w:val="0000FF"/>
        </w:rPr>
        <w:t xml:space="preserve"> arrangement may also provide for</w:t>
      </w:r>
      <w:r w:rsidR="00EA67BC" w:rsidRPr="00693A57">
        <w:rPr>
          <w:color w:val="0000FF"/>
        </w:rPr>
        <w:t xml:space="preserve"> the </w:t>
      </w:r>
      <w:r w:rsidR="002C2F62" w:rsidRPr="00693A57">
        <w:rPr>
          <w:color w:val="0000FF"/>
        </w:rPr>
        <w:t>sponsor</w:t>
      </w:r>
      <w:r w:rsidR="00EA67BC" w:rsidRPr="00693A57">
        <w:rPr>
          <w:color w:val="0000FF"/>
        </w:rPr>
        <w:t xml:space="preserve"> to:</w:t>
      </w:r>
    </w:p>
    <w:p w14:paraId="37F05BDF" w14:textId="50B89499" w:rsidR="00EA67BC" w:rsidRPr="00693A57" w:rsidRDefault="00EA67BC" w:rsidP="00EA67BC">
      <w:pPr>
        <w:pStyle w:val="paragraph"/>
        <w:rPr>
          <w:color w:val="0000FF"/>
        </w:rPr>
      </w:pPr>
      <w:r w:rsidRPr="00693A57">
        <w:rPr>
          <w:color w:val="0000FF"/>
        </w:rPr>
        <w:tab/>
        <w:t>(a)</w:t>
      </w:r>
      <w:r w:rsidRPr="00693A57">
        <w:rPr>
          <w:color w:val="0000FF"/>
        </w:rPr>
        <w:tab/>
        <w:t xml:space="preserve">make consumer data requests </w:t>
      </w:r>
      <w:r w:rsidR="00741024" w:rsidRPr="00693A57">
        <w:rPr>
          <w:color w:val="0000FF"/>
        </w:rPr>
        <w:t xml:space="preserve">at the request of </w:t>
      </w:r>
      <w:r w:rsidRPr="00693A57">
        <w:rPr>
          <w:color w:val="0000FF"/>
        </w:rPr>
        <w:t>the affiliate; or</w:t>
      </w:r>
    </w:p>
    <w:p w14:paraId="6B268534" w14:textId="18FEF6D4" w:rsidR="00C204CD" w:rsidRPr="00693A57" w:rsidRDefault="00741024" w:rsidP="00EA67BC">
      <w:pPr>
        <w:pStyle w:val="paragraph"/>
        <w:rPr>
          <w:color w:val="0000FF"/>
        </w:rPr>
      </w:pPr>
      <w:r w:rsidRPr="00693A57">
        <w:rPr>
          <w:color w:val="0000FF"/>
        </w:rPr>
        <w:tab/>
        <w:t>(b</w:t>
      </w:r>
      <w:r w:rsidR="00EA67BC" w:rsidRPr="00693A57">
        <w:rPr>
          <w:color w:val="0000FF"/>
        </w:rPr>
        <w:t>)</w:t>
      </w:r>
      <w:r w:rsidR="00EA67BC" w:rsidRPr="00693A57">
        <w:rPr>
          <w:color w:val="0000FF"/>
        </w:rPr>
        <w:tab/>
      </w:r>
      <w:r w:rsidR="00117A5B" w:rsidRPr="00693A57">
        <w:rPr>
          <w:color w:val="0000FF"/>
        </w:rPr>
        <w:t xml:space="preserve">use or disclose CDR data </w:t>
      </w:r>
      <w:r w:rsidR="002E7573" w:rsidRPr="00693A57">
        <w:rPr>
          <w:color w:val="0000FF"/>
        </w:rPr>
        <w:t>at the request</w:t>
      </w:r>
      <w:r w:rsidR="00117A5B" w:rsidRPr="00693A57">
        <w:rPr>
          <w:color w:val="0000FF"/>
        </w:rPr>
        <w:t xml:space="preserve"> of the affiliate</w:t>
      </w:r>
      <w:r w:rsidR="00EA67BC" w:rsidRPr="00693A57">
        <w:rPr>
          <w:color w:val="0000FF"/>
        </w:rPr>
        <w:t>.</w:t>
      </w:r>
    </w:p>
    <w:p w14:paraId="71D8EAD5" w14:textId="77777777" w:rsidR="00B62842" w:rsidRPr="00132B22" w:rsidRDefault="00B62842" w:rsidP="00EA67BC">
      <w:pPr>
        <w:pStyle w:val="paragraph"/>
      </w:pPr>
    </w:p>
    <w:p w14:paraId="1F0BF698" w14:textId="5F421A65" w:rsidR="00CF0E3D" w:rsidRDefault="00CF0E3D" w:rsidP="00CF0E3D">
      <w:pPr>
        <w:pStyle w:val="ActHead3"/>
        <w:pageBreakBefore/>
        <w:rPr>
          <w:color w:val="000000"/>
        </w:rPr>
      </w:pPr>
      <w:bookmarkStart w:id="36" w:name="_Toc77064829"/>
      <w:r>
        <w:lastRenderedPageBreak/>
        <w:t>Division 1.4</w:t>
      </w:r>
      <w:r w:rsidRPr="00B3173B">
        <w:t>—</w:t>
      </w:r>
      <w:r w:rsidRPr="00964EDA">
        <w:rPr>
          <w:color w:val="000000"/>
        </w:rPr>
        <w:t>General provisions relating to data holders and to accredited persons</w:t>
      </w:r>
      <w:bookmarkEnd w:id="34"/>
      <w:bookmarkEnd w:id="36"/>
    </w:p>
    <w:p w14:paraId="28FFD8C5" w14:textId="77777777" w:rsidR="00CF0E3D" w:rsidRDefault="00CF0E3D" w:rsidP="00CF0E3D">
      <w:pPr>
        <w:pStyle w:val="ActHead4"/>
      </w:pPr>
      <w:bookmarkStart w:id="37" w:name="_Toc11771570"/>
      <w:bookmarkStart w:id="38" w:name="_Toc77064830"/>
      <w:r>
        <w:t>Subdivision 1.4.1—Preliminary</w:t>
      </w:r>
      <w:bookmarkEnd w:id="37"/>
      <w:bookmarkEnd w:id="38"/>
    </w:p>
    <w:p w14:paraId="7A2BD634" w14:textId="77777777" w:rsidR="00CF0E3D" w:rsidRDefault="00CF0E3D" w:rsidP="00CF0E3D">
      <w:pPr>
        <w:pStyle w:val="ActHead5"/>
      </w:pPr>
      <w:bookmarkStart w:id="39" w:name="_Toc11771571"/>
      <w:bookmarkStart w:id="40" w:name="_Toc77064831"/>
      <w:r>
        <w:t>1.11  Simplified outline of Division</w:t>
      </w:r>
      <w:bookmarkEnd w:id="39"/>
      <w:bookmarkEnd w:id="40"/>
    </w:p>
    <w:p w14:paraId="7EC58485" w14:textId="77777777" w:rsidR="00CF0E3D" w:rsidRPr="00EC31EF" w:rsidRDefault="00CF0E3D" w:rsidP="00CF0E3D">
      <w:pPr>
        <w:pStyle w:val="SOText"/>
      </w:pPr>
      <w:r w:rsidRPr="00EC31EF">
        <w:t>This Division sets out:</w:t>
      </w:r>
    </w:p>
    <w:p w14:paraId="7A79D76D" w14:textId="77777777" w:rsidR="00CF0E3D" w:rsidRPr="00EC31EF" w:rsidRDefault="00CF0E3D" w:rsidP="00CF0E3D">
      <w:pPr>
        <w:pStyle w:val="SOPara"/>
      </w:pPr>
      <w:r>
        <w:tab/>
      </w:r>
      <w:r w:rsidRPr="00EC31EF">
        <w:t>•</w:t>
      </w:r>
      <w:r w:rsidRPr="00EC31EF">
        <w:tab/>
        <w:t>general obligations of data holders which relate to product data requests and consumer data requests; and</w:t>
      </w:r>
    </w:p>
    <w:p w14:paraId="2F4A6D34" w14:textId="77777777" w:rsidR="00CF0E3D" w:rsidRPr="00724397" w:rsidRDefault="00CF0E3D" w:rsidP="00CF0E3D">
      <w:pPr>
        <w:pStyle w:val="SOPara"/>
      </w:pPr>
      <w:r>
        <w:tab/>
      </w:r>
      <w:r w:rsidRPr="007E69B9">
        <w:t>•</w:t>
      </w:r>
      <w:r w:rsidRPr="007E69B9">
        <w:tab/>
        <w:t xml:space="preserve">general obligations for data holders and accredited persons to provide CDR consumers with consumer dashboards, which contain information relating to consumer data requests, and a functionality for </w:t>
      </w:r>
      <w:r>
        <w:t>amending or withdrawing consents, and for withdrawing authorisations, under these rules</w:t>
      </w:r>
      <w:r w:rsidRPr="00724397">
        <w:t>.</w:t>
      </w:r>
    </w:p>
    <w:p w14:paraId="554C406D" w14:textId="77777777" w:rsidR="00CF0E3D" w:rsidRPr="007E69B9" w:rsidRDefault="00CF0E3D" w:rsidP="00CF0E3D">
      <w:pPr>
        <w:pStyle w:val="ActHead4"/>
        <w:pageBreakBefore/>
      </w:pPr>
      <w:bookmarkStart w:id="41" w:name="_Toc11771572"/>
      <w:bookmarkStart w:id="42" w:name="_Toc77064832"/>
      <w:r>
        <w:lastRenderedPageBreak/>
        <w:t>Subdivision 1.4.2</w:t>
      </w:r>
      <w:r w:rsidRPr="007E69B9">
        <w:t>—Services for making requests under these rules</w:t>
      </w:r>
      <w:bookmarkEnd w:id="41"/>
      <w:bookmarkEnd w:id="42"/>
    </w:p>
    <w:p w14:paraId="69507BF3" w14:textId="77777777" w:rsidR="00CF0E3D" w:rsidRDefault="00CF0E3D" w:rsidP="00CF0E3D">
      <w:pPr>
        <w:pStyle w:val="ActHead5"/>
      </w:pPr>
      <w:bookmarkStart w:id="43" w:name="_Toc11771573"/>
      <w:bookmarkStart w:id="44" w:name="_Toc77064833"/>
      <w:r>
        <w:t>1.12</w:t>
      </w:r>
      <w:r w:rsidRPr="00B3173B">
        <w:t xml:space="preserve">  Product data request </w:t>
      </w:r>
      <w:r>
        <w:t>service</w:t>
      </w:r>
      <w:bookmarkEnd w:id="43"/>
      <w:bookmarkEnd w:id="44"/>
    </w:p>
    <w:p w14:paraId="4FAFF7C3" w14:textId="77777777" w:rsidR="00CF0E3D" w:rsidRDefault="00CF0E3D" w:rsidP="00CF0E3D">
      <w:pPr>
        <w:pStyle w:val="subsection"/>
      </w:pPr>
      <w:r w:rsidRPr="00B3173B">
        <w:tab/>
      </w:r>
      <w:r>
        <w:t>(1)</w:t>
      </w:r>
      <w:r w:rsidRPr="00B3173B">
        <w:tab/>
        <w:t xml:space="preserve">A </w:t>
      </w:r>
      <w:r w:rsidRPr="00D02017">
        <w:t>data holder must provide an online service that</w:t>
      </w:r>
      <w:r>
        <w:t>:</w:t>
      </w:r>
    </w:p>
    <w:p w14:paraId="2CC0CF8E" w14:textId="77777777" w:rsidR="00CF0E3D" w:rsidRPr="00360E15" w:rsidRDefault="00CF0E3D" w:rsidP="00CF0E3D">
      <w:pPr>
        <w:pStyle w:val="paragraph"/>
      </w:pPr>
      <w:r>
        <w:tab/>
        <w:t>(a)</w:t>
      </w:r>
      <w:r>
        <w:tab/>
      </w:r>
      <w:r w:rsidRPr="00D02017">
        <w:t>can be used to make product data requests</w:t>
      </w:r>
      <w:r w:rsidRPr="00360E15">
        <w:t>; and</w:t>
      </w:r>
    </w:p>
    <w:p w14:paraId="7BE73AA5" w14:textId="77777777" w:rsidR="00CF0E3D" w:rsidRDefault="00CF0E3D" w:rsidP="00CF0E3D">
      <w:pPr>
        <w:pStyle w:val="paragraph"/>
      </w:pPr>
      <w:r w:rsidRPr="00360E15">
        <w:tab/>
      </w:r>
      <w:r>
        <w:t>(b)</w:t>
      </w:r>
      <w:r w:rsidRPr="00360E15">
        <w:tab/>
        <w:t>enables requested data to be disclosed in machine</w:t>
      </w:r>
      <w:r w:rsidRPr="00360E15">
        <w:noBreakHyphen/>
        <w:t>readable form; and</w:t>
      </w:r>
    </w:p>
    <w:p w14:paraId="70C1D7C1" w14:textId="77777777" w:rsidR="00CF0E3D" w:rsidRPr="00360E15" w:rsidRDefault="00CF0E3D" w:rsidP="00CF0E3D">
      <w:pPr>
        <w:pStyle w:val="paragraph"/>
      </w:pPr>
      <w:r w:rsidRPr="00360E15">
        <w:tab/>
      </w:r>
      <w:r>
        <w:t>(c)</w:t>
      </w:r>
      <w:r w:rsidRPr="00360E15">
        <w:tab/>
        <w:t>conforms with the data standards.</w:t>
      </w:r>
    </w:p>
    <w:p w14:paraId="577F0537" w14:textId="77777777" w:rsidR="00CF0E3D" w:rsidRPr="00E1300D" w:rsidRDefault="00CF0E3D" w:rsidP="00CF0E3D">
      <w:pPr>
        <w:pStyle w:val="notetext"/>
      </w:pPr>
      <w:r w:rsidRPr="00D02017">
        <w:t>Note</w:t>
      </w:r>
      <w:r>
        <w:t xml:space="preserve"> </w:t>
      </w:r>
      <w:r w:rsidRPr="00E1300D">
        <w:t>1:</w:t>
      </w:r>
      <w:r w:rsidRPr="00E1300D">
        <w:tab/>
        <w:t>See rule </w:t>
      </w:r>
      <w:r>
        <w:t>2.3</w:t>
      </w:r>
      <w:r w:rsidRPr="00E1300D">
        <w:t xml:space="preserve"> for the meaning of “product data request”.</w:t>
      </w:r>
    </w:p>
    <w:p w14:paraId="3EF803CB" w14:textId="77777777" w:rsidR="00CF0E3D" w:rsidRDefault="00CF0E3D" w:rsidP="00CF0E3D">
      <w:pPr>
        <w:pStyle w:val="notetext"/>
      </w:pPr>
      <w:r w:rsidRPr="00E1300D">
        <w:t>Note 2:</w:t>
      </w:r>
      <w:r w:rsidRPr="00E1300D">
        <w:tab/>
        <w:t>This subrule is a civil penalty provision (see rule </w:t>
      </w:r>
      <w:r>
        <w:t>9.8</w:t>
      </w:r>
      <w:r w:rsidRPr="00E1300D">
        <w:t>).</w:t>
      </w:r>
    </w:p>
    <w:p w14:paraId="38689D58" w14:textId="3E827888" w:rsidR="00A227D9" w:rsidRPr="00693A57" w:rsidRDefault="00A227D9" w:rsidP="00CF0E3D">
      <w:pPr>
        <w:pStyle w:val="notetext"/>
        <w:rPr>
          <w:color w:val="FF0000"/>
        </w:rPr>
      </w:pPr>
      <w:r w:rsidRPr="00693A57">
        <w:rPr>
          <w:color w:val="FF0000"/>
        </w:rPr>
        <w:t xml:space="preserve">Note 3: </w:t>
      </w:r>
      <w:r w:rsidRPr="00693A57">
        <w:rPr>
          <w:color w:val="FF0000"/>
        </w:rPr>
        <w:tab/>
        <w:t xml:space="preserve">For the energy sector, this rule is modified by clause </w:t>
      </w:r>
      <w:r w:rsidR="000B1D10" w:rsidRPr="00693A57">
        <w:rPr>
          <w:color w:val="FF0000"/>
        </w:rPr>
        <w:t>4.2</w:t>
      </w:r>
      <w:r w:rsidRPr="00693A57">
        <w:rPr>
          <w:color w:val="FF0000"/>
        </w:rPr>
        <w:t xml:space="preserve"> of Schedule 4.</w:t>
      </w:r>
    </w:p>
    <w:p w14:paraId="4BB66367" w14:textId="77777777" w:rsidR="00CF0E3D" w:rsidRDefault="00CF0E3D" w:rsidP="00CF0E3D">
      <w:pPr>
        <w:pStyle w:val="subsection"/>
      </w:pPr>
      <w:r w:rsidRPr="00E1300D">
        <w:tab/>
      </w:r>
      <w:r>
        <w:t>(2)</w:t>
      </w:r>
      <w:r w:rsidRPr="00E1300D">
        <w:tab/>
        <w:t xml:space="preserve">Such a service is a </w:t>
      </w:r>
      <w:r w:rsidRPr="00E1300D">
        <w:rPr>
          <w:b/>
          <w:i/>
        </w:rPr>
        <w:t>product data request service</w:t>
      </w:r>
      <w:r w:rsidRPr="00E1300D">
        <w:t>.</w:t>
      </w:r>
    </w:p>
    <w:p w14:paraId="2F104C66" w14:textId="6FE9D8B2" w:rsidR="00CF0E3D" w:rsidRDefault="00CF0E3D" w:rsidP="00CF0E3D">
      <w:pPr>
        <w:pStyle w:val="ActHead5"/>
      </w:pPr>
      <w:bookmarkStart w:id="45" w:name="_Toc11771574"/>
      <w:bookmarkStart w:id="46" w:name="_Toc77064834"/>
      <w:r>
        <w:t>1.13</w:t>
      </w:r>
      <w:r w:rsidRPr="00B3173B">
        <w:t xml:space="preserve">  Consumer data request service</w:t>
      </w:r>
      <w:bookmarkEnd w:id="45"/>
      <w:bookmarkEnd w:id="46"/>
    </w:p>
    <w:p w14:paraId="0C60258D" w14:textId="77777777" w:rsidR="00E17C5F" w:rsidRPr="004C52E6" w:rsidRDefault="00E17C5F" w:rsidP="00E17C5F">
      <w:pPr>
        <w:pStyle w:val="subsection"/>
      </w:pPr>
      <w:bookmarkStart w:id="47" w:name="_Toc11771575"/>
      <w:r w:rsidRPr="004C52E6">
        <w:tab/>
        <w:t>(1)</w:t>
      </w:r>
      <w:r w:rsidRPr="004C52E6">
        <w:tab/>
        <w:t>A data holder must provide:</w:t>
      </w:r>
    </w:p>
    <w:p w14:paraId="5F8D4579" w14:textId="77777777" w:rsidR="00E17C5F" w:rsidRPr="004C52E6" w:rsidRDefault="00E17C5F" w:rsidP="00E17C5F">
      <w:pPr>
        <w:pStyle w:val="paragraph"/>
      </w:pPr>
      <w:r w:rsidRPr="004C52E6">
        <w:tab/>
        <w:t>(a)</w:t>
      </w:r>
      <w:r w:rsidRPr="004C52E6">
        <w:tab/>
        <w:t>an online service that:</w:t>
      </w:r>
    </w:p>
    <w:p w14:paraId="49AF1616" w14:textId="77777777" w:rsidR="00E17C5F" w:rsidRPr="004C52E6" w:rsidRDefault="00E17C5F" w:rsidP="00E17C5F">
      <w:pPr>
        <w:pStyle w:val="paragraphsub"/>
      </w:pPr>
      <w:r w:rsidRPr="004C52E6">
        <w:tab/>
        <w:t>(i)</w:t>
      </w:r>
      <w:r w:rsidRPr="004C52E6">
        <w:tab/>
        <w:t>can be used by eligible CDR consumers to make consumer data requests directly to the data holder; and</w:t>
      </w:r>
    </w:p>
    <w:p w14:paraId="5CEF2FBE" w14:textId="77777777" w:rsidR="00E17C5F" w:rsidRPr="004C52E6" w:rsidRDefault="00E17C5F" w:rsidP="00E17C5F">
      <w:pPr>
        <w:pStyle w:val="paragraphsub"/>
      </w:pPr>
      <w:r w:rsidRPr="004C52E6">
        <w:tab/>
        <w:t>(ii)</w:t>
      </w:r>
      <w:r w:rsidRPr="004C52E6">
        <w:tab/>
        <w:t>allows a request to be made in a manner that is no less timely, efficient and convenient than any of the online services that are ordinarily used by customers of the data holder to deal with it; and</w:t>
      </w:r>
    </w:p>
    <w:p w14:paraId="5F077F7D" w14:textId="77777777" w:rsidR="00E17C5F" w:rsidRPr="004C52E6" w:rsidRDefault="00E17C5F" w:rsidP="00E17C5F">
      <w:pPr>
        <w:pStyle w:val="paragraphsub"/>
      </w:pPr>
      <w:r w:rsidRPr="004C52E6">
        <w:tab/>
        <w:t>(iii)</w:t>
      </w:r>
      <w:r w:rsidRPr="004C52E6">
        <w:tab/>
        <w:t>enables requested data to be disclosed in human</w:t>
      </w:r>
      <w:r w:rsidRPr="004C52E6">
        <w:noBreakHyphen/>
        <w:t>readable form; and</w:t>
      </w:r>
    </w:p>
    <w:p w14:paraId="3DB2B4BA" w14:textId="77777777" w:rsidR="00E17C5F" w:rsidRPr="004C52E6" w:rsidRDefault="00E17C5F" w:rsidP="00E17C5F">
      <w:pPr>
        <w:pStyle w:val="paragraphsub"/>
      </w:pPr>
      <w:r w:rsidRPr="004C52E6">
        <w:tab/>
        <w:t>(iv)</w:t>
      </w:r>
      <w:r w:rsidRPr="004C52E6">
        <w:tab/>
        <w:t>sets out any fees for disclosure of voluntary consumer data; and</w:t>
      </w:r>
    </w:p>
    <w:p w14:paraId="0BCC2701" w14:textId="77777777" w:rsidR="00E17C5F" w:rsidRPr="004C52E6" w:rsidRDefault="00E17C5F" w:rsidP="00E17C5F">
      <w:pPr>
        <w:pStyle w:val="paragraphsub"/>
      </w:pPr>
      <w:r w:rsidRPr="004C52E6">
        <w:tab/>
        <w:t>(v)</w:t>
      </w:r>
      <w:r w:rsidRPr="004C52E6">
        <w:tab/>
        <w:t>conforms with the data standards; and</w:t>
      </w:r>
    </w:p>
    <w:p w14:paraId="32010644" w14:textId="77777777" w:rsidR="00E17C5F" w:rsidRPr="004C52E6" w:rsidRDefault="00E17C5F" w:rsidP="00E17C5F">
      <w:pPr>
        <w:pStyle w:val="paragraph"/>
      </w:pPr>
      <w:r w:rsidRPr="004C52E6">
        <w:tab/>
        <w:t>(b)</w:t>
      </w:r>
      <w:r w:rsidRPr="004C52E6">
        <w:tab/>
        <w:t>an online service that:</w:t>
      </w:r>
    </w:p>
    <w:p w14:paraId="6C5A1B51" w14:textId="77777777" w:rsidR="00E17C5F" w:rsidRPr="004C52E6" w:rsidRDefault="00E17C5F" w:rsidP="00E17C5F">
      <w:pPr>
        <w:pStyle w:val="paragraphsub"/>
      </w:pPr>
      <w:r w:rsidRPr="004C52E6">
        <w:tab/>
        <w:t>(i)</w:t>
      </w:r>
      <w:r w:rsidRPr="004C52E6">
        <w:tab/>
        <w:t>can be used by accredited persons to make consumer data requests, on behalf of eligible CDR consumers, to the data holder; and</w:t>
      </w:r>
    </w:p>
    <w:p w14:paraId="57D6F09B" w14:textId="77777777" w:rsidR="00E17C5F" w:rsidRPr="004C52E6" w:rsidRDefault="00E17C5F" w:rsidP="00E17C5F">
      <w:pPr>
        <w:pStyle w:val="paragraphsub"/>
      </w:pPr>
      <w:r w:rsidRPr="004C52E6">
        <w:tab/>
        <w:t>(ii)</w:t>
      </w:r>
      <w:r w:rsidRPr="004C52E6">
        <w:tab/>
        <w:t>enables requested data to be disclosed in machine</w:t>
      </w:r>
      <w:r w:rsidRPr="004C52E6">
        <w:noBreakHyphen/>
        <w:t>readable form; and</w:t>
      </w:r>
    </w:p>
    <w:p w14:paraId="6BD93FA6" w14:textId="77777777" w:rsidR="00E17C5F" w:rsidRPr="004C52E6" w:rsidRDefault="00E17C5F" w:rsidP="00E17C5F">
      <w:pPr>
        <w:pStyle w:val="paragraphsub"/>
      </w:pPr>
      <w:r w:rsidRPr="004C52E6">
        <w:tab/>
        <w:t>(iii)</w:t>
      </w:r>
      <w:r w:rsidRPr="004C52E6">
        <w:tab/>
        <w:t>conforms with the data standards; and</w:t>
      </w:r>
    </w:p>
    <w:p w14:paraId="086BBF3D" w14:textId="77777777" w:rsidR="00E17C5F" w:rsidRPr="004C52E6" w:rsidRDefault="00E17C5F" w:rsidP="00E17C5F">
      <w:pPr>
        <w:pStyle w:val="paragraph"/>
      </w:pPr>
      <w:r w:rsidRPr="004C52E6">
        <w:tab/>
        <w:t>(c)</w:t>
      </w:r>
      <w:r w:rsidRPr="004C52E6">
        <w:tab/>
        <w:t>for each eligible CDR consumer that is not an individual—a service that can be used to:</w:t>
      </w:r>
    </w:p>
    <w:p w14:paraId="28944B6C" w14:textId="77777777" w:rsidR="00E17C5F" w:rsidRPr="004C52E6" w:rsidRDefault="00E17C5F" w:rsidP="00E17C5F">
      <w:pPr>
        <w:pStyle w:val="paragraphsub"/>
      </w:pPr>
      <w:r w:rsidRPr="004C52E6">
        <w:tab/>
        <w:t>(i)</w:t>
      </w:r>
      <w:r w:rsidRPr="004C52E6">
        <w:tab/>
        <w:t>nominate one or more individuals (</w:t>
      </w:r>
      <w:r w:rsidRPr="004C52E6">
        <w:rPr>
          <w:b/>
          <w:i/>
        </w:rPr>
        <w:t>nominated representatives</w:t>
      </w:r>
      <w:r w:rsidRPr="004C52E6">
        <w:t>) who are able to give, amend and manage authorisations to disclose CDR data for the purposes of these rules on behalf of the CDR consumer; and</w:t>
      </w:r>
    </w:p>
    <w:p w14:paraId="5C1E33EB" w14:textId="77777777" w:rsidR="00E17C5F" w:rsidRPr="004C52E6" w:rsidRDefault="00E17C5F" w:rsidP="00E17C5F">
      <w:pPr>
        <w:pStyle w:val="paragraphsub"/>
      </w:pPr>
      <w:r w:rsidRPr="004C52E6">
        <w:tab/>
        <w:t>(ii)</w:t>
      </w:r>
      <w:r w:rsidRPr="004C52E6">
        <w:tab/>
        <w:t>revoke such a nomination; and</w:t>
      </w:r>
    </w:p>
    <w:p w14:paraId="0DBA955E" w14:textId="77777777" w:rsidR="00E17C5F" w:rsidRPr="004C52E6" w:rsidRDefault="00E17C5F" w:rsidP="00E17C5F">
      <w:pPr>
        <w:pStyle w:val="paragraph"/>
      </w:pPr>
      <w:r w:rsidRPr="004C52E6">
        <w:tab/>
        <w:t>(d)</w:t>
      </w:r>
      <w:r w:rsidRPr="004C52E6">
        <w:tab/>
        <w:t>for each partnership that relates to a partnership account with the data holder—a service that can be used to:</w:t>
      </w:r>
    </w:p>
    <w:p w14:paraId="4A00E634" w14:textId="77777777" w:rsidR="00E17C5F" w:rsidRPr="004C52E6" w:rsidRDefault="00E17C5F" w:rsidP="00E17C5F">
      <w:pPr>
        <w:pStyle w:val="paragraphsub"/>
      </w:pPr>
      <w:r w:rsidRPr="004C52E6">
        <w:tab/>
        <w:t>(i)</w:t>
      </w:r>
      <w:r w:rsidRPr="004C52E6">
        <w:tab/>
        <w:t>nominate one or more individuals (</w:t>
      </w:r>
      <w:r w:rsidRPr="004C52E6">
        <w:rPr>
          <w:b/>
          <w:i/>
        </w:rPr>
        <w:t>nominated representatives</w:t>
      </w:r>
      <w:r w:rsidRPr="004C52E6">
        <w:t xml:space="preserve">) who are able to give, amend and manage authorisations to disclose CDR data that relate to the partnership accounts of that partnership for the purposes of these rules on behalf of the CDR consumers who are its partners; and </w:t>
      </w:r>
    </w:p>
    <w:p w14:paraId="1F8C356E" w14:textId="77777777" w:rsidR="00E17C5F" w:rsidRPr="004C52E6" w:rsidRDefault="00E17C5F" w:rsidP="00E17C5F">
      <w:pPr>
        <w:pStyle w:val="paragraphsub"/>
      </w:pPr>
      <w:r w:rsidRPr="004C52E6">
        <w:lastRenderedPageBreak/>
        <w:tab/>
        <w:t>(ii)</w:t>
      </w:r>
      <w:r w:rsidRPr="004C52E6">
        <w:tab/>
        <w:t>revoke such a nomination; and</w:t>
      </w:r>
    </w:p>
    <w:p w14:paraId="60EA7CF3" w14:textId="268EE8D2" w:rsidR="00E17C5F" w:rsidRPr="004C52E6" w:rsidRDefault="00E17C5F" w:rsidP="00E17C5F">
      <w:pPr>
        <w:pStyle w:val="paragraph"/>
      </w:pPr>
      <w:r w:rsidRPr="004C52E6">
        <w:tab/>
        <w:t>(e)</w:t>
      </w:r>
      <w:r w:rsidRPr="004C52E6">
        <w:tab/>
        <w:t xml:space="preserve">in relation to each </w:t>
      </w:r>
      <w:r w:rsidRPr="00506306">
        <w:t xml:space="preserve">account in relation to which a person has account privileges―a </w:t>
      </w:r>
      <w:r w:rsidRPr="004C52E6">
        <w:t>service that can be used by the account holder to:</w:t>
      </w:r>
    </w:p>
    <w:p w14:paraId="1EC854C4" w14:textId="77777777" w:rsidR="00E17C5F" w:rsidRPr="004C52E6" w:rsidRDefault="00E17C5F" w:rsidP="00E17C5F">
      <w:pPr>
        <w:pStyle w:val="paragraphsub"/>
      </w:pPr>
      <w:r w:rsidRPr="004C52E6">
        <w:tab/>
        <w:t>(i)</w:t>
      </w:r>
      <w:r w:rsidRPr="004C52E6">
        <w:tab/>
        <w:t>make a secondary user instruction; and</w:t>
      </w:r>
    </w:p>
    <w:p w14:paraId="0668988E" w14:textId="2AF38062" w:rsidR="00E17C5F" w:rsidRPr="004C52E6" w:rsidRDefault="00E17C5F" w:rsidP="00E17C5F">
      <w:pPr>
        <w:pStyle w:val="paragraphsub"/>
      </w:pPr>
      <w:r w:rsidRPr="004C52E6">
        <w:tab/>
        <w:t>(ii)</w:t>
      </w:r>
      <w:r w:rsidRPr="004C52E6">
        <w:tab/>
      </w:r>
      <w:r w:rsidR="00A9450F" w:rsidRPr="00693A57">
        <w:rPr>
          <w:color w:val="FF0000"/>
        </w:rPr>
        <w:t xml:space="preserve">withdraw </w:t>
      </w:r>
      <w:r w:rsidRPr="00693A57">
        <w:rPr>
          <w:strike/>
          <w:color w:val="FF0000"/>
        </w:rPr>
        <w:t xml:space="preserve">revoke </w:t>
      </w:r>
      <w:r w:rsidRPr="004C52E6">
        <w:t>the instruction.</w:t>
      </w:r>
    </w:p>
    <w:p w14:paraId="75B13FA6" w14:textId="77777777" w:rsidR="00E17C5F" w:rsidRPr="004C52E6" w:rsidRDefault="00E17C5F" w:rsidP="00E17C5F">
      <w:pPr>
        <w:pStyle w:val="notetext"/>
      </w:pPr>
      <w:r w:rsidRPr="004C52E6">
        <w:t>Note 3:</w:t>
      </w:r>
      <w:r w:rsidRPr="004C52E6">
        <w:tab/>
        <w:t>In the circumstances of paragraphs (1)(c) and (d), a person or partnership that does not have a nominated representative will not able to give or amend authorisations, or use the dashboard to manage authorisations (see subrule 1.15(2A)), and accordingly, the data holder will be neither required nor permitted to disclose the requested CDR data under these rules.</w:t>
      </w:r>
    </w:p>
    <w:p w14:paraId="2BE3A8C2" w14:textId="77777777" w:rsidR="00E17C5F" w:rsidRPr="004C52E6" w:rsidRDefault="00E17C5F" w:rsidP="00E17C5F">
      <w:pPr>
        <w:pStyle w:val="notetext"/>
      </w:pPr>
      <w:r w:rsidRPr="004C52E6">
        <w:t>Note 4:</w:t>
      </w:r>
      <w:r w:rsidRPr="004C52E6">
        <w:tab/>
        <w:t>The services of paragraphs (c), (d) and (e) may, but need not, be online.</w:t>
      </w:r>
    </w:p>
    <w:p w14:paraId="57CDF237" w14:textId="77777777" w:rsidR="00E17C5F" w:rsidRPr="004C52E6" w:rsidRDefault="00E17C5F" w:rsidP="00E17C5F">
      <w:pPr>
        <w:pStyle w:val="notetext"/>
      </w:pPr>
      <w:r w:rsidRPr="004C52E6">
        <w:t>Note 5:</w:t>
      </w:r>
      <w:r w:rsidRPr="004C52E6">
        <w:tab/>
        <w:t>This subrule is a civil penalty provision (see rule 9.8).</w:t>
      </w:r>
    </w:p>
    <w:p w14:paraId="12D21CB9" w14:textId="77777777" w:rsidR="00E17C5F" w:rsidRPr="004C52E6" w:rsidRDefault="00E17C5F" w:rsidP="00E17C5F">
      <w:pPr>
        <w:pStyle w:val="subsection"/>
      </w:pPr>
      <w:r w:rsidRPr="004C52E6">
        <w:tab/>
        <w:t>(2)</w:t>
      </w:r>
      <w:r w:rsidRPr="004C52E6">
        <w:tab/>
        <w:t xml:space="preserve">The service referred to in paragraph (1)(a) is the data holder’s </w:t>
      </w:r>
      <w:r w:rsidRPr="004C52E6">
        <w:rPr>
          <w:b/>
          <w:i/>
        </w:rPr>
        <w:t>direct request</w:t>
      </w:r>
      <w:r w:rsidRPr="004C52E6">
        <w:t xml:space="preserve"> </w:t>
      </w:r>
      <w:r w:rsidRPr="004C52E6">
        <w:rPr>
          <w:b/>
          <w:i/>
        </w:rPr>
        <w:t>service</w:t>
      </w:r>
      <w:r w:rsidRPr="004C52E6">
        <w:t>.</w:t>
      </w:r>
    </w:p>
    <w:p w14:paraId="21A49889" w14:textId="77777777" w:rsidR="00E17C5F" w:rsidRPr="004C52E6" w:rsidRDefault="00E17C5F" w:rsidP="00E17C5F">
      <w:pPr>
        <w:pStyle w:val="subsection"/>
      </w:pPr>
      <w:r w:rsidRPr="004C52E6">
        <w:tab/>
        <w:t>(3)</w:t>
      </w:r>
      <w:r w:rsidRPr="004C52E6">
        <w:tab/>
        <w:t xml:space="preserve">The service referred to in paragraph (1)(b) is the data holder’s </w:t>
      </w:r>
      <w:r w:rsidRPr="004C52E6">
        <w:rPr>
          <w:b/>
          <w:i/>
        </w:rPr>
        <w:t>accredited person request service</w:t>
      </w:r>
      <w:r w:rsidRPr="004C52E6">
        <w:t>.</w:t>
      </w:r>
    </w:p>
    <w:p w14:paraId="427C8381" w14:textId="77777777" w:rsidR="00E17C5F" w:rsidRPr="004C52E6" w:rsidRDefault="00E17C5F" w:rsidP="00E17C5F">
      <w:pPr>
        <w:pStyle w:val="subsection"/>
      </w:pPr>
      <w:r w:rsidRPr="004C52E6">
        <w:tab/>
        <w:t>(4)</w:t>
      </w:r>
      <w:r w:rsidRPr="004C52E6">
        <w:tab/>
        <w:t>A data holder does not contravene subrule (1) in relation to subparagraph (1)(a)(ii) so long as it takes reasonable steps to ensure that the online service complies with that subparagraph.</w:t>
      </w:r>
    </w:p>
    <w:p w14:paraId="105645E1" w14:textId="77777777" w:rsidR="00CF0E3D" w:rsidRDefault="00CF0E3D" w:rsidP="00CF0E3D">
      <w:pPr>
        <w:pStyle w:val="ActHead4"/>
        <w:pageBreakBefore/>
      </w:pPr>
      <w:bookmarkStart w:id="48" w:name="_Toc77064835"/>
      <w:r>
        <w:lastRenderedPageBreak/>
        <w:t>Subdivision 1.4.3</w:t>
      </w:r>
      <w:r w:rsidRPr="007E69B9">
        <w:t xml:space="preserve">—Services for managing </w:t>
      </w:r>
      <w:r>
        <w:t xml:space="preserve">consumer data </w:t>
      </w:r>
      <w:r w:rsidRPr="007E69B9">
        <w:t xml:space="preserve">requests </w:t>
      </w:r>
      <w:r>
        <w:t>made by accredited persons</w:t>
      </w:r>
      <w:bookmarkEnd w:id="47"/>
      <w:bookmarkEnd w:id="48"/>
    </w:p>
    <w:p w14:paraId="58C38654" w14:textId="77777777" w:rsidR="00CF0E3D" w:rsidRPr="00B3173B" w:rsidRDefault="00CF0E3D" w:rsidP="00CF0E3D">
      <w:pPr>
        <w:pStyle w:val="ActHead5"/>
      </w:pPr>
      <w:bookmarkStart w:id="49" w:name="_Toc11771576"/>
      <w:bookmarkStart w:id="50" w:name="_Toc77064836"/>
      <w:r>
        <w:t>1.14</w:t>
      </w:r>
      <w:r w:rsidRPr="00B3173B">
        <w:t xml:space="preserve">  Consumer dashboard—accredited person</w:t>
      </w:r>
      <w:bookmarkEnd w:id="49"/>
      <w:bookmarkEnd w:id="50"/>
    </w:p>
    <w:p w14:paraId="60052A31" w14:textId="49E0E9FD" w:rsidR="00CF0E3D" w:rsidRPr="00F07699" w:rsidRDefault="00CF0E3D" w:rsidP="00CF0E3D">
      <w:pPr>
        <w:pStyle w:val="subsection"/>
      </w:pPr>
      <w:r w:rsidRPr="00F07699">
        <w:tab/>
        <w:t>(1)</w:t>
      </w:r>
      <w:r w:rsidRPr="00F07699">
        <w:tab/>
      </w:r>
      <w:r w:rsidR="00D60816" w:rsidRPr="00693A57">
        <w:rPr>
          <w:color w:val="0000FF"/>
        </w:rPr>
        <w:t xml:space="preserve">Subject to subrule (5), an </w:t>
      </w:r>
      <w:r w:rsidRPr="00693A57">
        <w:rPr>
          <w:strike/>
          <w:color w:val="0000FF"/>
        </w:rPr>
        <w:t xml:space="preserve">An </w:t>
      </w:r>
      <w:r w:rsidRPr="00F07699">
        <w:t>accredited person must provide an online service that:</w:t>
      </w:r>
    </w:p>
    <w:p w14:paraId="4130864C" w14:textId="547D7197" w:rsidR="00CF0E3D" w:rsidRPr="00F07699" w:rsidRDefault="00CF0E3D" w:rsidP="00CF0E3D">
      <w:pPr>
        <w:pStyle w:val="paragraph"/>
      </w:pPr>
      <w:r w:rsidRPr="00F07699">
        <w:tab/>
        <w:t>(a)</w:t>
      </w:r>
      <w:r w:rsidRPr="00F07699">
        <w:tab/>
        <w:t>can be used by each eligible CDR consumer on whose behalf the accredited person makes a consumer data request</w:t>
      </w:r>
      <w:r w:rsidRPr="00572C56">
        <w:t>,</w:t>
      </w:r>
      <w:r w:rsidRPr="00F07699">
        <w:t xml:space="preserve"> to manage:</w:t>
      </w:r>
    </w:p>
    <w:p w14:paraId="7D9CEC0B" w14:textId="77777777" w:rsidR="00CF0E3D" w:rsidRPr="00F07699" w:rsidRDefault="00CF0E3D" w:rsidP="00CF0E3D">
      <w:pPr>
        <w:pStyle w:val="paragraphsub"/>
      </w:pPr>
      <w:r w:rsidRPr="00F07699">
        <w:tab/>
        <w:t>(i)</w:t>
      </w:r>
      <w:r w:rsidRPr="00F07699">
        <w:tab/>
        <w:t>such requests; and</w:t>
      </w:r>
    </w:p>
    <w:p w14:paraId="08186B6B" w14:textId="77777777" w:rsidR="00CF0E3D" w:rsidRPr="00F07699" w:rsidRDefault="00CF0E3D" w:rsidP="00CF0E3D">
      <w:pPr>
        <w:pStyle w:val="paragraphsub"/>
      </w:pPr>
      <w:r w:rsidRPr="00F07699">
        <w:tab/>
        <w:t>(ii)</w:t>
      </w:r>
      <w:r w:rsidRPr="00F07699">
        <w:tab/>
        <w:t>associated consents</w:t>
      </w:r>
      <w:r w:rsidRPr="00531268">
        <w:t>; and</w:t>
      </w:r>
    </w:p>
    <w:p w14:paraId="2BDDA072" w14:textId="09C8D620" w:rsidR="00CF0E3D" w:rsidRPr="00F07699" w:rsidRDefault="00CF0E3D" w:rsidP="00CF0E3D">
      <w:pPr>
        <w:pStyle w:val="paragraph"/>
      </w:pPr>
      <w:r w:rsidRPr="00F07699">
        <w:tab/>
        <w:t>(b)</w:t>
      </w:r>
      <w:r w:rsidRPr="00F07699">
        <w:tab/>
        <w:t>contains the details of each consent specified in subrule (3)</w:t>
      </w:r>
      <w:r w:rsidR="00C7378A">
        <w:t xml:space="preserve"> </w:t>
      </w:r>
      <w:r w:rsidR="00C7378A" w:rsidRPr="00693A57">
        <w:rPr>
          <w:color w:val="0000FF"/>
        </w:rPr>
        <w:t>and the information specified in subrule (3A)</w:t>
      </w:r>
      <w:r w:rsidRPr="00F07699">
        <w:t>; and</w:t>
      </w:r>
    </w:p>
    <w:p w14:paraId="7060EE35" w14:textId="77777777" w:rsidR="00CF0E3D" w:rsidRPr="00F07699" w:rsidRDefault="00CF0E3D" w:rsidP="00CF0E3D">
      <w:pPr>
        <w:pStyle w:val="paragraph"/>
      </w:pPr>
      <w:r w:rsidRPr="00F07699">
        <w:tab/>
        <w:t>(c)</w:t>
      </w:r>
      <w:r w:rsidRPr="00F07699">
        <w:tab/>
        <w:t>has a functionality that:</w:t>
      </w:r>
    </w:p>
    <w:p w14:paraId="519F5B51" w14:textId="77777777" w:rsidR="00CF0E3D" w:rsidRPr="00F07699" w:rsidRDefault="00CF0E3D" w:rsidP="00CF0E3D">
      <w:pPr>
        <w:pStyle w:val="paragraphsub"/>
      </w:pPr>
      <w:r w:rsidRPr="00F07699">
        <w:tab/>
        <w:t>(i)</w:t>
      </w:r>
      <w:r w:rsidRPr="00F07699">
        <w:tab/>
        <w:t>allows a CDR consumer, at any time, to:</w:t>
      </w:r>
    </w:p>
    <w:p w14:paraId="697F1A33" w14:textId="77777777" w:rsidR="00CF0E3D" w:rsidRPr="00F9694F" w:rsidRDefault="00CF0E3D" w:rsidP="00CF0E3D">
      <w:pPr>
        <w:pStyle w:val="paragraphsub-sub"/>
      </w:pPr>
      <w:r w:rsidRPr="00F9694F">
        <w:tab/>
        <w:t>(A)</w:t>
      </w:r>
      <w:r w:rsidRPr="00F9694F">
        <w:tab/>
        <w:t>withdraw current consents; and</w:t>
      </w:r>
    </w:p>
    <w:p w14:paraId="4C1D0652" w14:textId="77777777" w:rsidR="00CF0E3D" w:rsidRPr="00F9694F" w:rsidRDefault="00CF0E3D" w:rsidP="00CF0E3D">
      <w:pPr>
        <w:pStyle w:val="paragraphsub-sub"/>
      </w:pPr>
      <w:r w:rsidRPr="00F9694F">
        <w:tab/>
        <w:t>(B)</w:t>
      </w:r>
      <w:r w:rsidRPr="00F9694F">
        <w:tab/>
        <w:t>elect that redundant data be deleted in accordance with these rules and withdraw such an election; and</w:t>
      </w:r>
    </w:p>
    <w:p w14:paraId="108851EE" w14:textId="77777777" w:rsidR="00CF0E3D" w:rsidRPr="00F9694F" w:rsidRDefault="00CF0E3D" w:rsidP="00CF0E3D">
      <w:pPr>
        <w:pStyle w:val="paragraphsub"/>
      </w:pPr>
      <w:r w:rsidRPr="00F9694F">
        <w:tab/>
        <w:t>(ii)</w:t>
      </w:r>
      <w:r w:rsidRPr="00F9694F">
        <w:tab/>
        <w:t>is simple and straightforward to use; and</w:t>
      </w:r>
    </w:p>
    <w:p w14:paraId="58BBDEA4" w14:textId="77777777" w:rsidR="00CF0E3D" w:rsidRPr="00F9694F" w:rsidRDefault="00CF0E3D" w:rsidP="00CF0E3D">
      <w:pPr>
        <w:pStyle w:val="paragraphsub"/>
      </w:pPr>
      <w:r w:rsidRPr="00F9694F">
        <w:tab/>
        <w:t>(iii)</w:t>
      </w:r>
      <w:r w:rsidRPr="00F9694F">
        <w:tab/>
        <w:t>is prominently displayed.</w:t>
      </w:r>
    </w:p>
    <w:p w14:paraId="3A5928D9" w14:textId="77777777" w:rsidR="00CF0E3D" w:rsidRDefault="00CF0E3D" w:rsidP="00CF0E3D">
      <w:pPr>
        <w:pStyle w:val="notetext"/>
      </w:pPr>
      <w:r w:rsidRPr="00E1300D">
        <w:t>Note:</w:t>
      </w:r>
      <w:r w:rsidRPr="00E1300D">
        <w:tab/>
        <w:t>This subrule is a civil penalty provision (see rule </w:t>
      </w:r>
      <w:r>
        <w:t>9.8</w:t>
      </w:r>
      <w:r w:rsidRPr="00E1300D">
        <w:t>).</w:t>
      </w:r>
    </w:p>
    <w:p w14:paraId="0980DC8F" w14:textId="77777777" w:rsidR="00CF0E3D" w:rsidRPr="00E1300D" w:rsidRDefault="00CF0E3D" w:rsidP="00CF0E3D">
      <w:pPr>
        <w:pStyle w:val="subsection"/>
      </w:pPr>
      <w:r w:rsidRPr="00E1300D">
        <w:tab/>
      </w:r>
      <w:r>
        <w:t>(2)</w:t>
      </w:r>
      <w:r w:rsidRPr="00E1300D">
        <w:tab/>
        <w:t xml:space="preserve">Such a service is the accredited person’s </w:t>
      </w:r>
      <w:r w:rsidRPr="00E1300D">
        <w:rPr>
          <w:b/>
          <w:i/>
        </w:rPr>
        <w:t xml:space="preserve">consumer dashboard </w:t>
      </w:r>
      <w:r w:rsidRPr="00E1300D">
        <w:t>for that consumer.</w:t>
      </w:r>
    </w:p>
    <w:p w14:paraId="2F9A179E" w14:textId="7C64AD1E" w:rsidR="00CF0E3D" w:rsidRDefault="00CF0E3D" w:rsidP="00CF0E3D">
      <w:pPr>
        <w:pStyle w:val="subsection"/>
      </w:pPr>
      <w:r w:rsidRPr="00F9694F">
        <w:tab/>
        <w:t>(2A)</w:t>
      </w:r>
      <w:r w:rsidRPr="00F9694F">
        <w:tab/>
        <w:t>The consumer dashboard may</w:t>
      </w:r>
      <w:r>
        <w:t>, on and after</w:t>
      </w:r>
      <w:r w:rsidRPr="00F9694F">
        <w:t xml:space="preserve"> </w:t>
      </w:r>
      <w:r w:rsidRPr="00ED309B">
        <w:t>1 July 2021</w:t>
      </w:r>
      <w:r>
        <w:t xml:space="preserve">, </w:t>
      </w:r>
      <w:r w:rsidRPr="00F9694F">
        <w:t>also include a functionality that allows a CDR consumer to amend a current consent.</w:t>
      </w:r>
    </w:p>
    <w:p w14:paraId="4588CEAE" w14:textId="77777777" w:rsidR="00CF0E3D" w:rsidRPr="00F9694F" w:rsidRDefault="00CF0E3D" w:rsidP="00CF0E3D">
      <w:pPr>
        <w:pStyle w:val="subsection"/>
      </w:pPr>
      <w:r w:rsidRPr="00F9694F">
        <w:tab/>
        <w:t>(3)</w:t>
      </w:r>
      <w:r w:rsidRPr="00F9694F">
        <w:tab/>
        <w:t>For paragraph (1)(b), the information is the following for each consent:</w:t>
      </w:r>
    </w:p>
    <w:p w14:paraId="2C6DD196" w14:textId="77777777" w:rsidR="00CF0E3D" w:rsidRPr="00F9694F" w:rsidRDefault="00CF0E3D" w:rsidP="00CF0E3D">
      <w:pPr>
        <w:pStyle w:val="paragraph"/>
      </w:pPr>
      <w:r w:rsidRPr="00F9694F">
        <w:tab/>
        <w:t>(a)</w:t>
      </w:r>
      <w:r w:rsidRPr="00F9694F">
        <w:tab/>
        <w:t>details of the CDR data to which the consent relates;</w:t>
      </w:r>
    </w:p>
    <w:p w14:paraId="0C0E424F" w14:textId="77777777" w:rsidR="00CF0E3D" w:rsidRPr="00F9694F" w:rsidRDefault="00CF0E3D" w:rsidP="00CF0E3D">
      <w:pPr>
        <w:pStyle w:val="paragraph"/>
      </w:pPr>
      <w:r w:rsidRPr="00F9694F">
        <w:tab/>
        <w:t>(b)</w:t>
      </w:r>
      <w:r w:rsidRPr="00F9694F">
        <w:tab/>
        <w:t>for a use consent―details of the specific use or uses for which the CDR consumer has given their consent;</w:t>
      </w:r>
    </w:p>
    <w:p w14:paraId="1A1289DF" w14:textId="77777777" w:rsidR="00CF0E3D" w:rsidRPr="00F9694F" w:rsidRDefault="00CF0E3D" w:rsidP="00CF0E3D">
      <w:pPr>
        <w:pStyle w:val="paragraph"/>
      </w:pPr>
      <w:r w:rsidRPr="00F9694F">
        <w:tab/>
        <w:t>(c)</w:t>
      </w:r>
      <w:r w:rsidRPr="00F9694F">
        <w:tab/>
        <w:t>when the CDR consumer gave the consent;</w:t>
      </w:r>
    </w:p>
    <w:p w14:paraId="543FFA31" w14:textId="77777777" w:rsidR="00CF0E3D" w:rsidRPr="00F9694F" w:rsidRDefault="00CF0E3D" w:rsidP="00CF0E3D">
      <w:pPr>
        <w:pStyle w:val="paragraph"/>
      </w:pPr>
      <w:r w:rsidRPr="00F9694F">
        <w:tab/>
        <w:t>(d)</w:t>
      </w:r>
      <w:r w:rsidRPr="00F9694F">
        <w:tab/>
        <w:t>whether the consent applies:</w:t>
      </w:r>
    </w:p>
    <w:p w14:paraId="356DFCE6" w14:textId="77777777" w:rsidR="00CF0E3D" w:rsidRPr="00F9694F" w:rsidRDefault="00CF0E3D" w:rsidP="00CF0E3D">
      <w:pPr>
        <w:pStyle w:val="paragraphsub"/>
      </w:pPr>
      <w:r w:rsidRPr="00F9694F">
        <w:tab/>
        <w:t>(i)</w:t>
      </w:r>
      <w:r w:rsidRPr="00F9694F">
        <w:tab/>
        <w:t>on a single occasion; or</w:t>
      </w:r>
    </w:p>
    <w:p w14:paraId="578BC7E3" w14:textId="77777777" w:rsidR="00CF0E3D" w:rsidRPr="00F9694F" w:rsidRDefault="00CF0E3D" w:rsidP="00CF0E3D">
      <w:pPr>
        <w:pStyle w:val="paragraphsub"/>
      </w:pPr>
      <w:r w:rsidRPr="00F9694F">
        <w:tab/>
        <w:t>(ii)</w:t>
      </w:r>
      <w:r w:rsidRPr="00F9694F">
        <w:tab/>
        <w:t>over a period of time;</w:t>
      </w:r>
    </w:p>
    <w:p w14:paraId="2880427B" w14:textId="77777777" w:rsidR="00CF0E3D" w:rsidRPr="00F9694F" w:rsidRDefault="00CF0E3D" w:rsidP="00CF0E3D">
      <w:pPr>
        <w:pStyle w:val="paragraph"/>
      </w:pPr>
      <w:r w:rsidRPr="00F9694F">
        <w:tab/>
        <w:t>(e)</w:t>
      </w:r>
      <w:r w:rsidRPr="00F9694F">
        <w:tab/>
        <w:t>if a collection consent or disclosure consent applies over a period of time:</w:t>
      </w:r>
    </w:p>
    <w:p w14:paraId="5B833B8E" w14:textId="77777777" w:rsidR="00CF0E3D" w:rsidRPr="00F9694F" w:rsidRDefault="00CF0E3D" w:rsidP="00CF0E3D">
      <w:pPr>
        <w:pStyle w:val="paragraphsub"/>
      </w:pPr>
      <w:r w:rsidRPr="00F9694F">
        <w:tab/>
        <w:t>(i)</w:t>
      </w:r>
      <w:r w:rsidRPr="00F9694F">
        <w:tab/>
        <w:t>what that period is; and</w:t>
      </w:r>
    </w:p>
    <w:p w14:paraId="54908C61" w14:textId="77777777" w:rsidR="00CF0E3D" w:rsidRPr="00F9694F" w:rsidRDefault="00CF0E3D" w:rsidP="00CF0E3D">
      <w:pPr>
        <w:pStyle w:val="paragraphsub"/>
      </w:pPr>
      <w:r w:rsidRPr="00F9694F">
        <w:tab/>
        <w:t>(ii)</w:t>
      </w:r>
      <w:r w:rsidRPr="00F9694F">
        <w:tab/>
        <w:t>how often data has been, and is expected to be, collected or disclosed over that period;</w:t>
      </w:r>
    </w:p>
    <w:p w14:paraId="245C6DF6" w14:textId="2CAEBF39" w:rsidR="00D65475" w:rsidRPr="00693A57" w:rsidRDefault="00D65475" w:rsidP="007A73A4">
      <w:pPr>
        <w:pStyle w:val="paragraph"/>
        <w:rPr>
          <w:color w:val="0000FF"/>
        </w:rPr>
      </w:pPr>
      <w:r w:rsidRPr="00693A57">
        <w:rPr>
          <w:color w:val="0000FF"/>
        </w:rPr>
        <w:tab/>
        <w:t>(ea)</w:t>
      </w:r>
      <w:r w:rsidRPr="00693A57">
        <w:rPr>
          <w:color w:val="0000FF"/>
        </w:rPr>
        <w:tab/>
        <w:t>fo</w:t>
      </w:r>
      <w:r w:rsidR="007A73A4" w:rsidRPr="00693A57">
        <w:rPr>
          <w:color w:val="0000FF"/>
        </w:rPr>
        <w:t>r an insight disclosure consent—</w:t>
      </w:r>
      <w:r w:rsidRPr="00693A57">
        <w:rPr>
          <w:color w:val="0000FF"/>
        </w:rPr>
        <w:t xml:space="preserve">a description of </w:t>
      </w:r>
      <w:r w:rsidR="00AB7B51" w:rsidRPr="00693A57">
        <w:rPr>
          <w:color w:val="0000FF"/>
        </w:rPr>
        <w:t xml:space="preserve">the CDR </w:t>
      </w:r>
      <w:r w:rsidR="002B4AC0" w:rsidRPr="00693A57">
        <w:rPr>
          <w:color w:val="0000FF"/>
        </w:rPr>
        <w:t>insight and</w:t>
      </w:r>
      <w:r w:rsidRPr="00693A57">
        <w:rPr>
          <w:color w:val="0000FF"/>
        </w:rPr>
        <w:t xml:space="preserve"> to</w:t>
      </w:r>
      <w:r w:rsidR="009C404C" w:rsidRPr="00693A57">
        <w:rPr>
          <w:color w:val="0000FF"/>
        </w:rPr>
        <w:t xml:space="preserve"> whom it was disclosed;</w:t>
      </w:r>
    </w:p>
    <w:p w14:paraId="48663E41" w14:textId="77777777" w:rsidR="00CF0E3D" w:rsidRPr="00F9694F" w:rsidRDefault="00CF0E3D" w:rsidP="00CF0E3D">
      <w:pPr>
        <w:pStyle w:val="paragraph"/>
      </w:pPr>
      <w:r w:rsidRPr="00F9694F">
        <w:tab/>
        <w:t>(f)</w:t>
      </w:r>
      <w:r w:rsidRPr="00F9694F">
        <w:tab/>
        <w:t>if the consent is current—when it is scheduled to expire;</w:t>
      </w:r>
    </w:p>
    <w:p w14:paraId="156F155D" w14:textId="77777777" w:rsidR="00CF0E3D" w:rsidRPr="00F9694F" w:rsidRDefault="00CF0E3D" w:rsidP="00CF0E3D">
      <w:pPr>
        <w:pStyle w:val="paragraph"/>
      </w:pPr>
      <w:r w:rsidRPr="00F9694F">
        <w:tab/>
        <w:t>(g)</w:t>
      </w:r>
      <w:r w:rsidRPr="00F9694F">
        <w:tab/>
        <w:t>if the consent is not current—when it expired;</w:t>
      </w:r>
    </w:p>
    <w:p w14:paraId="61934AC7" w14:textId="77777777" w:rsidR="00CF0E3D" w:rsidRPr="00F9694F" w:rsidRDefault="00CF0E3D" w:rsidP="00CF0E3D">
      <w:pPr>
        <w:pStyle w:val="paragraph"/>
      </w:pPr>
      <w:r w:rsidRPr="00F9694F">
        <w:tab/>
        <w:t>(h)</w:t>
      </w:r>
      <w:r w:rsidRPr="00F9694F">
        <w:tab/>
        <w:t>information relating to CDR data that was collected or disclosed pursuant to the consent (see rule 7.4 and rule 7.9);</w:t>
      </w:r>
    </w:p>
    <w:p w14:paraId="258A5240" w14:textId="26FDD91F" w:rsidR="00A72C8A" w:rsidRPr="00693A57" w:rsidRDefault="00A72C8A" w:rsidP="00A72C8A">
      <w:pPr>
        <w:pStyle w:val="paragraph"/>
        <w:rPr>
          <w:color w:val="0000FF"/>
        </w:rPr>
      </w:pPr>
      <w:r w:rsidRPr="00693A57">
        <w:rPr>
          <w:color w:val="0000FF"/>
        </w:rPr>
        <w:lastRenderedPageBreak/>
        <w:tab/>
        <w:t>(ha)</w:t>
      </w:r>
      <w:r w:rsidRPr="00693A57">
        <w:rPr>
          <w:color w:val="0000FF"/>
        </w:rPr>
        <w:tab/>
        <w:t xml:space="preserve">if the </w:t>
      </w:r>
      <w:r w:rsidR="0022182A" w:rsidRPr="00693A57">
        <w:rPr>
          <w:color w:val="0000FF"/>
        </w:rPr>
        <w:t xml:space="preserve">accredited person is an affiliate and the </w:t>
      </w:r>
      <w:r w:rsidRPr="00693A57">
        <w:rPr>
          <w:color w:val="0000FF"/>
        </w:rPr>
        <w:t xml:space="preserve">CDR data </w:t>
      </w:r>
      <w:r w:rsidR="0022182A" w:rsidRPr="00693A57">
        <w:rPr>
          <w:color w:val="0000FF"/>
        </w:rPr>
        <w:t xml:space="preserve">will </w:t>
      </w:r>
      <w:r w:rsidRPr="00693A57">
        <w:rPr>
          <w:color w:val="0000FF"/>
        </w:rPr>
        <w:t xml:space="preserve">be collected by </w:t>
      </w:r>
      <w:r w:rsidR="0022182A" w:rsidRPr="00693A57">
        <w:rPr>
          <w:color w:val="0000FF"/>
        </w:rPr>
        <w:t xml:space="preserve">a sponsor </w:t>
      </w:r>
      <w:r w:rsidR="00FD3D31" w:rsidRPr="00693A57">
        <w:rPr>
          <w:color w:val="0000FF"/>
        </w:rPr>
        <w:t>at its request</w:t>
      </w:r>
      <w:r w:rsidRPr="00693A57">
        <w:rPr>
          <w:color w:val="0000FF"/>
        </w:rPr>
        <w:t>;</w:t>
      </w:r>
    </w:p>
    <w:p w14:paraId="46822BCE" w14:textId="798EC4B6" w:rsidR="00A72C8A" w:rsidRPr="00693A57" w:rsidRDefault="00A72C8A" w:rsidP="00A72C8A">
      <w:pPr>
        <w:pStyle w:val="paragraphsub"/>
        <w:rPr>
          <w:color w:val="0000FF"/>
        </w:rPr>
      </w:pPr>
      <w:r w:rsidRPr="00693A57">
        <w:rPr>
          <w:color w:val="0000FF"/>
        </w:rPr>
        <w:tab/>
        <w:t>(i)</w:t>
      </w:r>
      <w:r w:rsidRPr="00693A57">
        <w:rPr>
          <w:color w:val="0000FF"/>
        </w:rPr>
        <w:tab/>
        <w:t xml:space="preserve">the </w:t>
      </w:r>
      <w:r w:rsidR="0022182A" w:rsidRPr="00693A57">
        <w:rPr>
          <w:color w:val="0000FF"/>
        </w:rPr>
        <w:t>sponsor</w:t>
      </w:r>
      <w:r w:rsidRPr="00693A57">
        <w:rPr>
          <w:color w:val="0000FF"/>
        </w:rPr>
        <w:t>’s name; and</w:t>
      </w:r>
    </w:p>
    <w:p w14:paraId="0AD74D6A" w14:textId="546582A8" w:rsidR="00A72C8A" w:rsidRPr="00693A57" w:rsidRDefault="00A72C8A" w:rsidP="00A72C8A">
      <w:pPr>
        <w:pStyle w:val="paragraphsub"/>
        <w:rPr>
          <w:color w:val="0000FF"/>
        </w:rPr>
      </w:pPr>
      <w:r w:rsidRPr="00693A57">
        <w:rPr>
          <w:color w:val="0000FF"/>
        </w:rPr>
        <w:tab/>
        <w:t>(ii)</w:t>
      </w:r>
      <w:r w:rsidRPr="00693A57">
        <w:rPr>
          <w:color w:val="0000FF"/>
        </w:rPr>
        <w:tab/>
        <w:t xml:space="preserve">the </w:t>
      </w:r>
      <w:r w:rsidR="0022182A" w:rsidRPr="00693A57">
        <w:rPr>
          <w:color w:val="0000FF"/>
        </w:rPr>
        <w:t>sponsor</w:t>
      </w:r>
      <w:r w:rsidRPr="00693A57">
        <w:rPr>
          <w:color w:val="0000FF"/>
        </w:rPr>
        <w:t>’s accreditation number;</w:t>
      </w:r>
    </w:p>
    <w:p w14:paraId="6AA8A4C2" w14:textId="77777777" w:rsidR="00CF0E3D" w:rsidRPr="00F9694F" w:rsidRDefault="00CF0E3D" w:rsidP="00CF0E3D">
      <w:pPr>
        <w:pStyle w:val="paragraph"/>
      </w:pPr>
      <w:r w:rsidRPr="00F9694F">
        <w:tab/>
        <w:t>(i)</w:t>
      </w:r>
      <w:r w:rsidRPr="00F9694F">
        <w:tab/>
        <w:t>details of each amendment (if any) that has been made to the consent.</w:t>
      </w:r>
    </w:p>
    <w:p w14:paraId="62C598F7" w14:textId="77777777" w:rsidR="00CF0E3D" w:rsidRPr="00F9694F" w:rsidRDefault="00CF0E3D" w:rsidP="00CF0E3D">
      <w:pPr>
        <w:pStyle w:val="notetext"/>
      </w:pPr>
      <w:r w:rsidRPr="00F9694F">
        <w:t>Note 1:</w:t>
      </w:r>
      <w:r w:rsidRPr="00F9694F">
        <w:tab/>
        <w:t>For paragraph (f), consents expire at the latest 12 months after they are given or, in some circumstances, amended: see paragraph 4.14(1)(d).</w:t>
      </w:r>
    </w:p>
    <w:p w14:paraId="518A2A8C" w14:textId="77777777" w:rsidR="00CF0E3D" w:rsidRPr="00F07699" w:rsidRDefault="00CF0E3D" w:rsidP="00CF0E3D">
      <w:pPr>
        <w:pStyle w:val="notetext"/>
      </w:pPr>
      <w:r w:rsidRPr="00F07699">
        <w:t xml:space="preserve">Note 2: </w:t>
      </w:r>
      <w:r w:rsidRPr="00F07699">
        <w:tab/>
        <w:t>For the specific uses that are possible, see the data minimisation principle (rule 1.8).</w:t>
      </w:r>
    </w:p>
    <w:p w14:paraId="3C8F2F80" w14:textId="77777777" w:rsidR="00CF0E3D" w:rsidRPr="00F07699" w:rsidRDefault="00CF0E3D" w:rsidP="00CF0E3D">
      <w:pPr>
        <w:pStyle w:val="notetext"/>
      </w:pPr>
      <w:r w:rsidRPr="00F07699">
        <w:t>Note 3:</w:t>
      </w:r>
      <w:r w:rsidRPr="00F07699">
        <w:tab/>
        <w:t>The consumer dashboard could contain other information too, for example, the written notices referred to in rule 7.15 (which deals with correction requests under privacy safeguard 13, section 56EP of the Act).</w:t>
      </w:r>
    </w:p>
    <w:p w14:paraId="51FF1951" w14:textId="77777777" w:rsidR="00C7378A" w:rsidRPr="00693A57" w:rsidRDefault="00C7378A" w:rsidP="00C7378A">
      <w:pPr>
        <w:pStyle w:val="subsection"/>
        <w:rPr>
          <w:color w:val="0000FF"/>
        </w:rPr>
      </w:pPr>
      <w:r w:rsidRPr="00693A57">
        <w:rPr>
          <w:color w:val="0000FF"/>
        </w:rPr>
        <w:tab/>
        <w:t>(3A)</w:t>
      </w:r>
      <w:r w:rsidRPr="00693A57">
        <w:rPr>
          <w:color w:val="0000FF"/>
        </w:rPr>
        <w:tab/>
        <w:t>For paragraph (1)(b), the other information is:</w:t>
      </w:r>
    </w:p>
    <w:p w14:paraId="58AF8A7F" w14:textId="205471D2" w:rsidR="00C7378A" w:rsidRPr="00693A57" w:rsidRDefault="00C7378A" w:rsidP="00C7378A">
      <w:pPr>
        <w:pStyle w:val="paragraph"/>
        <w:rPr>
          <w:color w:val="0000FF"/>
        </w:rPr>
      </w:pPr>
      <w:r w:rsidRPr="00693A57">
        <w:rPr>
          <w:color w:val="0000FF"/>
        </w:rPr>
        <w:tab/>
        <w:t>(a)</w:t>
      </w:r>
      <w:r w:rsidRPr="00693A57">
        <w:rPr>
          <w:color w:val="0000FF"/>
        </w:rPr>
        <w:tab/>
        <w:t>a statement that the CDR consumer is entitled to request further records in accordance with rule 9.5; and</w:t>
      </w:r>
    </w:p>
    <w:p w14:paraId="72BFEDC4" w14:textId="40FA619C" w:rsidR="00C7378A" w:rsidRPr="00693A57" w:rsidRDefault="00C7378A" w:rsidP="00C7378A">
      <w:pPr>
        <w:pStyle w:val="paragraph"/>
        <w:rPr>
          <w:color w:val="0000FF"/>
        </w:rPr>
      </w:pPr>
      <w:r w:rsidRPr="00693A57">
        <w:rPr>
          <w:color w:val="0000FF"/>
        </w:rPr>
        <w:tab/>
        <w:t>(b)</w:t>
      </w:r>
      <w:r w:rsidRPr="00693A57">
        <w:rPr>
          <w:color w:val="0000FF"/>
        </w:rPr>
        <w:tab/>
        <w:t>information about how to make such a request.</w:t>
      </w:r>
    </w:p>
    <w:p w14:paraId="5C1E17E4" w14:textId="274D279F" w:rsidR="00CF0E3D" w:rsidRDefault="00CF0E3D" w:rsidP="00CF0E3D">
      <w:pPr>
        <w:pStyle w:val="subsection"/>
      </w:pPr>
      <w:r w:rsidRPr="00360E15">
        <w:tab/>
      </w:r>
      <w:r>
        <w:t>(4)</w:t>
      </w:r>
      <w:r w:rsidRPr="00360E15">
        <w:tab/>
        <w:t>An accredited person does not contravene subrule </w:t>
      </w:r>
      <w:r>
        <w:t>(1)</w:t>
      </w:r>
      <w:r w:rsidRPr="00360E15">
        <w:t xml:space="preserve"> in relation to </w:t>
      </w:r>
      <w:r w:rsidRPr="00814B1D">
        <w:t>subparagraph </w:t>
      </w:r>
      <w:r>
        <w:t>(1)(c)(ii)</w:t>
      </w:r>
      <w:r w:rsidRPr="00360E15">
        <w:t xml:space="preserve"> so long as it takes reasonable steps to ensure that the functionality complies with </w:t>
      </w:r>
      <w:r>
        <w:t>that subparagraph</w:t>
      </w:r>
      <w:r w:rsidRPr="00360E15">
        <w:t>.</w:t>
      </w:r>
    </w:p>
    <w:p w14:paraId="3B73AF7E" w14:textId="4255CD64" w:rsidR="00171D2F" w:rsidRPr="00693A57" w:rsidRDefault="00171D2F" w:rsidP="00171D2F">
      <w:pPr>
        <w:pStyle w:val="SubsectionHead"/>
        <w:rPr>
          <w:color w:val="0000FF"/>
        </w:rPr>
      </w:pPr>
      <w:r w:rsidRPr="00693A57">
        <w:rPr>
          <w:color w:val="0000FF"/>
        </w:rPr>
        <w:t xml:space="preserve">Dashboard </w:t>
      </w:r>
      <w:r w:rsidR="00D60816" w:rsidRPr="00693A57">
        <w:rPr>
          <w:color w:val="0000FF"/>
        </w:rPr>
        <w:t xml:space="preserve">in relation to </w:t>
      </w:r>
      <w:r w:rsidR="00182338" w:rsidRPr="00693A57">
        <w:rPr>
          <w:color w:val="0000FF"/>
        </w:rPr>
        <w:t>CDR representative</w:t>
      </w:r>
    </w:p>
    <w:p w14:paraId="042521C3" w14:textId="76AE77CF" w:rsidR="00171D2F" w:rsidRPr="00693A57" w:rsidRDefault="00D60816" w:rsidP="00D60816">
      <w:pPr>
        <w:pStyle w:val="subsection"/>
        <w:rPr>
          <w:color w:val="0000FF"/>
        </w:rPr>
      </w:pPr>
      <w:r w:rsidRPr="00693A57">
        <w:rPr>
          <w:color w:val="0000FF"/>
        </w:rPr>
        <w:tab/>
        <w:t>(5)</w:t>
      </w:r>
      <w:r w:rsidRPr="00693A57">
        <w:rPr>
          <w:color w:val="0000FF"/>
        </w:rPr>
        <w:tab/>
        <w:t xml:space="preserve">Where a CDR principal makes a consumer data request at the request of a </w:t>
      </w:r>
      <w:r w:rsidR="00182338" w:rsidRPr="00693A57">
        <w:rPr>
          <w:color w:val="0000FF"/>
        </w:rPr>
        <w:t>CDR representative</w:t>
      </w:r>
      <w:r w:rsidRPr="00693A57">
        <w:rPr>
          <w:color w:val="0000FF"/>
        </w:rPr>
        <w:t xml:space="preserve">, </w:t>
      </w:r>
      <w:r w:rsidR="00C7378A" w:rsidRPr="00693A57">
        <w:rPr>
          <w:color w:val="0000FF"/>
        </w:rPr>
        <w:t>it may</w:t>
      </w:r>
      <w:r w:rsidR="00D936FC" w:rsidRPr="00693A57">
        <w:rPr>
          <w:color w:val="0000FF"/>
        </w:rPr>
        <w:t xml:space="preserve"> arrange for the </w:t>
      </w:r>
      <w:r w:rsidR="00182338" w:rsidRPr="00693A57">
        <w:rPr>
          <w:color w:val="0000FF"/>
        </w:rPr>
        <w:t>CDR representative</w:t>
      </w:r>
      <w:r w:rsidRPr="00693A57">
        <w:rPr>
          <w:color w:val="0000FF"/>
        </w:rPr>
        <w:t xml:space="preserve"> </w:t>
      </w:r>
      <w:r w:rsidR="00D936FC" w:rsidRPr="00693A57">
        <w:rPr>
          <w:color w:val="0000FF"/>
        </w:rPr>
        <w:t xml:space="preserve">to provide the </w:t>
      </w:r>
      <w:r w:rsidRPr="00693A57">
        <w:rPr>
          <w:color w:val="0000FF"/>
        </w:rPr>
        <w:t xml:space="preserve">consumer dashboard </w:t>
      </w:r>
      <w:r w:rsidR="00D936FC" w:rsidRPr="00693A57">
        <w:rPr>
          <w:color w:val="0000FF"/>
        </w:rPr>
        <w:t>on its behalf</w:t>
      </w:r>
      <w:r w:rsidRPr="00693A57">
        <w:rPr>
          <w:color w:val="0000FF"/>
        </w:rPr>
        <w:t>.</w:t>
      </w:r>
      <w:r w:rsidR="00171D2F" w:rsidRPr="00693A57">
        <w:rPr>
          <w:color w:val="0000FF"/>
        </w:rPr>
        <w:t xml:space="preserve"> </w:t>
      </w:r>
    </w:p>
    <w:p w14:paraId="0987703B" w14:textId="1A8B290B" w:rsidR="00CF0E3D" w:rsidRDefault="00CF0E3D" w:rsidP="00CF0E3D">
      <w:pPr>
        <w:pStyle w:val="ActHead5"/>
      </w:pPr>
      <w:bookmarkStart w:id="51" w:name="_Toc57390961"/>
      <w:bookmarkStart w:id="52" w:name="_Toc59549122"/>
      <w:bookmarkStart w:id="53" w:name="_Toc77064837"/>
      <w:r w:rsidRPr="004F7FBE">
        <w:t>1.15  Consumer dashboard—data holder</w:t>
      </w:r>
      <w:bookmarkEnd w:id="51"/>
      <w:bookmarkEnd w:id="52"/>
      <w:bookmarkEnd w:id="53"/>
    </w:p>
    <w:p w14:paraId="2BE93837" w14:textId="29549D96" w:rsidR="00CF0E3D" w:rsidRPr="004F7FBE" w:rsidRDefault="00CF0E3D" w:rsidP="00CF0E3D">
      <w:pPr>
        <w:pStyle w:val="subsection"/>
      </w:pPr>
      <w:r w:rsidRPr="004F7FBE">
        <w:tab/>
        <w:t>(1)</w:t>
      </w:r>
      <w:r w:rsidRPr="004F7FBE">
        <w:tab/>
        <w:t>If a data holder receives a consumer data request from an accredited person on behalf of a CDR consumer, the data holder must</w:t>
      </w:r>
      <w:r w:rsidR="00A15B5F" w:rsidRPr="00693A57">
        <w:rPr>
          <w:color w:val="FF0000"/>
        </w:rPr>
        <w:t>, in the circumstances specified in a sector Schedule,</w:t>
      </w:r>
      <w:r w:rsidRPr="004F7FBE">
        <w:t xml:space="preserve"> ensure that the CDR consumer has an online service that:</w:t>
      </w:r>
    </w:p>
    <w:p w14:paraId="2D1E52F9" w14:textId="77777777" w:rsidR="00CF0E3D" w:rsidRPr="004F7FBE" w:rsidRDefault="00CF0E3D" w:rsidP="00CF0E3D">
      <w:pPr>
        <w:pStyle w:val="paragraph"/>
      </w:pPr>
      <w:r w:rsidRPr="004F7FBE">
        <w:tab/>
        <w:t>(a)</w:t>
      </w:r>
      <w:r w:rsidRPr="004F7FBE">
        <w:tab/>
        <w:t>can be used by the CDR consumer to manage authorisations to disclose CDR data in response to the request; and</w:t>
      </w:r>
    </w:p>
    <w:p w14:paraId="7F61EEBF" w14:textId="77777777" w:rsidR="00CF0E3D" w:rsidRPr="004F7FBE" w:rsidRDefault="00CF0E3D" w:rsidP="00CF0E3D">
      <w:pPr>
        <w:pStyle w:val="paragraph"/>
      </w:pPr>
      <w:r w:rsidRPr="004F7FBE">
        <w:tab/>
        <w:t>(b)</w:t>
      </w:r>
      <w:r w:rsidRPr="004F7FBE">
        <w:tab/>
        <w:t>contains the details of each authorisation to disclose CDR data specified in subrule (3); and</w:t>
      </w:r>
    </w:p>
    <w:p w14:paraId="6B1122D9" w14:textId="77777777" w:rsidR="00CF0E3D" w:rsidRPr="004F7FBE" w:rsidRDefault="00CF0E3D" w:rsidP="00CF0E3D">
      <w:pPr>
        <w:pStyle w:val="paragraph"/>
      </w:pPr>
      <w:r w:rsidRPr="004F7FBE">
        <w:tab/>
        <w:t>(ba)</w:t>
      </w:r>
      <w:r w:rsidRPr="004F7FBE">
        <w:tab/>
        <w:t>contains any information in the data standards that is specified as information for the purposes of this rule; and</w:t>
      </w:r>
    </w:p>
    <w:p w14:paraId="0B72DCA4" w14:textId="77777777" w:rsidR="00CF0E3D" w:rsidRPr="004F7FBE" w:rsidRDefault="00CF0E3D" w:rsidP="00CF0E3D">
      <w:pPr>
        <w:pStyle w:val="paragraph"/>
      </w:pPr>
      <w:r w:rsidRPr="004F7FBE">
        <w:tab/>
        <w:t>(bb)</w:t>
      </w:r>
      <w:r w:rsidRPr="004F7FBE">
        <w:tab/>
        <w:t>contains any information on the Register of Accredited Persons that is specified as information for the purposes of this rule; and</w:t>
      </w:r>
    </w:p>
    <w:p w14:paraId="50873227" w14:textId="77777777" w:rsidR="00CF0E3D" w:rsidRPr="004F7FBE" w:rsidRDefault="00CF0E3D" w:rsidP="00CF0E3D">
      <w:pPr>
        <w:pStyle w:val="paragraph"/>
      </w:pPr>
      <w:r w:rsidRPr="004F7FBE">
        <w:tab/>
        <w:t>(c)</w:t>
      </w:r>
      <w:r w:rsidRPr="004F7FBE">
        <w:tab/>
        <w:t>has a functionality that:</w:t>
      </w:r>
    </w:p>
    <w:p w14:paraId="6D9BF34F" w14:textId="77777777" w:rsidR="00CF0E3D" w:rsidRPr="004F7FBE" w:rsidRDefault="00CF0E3D" w:rsidP="00CF0E3D">
      <w:pPr>
        <w:pStyle w:val="paragraphsub"/>
      </w:pPr>
      <w:r w:rsidRPr="004F7FBE">
        <w:tab/>
        <w:t>(i)</w:t>
      </w:r>
      <w:r w:rsidRPr="004F7FBE">
        <w:tab/>
        <w:t>allows for withdrawal, at any time, of authorisations to disclose CDR data; and</w:t>
      </w:r>
    </w:p>
    <w:p w14:paraId="12D2022E" w14:textId="77777777" w:rsidR="00CF0E3D" w:rsidRPr="004F7FBE" w:rsidRDefault="00CF0E3D" w:rsidP="00CF0E3D">
      <w:pPr>
        <w:pStyle w:val="paragraphsub"/>
      </w:pPr>
      <w:r w:rsidRPr="004F7FBE">
        <w:tab/>
        <w:t>(ii)</w:t>
      </w:r>
      <w:r w:rsidRPr="004F7FBE">
        <w:tab/>
        <w:t>is simple and straightforward to use; and</w:t>
      </w:r>
    </w:p>
    <w:p w14:paraId="1DAA6885" w14:textId="77777777" w:rsidR="00CF0E3D" w:rsidRPr="004F7FBE" w:rsidRDefault="00CF0E3D" w:rsidP="00CF0E3D">
      <w:pPr>
        <w:pStyle w:val="paragraphsub"/>
      </w:pPr>
      <w:r w:rsidRPr="004F7FBE">
        <w:tab/>
        <w:t>(iii)</w:t>
      </w:r>
      <w:r w:rsidRPr="004F7FBE">
        <w:tab/>
        <w:t>is no more complicated to use than the process for giving the authorisation to disclose CDR data; and</w:t>
      </w:r>
    </w:p>
    <w:p w14:paraId="2D786692" w14:textId="77777777" w:rsidR="00CF0E3D" w:rsidRPr="004F7FBE" w:rsidRDefault="00CF0E3D" w:rsidP="00CF0E3D">
      <w:pPr>
        <w:pStyle w:val="paragraphsub"/>
      </w:pPr>
      <w:r w:rsidRPr="004F7FBE">
        <w:tab/>
        <w:t>(iv)</w:t>
      </w:r>
      <w:r w:rsidRPr="004F7FBE">
        <w:tab/>
        <w:t>is prominently displayed; and</w:t>
      </w:r>
    </w:p>
    <w:p w14:paraId="7F03C7FA" w14:textId="77777777" w:rsidR="00CF0E3D" w:rsidRPr="004F7FBE" w:rsidRDefault="00CF0E3D" w:rsidP="00CF0E3D">
      <w:pPr>
        <w:pStyle w:val="paragraphsub"/>
      </w:pPr>
      <w:r w:rsidRPr="004F7FBE">
        <w:lastRenderedPageBreak/>
        <w:tab/>
        <w:t>(v)</w:t>
      </w:r>
      <w:r w:rsidRPr="004F7FBE">
        <w:tab/>
        <w:t>as part of the withdrawal process, displays a message relating to the consequences of the withdrawal in accordance with the data standards; and</w:t>
      </w:r>
    </w:p>
    <w:p w14:paraId="3272396A" w14:textId="2C987323" w:rsidR="0088284A" w:rsidRPr="00693A57" w:rsidRDefault="0088284A" w:rsidP="0088284A">
      <w:pPr>
        <w:pStyle w:val="paragraph"/>
        <w:rPr>
          <w:color w:val="0000FF"/>
        </w:rPr>
      </w:pPr>
      <w:r w:rsidRPr="00693A57">
        <w:rPr>
          <w:color w:val="0000FF"/>
        </w:rPr>
        <w:tab/>
        <w:t>(d)</w:t>
      </w:r>
      <w:r w:rsidRPr="00693A57">
        <w:rPr>
          <w:color w:val="0000FF"/>
        </w:rPr>
        <w:tab/>
        <w:t>contains any other details, and has any other functionality, required by a provision of these rules.</w:t>
      </w:r>
    </w:p>
    <w:p w14:paraId="4F1BB2F6" w14:textId="7DF7FB17" w:rsidR="00CF0E3D" w:rsidRPr="00693A57" w:rsidRDefault="00CF0E3D" w:rsidP="00CF0E3D">
      <w:pPr>
        <w:pStyle w:val="paragraph"/>
        <w:rPr>
          <w:strike/>
          <w:color w:val="0000FF"/>
        </w:rPr>
      </w:pPr>
      <w:r w:rsidRPr="00693A57">
        <w:rPr>
          <w:strike/>
          <w:color w:val="0000FF"/>
        </w:rPr>
        <w:tab/>
        <w:t>(d)</w:t>
      </w:r>
      <w:r w:rsidRPr="00693A57">
        <w:rPr>
          <w:strike/>
          <w:color w:val="0000FF"/>
        </w:rPr>
        <w:tab/>
        <w:t xml:space="preserve">contains any other details, and has any other functionality, required by </w:t>
      </w:r>
      <w:r w:rsidR="0088284A" w:rsidRPr="00693A57">
        <w:rPr>
          <w:strike/>
          <w:color w:val="0000FF"/>
        </w:rPr>
        <w:t xml:space="preserve">a </w:t>
      </w:r>
      <w:r w:rsidR="00826EE4" w:rsidRPr="00693A57">
        <w:rPr>
          <w:strike/>
          <w:color w:val="0000FF"/>
        </w:rPr>
        <w:t>Schedule</w:t>
      </w:r>
      <w:r w:rsidRPr="00693A57">
        <w:rPr>
          <w:strike/>
          <w:color w:val="0000FF"/>
        </w:rPr>
        <w:t xml:space="preserve"> to these rules in relation to a particular designated sector.</w:t>
      </w:r>
    </w:p>
    <w:p w14:paraId="74AD6BFE" w14:textId="77777777" w:rsidR="00CF0E3D" w:rsidRPr="004F7FBE" w:rsidRDefault="00CF0E3D" w:rsidP="00CF0E3D">
      <w:pPr>
        <w:pStyle w:val="notetext"/>
      </w:pPr>
      <w:r w:rsidRPr="004F7FBE">
        <w:t>Note 1:</w:t>
      </w:r>
      <w:r w:rsidRPr="004F7FBE">
        <w:tab/>
        <w:t>This subrule is a civil penalty provision (see rule 9.8).</w:t>
      </w:r>
    </w:p>
    <w:p w14:paraId="3C14ED4E" w14:textId="77777777" w:rsidR="00CF0E3D" w:rsidRPr="00693A57" w:rsidRDefault="00CF0E3D" w:rsidP="00CF0E3D">
      <w:pPr>
        <w:pStyle w:val="notetext"/>
        <w:rPr>
          <w:strike/>
          <w:color w:val="FF0000"/>
        </w:rPr>
      </w:pPr>
      <w:r w:rsidRPr="00693A57">
        <w:rPr>
          <w:strike/>
          <w:color w:val="FF0000"/>
        </w:rPr>
        <w:t>Note 2:</w:t>
      </w:r>
      <w:r w:rsidRPr="00693A57">
        <w:rPr>
          <w:strike/>
          <w:color w:val="FF0000"/>
        </w:rPr>
        <w:tab/>
        <w:t>For paragraph (d), for the banking sector, see clause 4.14 of Schedule 3.</w:t>
      </w:r>
    </w:p>
    <w:p w14:paraId="09E090E5" w14:textId="77777777" w:rsidR="00CF0E3D" w:rsidRPr="004F7FBE" w:rsidRDefault="00CF0E3D" w:rsidP="00CF0E3D">
      <w:pPr>
        <w:pStyle w:val="subsection"/>
      </w:pPr>
      <w:r w:rsidRPr="004F7FBE">
        <w:tab/>
        <w:t>(2)</w:t>
      </w:r>
      <w:r w:rsidRPr="004F7FBE">
        <w:tab/>
        <w:t xml:space="preserve">Such a service is the data holder’s </w:t>
      </w:r>
      <w:r w:rsidRPr="004F7FBE">
        <w:rPr>
          <w:b/>
          <w:i/>
        </w:rPr>
        <w:t xml:space="preserve">consumer dashboard </w:t>
      </w:r>
      <w:r w:rsidRPr="004F7FBE">
        <w:t>for that consumer.</w:t>
      </w:r>
    </w:p>
    <w:p w14:paraId="55140CC7" w14:textId="1CC1FBBA" w:rsidR="001A1BCE" w:rsidRPr="00693A57" w:rsidRDefault="001A1BCE" w:rsidP="00CF0E3D">
      <w:pPr>
        <w:pStyle w:val="notetext"/>
        <w:rPr>
          <w:color w:val="FF0000"/>
        </w:rPr>
      </w:pPr>
      <w:r w:rsidRPr="00693A57">
        <w:rPr>
          <w:color w:val="FF0000"/>
        </w:rPr>
        <w:t>Note:</w:t>
      </w:r>
      <w:r w:rsidRPr="00693A57">
        <w:rPr>
          <w:color w:val="FF0000"/>
        </w:rPr>
        <w:tab/>
        <w:t>If the consumer data request relates to a joint account, there may be an obligation to provide all joint account holders with consumer dashboards:  see rule 4A .15.</w:t>
      </w:r>
    </w:p>
    <w:p w14:paraId="07236694" w14:textId="77777777" w:rsidR="00CF0E3D" w:rsidRPr="00693A57" w:rsidRDefault="00CF0E3D" w:rsidP="00CF0E3D">
      <w:pPr>
        <w:pStyle w:val="notetext"/>
        <w:rPr>
          <w:strike/>
          <w:color w:val="FF0000"/>
        </w:rPr>
      </w:pPr>
      <w:r w:rsidRPr="00693A57">
        <w:rPr>
          <w:strike/>
          <w:color w:val="FF0000"/>
        </w:rPr>
        <w:t>Note:</w:t>
      </w:r>
      <w:r w:rsidRPr="00693A57">
        <w:rPr>
          <w:strike/>
          <w:color w:val="FF0000"/>
        </w:rPr>
        <w:tab/>
        <w:t>For the banking sector, if an accredited person makes a consumer data request that relates to a joint account on behalf of a secondary user or one joint account holder, the other joint account holders may also need to be provided with consumer dashboards: see clause 4.14 of Schedule 3.</w:t>
      </w:r>
    </w:p>
    <w:p w14:paraId="7422F6E2" w14:textId="77777777" w:rsidR="00CF0E3D" w:rsidRPr="004F7FBE" w:rsidRDefault="00CF0E3D" w:rsidP="00CF0E3D">
      <w:pPr>
        <w:pStyle w:val="subsection"/>
      </w:pPr>
      <w:r w:rsidRPr="004F7FBE">
        <w:tab/>
        <w:t>(2A)</w:t>
      </w:r>
      <w:r w:rsidRPr="004F7FBE">
        <w:tab/>
        <w:t>For subrule (1), the online service must allow only nominated representatives to manage authorisations in the following circumstances:</w:t>
      </w:r>
    </w:p>
    <w:p w14:paraId="7C662200" w14:textId="77777777" w:rsidR="00CF0E3D" w:rsidRPr="004F7FBE" w:rsidRDefault="00CF0E3D" w:rsidP="00CF0E3D">
      <w:pPr>
        <w:pStyle w:val="paragraph"/>
      </w:pPr>
      <w:r w:rsidRPr="004F7FBE">
        <w:tab/>
        <w:t>(a)</w:t>
      </w:r>
      <w:r w:rsidRPr="004F7FBE">
        <w:tab/>
        <w:t>where the CDR consumer is not an individual;</w:t>
      </w:r>
    </w:p>
    <w:p w14:paraId="75335B66" w14:textId="77777777" w:rsidR="00CF0E3D" w:rsidRPr="004F7FBE" w:rsidRDefault="00CF0E3D" w:rsidP="00CF0E3D">
      <w:pPr>
        <w:pStyle w:val="paragraph"/>
      </w:pPr>
      <w:r w:rsidRPr="004F7FBE">
        <w:tab/>
        <w:t>(b)</w:t>
      </w:r>
      <w:r w:rsidRPr="004F7FBE">
        <w:tab/>
        <w:t>where the CDR data relates to a partnership account.</w:t>
      </w:r>
    </w:p>
    <w:p w14:paraId="4E464C91" w14:textId="77777777" w:rsidR="00CF0E3D" w:rsidRPr="004F7FBE" w:rsidRDefault="00CF0E3D" w:rsidP="00CF0E3D">
      <w:pPr>
        <w:pStyle w:val="subsection"/>
      </w:pPr>
      <w:r w:rsidRPr="004F7FBE">
        <w:tab/>
        <w:t>(3)</w:t>
      </w:r>
      <w:r w:rsidRPr="004F7FBE">
        <w:tab/>
        <w:t>For paragraph (1)(b) and paragraph (5)(a), the information is the following:</w:t>
      </w:r>
    </w:p>
    <w:p w14:paraId="79F441E5" w14:textId="77777777" w:rsidR="00CF0E3D" w:rsidRPr="004F7FBE" w:rsidRDefault="00CF0E3D" w:rsidP="00CF0E3D">
      <w:pPr>
        <w:pStyle w:val="paragraph"/>
      </w:pPr>
      <w:r w:rsidRPr="004F7FBE">
        <w:tab/>
        <w:t>(a)</w:t>
      </w:r>
      <w:r w:rsidRPr="004F7FBE">
        <w:tab/>
        <w:t>details of the CDR data that has been authorised to be disclosed;</w:t>
      </w:r>
    </w:p>
    <w:p w14:paraId="2A90EB9F" w14:textId="77777777" w:rsidR="00CF0E3D" w:rsidRPr="004F7FBE" w:rsidRDefault="00CF0E3D" w:rsidP="00CF0E3D">
      <w:pPr>
        <w:pStyle w:val="paragraph"/>
      </w:pPr>
      <w:r w:rsidRPr="004F7FBE">
        <w:tab/>
        <w:t>(b)</w:t>
      </w:r>
      <w:r w:rsidRPr="004F7FBE">
        <w:tab/>
        <w:t>when the CDR consumer gave the authorisation;</w:t>
      </w:r>
    </w:p>
    <w:p w14:paraId="14AC0F4D" w14:textId="77777777" w:rsidR="00CF0E3D" w:rsidRPr="004F7FBE" w:rsidRDefault="00CF0E3D" w:rsidP="00CF0E3D">
      <w:pPr>
        <w:pStyle w:val="paragraph"/>
      </w:pPr>
      <w:r w:rsidRPr="004F7FBE">
        <w:tab/>
        <w:t>(c)</w:t>
      </w:r>
      <w:r w:rsidRPr="004F7FBE">
        <w:tab/>
        <w:t>the period for which the CDR consumer gave the authorisation;</w:t>
      </w:r>
    </w:p>
    <w:p w14:paraId="27D3BCF7" w14:textId="77777777" w:rsidR="00CF0E3D" w:rsidRPr="004F7FBE" w:rsidRDefault="00CF0E3D" w:rsidP="00CF0E3D">
      <w:pPr>
        <w:pStyle w:val="paragraph"/>
      </w:pPr>
      <w:r w:rsidRPr="004F7FBE">
        <w:tab/>
        <w:t>(d)</w:t>
      </w:r>
      <w:r w:rsidRPr="004F7FBE">
        <w:tab/>
        <w:t>if the authorisation is current—when it is scheduled to expire;</w:t>
      </w:r>
    </w:p>
    <w:p w14:paraId="010507DB" w14:textId="77777777" w:rsidR="00CF0E3D" w:rsidRPr="004F7FBE" w:rsidRDefault="00CF0E3D" w:rsidP="00CF0E3D">
      <w:pPr>
        <w:pStyle w:val="paragraph"/>
      </w:pPr>
      <w:r w:rsidRPr="004F7FBE">
        <w:tab/>
        <w:t>(e)</w:t>
      </w:r>
      <w:r w:rsidRPr="004F7FBE">
        <w:tab/>
        <w:t>if the authorisation is not current—when it expired;</w:t>
      </w:r>
    </w:p>
    <w:p w14:paraId="390B11E9" w14:textId="77777777" w:rsidR="00CF0E3D" w:rsidRPr="004F7FBE" w:rsidRDefault="00CF0E3D" w:rsidP="00CF0E3D">
      <w:pPr>
        <w:pStyle w:val="paragraph"/>
      </w:pPr>
      <w:r w:rsidRPr="004F7FBE">
        <w:tab/>
        <w:t>(f)</w:t>
      </w:r>
      <w:r w:rsidRPr="004F7FBE">
        <w:tab/>
        <w:t>information relating to CDR data that was disclosed pursuant to the authorisation (see rule 7.9);</w:t>
      </w:r>
    </w:p>
    <w:p w14:paraId="78BAD7B5" w14:textId="77777777" w:rsidR="00CF0E3D" w:rsidRPr="004F7FBE" w:rsidRDefault="00CF0E3D" w:rsidP="00CF0E3D">
      <w:pPr>
        <w:pStyle w:val="paragraph"/>
      </w:pPr>
      <w:r w:rsidRPr="004F7FBE">
        <w:tab/>
        <w:t>(g)</w:t>
      </w:r>
      <w:r w:rsidRPr="004F7FBE">
        <w:tab/>
        <w:t>for a disclosure of CDR data that relates to the authorisation but that was pursuant to a request under subsection 56EN(4) of the Act—that fact.</w:t>
      </w:r>
    </w:p>
    <w:p w14:paraId="32F22BAC" w14:textId="77777777" w:rsidR="00CF0E3D" w:rsidRPr="004F7FBE" w:rsidRDefault="00CF0E3D" w:rsidP="00CF0E3D">
      <w:pPr>
        <w:pStyle w:val="notetext"/>
      </w:pPr>
      <w:r w:rsidRPr="004F7FBE">
        <w:t>Note 1:</w:t>
      </w:r>
      <w:r w:rsidRPr="004F7FBE">
        <w:tab/>
        <w:t>For paragraph (d), authorisations to disclose CDR data expire at the latest 12 months after they are given: see paragraph 4.26(1)(e).</w:t>
      </w:r>
    </w:p>
    <w:p w14:paraId="0F823523" w14:textId="77777777" w:rsidR="00CF0E3D" w:rsidRPr="004F7FBE" w:rsidRDefault="00CF0E3D" w:rsidP="00CF0E3D">
      <w:pPr>
        <w:pStyle w:val="notetext"/>
      </w:pPr>
      <w:r w:rsidRPr="004F7FBE">
        <w:t>Note 2:</w:t>
      </w:r>
      <w:r w:rsidRPr="004F7FBE">
        <w:tab/>
        <w:t>The consumer dashboard could contain other information too, for example, the written notice referred to in rules 7.10 (which deals with quality of CDR data under privacy safeguard 11, section 56EN of the Act) and 7.15 (which deals with correction requests under privacy safeguard 13, section 56EP of the Act).</w:t>
      </w:r>
    </w:p>
    <w:p w14:paraId="113D366A" w14:textId="77777777" w:rsidR="00CF0E3D" w:rsidRPr="004F7FBE" w:rsidRDefault="00CF0E3D" w:rsidP="00CF0E3D">
      <w:pPr>
        <w:pStyle w:val="subsection"/>
      </w:pPr>
      <w:r w:rsidRPr="004F7FBE">
        <w:tab/>
        <w:t>(4)</w:t>
      </w:r>
      <w:r w:rsidRPr="004F7FBE">
        <w:tab/>
        <w:t>A data holder does not contravene subrule (1) in relation to subparagraphs (1)(c)(ii) and (iii) so long as it takes reasonable steps to ensure that the functionality complies with those subparagraphs.</w:t>
      </w:r>
    </w:p>
    <w:p w14:paraId="745D4AE9" w14:textId="77777777" w:rsidR="00CF0E3D" w:rsidRPr="004F7FBE" w:rsidRDefault="00CF0E3D" w:rsidP="00CF0E3D">
      <w:pPr>
        <w:pStyle w:val="SubsectionHead"/>
      </w:pPr>
      <w:r w:rsidRPr="004F7FBE">
        <w:t>Secondary users</w:t>
      </w:r>
    </w:p>
    <w:p w14:paraId="3A0FB4A5" w14:textId="77777777" w:rsidR="00CF0E3D" w:rsidRPr="004F7FBE" w:rsidRDefault="00CF0E3D" w:rsidP="00CF0E3D">
      <w:pPr>
        <w:pStyle w:val="subsection"/>
      </w:pPr>
      <w:r w:rsidRPr="004F7FBE">
        <w:tab/>
        <w:t>(5)</w:t>
      </w:r>
      <w:r w:rsidRPr="004F7FBE">
        <w:tab/>
        <w:t>If the CDR consumer is a secondary user for an account, the data holder must also provide the account holder with an online service that:</w:t>
      </w:r>
    </w:p>
    <w:p w14:paraId="0791FC48" w14:textId="77777777" w:rsidR="00CF0E3D" w:rsidRPr="004F7FBE" w:rsidRDefault="00CF0E3D" w:rsidP="00CF0E3D">
      <w:pPr>
        <w:pStyle w:val="paragraph"/>
      </w:pPr>
      <w:r w:rsidRPr="004F7FBE">
        <w:lastRenderedPageBreak/>
        <w:tab/>
        <w:t>(a)</w:t>
      </w:r>
      <w:r w:rsidRPr="004F7FBE">
        <w:tab/>
        <w:t>for each authorisation to disclose CDR data given by the secondary user—contains the details specified in subrule (3); and</w:t>
      </w:r>
    </w:p>
    <w:p w14:paraId="0687FD93" w14:textId="77777777" w:rsidR="00CF0E3D" w:rsidRPr="004F7FBE" w:rsidRDefault="00CF0E3D" w:rsidP="00CF0E3D">
      <w:pPr>
        <w:pStyle w:val="paragraph"/>
      </w:pPr>
      <w:r w:rsidRPr="004F7FBE">
        <w:tab/>
        <w:t>(b)</w:t>
      </w:r>
      <w:r w:rsidRPr="004F7FBE">
        <w:tab/>
        <w:t>has a functionality that:</w:t>
      </w:r>
    </w:p>
    <w:p w14:paraId="2A179259" w14:textId="77777777" w:rsidR="00CF0E3D" w:rsidRPr="004F7FBE" w:rsidRDefault="00CF0E3D" w:rsidP="00CF0E3D">
      <w:pPr>
        <w:pStyle w:val="paragraphsub"/>
      </w:pPr>
      <w:r w:rsidRPr="004F7FBE">
        <w:tab/>
        <w:t>(i)</w:t>
      </w:r>
      <w:r w:rsidRPr="004F7FBE">
        <w:tab/>
        <w:t>allows for the account holder to, at any time, give the indication referred to in subparagraph 4.6A(a)(ii) in relation to a particular accredited person; and</w:t>
      </w:r>
    </w:p>
    <w:p w14:paraId="65561EAC" w14:textId="77777777" w:rsidR="00CF0E3D" w:rsidRPr="004F7FBE" w:rsidRDefault="00CF0E3D" w:rsidP="00CF0E3D">
      <w:pPr>
        <w:pStyle w:val="paragraphsub"/>
      </w:pPr>
      <w:r w:rsidRPr="004F7FBE">
        <w:tab/>
        <w:t>(ii)</w:t>
      </w:r>
      <w:r w:rsidRPr="004F7FBE">
        <w:tab/>
        <w:t xml:space="preserve">allows for the withdrawal of the secondary user instruction; and </w:t>
      </w:r>
    </w:p>
    <w:p w14:paraId="33E38B1F" w14:textId="77777777" w:rsidR="00CF0E3D" w:rsidRPr="004F7FBE" w:rsidRDefault="00CF0E3D" w:rsidP="00CF0E3D">
      <w:pPr>
        <w:pStyle w:val="paragraphsub"/>
      </w:pPr>
      <w:r w:rsidRPr="004F7FBE">
        <w:tab/>
        <w:t>(iii)</w:t>
      </w:r>
      <w:r w:rsidRPr="004F7FBE">
        <w:tab/>
        <w:t>is simple and straightforward to use; and</w:t>
      </w:r>
    </w:p>
    <w:p w14:paraId="3B5CE78C" w14:textId="77777777" w:rsidR="00CF0E3D" w:rsidRPr="004F7FBE" w:rsidRDefault="00CF0E3D" w:rsidP="00CF0E3D">
      <w:pPr>
        <w:pStyle w:val="paragraphsub"/>
      </w:pPr>
      <w:r w:rsidRPr="004F7FBE">
        <w:tab/>
        <w:t>(iv)</w:t>
      </w:r>
      <w:r w:rsidRPr="004F7FBE">
        <w:tab/>
        <w:t>is no more complicated to use than the processes for giving the authorisations or instructions; and</w:t>
      </w:r>
    </w:p>
    <w:p w14:paraId="762BC40B" w14:textId="77777777" w:rsidR="00CF0E3D" w:rsidRPr="004F7FBE" w:rsidRDefault="00CF0E3D" w:rsidP="00CF0E3D">
      <w:pPr>
        <w:pStyle w:val="paragraphsub"/>
      </w:pPr>
      <w:r w:rsidRPr="004F7FBE">
        <w:tab/>
        <w:t>(v)</w:t>
      </w:r>
      <w:r w:rsidRPr="004F7FBE">
        <w:tab/>
        <w:t>is prominently displayed; and</w:t>
      </w:r>
    </w:p>
    <w:p w14:paraId="080CC034" w14:textId="77777777" w:rsidR="00CF0E3D" w:rsidRPr="004F7FBE" w:rsidRDefault="00CF0E3D" w:rsidP="00CF0E3D">
      <w:pPr>
        <w:pStyle w:val="paragraphsub"/>
      </w:pPr>
      <w:r w:rsidRPr="004F7FBE">
        <w:tab/>
        <w:t>(vi)</w:t>
      </w:r>
      <w:r w:rsidRPr="004F7FBE">
        <w:tab/>
        <w:t>as part of the withdrawal process, displays a message relating to the consequences of the withdrawal in accordance with the data standards.</w:t>
      </w:r>
    </w:p>
    <w:p w14:paraId="6C363513" w14:textId="77777777" w:rsidR="00CF0E3D" w:rsidRPr="004F7FBE" w:rsidRDefault="00CF0E3D" w:rsidP="00CF0E3D">
      <w:pPr>
        <w:pStyle w:val="notetext"/>
      </w:pPr>
      <w:r w:rsidRPr="004F7FBE">
        <w:t>Note 1:</w:t>
      </w:r>
      <w:r w:rsidRPr="004F7FBE">
        <w:tab/>
        <w:t>This subrule is a civil penalty provision (see rule 9.8).</w:t>
      </w:r>
    </w:p>
    <w:p w14:paraId="784F5AE0" w14:textId="77777777" w:rsidR="002B120D" w:rsidRDefault="00CF0E3D" w:rsidP="00CF0E3D">
      <w:pPr>
        <w:pStyle w:val="notetext"/>
      </w:pPr>
      <w:r w:rsidRPr="004F7FBE">
        <w:t xml:space="preserve">Note 2: </w:t>
      </w:r>
      <w:r w:rsidRPr="004F7FBE">
        <w:tab/>
        <w:t>If the account holder makes an indication in accordance with subparagraph (5)(b)(i), the data holder will no longer be able to disclose CDR data relating to that account to that accredited person: see subrules 4.6(2) and (4) and subrul</w:t>
      </w:r>
    </w:p>
    <w:p w14:paraId="769EFDDB" w14:textId="175E46CD" w:rsidR="00CF0E3D" w:rsidRPr="004F7FBE" w:rsidRDefault="00CF0E3D" w:rsidP="00CF0E3D">
      <w:pPr>
        <w:pStyle w:val="notetext"/>
      </w:pPr>
      <w:r w:rsidRPr="004F7FBE">
        <w:t>e 4.6A(1).</w:t>
      </w:r>
    </w:p>
    <w:p w14:paraId="4C7DA063" w14:textId="77777777" w:rsidR="00CF0E3D" w:rsidRPr="004F7FBE" w:rsidRDefault="00CF0E3D" w:rsidP="00CF0E3D">
      <w:pPr>
        <w:pStyle w:val="subsection"/>
      </w:pPr>
      <w:r w:rsidRPr="004F7FBE">
        <w:tab/>
        <w:t>(6)</w:t>
      </w:r>
      <w:r w:rsidRPr="004F7FBE">
        <w:tab/>
        <w:t>A data holder does not contravene subrule (5) in relation to subparagraphs (5)(b)(iii) and (iv) so long as it takes reasonable steps to ensure that the functionality complies with those subparagraphs.</w:t>
      </w:r>
    </w:p>
    <w:p w14:paraId="0A7ECA1D" w14:textId="77777777" w:rsidR="00CF0E3D" w:rsidRPr="004F7FBE" w:rsidRDefault="00CF0E3D" w:rsidP="00CF0E3D">
      <w:pPr>
        <w:pStyle w:val="subsection"/>
      </w:pPr>
      <w:r w:rsidRPr="004F7FBE">
        <w:tab/>
        <w:t>(7)</w:t>
      </w:r>
      <w:r w:rsidRPr="004F7FBE">
        <w:tab/>
        <w:t>If the data holder provides a consumer dashboard for the account holder, the service mentioned in subrule (5) must be included in the consumer dashboard.</w:t>
      </w:r>
    </w:p>
    <w:p w14:paraId="3D1C6D56" w14:textId="77777777" w:rsidR="00CF0E3D" w:rsidRDefault="00CF0E3D" w:rsidP="00CF0E3D">
      <w:pPr>
        <w:pStyle w:val="notetext"/>
      </w:pPr>
      <w:r w:rsidRPr="004F7FBE">
        <w:t>Note:</w:t>
      </w:r>
      <w:r w:rsidRPr="004F7FBE">
        <w:tab/>
        <w:t>This subrule is a civil penalty provision (see rule 9.8).</w:t>
      </w:r>
    </w:p>
    <w:p w14:paraId="351CB574" w14:textId="77777777" w:rsidR="005A712F" w:rsidRDefault="005A712F" w:rsidP="00CF0E3D">
      <w:pPr>
        <w:pStyle w:val="notetext"/>
      </w:pPr>
    </w:p>
    <w:p w14:paraId="265A7663" w14:textId="77777777" w:rsidR="005A712F" w:rsidRDefault="005A712F" w:rsidP="00CF0E3D">
      <w:pPr>
        <w:pStyle w:val="notetext"/>
      </w:pPr>
    </w:p>
    <w:p w14:paraId="069B5BEE" w14:textId="77777777" w:rsidR="00CF0E3D" w:rsidRPr="00E1300D" w:rsidRDefault="00CF0E3D" w:rsidP="00CF0E3D">
      <w:pPr>
        <w:pStyle w:val="ActHead4"/>
        <w:pageBreakBefore/>
      </w:pPr>
      <w:bookmarkStart w:id="54" w:name="_Toc77064838"/>
      <w:r>
        <w:lastRenderedPageBreak/>
        <w:t>Subdivision 1.4.4</w:t>
      </w:r>
      <w:r w:rsidRPr="00E1300D">
        <w:t>—Other obligations of accredited persons</w:t>
      </w:r>
      <w:bookmarkEnd w:id="54"/>
    </w:p>
    <w:p w14:paraId="11226B37" w14:textId="77777777" w:rsidR="00CF0E3D" w:rsidRPr="00EC7544" w:rsidRDefault="00CF0E3D" w:rsidP="00CF0E3D">
      <w:pPr>
        <w:pStyle w:val="ActHead5"/>
      </w:pPr>
      <w:bookmarkStart w:id="55" w:name="_Toc50041692"/>
      <w:bookmarkStart w:id="56" w:name="_Toc50708280"/>
      <w:bookmarkStart w:id="57" w:name="_Toc50708313"/>
      <w:bookmarkStart w:id="58" w:name="_Toc77064839"/>
      <w:r w:rsidRPr="00EC7544">
        <w:t>1.16  Obligations relating to CDR outsourcing arrangements</w:t>
      </w:r>
      <w:bookmarkEnd w:id="55"/>
      <w:bookmarkEnd w:id="56"/>
      <w:bookmarkEnd w:id="57"/>
      <w:bookmarkEnd w:id="58"/>
      <w:r w:rsidRPr="00EC7544">
        <w:t xml:space="preserve"> </w:t>
      </w:r>
    </w:p>
    <w:p w14:paraId="7077E7D5" w14:textId="77777777" w:rsidR="00CF0E3D" w:rsidRPr="00EC7544" w:rsidRDefault="00CF0E3D" w:rsidP="00CF0E3D">
      <w:pPr>
        <w:pStyle w:val="subsection"/>
      </w:pPr>
      <w:r w:rsidRPr="00EC7544">
        <w:tab/>
        <w:t>(1)</w:t>
      </w:r>
      <w:r w:rsidRPr="00EC7544">
        <w:tab/>
        <w:t>If an accredited person is the principal in a CDR outsourcing arrangement, it must ensure that the provider complies with its requirements under the arrangement.</w:t>
      </w:r>
    </w:p>
    <w:p w14:paraId="4305C1D4" w14:textId="77777777" w:rsidR="00CF0E3D" w:rsidRPr="00EC7544" w:rsidRDefault="00CF0E3D" w:rsidP="00CF0E3D">
      <w:pPr>
        <w:pStyle w:val="notetext"/>
      </w:pPr>
      <w:r w:rsidRPr="00EC7544">
        <w:t>Note:</w:t>
      </w:r>
      <w:r w:rsidRPr="00EC7544">
        <w:tab/>
        <w:t>This rule is a civil penalty provision (see rule 9.8).</w:t>
      </w:r>
    </w:p>
    <w:p w14:paraId="4EE9A7C6" w14:textId="77777777" w:rsidR="00CF0E3D" w:rsidRPr="00EC7544" w:rsidRDefault="00CF0E3D" w:rsidP="00CF0E3D">
      <w:pPr>
        <w:pStyle w:val="subsection"/>
      </w:pPr>
      <w:r w:rsidRPr="00EC7544">
        <w:tab/>
        <w:t>(2)</w:t>
      </w:r>
      <w:r w:rsidRPr="00EC7544">
        <w:tab/>
        <w:t xml:space="preserve">If an accredited person collects CDR data on behalf of another accredited person (the </w:t>
      </w:r>
      <w:r w:rsidRPr="00EC7544">
        <w:rPr>
          <w:b/>
          <w:i/>
        </w:rPr>
        <w:t>principal</w:t>
      </w:r>
      <w:r w:rsidRPr="00EC7544">
        <w:t>) under a CDR outsourcing arrangement:</w:t>
      </w:r>
    </w:p>
    <w:p w14:paraId="74D634E3" w14:textId="77777777" w:rsidR="00CF0E3D" w:rsidRPr="00EC7544" w:rsidRDefault="00CF0E3D" w:rsidP="00CF0E3D">
      <w:pPr>
        <w:pStyle w:val="paragraph"/>
      </w:pPr>
      <w:r w:rsidRPr="00EC7544">
        <w:tab/>
        <w:t>(a)</w:t>
      </w:r>
      <w:r w:rsidRPr="00EC7544">
        <w:tab/>
        <w:t>rule 7.4 and rule 7.9 apply only in relation to the principal; and</w:t>
      </w:r>
    </w:p>
    <w:p w14:paraId="58B7E020" w14:textId="77777777" w:rsidR="00CF0E3D" w:rsidRDefault="00CF0E3D" w:rsidP="00CF0E3D">
      <w:pPr>
        <w:pStyle w:val="paragraph"/>
      </w:pPr>
      <w:r w:rsidRPr="00EC7544">
        <w:tab/>
        <w:t>(b)</w:t>
      </w:r>
      <w:r w:rsidRPr="00EC7544">
        <w:tab/>
        <w:t>paragraph 7.10(1)(a) requires the principal to be identified.</w:t>
      </w:r>
    </w:p>
    <w:p w14:paraId="316F81FF" w14:textId="44AC4F69" w:rsidR="003B4F1E" w:rsidRPr="00693A57" w:rsidRDefault="003B4F1E" w:rsidP="003B4F1E">
      <w:pPr>
        <w:pStyle w:val="ActHead5"/>
        <w:rPr>
          <w:color w:val="0000FF"/>
        </w:rPr>
      </w:pPr>
      <w:bookmarkStart w:id="59" w:name="_Toc77064840"/>
      <w:r w:rsidRPr="00693A57">
        <w:rPr>
          <w:color w:val="0000FF"/>
        </w:rPr>
        <w:t xml:space="preserve">1.16A  Obligations relating to </w:t>
      </w:r>
      <w:r w:rsidR="00182338" w:rsidRPr="00693A57">
        <w:rPr>
          <w:color w:val="0000FF"/>
        </w:rPr>
        <w:t>CDR representative</w:t>
      </w:r>
      <w:r w:rsidRPr="00693A57">
        <w:rPr>
          <w:color w:val="0000FF"/>
        </w:rPr>
        <w:t xml:space="preserve"> arrangements</w:t>
      </w:r>
      <w:bookmarkEnd w:id="59"/>
      <w:r w:rsidRPr="00693A57">
        <w:rPr>
          <w:color w:val="0000FF"/>
        </w:rPr>
        <w:t xml:space="preserve"> </w:t>
      </w:r>
    </w:p>
    <w:p w14:paraId="1DDAE084" w14:textId="6D76997F" w:rsidR="003B4F1E" w:rsidRPr="00693A57" w:rsidRDefault="003B4F1E" w:rsidP="003B4F1E">
      <w:pPr>
        <w:pStyle w:val="subsection"/>
        <w:rPr>
          <w:color w:val="0000FF"/>
        </w:rPr>
      </w:pPr>
      <w:r w:rsidRPr="00693A57">
        <w:rPr>
          <w:color w:val="0000FF"/>
        </w:rPr>
        <w:tab/>
        <w:t>(1)</w:t>
      </w:r>
      <w:r w:rsidRPr="00693A57">
        <w:rPr>
          <w:color w:val="0000FF"/>
        </w:rPr>
        <w:tab/>
        <w:t xml:space="preserve">If an accredited person is the principal in a </w:t>
      </w:r>
      <w:r w:rsidR="00182338" w:rsidRPr="00693A57">
        <w:rPr>
          <w:color w:val="0000FF"/>
        </w:rPr>
        <w:t>CDR representative</w:t>
      </w:r>
      <w:r w:rsidRPr="00693A57">
        <w:rPr>
          <w:color w:val="0000FF"/>
        </w:rPr>
        <w:t xml:space="preserve"> arrangement, it must ensure that the </w:t>
      </w:r>
      <w:r w:rsidR="00182338" w:rsidRPr="00693A57">
        <w:rPr>
          <w:color w:val="0000FF"/>
        </w:rPr>
        <w:t>CDR representative</w:t>
      </w:r>
      <w:r w:rsidRPr="00693A57">
        <w:rPr>
          <w:color w:val="0000FF"/>
        </w:rPr>
        <w:t xml:space="preserve"> complies with its requirements under the arrangement.</w:t>
      </w:r>
    </w:p>
    <w:p w14:paraId="70E3E95D" w14:textId="77777777" w:rsidR="003B4F1E" w:rsidRPr="00693A57" w:rsidRDefault="003B4F1E" w:rsidP="003B4F1E">
      <w:pPr>
        <w:pStyle w:val="notetext"/>
        <w:rPr>
          <w:color w:val="0000FF"/>
        </w:rPr>
      </w:pPr>
      <w:r w:rsidRPr="00693A57">
        <w:rPr>
          <w:color w:val="0000FF"/>
        </w:rPr>
        <w:t>Note:</w:t>
      </w:r>
      <w:r w:rsidRPr="00693A57">
        <w:rPr>
          <w:color w:val="0000FF"/>
        </w:rPr>
        <w:tab/>
        <w:t>This rule is a civil penalty provision (see rule 9.8).</w:t>
      </w:r>
    </w:p>
    <w:p w14:paraId="727C8493" w14:textId="77777777" w:rsidR="003B4F1E" w:rsidRPr="00693A57" w:rsidRDefault="003B4F1E" w:rsidP="003B4F1E">
      <w:pPr>
        <w:pStyle w:val="subsection"/>
        <w:rPr>
          <w:color w:val="0000FF"/>
        </w:rPr>
      </w:pPr>
      <w:r w:rsidRPr="00693A57">
        <w:rPr>
          <w:color w:val="0000FF"/>
        </w:rPr>
        <w:tab/>
        <w:t>(2)</w:t>
      </w:r>
      <w:r w:rsidRPr="00693A57">
        <w:rPr>
          <w:color w:val="0000FF"/>
        </w:rPr>
        <w:tab/>
        <w:t xml:space="preserve">The accredited person must keep and maintain records that cover and explain: </w:t>
      </w:r>
    </w:p>
    <w:p w14:paraId="2DF6FBE8" w14:textId="5D2599C4" w:rsidR="003B4F1E" w:rsidRPr="00693A57" w:rsidRDefault="003B4F1E" w:rsidP="003B4F1E">
      <w:pPr>
        <w:pStyle w:val="paragraph"/>
        <w:rPr>
          <w:color w:val="0000FF"/>
        </w:rPr>
      </w:pPr>
      <w:r w:rsidRPr="00693A57">
        <w:rPr>
          <w:color w:val="0000FF"/>
        </w:rPr>
        <w:tab/>
        <w:t>(a)</w:t>
      </w:r>
      <w:r w:rsidRPr="00693A57">
        <w:rPr>
          <w:color w:val="0000FF"/>
        </w:rPr>
        <w:tab/>
        <w:t xml:space="preserve">each </w:t>
      </w:r>
      <w:r w:rsidR="00182338" w:rsidRPr="00693A57">
        <w:rPr>
          <w:color w:val="0000FF"/>
        </w:rPr>
        <w:t>CDR representative</w:t>
      </w:r>
      <w:r w:rsidRPr="00693A57">
        <w:rPr>
          <w:color w:val="0000FF"/>
        </w:rPr>
        <w:t xml:space="preserve"> arrangement; </w:t>
      </w:r>
    </w:p>
    <w:p w14:paraId="772ABA89" w14:textId="49C8487F" w:rsidR="003B4F1E" w:rsidRPr="00693A57" w:rsidRDefault="003B4F1E" w:rsidP="003B4F1E">
      <w:pPr>
        <w:pStyle w:val="paragraph"/>
        <w:rPr>
          <w:color w:val="0000FF"/>
        </w:rPr>
      </w:pPr>
      <w:r w:rsidRPr="00693A57">
        <w:rPr>
          <w:color w:val="0000FF"/>
        </w:rPr>
        <w:tab/>
        <w:t>(b)</w:t>
      </w:r>
      <w:r w:rsidRPr="00693A57">
        <w:rPr>
          <w:color w:val="0000FF"/>
        </w:rPr>
        <w:tab/>
        <w:t xml:space="preserve">the use and management of data by each </w:t>
      </w:r>
      <w:r w:rsidR="00182338" w:rsidRPr="00693A57">
        <w:rPr>
          <w:color w:val="0000FF"/>
        </w:rPr>
        <w:t>CDR representative</w:t>
      </w:r>
      <w:r w:rsidRPr="00693A57">
        <w:rPr>
          <w:color w:val="0000FF"/>
        </w:rPr>
        <w:t>; and</w:t>
      </w:r>
    </w:p>
    <w:p w14:paraId="3D431002" w14:textId="32CF61ED" w:rsidR="003B4F1E" w:rsidRPr="00693A57" w:rsidRDefault="003B4F1E" w:rsidP="003B4F1E">
      <w:pPr>
        <w:pStyle w:val="paragraph"/>
        <w:rPr>
          <w:color w:val="0000FF"/>
        </w:rPr>
      </w:pPr>
      <w:r w:rsidRPr="00693A57">
        <w:rPr>
          <w:color w:val="0000FF"/>
        </w:rPr>
        <w:tab/>
        <w:t>(c)</w:t>
      </w:r>
      <w:r w:rsidRPr="00693A57">
        <w:rPr>
          <w:color w:val="0000FF"/>
        </w:rPr>
        <w:tab/>
        <w:t xml:space="preserve">steps taken to ensure that any </w:t>
      </w:r>
      <w:r w:rsidR="00182338" w:rsidRPr="00693A57">
        <w:rPr>
          <w:color w:val="0000FF"/>
        </w:rPr>
        <w:t>CDR representative</w:t>
      </w:r>
      <w:r w:rsidRPr="00693A57">
        <w:rPr>
          <w:color w:val="0000FF"/>
        </w:rPr>
        <w:t>s comply with their requirements under the arrangements.</w:t>
      </w:r>
    </w:p>
    <w:p w14:paraId="50C9E87A" w14:textId="77777777" w:rsidR="003B4F1E" w:rsidRPr="00693A57" w:rsidRDefault="003B4F1E" w:rsidP="003B4F1E">
      <w:pPr>
        <w:pStyle w:val="notetext"/>
        <w:rPr>
          <w:color w:val="0000FF"/>
        </w:rPr>
      </w:pPr>
      <w:r w:rsidRPr="00693A57">
        <w:rPr>
          <w:color w:val="0000FF"/>
        </w:rPr>
        <w:t>Note:</w:t>
      </w:r>
      <w:r w:rsidRPr="00693A57">
        <w:rPr>
          <w:color w:val="0000FF"/>
        </w:rPr>
        <w:tab/>
        <w:t>This rule is a civil penalty provision (see rule 9.8).</w:t>
      </w:r>
    </w:p>
    <w:p w14:paraId="04FE0188" w14:textId="77777777" w:rsidR="007F0E09" w:rsidRPr="00693A57" w:rsidRDefault="007F0E09" w:rsidP="007F0E09">
      <w:pPr>
        <w:pStyle w:val="notetext"/>
        <w:rPr>
          <w:color w:val="0000FF"/>
        </w:rPr>
      </w:pPr>
    </w:p>
    <w:p w14:paraId="183D3279" w14:textId="77777777" w:rsidR="00CF0E3D" w:rsidRPr="00360E15" w:rsidRDefault="00CF0E3D" w:rsidP="00CF0E3D">
      <w:pPr>
        <w:pStyle w:val="ActHead4"/>
        <w:pageBreakBefore/>
      </w:pPr>
      <w:bookmarkStart w:id="60" w:name="_Toc77064841"/>
      <w:r>
        <w:lastRenderedPageBreak/>
        <w:t>Subdivision 1.4.5</w:t>
      </w:r>
      <w:r w:rsidRPr="00360E15">
        <w:t>—D</w:t>
      </w:r>
      <w:r w:rsidRPr="00E53912">
        <w:rPr>
          <w:color w:val="000000" w:themeColor="text1"/>
        </w:rPr>
        <w:t>eletion and d</w:t>
      </w:r>
      <w:r w:rsidRPr="00360E15">
        <w:t>e</w:t>
      </w:r>
      <w:r w:rsidRPr="00360E15">
        <w:noBreakHyphen/>
        <w:t>identification of CDR data</w:t>
      </w:r>
      <w:bookmarkEnd w:id="60"/>
    </w:p>
    <w:p w14:paraId="7EC611B6" w14:textId="77777777" w:rsidR="00CF0E3D" w:rsidRDefault="00CF0E3D" w:rsidP="00CF0E3D">
      <w:pPr>
        <w:pStyle w:val="ActHead5"/>
      </w:pPr>
      <w:bookmarkStart w:id="61" w:name="_Toc77064842"/>
      <w:r>
        <w:t>1.17</w:t>
      </w:r>
      <w:r w:rsidRPr="00360E15">
        <w:t xml:space="preserve">  CDR </w:t>
      </w:r>
      <w:r w:rsidRPr="00E53912">
        <w:rPr>
          <w:color w:val="000000" w:themeColor="text1"/>
        </w:rPr>
        <w:t xml:space="preserve">data </w:t>
      </w:r>
      <w:r w:rsidRPr="00360E15">
        <w:t>de</w:t>
      </w:r>
      <w:r w:rsidRPr="00360E15">
        <w:noBreakHyphen/>
        <w:t>identification process</w:t>
      </w:r>
      <w:bookmarkEnd w:id="61"/>
    </w:p>
    <w:p w14:paraId="0FA27772" w14:textId="77777777" w:rsidR="00CF0E3D" w:rsidRPr="00F90A37" w:rsidRDefault="00CF0E3D" w:rsidP="00CF0E3D">
      <w:pPr>
        <w:pStyle w:val="subsection"/>
      </w:pPr>
      <w:r w:rsidRPr="00360E15">
        <w:tab/>
      </w:r>
      <w:r>
        <w:t>(1)</w:t>
      </w:r>
      <w:r w:rsidRPr="00360E15">
        <w:tab/>
        <w:t xml:space="preserve">This rule sets out the </w:t>
      </w:r>
      <w:r w:rsidRPr="00360E15">
        <w:rPr>
          <w:b/>
          <w:i/>
        </w:rPr>
        <w:t xml:space="preserve">CDR </w:t>
      </w:r>
      <w:r w:rsidRPr="00E53912">
        <w:rPr>
          <w:b/>
          <w:i/>
          <w:color w:val="000000" w:themeColor="text1"/>
        </w:rPr>
        <w:t>data</w:t>
      </w:r>
      <w:r>
        <w:rPr>
          <w:b/>
          <w:i/>
        </w:rPr>
        <w:t xml:space="preserve"> </w:t>
      </w:r>
      <w:r w:rsidRPr="00360E15">
        <w:rPr>
          <w:b/>
          <w:i/>
        </w:rPr>
        <w:t>de</w:t>
      </w:r>
      <w:r w:rsidRPr="00360E15">
        <w:rPr>
          <w:b/>
          <w:i/>
        </w:rPr>
        <w:noBreakHyphen/>
        <w:t>identification process</w:t>
      </w:r>
      <w:r>
        <w:rPr>
          <w:b/>
          <w:i/>
        </w:rPr>
        <w:t xml:space="preserve"> </w:t>
      </w:r>
      <w:r w:rsidRPr="006D5CA7">
        <w:rPr>
          <w:color w:val="000000" w:themeColor="text1"/>
        </w:rPr>
        <w:t xml:space="preserve">for particular CDR data (the </w:t>
      </w:r>
      <w:r w:rsidRPr="00F90A37">
        <w:rPr>
          <w:b/>
          <w:i/>
        </w:rPr>
        <w:t>relevant</w:t>
      </w:r>
      <w:r w:rsidRPr="00F90A37">
        <w:t xml:space="preserve"> </w:t>
      </w:r>
      <w:r w:rsidRPr="00F90A37">
        <w:rPr>
          <w:b/>
          <w:i/>
        </w:rPr>
        <w:t>data</w:t>
      </w:r>
      <w:r w:rsidRPr="00F90A37">
        <w:t>).</w:t>
      </w:r>
    </w:p>
    <w:p w14:paraId="66CCFB7F" w14:textId="77777777" w:rsidR="00CF0E3D" w:rsidRPr="00F90A37" w:rsidRDefault="00CF0E3D" w:rsidP="00CF0E3D">
      <w:pPr>
        <w:pStyle w:val="notetext"/>
      </w:pPr>
      <w:r w:rsidRPr="00F90A37">
        <w:t>Note:</w:t>
      </w:r>
      <w:r w:rsidRPr="00F90A37">
        <w:tab/>
        <w:t>This process is applied by an accredited data recipient when de</w:t>
      </w:r>
      <w:r w:rsidRPr="00F90A37">
        <w:noBreakHyphen/>
        <w:t xml:space="preserve">identifying CDR data in accordance with a consent from a CDR consumer (see </w:t>
      </w:r>
      <w:r>
        <w:t>Subdivision 4.3.3</w:t>
      </w:r>
      <w:r w:rsidRPr="00F90A37">
        <w:t>) and when de</w:t>
      </w:r>
      <w:r w:rsidRPr="00F90A37">
        <w:noBreakHyphen/>
        <w:t>identifying redundant data for the purposes of privacy safeguard 12 (see rule </w:t>
      </w:r>
      <w:r>
        <w:t>7.12</w:t>
      </w:r>
      <w:r w:rsidRPr="00F90A37">
        <w:t>).</w:t>
      </w:r>
    </w:p>
    <w:p w14:paraId="60D921FC" w14:textId="77777777" w:rsidR="00CF0E3D" w:rsidRPr="00F90A37" w:rsidRDefault="00CF0E3D" w:rsidP="00CF0E3D">
      <w:pPr>
        <w:pStyle w:val="subsection"/>
      </w:pPr>
      <w:r w:rsidRPr="00F90A37">
        <w:tab/>
      </w:r>
      <w:r>
        <w:t>(2)</w:t>
      </w:r>
      <w:r w:rsidRPr="00F90A37">
        <w:tab/>
        <w:t>First, the accredited data recipient must consider whether, having regard to the following:</w:t>
      </w:r>
    </w:p>
    <w:p w14:paraId="04F99B24" w14:textId="77777777" w:rsidR="00CF0E3D" w:rsidRPr="00F90A37" w:rsidRDefault="00CF0E3D" w:rsidP="00CF0E3D">
      <w:pPr>
        <w:pStyle w:val="paragraph"/>
      </w:pPr>
      <w:r w:rsidRPr="00F90A37">
        <w:tab/>
      </w:r>
      <w:r>
        <w:t>(a)</w:t>
      </w:r>
      <w:r w:rsidRPr="00F90A37">
        <w:tab/>
        <w:t>the DDF;</w:t>
      </w:r>
    </w:p>
    <w:p w14:paraId="76C15857" w14:textId="77777777" w:rsidR="00CF0E3D" w:rsidRPr="00F90A37" w:rsidRDefault="00CF0E3D" w:rsidP="00CF0E3D">
      <w:pPr>
        <w:pStyle w:val="paragraph"/>
      </w:pPr>
      <w:r w:rsidRPr="00F90A37">
        <w:tab/>
      </w:r>
      <w:r>
        <w:t>(b)</w:t>
      </w:r>
      <w:r w:rsidRPr="00F90A37">
        <w:tab/>
        <w:t>the techniques that are available for de</w:t>
      </w:r>
      <w:r w:rsidRPr="00F90A37">
        <w:noBreakHyphen/>
        <w:t>identification of data;</w:t>
      </w:r>
    </w:p>
    <w:p w14:paraId="7266FE82" w14:textId="77777777" w:rsidR="00CF0E3D" w:rsidRPr="00F90A37" w:rsidRDefault="00CF0E3D" w:rsidP="00CF0E3D">
      <w:pPr>
        <w:pStyle w:val="paragraph"/>
      </w:pPr>
      <w:r w:rsidRPr="00F90A37">
        <w:tab/>
      </w:r>
      <w:r>
        <w:t>(c)</w:t>
      </w:r>
      <w:r w:rsidRPr="00F90A37">
        <w:tab/>
        <w:t>the extent to which it would be technically possible for any person to be once more identifiable, or reasonably identifiable, after de</w:t>
      </w:r>
      <w:r w:rsidRPr="00F90A37">
        <w:noBreakHyphen/>
        <w:t>identifi</w:t>
      </w:r>
      <w:r>
        <w:t>c</w:t>
      </w:r>
      <w:r w:rsidRPr="00F90A37">
        <w:t>ation in accordance with such techniques;</w:t>
      </w:r>
    </w:p>
    <w:p w14:paraId="743EB9A2" w14:textId="77777777" w:rsidR="00CF0E3D" w:rsidRPr="00CD0FA5" w:rsidRDefault="00CF0E3D" w:rsidP="00CF0E3D">
      <w:pPr>
        <w:pStyle w:val="paragraph"/>
      </w:pPr>
      <w:r w:rsidRPr="00CD0FA5">
        <w:tab/>
      </w:r>
      <w:r>
        <w:t>(d)</w:t>
      </w:r>
      <w:r w:rsidRPr="00CD0FA5">
        <w:tab/>
        <w:t>the likelihood (if any) of any person once more becoming so identifiable, or reasonably identifiable from the data after de</w:t>
      </w:r>
      <w:r w:rsidRPr="00CD0FA5">
        <w:noBreakHyphen/>
        <w:t>identification;</w:t>
      </w:r>
    </w:p>
    <w:p w14:paraId="25647829" w14:textId="77777777" w:rsidR="00CF0E3D" w:rsidRPr="00F90A37" w:rsidRDefault="00CF0E3D" w:rsidP="00CF0E3D">
      <w:pPr>
        <w:pStyle w:val="subsection"/>
        <w:spacing w:before="40"/>
      </w:pPr>
      <w:r w:rsidRPr="00F90A37">
        <w:tab/>
      </w:r>
      <w:r w:rsidRPr="00F90A37">
        <w:tab/>
        <w:t>it would be possible to de</w:t>
      </w:r>
      <w:r w:rsidRPr="00F90A37">
        <w:noBreakHyphen/>
        <w:t xml:space="preserve">identify the relevant data </w:t>
      </w:r>
      <w:r w:rsidRPr="00F949C1">
        <w:t xml:space="preserve">to the extent (the </w:t>
      </w:r>
      <w:r w:rsidRPr="0023590D">
        <w:rPr>
          <w:b/>
          <w:i/>
        </w:rPr>
        <w:t xml:space="preserve">required </w:t>
      </w:r>
      <w:r w:rsidRPr="00F949C1">
        <w:rPr>
          <w:b/>
          <w:i/>
        </w:rPr>
        <w:t>extent</w:t>
      </w:r>
      <w:r w:rsidRPr="00F949C1">
        <w:t xml:space="preserve">) </w:t>
      </w:r>
      <w:r w:rsidRPr="00F90A37">
        <w:t>that no person would any longer be identifiable, or reasonably identifiable, from:</w:t>
      </w:r>
    </w:p>
    <w:p w14:paraId="1A627D8F" w14:textId="77777777" w:rsidR="00CF0E3D" w:rsidRPr="009C222D" w:rsidRDefault="00CF0E3D" w:rsidP="00CF0E3D">
      <w:pPr>
        <w:pStyle w:val="paragraph"/>
        <w:rPr>
          <w:color w:val="000000" w:themeColor="text1"/>
        </w:rPr>
      </w:pPr>
      <w:r w:rsidRPr="00F90A37">
        <w:tab/>
      </w:r>
      <w:r>
        <w:t>(e)</w:t>
      </w:r>
      <w:r w:rsidRPr="00F90A37">
        <w:tab/>
        <w:t xml:space="preserve">the </w:t>
      </w:r>
      <w:r>
        <w:t xml:space="preserve">relevant </w:t>
      </w:r>
      <w:r w:rsidRPr="00F90A37">
        <w:t>data after the proposed de</w:t>
      </w:r>
      <w:r w:rsidRPr="00F90A37">
        <w:noBreakHyphen/>
        <w:t>identification;</w:t>
      </w:r>
      <w:r>
        <w:t xml:space="preserve"> </w:t>
      </w:r>
      <w:r w:rsidRPr="0018564F">
        <w:t>and</w:t>
      </w:r>
    </w:p>
    <w:p w14:paraId="4F77A76C" w14:textId="77777777" w:rsidR="00CF0E3D" w:rsidRDefault="00CF0E3D" w:rsidP="00CF0E3D">
      <w:pPr>
        <w:pStyle w:val="paragraph"/>
        <w:rPr>
          <w:color w:val="000000" w:themeColor="text1"/>
        </w:rPr>
      </w:pPr>
      <w:r w:rsidRPr="006D5CA7">
        <w:rPr>
          <w:color w:val="000000" w:themeColor="text1"/>
        </w:rPr>
        <w:tab/>
      </w:r>
      <w:r>
        <w:rPr>
          <w:color w:val="000000" w:themeColor="text1"/>
        </w:rPr>
        <w:t>(f)</w:t>
      </w:r>
      <w:r w:rsidRPr="006D5CA7">
        <w:rPr>
          <w:color w:val="000000" w:themeColor="text1"/>
        </w:rPr>
        <w:tab/>
        <w:t>other information that would be held, following the completion of the de</w:t>
      </w:r>
      <w:r w:rsidRPr="006D5CA7">
        <w:rPr>
          <w:color w:val="000000" w:themeColor="text1"/>
        </w:rPr>
        <w:noBreakHyphen/>
        <w:t>identification process, by any person.</w:t>
      </w:r>
    </w:p>
    <w:p w14:paraId="3C5EB739"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(3)</w:t>
      </w:r>
      <w:r w:rsidRPr="00464C22">
        <w:rPr>
          <w:color w:val="000000" w:themeColor="text1"/>
        </w:rPr>
        <w:tab/>
        <w:t>If this is possible, the accredited data recipient must:</w:t>
      </w:r>
    </w:p>
    <w:p w14:paraId="18A7C925"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determine the technique that is appropriate in the circumstances to de</w:t>
      </w:r>
      <w:r w:rsidRPr="00464C22">
        <w:rPr>
          <w:color w:val="000000" w:themeColor="text1"/>
        </w:rPr>
        <w:noBreakHyphen/>
        <w:t xml:space="preserve">identify the </w:t>
      </w:r>
      <w:r>
        <w:rPr>
          <w:color w:val="000000" w:themeColor="text1"/>
        </w:rPr>
        <w:t>relevant</w:t>
      </w:r>
      <w:r w:rsidRPr="00464C22">
        <w:rPr>
          <w:color w:val="000000" w:themeColor="text1"/>
        </w:rPr>
        <w:t xml:space="preserve"> data to </w:t>
      </w:r>
      <w:r w:rsidRPr="001451ED">
        <w:t xml:space="preserve">the </w:t>
      </w:r>
      <w:r w:rsidRPr="0023590D">
        <w:t xml:space="preserve">required </w:t>
      </w:r>
      <w:r w:rsidRPr="00464C22">
        <w:rPr>
          <w:color w:val="000000" w:themeColor="text1"/>
        </w:rPr>
        <w:t>extent; and</w:t>
      </w:r>
    </w:p>
    <w:p w14:paraId="77DC5632"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apply that technique to de</w:t>
      </w:r>
      <w:r w:rsidRPr="00464C22">
        <w:rPr>
          <w:color w:val="000000" w:themeColor="text1"/>
        </w:rPr>
        <w:noBreakHyphen/>
        <w:t xml:space="preserve">identify the </w:t>
      </w:r>
      <w:r>
        <w:rPr>
          <w:color w:val="000000" w:themeColor="text1"/>
        </w:rPr>
        <w:t>relevant</w:t>
      </w:r>
      <w:r w:rsidRPr="00464C22">
        <w:rPr>
          <w:color w:val="000000" w:themeColor="text1"/>
        </w:rPr>
        <w:t xml:space="preserve"> data to </w:t>
      </w:r>
      <w:r w:rsidRPr="001451ED">
        <w:t xml:space="preserve">the </w:t>
      </w:r>
      <w:r w:rsidRPr="0023590D">
        <w:t xml:space="preserve">required </w:t>
      </w:r>
      <w:r w:rsidRPr="00464C22">
        <w:rPr>
          <w:color w:val="000000" w:themeColor="text1"/>
        </w:rPr>
        <w:t>extent; and</w:t>
      </w:r>
    </w:p>
    <w:p w14:paraId="5AE3C07C" w14:textId="77777777" w:rsidR="00CF0E3D" w:rsidRDefault="00CF0E3D" w:rsidP="00CF0E3D">
      <w:pPr>
        <w:pStyle w:val="paragraph"/>
        <w:rPr>
          <w:color w:val="000000" w:themeColor="text1"/>
        </w:rPr>
      </w:pPr>
      <w:r w:rsidRPr="00464C22">
        <w:rPr>
          <w:color w:val="000000" w:themeColor="text1"/>
        </w:rPr>
        <w:tab/>
      </w:r>
      <w:r>
        <w:rPr>
          <w:color w:val="000000" w:themeColor="text1"/>
        </w:rPr>
        <w:t>(c)</w:t>
      </w:r>
      <w:r w:rsidRPr="00464C22">
        <w:rPr>
          <w:color w:val="000000" w:themeColor="text1"/>
        </w:rPr>
        <w:tab/>
        <w:t>delete</w:t>
      </w:r>
      <w:r w:rsidRPr="006D5CA7">
        <w:rPr>
          <w:color w:val="000000" w:themeColor="text1"/>
        </w:rPr>
        <w:t>, in accordance with the CDR data deletion process,</w:t>
      </w:r>
      <w:r w:rsidRPr="00464C22">
        <w:rPr>
          <w:color w:val="000000" w:themeColor="text1"/>
        </w:rPr>
        <w:t xml:space="preserve"> any CDR data that must be deleted in order to ensure that</w:t>
      </w:r>
      <w:r>
        <w:rPr>
          <w:color w:val="000000" w:themeColor="text1"/>
        </w:rPr>
        <w:t xml:space="preserve"> </w:t>
      </w:r>
      <w:r w:rsidRPr="006D5CA7">
        <w:rPr>
          <w:color w:val="000000" w:themeColor="text1"/>
        </w:rPr>
        <w:t xml:space="preserve">no person is any longer identifiable, or reasonably identifiable, from the information referred to in </w:t>
      </w:r>
      <w:r>
        <w:rPr>
          <w:color w:val="000000" w:themeColor="text1"/>
        </w:rPr>
        <w:t>paragraphs (2)(e) and (f)</w:t>
      </w:r>
      <w:r w:rsidRPr="00464C22">
        <w:rPr>
          <w:color w:val="000000" w:themeColor="text1"/>
        </w:rPr>
        <w:t>; and</w:t>
      </w:r>
    </w:p>
    <w:p w14:paraId="6E5C4CDB"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(d)</w:t>
      </w:r>
      <w:r w:rsidRPr="00464C22">
        <w:rPr>
          <w:color w:val="000000" w:themeColor="text1"/>
        </w:rPr>
        <w:tab/>
      </w:r>
      <w:r>
        <w:rPr>
          <w:color w:val="000000" w:themeColor="text1"/>
        </w:rPr>
        <w:t xml:space="preserve">as soon as practicable, </w:t>
      </w:r>
      <w:r w:rsidRPr="00464C22">
        <w:rPr>
          <w:color w:val="000000" w:themeColor="text1"/>
        </w:rPr>
        <w:t>make a record to evidence the following:</w:t>
      </w:r>
    </w:p>
    <w:p w14:paraId="65FD5868" w14:textId="77777777" w:rsidR="00CF0E3D" w:rsidRPr="00464C22" w:rsidRDefault="00CF0E3D" w:rsidP="00CF0E3D">
      <w:pPr>
        <w:pStyle w:val="paragraphsub"/>
        <w:rPr>
          <w:color w:val="000000" w:themeColor="text1"/>
        </w:rPr>
      </w:pPr>
      <w:r w:rsidRPr="00464C22">
        <w:rPr>
          <w:color w:val="000000" w:themeColor="text1"/>
        </w:rPr>
        <w:tab/>
      </w:r>
      <w:r>
        <w:rPr>
          <w:color w:val="000000" w:themeColor="text1"/>
        </w:rPr>
        <w:t>(i)</w:t>
      </w:r>
      <w:r w:rsidRPr="00464C22">
        <w:rPr>
          <w:color w:val="000000" w:themeColor="text1"/>
        </w:rPr>
        <w:tab/>
        <w:t>its assessment that it is possible to de</w:t>
      </w:r>
      <w:r w:rsidRPr="00464C22">
        <w:rPr>
          <w:color w:val="000000" w:themeColor="text1"/>
        </w:rPr>
        <w:noBreakHyphen/>
        <w:t xml:space="preserve">identify the </w:t>
      </w:r>
      <w:r>
        <w:rPr>
          <w:color w:val="000000" w:themeColor="text1"/>
        </w:rPr>
        <w:t xml:space="preserve">relevant </w:t>
      </w:r>
      <w:r w:rsidRPr="00464C22">
        <w:rPr>
          <w:color w:val="000000" w:themeColor="text1"/>
        </w:rPr>
        <w:t xml:space="preserve">data to the </w:t>
      </w:r>
      <w:r w:rsidRPr="0023590D">
        <w:t xml:space="preserve">required </w:t>
      </w:r>
      <w:r w:rsidRPr="00464C22">
        <w:rPr>
          <w:color w:val="000000" w:themeColor="text1"/>
        </w:rPr>
        <w:t>extent;</w:t>
      </w:r>
    </w:p>
    <w:p w14:paraId="43356885" w14:textId="77777777" w:rsidR="00CF0E3D" w:rsidRPr="00464C22" w:rsidRDefault="00CF0E3D" w:rsidP="00CF0E3D">
      <w:pPr>
        <w:pStyle w:val="paragraphsub"/>
        <w:rPr>
          <w:color w:val="000000" w:themeColor="text1"/>
        </w:rPr>
      </w:pPr>
      <w:r w:rsidRPr="00464C22">
        <w:rPr>
          <w:color w:val="000000" w:themeColor="text1"/>
        </w:rPr>
        <w:tab/>
      </w:r>
      <w:r>
        <w:rPr>
          <w:color w:val="000000" w:themeColor="text1"/>
        </w:rPr>
        <w:t>(ii)</w:t>
      </w:r>
      <w:r w:rsidRPr="00464C22">
        <w:rPr>
          <w:color w:val="000000" w:themeColor="text1"/>
        </w:rPr>
        <w:tab/>
        <w:t xml:space="preserve">that the </w:t>
      </w:r>
      <w:r>
        <w:rPr>
          <w:color w:val="000000" w:themeColor="text1"/>
        </w:rPr>
        <w:t xml:space="preserve">relevant </w:t>
      </w:r>
      <w:r w:rsidRPr="00464C22">
        <w:rPr>
          <w:color w:val="000000" w:themeColor="text1"/>
        </w:rPr>
        <w:t>data was de</w:t>
      </w:r>
      <w:r w:rsidRPr="00464C22">
        <w:rPr>
          <w:color w:val="000000" w:themeColor="text1"/>
        </w:rPr>
        <w:noBreakHyphen/>
        <w:t>identified to that extent;</w:t>
      </w:r>
    </w:p>
    <w:p w14:paraId="72F78EE1" w14:textId="77777777" w:rsidR="00CF0E3D" w:rsidRDefault="00CF0E3D" w:rsidP="00CF0E3D">
      <w:pPr>
        <w:pStyle w:val="paragraphsub"/>
        <w:rPr>
          <w:color w:val="000000" w:themeColor="text1"/>
        </w:rPr>
      </w:pPr>
      <w:r w:rsidRPr="00464C22">
        <w:rPr>
          <w:color w:val="000000" w:themeColor="text1"/>
        </w:rPr>
        <w:tab/>
      </w:r>
      <w:r>
        <w:rPr>
          <w:color w:val="000000" w:themeColor="text1"/>
        </w:rPr>
        <w:t>(iii)</w:t>
      </w:r>
      <w:r w:rsidRPr="00464C22">
        <w:rPr>
          <w:color w:val="000000" w:themeColor="text1"/>
        </w:rPr>
        <w:tab/>
        <w:t xml:space="preserve">how the </w:t>
      </w:r>
      <w:r>
        <w:rPr>
          <w:color w:val="000000" w:themeColor="text1"/>
        </w:rPr>
        <w:t xml:space="preserve">relevant </w:t>
      </w:r>
      <w:r w:rsidRPr="00464C22">
        <w:rPr>
          <w:color w:val="000000" w:themeColor="text1"/>
        </w:rPr>
        <w:t>data was de</w:t>
      </w:r>
      <w:r w:rsidRPr="00464C22">
        <w:rPr>
          <w:color w:val="000000" w:themeColor="text1"/>
        </w:rPr>
        <w:noBreakHyphen/>
        <w:t>identified, including records of the technique that was used;</w:t>
      </w:r>
    </w:p>
    <w:p w14:paraId="1E314267" w14:textId="77777777" w:rsidR="00CF0E3D" w:rsidRPr="00FA14C2" w:rsidRDefault="00CF0E3D" w:rsidP="00CF0E3D">
      <w:pPr>
        <w:pStyle w:val="paragraphsub"/>
      </w:pPr>
      <w:r w:rsidRPr="00FA14C2">
        <w:tab/>
      </w:r>
      <w:r>
        <w:t>(iv)</w:t>
      </w:r>
      <w:r w:rsidRPr="00FA14C2">
        <w:tab/>
      </w:r>
      <w:r w:rsidRPr="00464C22">
        <w:rPr>
          <w:color w:val="000000" w:themeColor="text1"/>
        </w:rPr>
        <w:t>any persons to whom the de</w:t>
      </w:r>
      <w:r w:rsidRPr="00464C22">
        <w:rPr>
          <w:color w:val="000000" w:themeColor="text1"/>
        </w:rPr>
        <w:noBreakHyphen/>
        <w:t>identified data is disclosed</w:t>
      </w:r>
      <w:r w:rsidRPr="00FA14C2">
        <w:t>.</w:t>
      </w:r>
    </w:p>
    <w:p w14:paraId="62CD3C36" w14:textId="77777777" w:rsidR="00CF0E3D" w:rsidRPr="003844C5" w:rsidRDefault="00CF0E3D" w:rsidP="00CF0E3D">
      <w:pPr>
        <w:pStyle w:val="subsection"/>
      </w:pPr>
      <w:r w:rsidRPr="003844C5">
        <w:tab/>
      </w:r>
      <w:r>
        <w:t>(4)</w:t>
      </w:r>
      <w:r w:rsidRPr="003844C5">
        <w:tab/>
        <w:t xml:space="preserve">If this is not possible, the accredited data recipient must delete the relevant data and any CDR data </w:t>
      </w:r>
      <w:r w:rsidRPr="0023590D">
        <w:t xml:space="preserve">directly or indirectly </w:t>
      </w:r>
      <w:r w:rsidRPr="003844C5">
        <w:t>derived from it in accordance with the CDR data deletion process.</w:t>
      </w:r>
    </w:p>
    <w:p w14:paraId="768BD8CD" w14:textId="77777777" w:rsidR="00CF0E3D" w:rsidRPr="003844C5" w:rsidRDefault="00CF0E3D" w:rsidP="00CF0E3D">
      <w:pPr>
        <w:pStyle w:val="notetext"/>
      </w:pPr>
      <w:r w:rsidRPr="003844C5">
        <w:lastRenderedPageBreak/>
        <w:t>Note:</w:t>
      </w:r>
      <w:r w:rsidRPr="003844C5">
        <w:tab/>
        <w:t>For the CDR data deletion process, see rule </w:t>
      </w:r>
      <w:r>
        <w:t>1.18</w:t>
      </w:r>
      <w:r w:rsidRPr="003844C5">
        <w:t>.</w:t>
      </w:r>
    </w:p>
    <w:p w14:paraId="6E0933F8"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(5)</w:t>
      </w:r>
      <w:r w:rsidRPr="00464C22">
        <w:rPr>
          <w:color w:val="000000" w:themeColor="text1"/>
        </w:rPr>
        <w:tab/>
        <w:t xml:space="preserve">For this rule, the </w:t>
      </w:r>
      <w:r w:rsidRPr="00464C22">
        <w:rPr>
          <w:b/>
          <w:i/>
          <w:color w:val="000000" w:themeColor="text1"/>
        </w:rPr>
        <w:t xml:space="preserve">DDF </w:t>
      </w:r>
      <w:r w:rsidRPr="00464C22">
        <w:rPr>
          <w:color w:val="000000" w:themeColor="text1"/>
        </w:rPr>
        <w:t xml:space="preserve">is </w:t>
      </w:r>
      <w:r w:rsidRPr="00464C22">
        <w:rPr>
          <w:i/>
          <w:color w:val="000000" w:themeColor="text1"/>
        </w:rPr>
        <w:t>The De</w:t>
      </w:r>
      <w:r w:rsidRPr="00464C22">
        <w:rPr>
          <w:i/>
          <w:color w:val="000000" w:themeColor="text1"/>
        </w:rPr>
        <w:noBreakHyphen/>
        <w:t>Identification Decision</w:t>
      </w:r>
      <w:r w:rsidRPr="00464C22">
        <w:rPr>
          <w:i/>
          <w:color w:val="000000" w:themeColor="text1"/>
        </w:rPr>
        <w:noBreakHyphen/>
        <w:t xml:space="preserve">Making Framework </w:t>
      </w:r>
      <w:r w:rsidRPr="00464C22">
        <w:rPr>
          <w:color w:val="000000" w:themeColor="text1"/>
        </w:rPr>
        <w:t xml:space="preserve">published by the Office of the Information </w:t>
      </w:r>
      <w:r w:rsidRPr="00814B1D">
        <w:t>Commissioner</w:t>
      </w:r>
      <w:r w:rsidRPr="00464C22">
        <w:rPr>
          <w:color w:val="000000" w:themeColor="text1"/>
        </w:rPr>
        <w:t xml:space="preserve"> and Data61, as in force from time to time.</w:t>
      </w:r>
    </w:p>
    <w:p w14:paraId="721BA8E7" w14:textId="77777777" w:rsidR="00CF0E3D" w:rsidRDefault="00CF0E3D" w:rsidP="00CF0E3D">
      <w:pPr>
        <w:pStyle w:val="notetext"/>
      </w:pPr>
      <w:r w:rsidRPr="00464C22">
        <w:rPr>
          <w:color w:val="000000" w:themeColor="text1"/>
        </w:rPr>
        <w:t>Note:</w:t>
      </w:r>
      <w:r w:rsidRPr="00464C22">
        <w:rPr>
          <w:color w:val="000000" w:themeColor="text1"/>
        </w:rPr>
        <w:tab/>
        <w:t xml:space="preserve">The </w:t>
      </w:r>
      <w:r w:rsidRPr="00464C22">
        <w:rPr>
          <w:i/>
          <w:color w:val="000000" w:themeColor="text1"/>
        </w:rPr>
        <w:t>De-Identification Decision-Making Framework</w:t>
      </w:r>
      <w:r w:rsidRPr="00464C22">
        <w:rPr>
          <w:color w:val="000000" w:themeColor="text1"/>
        </w:rPr>
        <w:t xml:space="preserve"> </w:t>
      </w:r>
      <w:r w:rsidRPr="00360E15">
        <w:t xml:space="preserve">could in </w:t>
      </w:r>
      <w:r>
        <w:t xml:space="preserve">2020 </w:t>
      </w:r>
      <w:r w:rsidRPr="00360E15">
        <w:t>be downloaded from Data61’s website (https://www.data61.csiro.au/).</w:t>
      </w:r>
    </w:p>
    <w:p w14:paraId="2A2B90D8" w14:textId="77777777" w:rsidR="00CF0E3D" w:rsidRDefault="00CF0E3D" w:rsidP="00CF0E3D">
      <w:pPr>
        <w:pStyle w:val="ActHead5"/>
      </w:pPr>
      <w:bookmarkStart w:id="62" w:name="_Toc77064843"/>
      <w:r>
        <w:t>1.17A  Identification of otherwise redundant data that is not to be deleted</w:t>
      </w:r>
      <w:bookmarkEnd w:id="62"/>
    </w:p>
    <w:p w14:paraId="646069BC" w14:textId="77777777" w:rsidR="00CF0E3D" w:rsidRDefault="00CF0E3D" w:rsidP="00CF0E3D">
      <w:pPr>
        <w:pStyle w:val="subsection"/>
      </w:pPr>
      <w:r>
        <w:tab/>
        <w:t>(1)</w:t>
      </w:r>
      <w:r>
        <w:tab/>
        <w:t>Where the accredited data recipient has identified CDR data as redundant, it must identify whether any of the following provisions of the Act apply to the CDR data:</w:t>
      </w:r>
    </w:p>
    <w:p w14:paraId="61C54522" w14:textId="77777777" w:rsidR="00CF0E3D" w:rsidRDefault="00CF0E3D" w:rsidP="00CF0E3D">
      <w:pPr>
        <w:pStyle w:val="paragraph"/>
      </w:pPr>
      <w:r>
        <w:tab/>
        <w:t>(a)</w:t>
      </w:r>
      <w:r>
        <w:tab/>
        <w:t>paragraphs 56BAA(2)(a), (b) or (c) of the Act (deletion request by consumer);</w:t>
      </w:r>
    </w:p>
    <w:p w14:paraId="67FA2282" w14:textId="77777777" w:rsidR="00CF0E3D" w:rsidRDefault="00CF0E3D" w:rsidP="00CF0E3D">
      <w:pPr>
        <w:pStyle w:val="paragraph"/>
      </w:pPr>
      <w:r>
        <w:tab/>
        <w:t>(b)</w:t>
      </w:r>
      <w:r>
        <w:tab/>
        <w:t>paragraphs 56EO(2)(b) or (c) of the Act (privacy safeguard 12).</w:t>
      </w:r>
    </w:p>
    <w:p w14:paraId="020ACA6B" w14:textId="77777777" w:rsidR="00CF0E3D" w:rsidRDefault="00CF0E3D" w:rsidP="00CF0E3D">
      <w:pPr>
        <w:pStyle w:val="subsection"/>
      </w:pPr>
      <w:r>
        <w:tab/>
        <w:t>(2)</w:t>
      </w:r>
      <w:r>
        <w:tab/>
        <w:t>Where one of those provisions applies, the accredited person must retain the CDR data while that provision applies.</w:t>
      </w:r>
    </w:p>
    <w:p w14:paraId="730421A4" w14:textId="77777777" w:rsidR="00CF0E3D" w:rsidRDefault="00CF0E3D" w:rsidP="00CF0E3D">
      <w:pPr>
        <w:pStyle w:val="subsection"/>
      </w:pPr>
      <w:r>
        <w:tab/>
        <w:t>(3)</w:t>
      </w:r>
      <w:r>
        <w:tab/>
        <w:t>For the purposes of paragraph 56BAA(2)(c) of the Act, in relation to CDR data of a CDR consumer, the person may:</w:t>
      </w:r>
    </w:p>
    <w:p w14:paraId="008B8852" w14:textId="77777777" w:rsidR="00CF0E3D" w:rsidRDefault="00CF0E3D" w:rsidP="00CF0E3D">
      <w:pPr>
        <w:pStyle w:val="paragraph"/>
      </w:pPr>
      <w:r>
        <w:tab/>
        <w:t>(a)</w:t>
      </w:r>
      <w:r>
        <w:tab/>
        <w:t>request the CDR consumer to state whether or not proceedings of the kind mentioned in that paragraph are current or anticipated; and</w:t>
      </w:r>
    </w:p>
    <w:p w14:paraId="03F96006" w14:textId="77777777" w:rsidR="00CF0E3D" w:rsidRDefault="00CF0E3D" w:rsidP="00CF0E3D">
      <w:pPr>
        <w:pStyle w:val="paragraph"/>
      </w:pPr>
      <w:r>
        <w:tab/>
        <w:t>(b)</w:t>
      </w:r>
      <w:r>
        <w:tab/>
        <w:t>rely on that statement.</w:t>
      </w:r>
    </w:p>
    <w:p w14:paraId="10E57C6F" w14:textId="77777777" w:rsidR="00CF0E3D" w:rsidRDefault="00CF0E3D" w:rsidP="00CF0E3D">
      <w:pPr>
        <w:pStyle w:val="ActHead5"/>
        <w:rPr>
          <w:color w:val="000000" w:themeColor="text1"/>
        </w:rPr>
      </w:pPr>
      <w:bookmarkStart w:id="63" w:name="_Toc77064844"/>
      <w:r>
        <w:rPr>
          <w:color w:val="000000" w:themeColor="text1"/>
        </w:rPr>
        <w:t>1.18</w:t>
      </w:r>
      <w:r w:rsidRPr="00E53912">
        <w:rPr>
          <w:color w:val="000000" w:themeColor="text1"/>
        </w:rPr>
        <w:t xml:space="preserve">  CDR data deletion process</w:t>
      </w:r>
      <w:bookmarkEnd w:id="63"/>
    </w:p>
    <w:p w14:paraId="4EE35A6A" w14:textId="77777777" w:rsidR="00CF0E3D" w:rsidRPr="00E53912" w:rsidRDefault="00CF0E3D" w:rsidP="00CF0E3D">
      <w:pPr>
        <w:pStyle w:val="subsection"/>
        <w:rPr>
          <w:color w:val="000000" w:themeColor="text1"/>
        </w:rPr>
      </w:pPr>
      <w:r w:rsidRPr="00E53912">
        <w:rPr>
          <w:color w:val="000000" w:themeColor="text1"/>
        </w:rPr>
        <w:tab/>
      </w:r>
      <w:r w:rsidRPr="00E53912">
        <w:rPr>
          <w:color w:val="000000" w:themeColor="text1"/>
        </w:rPr>
        <w:tab/>
        <w:t xml:space="preserve">For these rules, the </w:t>
      </w:r>
      <w:r w:rsidRPr="00E53912">
        <w:rPr>
          <w:b/>
          <w:i/>
          <w:color w:val="000000" w:themeColor="text1"/>
        </w:rPr>
        <w:t xml:space="preserve">CDR data deletion process </w:t>
      </w:r>
      <w:r>
        <w:rPr>
          <w:color w:val="000000" w:themeColor="text1"/>
        </w:rPr>
        <w:t xml:space="preserve">in relation to </w:t>
      </w:r>
      <w:r w:rsidRPr="005F3D40">
        <w:rPr>
          <w:color w:val="000000" w:themeColor="text1"/>
        </w:rPr>
        <w:t>a person that holds CDR data</w:t>
      </w:r>
      <w:r>
        <w:rPr>
          <w:color w:val="000000" w:themeColor="text1"/>
        </w:rPr>
        <w:t xml:space="preserve"> that is to be deleted</w:t>
      </w:r>
      <w:r w:rsidRPr="005F3D40">
        <w:rPr>
          <w:color w:val="000000" w:themeColor="text1"/>
        </w:rPr>
        <w:t xml:space="preserve"> </w:t>
      </w:r>
      <w:r w:rsidRPr="00E53912">
        <w:rPr>
          <w:color w:val="000000" w:themeColor="text1"/>
        </w:rPr>
        <w:t>consists of the following steps:</w:t>
      </w:r>
    </w:p>
    <w:p w14:paraId="031075E6" w14:textId="77777777" w:rsidR="00CF0E3D" w:rsidRPr="00E53912" w:rsidRDefault="00CF0E3D" w:rsidP="00CF0E3D">
      <w:pPr>
        <w:pStyle w:val="paragraph"/>
        <w:rPr>
          <w:color w:val="000000" w:themeColor="text1"/>
        </w:rPr>
      </w:pPr>
      <w:r w:rsidRPr="00E53912">
        <w:rPr>
          <w:color w:val="000000" w:themeColor="text1"/>
        </w:rPr>
        <w:tab/>
      </w:r>
      <w:r>
        <w:rPr>
          <w:color w:val="000000" w:themeColor="text1"/>
        </w:rPr>
        <w:t>(a)</w:t>
      </w:r>
      <w:r w:rsidRPr="00E53912">
        <w:rPr>
          <w:color w:val="000000" w:themeColor="text1"/>
        </w:rPr>
        <w:tab/>
        <w:t>delete</w:t>
      </w:r>
      <w:r w:rsidRPr="00EC5815">
        <w:t xml:space="preserve">, to the extent reasonably practicable, </w:t>
      </w:r>
      <w:r>
        <w:rPr>
          <w:color w:val="000000" w:themeColor="text1"/>
        </w:rPr>
        <w:t>that</w:t>
      </w:r>
      <w:r w:rsidRPr="00E53912">
        <w:rPr>
          <w:color w:val="000000" w:themeColor="text1"/>
        </w:rPr>
        <w:t xml:space="preserve"> </w:t>
      </w:r>
      <w:r w:rsidRPr="005F3D40">
        <w:rPr>
          <w:color w:val="000000" w:themeColor="text1"/>
        </w:rPr>
        <w:t xml:space="preserve">CDR </w:t>
      </w:r>
      <w:r w:rsidRPr="00E53912">
        <w:rPr>
          <w:color w:val="000000" w:themeColor="text1"/>
        </w:rPr>
        <w:t xml:space="preserve">data and any copies of </w:t>
      </w:r>
      <w:r>
        <w:rPr>
          <w:color w:val="000000" w:themeColor="text1"/>
        </w:rPr>
        <w:t xml:space="preserve">that </w:t>
      </w:r>
      <w:r w:rsidRPr="005F3D40">
        <w:rPr>
          <w:color w:val="000000" w:themeColor="text1"/>
        </w:rPr>
        <w:t xml:space="preserve">CDR </w:t>
      </w:r>
      <w:r w:rsidRPr="00E53912">
        <w:rPr>
          <w:color w:val="000000" w:themeColor="text1"/>
        </w:rPr>
        <w:t>data;</w:t>
      </w:r>
    </w:p>
    <w:p w14:paraId="2987B8FF" w14:textId="77777777" w:rsidR="00CF0E3D" w:rsidRDefault="00CF0E3D" w:rsidP="00CF0E3D">
      <w:pPr>
        <w:pStyle w:val="paragraph"/>
        <w:rPr>
          <w:color w:val="000000" w:themeColor="text1"/>
        </w:rPr>
      </w:pPr>
      <w:r w:rsidRPr="00E53912">
        <w:rPr>
          <w:color w:val="000000" w:themeColor="text1"/>
        </w:rPr>
        <w:tab/>
      </w:r>
      <w:r>
        <w:rPr>
          <w:color w:val="000000" w:themeColor="text1"/>
        </w:rPr>
        <w:t>(b)</w:t>
      </w:r>
      <w:r w:rsidRPr="00E53912">
        <w:rPr>
          <w:color w:val="000000" w:themeColor="text1"/>
        </w:rPr>
        <w:tab/>
        <w:t>make a record to evidence the deletion</w:t>
      </w:r>
      <w:r>
        <w:rPr>
          <w:color w:val="000000" w:themeColor="text1"/>
        </w:rPr>
        <w:t>; and</w:t>
      </w:r>
    </w:p>
    <w:p w14:paraId="56D0CA35" w14:textId="77777777" w:rsidR="00CF0E3D" w:rsidRDefault="00CF0E3D" w:rsidP="00CF0E3D">
      <w:pPr>
        <w:pStyle w:val="paragraph"/>
      </w:pPr>
      <w:r>
        <w:tab/>
      </w:r>
      <w:r w:rsidRPr="00D3706C">
        <w:t>(c)</w:t>
      </w:r>
      <w:r w:rsidRPr="00D3706C">
        <w:tab/>
        <w:t>where another person holds the CDR data on its behalf and will perform those steps—direct that person to notify it when those steps</w:t>
      </w:r>
      <w:r w:rsidRPr="00C81620">
        <w:t xml:space="preserve"> have been performed</w:t>
      </w:r>
      <w:r w:rsidRPr="00D3706C">
        <w:t>.</w:t>
      </w:r>
    </w:p>
    <w:p w14:paraId="50B677EB" w14:textId="4612FC1B" w:rsidR="00491B93" w:rsidRPr="00693A57" w:rsidRDefault="00491B93" w:rsidP="00491B93">
      <w:pPr>
        <w:pStyle w:val="notetext"/>
        <w:rPr>
          <w:color w:val="FF0000"/>
        </w:rPr>
      </w:pPr>
      <w:r w:rsidRPr="00693A57">
        <w:rPr>
          <w:color w:val="FF0000"/>
        </w:rPr>
        <w:t>Note:</w:t>
      </w:r>
      <w:r w:rsidRPr="00693A57">
        <w:rPr>
          <w:color w:val="FF0000"/>
        </w:rPr>
        <w:tab/>
        <w:t xml:space="preserve">The CDR data deletion process is to be followed </w:t>
      </w:r>
      <w:r w:rsidR="004F7071" w:rsidRPr="00693A57">
        <w:rPr>
          <w:color w:val="FF0000"/>
        </w:rPr>
        <w:t xml:space="preserve">whenever these rules require a person </w:t>
      </w:r>
      <w:r w:rsidRPr="00693A57">
        <w:rPr>
          <w:color w:val="FF0000"/>
        </w:rPr>
        <w:t>to delete CDR data.</w:t>
      </w:r>
    </w:p>
    <w:p w14:paraId="22EA2D3F" w14:textId="77777777" w:rsidR="00CF0E3D" w:rsidRPr="00693A57" w:rsidRDefault="00CF0E3D" w:rsidP="00CF0E3D">
      <w:pPr>
        <w:pStyle w:val="notetext"/>
        <w:rPr>
          <w:strike/>
          <w:color w:val="FF0000"/>
        </w:rPr>
      </w:pPr>
      <w:r w:rsidRPr="00693A57">
        <w:rPr>
          <w:strike/>
          <w:color w:val="FF0000"/>
        </w:rPr>
        <w:t>Note:</w:t>
      </w:r>
      <w:r w:rsidRPr="00693A57">
        <w:rPr>
          <w:strike/>
          <w:color w:val="FF0000"/>
        </w:rPr>
        <w:tab/>
        <w:t>The CDR data deletion process is applied by an accredited data recipient when deleting CDR data in accordance with a CDR consumer’s right to deletion (see Subdivision 4.3.4) and when deleting redundant data for the purposes of privacy safeguard 12 (see rule 7.13).</w:t>
      </w:r>
    </w:p>
    <w:p w14:paraId="514C5D38" w14:textId="2AFA741D" w:rsidR="00D64034" w:rsidRPr="00693A57" w:rsidRDefault="003C756F" w:rsidP="00FB0FA5">
      <w:pPr>
        <w:pStyle w:val="ActHead3"/>
        <w:rPr>
          <w:color w:val="FF0000"/>
        </w:rPr>
      </w:pPr>
      <w:bookmarkStart w:id="64" w:name="_Toc77064845"/>
      <w:r w:rsidRPr="00693A57">
        <w:rPr>
          <w:color w:val="FF0000"/>
        </w:rPr>
        <w:t xml:space="preserve">Division </w:t>
      </w:r>
      <w:r w:rsidR="00B82A8D" w:rsidRPr="00693A57">
        <w:rPr>
          <w:color w:val="FF0000"/>
        </w:rPr>
        <w:t>1.</w:t>
      </w:r>
      <w:r w:rsidRPr="00693A57">
        <w:rPr>
          <w:color w:val="FF0000"/>
        </w:rPr>
        <w:t>5—</w:t>
      </w:r>
      <w:r w:rsidR="00CC7D9A" w:rsidRPr="00693A57">
        <w:rPr>
          <w:color w:val="FF0000"/>
        </w:rPr>
        <w:t>Application of rules in relation to</w:t>
      </w:r>
      <w:r w:rsidR="00B040C5" w:rsidRPr="00693A57">
        <w:rPr>
          <w:color w:val="FF0000"/>
        </w:rPr>
        <w:t xml:space="preserve"> </w:t>
      </w:r>
      <w:r w:rsidR="004C1FEE" w:rsidRPr="00693A57">
        <w:rPr>
          <w:color w:val="FF0000"/>
        </w:rPr>
        <w:t xml:space="preserve">SR </w:t>
      </w:r>
      <w:r w:rsidR="00E82158" w:rsidRPr="00693A57">
        <w:rPr>
          <w:color w:val="FF0000"/>
        </w:rPr>
        <w:t>data</w:t>
      </w:r>
      <w:bookmarkEnd w:id="64"/>
    </w:p>
    <w:p w14:paraId="662A8FE8" w14:textId="6C60E859" w:rsidR="006F432E" w:rsidRPr="00693A57" w:rsidRDefault="006F432E" w:rsidP="006F432E">
      <w:pPr>
        <w:pStyle w:val="notemargin"/>
        <w:rPr>
          <w:color w:val="FF0000"/>
        </w:rPr>
      </w:pPr>
      <w:r w:rsidRPr="00693A57">
        <w:rPr>
          <w:color w:val="FF0000"/>
        </w:rPr>
        <w:t>Note:</w:t>
      </w:r>
      <w:r w:rsidRPr="00693A57">
        <w:rPr>
          <w:color w:val="FF0000"/>
        </w:rPr>
        <w:tab/>
        <w:t xml:space="preserve">The effect of this Division is that, from the point of view of a CDR consumer or an accredited person, the </w:t>
      </w:r>
      <w:r w:rsidR="001A1BCE" w:rsidRPr="00693A57">
        <w:rPr>
          <w:color w:val="FF0000"/>
        </w:rPr>
        <w:t>primary data holder</w:t>
      </w:r>
      <w:r w:rsidRPr="00693A57">
        <w:rPr>
          <w:color w:val="FF0000"/>
        </w:rPr>
        <w:t xml:space="preserve"> for SR data is treated as if it were the relevant data holder:  consumer data requests for the SR data are made to it; authorisations for disclosure are made to it; it is the entity that discloses or refuses to disclose the requested data; any complaints are made to it; it keeps the records that the CDR consumer can request under rule 9.5 </w:t>
      </w:r>
    </w:p>
    <w:p w14:paraId="0B5DE817" w14:textId="1BC98931" w:rsidR="00DF5873" w:rsidRPr="00693A57" w:rsidRDefault="00832060" w:rsidP="00DF5873">
      <w:pPr>
        <w:pStyle w:val="ActHead5"/>
        <w:rPr>
          <w:color w:val="FF0000"/>
        </w:rPr>
      </w:pPr>
      <w:bookmarkStart w:id="65" w:name="_Toc77064846"/>
      <w:r w:rsidRPr="00693A57">
        <w:rPr>
          <w:color w:val="FF0000"/>
        </w:rPr>
        <w:lastRenderedPageBreak/>
        <w:t>1.19</w:t>
      </w:r>
      <w:r w:rsidR="00DF5873" w:rsidRPr="00693A57">
        <w:rPr>
          <w:color w:val="FF0000"/>
        </w:rPr>
        <w:t xml:space="preserve">  Eligible CDR consumers</w:t>
      </w:r>
      <w:r w:rsidR="00C7287E" w:rsidRPr="00693A57">
        <w:rPr>
          <w:color w:val="FF0000"/>
        </w:rPr>
        <w:t xml:space="preserve"> in relation to secondary data holders</w:t>
      </w:r>
      <w:bookmarkEnd w:id="65"/>
    </w:p>
    <w:p w14:paraId="6F8C1E27" w14:textId="1736A68F" w:rsidR="00C7287E" w:rsidRPr="00693A57" w:rsidRDefault="00DF5873" w:rsidP="00DF5873">
      <w:pPr>
        <w:pStyle w:val="subsection"/>
        <w:rPr>
          <w:color w:val="FF0000"/>
        </w:rPr>
      </w:pPr>
      <w:r w:rsidRPr="00693A57">
        <w:rPr>
          <w:color w:val="FF0000"/>
        </w:rPr>
        <w:tab/>
      </w:r>
      <w:r w:rsidRPr="00693A57">
        <w:rPr>
          <w:color w:val="FF0000"/>
        </w:rPr>
        <w:tab/>
      </w:r>
      <w:r w:rsidR="00C7287E" w:rsidRPr="00693A57">
        <w:rPr>
          <w:color w:val="FF0000"/>
        </w:rPr>
        <w:t xml:space="preserve">If a </w:t>
      </w:r>
      <w:r w:rsidRPr="00693A57">
        <w:rPr>
          <w:color w:val="FF0000"/>
        </w:rPr>
        <w:t xml:space="preserve">CDR consumer </w:t>
      </w:r>
      <w:r w:rsidR="00C7287E" w:rsidRPr="00693A57">
        <w:rPr>
          <w:color w:val="FF0000"/>
        </w:rPr>
        <w:t>is eligible to</w:t>
      </w:r>
      <w:r w:rsidRPr="00693A57">
        <w:rPr>
          <w:color w:val="FF0000"/>
        </w:rPr>
        <w:t xml:space="preserve"> </w:t>
      </w:r>
      <w:r w:rsidR="00C7287E" w:rsidRPr="00693A57">
        <w:rPr>
          <w:color w:val="FF0000"/>
        </w:rPr>
        <w:t xml:space="preserve">make or initiate a consumer data request to a </w:t>
      </w:r>
      <w:r w:rsidR="001A1BCE" w:rsidRPr="00693A57">
        <w:rPr>
          <w:color w:val="FF0000"/>
        </w:rPr>
        <w:t>primary data holder</w:t>
      </w:r>
      <w:r w:rsidR="00C7287E" w:rsidRPr="00693A57">
        <w:rPr>
          <w:color w:val="FF0000"/>
        </w:rPr>
        <w:t xml:space="preserve"> for SR data, the CDR consumer is not also eligible to make or initiate a consumer data request for that data to the secondary data h</w:t>
      </w:r>
      <w:r w:rsidR="00BC6093" w:rsidRPr="00693A57">
        <w:rPr>
          <w:color w:val="FF0000"/>
        </w:rPr>
        <w:t>older.</w:t>
      </w:r>
    </w:p>
    <w:p w14:paraId="20EB5C9A" w14:textId="5F4E6B4F" w:rsidR="00B92D3A" w:rsidRPr="00693A57" w:rsidRDefault="00B92D3A" w:rsidP="00B92D3A">
      <w:pPr>
        <w:pStyle w:val="notetext"/>
        <w:rPr>
          <w:color w:val="FF0000"/>
        </w:rPr>
      </w:pPr>
      <w:r w:rsidRPr="00693A57">
        <w:rPr>
          <w:color w:val="FF0000"/>
        </w:rPr>
        <w:t>Note:</w:t>
      </w:r>
      <w:r w:rsidRPr="00693A57">
        <w:rPr>
          <w:color w:val="FF0000"/>
        </w:rPr>
        <w:tab/>
        <w:t>As a result of this rule, a secondary data holder that only holds SR data is not required to provide req</w:t>
      </w:r>
      <w:r w:rsidR="00135449" w:rsidRPr="00693A57">
        <w:rPr>
          <w:color w:val="FF0000"/>
        </w:rPr>
        <w:t>uest services under rule 1.13; however, it will be required to provide a service under subrule 1.20(2).</w:t>
      </w:r>
    </w:p>
    <w:p w14:paraId="68AAC75F" w14:textId="6CEC7DBB" w:rsidR="003C756F" w:rsidRPr="00693A57" w:rsidRDefault="00832060" w:rsidP="003C756F">
      <w:pPr>
        <w:pStyle w:val="ActHead5"/>
        <w:rPr>
          <w:color w:val="FF0000"/>
        </w:rPr>
      </w:pPr>
      <w:bookmarkStart w:id="66" w:name="_Toc77064847"/>
      <w:r w:rsidRPr="00693A57">
        <w:rPr>
          <w:color w:val="FF0000"/>
        </w:rPr>
        <w:t>1.20</w:t>
      </w:r>
      <w:r w:rsidR="006F0BFB" w:rsidRPr="00693A57">
        <w:rPr>
          <w:color w:val="FF0000"/>
        </w:rPr>
        <w:t xml:space="preserve"> </w:t>
      </w:r>
      <w:r w:rsidR="003C756F" w:rsidRPr="00693A57">
        <w:rPr>
          <w:color w:val="FF0000"/>
        </w:rPr>
        <w:t>Consumer data request service</w:t>
      </w:r>
      <w:r w:rsidR="0065271F" w:rsidRPr="00693A57">
        <w:rPr>
          <w:color w:val="FF0000"/>
        </w:rPr>
        <w:t xml:space="preserve">—primary </w:t>
      </w:r>
      <w:r w:rsidR="00F01871" w:rsidRPr="00693A57">
        <w:rPr>
          <w:color w:val="FF0000"/>
        </w:rPr>
        <w:t>data holders</w:t>
      </w:r>
      <w:r w:rsidR="0082695E" w:rsidRPr="00693A57">
        <w:rPr>
          <w:color w:val="FF0000"/>
        </w:rPr>
        <w:t xml:space="preserve"> </w:t>
      </w:r>
      <w:r w:rsidR="0065271F" w:rsidRPr="00693A57">
        <w:rPr>
          <w:color w:val="FF0000"/>
        </w:rPr>
        <w:t>and secondary data holders</w:t>
      </w:r>
      <w:bookmarkEnd w:id="66"/>
    </w:p>
    <w:p w14:paraId="0B095409" w14:textId="0E2EF2EF" w:rsidR="00F05FF2" w:rsidRPr="00693A57" w:rsidRDefault="00F05FF2" w:rsidP="00F05FF2">
      <w:pPr>
        <w:pStyle w:val="SubsectionHead"/>
        <w:rPr>
          <w:color w:val="FF0000"/>
        </w:rPr>
      </w:pPr>
      <w:r w:rsidRPr="00693A57">
        <w:rPr>
          <w:color w:val="FF0000"/>
        </w:rPr>
        <w:t xml:space="preserve">Primary </w:t>
      </w:r>
      <w:r w:rsidR="000227EA">
        <w:rPr>
          <w:color w:val="FF0000"/>
        </w:rPr>
        <w:t>data holders</w:t>
      </w:r>
    </w:p>
    <w:p w14:paraId="6F704EFD" w14:textId="7347211F" w:rsidR="00F05FF2" w:rsidRPr="00693A57" w:rsidRDefault="00113E94" w:rsidP="00113E94">
      <w:pPr>
        <w:pStyle w:val="subsection"/>
        <w:rPr>
          <w:color w:val="FF0000"/>
        </w:rPr>
      </w:pPr>
      <w:r w:rsidRPr="00693A57">
        <w:rPr>
          <w:color w:val="FF0000"/>
        </w:rPr>
        <w:tab/>
      </w:r>
      <w:r w:rsidR="00832060" w:rsidRPr="00693A57">
        <w:rPr>
          <w:color w:val="FF0000"/>
        </w:rPr>
        <w:t>(1)</w:t>
      </w:r>
      <w:r w:rsidRPr="00693A57">
        <w:rPr>
          <w:color w:val="FF0000"/>
        </w:rPr>
        <w:tab/>
        <w:t xml:space="preserve">Rule 1.13 </w:t>
      </w:r>
      <w:r w:rsidR="00576790" w:rsidRPr="00693A57">
        <w:rPr>
          <w:color w:val="FF0000"/>
        </w:rPr>
        <w:t xml:space="preserve">(consumer data request service) </w:t>
      </w:r>
      <w:r w:rsidRPr="00693A57">
        <w:rPr>
          <w:color w:val="FF0000"/>
        </w:rPr>
        <w:t xml:space="preserve">applies in relation to a </w:t>
      </w:r>
      <w:r w:rsidR="00F05FF2" w:rsidRPr="00693A57">
        <w:rPr>
          <w:color w:val="FF0000"/>
        </w:rPr>
        <w:t xml:space="preserve">data holder for CDR data as if it were also a data holder for any SR data for which it is the </w:t>
      </w:r>
      <w:r w:rsidR="001A1BCE" w:rsidRPr="00693A57">
        <w:rPr>
          <w:color w:val="FF0000"/>
        </w:rPr>
        <w:t>primary data holder</w:t>
      </w:r>
      <w:r w:rsidR="00F05FF2" w:rsidRPr="00693A57">
        <w:rPr>
          <w:color w:val="FF0000"/>
        </w:rPr>
        <w:t>.</w:t>
      </w:r>
    </w:p>
    <w:p w14:paraId="67E2F432" w14:textId="1DB0885B" w:rsidR="00F05FF2" w:rsidRPr="00693A57" w:rsidRDefault="00F05FF2" w:rsidP="00F05FF2">
      <w:pPr>
        <w:pStyle w:val="SubsectionHead"/>
        <w:rPr>
          <w:color w:val="FF0000"/>
        </w:rPr>
      </w:pPr>
      <w:r w:rsidRPr="00693A57">
        <w:rPr>
          <w:color w:val="FF0000"/>
        </w:rPr>
        <w:t>Secondary data holders</w:t>
      </w:r>
    </w:p>
    <w:p w14:paraId="4330A2EB" w14:textId="615F22DC" w:rsidR="003C756F" w:rsidRPr="00693A57" w:rsidRDefault="003C756F" w:rsidP="003C756F">
      <w:pPr>
        <w:pStyle w:val="subsection"/>
        <w:rPr>
          <w:color w:val="FF0000"/>
        </w:rPr>
      </w:pPr>
      <w:r w:rsidRPr="00693A57">
        <w:rPr>
          <w:color w:val="FF0000"/>
        </w:rPr>
        <w:tab/>
      </w:r>
      <w:r w:rsidR="00832060" w:rsidRPr="00693A57">
        <w:rPr>
          <w:color w:val="FF0000"/>
        </w:rPr>
        <w:t>(2)</w:t>
      </w:r>
      <w:r w:rsidRPr="00693A57">
        <w:rPr>
          <w:color w:val="FF0000"/>
        </w:rPr>
        <w:tab/>
      </w:r>
      <w:r w:rsidR="00336AE5" w:rsidRPr="00693A57">
        <w:rPr>
          <w:color w:val="FF0000"/>
        </w:rPr>
        <w:t>A second</w:t>
      </w:r>
      <w:r w:rsidR="00303990" w:rsidRPr="00693A57">
        <w:rPr>
          <w:color w:val="FF0000"/>
        </w:rPr>
        <w:t>ary data holder in relation to SR data</w:t>
      </w:r>
      <w:r w:rsidR="00336AE5" w:rsidRPr="00693A57">
        <w:rPr>
          <w:color w:val="FF0000"/>
        </w:rPr>
        <w:t xml:space="preserve"> </w:t>
      </w:r>
      <w:r w:rsidRPr="00693A57">
        <w:rPr>
          <w:color w:val="FF0000"/>
        </w:rPr>
        <w:t>must provide an online service that:</w:t>
      </w:r>
    </w:p>
    <w:p w14:paraId="3BE6F1E1" w14:textId="3266F5FC" w:rsidR="003C756F" w:rsidRPr="00693A57" w:rsidRDefault="003C756F" w:rsidP="003C756F">
      <w:pPr>
        <w:pStyle w:val="paragraph"/>
        <w:rPr>
          <w:color w:val="FF0000"/>
        </w:rPr>
      </w:pPr>
      <w:r w:rsidRPr="00693A57">
        <w:rPr>
          <w:color w:val="FF0000"/>
        </w:rPr>
        <w:tab/>
      </w:r>
      <w:r w:rsidR="00832060" w:rsidRPr="00693A57">
        <w:rPr>
          <w:color w:val="FF0000"/>
        </w:rPr>
        <w:t>(a)</w:t>
      </w:r>
      <w:r w:rsidRPr="00693A57">
        <w:rPr>
          <w:color w:val="FF0000"/>
        </w:rPr>
        <w:tab/>
        <w:t>can be used by</w:t>
      </w:r>
      <w:r w:rsidR="00336AE5" w:rsidRPr="00693A57">
        <w:rPr>
          <w:color w:val="FF0000"/>
        </w:rPr>
        <w:t xml:space="preserve"> the</w:t>
      </w:r>
      <w:r w:rsidR="00303990" w:rsidRPr="00693A57">
        <w:rPr>
          <w:color w:val="FF0000"/>
        </w:rPr>
        <w:t xml:space="preserve"> </w:t>
      </w:r>
      <w:r w:rsidR="001A1BCE" w:rsidRPr="00693A57">
        <w:rPr>
          <w:color w:val="FF0000"/>
        </w:rPr>
        <w:t>primary data holder</w:t>
      </w:r>
      <w:r w:rsidR="00303990" w:rsidRPr="00693A57">
        <w:rPr>
          <w:color w:val="FF0000"/>
        </w:rPr>
        <w:t xml:space="preserve"> </w:t>
      </w:r>
      <w:r w:rsidRPr="00693A57">
        <w:rPr>
          <w:color w:val="FF0000"/>
        </w:rPr>
        <w:t xml:space="preserve">to request from </w:t>
      </w:r>
      <w:r w:rsidR="00303990" w:rsidRPr="00693A57">
        <w:rPr>
          <w:color w:val="FF0000"/>
        </w:rPr>
        <w:t xml:space="preserve">the secondary data holder any SR data </w:t>
      </w:r>
      <w:r w:rsidRPr="00693A57">
        <w:rPr>
          <w:color w:val="FF0000"/>
        </w:rPr>
        <w:t>needed to respond to a</w:t>
      </w:r>
      <w:r w:rsidR="00303990" w:rsidRPr="00693A57">
        <w:rPr>
          <w:color w:val="FF0000"/>
        </w:rPr>
        <w:t>n SR data request</w:t>
      </w:r>
      <w:r w:rsidRPr="00693A57">
        <w:rPr>
          <w:color w:val="FF0000"/>
        </w:rPr>
        <w:t>; and</w:t>
      </w:r>
    </w:p>
    <w:p w14:paraId="25DA1CC8" w14:textId="5DA14EDF" w:rsidR="003C756F" w:rsidRPr="00693A57" w:rsidRDefault="003C756F" w:rsidP="003C756F">
      <w:pPr>
        <w:pStyle w:val="paragraph"/>
        <w:rPr>
          <w:color w:val="FF0000"/>
        </w:rPr>
      </w:pPr>
      <w:r w:rsidRPr="00693A57">
        <w:rPr>
          <w:color w:val="FF0000"/>
        </w:rPr>
        <w:tab/>
      </w:r>
      <w:r w:rsidR="00832060" w:rsidRPr="00693A57">
        <w:rPr>
          <w:color w:val="FF0000"/>
        </w:rPr>
        <w:t>(b)</w:t>
      </w:r>
      <w:r w:rsidRPr="00693A57">
        <w:rPr>
          <w:color w:val="FF0000"/>
        </w:rPr>
        <w:tab/>
        <w:t xml:space="preserve">enables the requested data to be disclosed to the </w:t>
      </w:r>
      <w:r w:rsidR="001A1BCE" w:rsidRPr="00693A57">
        <w:rPr>
          <w:color w:val="FF0000"/>
        </w:rPr>
        <w:t>primary data holder</w:t>
      </w:r>
      <w:r w:rsidR="00303990" w:rsidRPr="00693A57">
        <w:rPr>
          <w:color w:val="FF0000"/>
        </w:rPr>
        <w:t xml:space="preserve"> </w:t>
      </w:r>
      <w:r w:rsidRPr="00693A57">
        <w:rPr>
          <w:color w:val="FF0000"/>
        </w:rPr>
        <w:t>in machine</w:t>
      </w:r>
      <w:r w:rsidRPr="00693A57">
        <w:rPr>
          <w:color w:val="FF0000"/>
        </w:rPr>
        <w:noBreakHyphen/>
        <w:t>readable form; and</w:t>
      </w:r>
    </w:p>
    <w:p w14:paraId="3B8EE88B" w14:textId="0E7D5B3E" w:rsidR="003C756F" w:rsidRPr="00693A57" w:rsidRDefault="003C756F" w:rsidP="003C756F">
      <w:pPr>
        <w:pStyle w:val="paragraph"/>
        <w:rPr>
          <w:color w:val="FF0000"/>
        </w:rPr>
      </w:pPr>
      <w:r w:rsidRPr="00693A57">
        <w:rPr>
          <w:color w:val="FF0000"/>
        </w:rPr>
        <w:tab/>
      </w:r>
      <w:r w:rsidR="00832060" w:rsidRPr="00693A57">
        <w:rPr>
          <w:color w:val="FF0000"/>
        </w:rPr>
        <w:t>(c)</w:t>
      </w:r>
      <w:r w:rsidRPr="00693A57">
        <w:rPr>
          <w:color w:val="FF0000"/>
        </w:rPr>
        <w:tab/>
        <w:t>conforms with the data standards.</w:t>
      </w:r>
    </w:p>
    <w:p w14:paraId="08837E30" w14:textId="0F744497" w:rsidR="006D70C4" w:rsidRPr="00693A57" w:rsidRDefault="006D70C4" w:rsidP="006D70C4">
      <w:pPr>
        <w:pStyle w:val="notetext"/>
        <w:rPr>
          <w:color w:val="FF0000"/>
        </w:rPr>
      </w:pPr>
      <w:r w:rsidRPr="00693A57">
        <w:rPr>
          <w:color w:val="FF0000"/>
        </w:rPr>
        <w:t>Note:</w:t>
      </w:r>
      <w:r w:rsidRPr="00693A57">
        <w:rPr>
          <w:color w:val="FF0000"/>
        </w:rPr>
        <w:tab/>
        <w:t xml:space="preserve">This </w:t>
      </w:r>
      <w:r w:rsidR="005E3A82" w:rsidRPr="00693A57">
        <w:rPr>
          <w:color w:val="FF0000"/>
        </w:rPr>
        <w:t>sub</w:t>
      </w:r>
      <w:r w:rsidRPr="00693A57">
        <w:rPr>
          <w:color w:val="FF0000"/>
        </w:rPr>
        <w:t>rule is a civil penalty provision (see rule 9.8).</w:t>
      </w:r>
    </w:p>
    <w:p w14:paraId="5027EFA0" w14:textId="33402A23" w:rsidR="003C756F" w:rsidRPr="00693A57" w:rsidRDefault="00832060" w:rsidP="003C756F">
      <w:pPr>
        <w:pStyle w:val="ActHead5"/>
        <w:rPr>
          <w:color w:val="FF0000"/>
        </w:rPr>
      </w:pPr>
      <w:bookmarkStart w:id="67" w:name="_Toc77064848"/>
      <w:r w:rsidRPr="00693A57">
        <w:rPr>
          <w:color w:val="FF0000"/>
        </w:rPr>
        <w:t>1.21</w:t>
      </w:r>
      <w:r w:rsidR="003C756F" w:rsidRPr="00693A57">
        <w:rPr>
          <w:color w:val="FF0000"/>
        </w:rPr>
        <w:t xml:space="preserve">  Consumer dashboard—</w:t>
      </w:r>
      <w:r w:rsidR="00303990" w:rsidRPr="00693A57">
        <w:rPr>
          <w:color w:val="FF0000"/>
        </w:rPr>
        <w:t xml:space="preserve">SR </w:t>
      </w:r>
      <w:r w:rsidR="003C756F" w:rsidRPr="00693A57">
        <w:rPr>
          <w:color w:val="FF0000"/>
        </w:rPr>
        <w:t>data request</w:t>
      </w:r>
      <w:bookmarkEnd w:id="67"/>
    </w:p>
    <w:p w14:paraId="2720A0AC" w14:textId="28BD276D" w:rsidR="003C756F" w:rsidRPr="00693A57" w:rsidRDefault="003C756F" w:rsidP="003C756F">
      <w:pPr>
        <w:pStyle w:val="subsection"/>
        <w:rPr>
          <w:color w:val="FF0000"/>
        </w:rPr>
      </w:pPr>
      <w:r w:rsidRPr="00693A57">
        <w:rPr>
          <w:color w:val="FF0000"/>
        </w:rPr>
        <w:tab/>
      </w:r>
      <w:r w:rsidRPr="00693A57">
        <w:rPr>
          <w:color w:val="FF0000"/>
        </w:rPr>
        <w:tab/>
        <w:t>Rule 1.15 (provision of dashboard) applies in relation to</w:t>
      </w:r>
      <w:r w:rsidR="00303990" w:rsidRPr="00693A57">
        <w:rPr>
          <w:color w:val="FF0000"/>
        </w:rPr>
        <w:t xml:space="preserve"> a</w:t>
      </w:r>
      <w:r w:rsidRPr="00693A57">
        <w:rPr>
          <w:color w:val="FF0000"/>
        </w:rPr>
        <w:t>n</w:t>
      </w:r>
      <w:r w:rsidR="00A471DF" w:rsidRPr="00693A57">
        <w:rPr>
          <w:color w:val="FF0000"/>
        </w:rPr>
        <w:t xml:space="preserve"> SR </w:t>
      </w:r>
      <w:r w:rsidRPr="00693A57">
        <w:rPr>
          <w:color w:val="FF0000"/>
        </w:rPr>
        <w:t xml:space="preserve">data request as if the </w:t>
      </w:r>
      <w:r w:rsidR="001A1BCE" w:rsidRPr="00693A57">
        <w:rPr>
          <w:color w:val="FF0000"/>
        </w:rPr>
        <w:t>primary data holder</w:t>
      </w:r>
      <w:r w:rsidR="00A471DF" w:rsidRPr="00693A57">
        <w:rPr>
          <w:color w:val="FF0000"/>
        </w:rPr>
        <w:t xml:space="preserve"> </w:t>
      </w:r>
      <w:r w:rsidRPr="00693A57">
        <w:rPr>
          <w:color w:val="FF0000"/>
        </w:rPr>
        <w:t xml:space="preserve">were the data holder for the requested </w:t>
      </w:r>
      <w:r w:rsidR="00A471DF" w:rsidRPr="00693A57">
        <w:rPr>
          <w:color w:val="FF0000"/>
        </w:rPr>
        <w:t>SR data</w:t>
      </w:r>
      <w:r w:rsidRPr="00693A57">
        <w:rPr>
          <w:color w:val="FF0000"/>
        </w:rPr>
        <w:t>.</w:t>
      </w:r>
    </w:p>
    <w:p w14:paraId="5609FFCC" w14:textId="56A5BCE7" w:rsidR="003548C2" w:rsidRPr="00693A57" w:rsidRDefault="00832060" w:rsidP="003548C2">
      <w:pPr>
        <w:pStyle w:val="ActHead5"/>
        <w:rPr>
          <w:color w:val="FF0000"/>
        </w:rPr>
      </w:pPr>
      <w:bookmarkStart w:id="68" w:name="_Toc77064849"/>
      <w:r w:rsidRPr="00693A57">
        <w:rPr>
          <w:color w:val="FF0000"/>
        </w:rPr>
        <w:t>1.22</w:t>
      </w:r>
      <w:r w:rsidR="003548C2" w:rsidRPr="00693A57">
        <w:rPr>
          <w:color w:val="FF0000"/>
        </w:rPr>
        <w:t xml:space="preserve">  SR data request by </w:t>
      </w:r>
      <w:r w:rsidR="00EB7BB3" w:rsidRPr="00693A57">
        <w:rPr>
          <w:color w:val="FF0000"/>
        </w:rPr>
        <w:t xml:space="preserve">a </w:t>
      </w:r>
      <w:r w:rsidR="003548C2" w:rsidRPr="00693A57">
        <w:rPr>
          <w:color w:val="FF0000"/>
        </w:rPr>
        <w:t>CDR consumer</w:t>
      </w:r>
      <w:bookmarkEnd w:id="68"/>
      <w:r w:rsidR="003548C2" w:rsidRPr="00693A57">
        <w:rPr>
          <w:color w:val="FF0000"/>
        </w:rPr>
        <w:t xml:space="preserve"> </w:t>
      </w:r>
    </w:p>
    <w:p w14:paraId="58A72952" w14:textId="38C1F468" w:rsidR="003548C2" w:rsidRPr="00693A57" w:rsidRDefault="003548C2" w:rsidP="003548C2">
      <w:pPr>
        <w:pStyle w:val="notemargin"/>
        <w:rPr>
          <w:color w:val="FF0000"/>
        </w:rPr>
      </w:pPr>
      <w:r w:rsidRPr="00693A57">
        <w:rPr>
          <w:color w:val="FF0000"/>
        </w:rPr>
        <w:t>Note:</w:t>
      </w:r>
      <w:r w:rsidRPr="00693A57">
        <w:rPr>
          <w:color w:val="FF0000"/>
        </w:rPr>
        <w:tab/>
        <w:t>This rule relates to Division 3.2.</w:t>
      </w:r>
    </w:p>
    <w:p w14:paraId="1FE9246E" w14:textId="6C853BF0" w:rsidR="003548C2" w:rsidRPr="00693A57" w:rsidRDefault="003548C2" w:rsidP="003548C2">
      <w:pPr>
        <w:pStyle w:val="subsection"/>
        <w:rPr>
          <w:color w:val="FF0000"/>
        </w:rPr>
      </w:pPr>
      <w:r w:rsidRPr="00693A57">
        <w:rPr>
          <w:color w:val="FF0000"/>
        </w:rPr>
        <w:tab/>
      </w:r>
      <w:r w:rsidR="00832060" w:rsidRPr="00693A57">
        <w:rPr>
          <w:color w:val="FF0000"/>
        </w:rPr>
        <w:t>(1)</w:t>
      </w:r>
      <w:r w:rsidRPr="00693A57">
        <w:rPr>
          <w:color w:val="FF0000"/>
        </w:rPr>
        <w:tab/>
        <w:t xml:space="preserve">This </w:t>
      </w:r>
      <w:r w:rsidR="00EB7BB3" w:rsidRPr="00693A57">
        <w:rPr>
          <w:color w:val="FF0000"/>
        </w:rPr>
        <w:t>rule</w:t>
      </w:r>
      <w:r w:rsidRPr="00693A57">
        <w:rPr>
          <w:color w:val="FF0000"/>
        </w:rPr>
        <w:t xml:space="preserve"> applies where a CDR consumer proposes to make an SR data request.</w:t>
      </w:r>
    </w:p>
    <w:p w14:paraId="0D9A0EA8" w14:textId="23E6FF2A" w:rsidR="003548C2" w:rsidRPr="00693A57" w:rsidRDefault="003548C2" w:rsidP="003548C2">
      <w:pPr>
        <w:pStyle w:val="subsection"/>
        <w:rPr>
          <w:color w:val="FF0000"/>
        </w:rPr>
      </w:pPr>
      <w:r w:rsidRPr="00693A57">
        <w:rPr>
          <w:color w:val="FF0000"/>
        </w:rPr>
        <w:tab/>
      </w:r>
      <w:r w:rsidR="00832060" w:rsidRPr="00693A57">
        <w:rPr>
          <w:color w:val="FF0000"/>
        </w:rPr>
        <w:t>(2)</w:t>
      </w:r>
      <w:r w:rsidRPr="00693A57">
        <w:rPr>
          <w:color w:val="FF0000"/>
        </w:rPr>
        <w:tab/>
        <w:t xml:space="preserve">The request must be made to the </w:t>
      </w:r>
      <w:r w:rsidR="001A1BCE" w:rsidRPr="00693A57">
        <w:rPr>
          <w:color w:val="FF0000"/>
        </w:rPr>
        <w:t>primary data holder</w:t>
      </w:r>
      <w:r w:rsidRPr="00693A57">
        <w:rPr>
          <w:color w:val="FF0000"/>
        </w:rPr>
        <w:t xml:space="preserve">, using the </w:t>
      </w:r>
      <w:r w:rsidR="001A1BCE" w:rsidRPr="00693A57">
        <w:rPr>
          <w:color w:val="FF0000"/>
        </w:rPr>
        <w:t>primary data holder</w:t>
      </w:r>
      <w:r w:rsidRPr="00693A57">
        <w:rPr>
          <w:color w:val="FF0000"/>
        </w:rPr>
        <w:t>’s direct request service.</w:t>
      </w:r>
    </w:p>
    <w:p w14:paraId="6A31014B" w14:textId="77777777" w:rsidR="003548C2" w:rsidRPr="00693A57" w:rsidRDefault="003548C2" w:rsidP="003548C2">
      <w:pPr>
        <w:pStyle w:val="SubsectionHead"/>
        <w:rPr>
          <w:color w:val="FF0000"/>
        </w:rPr>
      </w:pPr>
      <w:r w:rsidRPr="00693A57">
        <w:rPr>
          <w:color w:val="FF0000"/>
        </w:rPr>
        <w:t>Dealing with the request</w:t>
      </w:r>
    </w:p>
    <w:p w14:paraId="58DDA333" w14:textId="60D58041" w:rsidR="003548C2" w:rsidRPr="00693A57" w:rsidRDefault="003548C2" w:rsidP="003548C2">
      <w:pPr>
        <w:pStyle w:val="subsection"/>
        <w:rPr>
          <w:color w:val="FF0000"/>
        </w:rPr>
      </w:pPr>
      <w:r w:rsidRPr="00693A57">
        <w:rPr>
          <w:color w:val="FF0000"/>
        </w:rPr>
        <w:tab/>
      </w:r>
      <w:r w:rsidR="00832060" w:rsidRPr="00693A57">
        <w:rPr>
          <w:color w:val="FF0000"/>
        </w:rPr>
        <w:t>(3)</w:t>
      </w:r>
      <w:r w:rsidRPr="00693A57">
        <w:rPr>
          <w:color w:val="FF0000"/>
        </w:rPr>
        <w:tab/>
      </w:r>
      <w:r w:rsidR="004C7F3C" w:rsidRPr="00693A57">
        <w:rPr>
          <w:color w:val="FF0000"/>
        </w:rPr>
        <w:t>T</w:t>
      </w:r>
      <w:r w:rsidRPr="00693A57">
        <w:rPr>
          <w:color w:val="FF0000"/>
        </w:rPr>
        <w:t xml:space="preserve">he </w:t>
      </w:r>
      <w:r w:rsidR="001A1BCE" w:rsidRPr="00693A57">
        <w:rPr>
          <w:color w:val="FF0000"/>
        </w:rPr>
        <w:t>primary data holder</w:t>
      </w:r>
      <w:r w:rsidRPr="00693A57">
        <w:rPr>
          <w:color w:val="FF0000"/>
        </w:rPr>
        <w:t xml:space="preserve"> must, using the service mentioned in sub</w:t>
      </w:r>
      <w:r w:rsidR="00701E3F" w:rsidRPr="00693A57">
        <w:rPr>
          <w:color w:val="FF0000"/>
        </w:rPr>
        <w:t xml:space="preserve">rule </w:t>
      </w:r>
      <w:r w:rsidR="000B1D10" w:rsidRPr="00693A57">
        <w:rPr>
          <w:color w:val="FF0000"/>
        </w:rPr>
        <w:t>1.20(2)</w:t>
      </w:r>
      <w:r w:rsidR="00366BF5" w:rsidRPr="00693A57">
        <w:rPr>
          <w:color w:val="FF0000"/>
        </w:rPr>
        <w:t xml:space="preserve"> </w:t>
      </w:r>
      <w:r w:rsidRPr="00693A57">
        <w:rPr>
          <w:color w:val="FF0000"/>
        </w:rPr>
        <w:t xml:space="preserve">in accordance with the data standards, request the secondary data holder to disclose any SR data that the </w:t>
      </w:r>
      <w:r w:rsidR="001A1BCE" w:rsidRPr="00693A57">
        <w:rPr>
          <w:color w:val="FF0000"/>
        </w:rPr>
        <w:t>primary data holder</w:t>
      </w:r>
      <w:r w:rsidRPr="00693A57">
        <w:rPr>
          <w:color w:val="FF0000"/>
        </w:rPr>
        <w:t xml:space="preserve"> needs in order to respond to the SR data request.</w:t>
      </w:r>
    </w:p>
    <w:p w14:paraId="79581156" w14:textId="34DB5C18" w:rsidR="00701E3F" w:rsidRPr="00693A57" w:rsidRDefault="003548C2" w:rsidP="00701E3F">
      <w:pPr>
        <w:pStyle w:val="notetext"/>
        <w:rPr>
          <w:color w:val="FF0000"/>
        </w:rPr>
      </w:pPr>
      <w:r w:rsidRPr="00693A57">
        <w:rPr>
          <w:color w:val="FF0000"/>
        </w:rPr>
        <w:lastRenderedPageBreak/>
        <w:t>Note:</w:t>
      </w:r>
      <w:r w:rsidRPr="00693A57">
        <w:rPr>
          <w:color w:val="FF0000"/>
        </w:rPr>
        <w:tab/>
        <w:t>This rule is a civil penalty provision (see rule 9.8).</w:t>
      </w:r>
    </w:p>
    <w:p w14:paraId="2EDE2235" w14:textId="73AAD123" w:rsidR="00576790" w:rsidRPr="00693A57" w:rsidRDefault="003548C2" w:rsidP="00576790">
      <w:pPr>
        <w:pStyle w:val="subsection"/>
        <w:rPr>
          <w:color w:val="FF0000"/>
        </w:rPr>
      </w:pPr>
      <w:r w:rsidRPr="00693A57">
        <w:rPr>
          <w:color w:val="FF0000"/>
        </w:rPr>
        <w:tab/>
      </w:r>
      <w:r w:rsidR="00832060" w:rsidRPr="00693A57">
        <w:rPr>
          <w:color w:val="FF0000"/>
        </w:rPr>
        <w:t>(4)</w:t>
      </w:r>
      <w:r w:rsidRPr="00693A57">
        <w:rPr>
          <w:color w:val="FF0000"/>
        </w:rPr>
        <w:tab/>
      </w:r>
      <w:r w:rsidR="00576790" w:rsidRPr="00693A57">
        <w:rPr>
          <w:color w:val="FF0000"/>
        </w:rPr>
        <w:t xml:space="preserve">If the </w:t>
      </w:r>
      <w:r w:rsidRPr="00693A57">
        <w:rPr>
          <w:color w:val="FF0000"/>
        </w:rPr>
        <w:t>secondary data holder</w:t>
      </w:r>
      <w:r w:rsidR="00576790" w:rsidRPr="00693A57">
        <w:rPr>
          <w:color w:val="FF0000"/>
        </w:rPr>
        <w:t xml:space="preserve"> chooses to disclose the SR data requested to the </w:t>
      </w:r>
      <w:r w:rsidR="001A1BCE" w:rsidRPr="00693A57">
        <w:rPr>
          <w:color w:val="FF0000"/>
        </w:rPr>
        <w:t>primary data holder</w:t>
      </w:r>
      <w:r w:rsidR="00576790" w:rsidRPr="00693A57">
        <w:rPr>
          <w:color w:val="FF0000"/>
        </w:rPr>
        <w:t xml:space="preserve">, it must do so in </w:t>
      </w:r>
      <w:r w:rsidR="001D3E30" w:rsidRPr="00693A57">
        <w:rPr>
          <w:color w:val="FF0000"/>
        </w:rPr>
        <w:t>accordance wi</w:t>
      </w:r>
      <w:r w:rsidR="00576790" w:rsidRPr="00693A57">
        <w:rPr>
          <w:color w:val="FF0000"/>
        </w:rPr>
        <w:t>th any relevant data standards.</w:t>
      </w:r>
    </w:p>
    <w:p w14:paraId="629A4D22" w14:textId="77777777" w:rsidR="00576790" w:rsidRPr="00693A57" w:rsidRDefault="00576790" w:rsidP="00576790">
      <w:pPr>
        <w:pStyle w:val="notetext"/>
        <w:rPr>
          <w:color w:val="FF0000"/>
        </w:rPr>
      </w:pPr>
      <w:r w:rsidRPr="00693A57">
        <w:rPr>
          <w:color w:val="FF0000"/>
        </w:rPr>
        <w:t>Note:</w:t>
      </w:r>
      <w:r w:rsidRPr="00693A57">
        <w:rPr>
          <w:color w:val="FF0000"/>
        </w:rPr>
        <w:tab/>
        <w:t>This rule is a civil penalty provision (see rule 9.8).</w:t>
      </w:r>
    </w:p>
    <w:p w14:paraId="135EF66E" w14:textId="314970D8" w:rsidR="00576790" w:rsidRPr="00693A57" w:rsidRDefault="00576790" w:rsidP="00576790">
      <w:pPr>
        <w:pStyle w:val="subsection"/>
        <w:rPr>
          <w:color w:val="FF0000"/>
        </w:rPr>
      </w:pPr>
      <w:r w:rsidRPr="00693A57">
        <w:rPr>
          <w:color w:val="FF0000"/>
        </w:rPr>
        <w:tab/>
      </w:r>
      <w:r w:rsidR="00832060" w:rsidRPr="00693A57">
        <w:rPr>
          <w:color w:val="FF0000"/>
        </w:rPr>
        <w:t>(5)</w:t>
      </w:r>
      <w:r w:rsidRPr="00693A57">
        <w:rPr>
          <w:color w:val="FF0000"/>
        </w:rPr>
        <w:tab/>
        <w:t xml:space="preserve">If the secondary data holder chooses not to disclose the SR data requested to the </w:t>
      </w:r>
      <w:r w:rsidR="001A1BCE" w:rsidRPr="00693A57">
        <w:rPr>
          <w:color w:val="FF0000"/>
        </w:rPr>
        <w:t>primary data holder</w:t>
      </w:r>
      <w:r w:rsidRPr="00693A57">
        <w:rPr>
          <w:color w:val="FF0000"/>
        </w:rPr>
        <w:t xml:space="preserve">, it must notify the </w:t>
      </w:r>
      <w:r w:rsidR="001A1BCE" w:rsidRPr="00693A57">
        <w:rPr>
          <w:color w:val="FF0000"/>
        </w:rPr>
        <w:t>primary data holder</w:t>
      </w:r>
      <w:r w:rsidRPr="00693A57">
        <w:rPr>
          <w:color w:val="FF0000"/>
        </w:rPr>
        <w:t xml:space="preserve"> of its refusal.</w:t>
      </w:r>
    </w:p>
    <w:p w14:paraId="7E78ABD4" w14:textId="77777777" w:rsidR="003548C2" w:rsidRPr="00693A57" w:rsidRDefault="003548C2" w:rsidP="003548C2">
      <w:pPr>
        <w:pStyle w:val="notetext"/>
        <w:rPr>
          <w:color w:val="FF0000"/>
        </w:rPr>
      </w:pPr>
      <w:r w:rsidRPr="00693A57">
        <w:rPr>
          <w:color w:val="FF0000"/>
        </w:rPr>
        <w:t>Note:</w:t>
      </w:r>
      <w:r w:rsidRPr="00693A57">
        <w:rPr>
          <w:color w:val="FF0000"/>
        </w:rPr>
        <w:tab/>
        <w:t>This rule is a civil penalty provision (see rule 9.8).</w:t>
      </w:r>
    </w:p>
    <w:p w14:paraId="6CB7750B" w14:textId="77777777" w:rsidR="00701E3F" w:rsidRPr="00693A57" w:rsidRDefault="00701E3F" w:rsidP="00701E3F">
      <w:pPr>
        <w:pStyle w:val="SubsectionHead"/>
        <w:rPr>
          <w:color w:val="FF0000"/>
        </w:rPr>
      </w:pPr>
      <w:r w:rsidRPr="00693A57">
        <w:rPr>
          <w:color w:val="FF0000"/>
        </w:rPr>
        <w:t>Responding to the request</w:t>
      </w:r>
    </w:p>
    <w:p w14:paraId="7664CE30" w14:textId="2A125D2D" w:rsidR="003548C2" w:rsidRPr="00693A57" w:rsidRDefault="003548C2" w:rsidP="003548C2">
      <w:pPr>
        <w:pStyle w:val="subsection"/>
        <w:rPr>
          <w:color w:val="FF0000"/>
        </w:rPr>
      </w:pPr>
      <w:r w:rsidRPr="00693A57">
        <w:rPr>
          <w:color w:val="FF0000"/>
        </w:rPr>
        <w:tab/>
      </w:r>
      <w:r w:rsidR="00832060" w:rsidRPr="00693A57">
        <w:rPr>
          <w:color w:val="FF0000"/>
        </w:rPr>
        <w:t>(6)</w:t>
      </w:r>
      <w:r w:rsidRPr="00693A57">
        <w:rPr>
          <w:color w:val="FF0000"/>
        </w:rPr>
        <w:tab/>
        <w:t xml:space="preserve">Rule </w:t>
      </w:r>
      <w:r w:rsidR="004C7F3C" w:rsidRPr="00693A57">
        <w:rPr>
          <w:color w:val="FF0000"/>
        </w:rPr>
        <w:t>3.4</w:t>
      </w:r>
      <w:r w:rsidRPr="00693A57">
        <w:rPr>
          <w:color w:val="FF0000"/>
        </w:rPr>
        <w:t xml:space="preserve"> (disclosing consumer data in response to a consumer data request) and rule </w:t>
      </w:r>
      <w:r w:rsidR="004C7F3C" w:rsidRPr="00693A57">
        <w:rPr>
          <w:color w:val="FF0000"/>
        </w:rPr>
        <w:t>3.5</w:t>
      </w:r>
      <w:r w:rsidRPr="00693A57">
        <w:rPr>
          <w:color w:val="FF0000"/>
        </w:rPr>
        <w:t xml:space="preserve"> (refusal to disclose) apply as if the </w:t>
      </w:r>
      <w:r w:rsidR="001A1BCE" w:rsidRPr="00693A57">
        <w:rPr>
          <w:color w:val="FF0000"/>
        </w:rPr>
        <w:t>primary data holder</w:t>
      </w:r>
      <w:r w:rsidRPr="00693A57">
        <w:rPr>
          <w:color w:val="FF0000"/>
        </w:rPr>
        <w:t xml:space="preserve"> were the data holder for any SR data covered by the SR data request.</w:t>
      </w:r>
    </w:p>
    <w:p w14:paraId="7DB6EDD4" w14:textId="364D3A67" w:rsidR="003D54C5" w:rsidRPr="00693A57" w:rsidRDefault="003D54C5" w:rsidP="003D54C5">
      <w:pPr>
        <w:pStyle w:val="subsection"/>
        <w:rPr>
          <w:color w:val="FF0000"/>
        </w:rPr>
      </w:pPr>
      <w:r w:rsidRPr="00693A57">
        <w:rPr>
          <w:color w:val="FF0000"/>
        </w:rPr>
        <w:tab/>
        <w:t>(7)</w:t>
      </w:r>
      <w:r w:rsidRPr="00693A57">
        <w:rPr>
          <w:color w:val="FF0000"/>
        </w:rPr>
        <w:tab/>
        <w:t>Subrule 3.4(3) does not apply in relation to SR data that the secondary data holder has refused to disclose to the primary data holder.</w:t>
      </w:r>
    </w:p>
    <w:p w14:paraId="29C0AE44" w14:textId="7A4BF18D" w:rsidR="003C756F" w:rsidRPr="00693A57" w:rsidRDefault="00832060" w:rsidP="003C756F">
      <w:pPr>
        <w:pStyle w:val="ActHead5"/>
        <w:rPr>
          <w:color w:val="FF0000"/>
        </w:rPr>
      </w:pPr>
      <w:bookmarkStart w:id="69" w:name="_Toc77064850"/>
      <w:r w:rsidRPr="00693A57">
        <w:rPr>
          <w:color w:val="FF0000"/>
        </w:rPr>
        <w:t>1.23</w:t>
      </w:r>
      <w:r w:rsidR="003C756F" w:rsidRPr="00693A57">
        <w:rPr>
          <w:color w:val="FF0000"/>
        </w:rPr>
        <w:t xml:space="preserve">  </w:t>
      </w:r>
      <w:r w:rsidR="00A471DF" w:rsidRPr="00693A57">
        <w:rPr>
          <w:color w:val="FF0000"/>
        </w:rPr>
        <w:t xml:space="preserve">SR </w:t>
      </w:r>
      <w:r w:rsidR="003C756F" w:rsidRPr="00693A57">
        <w:rPr>
          <w:color w:val="FF0000"/>
        </w:rPr>
        <w:t>data request</w:t>
      </w:r>
      <w:r w:rsidR="003548C2" w:rsidRPr="00693A57">
        <w:rPr>
          <w:color w:val="FF0000"/>
        </w:rPr>
        <w:t xml:space="preserve"> by </w:t>
      </w:r>
      <w:r w:rsidR="00612552" w:rsidRPr="00693A57">
        <w:rPr>
          <w:color w:val="FF0000"/>
        </w:rPr>
        <w:t xml:space="preserve">an </w:t>
      </w:r>
      <w:r w:rsidR="003548C2" w:rsidRPr="00693A57">
        <w:rPr>
          <w:color w:val="FF0000"/>
        </w:rPr>
        <w:t>accredited person</w:t>
      </w:r>
      <w:bookmarkEnd w:id="69"/>
    </w:p>
    <w:p w14:paraId="5FEA40FD" w14:textId="76B2A9A4" w:rsidR="003C756F" w:rsidRPr="00693A57" w:rsidRDefault="003C756F" w:rsidP="003C756F">
      <w:pPr>
        <w:pStyle w:val="notemargin"/>
        <w:rPr>
          <w:color w:val="FF0000"/>
        </w:rPr>
      </w:pPr>
      <w:r w:rsidRPr="00693A57">
        <w:rPr>
          <w:color w:val="FF0000"/>
        </w:rPr>
        <w:t>Note:</w:t>
      </w:r>
      <w:r w:rsidRPr="00693A57">
        <w:rPr>
          <w:color w:val="FF0000"/>
        </w:rPr>
        <w:tab/>
        <w:t xml:space="preserve">This </w:t>
      </w:r>
      <w:r w:rsidR="004C1FEE" w:rsidRPr="00693A57">
        <w:rPr>
          <w:color w:val="FF0000"/>
        </w:rPr>
        <w:t>rule</w:t>
      </w:r>
      <w:r w:rsidR="003548C2" w:rsidRPr="00693A57">
        <w:rPr>
          <w:color w:val="FF0000"/>
        </w:rPr>
        <w:t xml:space="preserve"> relates t</w:t>
      </w:r>
      <w:r w:rsidR="007E078A" w:rsidRPr="00693A57">
        <w:rPr>
          <w:color w:val="FF0000"/>
        </w:rPr>
        <w:t xml:space="preserve">o Subdivisions 4.2.2, </w:t>
      </w:r>
      <w:r w:rsidRPr="00693A57">
        <w:rPr>
          <w:color w:val="FF0000"/>
        </w:rPr>
        <w:t xml:space="preserve">4.2.3 </w:t>
      </w:r>
      <w:r w:rsidR="007E078A" w:rsidRPr="00693A57">
        <w:rPr>
          <w:color w:val="FF0000"/>
        </w:rPr>
        <w:t xml:space="preserve">and 4.3.2 </w:t>
      </w:r>
      <w:r w:rsidRPr="00693A57">
        <w:rPr>
          <w:color w:val="FF0000"/>
        </w:rPr>
        <w:t>and Division 4.4.</w:t>
      </w:r>
    </w:p>
    <w:p w14:paraId="38CC2565" w14:textId="68F2736E" w:rsidR="003C756F" w:rsidRPr="00693A57" w:rsidRDefault="003C756F" w:rsidP="003C756F">
      <w:pPr>
        <w:pStyle w:val="subsection"/>
        <w:rPr>
          <w:color w:val="FF0000"/>
        </w:rPr>
      </w:pPr>
      <w:r w:rsidRPr="00693A57">
        <w:rPr>
          <w:color w:val="FF0000"/>
        </w:rPr>
        <w:tab/>
      </w:r>
      <w:r w:rsidR="00832060" w:rsidRPr="00693A57">
        <w:rPr>
          <w:color w:val="FF0000"/>
        </w:rPr>
        <w:t>(1)</w:t>
      </w:r>
      <w:r w:rsidRPr="00693A57">
        <w:rPr>
          <w:color w:val="FF0000"/>
        </w:rPr>
        <w:tab/>
        <w:t xml:space="preserve">This </w:t>
      </w:r>
      <w:r w:rsidR="00576790" w:rsidRPr="00693A57">
        <w:rPr>
          <w:color w:val="FF0000"/>
        </w:rPr>
        <w:t>rule</w:t>
      </w:r>
      <w:r w:rsidRPr="00693A57">
        <w:rPr>
          <w:color w:val="FF0000"/>
        </w:rPr>
        <w:t xml:space="preserve"> applies where an accredited person proposes to make an </w:t>
      </w:r>
      <w:r w:rsidR="00A471DF" w:rsidRPr="00693A57">
        <w:rPr>
          <w:color w:val="FF0000"/>
        </w:rPr>
        <w:t xml:space="preserve">SR </w:t>
      </w:r>
      <w:r w:rsidRPr="00693A57">
        <w:rPr>
          <w:color w:val="FF0000"/>
        </w:rPr>
        <w:t>data request</w:t>
      </w:r>
      <w:r w:rsidR="003548C2" w:rsidRPr="00693A57">
        <w:rPr>
          <w:color w:val="FF0000"/>
        </w:rPr>
        <w:t xml:space="preserve"> on behalf of a CDR consumer</w:t>
      </w:r>
      <w:r w:rsidRPr="00693A57">
        <w:rPr>
          <w:color w:val="FF0000"/>
        </w:rPr>
        <w:t>.</w:t>
      </w:r>
    </w:p>
    <w:p w14:paraId="0AC3545C" w14:textId="77777777" w:rsidR="003C756F" w:rsidRPr="00693A57" w:rsidRDefault="003C756F" w:rsidP="003C756F">
      <w:pPr>
        <w:pStyle w:val="SubsectionHead"/>
        <w:rPr>
          <w:color w:val="FF0000"/>
        </w:rPr>
      </w:pPr>
      <w:r w:rsidRPr="00693A57">
        <w:rPr>
          <w:color w:val="FF0000"/>
        </w:rPr>
        <w:t>Making the request</w:t>
      </w:r>
    </w:p>
    <w:p w14:paraId="0287F789" w14:textId="3BE52A67" w:rsidR="003C756F" w:rsidRPr="00693A57" w:rsidRDefault="003C756F" w:rsidP="003C756F">
      <w:pPr>
        <w:pStyle w:val="subsection"/>
        <w:rPr>
          <w:color w:val="FF0000"/>
        </w:rPr>
      </w:pPr>
      <w:r w:rsidRPr="00693A57">
        <w:rPr>
          <w:color w:val="FF0000"/>
        </w:rPr>
        <w:tab/>
      </w:r>
      <w:r w:rsidR="00832060" w:rsidRPr="00693A57">
        <w:rPr>
          <w:color w:val="FF0000"/>
        </w:rPr>
        <w:t>(2)</w:t>
      </w:r>
      <w:r w:rsidRPr="00693A57">
        <w:rPr>
          <w:color w:val="FF0000"/>
        </w:rPr>
        <w:tab/>
        <w:t xml:space="preserve">The request must be made to the </w:t>
      </w:r>
      <w:r w:rsidR="001A1BCE" w:rsidRPr="00693A57">
        <w:rPr>
          <w:color w:val="FF0000"/>
        </w:rPr>
        <w:t>primary data holder</w:t>
      </w:r>
      <w:r w:rsidRPr="00693A57">
        <w:rPr>
          <w:color w:val="FF0000"/>
        </w:rPr>
        <w:t xml:space="preserve">, using the </w:t>
      </w:r>
      <w:r w:rsidR="001A1BCE" w:rsidRPr="00693A57">
        <w:rPr>
          <w:color w:val="FF0000"/>
        </w:rPr>
        <w:t>primary data holder</w:t>
      </w:r>
      <w:r w:rsidR="00A471DF" w:rsidRPr="00693A57">
        <w:rPr>
          <w:color w:val="FF0000"/>
        </w:rPr>
        <w:t xml:space="preserve">’s </w:t>
      </w:r>
      <w:r w:rsidRPr="00693A57">
        <w:rPr>
          <w:color w:val="FF0000"/>
        </w:rPr>
        <w:t>accredited person request service.</w:t>
      </w:r>
    </w:p>
    <w:p w14:paraId="352FF965" w14:textId="77777777" w:rsidR="003C756F" w:rsidRPr="00693A57" w:rsidRDefault="003C756F" w:rsidP="003C756F">
      <w:pPr>
        <w:pStyle w:val="SubsectionHead"/>
        <w:rPr>
          <w:color w:val="FF0000"/>
        </w:rPr>
      </w:pPr>
      <w:r w:rsidRPr="00693A57">
        <w:rPr>
          <w:color w:val="FF0000"/>
        </w:rPr>
        <w:t>Dealing with the request</w:t>
      </w:r>
    </w:p>
    <w:p w14:paraId="0C7F5B22" w14:textId="3625BD80" w:rsidR="003C756F" w:rsidRPr="00693A57" w:rsidRDefault="003C756F" w:rsidP="00872109">
      <w:pPr>
        <w:pStyle w:val="subsection"/>
        <w:rPr>
          <w:color w:val="FF0000"/>
        </w:rPr>
      </w:pPr>
      <w:r w:rsidRPr="00693A57">
        <w:rPr>
          <w:color w:val="FF0000"/>
        </w:rPr>
        <w:tab/>
      </w:r>
      <w:r w:rsidR="00832060" w:rsidRPr="00693A57">
        <w:rPr>
          <w:color w:val="FF0000"/>
        </w:rPr>
        <w:t>(3)</w:t>
      </w:r>
      <w:r w:rsidRPr="00693A57">
        <w:rPr>
          <w:color w:val="FF0000"/>
        </w:rPr>
        <w:tab/>
        <w:t>Rule 4.5 (asking CDR consumer for authorisation to disclose CDR data) applies as if</w:t>
      </w:r>
      <w:r w:rsidR="00872109" w:rsidRPr="00693A57">
        <w:rPr>
          <w:color w:val="FF0000"/>
        </w:rPr>
        <w:t xml:space="preserve"> </w:t>
      </w:r>
      <w:r w:rsidRPr="00693A57">
        <w:rPr>
          <w:color w:val="FF0000"/>
        </w:rPr>
        <w:t xml:space="preserve">the </w:t>
      </w:r>
      <w:r w:rsidR="001A1BCE" w:rsidRPr="00693A57">
        <w:rPr>
          <w:color w:val="FF0000"/>
        </w:rPr>
        <w:t>primary data holder</w:t>
      </w:r>
      <w:r w:rsidRPr="00693A57">
        <w:rPr>
          <w:color w:val="FF0000"/>
        </w:rPr>
        <w:t xml:space="preserve"> were the data holder for any</w:t>
      </w:r>
      <w:r w:rsidR="00A471DF" w:rsidRPr="00693A57">
        <w:rPr>
          <w:color w:val="FF0000"/>
        </w:rPr>
        <w:t xml:space="preserve"> SR data </w:t>
      </w:r>
      <w:r w:rsidRPr="00693A57">
        <w:rPr>
          <w:color w:val="FF0000"/>
        </w:rPr>
        <w:t xml:space="preserve">covered by the </w:t>
      </w:r>
      <w:r w:rsidR="00A471DF" w:rsidRPr="00693A57">
        <w:rPr>
          <w:color w:val="FF0000"/>
        </w:rPr>
        <w:t xml:space="preserve">SR </w:t>
      </w:r>
      <w:r w:rsidR="00872109" w:rsidRPr="00693A57">
        <w:rPr>
          <w:color w:val="FF0000"/>
        </w:rPr>
        <w:t>data request.</w:t>
      </w:r>
    </w:p>
    <w:p w14:paraId="0CD7DDC1" w14:textId="4636215C" w:rsidR="003C756F" w:rsidRPr="00693A57" w:rsidRDefault="003C756F" w:rsidP="003C756F">
      <w:pPr>
        <w:pStyle w:val="subsection"/>
        <w:rPr>
          <w:color w:val="FF0000"/>
        </w:rPr>
      </w:pPr>
      <w:r w:rsidRPr="00693A57">
        <w:rPr>
          <w:color w:val="FF0000"/>
        </w:rPr>
        <w:tab/>
      </w:r>
      <w:r w:rsidR="00832060" w:rsidRPr="00693A57">
        <w:rPr>
          <w:color w:val="FF0000"/>
        </w:rPr>
        <w:t>(4)</w:t>
      </w:r>
      <w:r w:rsidRPr="00693A57">
        <w:rPr>
          <w:color w:val="FF0000"/>
        </w:rPr>
        <w:tab/>
        <w:t xml:space="preserve">If the </w:t>
      </w:r>
      <w:r w:rsidR="00A471DF" w:rsidRPr="00693A57">
        <w:rPr>
          <w:color w:val="FF0000"/>
        </w:rPr>
        <w:t xml:space="preserve">CDR consumer </w:t>
      </w:r>
      <w:r w:rsidRPr="00693A57">
        <w:rPr>
          <w:color w:val="FF0000"/>
        </w:rPr>
        <w:t xml:space="preserve">authorises disclosure of requested data, the </w:t>
      </w:r>
      <w:r w:rsidR="001A1BCE" w:rsidRPr="00693A57">
        <w:rPr>
          <w:color w:val="FF0000"/>
        </w:rPr>
        <w:t>primary data holder</w:t>
      </w:r>
      <w:r w:rsidR="00A471DF" w:rsidRPr="00693A57">
        <w:rPr>
          <w:color w:val="FF0000"/>
        </w:rPr>
        <w:t xml:space="preserve"> </w:t>
      </w:r>
      <w:r w:rsidRPr="00693A57">
        <w:rPr>
          <w:color w:val="FF0000"/>
        </w:rPr>
        <w:t>must, usi</w:t>
      </w:r>
      <w:r w:rsidR="00576790" w:rsidRPr="00693A57">
        <w:rPr>
          <w:color w:val="FF0000"/>
        </w:rPr>
        <w:t>ng the service mentioned in subrule</w:t>
      </w:r>
      <w:r w:rsidR="00A471DF" w:rsidRPr="00693A57">
        <w:rPr>
          <w:color w:val="FF0000"/>
        </w:rPr>
        <w:t xml:space="preserve"> </w:t>
      </w:r>
      <w:r w:rsidR="000B1D10" w:rsidRPr="00693A57">
        <w:rPr>
          <w:color w:val="FF0000"/>
        </w:rPr>
        <w:t>1.20(2)</w:t>
      </w:r>
      <w:r w:rsidR="00EC2CC6" w:rsidRPr="00693A57">
        <w:rPr>
          <w:color w:val="FF0000"/>
        </w:rPr>
        <w:t xml:space="preserve"> and in </w:t>
      </w:r>
      <w:r w:rsidR="00102EB7" w:rsidRPr="00693A57">
        <w:rPr>
          <w:color w:val="FF0000"/>
        </w:rPr>
        <w:t>accordance with the data standards</w:t>
      </w:r>
      <w:r w:rsidRPr="00693A57">
        <w:rPr>
          <w:color w:val="FF0000"/>
        </w:rPr>
        <w:t xml:space="preserve">, request </w:t>
      </w:r>
      <w:r w:rsidR="00A471DF" w:rsidRPr="00693A57">
        <w:rPr>
          <w:color w:val="FF0000"/>
        </w:rPr>
        <w:t xml:space="preserve">the secondary data holder </w:t>
      </w:r>
      <w:r w:rsidRPr="00693A57">
        <w:rPr>
          <w:color w:val="FF0000"/>
        </w:rPr>
        <w:t xml:space="preserve">to disclose any </w:t>
      </w:r>
      <w:r w:rsidR="00A471DF" w:rsidRPr="00693A57">
        <w:rPr>
          <w:color w:val="FF0000"/>
        </w:rPr>
        <w:t>SR</w:t>
      </w:r>
      <w:r w:rsidRPr="00693A57">
        <w:rPr>
          <w:color w:val="FF0000"/>
        </w:rPr>
        <w:t xml:space="preserve"> data that the </w:t>
      </w:r>
      <w:r w:rsidR="001A1BCE" w:rsidRPr="00693A57">
        <w:rPr>
          <w:color w:val="FF0000"/>
        </w:rPr>
        <w:t>primary data holder</w:t>
      </w:r>
      <w:r w:rsidR="00A471DF" w:rsidRPr="00693A57">
        <w:rPr>
          <w:color w:val="FF0000"/>
        </w:rPr>
        <w:t xml:space="preserve"> needs in order </w:t>
      </w:r>
      <w:r w:rsidRPr="00693A57">
        <w:rPr>
          <w:color w:val="FF0000"/>
        </w:rPr>
        <w:t>to respond to the</w:t>
      </w:r>
      <w:r w:rsidR="00A471DF" w:rsidRPr="00693A57">
        <w:rPr>
          <w:color w:val="FF0000"/>
        </w:rPr>
        <w:t xml:space="preserve"> SR</w:t>
      </w:r>
      <w:r w:rsidRPr="00693A57">
        <w:rPr>
          <w:color w:val="FF0000"/>
        </w:rPr>
        <w:t xml:space="preserve"> data request.</w:t>
      </w:r>
    </w:p>
    <w:p w14:paraId="1EF98933" w14:textId="77777777" w:rsidR="000E315F" w:rsidRPr="00693A57" w:rsidRDefault="000E315F" w:rsidP="000E315F">
      <w:pPr>
        <w:pStyle w:val="notetext"/>
        <w:rPr>
          <w:color w:val="FF0000"/>
        </w:rPr>
      </w:pPr>
      <w:r w:rsidRPr="00693A57">
        <w:rPr>
          <w:color w:val="FF0000"/>
        </w:rPr>
        <w:t>Note:</w:t>
      </w:r>
      <w:r w:rsidRPr="00693A57">
        <w:rPr>
          <w:color w:val="FF0000"/>
        </w:rPr>
        <w:tab/>
        <w:t>This rule is a civil penalty provision (see rule 9.8).</w:t>
      </w:r>
    </w:p>
    <w:p w14:paraId="0DF6047A" w14:textId="1D62E10F" w:rsidR="00576790" w:rsidRPr="00693A57" w:rsidRDefault="00576790" w:rsidP="00576790">
      <w:pPr>
        <w:pStyle w:val="subsection"/>
        <w:rPr>
          <w:color w:val="FF0000"/>
        </w:rPr>
      </w:pPr>
      <w:r w:rsidRPr="00693A57">
        <w:rPr>
          <w:color w:val="FF0000"/>
        </w:rPr>
        <w:tab/>
      </w:r>
      <w:r w:rsidR="00832060" w:rsidRPr="00693A57">
        <w:rPr>
          <w:color w:val="FF0000"/>
        </w:rPr>
        <w:t>(5)</w:t>
      </w:r>
      <w:r w:rsidRPr="00693A57">
        <w:rPr>
          <w:color w:val="FF0000"/>
        </w:rPr>
        <w:tab/>
        <w:t xml:space="preserve">If the secondary data holder chooses to disclose the SR data requested to the </w:t>
      </w:r>
      <w:r w:rsidR="001A1BCE" w:rsidRPr="00693A57">
        <w:rPr>
          <w:color w:val="FF0000"/>
        </w:rPr>
        <w:t>primary data holder</w:t>
      </w:r>
      <w:r w:rsidRPr="00693A57">
        <w:rPr>
          <w:color w:val="FF0000"/>
        </w:rPr>
        <w:t>, it must do so in accordance with any relevant data standards.</w:t>
      </w:r>
    </w:p>
    <w:p w14:paraId="32166515" w14:textId="77777777" w:rsidR="00576790" w:rsidRPr="00693A57" w:rsidRDefault="00576790" w:rsidP="00576790">
      <w:pPr>
        <w:pStyle w:val="notetext"/>
        <w:rPr>
          <w:color w:val="FF0000"/>
        </w:rPr>
      </w:pPr>
      <w:r w:rsidRPr="00693A57">
        <w:rPr>
          <w:color w:val="FF0000"/>
        </w:rPr>
        <w:t>Note:</w:t>
      </w:r>
      <w:r w:rsidRPr="00693A57">
        <w:rPr>
          <w:color w:val="FF0000"/>
        </w:rPr>
        <w:tab/>
        <w:t>This rule is a civil penalty provision (see rule 9.8).</w:t>
      </w:r>
    </w:p>
    <w:p w14:paraId="2030A947" w14:textId="72FC358C" w:rsidR="00576790" w:rsidRPr="00693A57" w:rsidRDefault="00576790" w:rsidP="00576790">
      <w:pPr>
        <w:pStyle w:val="subsection"/>
        <w:rPr>
          <w:color w:val="FF0000"/>
        </w:rPr>
      </w:pPr>
      <w:r w:rsidRPr="00693A57">
        <w:rPr>
          <w:color w:val="FF0000"/>
        </w:rPr>
        <w:lastRenderedPageBreak/>
        <w:tab/>
      </w:r>
      <w:r w:rsidR="00832060" w:rsidRPr="00693A57">
        <w:rPr>
          <w:color w:val="FF0000"/>
        </w:rPr>
        <w:t>(6)</w:t>
      </w:r>
      <w:r w:rsidRPr="00693A57">
        <w:rPr>
          <w:color w:val="FF0000"/>
        </w:rPr>
        <w:tab/>
        <w:t xml:space="preserve">If the secondary data holder chooses not to disclose the SR data requested to the </w:t>
      </w:r>
      <w:r w:rsidR="001A1BCE" w:rsidRPr="00693A57">
        <w:rPr>
          <w:color w:val="FF0000"/>
        </w:rPr>
        <w:t>primary data holder</w:t>
      </w:r>
      <w:r w:rsidRPr="00693A57">
        <w:rPr>
          <w:color w:val="FF0000"/>
        </w:rPr>
        <w:t xml:space="preserve">, it must notify the </w:t>
      </w:r>
      <w:r w:rsidR="001A1BCE" w:rsidRPr="00693A57">
        <w:rPr>
          <w:color w:val="FF0000"/>
        </w:rPr>
        <w:t>primary data holder</w:t>
      </w:r>
      <w:r w:rsidRPr="00693A57">
        <w:rPr>
          <w:color w:val="FF0000"/>
        </w:rPr>
        <w:t xml:space="preserve"> of its refusal.</w:t>
      </w:r>
    </w:p>
    <w:p w14:paraId="05DAC9AF" w14:textId="77777777" w:rsidR="00576790" w:rsidRPr="00693A57" w:rsidRDefault="00576790" w:rsidP="00576790">
      <w:pPr>
        <w:pStyle w:val="notetext"/>
        <w:rPr>
          <w:color w:val="FF0000"/>
        </w:rPr>
      </w:pPr>
      <w:r w:rsidRPr="00693A57">
        <w:rPr>
          <w:color w:val="FF0000"/>
        </w:rPr>
        <w:t>Note:</w:t>
      </w:r>
      <w:r w:rsidRPr="00693A57">
        <w:rPr>
          <w:color w:val="FF0000"/>
        </w:rPr>
        <w:tab/>
        <w:t>This rule is a civil penalty provision (see rule 9.8).</w:t>
      </w:r>
    </w:p>
    <w:p w14:paraId="1E399DFE" w14:textId="77777777" w:rsidR="00701E3F" w:rsidRPr="00693A57" w:rsidRDefault="00701E3F" w:rsidP="00701E3F">
      <w:pPr>
        <w:pStyle w:val="SubsectionHead"/>
        <w:rPr>
          <w:color w:val="FF0000"/>
        </w:rPr>
      </w:pPr>
      <w:r w:rsidRPr="00693A57">
        <w:rPr>
          <w:color w:val="FF0000"/>
        </w:rPr>
        <w:t>Responding to the request</w:t>
      </w:r>
    </w:p>
    <w:p w14:paraId="61D0CA0D" w14:textId="08CCF82F" w:rsidR="00FE497A" w:rsidRPr="00693A57" w:rsidRDefault="00872109" w:rsidP="00FE497A">
      <w:pPr>
        <w:pStyle w:val="subsection"/>
        <w:rPr>
          <w:color w:val="FF0000"/>
        </w:rPr>
      </w:pPr>
      <w:r w:rsidRPr="00693A57">
        <w:rPr>
          <w:color w:val="FF0000"/>
        </w:rPr>
        <w:tab/>
      </w:r>
      <w:r w:rsidR="00832060" w:rsidRPr="00693A57">
        <w:rPr>
          <w:color w:val="FF0000"/>
        </w:rPr>
        <w:t>(7)</w:t>
      </w:r>
      <w:r w:rsidRPr="00693A57">
        <w:rPr>
          <w:color w:val="FF0000"/>
        </w:rPr>
        <w:tab/>
      </w:r>
      <w:r w:rsidR="00FE497A" w:rsidRPr="00693A57">
        <w:rPr>
          <w:color w:val="FF0000"/>
        </w:rPr>
        <w:t xml:space="preserve">Subject to subrule </w:t>
      </w:r>
      <w:r w:rsidR="000B1D10" w:rsidRPr="00693A57">
        <w:rPr>
          <w:color w:val="FF0000"/>
        </w:rPr>
        <w:t>(8)</w:t>
      </w:r>
      <w:r w:rsidR="00FE497A" w:rsidRPr="00693A57">
        <w:rPr>
          <w:color w:val="FF0000"/>
        </w:rPr>
        <w:t xml:space="preserve">, rule 4.6 (disclosing consumer data in response to a consumer data request) applies as if the </w:t>
      </w:r>
      <w:r w:rsidR="001A1BCE" w:rsidRPr="00693A57">
        <w:rPr>
          <w:color w:val="FF0000"/>
        </w:rPr>
        <w:t>primary data holder</w:t>
      </w:r>
      <w:r w:rsidR="00FE497A" w:rsidRPr="00693A57">
        <w:rPr>
          <w:color w:val="FF0000"/>
        </w:rPr>
        <w:t xml:space="preserve"> were the data holder for any SR data covered by the SR data request.</w:t>
      </w:r>
    </w:p>
    <w:p w14:paraId="7873A1A9" w14:textId="21E7E3A6" w:rsidR="00872109" w:rsidRPr="00693A57" w:rsidRDefault="00FE497A" w:rsidP="00FE497A">
      <w:pPr>
        <w:pStyle w:val="subsection"/>
        <w:rPr>
          <w:color w:val="FF0000"/>
        </w:rPr>
      </w:pPr>
      <w:r w:rsidRPr="00693A57">
        <w:rPr>
          <w:color w:val="FF0000"/>
        </w:rPr>
        <w:tab/>
      </w:r>
      <w:r w:rsidR="00832060" w:rsidRPr="00693A57">
        <w:rPr>
          <w:color w:val="FF0000"/>
        </w:rPr>
        <w:t>(8)</w:t>
      </w:r>
      <w:r w:rsidRPr="00693A57">
        <w:rPr>
          <w:color w:val="FF0000"/>
        </w:rPr>
        <w:tab/>
        <w:t xml:space="preserve">Subrule 4.6(4) does not apply in relation to SR data that the secondary data holder has refused to disclose to the </w:t>
      </w:r>
      <w:r w:rsidR="001A1BCE" w:rsidRPr="00693A57">
        <w:rPr>
          <w:color w:val="FF0000"/>
        </w:rPr>
        <w:t>primary data holder</w:t>
      </w:r>
      <w:r w:rsidRPr="00693A57">
        <w:rPr>
          <w:color w:val="FF0000"/>
        </w:rPr>
        <w:t>.</w:t>
      </w:r>
    </w:p>
    <w:p w14:paraId="06B659A7" w14:textId="3D8A26F4" w:rsidR="003C756F" w:rsidRPr="00693A57" w:rsidRDefault="003C756F" w:rsidP="003C756F">
      <w:pPr>
        <w:pStyle w:val="subsection"/>
        <w:rPr>
          <w:color w:val="FF0000"/>
        </w:rPr>
      </w:pPr>
      <w:r w:rsidRPr="00693A57">
        <w:rPr>
          <w:color w:val="FF0000"/>
        </w:rPr>
        <w:tab/>
      </w:r>
      <w:r w:rsidR="00832060" w:rsidRPr="00693A57">
        <w:rPr>
          <w:color w:val="FF0000"/>
        </w:rPr>
        <w:t>(9)</w:t>
      </w:r>
      <w:r w:rsidRPr="00693A57">
        <w:rPr>
          <w:color w:val="FF0000"/>
        </w:rPr>
        <w:tab/>
        <w:t>Rule</w:t>
      </w:r>
      <w:r w:rsidR="00FE497A" w:rsidRPr="00693A57">
        <w:rPr>
          <w:color w:val="FF0000"/>
        </w:rPr>
        <w:t xml:space="preserve"> 4.7 (refusal to disclose) applies</w:t>
      </w:r>
      <w:r w:rsidRPr="00693A57">
        <w:rPr>
          <w:color w:val="FF0000"/>
        </w:rPr>
        <w:t xml:space="preserve"> as if the </w:t>
      </w:r>
      <w:r w:rsidR="001A1BCE" w:rsidRPr="00693A57">
        <w:rPr>
          <w:color w:val="FF0000"/>
        </w:rPr>
        <w:t>primary data holder</w:t>
      </w:r>
      <w:r w:rsidRPr="00693A57">
        <w:rPr>
          <w:color w:val="FF0000"/>
        </w:rPr>
        <w:t xml:space="preserve"> were the data holder for any </w:t>
      </w:r>
      <w:r w:rsidR="00A471DF" w:rsidRPr="00693A57">
        <w:rPr>
          <w:color w:val="FF0000"/>
        </w:rPr>
        <w:t xml:space="preserve">SR </w:t>
      </w:r>
      <w:r w:rsidRPr="00693A57">
        <w:rPr>
          <w:color w:val="FF0000"/>
        </w:rPr>
        <w:t xml:space="preserve">data covered by the </w:t>
      </w:r>
      <w:r w:rsidR="00A471DF" w:rsidRPr="00693A57">
        <w:rPr>
          <w:color w:val="FF0000"/>
        </w:rPr>
        <w:t xml:space="preserve">SR </w:t>
      </w:r>
      <w:r w:rsidRPr="00693A57">
        <w:rPr>
          <w:color w:val="FF0000"/>
        </w:rPr>
        <w:t>data request.</w:t>
      </w:r>
    </w:p>
    <w:p w14:paraId="1C9A113F" w14:textId="77777777" w:rsidR="003C756F" w:rsidRPr="00693A57" w:rsidRDefault="003C756F" w:rsidP="003C756F">
      <w:pPr>
        <w:pStyle w:val="SubsectionHead"/>
        <w:rPr>
          <w:color w:val="FF0000"/>
        </w:rPr>
      </w:pPr>
      <w:r w:rsidRPr="00693A57">
        <w:rPr>
          <w:color w:val="FF0000"/>
        </w:rPr>
        <w:t>Notification of withdrawal of consent</w:t>
      </w:r>
    </w:p>
    <w:p w14:paraId="5D944C7E" w14:textId="7B013C1A" w:rsidR="003C756F" w:rsidRPr="00693A57" w:rsidRDefault="003C756F" w:rsidP="003C756F">
      <w:pPr>
        <w:pStyle w:val="subsection"/>
        <w:rPr>
          <w:color w:val="FF0000"/>
        </w:rPr>
      </w:pPr>
      <w:r w:rsidRPr="00693A57">
        <w:rPr>
          <w:color w:val="FF0000"/>
        </w:rPr>
        <w:tab/>
      </w:r>
      <w:r w:rsidR="00832060" w:rsidRPr="00693A57">
        <w:rPr>
          <w:color w:val="FF0000"/>
        </w:rPr>
        <w:t>(10)</w:t>
      </w:r>
      <w:r w:rsidRPr="00693A57">
        <w:rPr>
          <w:color w:val="FF0000"/>
        </w:rPr>
        <w:tab/>
        <w:t xml:space="preserve">Rule 4.13 (withdrawal of consent) applies as if the </w:t>
      </w:r>
      <w:r w:rsidR="001A1BCE" w:rsidRPr="00693A57">
        <w:rPr>
          <w:color w:val="FF0000"/>
        </w:rPr>
        <w:t>primary data holder</w:t>
      </w:r>
      <w:r w:rsidRPr="00693A57">
        <w:rPr>
          <w:color w:val="FF0000"/>
        </w:rPr>
        <w:t xml:space="preserve"> were the data holder for any </w:t>
      </w:r>
      <w:r w:rsidR="00A471DF" w:rsidRPr="00693A57">
        <w:rPr>
          <w:color w:val="FF0000"/>
        </w:rPr>
        <w:t>SR</w:t>
      </w:r>
      <w:r w:rsidRPr="00693A57">
        <w:rPr>
          <w:color w:val="FF0000"/>
        </w:rPr>
        <w:t xml:space="preserve"> data covered by the </w:t>
      </w:r>
      <w:r w:rsidR="00A471DF" w:rsidRPr="00693A57">
        <w:rPr>
          <w:color w:val="FF0000"/>
        </w:rPr>
        <w:t>SR</w:t>
      </w:r>
      <w:r w:rsidRPr="00693A57">
        <w:rPr>
          <w:color w:val="FF0000"/>
        </w:rPr>
        <w:t xml:space="preserve"> data request.</w:t>
      </w:r>
    </w:p>
    <w:p w14:paraId="1D4756DE" w14:textId="77777777" w:rsidR="003C756F" w:rsidRPr="00693A57" w:rsidRDefault="003C756F" w:rsidP="003C756F">
      <w:pPr>
        <w:pStyle w:val="SubsectionHead"/>
        <w:rPr>
          <w:color w:val="FF0000"/>
        </w:rPr>
      </w:pPr>
      <w:r w:rsidRPr="00693A57">
        <w:rPr>
          <w:color w:val="FF0000"/>
        </w:rPr>
        <w:t>Dealing with authorisations</w:t>
      </w:r>
    </w:p>
    <w:p w14:paraId="54DC3500" w14:textId="39DD422A" w:rsidR="003C756F" w:rsidRPr="00693A57" w:rsidRDefault="003C756F" w:rsidP="003C756F">
      <w:pPr>
        <w:pStyle w:val="subsection"/>
        <w:rPr>
          <w:color w:val="FF0000"/>
        </w:rPr>
      </w:pPr>
      <w:r w:rsidRPr="00693A57">
        <w:rPr>
          <w:color w:val="FF0000"/>
        </w:rPr>
        <w:tab/>
      </w:r>
      <w:r w:rsidR="00832060" w:rsidRPr="00693A57">
        <w:rPr>
          <w:color w:val="FF0000"/>
        </w:rPr>
        <w:t>(11)</w:t>
      </w:r>
      <w:r w:rsidRPr="00693A57">
        <w:rPr>
          <w:color w:val="FF0000"/>
        </w:rPr>
        <w:tab/>
        <w:t>Division 4.4 (authorisations to disclose CDR data) applies as if:</w:t>
      </w:r>
    </w:p>
    <w:p w14:paraId="1EEA1D3D" w14:textId="34263812" w:rsidR="003C756F" w:rsidRPr="00693A57" w:rsidRDefault="003C756F" w:rsidP="003C756F">
      <w:pPr>
        <w:pStyle w:val="paragraph"/>
        <w:rPr>
          <w:color w:val="FF0000"/>
        </w:rPr>
      </w:pPr>
      <w:r w:rsidRPr="00693A57">
        <w:rPr>
          <w:color w:val="FF0000"/>
        </w:rPr>
        <w:tab/>
      </w:r>
      <w:r w:rsidR="00832060" w:rsidRPr="00693A57">
        <w:rPr>
          <w:color w:val="FF0000"/>
        </w:rPr>
        <w:t>(a)</w:t>
      </w:r>
      <w:r w:rsidRPr="00693A57">
        <w:rPr>
          <w:color w:val="FF0000"/>
        </w:rPr>
        <w:tab/>
        <w:t xml:space="preserve">a reference to the data holder were a reference to the </w:t>
      </w:r>
      <w:r w:rsidR="001A1BCE" w:rsidRPr="00693A57">
        <w:rPr>
          <w:color w:val="FF0000"/>
        </w:rPr>
        <w:t>primary data holder</w:t>
      </w:r>
      <w:r w:rsidRPr="00693A57">
        <w:rPr>
          <w:color w:val="FF0000"/>
        </w:rPr>
        <w:t>; and</w:t>
      </w:r>
    </w:p>
    <w:p w14:paraId="167077A4" w14:textId="797623C6" w:rsidR="003C756F" w:rsidRPr="00693A57" w:rsidRDefault="003C756F" w:rsidP="003C756F">
      <w:pPr>
        <w:pStyle w:val="paragraph"/>
        <w:rPr>
          <w:color w:val="FF0000"/>
        </w:rPr>
      </w:pPr>
      <w:r w:rsidRPr="00693A57">
        <w:rPr>
          <w:color w:val="FF0000"/>
        </w:rPr>
        <w:tab/>
      </w:r>
      <w:r w:rsidR="00832060" w:rsidRPr="00693A57">
        <w:rPr>
          <w:color w:val="FF0000"/>
        </w:rPr>
        <w:t>(b)</w:t>
      </w:r>
      <w:r w:rsidRPr="00693A57">
        <w:rPr>
          <w:color w:val="FF0000"/>
        </w:rPr>
        <w:tab/>
        <w:t>the</w:t>
      </w:r>
      <w:r w:rsidR="008A7209" w:rsidRPr="00693A57">
        <w:rPr>
          <w:color w:val="FF0000"/>
        </w:rPr>
        <w:t xml:space="preserve"> following subrule were added after s</w:t>
      </w:r>
      <w:r w:rsidRPr="00693A57">
        <w:rPr>
          <w:color w:val="FF0000"/>
        </w:rPr>
        <w:t>ubrule 4.25(2) (withdrawal of authorisation by CDR consumer):</w:t>
      </w:r>
    </w:p>
    <w:p w14:paraId="73AA972E" w14:textId="2C45988E" w:rsidR="003C756F" w:rsidRPr="00693A57" w:rsidRDefault="003C756F" w:rsidP="003C756F">
      <w:pPr>
        <w:pStyle w:val="paragraphsub"/>
        <w:rPr>
          <w:color w:val="FF0000"/>
        </w:rPr>
      </w:pPr>
      <w:r w:rsidRPr="00693A57">
        <w:rPr>
          <w:color w:val="FF0000"/>
        </w:rPr>
        <w:tab/>
        <w:t>“(2)</w:t>
      </w:r>
      <w:r w:rsidRPr="00693A57">
        <w:rPr>
          <w:color w:val="FF0000"/>
        </w:rPr>
        <w:tab/>
        <w:t xml:space="preserve">For paragraph (2)(a), giving effect to withdrawal includes cancelling any current requests to </w:t>
      </w:r>
      <w:r w:rsidR="00A471DF" w:rsidRPr="00693A57">
        <w:rPr>
          <w:color w:val="FF0000"/>
        </w:rPr>
        <w:t>the secondary data holder</w:t>
      </w:r>
      <w:r w:rsidRPr="00693A57">
        <w:rPr>
          <w:color w:val="FF0000"/>
        </w:rPr>
        <w:t xml:space="preserve"> by the </w:t>
      </w:r>
      <w:r w:rsidR="001A1BCE" w:rsidRPr="00693A57">
        <w:rPr>
          <w:color w:val="FF0000"/>
        </w:rPr>
        <w:t>primary data holder</w:t>
      </w:r>
      <w:r w:rsidR="00A471DF" w:rsidRPr="00693A57">
        <w:rPr>
          <w:color w:val="FF0000"/>
        </w:rPr>
        <w:t xml:space="preserve"> </w:t>
      </w:r>
      <w:r w:rsidRPr="00693A57">
        <w:rPr>
          <w:color w:val="FF0000"/>
        </w:rPr>
        <w:t xml:space="preserve">under </w:t>
      </w:r>
      <w:r w:rsidR="00A471DF" w:rsidRPr="00693A57">
        <w:rPr>
          <w:color w:val="FF0000"/>
        </w:rPr>
        <w:t xml:space="preserve">subrule </w:t>
      </w:r>
      <w:r w:rsidR="000B1D10" w:rsidRPr="00693A57">
        <w:rPr>
          <w:color w:val="FF0000"/>
        </w:rPr>
        <w:t>1.23(4)</w:t>
      </w:r>
      <w:r w:rsidRPr="00693A57">
        <w:rPr>
          <w:color w:val="FF0000"/>
        </w:rPr>
        <w:t>.”.</w:t>
      </w:r>
    </w:p>
    <w:p w14:paraId="7276C049" w14:textId="10D89835" w:rsidR="003C756F" w:rsidRPr="00693A57" w:rsidRDefault="00832060" w:rsidP="004C7F3C">
      <w:pPr>
        <w:pStyle w:val="ActHead5"/>
        <w:rPr>
          <w:color w:val="FF0000"/>
        </w:rPr>
      </w:pPr>
      <w:bookmarkStart w:id="70" w:name="_Toc77064851"/>
      <w:r w:rsidRPr="00693A57">
        <w:rPr>
          <w:color w:val="FF0000"/>
        </w:rPr>
        <w:t>1.24</w:t>
      </w:r>
      <w:r w:rsidR="004C7F3C" w:rsidRPr="00693A57">
        <w:rPr>
          <w:color w:val="FF0000"/>
        </w:rPr>
        <w:t xml:space="preserve">  SR d</w:t>
      </w:r>
      <w:r w:rsidR="003C756F" w:rsidRPr="00693A57">
        <w:rPr>
          <w:color w:val="FF0000"/>
        </w:rPr>
        <w:t xml:space="preserve">ata </w:t>
      </w:r>
      <w:r w:rsidR="004C7F3C" w:rsidRPr="00693A57">
        <w:rPr>
          <w:color w:val="FF0000"/>
        </w:rPr>
        <w:t xml:space="preserve">disclosed to </w:t>
      </w:r>
      <w:r w:rsidR="001A1BCE" w:rsidRPr="00693A57">
        <w:rPr>
          <w:color w:val="FF0000"/>
        </w:rPr>
        <w:t>primary data holder</w:t>
      </w:r>
      <w:r w:rsidR="004C7F3C" w:rsidRPr="00693A57">
        <w:rPr>
          <w:color w:val="FF0000"/>
        </w:rPr>
        <w:t xml:space="preserve"> </w:t>
      </w:r>
      <w:r w:rsidR="003C756F" w:rsidRPr="00693A57">
        <w:rPr>
          <w:color w:val="FF0000"/>
        </w:rPr>
        <w:t>not to be used for other purposes</w:t>
      </w:r>
      <w:bookmarkEnd w:id="70"/>
    </w:p>
    <w:p w14:paraId="1C440838" w14:textId="0D6176EF" w:rsidR="00491B93" w:rsidRPr="00693A57" w:rsidRDefault="00491B93" w:rsidP="00491B93">
      <w:pPr>
        <w:pStyle w:val="subsection"/>
        <w:rPr>
          <w:color w:val="FF0000"/>
        </w:rPr>
      </w:pPr>
      <w:r w:rsidRPr="00693A57">
        <w:rPr>
          <w:color w:val="FF0000"/>
        </w:rPr>
        <w:tab/>
        <w:t>(1)</w:t>
      </w:r>
      <w:r w:rsidRPr="00693A57">
        <w:rPr>
          <w:color w:val="FF0000"/>
        </w:rPr>
        <w:tab/>
        <w:t xml:space="preserve">A </w:t>
      </w:r>
      <w:r w:rsidR="001A1BCE" w:rsidRPr="00693A57">
        <w:rPr>
          <w:color w:val="FF0000"/>
        </w:rPr>
        <w:t>primary data holder</w:t>
      </w:r>
      <w:r w:rsidRPr="00693A57">
        <w:rPr>
          <w:color w:val="FF0000"/>
        </w:rPr>
        <w:t xml:space="preserve"> must not use the service mentioned in subrule 1.20(2) other than to request SR data that it needs to respond to an SR data request.</w:t>
      </w:r>
    </w:p>
    <w:p w14:paraId="7C79878B" w14:textId="319A5720" w:rsidR="00FE49D3" w:rsidRPr="00693A57" w:rsidRDefault="00491B93" w:rsidP="00491B93">
      <w:pPr>
        <w:pStyle w:val="subsection"/>
        <w:rPr>
          <w:color w:val="FF0000"/>
        </w:rPr>
      </w:pPr>
      <w:r w:rsidRPr="00693A57">
        <w:rPr>
          <w:color w:val="FF0000"/>
        </w:rPr>
        <w:tab/>
        <w:t>(2)</w:t>
      </w:r>
      <w:r w:rsidRPr="00693A57">
        <w:rPr>
          <w:color w:val="FF0000"/>
        </w:rPr>
        <w:tab/>
        <w:t xml:space="preserve">Where a secondary data holder provides SR data to a </w:t>
      </w:r>
      <w:r w:rsidR="001A1BCE" w:rsidRPr="00693A57">
        <w:rPr>
          <w:color w:val="FF0000"/>
        </w:rPr>
        <w:t>primary data holder</w:t>
      </w:r>
      <w:r w:rsidRPr="00693A57">
        <w:rPr>
          <w:color w:val="FF0000"/>
        </w:rPr>
        <w:t xml:space="preserve"> in response to such a request</w:t>
      </w:r>
      <w:r w:rsidR="00FE49D3" w:rsidRPr="00693A57">
        <w:rPr>
          <w:color w:val="FF0000"/>
        </w:rPr>
        <w:t>:</w:t>
      </w:r>
    </w:p>
    <w:p w14:paraId="78FC1061" w14:textId="5A5DFEB2" w:rsidR="00491B93" w:rsidRPr="00693A57" w:rsidRDefault="00FE49D3" w:rsidP="00FE49D3">
      <w:pPr>
        <w:pStyle w:val="paragraph"/>
        <w:rPr>
          <w:color w:val="FF0000"/>
        </w:rPr>
      </w:pPr>
      <w:r w:rsidRPr="00693A57">
        <w:rPr>
          <w:color w:val="FF0000"/>
        </w:rPr>
        <w:tab/>
        <w:t>(a)</w:t>
      </w:r>
      <w:r w:rsidRPr="00693A57">
        <w:rPr>
          <w:color w:val="FF0000"/>
        </w:rPr>
        <w:tab/>
      </w:r>
      <w:r w:rsidR="00491B93" w:rsidRPr="00693A57">
        <w:rPr>
          <w:color w:val="FF0000"/>
        </w:rPr>
        <w:t xml:space="preserve">the </w:t>
      </w:r>
      <w:r w:rsidR="001A1BCE" w:rsidRPr="00693A57">
        <w:rPr>
          <w:color w:val="FF0000"/>
        </w:rPr>
        <w:t>primary data holder</w:t>
      </w:r>
      <w:r w:rsidR="00491B93" w:rsidRPr="00693A57">
        <w:rPr>
          <w:color w:val="FF0000"/>
        </w:rPr>
        <w:t xml:space="preserve"> must not use or disclose the SR data for a purpose other than responding to the SR data request</w:t>
      </w:r>
      <w:r w:rsidRPr="00693A57">
        <w:rPr>
          <w:color w:val="FF0000"/>
        </w:rPr>
        <w:t>; and</w:t>
      </w:r>
    </w:p>
    <w:p w14:paraId="459832E0" w14:textId="3507D09E" w:rsidR="00FE49D3" w:rsidRPr="00693A57" w:rsidRDefault="00FE49D3" w:rsidP="00FE49D3">
      <w:pPr>
        <w:pStyle w:val="paragraph"/>
        <w:rPr>
          <w:color w:val="FF0000"/>
        </w:rPr>
      </w:pPr>
      <w:r w:rsidRPr="00693A57">
        <w:rPr>
          <w:color w:val="FF0000"/>
        </w:rPr>
        <w:tab/>
        <w:t>(b)</w:t>
      </w:r>
      <w:r w:rsidRPr="00693A57">
        <w:rPr>
          <w:color w:val="FF0000"/>
        </w:rPr>
        <w:tab/>
        <w:t xml:space="preserve">once the </w:t>
      </w:r>
      <w:r w:rsidR="001A1BCE" w:rsidRPr="00693A57">
        <w:rPr>
          <w:color w:val="FF0000"/>
        </w:rPr>
        <w:t>primary data holder</w:t>
      </w:r>
      <w:r w:rsidRPr="00693A57">
        <w:rPr>
          <w:color w:val="FF0000"/>
        </w:rPr>
        <w:t xml:space="preserve"> has responded to the SR data request, it must delete any of the SR data that it holds in accordance with the CDR data deletion process.</w:t>
      </w:r>
    </w:p>
    <w:p w14:paraId="16F3B523" w14:textId="39076C6C" w:rsidR="00E7545C" w:rsidRPr="00693A57" w:rsidRDefault="00FE49D3" w:rsidP="00ED5E97">
      <w:pPr>
        <w:pStyle w:val="notetext"/>
        <w:rPr>
          <w:color w:val="FF0000"/>
        </w:rPr>
      </w:pPr>
      <w:r w:rsidRPr="00693A57">
        <w:rPr>
          <w:color w:val="FF0000"/>
        </w:rPr>
        <w:t>Note:</w:t>
      </w:r>
      <w:r w:rsidRPr="00693A57">
        <w:rPr>
          <w:color w:val="FF0000"/>
        </w:rPr>
        <w:tab/>
        <w:t>See rule 1.18 for the definition of “CDR data deletion process”.</w:t>
      </w:r>
      <w:r w:rsidR="00E7545C" w:rsidRPr="00693A57">
        <w:rPr>
          <w:color w:val="FF0000"/>
        </w:rPr>
        <w:tab/>
      </w:r>
    </w:p>
    <w:p w14:paraId="0D75E39A" w14:textId="2D0DB467" w:rsidR="0073600E" w:rsidRPr="00693A57" w:rsidRDefault="00832060" w:rsidP="0073600E">
      <w:pPr>
        <w:pStyle w:val="ActHead5"/>
        <w:rPr>
          <w:color w:val="FF0000"/>
        </w:rPr>
      </w:pPr>
      <w:bookmarkStart w:id="71" w:name="_Toc77064852"/>
      <w:r w:rsidRPr="00693A57">
        <w:rPr>
          <w:color w:val="FF0000"/>
        </w:rPr>
        <w:lastRenderedPageBreak/>
        <w:t>1.25</w:t>
      </w:r>
      <w:r w:rsidR="0073600E" w:rsidRPr="00693A57">
        <w:rPr>
          <w:color w:val="FF0000"/>
        </w:rPr>
        <w:t xml:space="preserve">  Dispute resolution—primary</w:t>
      </w:r>
      <w:r w:rsidR="00576790" w:rsidRPr="00693A57">
        <w:rPr>
          <w:color w:val="FF0000"/>
        </w:rPr>
        <w:t xml:space="preserve"> entities</w:t>
      </w:r>
      <w:r w:rsidR="0073600E" w:rsidRPr="00693A57">
        <w:rPr>
          <w:color w:val="FF0000"/>
        </w:rPr>
        <w:t xml:space="preserve"> and secondary data holders</w:t>
      </w:r>
      <w:bookmarkEnd w:id="71"/>
    </w:p>
    <w:p w14:paraId="1FC35B87" w14:textId="0626E665" w:rsidR="003C756F" w:rsidRPr="00693A57" w:rsidRDefault="0073600E" w:rsidP="00417701">
      <w:pPr>
        <w:pStyle w:val="subsection"/>
        <w:rPr>
          <w:color w:val="FF0000"/>
        </w:rPr>
      </w:pPr>
      <w:r w:rsidRPr="00693A57">
        <w:rPr>
          <w:color w:val="FF0000"/>
        </w:rPr>
        <w:tab/>
      </w:r>
      <w:r w:rsidRPr="00693A57">
        <w:rPr>
          <w:color w:val="FF0000"/>
        </w:rPr>
        <w:tab/>
        <w:t xml:space="preserve">Where a </w:t>
      </w:r>
      <w:r w:rsidR="001A1BCE" w:rsidRPr="00693A57">
        <w:rPr>
          <w:color w:val="FF0000"/>
        </w:rPr>
        <w:t>primary data holder</w:t>
      </w:r>
      <w:r w:rsidRPr="00693A57">
        <w:rPr>
          <w:color w:val="FF0000"/>
        </w:rPr>
        <w:t xml:space="preserve"> requests relevant information from a secondary data holder in relation to a consumer complaint or dispute with the </w:t>
      </w:r>
      <w:r w:rsidR="001A1BCE" w:rsidRPr="00693A57">
        <w:rPr>
          <w:color w:val="FF0000"/>
        </w:rPr>
        <w:t>primary data holder</w:t>
      </w:r>
      <w:r w:rsidRPr="00693A57">
        <w:rPr>
          <w:color w:val="FF0000"/>
        </w:rPr>
        <w:t xml:space="preserve"> that relates to an SR data request, the secondary data holder must provide the information to the extent that it is reasonable to do so.</w:t>
      </w:r>
    </w:p>
    <w:p w14:paraId="0D07C95B" w14:textId="77777777" w:rsidR="00003317" w:rsidRPr="00003317" w:rsidRDefault="00003317" w:rsidP="00003317">
      <w:pPr>
        <w:pStyle w:val="subsection"/>
      </w:pPr>
      <w:bookmarkStart w:id="72" w:name="_Toc11771578"/>
    </w:p>
    <w:p w14:paraId="0CD68323" w14:textId="77777777" w:rsidR="00CF0E3D" w:rsidRPr="00641354" w:rsidRDefault="00CF0E3D" w:rsidP="00CF0E3D">
      <w:pPr>
        <w:pStyle w:val="ActHead2"/>
        <w:pageBreakBefore/>
      </w:pPr>
      <w:bookmarkStart w:id="73" w:name="_Toc77064853"/>
      <w:r>
        <w:lastRenderedPageBreak/>
        <w:t xml:space="preserve">Part 2—Product data </w:t>
      </w:r>
      <w:r w:rsidRPr="00641354">
        <w:t>requests</w:t>
      </w:r>
      <w:bookmarkEnd w:id="72"/>
      <w:bookmarkEnd w:id="73"/>
    </w:p>
    <w:p w14:paraId="1C718080" w14:textId="77777777" w:rsidR="00CF0E3D" w:rsidRPr="00641354" w:rsidRDefault="00CF0E3D" w:rsidP="00CF0E3D">
      <w:pPr>
        <w:pStyle w:val="ActHead5"/>
      </w:pPr>
      <w:bookmarkStart w:id="74" w:name="_Toc11771579"/>
      <w:bookmarkStart w:id="75" w:name="_Toc77064854"/>
      <w:r>
        <w:t>2.1</w:t>
      </w:r>
      <w:r w:rsidRPr="00641354">
        <w:t xml:space="preserve">  Simplified outline of this Part</w:t>
      </w:r>
      <w:bookmarkEnd w:id="74"/>
      <w:bookmarkEnd w:id="75"/>
    </w:p>
    <w:p w14:paraId="495B7D79" w14:textId="77777777" w:rsidR="00CF0E3D" w:rsidRPr="00B3173B" w:rsidRDefault="00CF0E3D" w:rsidP="00CF0E3D">
      <w:pPr>
        <w:pStyle w:val="SOText"/>
      </w:pPr>
      <w:r w:rsidRPr="00B3173B">
        <w:t xml:space="preserve">This Part deals with product data requests. Such requests are made </w:t>
      </w:r>
      <w:r w:rsidRPr="00964EDA">
        <w:rPr>
          <w:color w:val="000000"/>
        </w:rPr>
        <w:t xml:space="preserve">using </w:t>
      </w:r>
      <w:r w:rsidRPr="00B3173B">
        <w:t xml:space="preserve">a data holder’s product data request </w:t>
      </w:r>
      <w:r>
        <w:t>service</w:t>
      </w:r>
      <w:r w:rsidRPr="00B3173B">
        <w:t>.</w:t>
      </w:r>
      <w:r>
        <w:t xml:space="preserve"> </w:t>
      </w:r>
    </w:p>
    <w:p w14:paraId="7FF72612" w14:textId="0EF9440C" w:rsidR="0088284A" w:rsidRPr="00693A57" w:rsidRDefault="0088284A" w:rsidP="0088284A">
      <w:pPr>
        <w:pStyle w:val="SOText"/>
        <w:rPr>
          <w:color w:val="FF0000"/>
        </w:rPr>
      </w:pPr>
      <w:r w:rsidRPr="00693A57">
        <w:rPr>
          <w:color w:val="FF0000"/>
        </w:rPr>
        <w:t>A product data request may be for required product data, voluntary product data, or both. The content of these terms is different in different designated sectors:  Schedule 3 provides the content for the banking sector;  Schedule 4 provides the content for the energy sector.</w:t>
      </w:r>
    </w:p>
    <w:p w14:paraId="55E97607" w14:textId="1E90E3BF" w:rsidR="00CF0E3D" w:rsidRPr="00693A57" w:rsidRDefault="00CF0E3D" w:rsidP="00CF0E3D">
      <w:pPr>
        <w:pStyle w:val="SOText"/>
        <w:rPr>
          <w:strike/>
          <w:color w:val="FF0000"/>
        </w:rPr>
      </w:pPr>
      <w:r w:rsidRPr="00693A57">
        <w:rPr>
          <w:strike/>
          <w:color w:val="FF0000"/>
        </w:rPr>
        <w:t>A product data request may be for required product data, voluntary product data, or both</w:t>
      </w:r>
      <w:r w:rsidR="0088284A" w:rsidRPr="00693A57">
        <w:rPr>
          <w:strike/>
          <w:color w:val="FF0000"/>
        </w:rPr>
        <w:t xml:space="preserve">.  </w:t>
      </w:r>
      <w:r w:rsidRPr="00693A57">
        <w:rPr>
          <w:strike/>
          <w:color w:val="FF0000"/>
        </w:rPr>
        <w:t>Schedule 3 to these rules provides for what is required product data and voluntary product data for the banking sector.</w:t>
      </w:r>
    </w:p>
    <w:p w14:paraId="7861DA08" w14:textId="77777777" w:rsidR="00CF0E3D" w:rsidRPr="00796ADB" w:rsidRDefault="00CF0E3D" w:rsidP="00CF0E3D">
      <w:pPr>
        <w:pStyle w:val="SOText"/>
      </w:pPr>
      <w:r w:rsidRPr="00796ADB">
        <w:t>When requested in accordance with this Part, a data holder:</w:t>
      </w:r>
    </w:p>
    <w:p w14:paraId="5CF66FE6" w14:textId="77777777" w:rsidR="00CF0E3D" w:rsidRPr="00796ADB" w:rsidRDefault="00CF0E3D" w:rsidP="00CF0E3D">
      <w:pPr>
        <w:pStyle w:val="SOPara"/>
      </w:pPr>
      <w:r w:rsidRPr="00796ADB">
        <w:tab/>
        <w:t>•</w:t>
      </w:r>
      <w:r w:rsidRPr="00796ADB">
        <w:tab/>
        <w:t>must, subject to an exception outlined in this Part, disclose required product data; and</w:t>
      </w:r>
    </w:p>
    <w:p w14:paraId="752FA24B" w14:textId="77777777" w:rsidR="00CF0E3D" w:rsidRPr="00796ADB" w:rsidRDefault="00CF0E3D" w:rsidP="00CF0E3D">
      <w:pPr>
        <w:pStyle w:val="SOPara"/>
      </w:pPr>
      <w:r w:rsidRPr="00796ADB">
        <w:tab/>
        <w:t>•</w:t>
      </w:r>
      <w:r w:rsidRPr="00796ADB">
        <w:tab/>
        <w:t>may, but is not required to, disclose voluntary product data.</w:t>
      </w:r>
    </w:p>
    <w:p w14:paraId="3F720BFC" w14:textId="77777777" w:rsidR="00CF0E3D" w:rsidRPr="00F27186" w:rsidRDefault="00CF0E3D" w:rsidP="00CF0E3D">
      <w:pPr>
        <w:pStyle w:val="SOText"/>
      </w:pPr>
      <w:r w:rsidRPr="00F27186">
        <w:t>In either case, the data is disclosed to the person who made the request, in machine</w:t>
      </w:r>
      <w:r w:rsidRPr="00F27186">
        <w:noBreakHyphen/>
        <w:t>readable form</w:t>
      </w:r>
      <w:r>
        <w:t xml:space="preserve"> and in accordance with the data standards</w:t>
      </w:r>
      <w:r w:rsidRPr="00F27186">
        <w:t xml:space="preserve">. </w:t>
      </w:r>
      <w:r w:rsidRPr="00FE1DF8">
        <w:t>A data holder must not impose conditions, restrictions or limitations of any kind on the use of the disclosed data.</w:t>
      </w:r>
    </w:p>
    <w:p w14:paraId="15429C64" w14:textId="77777777" w:rsidR="00CF0E3D" w:rsidRPr="00F27186" w:rsidRDefault="00CF0E3D" w:rsidP="00CF0E3D">
      <w:pPr>
        <w:pStyle w:val="SOText"/>
      </w:pPr>
      <w:r w:rsidRPr="00F27186">
        <w:t>A fee cannot be charged for the disclosure of required product data, but could be charged for the disclosure of voluntary product data.</w:t>
      </w:r>
    </w:p>
    <w:p w14:paraId="377653A3" w14:textId="77777777" w:rsidR="00CF0E3D" w:rsidRDefault="00CF0E3D" w:rsidP="00CF0E3D">
      <w:pPr>
        <w:pStyle w:val="ActHead5"/>
      </w:pPr>
      <w:bookmarkStart w:id="76" w:name="_Toc11771580"/>
      <w:bookmarkStart w:id="77" w:name="_Toc77064855"/>
      <w:r>
        <w:t>2.2  Making product data requests—flowchart</w:t>
      </w:r>
      <w:bookmarkEnd w:id="76"/>
      <w:bookmarkEnd w:id="77"/>
    </w:p>
    <w:p w14:paraId="51736D9B" w14:textId="77777777" w:rsidR="00CF0E3D" w:rsidRDefault="00CF0E3D" w:rsidP="00CF0E3D">
      <w:pPr>
        <w:pStyle w:val="subsection"/>
      </w:pPr>
      <w:r>
        <w:tab/>
      </w:r>
      <w:r>
        <w:tab/>
        <w:t>The following is a flowchart for how product data requests are made:</w:t>
      </w:r>
    </w:p>
    <w:p w14:paraId="5440A188" w14:textId="77777777" w:rsidR="00CF0E3D" w:rsidRDefault="00CF0E3D" w:rsidP="00CF0E3D">
      <w:pPr>
        <w:pStyle w:val="subsection"/>
      </w:pPr>
      <w:r>
        <w:rPr>
          <w:noProof/>
        </w:rPr>
        <w:lastRenderedPageBreak/>
        <mc:AlternateContent>
          <mc:Choice Requires="wpc">
            <w:drawing>
              <wp:inline distT="0" distB="0" distL="0" distR="0" wp14:anchorId="12EDD1F4" wp14:editId="5961BED9">
                <wp:extent cx="5278755" cy="2795286"/>
                <wp:effectExtent l="0" t="0" r="0" b="0"/>
                <wp:docPr id="2" name="Canvas 2" descr="P1152#y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1148317" y="146318"/>
                            <a:ext cx="3019645" cy="603849"/>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8B26D" w14:textId="77777777" w:rsidR="002B3038" w:rsidRPr="00362B69" w:rsidRDefault="002B3038" w:rsidP="00CF0E3D">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8317" y="1075609"/>
                            <a:ext cx="3019646" cy="1615504"/>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1F20F" w14:textId="77777777" w:rsidR="002B3038" w:rsidRPr="00796ADB" w:rsidRDefault="002B3038" w:rsidP="00CF0E3D">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65D005FC" w14:textId="77777777" w:rsidR="002B3038" w:rsidRPr="00796ADB" w:rsidRDefault="002B3038" w:rsidP="00CF0E3D">
                              <w:pPr>
                                <w:jc w:val="center"/>
                                <w:rPr>
                                  <w:color w:val="000000" w:themeColor="text1"/>
                                  <w:sz w:val="20"/>
                                </w:rPr>
                              </w:pPr>
                            </w:p>
                            <w:p w14:paraId="78827AE5" w14:textId="77777777" w:rsidR="002B3038" w:rsidRPr="00796ADB" w:rsidRDefault="002B3038" w:rsidP="00CF0E3D">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40B1A80A" w14:textId="77777777" w:rsidR="002B3038" w:rsidRPr="00796ADB" w:rsidRDefault="002B3038" w:rsidP="00CF0E3D">
                              <w:pPr>
                                <w:jc w:val="center"/>
                                <w:rPr>
                                  <w:color w:val="000000" w:themeColor="text1"/>
                                  <w:sz w:val="20"/>
                                </w:rPr>
                              </w:pPr>
                            </w:p>
                            <w:p w14:paraId="7A88636B" w14:textId="77777777" w:rsidR="002B3038" w:rsidRPr="00796ADB" w:rsidRDefault="002B3038" w:rsidP="00CF0E3D">
                              <w:pPr>
                                <w:jc w:val="center"/>
                                <w:rPr>
                                  <w:color w:val="000000" w:themeColor="text1"/>
                                  <w:sz w:val="20"/>
                                </w:rPr>
                              </w:pPr>
                              <w:r w:rsidRPr="00796ADB">
                                <w:rPr>
                                  <w:color w:val="000000" w:themeColor="text1"/>
                                  <w:sz w:val="20"/>
                                </w:rPr>
                                <w:t>In either case, the data is disclosed through the data holder’s product data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389514" y="819329"/>
                            <a:ext cx="484632" cy="207214"/>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EDD1F4" id="Canvas 2" o:spid="_x0000_s1026" editas="canvas" alt="P1152#y1" style="width:415.65pt;height:220.1pt;mso-position-horizontal-relative:char;mso-position-vertical-relative:line" coordsize="52787,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1152#y1" style="position:absolute;width:52787;height:27952;visibility:visible;mso-wrap-style:square">
                  <v:fill o:detectmouseclick="t"/>
                  <v:path o:connecttype="none"/>
                </v:shape>
                <v:rect id="Rectangle 3" o:spid="_x0000_s1028" style="position:absolute;left:11483;top:1463;width:30196;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1nwAAAANoAAAAPAAAAZHJzL2Rvd25yZXYueG1sRI/NasMw&#10;EITvhb6D2EJvjdwU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Q4L9Z8AAAADaAAAADwAAAAAA&#10;AAAAAAAAAAAHAgAAZHJzL2Rvd25yZXYueG1sUEsFBgAAAAADAAMAtwAAAPQCAAAAAA==&#10;" fillcolor="white [3212]" strokeweight=".25pt">
                  <v:textbox>
                    <w:txbxContent>
                      <w:p w14:paraId="6468B26D" w14:textId="77777777" w:rsidR="002B3038" w:rsidRPr="00362B69" w:rsidRDefault="002B3038" w:rsidP="00CF0E3D">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v:textbox>
                </v:rect>
                <v:rect id="Rectangle 4" o:spid="_x0000_s1029" style="position:absolute;left:11483;top:10756;width:30196;height:1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UTwAAAANoAAAAPAAAAZHJzL2Rvd25yZXYueG1sRI/NasMw&#10;EITvhb6D2EJvjdxQ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zGtlE8AAAADaAAAADwAAAAAA&#10;AAAAAAAAAAAHAgAAZHJzL2Rvd25yZXYueG1sUEsFBgAAAAADAAMAtwAAAPQCAAAAAA==&#10;" fillcolor="white [3212]" strokeweight=".25pt">
                  <v:textbox>
                    <w:txbxContent>
                      <w:p w14:paraId="3EA1F20F" w14:textId="77777777" w:rsidR="002B3038" w:rsidRPr="00796ADB" w:rsidRDefault="002B3038" w:rsidP="00CF0E3D">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65D005FC" w14:textId="77777777" w:rsidR="002B3038" w:rsidRPr="00796ADB" w:rsidRDefault="002B3038" w:rsidP="00CF0E3D">
                        <w:pPr>
                          <w:jc w:val="center"/>
                          <w:rPr>
                            <w:color w:val="000000" w:themeColor="text1"/>
                            <w:sz w:val="20"/>
                          </w:rPr>
                        </w:pPr>
                      </w:p>
                      <w:p w14:paraId="78827AE5" w14:textId="77777777" w:rsidR="002B3038" w:rsidRPr="00796ADB" w:rsidRDefault="002B3038" w:rsidP="00CF0E3D">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40B1A80A" w14:textId="77777777" w:rsidR="002B3038" w:rsidRPr="00796ADB" w:rsidRDefault="002B3038" w:rsidP="00CF0E3D">
                        <w:pPr>
                          <w:jc w:val="center"/>
                          <w:rPr>
                            <w:color w:val="000000" w:themeColor="text1"/>
                            <w:sz w:val="20"/>
                          </w:rPr>
                        </w:pPr>
                      </w:p>
                      <w:p w14:paraId="7A88636B" w14:textId="77777777" w:rsidR="002B3038" w:rsidRPr="00796ADB" w:rsidRDefault="002B3038" w:rsidP="00CF0E3D">
                        <w:pPr>
                          <w:jc w:val="center"/>
                          <w:rPr>
                            <w:color w:val="000000" w:themeColor="text1"/>
                            <w:sz w:val="20"/>
                          </w:rPr>
                        </w:pPr>
                        <w:r w:rsidRPr="00796ADB">
                          <w:rPr>
                            <w:color w:val="000000" w:themeColor="text1"/>
                            <w:sz w:val="20"/>
                          </w:rPr>
                          <w:t>In either case, the data is disclosed through the data holder’s product data request service.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23895;top:8193;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" adj="10800" filled="f" strokecolor="black [3213]" strokeweight="0"/>
                <w10:anchorlock/>
              </v:group>
            </w:pict>
          </mc:Fallback>
        </mc:AlternateContent>
      </w:r>
    </w:p>
    <w:p w14:paraId="4E81D085" w14:textId="77777777" w:rsidR="00CF0E3D" w:rsidRPr="00641354" w:rsidRDefault="00CF0E3D" w:rsidP="00CF0E3D">
      <w:pPr>
        <w:pStyle w:val="ActHead5"/>
      </w:pPr>
      <w:bookmarkStart w:id="78" w:name="_Toc11771581"/>
      <w:bookmarkStart w:id="79" w:name="_Toc77064856"/>
      <w:r>
        <w:t>2.3</w:t>
      </w:r>
      <w:r w:rsidRPr="00641354">
        <w:t xml:space="preserve">  </w:t>
      </w:r>
      <w:r>
        <w:t>Product data request</w:t>
      </w:r>
      <w:r w:rsidRPr="00641354">
        <w:t>s</w:t>
      </w:r>
      <w:bookmarkEnd w:id="78"/>
      <w:bookmarkEnd w:id="79"/>
    </w:p>
    <w:p w14:paraId="409AF40B" w14:textId="77777777" w:rsidR="0088284A" w:rsidRPr="00693A57" w:rsidRDefault="00CF0E3D" w:rsidP="0088284A">
      <w:pPr>
        <w:pStyle w:val="subsection"/>
        <w:rPr>
          <w:color w:val="FF0000"/>
        </w:rPr>
      </w:pPr>
      <w:r w:rsidRPr="0023036E">
        <w:tab/>
      </w:r>
      <w:r w:rsidR="0088284A" w:rsidRPr="00693A57">
        <w:rPr>
          <w:color w:val="FF0000"/>
        </w:rPr>
        <w:t>(1)</w:t>
      </w:r>
      <w:r w:rsidR="0088284A" w:rsidRPr="00693A57">
        <w:rPr>
          <w:color w:val="FF0000"/>
        </w:rPr>
        <w:tab/>
        <w:t>A person may:</w:t>
      </w:r>
    </w:p>
    <w:p w14:paraId="139114ED" w14:textId="77777777" w:rsidR="0088284A" w:rsidRPr="00693A57" w:rsidRDefault="0088284A" w:rsidP="0088284A">
      <w:pPr>
        <w:pStyle w:val="paragraph"/>
        <w:rPr>
          <w:color w:val="FF0000"/>
        </w:rPr>
      </w:pPr>
      <w:r w:rsidRPr="00693A57">
        <w:rPr>
          <w:color w:val="FF0000"/>
        </w:rPr>
        <w:tab/>
        <w:t>(a)</w:t>
      </w:r>
      <w:r w:rsidRPr="00693A57">
        <w:rPr>
          <w:color w:val="FF0000"/>
        </w:rPr>
        <w:tab/>
        <w:t>using the data holder’s product data request service; and</w:t>
      </w:r>
    </w:p>
    <w:p w14:paraId="3FDC9426" w14:textId="77777777" w:rsidR="0088284A" w:rsidRPr="00693A57" w:rsidRDefault="0088284A" w:rsidP="0088284A">
      <w:pPr>
        <w:pStyle w:val="paragraph"/>
        <w:rPr>
          <w:color w:val="FF0000"/>
        </w:rPr>
      </w:pPr>
      <w:r w:rsidRPr="00693A57">
        <w:rPr>
          <w:color w:val="FF0000"/>
        </w:rPr>
        <w:tab/>
        <w:t>(b)</w:t>
      </w:r>
      <w:r w:rsidRPr="00693A57">
        <w:rPr>
          <w:color w:val="FF0000"/>
        </w:rPr>
        <w:tab/>
        <w:t>in accordance with the data standards;</w:t>
      </w:r>
    </w:p>
    <w:p w14:paraId="0C2C5DA9" w14:textId="66AE645E" w:rsidR="0088284A" w:rsidRPr="00693A57" w:rsidRDefault="0088284A" w:rsidP="0088284A">
      <w:pPr>
        <w:pStyle w:val="subsection"/>
        <w:spacing w:before="40"/>
        <w:rPr>
          <w:color w:val="FF0000"/>
        </w:rPr>
      </w:pPr>
      <w:r w:rsidRPr="00693A57">
        <w:rPr>
          <w:color w:val="FF0000"/>
        </w:rPr>
        <w:tab/>
      </w:r>
      <w:r w:rsidRPr="00693A57">
        <w:rPr>
          <w:color w:val="FF0000"/>
        </w:rPr>
        <w:tab/>
        <w:t>request a data holder to disclose some or all of the required product data or voluntary product data that it holds.</w:t>
      </w:r>
    </w:p>
    <w:p w14:paraId="1D11C66F" w14:textId="6ED14B99" w:rsidR="0088284A" w:rsidRPr="00693A57" w:rsidRDefault="0088284A" w:rsidP="0088284A">
      <w:pPr>
        <w:pStyle w:val="notetext"/>
        <w:rPr>
          <w:color w:val="FF0000"/>
        </w:rPr>
      </w:pPr>
      <w:r w:rsidRPr="00693A57">
        <w:rPr>
          <w:color w:val="FF0000"/>
        </w:rPr>
        <w:t>Note:</w:t>
      </w:r>
      <w:r w:rsidRPr="00693A57">
        <w:rPr>
          <w:color w:val="FF0000"/>
        </w:rPr>
        <w:tab/>
        <w:t>In the banking sector, these rules will progressively permit product data requests to be made to a broader range of data holders, and in relation to a broader range of CDR data, according to the timetable set out in Part 6 of Schedule 3.</w:t>
      </w:r>
    </w:p>
    <w:p w14:paraId="4DF63FFA" w14:textId="77777777" w:rsidR="0088284A" w:rsidRPr="00693A57" w:rsidRDefault="0088284A" w:rsidP="0088284A">
      <w:pPr>
        <w:pStyle w:val="notetext"/>
        <w:rPr>
          <w:color w:val="FF0000"/>
        </w:rPr>
      </w:pPr>
      <w:r w:rsidRPr="00693A57">
        <w:rPr>
          <w:color w:val="FF0000"/>
        </w:rPr>
        <w:tab/>
        <w:t>In the energy sector, the AER and the Victorian agency are designated data holders for all the relevant product data under the designation instrument.</w:t>
      </w:r>
    </w:p>
    <w:p w14:paraId="652970A8" w14:textId="4CD3E91F" w:rsidR="00CF0E3D" w:rsidRPr="00693A57" w:rsidRDefault="0088284A" w:rsidP="0088284A">
      <w:pPr>
        <w:pStyle w:val="subsection"/>
        <w:rPr>
          <w:strike/>
          <w:color w:val="FF0000"/>
        </w:rPr>
      </w:pPr>
      <w:r w:rsidRPr="00693A57">
        <w:rPr>
          <w:strike/>
          <w:color w:val="FF0000"/>
        </w:rPr>
        <w:tab/>
      </w:r>
      <w:r w:rsidR="00CF0E3D" w:rsidRPr="00693A57">
        <w:rPr>
          <w:strike/>
          <w:color w:val="FF0000"/>
        </w:rPr>
        <w:t>(1)</w:t>
      </w:r>
      <w:r w:rsidR="00CF0E3D" w:rsidRPr="00693A57">
        <w:rPr>
          <w:strike/>
          <w:color w:val="FF0000"/>
        </w:rPr>
        <w:tab/>
        <w:t>A person may:</w:t>
      </w:r>
    </w:p>
    <w:p w14:paraId="01D3BDEB" w14:textId="77777777" w:rsidR="00CF0E3D" w:rsidRPr="00693A57" w:rsidRDefault="00CF0E3D" w:rsidP="00CF0E3D">
      <w:pPr>
        <w:pStyle w:val="paragraph"/>
        <w:rPr>
          <w:strike/>
          <w:color w:val="FF0000"/>
        </w:rPr>
      </w:pPr>
      <w:r w:rsidRPr="00693A57">
        <w:rPr>
          <w:strike/>
          <w:color w:val="FF0000"/>
        </w:rPr>
        <w:tab/>
        <w:t>(a)</w:t>
      </w:r>
      <w:r w:rsidRPr="00693A57">
        <w:rPr>
          <w:strike/>
          <w:color w:val="FF0000"/>
        </w:rPr>
        <w:tab/>
        <w:t>using the data holder’s product data request service; and</w:t>
      </w:r>
    </w:p>
    <w:p w14:paraId="33298E87" w14:textId="77777777" w:rsidR="00CF0E3D" w:rsidRPr="00693A57" w:rsidRDefault="00CF0E3D" w:rsidP="00CF0E3D">
      <w:pPr>
        <w:pStyle w:val="paragraph"/>
        <w:rPr>
          <w:strike/>
          <w:color w:val="FF0000"/>
        </w:rPr>
      </w:pPr>
      <w:r w:rsidRPr="00693A57">
        <w:rPr>
          <w:strike/>
          <w:color w:val="FF0000"/>
        </w:rPr>
        <w:tab/>
        <w:t>(b)</w:t>
      </w:r>
      <w:r w:rsidRPr="00693A57">
        <w:rPr>
          <w:strike/>
          <w:color w:val="FF0000"/>
        </w:rPr>
        <w:tab/>
        <w:t>in accordance with the data standards;</w:t>
      </w:r>
    </w:p>
    <w:p w14:paraId="5C4DA6B0" w14:textId="6E4E0D9D" w:rsidR="00CF0E3D" w:rsidRPr="00693A57" w:rsidRDefault="00CF0E3D" w:rsidP="00CF0E3D">
      <w:pPr>
        <w:pStyle w:val="subsection"/>
        <w:spacing w:before="40"/>
        <w:rPr>
          <w:strike/>
          <w:color w:val="FF0000"/>
        </w:rPr>
      </w:pPr>
      <w:r w:rsidRPr="00693A57">
        <w:rPr>
          <w:strike/>
          <w:color w:val="FF0000"/>
        </w:rPr>
        <w:tab/>
      </w:r>
      <w:r w:rsidRPr="00693A57">
        <w:rPr>
          <w:strike/>
          <w:color w:val="FF0000"/>
        </w:rPr>
        <w:tab/>
        <w:t>request a data holder to disclose some or all of the CDR data that relates to one or more products that are offered by or on behalf of the data holder.</w:t>
      </w:r>
    </w:p>
    <w:p w14:paraId="2A009005" w14:textId="436D2291" w:rsidR="00CF0E3D" w:rsidRPr="00693A57" w:rsidRDefault="00CF0E3D" w:rsidP="00CF0E3D">
      <w:pPr>
        <w:pStyle w:val="notetext"/>
        <w:rPr>
          <w:strike/>
          <w:color w:val="FF0000"/>
        </w:rPr>
      </w:pPr>
      <w:r w:rsidRPr="00693A57">
        <w:rPr>
          <w:strike/>
          <w:color w:val="FF0000"/>
        </w:rPr>
        <w:t>Note:</w:t>
      </w:r>
      <w:r w:rsidRPr="00693A57">
        <w:rPr>
          <w:strike/>
          <w:color w:val="FF0000"/>
        </w:rPr>
        <w:tab/>
        <w:t>These rules will progressively permit product data requests to be made to a broader range of data holders within the banking sector, and in relation to a broader range of CDR data, according to the timetable set out in Part 6 of Schedule</w:t>
      </w:r>
      <w:r w:rsidR="005233B0" w:rsidRPr="00693A57">
        <w:rPr>
          <w:strike/>
          <w:color w:val="FF0000"/>
        </w:rPr>
        <w:t> </w:t>
      </w:r>
      <w:r w:rsidRPr="00693A57">
        <w:rPr>
          <w:strike/>
          <w:color w:val="FF0000"/>
        </w:rPr>
        <w:t>3.</w:t>
      </w:r>
    </w:p>
    <w:p w14:paraId="72A1E0BC" w14:textId="77777777" w:rsidR="00CF0E3D" w:rsidRDefault="00CF0E3D" w:rsidP="00CF0E3D">
      <w:pPr>
        <w:pStyle w:val="subsection"/>
      </w:pPr>
      <w:r w:rsidRPr="00641354">
        <w:tab/>
      </w:r>
      <w:r>
        <w:t>(2)</w:t>
      </w:r>
      <w:r w:rsidRPr="00641354">
        <w:tab/>
        <w:t>Such a request is a</w:t>
      </w:r>
      <w:r>
        <w:t xml:space="preserve"> </w:t>
      </w:r>
      <w:r w:rsidRPr="00641354">
        <w:rPr>
          <w:b/>
          <w:i/>
        </w:rPr>
        <w:t>product data request</w:t>
      </w:r>
      <w:r w:rsidRPr="00641354">
        <w:t>.</w:t>
      </w:r>
    </w:p>
    <w:p w14:paraId="47379318" w14:textId="77777777" w:rsidR="00CF0E3D" w:rsidRDefault="00CF0E3D" w:rsidP="00CF0E3D">
      <w:pPr>
        <w:pStyle w:val="notetext"/>
        <w:rPr>
          <w:color w:val="000000" w:themeColor="text1"/>
        </w:rPr>
      </w:pPr>
      <w:r w:rsidRPr="000C3240">
        <w:rPr>
          <w:color w:val="000000" w:themeColor="text1"/>
        </w:rPr>
        <w:t>Note:</w:t>
      </w:r>
      <w:r w:rsidRPr="000C3240">
        <w:rPr>
          <w:color w:val="000000" w:themeColor="text1"/>
        </w:rPr>
        <w:tab/>
        <w:t>A fee cannot be charged for making a product data request.</w:t>
      </w:r>
    </w:p>
    <w:p w14:paraId="3A12D0DE" w14:textId="77777777" w:rsidR="00CF0E3D" w:rsidRDefault="00CF0E3D" w:rsidP="00CF0E3D">
      <w:pPr>
        <w:pStyle w:val="ActHead5"/>
      </w:pPr>
      <w:bookmarkStart w:id="80" w:name="_Toc11771582"/>
      <w:bookmarkStart w:id="81" w:name="_Toc77064857"/>
      <w:r>
        <w:t xml:space="preserve">2.4  Disclosing </w:t>
      </w:r>
      <w:r w:rsidRPr="00641354">
        <w:rPr>
          <w:color w:val="000000"/>
        </w:rPr>
        <w:t xml:space="preserve">product </w:t>
      </w:r>
      <w:r>
        <w:t>data in response to p</w:t>
      </w:r>
      <w:r w:rsidRPr="00641354">
        <w:rPr>
          <w:color w:val="000000"/>
        </w:rPr>
        <w:t>roduct data</w:t>
      </w:r>
      <w:r>
        <w:t xml:space="preserve"> request</w:t>
      </w:r>
      <w:bookmarkEnd w:id="80"/>
      <w:bookmarkEnd w:id="81"/>
    </w:p>
    <w:p w14:paraId="7EE3A39F" w14:textId="77777777" w:rsidR="00CF0E3D" w:rsidRPr="00796ADB" w:rsidRDefault="00CF0E3D" w:rsidP="00CF0E3D">
      <w:pPr>
        <w:pStyle w:val="subsection"/>
      </w:pPr>
      <w:r w:rsidRPr="00796ADB">
        <w:tab/>
      </w:r>
      <w:r>
        <w:t>(1)</w:t>
      </w:r>
      <w:r w:rsidRPr="00796ADB">
        <w:tab/>
        <w:t>This rule applies if a data holder has received a product data request.</w:t>
      </w:r>
    </w:p>
    <w:p w14:paraId="7E08F5D5" w14:textId="77777777" w:rsidR="00CF0E3D" w:rsidRPr="00E1300D" w:rsidRDefault="00CF0E3D" w:rsidP="00CF0E3D">
      <w:pPr>
        <w:pStyle w:val="subsection"/>
      </w:pPr>
      <w:r w:rsidRPr="00E1300D">
        <w:lastRenderedPageBreak/>
        <w:tab/>
      </w:r>
      <w:r>
        <w:t>(2)</w:t>
      </w:r>
      <w:r w:rsidRPr="00E1300D">
        <w:tab/>
        <w:t>The data holder may disclose any requested voluntary product data to the requester.</w:t>
      </w:r>
    </w:p>
    <w:p w14:paraId="606875FA" w14:textId="535AC4DB" w:rsidR="00B00AE1" w:rsidRPr="00693A57" w:rsidRDefault="00CF0E3D" w:rsidP="00B00AE1">
      <w:pPr>
        <w:pStyle w:val="notetext"/>
        <w:rPr>
          <w:color w:val="FF0000"/>
        </w:rPr>
      </w:pPr>
      <w:r w:rsidRPr="00693A57">
        <w:rPr>
          <w:color w:val="FF0000"/>
        </w:rPr>
        <w:t>Note:</w:t>
      </w:r>
      <w:r w:rsidRPr="00693A57">
        <w:rPr>
          <w:color w:val="FF0000"/>
        </w:rPr>
        <w:tab/>
      </w:r>
      <w:r w:rsidR="00B00AE1" w:rsidRPr="00693A57">
        <w:rPr>
          <w:color w:val="FF0000"/>
        </w:rPr>
        <w:t>See rule 1.7 for the meaning of “voluntary product data”.  See also:</w:t>
      </w:r>
    </w:p>
    <w:p w14:paraId="2282EB23" w14:textId="5E2AC8B0" w:rsidR="00B00AE1" w:rsidRPr="00693A57" w:rsidRDefault="00B00AE1" w:rsidP="007D5353">
      <w:pPr>
        <w:pStyle w:val="notepara"/>
        <w:numPr>
          <w:ilvl w:val="0"/>
          <w:numId w:val="11"/>
        </w:numPr>
        <w:rPr>
          <w:color w:val="FF0000"/>
        </w:rPr>
      </w:pPr>
      <w:r w:rsidRPr="00693A57">
        <w:rPr>
          <w:color w:val="FF0000"/>
        </w:rPr>
        <w:t>for the banking sector—clause </w:t>
      </w:r>
      <w:r w:rsidR="00A9450F" w:rsidRPr="00693A57">
        <w:rPr>
          <w:color w:val="FF0000"/>
        </w:rPr>
        <w:t>3.1</w:t>
      </w:r>
      <w:r w:rsidRPr="00693A57">
        <w:rPr>
          <w:color w:val="FF0000"/>
        </w:rPr>
        <w:t xml:space="preserve"> of Schedule 3;</w:t>
      </w:r>
    </w:p>
    <w:p w14:paraId="13836619" w14:textId="3A0C32A4" w:rsidR="00B00AE1" w:rsidRPr="00693A57" w:rsidRDefault="00B00AE1" w:rsidP="007D5353">
      <w:pPr>
        <w:pStyle w:val="notepara"/>
        <w:numPr>
          <w:ilvl w:val="0"/>
          <w:numId w:val="11"/>
        </w:numPr>
        <w:rPr>
          <w:color w:val="FF0000"/>
        </w:rPr>
      </w:pPr>
      <w:r w:rsidRPr="00693A57">
        <w:rPr>
          <w:color w:val="FF0000"/>
        </w:rPr>
        <w:t>for the energy sector—clause </w:t>
      </w:r>
      <w:r w:rsidR="00A9450F" w:rsidRPr="00693A57">
        <w:rPr>
          <w:color w:val="FF0000"/>
        </w:rPr>
        <w:fldChar w:fldCharType="begin" w:fldLock="1"/>
      </w:r>
      <w:r w:rsidR="00A9450F" w:rsidRPr="00693A57">
        <w:rPr>
          <w:color w:val="FF0000"/>
        </w:rPr>
        <w:instrText xml:space="preserve"> REF _Ref62410663 \n </w:instrText>
      </w:r>
      <w:r w:rsidR="00A9450F" w:rsidRPr="00693A57">
        <w:rPr>
          <w:color w:val="FF0000"/>
        </w:rPr>
        <w:fldChar w:fldCharType="separate"/>
      </w:r>
      <w:r w:rsidR="000F7228">
        <w:rPr>
          <w:color w:val="FF0000"/>
        </w:rPr>
        <w:t>3.1</w:t>
      </w:r>
      <w:r w:rsidR="00A9450F" w:rsidRPr="00693A57">
        <w:rPr>
          <w:color w:val="FF0000"/>
        </w:rPr>
        <w:fldChar w:fldCharType="end"/>
      </w:r>
      <w:r w:rsidRPr="00693A57">
        <w:rPr>
          <w:color w:val="FF0000"/>
        </w:rPr>
        <w:t xml:space="preserve"> of Schedule 4.</w:t>
      </w:r>
    </w:p>
    <w:p w14:paraId="22A9F084" w14:textId="78A318EF" w:rsidR="00AC3BA1" w:rsidRPr="00693A57" w:rsidRDefault="00B13F8B" w:rsidP="00AC3BA1">
      <w:pPr>
        <w:pStyle w:val="notetext"/>
        <w:rPr>
          <w:strike/>
          <w:color w:val="FF0000"/>
        </w:rPr>
      </w:pPr>
      <w:r w:rsidRPr="00693A57">
        <w:rPr>
          <w:strike/>
          <w:color w:val="FF0000"/>
        </w:rPr>
        <w:t>Note:</w:t>
      </w:r>
      <w:r w:rsidR="00AC3BA1" w:rsidRPr="00693A57">
        <w:rPr>
          <w:strike/>
          <w:color w:val="FF0000"/>
        </w:rPr>
        <w:t xml:space="preserve">  </w:t>
      </w:r>
      <w:r w:rsidR="00AC3BA1" w:rsidRPr="00693A57">
        <w:rPr>
          <w:strike/>
          <w:color w:val="FF0000"/>
        </w:rPr>
        <w:tab/>
        <w:t>See rule 1.7 for the definition of “voluntary product data”, and see clause 3.1 of Schedule 3 for the definition of “voluntary product data” in relation to the banking sector.</w:t>
      </w:r>
    </w:p>
    <w:p w14:paraId="7FC1BE95" w14:textId="77777777" w:rsidR="00CF0E3D" w:rsidRPr="00D3706C" w:rsidRDefault="00CF0E3D" w:rsidP="00CF0E3D">
      <w:pPr>
        <w:pStyle w:val="subsection"/>
      </w:pPr>
      <w:r w:rsidRPr="00D3706C">
        <w:tab/>
        <w:t>(2A)</w:t>
      </w:r>
      <w:r w:rsidRPr="00D3706C">
        <w:tab/>
        <w:t>If the data holder discloses any requested voluntary product data to the requester, it must do so:</w:t>
      </w:r>
    </w:p>
    <w:p w14:paraId="46B95B01" w14:textId="77777777" w:rsidR="00CF0E3D" w:rsidRPr="00D3706C" w:rsidRDefault="00CF0E3D" w:rsidP="00CF0E3D">
      <w:pPr>
        <w:pStyle w:val="paragraph"/>
      </w:pPr>
      <w:r w:rsidRPr="00D3706C">
        <w:tab/>
        <w:t>(a)</w:t>
      </w:r>
      <w:r w:rsidRPr="00D3706C">
        <w:tab/>
        <w:t>through its product data request service; and</w:t>
      </w:r>
    </w:p>
    <w:p w14:paraId="4FE51F63" w14:textId="77777777" w:rsidR="00CF0E3D" w:rsidRPr="00D3706C" w:rsidRDefault="00CF0E3D" w:rsidP="00CF0E3D">
      <w:pPr>
        <w:pStyle w:val="paragraph"/>
      </w:pPr>
      <w:r w:rsidRPr="00D3706C">
        <w:tab/>
        <w:t>(b)</w:t>
      </w:r>
      <w:r w:rsidRPr="00D3706C">
        <w:tab/>
        <w:t>in accordance with the data standards.</w:t>
      </w:r>
    </w:p>
    <w:p w14:paraId="23F1F3A1" w14:textId="77777777" w:rsidR="00CF0E3D" w:rsidRPr="00D3706C" w:rsidRDefault="00CF0E3D" w:rsidP="00CF0E3D">
      <w:pPr>
        <w:pStyle w:val="notetext"/>
      </w:pPr>
      <w:r w:rsidRPr="00D3706C">
        <w:t>Note:</w:t>
      </w:r>
      <w:r w:rsidRPr="00D3706C">
        <w:tab/>
        <w:t>This subrule is a civil penalty provision (see rule 9.8).</w:t>
      </w:r>
    </w:p>
    <w:p w14:paraId="141C3917" w14:textId="77777777" w:rsidR="00CF0E3D" w:rsidRPr="0029723C" w:rsidRDefault="00CF0E3D" w:rsidP="00CF0E3D">
      <w:pPr>
        <w:pStyle w:val="subsection"/>
      </w:pPr>
      <w:r w:rsidRPr="00E1300D">
        <w:tab/>
      </w:r>
      <w:r>
        <w:t>(3)</w:t>
      </w:r>
      <w:r w:rsidRPr="00E1300D">
        <w:tab/>
        <w:t>The data holder must, subject to</w:t>
      </w:r>
      <w:r>
        <w:t xml:space="preserve"> subrule (4) and</w:t>
      </w:r>
      <w:r w:rsidRPr="00E1300D">
        <w:t xml:space="preserve"> rule </w:t>
      </w:r>
      <w:r>
        <w:t>2.5</w:t>
      </w:r>
      <w:r w:rsidRPr="0029723C">
        <w:t>:</w:t>
      </w:r>
    </w:p>
    <w:p w14:paraId="19C6D36A" w14:textId="77777777" w:rsidR="00CF0E3D" w:rsidRPr="0029723C" w:rsidRDefault="00CF0E3D" w:rsidP="00CF0E3D">
      <w:pPr>
        <w:pStyle w:val="paragraph"/>
      </w:pPr>
      <w:r w:rsidRPr="0029723C">
        <w:tab/>
      </w:r>
      <w:r>
        <w:t>(a)</w:t>
      </w:r>
      <w:r w:rsidRPr="0029723C">
        <w:tab/>
        <w:t>disclose the requested required product data to the requester:</w:t>
      </w:r>
    </w:p>
    <w:p w14:paraId="7BA95BDA" w14:textId="77777777" w:rsidR="00CF0E3D" w:rsidRPr="0029723C" w:rsidRDefault="00CF0E3D" w:rsidP="00CF0E3D">
      <w:pPr>
        <w:pStyle w:val="paragraphsub"/>
      </w:pPr>
      <w:r w:rsidRPr="0029723C">
        <w:tab/>
      </w:r>
      <w:r>
        <w:t>(i)</w:t>
      </w:r>
      <w:r w:rsidRPr="0029723C">
        <w:tab/>
        <w:t>through its product data request service; and</w:t>
      </w:r>
    </w:p>
    <w:p w14:paraId="2B35ABF0" w14:textId="77777777" w:rsidR="00CF0E3D" w:rsidRPr="0029723C" w:rsidRDefault="00CF0E3D" w:rsidP="00CF0E3D">
      <w:pPr>
        <w:pStyle w:val="paragraphsub"/>
      </w:pPr>
      <w:r w:rsidRPr="0029723C">
        <w:tab/>
      </w:r>
      <w:r>
        <w:t>(ii)</w:t>
      </w:r>
      <w:r w:rsidRPr="0029723C">
        <w:tab/>
        <w:t>in accordance with the data standards; and</w:t>
      </w:r>
    </w:p>
    <w:p w14:paraId="4511E5D6" w14:textId="77777777" w:rsidR="00CF0E3D" w:rsidRPr="0029723C" w:rsidRDefault="00CF0E3D" w:rsidP="00CF0E3D">
      <w:pPr>
        <w:pStyle w:val="paragraph"/>
      </w:pPr>
      <w:r w:rsidRPr="0029723C">
        <w:tab/>
      </w:r>
      <w:r>
        <w:t>(b)</w:t>
      </w:r>
      <w:r w:rsidRPr="0029723C">
        <w:tab/>
        <w:t>include in the disclosed data any requ</w:t>
      </w:r>
      <w:r>
        <w:t>i</w:t>
      </w:r>
      <w:r w:rsidRPr="0029723C">
        <w:t>red product data that is:</w:t>
      </w:r>
    </w:p>
    <w:p w14:paraId="5AAB1FCD" w14:textId="77777777" w:rsidR="00CF0E3D" w:rsidRPr="0029723C" w:rsidRDefault="00CF0E3D" w:rsidP="00CF0E3D">
      <w:pPr>
        <w:pStyle w:val="paragraphsub"/>
      </w:pPr>
      <w:r w:rsidRPr="0029723C">
        <w:tab/>
      </w:r>
      <w:r>
        <w:t>(i)</w:t>
      </w:r>
      <w:r w:rsidRPr="0029723C">
        <w:tab/>
        <w:t>the subject of the product data request; and</w:t>
      </w:r>
    </w:p>
    <w:p w14:paraId="71EFEC3D" w14:textId="77777777" w:rsidR="00CF0E3D" w:rsidRPr="0029723C" w:rsidRDefault="00CF0E3D" w:rsidP="00CF0E3D">
      <w:pPr>
        <w:pStyle w:val="paragraphsub"/>
      </w:pPr>
      <w:r w:rsidRPr="0029723C">
        <w:tab/>
      </w:r>
      <w:r>
        <w:t>(ii)</w:t>
      </w:r>
      <w:r w:rsidRPr="0029723C">
        <w:tab/>
        <w:t>contained:</w:t>
      </w:r>
    </w:p>
    <w:p w14:paraId="1C46C82A" w14:textId="77777777" w:rsidR="00CF0E3D" w:rsidRPr="0029723C" w:rsidRDefault="00CF0E3D" w:rsidP="00CF0E3D">
      <w:pPr>
        <w:pStyle w:val="paragraphsub-sub"/>
      </w:pPr>
      <w:r w:rsidRPr="0029723C">
        <w:tab/>
      </w:r>
      <w:r>
        <w:t>(A)</w:t>
      </w:r>
      <w:r w:rsidRPr="0029723C">
        <w:tab/>
        <w:t>on the data holder’s website; or</w:t>
      </w:r>
    </w:p>
    <w:p w14:paraId="6279AB3A" w14:textId="77777777" w:rsidR="00CF0E3D" w:rsidRPr="00773999" w:rsidRDefault="00CF0E3D" w:rsidP="00CF0E3D">
      <w:pPr>
        <w:pStyle w:val="paragraphsub-sub"/>
        <w:rPr>
          <w:color w:val="000000" w:themeColor="text1"/>
        </w:rPr>
      </w:pPr>
      <w:r w:rsidRPr="0029723C">
        <w:tab/>
      </w:r>
      <w:r>
        <w:t>(B)</w:t>
      </w:r>
      <w:r w:rsidRPr="0029723C">
        <w:tab/>
        <w:t xml:space="preserve">in a </w:t>
      </w:r>
      <w:r>
        <w:t>disclosure document</w:t>
      </w:r>
      <w:r w:rsidRPr="0029723C">
        <w:t xml:space="preserve"> that relates to the product</w:t>
      </w:r>
      <w:r>
        <w:t>.</w:t>
      </w:r>
    </w:p>
    <w:p w14:paraId="35825455" w14:textId="441D9D80" w:rsidR="00C4707E" w:rsidRPr="00693A57" w:rsidRDefault="00CF0E3D" w:rsidP="00C4707E">
      <w:pPr>
        <w:pStyle w:val="notetext"/>
        <w:rPr>
          <w:color w:val="FF0000"/>
        </w:rPr>
      </w:pPr>
      <w:r w:rsidRPr="00693A57">
        <w:rPr>
          <w:color w:val="FF0000"/>
        </w:rPr>
        <w:t>Note 1:</w:t>
      </w:r>
      <w:r w:rsidRPr="00693A57">
        <w:rPr>
          <w:color w:val="FF0000"/>
        </w:rPr>
        <w:tab/>
      </w:r>
      <w:r w:rsidR="00C4707E" w:rsidRPr="00693A57">
        <w:rPr>
          <w:color w:val="FF0000"/>
        </w:rPr>
        <w:t>See rule 1.7 for the meaning of “required product data</w:t>
      </w:r>
      <w:r w:rsidR="00A9450F" w:rsidRPr="00693A57">
        <w:rPr>
          <w:color w:val="FF0000"/>
        </w:rPr>
        <w:t>”</w:t>
      </w:r>
      <w:r w:rsidR="00C4707E" w:rsidRPr="00693A57">
        <w:rPr>
          <w:color w:val="FF0000"/>
        </w:rPr>
        <w:t>.  See also:</w:t>
      </w:r>
    </w:p>
    <w:p w14:paraId="63E9FF5E" w14:textId="0E70116D" w:rsidR="00C4707E" w:rsidRPr="00693A57" w:rsidRDefault="00C4707E" w:rsidP="007D5353">
      <w:pPr>
        <w:pStyle w:val="notepara"/>
        <w:numPr>
          <w:ilvl w:val="0"/>
          <w:numId w:val="11"/>
        </w:numPr>
        <w:rPr>
          <w:color w:val="FF0000"/>
        </w:rPr>
      </w:pPr>
      <w:r w:rsidRPr="00693A57">
        <w:rPr>
          <w:color w:val="FF0000"/>
        </w:rPr>
        <w:t>for the banking sector—clause 3.1 of Schedule 3;</w:t>
      </w:r>
    </w:p>
    <w:p w14:paraId="22F6A5B9" w14:textId="4B23D288" w:rsidR="00C4707E" w:rsidRPr="00693A57" w:rsidRDefault="00C4707E" w:rsidP="007D5353">
      <w:pPr>
        <w:pStyle w:val="notepara"/>
        <w:numPr>
          <w:ilvl w:val="0"/>
          <w:numId w:val="11"/>
        </w:numPr>
        <w:rPr>
          <w:color w:val="FF0000"/>
        </w:rPr>
      </w:pPr>
      <w:r w:rsidRPr="00693A57">
        <w:rPr>
          <w:color w:val="FF0000"/>
        </w:rPr>
        <w:t>for the energy sector—clause </w:t>
      </w:r>
      <w:r w:rsidR="00A9450F" w:rsidRPr="00693A57">
        <w:rPr>
          <w:color w:val="FF0000"/>
        </w:rPr>
        <w:fldChar w:fldCharType="begin" w:fldLock="1"/>
      </w:r>
      <w:r w:rsidR="00A9450F" w:rsidRPr="00693A57">
        <w:rPr>
          <w:color w:val="FF0000"/>
        </w:rPr>
        <w:instrText xml:space="preserve"> REF _Ref62410663 \n </w:instrText>
      </w:r>
      <w:r w:rsidR="00A9450F" w:rsidRPr="00693A57">
        <w:rPr>
          <w:color w:val="FF0000"/>
        </w:rPr>
        <w:fldChar w:fldCharType="separate"/>
      </w:r>
      <w:r w:rsidR="000F7228">
        <w:rPr>
          <w:color w:val="FF0000"/>
        </w:rPr>
        <w:t>3.1</w:t>
      </w:r>
      <w:r w:rsidR="00A9450F" w:rsidRPr="00693A57">
        <w:rPr>
          <w:color w:val="FF0000"/>
        </w:rPr>
        <w:fldChar w:fldCharType="end"/>
      </w:r>
      <w:r w:rsidR="00A9450F" w:rsidRPr="00693A57">
        <w:rPr>
          <w:color w:val="FF0000"/>
        </w:rPr>
        <w:t xml:space="preserve"> </w:t>
      </w:r>
      <w:r w:rsidRPr="00693A57">
        <w:rPr>
          <w:color w:val="FF0000"/>
        </w:rPr>
        <w:t>of Schedule 4.</w:t>
      </w:r>
    </w:p>
    <w:p w14:paraId="78594359" w14:textId="41FD75A7" w:rsidR="00C4707E" w:rsidRPr="00693A57" w:rsidRDefault="00B13F8B" w:rsidP="00CF0E3D">
      <w:pPr>
        <w:pStyle w:val="notetext"/>
        <w:rPr>
          <w:strike/>
          <w:color w:val="FF0000"/>
        </w:rPr>
      </w:pPr>
      <w:r w:rsidRPr="00693A57">
        <w:rPr>
          <w:strike/>
          <w:color w:val="FF0000"/>
        </w:rPr>
        <w:t>Note 1</w:t>
      </w:r>
      <w:r w:rsidR="00AC3BA1" w:rsidRPr="00693A57">
        <w:rPr>
          <w:strike/>
          <w:color w:val="FF0000"/>
        </w:rPr>
        <w:tab/>
      </w:r>
      <w:r w:rsidR="00CF0E3D" w:rsidRPr="00693A57">
        <w:rPr>
          <w:strike/>
          <w:color w:val="FF0000"/>
        </w:rPr>
        <w:t>See rule 1.7 for the definition of “required</w:t>
      </w:r>
      <w:r w:rsidR="00CF0E3D" w:rsidRPr="00693A57">
        <w:rPr>
          <w:b/>
          <w:i/>
          <w:strike/>
          <w:color w:val="FF0000"/>
        </w:rPr>
        <w:t xml:space="preserve"> </w:t>
      </w:r>
      <w:r w:rsidR="00CF0E3D" w:rsidRPr="00693A57">
        <w:rPr>
          <w:strike/>
          <w:color w:val="FF0000"/>
        </w:rPr>
        <w:t>product data”, and see clause 3.1 of Schedule 3 for the definition of “required</w:t>
      </w:r>
      <w:r w:rsidR="00CF0E3D" w:rsidRPr="00693A57">
        <w:rPr>
          <w:b/>
          <w:i/>
          <w:strike/>
          <w:color w:val="FF0000"/>
        </w:rPr>
        <w:t xml:space="preserve"> </w:t>
      </w:r>
      <w:r w:rsidR="00CF0E3D" w:rsidRPr="00693A57">
        <w:rPr>
          <w:strike/>
          <w:color w:val="FF0000"/>
        </w:rPr>
        <w:t>product data” in relation to the banking sector.</w:t>
      </w:r>
    </w:p>
    <w:p w14:paraId="623613EC" w14:textId="77777777" w:rsidR="00CF0E3D" w:rsidRDefault="00CF0E3D" w:rsidP="00CF0E3D">
      <w:pPr>
        <w:pStyle w:val="notetext"/>
      </w:pPr>
      <w:r w:rsidRPr="00E1300D">
        <w:t>Note 2:</w:t>
      </w:r>
      <w:r w:rsidRPr="00E1300D">
        <w:tab/>
        <w:t>This subrule is a civil penalty provision (see rule </w:t>
      </w:r>
      <w:r>
        <w:t>9.8</w:t>
      </w:r>
      <w:r w:rsidRPr="00E1300D">
        <w:t>).</w:t>
      </w:r>
    </w:p>
    <w:p w14:paraId="4FA72983" w14:textId="77777777" w:rsidR="00CF0E3D" w:rsidRDefault="00CF0E3D" w:rsidP="00CF0E3D">
      <w:pPr>
        <w:pStyle w:val="notetext"/>
        <w:rPr>
          <w:color w:val="000000" w:themeColor="text1"/>
        </w:rPr>
      </w:pPr>
      <w:r w:rsidRPr="0029723C">
        <w:t>Note 3:</w:t>
      </w:r>
      <w:r w:rsidRPr="0029723C">
        <w:tab/>
        <w:t xml:space="preserve">A fee cannot be charged for the disclosure of required product </w:t>
      </w:r>
      <w:r w:rsidRPr="00464C22">
        <w:rPr>
          <w:color w:val="000000" w:themeColor="text1"/>
        </w:rPr>
        <w:t>data: see section 56BU of the Act.</w:t>
      </w:r>
    </w:p>
    <w:p w14:paraId="5AF06C31" w14:textId="77777777" w:rsidR="00CF0E3D" w:rsidRPr="00D3706C" w:rsidRDefault="00CF0E3D" w:rsidP="00CF0E3D">
      <w:pPr>
        <w:pStyle w:val="subsection"/>
      </w:pPr>
      <w:r w:rsidRPr="00D3706C">
        <w:tab/>
        <w:t>(4)</w:t>
      </w:r>
      <w:r w:rsidRPr="00D3706C">
        <w:tab/>
        <w:t>If:</w:t>
      </w:r>
    </w:p>
    <w:p w14:paraId="54737954" w14:textId="77777777" w:rsidR="00CF0E3D" w:rsidRPr="00D3706C" w:rsidRDefault="00CF0E3D" w:rsidP="00CF0E3D">
      <w:pPr>
        <w:pStyle w:val="paragraph"/>
      </w:pPr>
      <w:r w:rsidRPr="00D3706C">
        <w:tab/>
        <w:t>(a)</w:t>
      </w:r>
      <w:r w:rsidRPr="00D3706C">
        <w:tab/>
        <w:t xml:space="preserve">a data holder (the </w:t>
      </w:r>
      <w:r w:rsidRPr="00D3706C">
        <w:rPr>
          <w:b/>
          <w:i/>
        </w:rPr>
        <w:t>first data holder</w:t>
      </w:r>
      <w:r w:rsidRPr="00D3706C">
        <w:t xml:space="preserve">) receives a request for CDR data that relates to a product (the </w:t>
      </w:r>
      <w:r w:rsidRPr="00D3706C">
        <w:rPr>
          <w:b/>
          <w:i/>
        </w:rPr>
        <w:t>relevant product</w:t>
      </w:r>
      <w:r w:rsidRPr="00D3706C">
        <w:t>); and</w:t>
      </w:r>
    </w:p>
    <w:p w14:paraId="6D026A13" w14:textId="77777777" w:rsidR="00CF0E3D" w:rsidRPr="00D3706C" w:rsidRDefault="00CF0E3D" w:rsidP="00CF0E3D">
      <w:pPr>
        <w:pStyle w:val="paragraph"/>
      </w:pPr>
      <w:r w:rsidRPr="00D3706C">
        <w:tab/>
        <w:t>(b)</w:t>
      </w:r>
      <w:r w:rsidRPr="00D3706C">
        <w:tab/>
        <w:t xml:space="preserve">the first data holder offers the relevant product on behalf of another data holder (the </w:t>
      </w:r>
      <w:r w:rsidRPr="00D3706C">
        <w:rPr>
          <w:b/>
          <w:i/>
        </w:rPr>
        <w:t>second data holder</w:t>
      </w:r>
      <w:r w:rsidRPr="00D3706C">
        <w:t>), such that the second data holder is the data holder that enters into contracts with consumers to provide the relevant product;</w:t>
      </w:r>
    </w:p>
    <w:p w14:paraId="10AC3D96" w14:textId="77777777" w:rsidR="00CF0E3D" w:rsidRDefault="00CF0E3D" w:rsidP="00CF0E3D">
      <w:pPr>
        <w:pStyle w:val="subsection"/>
        <w:spacing w:before="40"/>
      </w:pPr>
      <w:r w:rsidRPr="00D3706C">
        <w:tab/>
      </w:r>
      <w:r w:rsidRPr="00D3706C">
        <w:tab/>
        <w:t>the first data holder is not required to disclose the requested required product data under subrule (3).</w:t>
      </w:r>
    </w:p>
    <w:p w14:paraId="3AC35F83" w14:textId="77777777" w:rsidR="00CF0E3D" w:rsidRPr="00D3706C" w:rsidRDefault="00CF0E3D" w:rsidP="00CF0E3D">
      <w:pPr>
        <w:pStyle w:val="subsection"/>
      </w:pPr>
      <w:r w:rsidRPr="00D3706C">
        <w:tab/>
        <w:t>(5)</w:t>
      </w:r>
      <w:r w:rsidRPr="00D3706C">
        <w:tab/>
        <w:t>If:</w:t>
      </w:r>
    </w:p>
    <w:p w14:paraId="7433EB05" w14:textId="77777777" w:rsidR="00CF0E3D" w:rsidRPr="00D3706C" w:rsidRDefault="00CF0E3D" w:rsidP="00CF0E3D">
      <w:pPr>
        <w:pStyle w:val="paragraph"/>
      </w:pPr>
      <w:r w:rsidRPr="00D3706C">
        <w:tab/>
        <w:t>(a)</w:t>
      </w:r>
      <w:r w:rsidRPr="00D3706C">
        <w:tab/>
        <w:t>the second data holder receives such a request; and</w:t>
      </w:r>
    </w:p>
    <w:p w14:paraId="06CC1522" w14:textId="77777777" w:rsidR="00CF0E3D" w:rsidRPr="00D3706C" w:rsidRDefault="00CF0E3D" w:rsidP="00CF0E3D">
      <w:pPr>
        <w:pStyle w:val="paragraph"/>
      </w:pPr>
      <w:r w:rsidRPr="00D3706C">
        <w:lastRenderedPageBreak/>
        <w:tab/>
        <w:t>(b)</w:t>
      </w:r>
      <w:r w:rsidRPr="00D3706C">
        <w:tab/>
        <w:t>the data holders have agreed in writing that, in such a case, the first data holder will disclose the requested required product data;</w:t>
      </w:r>
    </w:p>
    <w:p w14:paraId="5E5365A2" w14:textId="77777777" w:rsidR="00CF0E3D" w:rsidRPr="00D3706C" w:rsidRDefault="00CF0E3D" w:rsidP="00CF0E3D">
      <w:pPr>
        <w:pStyle w:val="subsection"/>
        <w:spacing w:before="40"/>
      </w:pPr>
      <w:r w:rsidRPr="00D3706C">
        <w:tab/>
      </w:r>
      <w:r w:rsidRPr="00D3706C">
        <w:tab/>
        <w:t>then:</w:t>
      </w:r>
    </w:p>
    <w:p w14:paraId="406EDF1A" w14:textId="77777777" w:rsidR="00CF0E3D" w:rsidRPr="00D3706C" w:rsidRDefault="00CF0E3D" w:rsidP="00CF0E3D">
      <w:pPr>
        <w:pStyle w:val="paragraph"/>
      </w:pPr>
      <w:r w:rsidRPr="00D3706C">
        <w:tab/>
        <w:t>(c)</w:t>
      </w:r>
      <w:r w:rsidRPr="00D3706C">
        <w:tab/>
        <w:t>subrule (3) applies as if:</w:t>
      </w:r>
    </w:p>
    <w:p w14:paraId="7871CDD2" w14:textId="77777777" w:rsidR="00CF0E3D" w:rsidRPr="00D3706C" w:rsidRDefault="00CF0E3D" w:rsidP="00CF0E3D">
      <w:pPr>
        <w:pStyle w:val="paragraphsub"/>
      </w:pPr>
      <w:r w:rsidRPr="00D3706C">
        <w:tab/>
        <w:t>(i)</w:t>
      </w:r>
      <w:r w:rsidRPr="00D3706C">
        <w:tab/>
        <w:t>it permitted the CDR data to be disclosed through the first data holder’s product data request service; and</w:t>
      </w:r>
    </w:p>
    <w:p w14:paraId="40F1E847" w14:textId="77777777" w:rsidR="00CF0E3D" w:rsidRPr="00D3706C" w:rsidRDefault="00CF0E3D" w:rsidP="00CF0E3D">
      <w:pPr>
        <w:pStyle w:val="paragraphsub"/>
      </w:pPr>
      <w:r w:rsidRPr="00D3706C">
        <w:tab/>
        <w:t>(ii)</w:t>
      </w:r>
      <w:r w:rsidRPr="00D3706C">
        <w:tab/>
        <w:t>in the case that the first data holder disclosed CDR data in response to the request―the reference to the data holder’s website in sub</w:t>
      </w:r>
      <w:r w:rsidRPr="00D3706C">
        <w:noBreakHyphen/>
        <w:t>subparagraph (3)(b)(ii)(A) was to the first data holder’s website; and</w:t>
      </w:r>
    </w:p>
    <w:p w14:paraId="1B68B05B" w14:textId="77777777" w:rsidR="00CF0E3D" w:rsidRPr="00D3706C" w:rsidRDefault="00CF0E3D" w:rsidP="00CF0E3D">
      <w:pPr>
        <w:pStyle w:val="paragraph"/>
        <w:tabs>
          <w:tab w:val="left" w:pos="2160"/>
          <w:tab w:val="left" w:pos="2880"/>
          <w:tab w:val="center" w:pos="4156"/>
        </w:tabs>
      </w:pPr>
      <w:r w:rsidRPr="00D3706C">
        <w:tab/>
        <w:t>(d)</w:t>
      </w:r>
      <w:r w:rsidRPr="00D3706C">
        <w:tab/>
        <w:t>rule 2.6 applies as if it applied in relation to each of the first data holder and the second data holder.</w:t>
      </w:r>
    </w:p>
    <w:p w14:paraId="1A424E41" w14:textId="77777777" w:rsidR="00CF0E3D" w:rsidRPr="00D3706C" w:rsidRDefault="00CF0E3D" w:rsidP="00CF0E3D">
      <w:pPr>
        <w:pStyle w:val="subsection"/>
      </w:pPr>
      <w:r w:rsidRPr="00D3706C">
        <w:tab/>
        <w:t>(6)</w:t>
      </w:r>
      <w:r w:rsidRPr="00D3706C">
        <w:tab/>
        <w:t xml:space="preserve">In this rule, </w:t>
      </w:r>
      <w:r w:rsidRPr="00D3706C">
        <w:rPr>
          <w:b/>
          <w:i/>
        </w:rPr>
        <w:t xml:space="preserve">disclosure document </w:t>
      </w:r>
      <w:r w:rsidRPr="00D3706C">
        <w:t>includes:</w:t>
      </w:r>
    </w:p>
    <w:p w14:paraId="7CC0DA1E" w14:textId="77777777" w:rsidR="00CF0E3D" w:rsidRPr="00D3706C" w:rsidRDefault="00CF0E3D" w:rsidP="00CF0E3D">
      <w:pPr>
        <w:pStyle w:val="paragraph"/>
      </w:pPr>
      <w:r w:rsidRPr="00D3706C">
        <w:tab/>
        <w:t>(a)</w:t>
      </w:r>
      <w:r w:rsidRPr="00D3706C">
        <w:tab/>
        <w:t xml:space="preserve">a Product Disclosure Statement within the meaning of the </w:t>
      </w:r>
      <w:r w:rsidRPr="00D3706C">
        <w:rPr>
          <w:i/>
        </w:rPr>
        <w:t>Corporations Act 2001</w:t>
      </w:r>
      <w:r w:rsidRPr="00D3706C">
        <w:t>; or</w:t>
      </w:r>
    </w:p>
    <w:p w14:paraId="0D7CAE2F" w14:textId="77777777" w:rsidR="00CF0E3D" w:rsidRPr="00D3706C" w:rsidRDefault="00CF0E3D" w:rsidP="00CF0E3D">
      <w:pPr>
        <w:pStyle w:val="paragraph"/>
      </w:pPr>
      <w:r w:rsidRPr="00D3706C">
        <w:tab/>
        <w:t>(b)</w:t>
      </w:r>
      <w:r w:rsidRPr="00D3706C">
        <w:tab/>
        <w:t xml:space="preserve">a key facts sheet within the meaning of the </w:t>
      </w:r>
      <w:r w:rsidRPr="00D3706C">
        <w:rPr>
          <w:i/>
        </w:rPr>
        <w:t>National Consumer Credit Protection Act 2009</w:t>
      </w:r>
      <w:r w:rsidRPr="00D3706C">
        <w:t xml:space="preserve">; or </w:t>
      </w:r>
    </w:p>
    <w:p w14:paraId="0332E92A" w14:textId="77777777" w:rsidR="00CF0E3D" w:rsidRPr="00D067D3" w:rsidRDefault="00CF0E3D" w:rsidP="00CF0E3D">
      <w:pPr>
        <w:pStyle w:val="paragraph"/>
      </w:pPr>
      <w:r w:rsidRPr="00D3706C">
        <w:tab/>
        <w:t xml:space="preserve">(c) </w:t>
      </w:r>
      <w:r w:rsidRPr="00D3706C">
        <w:tab/>
        <w:t>a similar document that is required by law to be disclosed to a customer prior to entering into a contract with that customer.</w:t>
      </w:r>
    </w:p>
    <w:p w14:paraId="5327AA8D" w14:textId="77777777" w:rsidR="00CF0E3D" w:rsidRPr="00BB5F96" w:rsidRDefault="00CF0E3D" w:rsidP="00CF0E3D">
      <w:pPr>
        <w:pStyle w:val="ActHead5"/>
      </w:pPr>
      <w:bookmarkStart w:id="82" w:name="_Toc11771583"/>
      <w:bookmarkStart w:id="83" w:name="_Toc77064858"/>
      <w:r>
        <w:t xml:space="preserve">2.5  Refusal to disclose </w:t>
      </w:r>
      <w:r w:rsidRPr="00BB5F96">
        <w:t>required product data in response to product data request</w:t>
      </w:r>
      <w:bookmarkEnd w:id="82"/>
      <w:bookmarkEnd w:id="83"/>
    </w:p>
    <w:p w14:paraId="33C6C934" w14:textId="77777777" w:rsidR="00CF0E3D" w:rsidRPr="00E1300D" w:rsidRDefault="00CF0E3D" w:rsidP="00CF0E3D">
      <w:pPr>
        <w:pStyle w:val="subsection"/>
      </w:pPr>
      <w:r w:rsidRPr="00E1300D">
        <w:tab/>
      </w:r>
      <w:r>
        <w:t>(1)</w:t>
      </w:r>
      <w:r w:rsidRPr="00E1300D">
        <w:tab/>
        <w:t xml:space="preserve">Despite </w:t>
      </w:r>
      <w:r w:rsidRPr="0029723C">
        <w:t>subrule </w:t>
      </w:r>
      <w:r>
        <w:t>2.4(3)</w:t>
      </w:r>
      <w:r w:rsidRPr="00E1300D">
        <w:t>, the data holder may refuse to disclose required product data in response to the request in circumstances (if any) set out in the data standards.</w:t>
      </w:r>
    </w:p>
    <w:p w14:paraId="6C21A289" w14:textId="77777777" w:rsidR="00CF0E3D" w:rsidRPr="00E1300D" w:rsidRDefault="00CF0E3D" w:rsidP="00CF0E3D">
      <w:pPr>
        <w:pStyle w:val="subsection"/>
      </w:pPr>
      <w:r w:rsidRPr="00E1300D">
        <w:tab/>
      </w:r>
      <w:r>
        <w:t>(2)</w:t>
      </w:r>
      <w:r w:rsidRPr="00E1300D">
        <w:tab/>
        <w:t>The data holder must inform the requester of such a refusal in accordance with the data standards.</w:t>
      </w:r>
    </w:p>
    <w:p w14:paraId="61654905" w14:textId="77777777" w:rsidR="00CF0E3D" w:rsidRPr="005F3D40" w:rsidRDefault="00CF0E3D" w:rsidP="00CF0E3D">
      <w:pPr>
        <w:pStyle w:val="subsection"/>
      </w:pPr>
      <w:r>
        <w:tab/>
      </w:r>
      <w:r>
        <w:tab/>
      </w:r>
      <w:r w:rsidRPr="005F3D40">
        <w:t>Civil penalty:</w:t>
      </w:r>
    </w:p>
    <w:p w14:paraId="05AF2A59"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2BF85088"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70362DB9" w14:textId="77777777" w:rsidR="00CF0E3D" w:rsidRPr="00FE1DF8" w:rsidRDefault="00CF0E3D" w:rsidP="00CF0E3D">
      <w:pPr>
        <w:pStyle w:val="ActHead5"/>
      </w:pPr>
      <w:bookmarkStart w:id="84" w:name="_Toc11771584"/>
      <w:bookmarkStart w:id="85" w:name="_Toc77064859"/>
      <w:r>
        <w:t>2.6</w:t>
      </w:r>
      <w:r w:rsidRPr="00FE1DF8">
        <w:t xml:space="preserve">  Use of data disclosed pursuant to product data request</w:t>
      </w:r>
      <w:bookmarkEnd w:id="84"/>
      <w:bookmarkEnd w:id="85"/>
    </w:p>
    <w:p w14:paraId="6984F483" w14:textId="77777777" w:rsidR="00CF0E3D" w:rsidRPr="00FE1DF8" w:rsidRDefault="00CF0E3D" w:rsidP="00CF0E3D">
      <w:pPr>
        <w:pStyle w:val="subsection"/>
      </w:pPr>
      <w:r w:rsidRPr="00FE1DF8">
        <w:tab/>
      </w:r>
      <w:r w:rsidRPr="00FE1DF8">
        <w:tab/>
        <w:t>A data holder that discloses CDR data in response to a product data request must not impose conditions, restrictions or limitations of any kind on the use of the disclosed data.</w:t>
      </w:r>
    </w:p>
    <w:p w14:paraId="2CA52B6B" w14:textId="77777777" w:rsidR="00CF0E3D" w:rsidRPr="00FE1DF8" w:rsidRDefault="00CF0E3D" w:rsidP="00CF0E3D">
      <w:pPr>
        <w:pStyle w:val="notetext"/>
      </w:pPr>
      <w:r w:rsidRPr="00FE1DF8">
        <w:t>Note:</w:t>
      </w:r>
      <w:r w:rsidRPr="00FE1DF8">
        <w:tab/>
        <w:t>This rule is a civil penalty provision (see rule </w:t>
      </w:r>
      <w:r>
        <w:t>9.8</w:t>
      </w:r>
      <w:r w:rsidRPr="00FE1DF8">
        <w:t>).</w:t>
      </w:r>
    </w:p>
    <w:p w14:paraId="577F7BF1" w14:textId="77777777" w:rsidR="00CF0E3D" w:rsidRPr="00BB5F96" w:rsidRDefault="00CF0E3D" w:rsidP="00CF0E3D">
      <w:pPr>
        <w:pStyle w:val="ActHead2"/>
        <w:pageBreakBefore/>
      </w:pPr>
      <w:bookmarkStart w:id="86" w:name="_Toc11771585"/>
      <w:bookmarkStart w:id="87" w:name="_Toc77064860"/>
      <w:r>
        <w:lastRenderedPageBreak/>
        <w:t xml:space="preserve">Part 3—Consumer data </w:t>
      </w:r>
      <w:r w:rsidRPr="00641354">
        <w:rPr>
          <w:color w:val="000000"/>
        </w:rPr>
        <w:t>requests</w:t>
      </w:r>
      <w:r>
        <w:rPr>
          <w:color w:val="000000"/>
        </w:rPr>
        <w:t xml:space="preserve"> made by </w:t>
      </w:r>
      <w:r w:rsidRPr="00BB5F96">
        <w:t>eligible CDR consumers</w:t>
      </w:r>
      <w:bookmarkEnd w:id="86"/>
      <w:bookmarkEnd w:id="87"/>
    </w:p>
    <w:p w14:paraId="50C29EBF" w14:textId="77777777" w:rsidR="00CF0E3D" w:rsidRPr="00BB5F96" w:rsidRDefault="00CF0E3D" w:rsidP="00CF0E3D">
      <w:pPr>
        <w:pStyle w:val="ActHead3"/>
      </w:pPr>
      <w:bookmarkStart w:id="88" w:name="_Toc11771586"/>
      <w:bookmarkStart w:id="89" w:name="_Toc77064861"/>
      <w:r>
        <w:t>Division 3.1</w:t>
      </w:r>
      <w:r w:rsidRPr="00BB5F96">
        <w:t>—Preliminary</w:t>
      </w:r>
      <w:bookmarkEnd w:id="88"/>
      <w:bookmarkEnd w:id="89"/>
    </w:p>
    <w:p w14:paraId="5550E931" w14:textId="77777777" w:rsidR="00CF0E3D" w:rsidRPr="00BB5F96" w:rsidRDefault="00CF0E3D" w:rsidP="00CF0E3D">
      <w:pPr>
        <w:pStyle w:val="ActHead5"/>
      </w:pPr>
      <w:bookmarkStart w:id="90" w:name="_Toc11771587"/>
      <w:bookmarkStart w:id="91" w:name="_Toc77064862"/>
      <w:r>
        <w:t>3.1</w:t>
      </w:r>
      <w:r w:rsidRPr="00BB5F96">
        <w:t xml:space="preserve">  Simplified outline of this Part</w:t>
      </w:r>
      <w:bookmarkEnd w:id="90"/>
      <w:bookmarkEnd w:id="91"/>
    </w:p>
    <w:p w14:paraId="1C0ED48B" w14:textId="77777777" w:rsidR="00CF0E3D" w:rsidRPr="00BB5F96" w:rsidRDefault="00CF0E3D" w:rsidP="00CF0E3D">
      <w:pPr>
        <w:pStyle w:val="SOText"/>
      </w:pPr>
      <w:r w:rsidRPr="00BB5F96">
        <w:t>This Part deals with consumer data requests that are made directly by eligible CDR consumers to data holders. Such requests are made using the data holder’s direct request service.</w:t>
      </w:r>
    </w:p>
    <w:p w14:paraId="7FFCA6DE" w14:textId="77777777" w:rsidR="00CF0E3D" w:rsidRPr="00BB5F96" w:rsidRDefault="00CF0E3D" w:rsidP="00CF0E3D">
      <w:pPr>
        <w:pStyle w:val="SOText"/>
      </w:pPr>
      <w:r w:rsidRPr="00BB5F96">
        <w:t xml:space="preserve">A request may be for the CDR consumer’s required consumer data, their voluntary consumer data, or both. </w:t>
      </w:r>
      <w:r>
        <w:t>Schedule 3</w:t>
      </w:r>
      <w:r w:rsidRPr="00BB5F96">
        <w:t xml:space="preserve"> to these rules:</w:t>
      </w:r>
    </w:p>
    <w:p w14:paraId="1A9A92B4" w14:textId="77777777" w:rsidR="00CF0E3D" w:rsidRPr="00BB5F96" w:rsidRDefault="00CF0E3D" w:rsidP="00CF0E3D">
      <w:pPr>
        <w:pStyle w:val="SOPara"/>
      </w:pPr>
      <w:r w:rsidRPr="00BB5F96">
        <w:tab/>
        <w:t>•</w:t>
      </w:r>
      <w:r w:rsidRPr="00BB5F96">
        <w:tab/>
        <w:t xml:space="preserve">provides for what is required </w:t>
      </w:r>
      <w:r w:rsidRPr="005F3D40">
        <w:rPr>
          <w:color w:val="000000" w:themeColor="text1"/>
        </w:rPr>
        <w:t>consumer</w:t>
      </w:r>
      <w:r w:rsidRPr="00BB5F96">
        <w:t xml:space="preserve"> data and voluntary consumer data for the banking sector; and</w:t>
      </w:r>
    </w:p>
    <w:p w14:paraId="36FAC734" w14:textId="77777777" w:rsidR="00CF0E3D" w:rsidRPr="00BB5F96" w:rsidRDefault="00CF0E3D" w:rsidP="00CF0E3D">
      <w:pPr>
        <w:pStyle w:val="SOPara"/>
      </w:pPr>
      <w:r w:rsidRPr="00BB5F96">
        <w:tab/>
        <w:t>•</w:t>
      </w:r>
      <w:r w:rsidRPr="00BB5F96">
        <w:tab/>
        <w:t>sets out the circumstances in which CDR consumers are eligible to request their banking sector CDR data.</w:t>
      </w:r>
    </w:p>
    <w:p w14:paraId="4DB8D820" w14:textId="77777777" w:rsidR="00CF0E3D" w:rsidRPr="00BB5F96" w:rsidRDefault="00CF0E3D" w:rsidP="00CF0E3D">
      <w:pPr>
        <w:pStyle w:val="SOText"/>
      </w:pPr>
      <w:r w:rsidRPr="00BB5F96">
        <w:t xml:space="preserve">When </w:t>
      </w:r>
      <w:r w:rsidRPr="00E1300D">
        <w:rPr>
          <w:color w:val="000000" w:themeColor="text1"/>
        </w:rPr>
        <w:t xml:space="preserve">validly </w:t>
      </w:r>
      <w:r w:rsidRPr="00BB5F96">
        <w:t>requested in accordance with this Part, a data holder:</w:t>
      </w:r>
    </w:p>
    <w:p w14:paraId="47483358" w14:textId="77777777" w:rsidR="00CF0E3D" w:rsidRPr="00BB5F96" w:rsidRDefault="00CF0E3D" w:rsidP="00CF0E3D">
      <w:pPr>
        <w:pStyle w:val="SOPara"/>
      </w:pPr>
      <w:r w:rsidRPr="00BB5F96">
        <w:tab/>
        <w:t>•</w:t>
      </w:r>
      <w:r w:rsidRPr="00BB5F96">
        <w:tab/>
        <w:t>must, subject to an exception outlined in this Part, disclose required consumer data; and</w:t>
      </w:r>
    </w:p>
    <w:p w14:paraId="37E68A24" w14:textId="77777777" w:rsidR="00CF0E3D" w:rsidRPr="00BB5F96" w:rsidRDefault="00CF0E3D" w:rsidP="00CF0E3D">
      <w:pPr>
        <w:pStyle w:val="SOPara"/>
      </w:pPr>
      <w:r w:rsidRPr="00BB5F96">
        <w:tab/>
        <w:t>•</w:t>
      </w:r>
      <w:r w:rsidRPr="00BB5F96">
        <w:tab/>
        <w:t>may, but is not required to, disclose voluntary consumer data.</w:t>
      </w:r>
    </w:p>
    <w:p w14:paraId="224E5262" w14:textId="77777777" w:rsidR="00CF0E3D" w:rsidRPr="00F27186" w:rsidRDefault="00CF0E3D" w:rsidP="00CF0E3D">
      <w:pPr>
        <w:pStyle w:val="SOText"/>
      </w:pPr>
      <w:r w:rsidRPr="00F27186">
        <w:t>In either case, the data is disclosed to the CDR consumer who made the request, in human</w:t>
      </w:r>
      <w:r w:rsidRPr="00F27186">
        <w:noBreakHyphen/>
        <w:t>readable form</w:t>
      </w:r>
      <w:r>
        <w:t xml:space="preserve"> and in accordance with the data standards</w:t>
      </w:r>
      <w:r w:rsidRPr="00F27186">
        <w:t>.</w:t>
      </w:r>
    </w:p>
    <w:p w14:paraId="31BB4222" w14:textId="77777777" w:rsidR="00CF0E3D" w:rsidRPr="00F27186" w:rsidRDefault="00CF0E3D" w:rsidP="00CF0E3D">
      <w:pPr>
        <w:pStyle w:val="SOText"/>
      </w:pPr>
      <w:r w:rsidRPr="00F27186">
        <w:t xml:space="preserve">For the banking sector, special rules apply to joint accounts with 2 individual joint account holders. These are set out in </w:t>
      </w:r>
      <w:r>
        <w:t>Part 4</w:t>
      </w:r>
      <w:r w:rsidRPr="00F27186">
        <w:t xml:space="preserve"> of </w:t>
      </w:r>
      <w:r>
        <w:t>Schedule 3</w:t>
      </w:r>
      <w:r w:rsidRPr="00F27186">
        <w:t>.</w:t>
      </w:r>
    </w:p>
    <w:p w14:paraId="77E4E598" w14:textId="77777777" w:rsidR="00CF0E3D" w:rsidRPr="00F27186" w:rsidRDefault="00CF0E3D" w:rsidP="00CF0E3D">
      <w:pPr>
        <w:pStyle w:val="SOText"/>
      </w:pPr>
      <w:r w:rsidRPr="00F27186">
        <w:t>A fee cannot be charged for the disclosure of required consumer data, but could be charged for the disclosure of voluntary consumer data.</w:t>
      </w:r>
    </w:p>
    <w:p w14:paraId="2348F0DB" w14:textId="77777777" w:rsidR="00CF0E3D" w:rsidRPr="00BB5F96" w:rsidRDefault="00CF0E3D" w:rsidP="00CF0E3D">
      <w:pPr>
        <w:pStyle w:val="ActHead5"/>
      </w:pPr>
      <w:bookmarkStart w:id="92" w:name="_Toc11771588"/>
      <w:bookmarkStart w:id="93" w:name="_Toc77064863"/>
      <w:r>
        <w:lastRenderedPageBreak/>
        <w:t xml:space="preserve">3.2  How </w:t>
      </w:r>
      <w:r w:rsidRPr="00BB5F96">
        <w:t>an eligible CDR consumer makes a consumer data request—flowchart</w:t>
      </w:r>
      <w:bookmarkEnd w:id="92"/>
      <w:bookmarkEnd w:id="93"/>
    </w:p>
    <w:p w14:paraId="404CC61E" w14:textId="77777777" w:rsidR="00CF0E3D" w:rsidRDefault="00CF0E3D" w:rsidP="00CF0E3D">
      <w:pPr>
        <w:pStyle w:val="subsection"/>
        <w:keepNext/>
      </w:pPr>
      <w:r w:rsidRPr="00BB5F96">
        <w:tab/>
      </w:r>
      <w:r w:rsidRPr="00BB5F96">
        <w:tab/>
        <w:t xml:space="preserve">The following is a flowchart for how an eligible </w:t>
      </w:r>
      <w:r>
        <w:t>CDR consumer makes a consumer data request under this Part:</w:t>
      </w:r>
    </w:p>
    <w:p w14:paraId="5C594E74" w14:textId="77777777" w:rsidR="00CF0E3D" w:rsidRDefault="00CF0E3D" w:rsidP="00CF0E3D">
      <w:pPr>
        <w:pStyle w:val="subsection"/>
      </w:pPr>
      <w:r>
        <w:rPr>
          <w:noProof/>
        </w:rPr>
        <mc:AlternateContent>
          <mc:Choice Requires="wpc">
            <w:drawing>
              <wp:inline distT="0" distB="0" distL="0" distR="0" wp14:anchorId="2CB8CAB1" wp14:editId="4844A777">
                <wp:extent cx="5278755" cy="3084508"/>
                <wp:effectExtent l="0" t="0" r="0" b="0"/>
                <wp:docPr id="9" name="Canvas 9" descr="P1233#y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ectangle 24"/>
                        <wps:cNvSpPr/>
                        <wps:spPr>
                          <a:xfrm>
                            <a:off x="1121435" y="208864"/>
                            <a:ext cx="3071868" cy="603250"/>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D2B0A" w14:textId="77777777" w:rsidR="002B3038" w:rsidRPr="00BB5F96" w:rsidRDefault="002B3038" w:rsidP="00CF0E3D">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21434" y="1136845"/>
                            <a:ext cx="3071868" cy="1762613"/>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97113" w14:textId="77777777" w:rsidR="002B3038" w:rsidRPr="00BB5F96" w:rsidRDefault="002B3038"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48D3D997" w14:textId="77777777" w:rsidR="002B3038" w:rsidRPr="00BB5F96" w:rsidRDefault="002B3038" w:rsidP="00CF0E3D">
                              <w:pPr>
                                <w:pStyle w:val="NormalWeb"/>
                                <w:spacing w:line="260" w:lineRule="exact"/>
                                <w:jc w:val="center"/>
                                <w:rPr>
                                  <w:rFonts w:eastAsia="Calibri"/>
                                  <w:color w:val="000000" w:themeColor="text1"/>
                                  <w:sz w:val="20"/>
                                  <w:szCs w:val="20"/>
                                </w:rPr>
                              </w:pPr>
                            </w:p>
                            <w:p w14:paraId="024F6115" w14:textId="77777777" w:rsidR="002B3038" w:rsidRPr="00BB5F96" w:rsidRDefault="002B3038"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3A4C1355" w14:textId="77777777" w:rsidR="002B3038" w:rsidRPr="00BB5F96" w:rsidRDefault="002B3038" w:rsidP="00CF0E3D">
                              <w:pPr>
                                <w:pStyle w:val="NormalWeb"/>
                                <w:spacing w:line="260" w:lineRule="exact"/>
                                <w:jc w:val="center"/>
                                <w:rPr>
                                  <w:rFonts w:eastAsia="Calibri"/>
                                  <w:color w:val="000000" w:themeColor="text1"/>
                                  <w:sz w:val="20"/>
                                  <w:szCs w:val="20"/>
                                </w:rPr>
                              </w:pPr>
                            </w:p>
                            <w:p w14:paraId="138E8045" w14:textId="77777777" w:rsidR="002B3038" w:rsidRPr="009F2B01" w:rsidRDefault="002B3038" w:rsidP="00CF0E3D">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410820" y="881401"/>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CB8CAB1" id="Canvas 9" o:spid="_x0000_s1031" editas="canvas" alt="P1233#y1" style="width:415.65pt;height:242.85pt;mso-position-horizontal-relative:char;mso-position-vertical-relative:line" coordsize="52787,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">
                <v:shape id="_x0000_s1032" type="#_x0000_t75" alt="P1233#y1" style="position:absolute;width:52787;height:30841;visibility:visible;mso-wrap-style:square">
                  <v:fill o:detectmouseclick="t"/>
                  <v:path o:connecttype="none"/>
                </v:shape>
                <v:rect id="Rectangle 24" o:spid="_x0000_s1033" style="position:absolute;left:11214;top:2088;width:3071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mzwQAAANsAAAAPAAAAZHJzL2Rvd25yZXYueG1sRI9Ba8JA&#10;FITvhf6H5RV6qxullB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OGXGbPBAAAA2wAAAA8AAAAA&#10;AAAAAAAAAAAABwIAAGRycy9kb3ducmV2LnhtbFBLBQYAAAAAAwADALcAAAD1AgAAAAA=&#10;" fillcolor="white [3212]" strokeweight=".25pt">
                  <v:textbox>
                    <w:txbxContent>
                      <w:p w14:paraId="044D2B0A" w14:textId="77777777" w:rsidR="002B3038" w:rsidRPr="00BB5F96" w:rsidRDefault="002B3038" w:rsidP="00CF0E3D">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v:textbox>
                </v:rect>
                <v:rect id="Rectangle 25" o:spid="_x0000_s1034" style="position:absolute;left:11214;top:11368;width:30719;height:1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wowQAAANsAAAAPAAAAZHJzL2Rvd25yZXYueG1sRI9Ba8JA&#10;FITvhf6H5RV6qxuFlh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I7bvCjBAAAA2wAAAA8AAAAA&#10;AAAAAAAAAAAABwIAAGRycy9kb3ducmV2LnhtbFBLBQYAAAAAAwADALcAAAD1AgAAAAA=&#10;" fillcolor="white [3212]" strokeweight=".25pt">
                  <v:textbox>
                    <w:txbxContent>
                      <w:p w14:paraId="78D97113" w14:textId="77777777" w:rsidR="002B3038" w:rsidRPr="00BB5F96" w:rsidRDefault="002B3038"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48D3D997" w14:textId="77777777" w:rsidR="002B3038" w:rsidRPr="00BB5F96" w:rsidRDefault="002B3038" w:rsidP="00CF0E3D">
                        <w:pPr>
                          <w:pStyle w:val="NormalWeb"/>
                          <w:spacing w:line="260" w:lineRule="exact"/>
                          <w:jc w:val="center"/>
                          <w:rPr>
                            <w:rFonts w:eastAsia="Calibri"/>
                            <w:color w:val="000000" w:themeColor="text1"/>
                            <w:sz w:val="20"/>
                            <w:szCs w:val="20"/>
                          </w:rPr>
                        </w:pPr>
                      </w:p>
                      <w:p w14:paraId="024F6115" w14:textId="77777777" w:rsidR="002B3038" w:rsidRPr="00BB5F96" w:rsidRDefault="002B3038"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3A4C1355" w14:textId="77777777" w:rsidR="002B3038" w:rsidRPr="00BB5F96" w:rsidRDefault="002B3038" w:rsidP="00CF0E3D">
                        <w:pPr>
                          <w:pStyle w:val="NormalWeb"/>
                          <w:spacing w:line="260" w:lineRule="exact"/>
                          <w:jc w:val="center"/>
                          <w:rPr>
                            <w:rFonts w:eastAsia="Calibri"/>
                            <w:color w:val="000000" w:themeColor="text1"/>
                            <w:sz w:val="20"/>
                            <w:szCs w:val="20"/>
                          </w:rPr>
                        </w:pPr>
                      </w:p>
                      <w:p w14:paraId="138E8045" w14:textId="77777777" w:rsidR="002B3038" w:rsidRPr="009F2B01" w:rsidRDefault="002B3038" w:rsidP="00CF0E3D">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v:textbox>
                </v:rect>
                <v:shape id="Down Arrow 26" o:spid="_x0000_s1035" type="#_x0000_t67" style="position:absolute;left:24108;top:88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" adj="10800" filled="f" strokecolor="black [3213]" strokeweight="0"/>
                <w10:anchorlock/>
              </v:group>
            </w:pict>
          </mc:Fallback>
        </mc:AlternateContent>
      </w:r>
    </w:p>
    <w:p w14:paraId="6923A502" w14:textId="77777777" w:rsidR="00CF0E3D" w:rsidRDefault="00CF0E3D" w:rsidP="00CF0E3D">
      <w:pPr>
        <w:pStyle w:val="ActHead3"/>
        <w:pageBreakBefore/>
      </w:pPr>
      <w:bookmarkStart w:id="94" w:name="_Toc11771589"/>
      <w:bookmarkStart w:id="95" w:name="_Toc77064864"/>
      <w:r>
        <w:lastRenderedPageBreak/>
        <w:t>Division 3.2—Consumer data requests made by CDR consumers</w:t>
      </w:r>
      <w:bookmarkEnd w:id="94"/>
      <w:bookmarkEnd w:id="95"/>
    </w:p>
    <w:p w14:paraId="177E3B02" w14:textId="77777777" w:rsidR="00CF0E3D" w:rsidRPr="00641354" w:rsidRDefault="00CF0E3D" w:rsidP="00CF0E3D">
      <w:pPr>
        <w:pStyle w:val="ActHead5"/>
        <w:rPr>
          <w:color w:val="000000"/>
        </w:rPr>
      </w:pPr>
      <w:bookmarkStart w:id="96" w:name="_Toc11771590"/>
      <w:bookmarkStart w:id="97" w:name="_Toc77064865"/>
      <w:r>
        <w:rPr>
          <w:color w:val="000000"/>
        </w:rPr>
        <w:t>3.3</w:t>
      </w:r>
      <w:r w:rsidRPr="00641354">
        <w:rPr>
          <w:color w:val="000000"/>
        </w:rPr>
        <w:t xml:space="preserve">  </w:t>
      </w:r>
      <w:r>
        <w:rPr>
          <w:color w:val="000000"/>
        </w:rPr>
        <w:t>C</w:t>
      </w:r>
      <w:r w:rsidRPr="00641354">
        <w:rPr>
          <w:color w:val="000000"/>
        </w:rPr>
        <w:t>onsumer data requests</w:t>
      </w:r>
      <w:r>
        <w:rPr>
          <w:color w:val="000000"/>
        </w:rPr>
        <w:t xml:space="preserve"> made</w:t>
      </w:r>
      <w:r w:rsidRPr="00C57318">
        <w:t xml:space="preserve"> </w:t>
      </w:r>
      <w:r>
        <w:t>by CDR consumers</w:t>
      </w:r>
      <w:bookmarkEnd w:id="96"/>
      <w:bookmarkEnd w:id="97"/>
    </w:p>
    <w:p w14:paraId="60AA8A2D" w14:textId="77777777" w:rsidR="00CF0E3D" w:rsidRPr="00BB5F96" w:rsidRDefault="00CF0E3D" w:rsidP="00CF0E3D">
      <w:pPr>
        <w:pStyle w:val="subsection"/>
      </w:pPr>
      <w:r w:rsidRPr="0023036E">
        <w:tab/>
      </w:r>
      <w:r>
        <w:t>(1)</w:t>
      </w:r>
      <w:r w:rsidRPr="0023036E">
        <w:tab/>
      </w:r>
      <w:r w:rsidRPr="00F27186">
        <w:t xml:space="preserve">A </w:t>
      </w:r>
      <w:r w:rsidRPr="00BB5F96">
        <w:t>CDR consumer may</w:t>
      </w:r>
      <w:r w:rsidRPr="00E1300D">
        <w:rPr>
          <w:color w:val="000000" w:themeColor="text1"/>
        </w:rPr>
        <w:t>, using the data holder’s direct request service,</w:t>
      </w:r>
      <w:r w:rsidRPr="00BB5F96">
        <w:t xml:space="preserve"> request a data holder to disclose some or all of their CDR data.</w:t>
      </w:r>
    </w:p>
    <w:p w14:paraId="53F44DD5" w14:textId="5E25AF23" w:rsidR="00B13F8B" w:rsidRPr="00693A57" w:rsidRDefault="00B13F8B" w:rsidP="00B13F8B">
      <w:pPr>
        <w:pStyle w:val="notetext"/>
        <w:rPr>
          <w:color w:val="FF0000"/>
        </w:rPr>
      </w:pPr>
      <w:r w:rsidRPr="00693A57">
        <w:rPr>
          <w:color w:val="FF0000"/>
        </w:rPr>
        <w:t>Note:</w:t>
      </w:r>
      <w:r w:rsidRPr="00693A57">
        <w:rPr>
          <w:color w:val="FF0000"/>
        </w:rPr>
        <w:tab/>
        <w:t>In the banking sector, these rules will progressively permit consumer data requests to be made to a broader range of data holders, and in relation to a broader range of CDR data, according to the timetable set out in Part 6 of Schedule 3.</w:t>
      </w:r>
    </w:p>
    <w:p w14:paraId="0D3B59F8" w14:textId="49F60F75" w:rsidR="00685E28" w:rsidRPr="00693A57" w:rsidRDefault="00CF0E3D" w:rsidP="00685E28">
      <w:pPr>
        <w:pStyle w:val="notetext"/>
        <w:rPr>
          <w:strike/>
          <w:color w:val="FF0000"/>
        </w:rPr>
      </w:pPr>
      <w:r w:rsidRPr="00693A57">
        <w:rPr>
          <w:strike/>
          <w:color w:val="FF0000"/>
        </w:rPr>
        <w:t>Note:</w:t>
      </w:r>
      <w:r w:rsidRPr="00693A57">
        <w:rPr>
          <w:strike/>
          <w:color w:val="FF0000"/>
        </w:rPr>
        <w:tab/>
      </w:r>
      <w:r w:rsidR="00685E28" w:rsidRPr="00693A57">
        <w:rPr>
          <w:strike/>
          <w:color w:val="FF0000"/>
        </w:rPr>
        <w:t xml:space="preserve">These rules will progressively permit </w:t>
      </w:r>
      <w:r w:rsidR="003B3EE0" w:rsidRPr="00693A57">
        <w:rPr>
          <w:strike/>
          <w:color w:val="FF0000"/>
        </w:rPr>
        <w:t xml:space="preserve">consumer </w:t>
      </w:r>
      <w:r w:rsidR="00685E28" w:rsidRPr="00693A57">
        <w:rPr>
          <w:strike/>
          <w:color w:val="FF0000"/>
        </w:rPr>
        <w:t>data requests to be made to a broader range of data holders within the banking sector, and in relation to a broader range of CDR data, according to the timetable set out in Part 6 of Schedule 3.</w:t>
      </w:r>
    </w:p>
    <w:p w14:paraId="1E902958" w14:textId="42DC2C74" w:rsidR="00CF0E3D" w:rsidRPr="00BB5F96" w:rsidRDefault="00685E28" w:rsidP="00CF0E3D">
      <w:pPr>
        <w:pStyle w:val="subsection"/>
      </w:pPr>
      <w:r>
        <w:tab/>
      </w:r>
      <w:r w:rsidR="00CF0E3D">
        <w:t>(2)</w:t>
      </w:r>
      <w:r w:rsidR="00CF0E3D" w:rsidRPr="00BB5F96">
        <w:tab/>
        <w:t xml:space="preserve">Such a request is a </w:t>
      </w:r>
      <w:r w:rsidR="00CF0E3D" w:rsidRPr="00BB5F96">
        <w:rPr>
          <w:b/>
          <w:i/>
        </w:rPr>
        <w:t>consumer data request</w:t>
      </w:r>
      <w:r w:rsidR="00CF0E3D" w:rsidRPr="00BB5F96">
        <w:t xml:space="preserve"> made by a CDR consumer.</w:t>
      </w:r>
    </w:p>
    <w:p w14:paraId="1B8ED09D" w14:textId="77777777" w:rsidR="00CF0E3D" w:rsidRPr="00464C22" w:rsidRDefault="00CF0E3D" w:rsidP="00CF0E3D">
      <w:pPr>
        <w:pStyle w:val="notetext"/>
        <w:rPr>
          <w:color w:val="000000" w:themeColor="text1"/>
        </w:rPr>
      </w:pPr>
      <w:r w:rsidRPr="00464C22">
        <w:rPr>
          <w:color w:val="000000" w:themeColor="text1"/>
        </w:rPr>
        <w:t>Note:</w:t>
      </w:r>
      <w:r w:rsidRPr="00464C22">
        <w:rPr>
          <w:color w:val="000000" w:themeColor="text1"/>
        </w:rPr>
        <w:tab/>
        <w:t>A fee cannot be charged for the disclosure of required consumer data: see section 56BU of the Act.</w:t>
      </w:r>
    </w:p>
    <w:p w14:paraId="50E5E0FD" w14:textId="77777777" w:rsidR="00CF0E3D" w:rsidRDefault="00CF0E3D" w:rsidP="00CF0E3D">
      <w:pPr>
        <w:pStyle w:val="subsection"/>
      </w:pPr>
      <w:r>
        <w:tab/>
        <w:t>(3)</w:t>
      </w:r>
      <w:r>
        <w:tab/>
      </w:r>
      <w:r w:rsidRPr="009F2B01">
        <w:t xml:space="preserve">A consumer data request made under this Part is </w:t>
      </w:r>
      <w:r w:rsidRPr="009F2B01">
        <w:rPr>
          <w:b/>
          <w:i/>
        </w:rPr>
        <w:t xml:space="preserve">valid </w:t>
      </w:r>
      <w:r w:rsidRPr="009F2B01">
        <w:t>if it is made</w:t>
      </w:r>
      <w:r w:rsidRPr="00E1300D">
        <w:rPr>
          <w:color w:val="000000" w:themeColor="text1"/>
        </w:rPr>
        <w:t xml:space="preserve"> </w:t>
      </w:r>
      <w:r w:rsidRPr="00F27186">
        <w:t>by a CDR consumer who is eligible to make the request</w:t>
      </w:r>
      <w:r>
        <w:t>.</w:t>
      </w:r>
    </w:p>
    <w:p w14:paraId="79EA2E76" w14:textId="15FA119C" w:rsidR="00277660" w:rsidRPr="00693A57" w:rsidRDefault="00CF0E3D" w:rsidP="00CF0E3D">
      <w:pPr>
        <w:pStyle w:val="notetext"/>
        <w:rPr>
          <w:color w:val="FF0000"/>
        </w:rPr>
      </w:pPr>
      <w:r w:rsidRPr="00693A57">
        <w:rPr>
          <w:color w:val="FF0000"/>
        </w:rPr>
        <w:t xml:space="preserve">Note: </w:t>
      </w:r>
      <w:r w:rsidRPr="00693A57">
        <w:rPr>
          <w:color w:val="FF0000"/>
        </w:rPr>
        <w:tab/>
        <w:t>See rule 1.7 for the meaning of “eligible”.</w:t>
      </w:r>
      <w:r w:rsidR="00277660" w:rsidRPr="00693A57">
        <w:rPr>
          <w:color w:val="FF0000"/>
        </w:rPr>
        <w:t xml:space="preserve">  See also:</w:t>
      </w:r>
    </w:p>
    <w:p w14:paraId="1DF52E77" w14:textId="7278E71A" w:rsidR="00CF0E3D" w:rsidRPr="00693A57" w:rsidRDefault="00277660" w:rsidP="007D5353">
      <w:pPr>
        <w:pStyle w:val="notepara"/>
        <w:numPr>
          <w:ilvl w:val="0"/>
          <w:numId w:val="11"/>
        </w:numPr>
        <w:rPr>
          <w:color w:val="FF0000"/>
        </w:rPr>
      </w:pPr>
      <w:r w:rsidRPr="00693A57">
        <w:rPr>
          <w:color w:val="FF0000"/>
        </w:rPr>
        <w:t>f</w:t>
      </w:r>
      <w:r w:rsidR="00CF0E3D" w:rsidRPr="00693A57">
        <w:rPr>
          <w:color w:val="FF0000"/>
        </w:rPr>
        <w:t>or the banking sector</w:t>
      </w:r>
      <w:r w:rsidRPr="00693A57">
        <w:rPr>
          <w:color w:val="FF0000"/>
        </w:rPr>
        <w:t>—</w:t>
      </w:r>
      <w:r w:rsidR="00CF0E3D" w:rsidRPr="00693A57">
        <w:rPr>
          <w:color w:val="FF0000"/>
        </w:rPr>
        <w:t>clause 2.1 of Schedule 3</w:t>
      </w:r>
      <w:r w:rsidRPr="00693A57">
        <w:rPr>
          <w:color w:val="FF0000"/>
        </w:rPr>
        <w:t>;</w:t>
      </w:r>
    </w:p>
    <w:p w14:paraId="7BB8E794" w14:textId="6AE3341F" w:rsidR="00277660" w:rsidRPr="00693A57" w:rsidRDefault="00277660" w:rsidP="007D5353">
      <w:pPr>
        <w:pStyle w:val="notepara"/>
        <w:numPr>
          <w:ilvl w:val="0"/>
          <w:numId w:val="11"/>
        </w:numPr>
        <w:rPr>
          <w:color w:val="FF0000"/>
        </w:rPr>
      </w:pPr>
      <w:r w:rsidRPr="00693A57">
        <w:rPr>
          <w:color w:val="FF0000"/>
        </w:rPr>
        <w:t>for the energy sector—clause </w:t>
      </w:r>
      <w:r w:rsidR="001D018F" w:rsidRPr="00693A57">
        <w:rPr>
          <w:color w:val="FF0000"/>
        </w:rPr>
        <w:fldChar w:fldCharType="begin" w:fldLock="1"/>
      </w:r>
      <w:r w:rsidR="001D018F" w:rsidRPr="00693A57">
        <w:rPr>
          <w:color w:val="FF0000"/>
        </w:rPr>
        <w:instrText xml:space="preserve"> REF _Ref76551273 \n </w:instrText>
      </w:r>
      <w:r w:rsidR="001D018F" w:rsidRPr="00693A57">
        <w:rPr>
          <w:color w:val="FF0000"/>
        </w:rPr>
        <w:fldChar w:fldCharType="separate"/>
      </w:r>
      <w:r w:rsidR="000F7228">
        <w:rPr>
          <w:color w:val="FF0000"/>
        </w:rPr>
        <w:t>2.1</w:t>
      </w:r>
      <w:r w:rsidR="001D018F" w:rsidRPr="00693A57">
        <w:rPr>
          <w:color w:val="FF0000"/>
        </w:rPr>
        <w:fldChar w:fldCharType="end"/>
      </w:r>
      <w:r w:rsidRPr="00693A57">
        <w:rPr>
          <w:color w:val="FF0000"/>
        </w:rPr>
        <w:t xml:space="preserve"> of Schedule 4.</w:t>
      </w:r>
    </w:p>
    <w:p w14:paraId="5CB88121" w14:textId="7FBBDF88" w:rsidR="00277660" w:rsidRPr="00693A57" w:rsidRDefault="00B13F8B" w:rsidP="00CF0E3D">
      <w:pPr>
        <w:pStyle w:val="notetext"/>
        <w:rPr>
          <w:strike/>
          <w:color w:val="FF0000"/>
        </w:rPr>
      </w:pPr>
      <w:r w:rsidRPr="00693A57">
        <w:rPr>
          <w:strike/>
          <w:color w:val="FF0000"/>
        </w:rPr>
        <w:t>Note:</w:t>
      </w:r>
      <w:r w:rsidR="00277660" w:rsidRPr="00693A57">
        <w:rPr>
          <w:strike/>
          <w:color w:val="FF0000"/>
        </w:rPr>
        <w:tab/>
        <w:t>See subrule 1.7(1) for the meaning of “eligible”. For the banking sector, see clause 2.1 of Schedule 3 for</w:t>
      </w:r>
      <w:r w:rsidR="00277660" w:rsidRPr="00277660">
        <w:rPr>
          <w:strike/>
        </w:rPr>
        <w:t xml:space="preserve"> </w:t>
      </w:r>
      <w:r w:rsidR="00277660" w:rsidRPr="00693A57">
        <w:rPr>
          <w:strike/>
          <w:color w:val="FF0000"/>
        </w:rPr>
        <w:t>when a CDR consumer is eligible.</w:t>
      </w:r>
    </w:p>
    <w:p w14:paraId="62045BED" w14:textId="77777777" w:rsidR="00CF0E3D" w:rsidRDefault="00CF0E3D" w:rsidP="00CF0E3D">
      <w:pPr>
        <w:pStyle w:val="ActHead5"/>
      </w:pPr>
      <w:bookmarkStart w:id="98" w:name="_Toc11771591"/>
      <w:bookmarkStart w:id="99" w:name="_Toc77064866"/>
      <w:r>
        <w:t xml:space="preserve">3.4  Disclosing </w:t>
      </w:r>
      <w:r w:rsidRPr="00C560DF">
        <w:t xml:space="preserve">consumer </w:t>
      </w:r>
      <w:r>
        <w:t xml:space="preserve">data in response to a valid </w:t>
      </w:r>
      <w:r w:rsidRPr="00641354">
        <w:rPr>
          <w:color w:val="000000"/>
        </w:rPr>
        <w:t xml:space="preserve">consumer data </w:t>
      </w:r>
      <w:r>
        <w:t>request</w:t>
      </w:r>
      <w:bookmarkEnd w:id="98"/>
      <w:bookmarkEnd w:id="99"/>
    </w:p>
    <w:p w14:paraId="5C4784FD" w14:textId="77777777" w:rsidR="00CF0E3D" w:rsidRPr="00F27186" w:rsidRDefault="00CF0E3D" w:rsidP="00CF0E3D">
      <w:pPr>
        <w:pStyle w:val="subsection"/>
      </w:pPr>
      <w:r w:rsidRPr="00B3173B">
        <w:tab/>
      </w:r>
      <w:r>
        <w:t>(1)</w:t>
      </w:r>
      <w:r w:rsidRPr="00F27186">
        <w:tab/>
        <w:t>This rule applies if a data holder has received a request that it reasonably believes to be a valid consumer data request made under this Part, for disclosure of CDR data of which it is the data holder.</w:t>
      </w:r>
    </w:p>
    <w:p w14:paraId="3EC5BB59"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t>The data holder may disclose any requested voluntary consumer data to the CDR consumer who made the request.</w:t>
      </w:r>
    </w:p>
    <w:p w14:paraId="6CA4E38B" w14:textId="351BEAA7" w:rsidR="00A9450F" w:rsidRPr="00693A57" w:rsidRDefault="00A9450F" w:rsidP="00A9450F">
      <w:pPr>
        <w:pStyle w:val="notetext"/>
        <w:rPr>
          <w:color w:val="FF0000"/>
        </w:rPr>
      </w:pPr>
      <w:r w:rsidRPr="00693A57">
        <w:rPr>
          <w:color w:val="FF0000"/>
        </w:rPr>
        <w:t>Note:</w:t>
      </w:r>
      <w:r w:rsidRPr="00693A57">
        <w:rPr>
          <w:color w:val="FF0000"/>
        </w:rPr>
        <w:tab/>
        <w:t>See rule 1.7 for the meaning of “voluntary consumer data”.  See also:</w:t>
      </w:r>
    </w:p>
    <w:p w14:paraId="0CBA41D0" w14:textId="77777777" w:rsidR="00A9450F" w:rsidRPr="00693A57" w:rsidRDefault="00A9450F" w:rsidP="00A9450F">
      <w:pPr>
        <w:pStyle w:val="notepara"/>
        <w:numPr>
          <w:ilvl w:val="0"/>
          <w:numId w:val="11"/>
        </w:numPr>
        <w:rPr>
          <w:color w:val="FF0000"/>
        </w:rPr>
      </w:pPr>
      <w:r w:rsidRPr="00693A57">
        <w:rPr>
          <w:color w:val="FF0000"/>
        </w:rPr>
        <w:t>for the banking sector—clause 3.2 of Schedule 3;</w:t>
      </w:r>
    </w:p>
    <w:p w14:paraId="607B74D8" w14:textId="7143F4DF" w:rsidR="00A9450F" w:rsidRPr="00693A57" w:rsidRDefault="00A9450F" w:rsidP="00A9450F">
      <w:pPr>
        <w:pStyle w:val="notepara"/>
        <w:numPr>
          <w:ilvl w:val="0"/>
          <w:numId w:val="11"/>
        </w:numPr>
        <w:rPr>
          <w:color w:val="FF0000"/>
        </w:rPr>
      </w:pPr>
      <w:r w:rsidRPr="00693A57">
        <w:rPr>
          <w:color w:val="FF0000"/>
        </w:rPr>
        <w:t>for the energy sector—clause </w:t>
      </w:r>
      <w:r w:rsidRPr="00693A57">
        <w:rPr>
          <w:color w:val="FF0000"/>
        </w:rPr>
        <w:fldChar w:fldCharType="begin" w:fldLock="1"/>
      </w:r>
      <w:r w:rsidRPr="00693A57">
        <w:rPr>
          <w:color w:val="FF0000"/>
        </w:rPr>
        <w:instrText xml:space="preserve"> REF _Ref62567373 \n </w:instrText>
      </w:r>
      <w:r w:rsidRPr="00693A57">
        <w:rPr>
          <w:color w:val="FF0000"/>
        </w:rPr>
        <w:fldChar w:fldCharType="separate"/>
      </w:r>
      <w:r w:rsidR="000F7228">
        <w:rPr>
          <w:color w:val="FF0000"/>
        </w:rPr>
        <w:t>3.2</w:t>
      </w:r>
      <w:r w:rsidRPr="00693A57">
        <w:rPr>
          <w:color w:val="FF0000"/>
        </w:rPr>
        <w:fldChar w:fldCharType="end"/>
      </w:r>
      <w:r w:rsidRPr="00693A57">
        <w:rPr>
          <w:color w:val="FF0000"/>
        </w:rPr>
        <w:t xml:space="preserve"> of Schedule 4.</w:t>
      </w:r>
    </w:p>
    <w:p w14:paraId="42B10C37" w14:textId="77777777" w:rsidR="00CF0E3D" w:rsidRPr="00693A57" w:rsidRDefault="00CF0E3D" w:rsidP="00CF0E3D">
      <w:pPr>
        <w:pStyle w:val="notetext"/>
        <w:rPr>
          <w:strike/>
          <w:color w:val="FF0000"/>
        </w:rPr>
      </w:pPr>
      <w:r w:rsidRPr="00693A57">
        <w:rPr>
          <w:strike/>
          <w:color w:val="FF0000"/>
        </w:rPr>
        <w:t>Note:</w:t>
      </w:r>
      <w:r w:rsidRPr="00693A57">
        <w:rPr>
          <w:strike/>
          <w:color w:val="FF0000"/>
        </w:rPr>
        <w:tab/>
        <w:t>See rule 1.7 for the definition of “voluntary consumer data”, and see clause 3.2 of Schedule 3 for the definition of “voluntary consumer data” in relation to the banking sector.</w:t>
      </w:r>
    </w:p>
    <w:p w14:paraId="1D2E6D61" w14:textId="77777777" w:rsidR="00CF0E3D" w:rsidRPr="00890388" w:rsidRDefault="00CF0E3D" w:rsidP="00CF0E3D">
      <w:pPr>
        <w:pStyle w:val="subsection"/>
      </w:pPr>
      <w:r w:rsidRPr="00890388">
        <w:tab/>
      </w:r>
      <w:r>
        <w:t>(3)</w:t>
      </w:r>
      <w:r w:rsidRPr="00890388">
        <w:tab/>
        <w:t>The data holder must, subject to rule </w:t>
      </w:r>
      <w:r>
        <w:t>3.5</w:t>
      </w:r>
      <w:r w:rsidRPr="00890388">
        <w:t>, disclose any requested required consumer data to the CDR consumer who made the request:</w:t>
      </w:r>
    </w:p>
    <w:p w14:paraId="1926DC16" w14:textId="77777777" w:rsidR="00CF0E3D" w:rsidRPr="00890388" w:rsidRDefault="00CF0E3D" w:rsidP="00CF0E3D">
      <w:pPr>
        <w:pStyle w:val="paragraph"/>
      </w:pPr>
      <w:r w:rsidRPr="00890388">
        <w:tab/>
      </w:r>
      <w:r>
        <w:t>(a)</w:t>
      </w:r>
      <w:r w:rsidRPr="00890388">
        <w:tab/>
        <w:t>through its direct request service; and</w:t>
      </w:r>
    </w:p>
    <w:p w14:paraId="02D5F42A" w14:textId="77777777" w:rsidR="00CF0E3D" w:rsidRPr="00890388" w:rsidRDefault="00CF0E3D" w:rsidP="00CF0E3D">
      <w:pPr>
        <w:pStyle w:val="paragraph"/>
      </w:pPr>
      <w:r w:rsidRPr="00890388">
        <w:tab/>
      </w:r>
      <w:r>
        <w:t>(b)</w:t>
      </w:r>
      <w:r w:rsidRPr="00890388">
        <w:tab/>
        <w:t>in accordance with the data standards.</w:t>
      </w:r>
    </w:p>
    <w:p w14:paraId="39DBE611" w14:textId="66852969" w:rsidR="00277660" w:rsidRPr="00693A57" w:rsidRDefault="00CF0E3D" w:rsidP="00277660">
      <w:pPr>
        <w:pStyle w:val="notetext"/>
        <w:rPr>
          <w:color w:val="FF0000"/>
        </w:rPr>
      </w:pPr>
      <w:r w:rsidRPr="00693A57">
        <w:rPr>
          <w:color w:val="FF0000"/>
        </w:rPr>
        <w:t>Note 1:</w:t>
      </w:r>
      <w:r w:rsidRPr="00693A57">
        <w:rPr>
          <w:color w:val="FF0000"/>
        </w:rPr>
        <w:tab/>
      </w:r>
      <w:r w:rsidR="00277660" w:rsidRPr="00693A57">
        <w:rPr>
          <w:color w:val="FF0000"/>
        </w:rPr>
        <w:t>See rule 1.7 for the meaning of “required consumer data</w:t>
      </w:r>
      <w:r w:rsidR="00A9450F" w:rsidRPr="00693A57">
        <w:rPr>
          <w:color w:val="FF0000"/>
        </w:rPr>
        <w:t>”</w:t>
      </w:r>
      <w:r w:rsidR="00277660" w:rsidRPr="00693A57">
        <w:rPr>
          <w:color w:val="FF0000"/>
        </w:rPr>
        <w:t>.  See also:</w:t>
      </w:r>
    </w:p>
    <w:p w14:paraId="4415F3B7" w14:textId="35AD03C0" w:rsidR="00277660" w:rsidRPr="00693A57" w:rsidRDefault="00277660" w:rsidP="007D5353">
      <w:pPr>
        <w:pStyle w:val="notepara"/>
        <w:numPr>
          <w:ilvl w:val="0"/>
          <w:numId w:val="11"/>
        </w:numPr>
        <w:rPr>
          <w:color w:val="FF0000"/>
        </w:rPr>
      </w:pPr>
      <w:r w:rsidRPr="00693A57">
        <w:rPr>
          <w:color w:val="FF0000"/>
        </w:rPr>
        <w:t>for the banking sector—clause 3.2 of Schedule 3;</w:t>
      </w:r>
    </w:p>
    <w:p w14:paraId="19338FA5" w14:textId="140F2578" w:rsidR="00277660" w:rsidRPr="00693A57" w:rsidRDefault="00277660" w:rsidP="007D5353">
      <w:pPr>
        <w:pStyle w:val="notepara"/>
        <w:numPr>
          <w:ilvl w:val="0"/>
          <w:numId w:val="11"/>
        </w:numPr>
        <w:rPr>
          <w:color w:val="FF0000"/>
        </w:rPr>
      </w:pPr>
      <w:r w:rsidRPr="00693A57">
        <w:rPr>
          <w:color w:val="FF0000"/>
        </w:rPr>
        <w:t>for the energy sector—clause </w:t>
      </w:r>
      <w:r w:rsidR="00A9450F" w:rsidRPr="00693A57">
        <w:rPr>
          <w:color w:val="FF0000"/>
        </w:rPr>
        <w:fldChar w:fldCharType="begin" w:fldLock="1"/>
      </w:r>
      <w:r w:rsidR="00A9450F" w:rsidRPr="00693A57">
        <w:rPr>
          <w:color w:val="FF0000"/>
        </w:rPr>
        <w:instrText xml:space="preserve"> REF _Ref62567373 \n </w:instrText>
      </w:r>
      <w:r w:rsidR="00A9450F" w:rsidRPr="00693A57">
        <w:rPr>
          <w:color w:val="FF0000"/>
        </w:rPr>
        <w:fldChar w:fldCharType="separate"/>
      </w:r>
      <w:r w:rsidR="000F7228">
        <w:rPr>
          <w:color w:val="FF0000"/>
        </w:rPr>
        <w:t>3.2</w:t>
      </w:r>
      <w:r w:rsidR="00A9450F" w:rsidRPr="00693A57">
        <w:rPr>
          <w:color w:val="FF0000"/>
        </w:rPr>
        <w:fldChar w:fldCharType="end"/>
      </w:r>
      <w:r w:rsidRPr="00693A57">
        <w:rPr>
          <w:color w:val="FF0000"/>
        </w:rPr>
        <w:t xml:space="preserve"> of Schedule 4.</w:t>
      </w:r>
    </w:p>
    <w:p w14:paraId="2E43056F" w14:textId="488AA8F6" w:rsidR="004D7FDE" w:rsidRPr="00693A57" w:rsidRDefault="004D7FDE" w:rsidP="00CF0E3D">
      <w:pPr>
        <w:pStyle w:val="notetext"/>
        <w:rPr>
          <w:strike/>
          <w:color w:val="FF0000"/>
        </w:rPr>
      </w:pPr>
    </w:p>
    <w:p w14:paraId="5D41D8C6" w14:textId="77777777" w:rsidR="004D7FDE" w:rsidRPr="00693A57" w:rsidRDefault="004D7FDE" w:rsidP="004D7FDE">
      <w:pPr>
        <w:pStyle w:val="notetext"/>
        <w:rPr>
          <w:color w:val="FF0000"/>
        </w:rPr>
      </w:pPr>
      <w:r w:rsidRPr="00693A57">
        <w:rPr>
          <w:color w:val="FF0000"/>
        </w:rPr>
        <w:lastRenderedPageBreak/>
        <w:t>Note 2:</w:t>
      </w:r>
      <w:r w:rsidRPr="00693A57">
        <w:rPr>
          <w:color w:val="FF0000"/>
        </w:rPr>
        <w:tab/>
        <w:t>For a request that relates to a joint account, see rule 4A.14 for an additional circumstance in which data relating to the joint account might not be disclosed under these rules.</w:t>
      </w:r>
    </w:p>
    <w:p w14:paraId="65049D43" w14:textId="0A80B1DF" w:rsidR="00CF0E3D" w:rsidRPr="00693A57" w:rsidRDefault="004D7FDE" w:rsidP="00CF0E3D">
      <w:pPr>
        <w:pStyle w:val="notetext"/>
        <w:rPr>
          <w:strike/>
          <w:color w:val="FF0000"/>
        </w:rPr>
      </w:pPr>
      <w:r w:rsidRPr="00693A57">
        <w:rPr>
          <w:strike/>
          <w:color w:val="FF0000"/>
        </w:rPr>
        <w:t>Note 1</w:t>
      </w:r>
      <w:r w:rsidR="00F214C6" w:rsidRPr="00693A57">
        <w:rPr>
          <w:strike/>
          <w:color w:val="FF0000"/>
        </w:rPr>
        <w:t>:</w:t>
      </w:r>
      <w:r w:rsidR="00277660" w:rsidRPr="00693A57">
        <w:rPr>
          <w:strike/>
          <w:color w:val="FF0000"/>
        </w:rPr>
        <w:tab/>
      </w:r>
      <w:r w:rsidR="00CF0E3D" w:rsidRPr="00693A57">
        <w:rPr>
          <w:strike/>
          <w:color w:val="FF0000"/>
        </w:rPr>
        <w:t>See rule 1.7 for the definition of “required consumer data”, and see clause 3.2 of Schedule 3 for the definition of “required consumer data” in relation to the banking sector.</w:t>
      </w:r>
    </w:p>
    <w:p w14:paraId="7D120169" w14:textId="77777777" w:rsidR="00CF0E3D" w:rsidRPr="00693A57" w:rsidRDefault="00CF0E3D" w:rsidP="00CF0E3D">
      <w:pPr>
        <w:pStyle w:val="notetext"/>
        <w:rPr>
          <w:strike/>
          <w:color w:val="FF0000"/>
        </w:rPr>
      </w:pPr>
      <w:r w:rsidRPr="00693A57">
        <w:rPr>
          <w:strike/>
          <w:color w:val="FF0000"/>
        </w:rPr>
        <w:t>Note 2:</w:t>
      </w:r>
      <w:r w:rsidRPr="00693A57">
        <w:rPr>
          <w:strike/>
          <w:color w:val="FF0000"/>
        </w:rPr>
        <w:tab/>
        <w:t>For the banking sector, for a request that relates to a joint account, see clause 4.3 of Schedule 3 for an additional circumstance in which data relating to the joint account might not be disclosed under these rules.</w:t>
      </w:r>
    </w:p>
    <w:p w14:paraId="36CD0378" w14:textId="77777777" w:rsidR="00CF0E3D" w:rsidRPr="00E1300D" w:rsidRDefault="00CF0E3D" w:rsidP="00CF0E3D">
      <w:pPr>
        <w:pStyle w:val="notetext"/>
        <w:rPr>
          <w:color w:val="000000" w:themeColor="text1"/>
        </w:rPr>
      </w:pPr>
      <w:r w:rsidRPr="00E1300D">
        <w:rPr>
          <w:color w:val="000000" w:themeColor="text1"/>
        </w:rPr>
        <w:t>Note 3:</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720AE2D7" w14:textId="77777777" w:rsidR="00CF0E3D" w:rsidRPr="00464C22" w:rsidRDefault="00CF0E3D" w:rsidP="00CF0E3D">
      <w:pPr>
        <w:pStyle w:val="notetext"/>
        <w:rPr>
          <w:color w:val="000000" w:themeColor="text1"/>
        </w:rPr>
      </w:pPr>
      <w:r w:rsidRPr="00464C22">
        <w:rPr>
          <w:color w:val="000000" w:themeColor="text1"/>
        </w:rPr>
        <w:t>Note 4:</w:t>
      </w:r>
      <w:r w:rsidRPr="00464C22">
        <w:rPr>
          <w:color w:val="000000" w:themeColor="text1"/>
        </w:rPr>
        <w:tab/>
        <w:t>A fee cannot be charged for the disclosure of required consumer data: see section 56BU of the Act.</w:t>
      </w:r>
    </w:p>
    <w:p w14:paraId="26AD408D" w14:textId="77777777" w:rsidR="00CF0E3D" w:rsidRPr="00BB5F96" w:rsidRDefault="00CF0E3D" w:rsidP="00CF0E3D">
      <w:pPr>
        <w:pStyle w:val="ActHead5"/>
      </w:pPr>
      <w:bookmarkStart w:id="100" w:name="_Toc11771592"/>
      <w:bookmarkStart w:id="101" w:name="_Toc77064867"/>
      <w:r>
        <w:t>3.5</w:t>
      </w:r>
      <w:r w:rsidRPr="00BB5F96">
        <w:t xml:space="preserve">  Refusal to disclose required consumer data in response to consumer data request</w:t>
      </w:r>
      <w:bookmarkEnd w:id="100"/>
      <w:bookmarkEnd w:id="101"/>
    </w:p>
    <w:p w14:paraId="5F92312B" w14:textId="77777777" w:rsidR="00CF0E3D" w:rsidRPr="00F27186" w:rsidRDefault="00CF0E3D" w:rsidP="00CF0E3D">
      <w:pPr>
        <w:pStyle w:val="subsection"/>
      </w:pPr>
      <w:r w:rsidRPr="00BB5F96">
        <w:tab/>
      </w:r>
      <w:r>
        <w:t>(1)</w:t>
      </w:r>
      <w:r w:rsidRPr="00BB5F96">
        <w:tab/>
        <w:t xml:space="preserve">Despite </w:t>
      </w:r>
      <w:r>
        <w:t>subrule</w:t>
      </w:r>
      <w:r w:rsidRPr="00BB5F96">
        <w:t> </w:t>
      </w:r>
      <w:r>
        <w:t>3.4(3)</w:t>
      </w:r>
      <w:r w:rsidRPr="00BB5F96">
        <w:t>, the data holder may refuse to disclose required consumer data in response to the request</w:t>
      </w:r>
      <w:r w:rsidRPr="00F27186">
        <w:t>:</w:t>
      </w:r>
    </w:p>
    <w:p w14:paraId="0675378F" w14:textId="77777777" w:rsidR="00CF0E3D" w:rsidRDefault="00CF0E3D" w:rsidP="00CF0E3D">
      <w:pPr>
        <w:pStyle w:val="paragraph"/>
      </w:pPr>
      <w:r w:rsidRPr="00F27186">
        <w:tab/>
      </w:r>
      <w:r>
        <w:t>(a)</w:t>
      </w:r>
      <w:r w:rsidRPr="00F27186">
        <w:tab/>
        <w:t>if the data holder considers this to be necessary to prevent physical or financial harm or abuse; or</w:t>
      </w:r>
    </w:p>
    <w:p w14:paraId="59E122DE" w14:textId="77777777" w:rsidR="00CF0E3D" w:rsidRPr="00F86429" w:rsidRDefault="00CF0E3D" w:rsidP="00CF0E3D">
      <w:pPr>
        <w:pStyle w:val="paragraph"/>
      </w:pPr>
      <w:r w:rsidRPr="00F86429">
        <w:tab/>
        <w:t>(aa)</w:t>
      </w:r>
      <w:r w:rsidRPr="00F86429">
        <w:tab/>
        <w:t xml:space="preserve">in relation to an account that is blocked or suspended; or </w:t>
      </w:r>
    </w:p>
    <w:p w14:paraId="2D038826" w14:textId="77777777" w:rsidR="00CF0E3D" w:rsidRPr="00BB5F96" w:rsidRDefault="00CF0E3D" w:rsidP="00CF0E3D">
      <w:pPr>
        <w:pStyle w:val="paragraph"/>
      </w:pPr>
      <w:r w:rsidRPr="00F27186">
        <w:tab/>
      </w:r>
      <w:r>
        <w:t>(b)</w:t>
      </w:r>
      <w:r>
        <w:tab/>
      </w:r>
      <w:r w:rsidRPr="00BB5F96">
        <w:t>in circumstances (if any) set out in the data standards.</w:t>
      </w:r>
    </w:p>
    <w:p w14:paraId="7B8AEA0D" w14:textId="77777777" w:rsidR="00CF0E3D" w:rsidRDefault="00CF0E3D" w:rsidP="00CF0E3D">
      <w:pPr>
        <w:pStyle w:val="subsection"/>
      </w:pPr>
      <w:r w:rsidRPr="00083B86">
        <w:tab/>
      </w:r>
      <w:r>
        <w:t>(2)</w:t>
      </w:r>
      <w:r w:rsidRPr="00083B86">
        <w:tab/>
        <w:t xml:space="preserve">The data holder must inform the CDR consumer of </w:t>
      </w:r>
      <w:r w:rsidRPr="008F598B">
        <w:t xml:space="preserve">such </w:t>
      </w:r>
      <w:r w:rsidRPr="00083B86">
        <w:t>a refusal in accordance with the data standards.</w:t>
      </w:r>
    </w:p>
    <w:p w14:paraId="1B41E32B"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49B4B892"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35198B9C"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300DBFF5" w14:textId="77777777" w:rsidR="00CF0E3D" w:rsidRDefault="00CF0E3D" w:rsidP="00CF0E3D">
      <w:pPr>
        <w:pStyle w:val="ActHead2"/>
        <w:pageBreakBefore/>
      </w:pPr>
      <w:bookmarkStart w:id="102" w:name="_Toc11771594"/>
      <w:bookmarkStart w:id="103" w:name="_Toc77064868"/>
      <w:r>
        <w:lastRenderedPageBreak/>
        <w:t>Part 4—</w:t>
      </w:r>
      <w:r>
        <w:rPr>
          <w:color w:val="000000"/>
        </w:rPr>
        <w:t>C</w:t>
      </w:r>
      <w:r w:rsidRPr="00641354">
        <w:rPr>
          <w:color w:val="000000"/>
        </w:rPr>
        <w:t>onsumer data requests</w:t>
      </w:r>
      <w:r>
        <w:rPr>
          <w:color w:val="000000"/>
        </w:rPr>
        <w:t xml:space="preserve"> made by accredited persons</w:t>
      </w:r>
      <w:bookmarkEnd w:id="102"/>
      <w:bookmarkEnd w:id="103"/>
    </w:p>
    <w:p w14:paraId="1A89DD24" w14:textId="77777777" w:rsidR="00CF0E3D" w:rsidRPr="00F07699" w:rsidRDefault="00CF0E3D" w:rsidP="00CF0E3D">
      <w:pPr>
        <w:pStyle w:val="ActHead3"/>
      </w:pPr>
      <w:bookmarkStart w:id="104" w:name="_Toc11771595"/>
      <w:bookmarkStart w:id="105" w:name="_Toc50633065"/>
      <w:bookmarkStart w:id="106" w:name="_Toc57219008"/>
      <w:bookmarkStart w:id="107" w:name="_Toc59549123"/>
      <w:bookmarkStart w:id="108" w:name="_Toc77064869"/>
      <w:bookmarkStart w:id="109" w:name="_Toc11771598"/>
      <w:r w:rsidRPr="00F07699">
        <w:t>Division 4.1—Preliminary</w:t>
      </w:r>
      <w:bookmarkEnd w:id="104"/>
      <w:bookmarkEnd w:id="105"/>
      <w:bookmarkEnd w:id="106"/>
      <w:bookmarkEnd w:id="107"/>
      <w:bookmarkEnd w:id="108"/>
    </w:p>
    <w:p w14:paraId="35F57E54" w14:textId="77777777" w:rsidR="00CF0E3D" w:rsidRPr="00F07699" w:rsidRDefault="00CF0E3D" w:rsidP="00CF0E3D">
      <w:pPr>
        <w:pStyle w:val="ActHead5"/>
      </w:pPr>
      <w:bookmarkStart w:id="110" w:name="_Toc59549124"/>
      <w:bookmarkStart w:id="111" w:name="_Toc77064870"/>
      <w:r w:rsidRPr="00F07699">
        <w:t>4.1  Simplified outline of this Part</w:t>
      </w:r>
      <w:bookmarkEnd w:id="110"/>
      <w:bookmarkEnd w:id="111"/>
    </w:p>
    <w:p w14:paraId="25FC2499" w14:textId="77777777" w:rsidR="00CF0E3D" w:rsidRPr="003565D0" w:rsidRDefault="00CF0E3D" w:rsidP="00CF0E3D">
      <w:pPr>
        <w:pStyle w:val="SOText"/>
      </w:pPr>
      <w:r w:rsidRPr="003565D0">
        <w:t xml:space="preserve">This Part deals with consumer data requests that are made to CDR </w:t>
      </w:r>
      <w:r>
        <w:t xml:space="preserve">participants </w:t>
      </w:r>
      <w:r w:rsidRPr="003565D0">
        <w:t>by accredited persons on behalf of CDR consumers. Such requests, if made to a data holder, are made using the data holder’s accredited person request service.</w:t>
      </w:r>
    </w:p>
    <w:p w14:paraId="5514D161" w14:textId="07C73D73" w:rsidR="00CF0E3D" w:rsidRPr="003565D0" w:rsidRDefault="00CF0E3D" w:rsidP="00CF0E3D">
      <w:pPr>
        <w:pStyle w:val="SOText"/>
      </w:pPr>
      <w:r w:rsidRPr="003565D0">
        <w:t>In order for such a request to be made, the CDR consumer must have first asked the accredited person</w:t>
      </w:r>
      <w:r w:rsidR="0051709B" w:rsidRPr="00693A57">
        <w:rPr>
          <w:color w:val="0000FF"/>
        </w:rPr>
        <w:t xml:space="preserve">, or a </w:t>
      </w:r>
      <w:r w:rsidR="00182338" w:rsidRPr="00693A57">
        <w:rPr>
          <w:color w:val="0000FF"/>
        </w:rPr>
        <w:t>CDR representative</w:t>
      </w:r>
      <w:r w:rsidR="0051709B" w:rsidRPr="00693A57">
        <w:rPr>
          <w:color w:val="0000FF"/>
        </w:rPr>
        <w:t xml:space="preserve"> of the accredited person, </w:t>
      </w:r>
      <w:r w:rsidRPr="003565D0">
        <w:t>to provide goods or services to the CDR consumer or to another person, where provision of those goods or services requires the use of the CDR consumer’s CDR data.</w:t>
      </w:r>
    </w:p>
    <w:p w14:paraId="1AB1613D" w14:textId="77777777" w:rsidR="00CF0E3D" w:rsidRPr="003565D0" w:rsidRDefault="00CF0E3D" w:rsidP="00CF0E3D">
      <w:pPr>
        <w:pStyle w:val="SOText"/>
      </w:pPr>
      <w:r w:rsidRPr="003565D0">
        <w:t>Before making a consumer data request on behalf of a CDR consumer, the consumer must first have consented to the accredited person collecting and using specified CDR data to provide the requested goods or services.</w:t>
      </w:r>
    </w:p>
    <w:p w14:paraId="21EC2353" w14:textId="77777777" w:rsidR="00CF0E3D" w:rsidRPr="003565D0" w:rsidRDefault="00CF0E3D" w:rsidP="00CF0E3D">
      <w:pPr>
        <w:pStyle w:val="SOText"/>
      </w:pPr>
      <w:r w:rsidRPr="003565D0">
        <w:t>Subject to certain limitations, the requested data can be any CDR data that relates to the CDR consumer.</w:t>
      </w:r>
    </w:p>
    <w:p w14:paraId="7B13E989" w14:textId="77777777" w:rsidR="00CF0E3D" w:rsidRPr="003565D0" w:rsidRDefault="00CF0E3D" w:rsidP="00CF0E3D">
      <w:pPr>
        <w:pStyle w:val="SOText"/>
      </w:pPr>
      <w:r w:rsidRPr="003565D0">
        <w:t>Collection and use of CDR data under this Part is limited by the data minimisation principle, under which the accredited person:</w:t>
      </w:r>
    </w:p>
    <w:p w14:paraId="45F32A6D" w14:textId="77777777" w:rsidR="00CF0E3D" w:rsidRPr="003565D0" w:rsidRDefault="00CF0E3D" w:rsidP="00CF0E3D">
      <w:pPr>
        <w:pStyle w:val="SOPara"/>
      </w:pPr>
      <w:r w:rsidRPr="003565D0">
        <w:tab/>
        <w:t>(a)</w:t>
      </w:r>
      <w:r w:rsidRPr="003565D0">
        <w:tab/>
        <w:t>must not collect more data than is reasonably needed in order to provide the requested goods or services; and</w:t>
      </w:r>
    </w:p>
    <w:p w14:paraId="1CAF629A" w14:textId="77777777" w:rsidR="00CF0E3D" w:rsidRPr="003565D0" w:rsidRDefault="00CF0E3D" w:rsidP="00CF0E3D">
      <w:pPr>
        <w:pStyle w:val="SOPara"/>
      </w:pPr>
      <w:r w:rsidRPr="003565D0">
        <w:tab/>
        <w:t>(b)</w:t>
      </w:r>
      <w:r w:rsidRPr="003565D0">
        <w:tab/>
        <w:t>may use the collected data only as reasonably needed in order to provide the requested goods or services or as otherwise consented to by the consumer.</w:t>
      </w:r>
    </w:p>
    <w:p w14:paraId="0F6680F8" w14:textId="77777777" w:rsidR="00CF0E3D" w:rsidRPr="00F07699" w:rsidRDefault="00CF0E3D" w:rsidP="00CF0E3D">
      <w:pPr>
        <w:pStyle w:val="SOText"/>
      </w:pPr>
      <w:r w:rsidRPr="00F07699">
        <w:t>A request may be for the CDR consumer’s required consumer data, their voluntary consumer data, or both. Schedule 3 to these rules:</w:t>
      </w:r>
    </w:p>
    <w:p w14:paraId="6A6E6775" w14:textId="77777777" w:rsidR="00CF0E3D" w:rsidRPr="00F07699" w:rsidRDefault="00CF0E3D" w:rsidP="00CF0E3D">
      <w:pPr>
        <w:pStyle w:val="SOPara"/>
      </w:pPr>
      <w:r w:rsidRPr="00F07699">
        <w:tab/>
        <w:t>•</w:t>
      </w:r>
      <w:r w:rsidRPr="00F07699">
        <w:tab/>
        <w:t>provides for what is required consumer data and voluntary consumer data for the banking sector; and</w:t>
      </w:r>
    </w:p>
    <w:p w14:paraId="2883EAA4" w14:textId="77777777" w:rsidR="00CF0E3D" w:rsidRPr="00F07699" w:rsidRDefault="00CF0E3D" w:rsidP="00CF0E3D">
      <w:pPr>
        <w:pStyle w:val="SOPara"/>
      </w:pPr>
      <w:r w:rsidRPr="00F07699">
        <w:tab/>
        <w:t>•</w:t>
      </w:r>
      <w:r w:rsidRPr="00F07699">
        <w:tab/>
        <w:t>sets out the circumstances in which CDR consumers are eligible in relation to a request for their banking sector CDR data.</w:t>
      </w:r>
    </w:p>
    <w:p w14:paraId="67CD6812" w14:textId="77777777" w:rsidR="00CF0E3D" w:rsidRPr="003565D0" w:rsidRDefault="00CF0E3D" w:rsidP="00CF0E3D">
      <w:pPr>
        <w:pStyle w:val="SOHeadBold"/>
      </w:pPr>
      <w:r w:rsidRPr="003565D0">
        <w:t>Consumer data requests made to data holders</w:t>
      </w:r>
    </w:p>
    <w:p w14:paraId="4E1E7A37" w14:textId="77777777" w:rsidR="00CF0E3D" w:rsidRPr="00F07699" w:rsidRDefault="00CF0E3D" w:rsidP="00CF0E3D">
      <w:pPr>
        <w:pStyle w:val="SOText"/>
        <w:spacing w:before="40"/>
      </w:pPr>
      <w:r w:rsidRPr="003565D0">
        <w:t xml:space="preserve">Subject to exceptions outlined in this Part, if a request is made to a data holder, </w:t>
      </w:r>
      <w:r w:rsidRPr="00F07699">
        <w:t>the data holder:</w:t>
      </w:r>
    </w:p>
    <w:p w14:paraId="02437D9B" w14:textId="77777777" w:rsidR="00CF0E3D" w:rsidRPr="00F07699" w:rsidRDefault="00CF0E3D" w:rsidP="00CF0E3D">
      <w:pPr>
        <w:pStyle w:val="SOPara"/>
      </w:pPr>
      <w:r w:rsidRPr="00F07699">
        <w:tab/>
        <w:t>•</w:t>
      </w:r>
      <w:r w:rsidRPr="00F07699">
        <w:tab/>
        <w:t>must seek the CDR consumer’s authorisation to disclose required consumer data; and</w:t>
      </w:r>
    </w:p>
    <w:p w14:paraId="72364CD1" w14:textId="77777777" w:rsidR="00CF0E3D" w:rsidRPr="00F07699" w:rsidRDefault="00CF0E3D" w:rsidP="00CF0E3D">
      <w:pPr>
        <w:pStyle w:val="SOPara"/>
      </w:pPr>
      <w:r w:rsidRPr="00F07699">
        <w:lastRenderedPageBreak/>
        <w:tab/>
        <w:t>•</w:t>
      </w:r>
      <w:r w:rsidRPr="00F07699">
        <w:tab/>
        <w:t>must seek the CDR consumer’s authorisation to disclose any voluntary consumer data that it intends to disclose.</w:t>
      </w:r>
    </w:p>
    <w:p w14:paraId="282DDFE5" w14:textId="77777777" w:rsidR="00CF0E3D" w:rsidRPr="00F07699" w:rsidRDefault="00CF0E3D" w:rsidP="00CF0E3D">
      <w:pPr>
        <w:pStyle w:val="SOText"/>
      </w:pPr>
      <w:r w:rsidRPr="00F07699">
        <w:t>The data holder then must disclose, to the accredited person, the required consumer data it is authorised to disclose, and may (but is not required to) disclose the voluntary consumer data it is authorised to disclose. The data is disclosed in machine</w:t>
      </w:r>
      <w:r w:rsidRPr="00F07699">
        <w:noBreakHyphen/>
        <w:t>readable form and in accordance with the data standards.</w:t>
      </w:r>
    </w:p>
    <w:p w14:paraId="02F3293D" w14:textId="77777777" w:rsidR="00CF0E3D" w:rsidRPr="003565D0" w:rsidRDefault="00CF0E3D" w:rsidP="00CF0E3D">
      <w:pPr>
        <w:pStyle w:val="SOHeadBold"/>
      </w:pPr>
      <w:r w:rsidRPr="003565D0">
        <w:t>Consumer data requests made to accredited data recipients</w:t>
      </w:r>
    </w:p>
    <w:p w14:paraId="4581C2DB" w14:textId="77777777" w:rsidR="00CF0E3D" w:rsidRPr="003565D0" w:rsidRDefault="00CF0E3D" w:rsidP="00CF0E3D">
      <w:pPr>
        <w:pStyle w:val="SOText"/>
        <w:spacing w:before="40"/>
      </w:pPr>
      <w:r w:rsidRPr="003565D0">
        <w:t>If a request is made to an accredited data recipient, the accredited data recipient:</w:t>
      </w:r>
    </w:p>
    <w:p w14:paraId="1E1D2028" w14:textId="77777777" w:rsidR="00CF0E3D" w:rsidRPr="003565D0" w:rsidRDefault="00CF0E3D" w:rsidP="00CF0E3D">
      <w:pPr>
        <w:pStyle w:val="SOPara"/>
      </w:pPr>
      <w:r w:rsidRPr="003565D0">
        <w:tab/>
        <w:t>•</w:t>
      </w:r>
      <w:r w:rsidRPr="003565D0">
        <w:tab/>
        <w:t>may (but is not required to) seek the CDR consumer’s consent to disclose the requested CDR data; and</w:t>
      </w:r>
    </w:p>
    <w:p w14:paraId="5E676BC8" w14:textId="77777777" w:rsidR="00CF0E3D" w:rsidRPr="003565D0" w:rsidRDefault="00CF0E3D" w:rsidP="00CF0E3D">
      <w:pPr>
        <w:pStyle w:val="SOPara"/>
      </w:pPr>
      <w:r w:rsidRPr="003565D0">
        <w:tab/>
        <w:t>•</w:t>
      </w:r>
      <w:r w:rsidRPr="003565D0">
        <w:tab/>
        <w:t>once that consent is obtained, may (but is not required to) disclose that CDR data to the accredited person.</w:t>
      </w:r>
    </w:p>
    <w:p w14:paraId="409EBBE9" w14:textId="77777777" w:rsidR="00CF0E3D" w:rsidRPr="003565D0" w:rsidRDefault="00CF0E3D" w:rsidP="00CF0E3D">
      <w:pPr>
        <w:pStyle w:val="SOText"/>
      </w:pPr>
      <w:r w:rsidRPr="00F07699">
        <w:t xml:space="preserve">For </w:t>
      </w:r>
      <w:r w:rsidRPr="003565D0">
        <w:t>the banking sector, special rules apply in relation to requests made to data holders where there are joint account holders. These are set out in Part 4 of Schedule 3.</w:t>
      </w:r>
    </w:p>
    <w:p w14:paraId="249BB4D6" w14:textId="77777777" w:rsidR="00CF0E3D" w:rsidRDefault="00CF0E3D" w:rsidP="00CF0E3D">
      <w:pPr>
        <w:pStyle w:val="SOText"/>
      </w:pPr>
      <w:r w:rsidRPr="003565D0">
        <w:t>A fee cannot be charged for the disclosure by a data holder of required consumer data, but could be charged for the disclosure by a data holder of voluntary consumer data, or by an accredited data recipient for disclosure of any CDR data</w:t>
      </w:r>
      <w:r w:rsidRPr="00F07699">
        <w:t>.</w:t>
      </w:r>
    </w:p>
    <w:p w14:paraId="04752B65" w14:textId="6D4A7B5E" w:rsidR="00CF0E3D" w:rsidRDefault="00CF0E3D" w:rsidP="00CF0E3D">
      <w:pPr>
        <w:pStyle w:val="ActHead3"/>
        <w:pageBreakBefore/>
      </w:pPr>
      <w:bookmarkStart w:id="112" w:name="_Toc77064871"/>
      <w:r>
        <w:lastRenderedPageBreak/>
        <w:t>Division 4.2—C</w:t>
      </w:r>
      <w:r w:rsidRPr="00641354">
        <w:t>onsumer data requests</w:t>
      </w:r>
      <w:r>
        <w:t xml:space="preserve"> made by accredited persons</w:t>
      </w:r>
      <w:bookmarkEnd w:id="109"/>
      <w:r>
        <w:t xml:space="preserve"> to CDR participants</w:t>
      </w:r>
      <w:bookmarkEnd w:id="112"/>
    </w:p>
    <w:p w14:paraId="1E0E7744" w14:textId="77777777" w:rsidR="00CF0E3D" w:rsidRPr="003565D0" w:rsidRDefault="00CF0E3D" w:rsidP="00CF0E3D">
      <w:pPr>
        <w:pStyle w:val="ActHead4"/>
      </w:pPr>
      <w:bookmarkStart w:id="113" w:name="_Toc50114020"/>
      <w:bookmarkStart w:id="114" w:name="_Toc57219011"/>
      <w:bookmarkStart w:id="115" w:name="_Toc59549125"/>
      <w:bookmarkStart w:id="116" w:name="_Toc77064872"/>
      <w:bookmarkStart w:id="117" w:name="_Toc50114023"/>
      <w:bookmarkStart w:id="118" w:name="_Toc50633069"/>
      <w:bookmarkStart w:id="119" w:name="_Toc57219014"/>
      <w:bookmarkStart w:id="120" w:name="_Toc59549128"/>
      <w:bookmarkStart w:id="121" w:name="_Toc11771599"/>
      <w:r w:rsidRPr="003565D0">
        <w:t>Subdivision 4.2.1—Preliminary</w:t>
      </w:r>
      <w:bookmarkEnd w:id="113"/>
      <w:bookmarkEnd w:id="114"/>
      <w:bookmarkEnd w:id="115"/>
      <w:bookmarkEnd w:id="116"/>
    </w:p>
    <w:p w14:paraId="2C0240AC" w14:textId="77777777" w:rsidR="00CF0E3D" w:rsidRPr="003565D0" w:rsidRDefault="00CF0E3D" w:rsidP="00CF0E3D">
      <w:pPr>
        <w:pStyle w:val="ActHead5"/>
      </w:pPr>
      <w:bookmarkStart w:id="122" w:name="_Toc50114021"/>
      <w:bookmarkStart w:id="123" w:name="_Toc57219012"/>
      <w:bookmarkStart w:id="124" w:name="_Toc59549126"/>
      <w:bookmarkStart w:id="125" w:name="_Toc77064873"/>
      <w:r w:rsidRPr="003565D0">
        <w:t>4.2  Consumer data requests made by accredited persons to CDR participants—flowchart</w:t>
      </w:r>
      <w:bookmarkEnd w:id="122"/>
      <w:bookmarkEnd w:id="123"/>
      <w:bookmarkEnd w:id="124"/>
      <w:bookmarkEnd w:id="125"/>
    </w:p>
    <w:p w14:paraId="6D77DF92" w14:textId="77777777" w:rsidR="00CF0E3D" w:rsidRPr="00F07699" w:rsidRDefault="00CF0E3D" w:rsidP="00CF0E3D">
      <w:pPr>
        <w:pStyle w:val="subsection"/>
        <w:keepNext/>
      </w:pPr>
      <w:r w:rsidRPr="003565D0">
        <w:tab/>
      </w:r>
      <w:r w:rsidRPr="003565D0">
        <w:tab/>
        <w:t>The following is a flowchart for how an accredited person makes a consumer data request to a CDR participant under this Division</w:t>
      </w:r>
      <w:r w:rsidRPr="0077773C">
        <w:t>.</w:t>
      </w:r>
    </w:p>
    <w:p w14:paraId="2AC8E31E" w14:textId="77777777" w:rsidR="00CF0E3D" w:rsidRPr="00466BDB" w:rsidRDefault="00CF0E3D" w:rsidP="00CF0E3D">
      <w:pPr>
        <w:pStyle w:val="subsection"/>
      </w:pPr>
      <w:r>
        <w:rPr>
          <w:noProof/>
        </w:rPr>
        <w:lastRenderedPageBreak/>
        <mc:AlternateContent>
          <mc:Choice Requires="wpc">
            <w:drawing>
              <wp:anchor distT="0" distB="0" distL="114300" distR="114300" simplePos="0" relativeHeight="251659264" behindDoc="0" locked="0" layoutInCell="1" allowOverlap="1" wp14:anchorId="0CD95ECB" wp14:editId="0A164E11">
                <wp:simplePos x="0" y="0"/>
                <wp:positionH relativeFrom="character">
                  <wp:posOffset>0</wp:posOffset>
                </wp:positionH>
                <wp:positionV relativeFrom="line">
                  <wp:posOffset>0</wp:posOffset>
                </wp:positionV>
                <wp:extent cx="5278755" cy="6791325"/>
                <wp:effectExtent l="0" t="0" r="0" b="1905"/>
                <wp:wrapNone/>
                <wp:docPr id="69" name="Canvas 69" descr="P1302#y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49"/>
                        <wps:cNvSpPr>
                          <a:spLocks noChangeArrowheads="1"/>
                        </wps:cNvSpPr>
                        <wps:spPr bwMode="auto">
                          <a:xfrm>
                            <a:off x="84701" y="57100"/>
                            <a:ext cx="5071753" cy="447702"/>
                          </a:xfrm>
                          <a:prstGeom prst="rect">
                            <a:avLst/>
                          </a:prstGeom>
                          <a:solidFill>
                            <a:schemeClr val="bg1">
                              <a:lumMod val="100000"/>
                              <a:lumOff val="0"/>
                            </a:schemeClr>
                          </a:solidFill>
                          <a:ln w="3175">
                            <a:solidFill>
                              <a:srgbClr val="000000"/>
                            </a:solidFill>
                            <a:miter lim="800000"/>
                            <a:headEnd/>
                            <a:tailEnd/>
                          </a:ln>
                        </wps:spPr>
                        <wps:txbx>
                          <w:txbxContent>
                            <w:p w14:paraId="709AA2EB" w14:textId="77777777" w:rsidR="002B3038" w:rsidRPr="005825F5" w:rsidRDefault="002B3038"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wps:txbx>
                        <wps:bodyPr rot="0" vert="horz" wrap="square" lIns="91440" tIns="45720" rIns="91440" bIns="45720" anchor="ctr" anchorCtr="0" upright="1">
                          <a:noAutofit/>
                        </wps:bodyPr>
                      </wps:wsp>
                      <wps:wsp>
                        <wps:cNvPr id="52" name="Rectangle 50"/>
                        <wps:cNvSpPr>
                          <a:spLocks noChangeArrowheads="1"/>
                        </wps:cNvSpPr>
                        <wps:spPr bwMode="auto">
                          <a:xfrm>
                            <a:off x="80201" y="847703"/>
                            <a:ext cx="5068653" cy="447602"/>
                          </a:xfrm>
                          <a:prstGeom prst="rect">
                            <a:avLst/>
                          </a:prstGeom>
                          <a:solidFill>
                            <a:schemeClr val="bg1">
                              <a:lumMod val="100000"/>
                              <a:lumOff val="0"/>
                            </a:schemeClr>
                          </a:solidFill>
                          <a:ln w="3175">
                            <a:solidFill>
                              <a:srgbClr val="000000"/>
                            </a:solidFill>
                            <a:miter lim="800000"/>
                            <a:headEnd/>
                            <a:tailEnd/>
                          </a:ln>
                        </wps:spPr>
                        <wps:txbx>
                          <w:txbxContent>
                            <w:p w14:paraId="151EC2CA" w14:textId="77777777" w:rsidR="002B3038" w:rsidRPr="005825F5" w:rsidRDefault="002B3038" w:rsidP="00CF0E3D">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58238165" w14:textId="77777777" w:rsidR="002B3038" w:rsidRPr="00572C56" w:rsidRDefault="002B3038" w:rsidP="00CF0E3D">
                              <w:pPr>
                                <w:rPr>
                                  <w:color w:val="000000" w:themeColor="text1"/>
                                </w:rPr>
                              </w:pPr>
                            </w:p>
                          </w:txbxContent>
                        </wps:txbx>
                        <wps:bodyPr rot="0" vert="horz" wrap="square" lIns="91440" tIns="45720" rIns="91440" bIns="45720" anchor="ctr" anchorCtr="0" upright="1">
                          <a:noAutofit/>
                        </wps:bodyPr>
                      </wps:wsp>
                      <wps:wsp>
                        <wps:cNvPr id="53" name="Down Arrow 51"/>
                        <wps:cNvSpPr>
                          <a:spLocks noChangeArrowheads="1"/>
                        </wps:cNvSpPr>
                        <wps:spPr bwMode="auto">
                          <a:xfrm>
                            <a:off x="2407925" y="574502"/>
                            <a:ext cx="484605" cy="2072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Rectangle 52"/>
                        <wps:cNvSpPr>
                          <a:spLocks noChangeArrowheads="1"/>
                        </wps:cNvSpPr>
                        <wps:spPr bwMode="auto">
                          <a:xfrm>
                            <a:off x="80201" y="1628706"/>
                            <a:ext cx="2502326" cy="951704"/>
                          </a:xfrm>
                          <a:prstGeom prst="rect">
                            <a:avLst/>
                          </a:prstGeom>
                          <a:solidFill>
                            <a:schemeClr val="bg1">
                              <a:lumMod val="100000"/>
                              <a:lumOff val="0"/>
                            </a:schemeClr>
                          </a:solidFill>
                          <a:ln w="3175">
                            <a:solidFill>
                              <a:srgbClr val="000000"/>
                            </a:solidFill>
                            <a:miter lim="800000"/>
                            <a:headEnd/>
                            <a:tailEnd/>
                          </a:ln>
                        </wps:spPr>
                        <wps:txbx>
                          <w:txbxContent>
                            <w:p w14:paraId="44F66666" w14:textId="77777777" w:rsidR="002B3038" w:rsidRPr="005825F5" w:rsidRDefault="002B3038" w:rsidP="00CF0E3D">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3BC3213C" w14:textId="77777777" w:rsidR="002B3038" w:rsidRPr="005825F5" w:rsidRDefault="002B3038" w:rsidP="00CF0E3D">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wps:txbx>
                        <wps:bodyPr rot="0" vert="horz" wrap="square" lIns="91440" tIns="45720" rIns="91440" bIns="45720" anchor="ctr" anchorCtr="0" upright="1">
                          <a:noAutofit/>
                        </wps:bodyPr>
                      </wps:wsp>
                      <wps:wsp>
                        <wps:cNvPr id="55" name="Rectangle 54"/>
                        <wps:cNvSpPr>
                          <a:spLocks noChangeArrowheads="1"/>
                        </wps:cNvSpPr>
                        <wps:spPr bwMode="auto">
                          <a:xfrm>
                            <a:off x="79901" y="2894911"/>
                            <a:ext cx="2494326" cy="1305605"/>
                          </a:xfrm>
                          <a:prstGeom prst="rect">
                            <a:avLst/>
                          </a:prstGeom>
                          <a:solidFill>
                            <a:schemeClr val="bg1">
                              <a:lumMod val="100000"/>
                              <a:lumOff val="0"/>
                            </a:schemeClr>
                          </a:solidFill>
                          <a:ln w="3175">
                            <a:solidFill>
                              <a:srgbClr val="000000"/>
                            </a:solidFill>
                            <a:miter lim="800000"/>
                            <a:headEnd/>
                            <a:tailEnd/>
                          </a:ln>
                        </wps:spPr>
                        <wps:txbx>
                          <w:txbxContent>
                            <w:p w14:paraId="498D8E87" w14:textId="77777777" w:rsidR="002B3038" w:rsidRPr="005825F5" w:rsidRDefault="002B3038" w:rsidP="00CF0E3D">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56A19DB2" w14:textId="77777777" w:rsidR="002B3038" w:rsidRPr="005825F5" w:rsidRDefault="002B3038"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wps:txbx>
                        <wps:bodyPr rot="0" vert="horz" wrap="square" lIns="91440" tIns="45720" rIns="91440" bIns="45720" anchor="ctr" anchorCtr="0" upright="1">
                          <a:noAutofit/>
                        </wps:bodyPr>
                      </wps:wsp>
                      <wps:wsp>
                        <wps:cNvPr id="56" name="Down Arrow 55"/>
                        <wps:cNvSpPr>
                          <a:spLocks noChangeArrowheads="1"/>
                        </wps:cNvSpPr>
                        <wps:spPr bwMode="auto">
                          <a:xfrm>
                            <a:off x="1101511" y="2644310"/>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Rectangle 56"/>
                        <wps:cNvSpPr>
                          <a:spLocks noChangeArrowheads="1"/>
                        </wps:cNvSpPr>
                        <wps:spPr bwMode="auto">
                          <a:xfrm>
                            <a:off x="72001" y="6132223"/>
                            <a:ext cx="5090253" cy="592402"/>
                          </a:xfrm>
                          <a:prstGeom prst="rect">
                            <a:avLst/>
                          </a:prstGeom>
                          <a:solidFill>
                            <a:schemeClr val="bg1">
                              <a:lumMod val="100000"/>
                              <a:lumOff val="0"/>
                            </a:schemeClr>
                          </a:solidFill>
                          <a:ln w="3175">
                            <a:solidFill>
                              <a:srgbClr val="000000"/>
                            </a:solidFill>
                            <a:miter lim="800000"/>
                            <a:headEnd/>
                            <a:tailEnd/>
                          </a:ln>
                        </wps:spPr>
                        <wps:txbx>
                          <w:txbxContent>
                            <w:p w14:paraId="4E21C590"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58" name="Down Arrow 57"/>
                        <wps:cNvSpPr>
                          <a:spLocks noChangeArrowheads="1"/>
                        </wps:cNvSpPr>
                        <wps:spPr bwMode="auto">
                          <a:xfrm>
                            <a:off x="1111712" y="5857222"/>
                            <a:ext cx="484505"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Down Arrow 58"/>
                        <wps:cNvSpPr>
                          <a:spLocks noChangeArrowheads="1"/>
                        </wps:cNvSpPr>
                        <wps:spPr bwMode="auto">
                          <a:xfrm>
                            <a:off x="1122512" y="4259316"/>
                            <a:ext cx="484505"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Rectangle 59"/>
                        <wps:cNvSpPr>
                          <a:spLocks noChangeArrowheads="1"/>
                        </wps:cNvSpPr>
                        <wps:spPr bwMode="auto">
                          <a:xfrm>
                            <a:off x="76401" y="4513617"/>
                            <a:ext cx="2526426" cy="1287105"/>
                          </a:xfrm>
                          <a:prstGeom prst="rect">
                            <a:avLst/>
                          </a:prstGeom>
                          <a:solidFill>
                            <a:schemeClr val="bg1">
                              <a:lumMod val="100000"/>
                              <a:lumOff val="0"/>
                            </a:schemeClr>
                          </a:solidFill>
                          <a:ln w="3175">
                            <a:solidFill>
                              <a:srgbClr val="000000"/>
                            </a:solidFill>
                            <a:miter lim="800000"/>
                            <a:headEnd/>
                            <a:tailEnd/>
                          </a:ln>
                        </wps:spPr>
                        <wps:txbx>
                          <w:txbxContent>
                            <w:p w14:paraId="54BDAE43" w14:textId="77777777" w:rsidR="002B3038" w:rsidRPr="005825F5" w:rsidRDefault="002B3038" w:rsidP="00CF0E3D">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0BD320B4"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wps:txbx>
                        <wps:bodyPr rot="0" vert="horz" wrap="square" lIns="91440" tIns="45720" rIns="91440" bIns="45720" anchor="ctr" anchorCtr="0" upright="1">
                          <a:noAutofit/>
                        </wps:bodyPr>
                      </wps:wsp>
                      <wps:wsp>
                        <wps:cNvPr id="61" name="Rectangle 61"/>
                        <wps:cNvSpPr>
                          <a:spLocks noChangeArrowheads="1"/>
                        </wps:cNvSpPr>
                        <wps:spPr bwMode="auto">
                          <a:xfrm>
                            <a:off x="2722228" y="1628706"/>
                            <a:ext cx="2426625" cy="951904"/>
                          </a:xfrm>
                          <a:prstGeom prst="rect">
                            <a:avLst/>
                          </a:prstGeom>
                          <a:solidFill>
                            <a:schemeClr val="bg1">
                              <a:lumMod val="100000"/>
                              <a:lumOff val="0"/>
                            </a:schemeClr>
                          </a:solidFill>
                          <a:ln w="3175">
                            <a:solidFill>
                              <a:srgbClr val="000000"/>
                            </a:solidFill>
                            <a:miter lim="800000"/>
                            <a:headEnd/>
                            <a:tailEnd/>
                          </a:ln>
                        </wps:spPr>
                        <wps:txbx>
                          <w:txbxContent>
                            <w:p w14:paraId="62DFD9B1" w14:textId="77777777" w:rsidR="002B3038" w:rsidRPr="005825F5" w:rsidRDefault="002B3038" w:rsidP="00CF0E3D">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40AF3969"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wps:txbx>
                        <wps:bodyPr rot="0" vert="horz" wrap="square" lIns="91440" tIns="45720" rIns="91440" bIns="45720" anchor="ctr" anchorCtr="0" upright="1">
                          <a:noAutofit/>
                        </wps:bodyPr>
                      </wps:wsp>
                      <wps:wsp>
                        <wps:cNvPr id="62" name="Rectangle 62"/>
                        <wps:cNvSpPr>
                          <a:spLocks noChangeArrowheads="1"/>
                        </wps:cNvSpPr>
                        <wps:spPr bwMode="auto">
                          <a:xfrm>
                            <a:off x="2721628" y="2907811"/>
                            <a:ext cx="2426625" cy="1302205"/>
                          </a:xfrm>
                          <a:prstGeom prst="rect">
                            <a:avLst/>
                          </a:prstGeom>
                          <a:solidFill>
                            <a:schemeClr val="bg1">
                              <a:lumMod val="100000"/>
                              <a:lumOff val="0"/>
                            </a:schemeClr>
                          </a:solidFill>
                          <a:ln w="3175">
                            <a:solidFill>
                              <a:srgbClr val="000000"/>
                            </a:solidFill>
                            <a:miter lim="800000"/>
                            <a:headEnd/>
                            <a:tailEnd/>
                          </a:ln>
                        </wps:spPr>
                        <wps:txbx>
                          <w:txbxContent>
                            <w:p w14:paraId="612A6DE8"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63" name="Down Arrow 63"/>
                        <wps:cNvSpPr>
                          <a:spLocks noChangeArrowheads="1"/>
                        </wps:cNvSpPr>
                        <wps:spPr bwMode="auto">
                          <a:xfrm>
                            <a:off x="3780439" y="2644310"/>
                            <a:ext cx="382504"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 name="Rectangle 64"/>
                        <wps:cNvSpPr>
                          <a:spLocks noChangeArrowheads="1"/>
                        </wps:cNvSpPr>
                        <wps:spPr bwMode="auto">
                          <a:xfrm>
                            <a:off x="2735529" y="4513617"/>
                            <a:ext cx="2426725" cy="1287105"/>
                          </a:xfrm>
                          <a:prstGeom prst="rect">
                            <a:avLst/>
                          </a:prstGeom>
                          <a:solidFill>
                            <a:schemeClr val="bg1">
                              <a:lumMod val="100000"/>
                              <a:lumOff val="0"/>
                            </a:schemeClr>
                          </a:solidFill>
                          <a:ln w="3175">
                            <a:solidFill>
                              <a:srgbClr val="000000"/>
                            </a:solidFill>
                            <a:miter lim="800000"/>
                            <a:headEnd/>
                            <a:tailEnd/>
                          </a:ln>
                        </wps:spPr>
                        <wps:txbx>
                          <w:txbxContent>
                            <w:p w14:paraId="7E10211E"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wps:txbx>
                        <wps:bodyPr rot="0" vert="horz" wrap="square" lIns="91440" tIns="45720" rIns="91440" bIns="45720" anchor="ctr" anchorCtr="0" upright="1">
                          <a:noAutofit/>
                        </wps:bodyPr>
                      </wps:wsp>
                      <wps:wsp>
                        <wps:cNvPr id="65" name="Down Arrow 65"/>
                        <wps:cNvSpPr>
                          <a:spLocks noChangeArrowheads="1"/>
                        </wps:cNvSpPr>
                        <wps:spPr bwMode="auto">
                          <a:xfrm>
                            <a:off x="3780439" y="4251416"/>
                            <a:ext cx="382504"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Down Arrow 67"/>
                        <wps:cNvSpPr>
                          <a:spLocks noChangeArrowheads="1"/>
                        </wps:cNvSpPr>
                        <wps:spPr bwMode="auto">
                          <a:xfrm>
                            <a:off x="3726039" y="5857222"/>
                            <a:ext cx="382504"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Down Arrow 68"/>
                        <wps:cNvSpPr>
                          <a:spLocks noChangeArrowheads="1"/>
                        </wps:cNvSpPr>
                        <wps:spPr bwMode="auto">
                          <a:xfrm>
                            <a:off x="3734239" y="13512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Down Arrow 69"/>
                        <wps:cNvSpPr>
                          <a:spLocks noChangeArrowheads="1"/>
                        </wps:cNvSpPr>
                        <wps:spPr bwMode="auto">
                          <a:xfrm>
                            <a:off x="1132012" y="13614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D95ECB" id="Canvas 69" o:spid="_x0000_s1036" editas="canvas" alt="P1302#y2" style="position:absolute;margin-left:0;margin-top:0;width:415.65pt;height:534.75pt;z-index:251659264;mso-position-horizontal-relative:char;mso-position-vertical-relative:line" coordsize="52787,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">
                <v:shape id="_x0000_s1037" type="#_x0000_t75" alt="P1302#y2" style="position:absolute;width:52787;height:67913;visibility:visible;mso-wrap-style:square">
                  <v:fill o:detectmouseclick="t"/>
                  <v:path o:connecttype="none"/>
                </v:shape>
                <v:rect id="Rectangle 49" o:spid="_x0000_s1038" style="position:absolute;left:847;top:571;width:50717;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" fillcolor="white [3212]" strokeweight=".25pt">
                  <v:textbox>
                    <w:txbxContent>
                      <w:p w14:paraId="709AA2EB" w14:textId="77777777" w:rsidR="002B3038" w:rsidRPr="005825F5" w:rsidRDefault="002B3038"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v:textbox>
                </v:rect>
                <v:rect id="Rectangle 50" o:spid="_x0000_s1039" style="position:absolute;left:802;top:8477;width:5068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" fillcolor="white [3212]" strokeweight=".25pt">
                  <v:textbox>
                    <w:txbxContent>
                      <w:p w14:paraId="151EC2CA" w14:textId="77777777" w:rsidR="002B3038" w:rsidRPr="005825F5" w:rsidRDefault="002B3038" w:rsidP="00CF0E3D">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58238165" w14:textId="77777777" w:rsidR="002B3038" w:rsidRPr="00572C56" w:rsidRDefault="002B3038" w:rsidP="00CF0E3D">
                        <w:pPr>
                          <w:rPr>
                            <w:color w:val="000000" w:themeColor="text1"/>
                          </w:rPr>
                        </w:pPr>
                      </w:p>
                    </w:txbxContent>
                  </v:textbox>
                </v:rect>
                <v:shape id="Down Arrow 51" o:spid="_x0000_s1040" type="#_x0000_t67" style="position:absolute;left:24079;top:5745;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" adj="10800" filled="f" strokecolor="black [3213]" strokeweight="0"/>
                <v:rect id="Rectangle 52" o:spid="_x0000_s1041" style="position:absolute;left:802;top:16287;width:25023;height: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" fillcolor="white [3212]" strokeweight=".25pt">
                  <v:textbox>
                    <w:txbxContent>
                      <w:p w14:paraId="44F66666" w14:textId="77777777" w:rsidR="002B3038" w:rsidRPr="005825F5" w:rsidRDefault="002B3038" w:rsidP="00CF0E3D">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3BC3213C" w14:textId="77777777" w:rsidR="002B3038" w:rsidRPr="005825F5" w:rsidRDefault="002B3038" w:rsidP="00CF0E3D">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v:textbox>
                </v:rect>
                <v:rect id="Rectangle 54" o:spid="_x0000_s1042" style="position:absolute;left:799;top:28949;width:24943;height:1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" fillcolor="white [3212]" strokeweight=".25pt">
                  <v:textbox>
                    <w:txbxContent>
                      <w:p w14:paraId="498D8E87" w14:textId="77777777" w:rsidR="002B3038" w:rsidRPr="005825F5" w:rsidRDefault="002B3038" w:rsidP="00CF0E3D">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56A19DB2" w14:textId="77777777" w:rsidR="002B3038" w:rsidRPr="005825F5" w:rsidRDefault="002B3038"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v:textbox>
                </v:rect>
                <v:shape id="Down Arrow 55" o:spid="_x0000_s1043" type="#_x0000_t67" style="position:absolute;left:11015;top:26443;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" adj="10800" filled="f" strokecolor="black [3213]" strokeweight="0"/>
                <v:rect id="Rectangle 56" o:spid="_x0000_s1044" style="position:absolute;left:720;top:61322;width:509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" fillcolor="white [3212]" strokeweight=".25pt">
                  <v:textbox>
                    <w:txbxContent>
                      <w:p w14:paraId="4E21C590"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v:textbox>
                </v:rect>
                <v:shape id="Down Arrow 57" o:spid="_x0000_s1045" type="#_x0000_t67" style="position:absolute;left:11117;top:58572;width:484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" adj="10800" filled="f" strokecolor="black [3213]" strokeweight="0"/>
                <v:shape id="Down Arrow 58" o:spid="_x0000_s1046" type="#_x0000_t67" style="position:absolute;left:11225;top:42593;width:484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" adj="10800" filled="f" strokecolor="black [3213]" strokeweight="0"/>
                <v:rect id="Rectangle 59" o:spid="_x0000_s1047" style="position:absolute;left:764;top:45136;width:25264;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" fillcolor="white [3212]" strokeweight=".25pt">
                  <v:textbox>
                    <w:txbxContent>
                      <w:p w14:paraId="54BDAE43" w14:textId="77777777" w:rsidR="002B3038" w:rsidRPr="005825F5" w:rsidRDefault="002B3038" w:rsidP="00CF0E3D">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0BD320B4"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v:textbox>
                </v:rect>
                <v:rect id="Rectangle 61" o:spid="_x0000_s1048" style="position:absolute;left:27222;top:16287;width:24266;height:9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" fillcolor="white [3212]" strokeweight=".25pt">
                  <v:textbox>
                    <w:txbxContent>
                      <w:p w14:paraId="62DFD9B1" w14:textId="77777777" w:rsidR="002B3038" w:rsidRPr="005825F5" w:rsidRDefault="002B3038" w:rsidP="00CF0E3D">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40AF3969"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v:textbox>
                </v:rect>
                <v:rect id="Rectangle 62" o:spid="_x0000_s1049" style="position:absolute;left:27216;top:29078;width:24266;height:1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" fillcolor="white [3212]" strokeweight=".25pt">
                  <v:textbox>
                    <w:txbxContent>
                      <w:p w14:paraId="612A6DE8"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v:textbox>
                </v:rect>
                <v:shape id="Down Arrow 63" o:spid="_x0000_s1050" type="#_x0000_t67" style="position:absolute;left:37804;top:26443;width:382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2kxAAAANsAAAAPAAAAZHJzL2Rvd25yZXYueG1sRI9Ba8JA&#10;FITvgv9heUJvZpMWbI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ORITaTEAAAA2wAAAA8A&#10;AAAAAAAAAAAAAAAABwIAAGRycy9kb3ducmV2LnhtbFBLBQYAAAAAAwADALcAAAD4AgAAAAA=&#10;" adj="10800" filled="f" strokecolor="black [3213]" strokeweight="0"/>
                <v:rect id="Rectangle 64" o:spid="_x0000_s1051" style="position:absolute;left:27355;top:45136;width:24267;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" fillcolor="white [3212]" strokeweight=".25pt">
                  <v:textbox>
                    <w:txbxContent>
                      <w:p w14:paraId="7E10211E" w14:textId="77777777" w:rsidR="002B3038" w:rsidRPr="005825F5" w:rsidRDefault="002B3038" w:rsidP="00CF0E3D">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v:textbox>
                </v:rect>
                <v:shape id="Down Arrow 65" o:spid="_x0000_s1052" type="#_x0000_t67" style="position:absolute;left:37804;top:42514;width:382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BLxAAAANsAAAAPAAAAZHJzL2Rvd25yZXYueG1sRI9Ba8JA&#10;FITvgv9heUJvZpNCbY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ATtcEvEAAAA2wAAAA8A&#10;AAAAAAAAAAAAAAAABwIAAGRycy9kb3ducmV2LnhtbFBLBQYAAAAAAwADALcAAAD4AgAAAAA=&#10;" adj="10800" filled="f" strokecolor="black [3213]" strokeweight="0"/>
                <v:shape id="Down Arrow 67" o:spid="_x0000_s1053" type="#_x0000_t67" style="position:absolute;left:37260;top:58572;width:382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" adj="10800" filled="f" strokecolor="black [3213]" strokeweight="0"/>
                <v:shape id="Down Arrow 68" o:spid="_x0000_s1054" type="#_x0000_t67" style="position:absolute;left:37342;top:13512;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" adj="10800" filled="f" strokecolor="black [3213]" strokeweight="0"/>
                <v:shape id="Down Arrow 69" o:spid="_x0000_s1055" type="#_x0000_t67" style="position:absolute;left:11320;top:136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" adj="10800" filled="f" strokecolor="black [3213]" strokeweight="0"/>
                <w10:wrap anchory="line"/>
              </v:group>
            </w:pict>
          </mc:Fallback>
        </mc:AlternateContent>
      </w:r>
      <w:r>
        <w:rPr>
          <w:noProof/>
        </w:rPr>
        <mc:AlternateContent>
          <mc:Choice Requires="wps">
            <w:drawing>
              <wp:inline distT="0" distB="0" distL="0" distR="0" wp14:anchorId="14BD9E1F" wp14:editId="4967CABA">
                <wp:extent cx="5280660" cy="6797040"/>
                <wp:effectExtent l="0" t="0" r="0" b="0"/>
                <wp:docPr id="50" name="Rectangle 50" descr="P1302#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066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7FEC8" id="Rectangle 50" o:spid="_x0000_s1026" style="width:415.8pt;height:5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" filled="f" stroked="f">
                <o:lock v:ext="edit" aspectratio="t"/>
                <w10:anchorlock/>
              </v:rect>
            </w:pict>
          </mc:Fallback>
        </mc:AlternateContent>
      </w:r>
    </w:p>
    <w:p w14:paraId="77BDD222" w14:textId="77777777" w:rsidR="00CF0E3D" w:rsidRPr="00ED4F4B" w:rsidRDefault="00CF0E3D" w:rsidP="00CF0E3D">
      <w:pPr>
        <w:pStyle w:val="ActHead4"/>
      </w:pPr>
      <w:bookmarkStart w:id="126" w:name="_Toc50114022"/>
      <w:bookmarkStart w:id="127" w:name="_Toc57219013"/>
      <w:bookmarkStart w:id="128" w:name="_Toc59549127"/>
      <w:bookmarkStart w:id="129" w:name="_Toc77064874"/>
      <w:r w:rsidRPr="00ED4F4B">
        <w:lastRenderedPageBreak/>
        <w:t>Subdivision 4.2.2—Requests to seek to collect CDR data from CDR participants</w:t>
      </w:r>
      <w:bookmarkEnd w:id="126"/>
      <w:bookmarkEnd w:id="127"/>
      <w:bookmarkEnd w:id="128"/>
      <w:bookmarkEnd w:id="129"/>
    </w:p>
    <w:p w14:paraId="48335332" w14:textId="77777777" w:rsidR="00CF0E3D" w:rsidRPr="00F07699" w:rsidRDefault="00CF0E3D" w:rsidP="00CF0E3D">
      <w:pPr>
        <w:pStyle w:val="ActHead5"/>
      </w:pPr>
      <w:bookmarkStart w:id="130" w:name="_Toc77064875"/>
      <w:r w:rsidRPr="00F07699">
        <w:t>4.3  Request for accredited person to seek to collect CDR data</w:t>
      </w:r>
      <w:bookmarkEnd w:id="117"/>
      <w:bookmarkEnd w:id="118"/>
      <w:bookmarkEnd w:id="119"/>
      <w:bookmarkEnd w:id="120"/>
      <w:bookmarkEnd w:id="130"/>
    </w:p>
    <w:p w14:paraId="740B6DEB" w14:textId="77777777" w:rsidR="00CF0E3D" w:rsidRPr="00F07699" w:rsidRDefault="00CF0E3D" w:rsidP="00CF0E3D">
      <w:pPr>
        <w:pStyle w:val="subsection"/>
      </w:pPr>
      <w:r w:rsidRPr="00F07699">
        <w:tab/>
        <w:t>(1)</w:t>
      </w:r>
      <w:r w:rsidRPr="00F07699">
        <w:tab/>
        <w:t>This rule applies if:</w:t>
      </w:r>
    </w:p>
    <w:p w14:paraId="7584B885" w14:textId="77777777" w:rsidR="00CF0E3D" w:rsidRPr="00F07699" w:rsidRDefault="00CF0E3D" w:rsidP="00CF0E3D">
      <w:pPr>
        <w:pStyle w:val="paragraph"/>
      </w:pPr>
      <w:r w:rsidRPr="00F07699">
        <w:tab/>
        <w:t>(a)</w:t>
      </w:r>
      <w:r w:rsidRPr="00F07699">
        <w:tab/>
        <w:t>a CDR consumer requests an accredited person to provide goods or services to the CDR consumer or to another person; and</w:t>
      </w:r>
    </w:p>
    <w:p w14:paraId="7FA7B2BC" w14:textId="77777777" w:rsidR="00CF0E3D" w:rsidRPr="00ED4F4B" w:rsidRDefault="00CF0E3D" w:rsidP="00CF0E3D">
      <w:pPr>
        <w:pStyle w:val="paragraph"/>
      </w:pPr>
      <w:r w:rsidRPr="00ED4F4B">
        <w:tab/>
        <w:t>(b)</w:t>
      </w:r>
      <w:r w:rsidRPr="00ED4F4B">
        <w:tab/>
        <w:t>the accredited person needs to collect the CDR consumer’s CDR data from a CDR participant under these rules and use it in order to provide those goods or services.</w:t>
      </w:r>
    </w:p>
    <w:p w14:paraId="5F80D034" w14:textId="77777777" w:rsidR="00CF0E3D" w:rsidRPr="00ED4F4B" w:rsidRDefault="00CF0E3D" w:rsidP="00CF0E3D">
      <w:pPr>
        <w:pStyle w:val="subsection"/>
      </w:pPr>
      <w:r w:rsidRPr="00ED4F4B">
        <w:tab/>
        <w:t>(2)</w:t>
      </w:r>
      <w:r w:rsidRPr="00ED4F4B">
        <w:tab/>
        <w:t>The accredited person may, in accordance with Division 4.3, ask the CDR consumer to give:</w:t>
      </w:r>
    </w:p>
    <w:p w14:paraId="6BC0491C" w14:textId="77777777" w:rsidR="00CF0E3D" w:rsidRPr="00ED4F4B" w:rsidRDefault="00CF0E3D" w:rsidP="00CF0E3D">
      <w:pPr>
        <w:pStyle w:val="paragraph"/>
      </w:pPr>
      <w:r>
        <w:tab/>
        <w:t>(a)</w:t>
      </w:r>
      <w:r>
        <w:tab/>
        <w:t xml:space="preserve">a collection consent for </w:t>
      </w:r>
      <w:r w:rsidRPr="00ED4F4B">
        <w:t>the accredited person to collect their CDR data from the CDR participant; and</w:t>
      </w:r>
    </w:p>
    <w:p w14:paraId="4AC1986E" w14:textId="77777777" w:rsidR="00CF0E3D" w:rsidRPr="00ED4F4B" w:rsidRDefault="00CF0E3D" w:rsidP="00CF0E3D">
      <w:pPr>
        <w:pStyle w:val="paragraph"/>
      </w:pPr>
      <w:r w:rsidRPr="00ED4F4B">
        <w:tab/>
        <w:t>(b)</w:t>
      </w:r>
      <w:r w:rsidRPr="00ED4F4B">
        <w:tab/>
        <w:t>a use consent for the accredited person to use that CDR data;</w:t>
      </w:r>
    </w:p>
    <w:p w14:paraId="0001851D" w14:textId="77777777" w:rsidR="00CF0E3D" w:rsidRPr="00ED4F4B" w:rsidRDefault="00CF0E3D" w:rsidP="00CF0E3D">
      <w:pPr>
        <w:pStyle w:val="subsection"/>
        <w:spacing w:before="40"/>
      </w:pPr>
      <w:r w:rsidRPr="00ED4F4B">
        <w:tab/>
      </w:r>
      <w:r w:rsidRPr="00ED4F4B">
        <w:tab/>
        <w:t>in order to provide those goods or services.</w:t>
      </w:r>
    </w:p>
    <w:p w14:paraId="555C5225" w14:textId="77777777" w:rsidR="00CF0E3D" w:rsidRPr="00F07699" w:rsidRDefault="00CF0E3D" w:rsidP="00CF0E3D">
      <w:pPr>
        <w:pStyle w:val="notetext"/>
      </w:pPr>
      <w:r w:rsidRPr="00F07699">
        <w:t>Note 1:</w:t>
      </w:r>
      <w:r w:rsidRPr="00F07699">
        <w:tab/>
        <w:t>In order to provide goods or services in accordance with the CDR consumer’s request, it might be necessary for the accredited person to request CDR data from more than 1</w:t>
      </w:r>
      <w:r w:rsidRPr="000639C3">
        <w:t xml:space="preserve"> </w:t>
      </w:r>
      <w:r w:rsidRPr="00ED4F4B">
        <w:t>CDR participant.</w:t>
      </w:r>
    </w:p>
    <w:p w14:paraId="51C84084" w14:textId="2F16D093" w:rsidR="00CF0E3D" w:rsidRDefault="00CF0E3D" w:rsidP="00CF0E3D">
      <w:pPr>
        <w:pStyle w:val="notetext"/>
      </w:pPr>
      <w:r w:rsidRPr="00F07699">
        <w:t>Note 2:</w:t>
      </w:r>
      <w:r w:rsidRPr="00F07699">
        <w:tab/>
        <w:t>The accredited person is able to collect and use CDR data only in accordance with the data minimisation principle: see rule 1.8.</w:t>
      </w:r>
    </w:p>
    <w:p w14:paraId="6FD29ABE" w14:textId="77777777" w:rsidR="00D60816" w:rsidRPr="00693A57" w:rsidRDefault="006D7F5E" w:rsidP="006D7F5E">
      <w:pPr>
        <w:pStyle w:val="subsection"/>
        <w:rPr>
          <w:color w:val="0000FF"/>
        </w:rPr>
      </w:pPr>
      <w:r w:rsidRPr="00693A57">
        <w:rPr>
          <w:color w:val="0000FF"/>
        </w:rPr>
        <w:tab/>
        <w:t>(2A)</w:t>
      </w:r>
      <w:r w:rsidRPr="00693A57">
        <w:rPr>
          <w:color w:val="0000FF"/>
        </w:rPr>
        <w:tab/>
      </w:r>
      <w:r w:rsidR="002403AE" w:rsidRPr="00693A57">
        <w:rPr>
          <w:color w:val="0000FF"/>
        </w:rPr>
        <w:t xml:space="preserve">If the accredited person is an affiliate and the CDR data will be collected by a sponsor </w:t>
      </w:r>
      <w:r w:rsidR="00FD3D31" w:rsidRPr="00693A57">
        <w:rPr>
          <w:color w:val="0000FF"/>
        </w:rPr>
        <w:t>at its request</w:t>
      </w:r>
      <w:r w:rsidR="00D60816" w:rsidRPr="00693A57">
        <w:rPr>
          <w:color w:val="0000FF"/>
        </w:rPr>
        <w:t>:</w:t>
      </w:r>
    </w:p>
    <w:p w14:paraId="194C7285" w14:textId="69456438" w:rsidR="006D7F5E" w:rsidRPr="00693A57" w:rsidRDefault="00D60816" w:rsidP="00D60816">
      <w:pPr>
        <w:pStyle w:val="paragraph"/>
        <w:rPr>
          <w:color w:val="0000FF"/>
        </w:rPr>
      </w:pPr>
      <w:r w:rsidRPr="00693A57">
        <w:rPr>
          <w:color w:val="0000FF"/>
        </w:rPr>
        <w:tab/>
        <w:t>(a)</w:t>
      </w:r>
      <w:r w:rsidRPr="00693A57">
        <w:rPr>
          <w:color w:val="0000FF"/>
        </w:rPr>
        <w:tab/>
      </w:r>
      <w:r w:rsidR="006D7F5E" w:rsidRPr="00693A57">
        <w:rPr>
          <w:color w:val="0000FF"/>
        </w:rPr>
        <w:t>the request for a collection</w:t>
      </w:r>
      <w:r w:rsidRPr="00693A57">
        <w:rPr>
          <w:color w:val="0000FF"/>
        </w:rPr>
        <w:t xml:space="preserve"> consent must specify that fact; and</w:t>
      </w:r>
    </w:p>
    <w:p w14:paraId="35E4660A" w14:textId="4A2B8B65" w:rsidR="00D60816" w:rsidRPr="00693A57" w:rsidRDefault="00D60816" w:rsidP="00D60816">
      <w:pPr>
        <w:pStyle w:val="paragraph"/>
        <w:rPr>
          <w:color w:val="0000FF"/>
        </w:rPr>
      </w:pPr>
      <w:r w:rsidRPr="00693A57">
        <w:rPr>
          <w:color w:val="0000FF"/>
        </w:rPr>
        <w:tab/>
        <w:t>(b)</w:t>
      </w:r>
      <w:r w:rsidRPr="00693A57">
        <w:rPr>
          <w:color w:val="0000FF"/>
        </w:rPr>
        <w:tab/>
        <w:t>a consent for the affiliate to collect the CDR data is taken to be consent for the sponsor to so collect it.</w:t>
      </w:r>
    </w:p>
    <w:p w14:paraId="0A5FDEF3" w14:textId="77777777" w:rsidR="00CF0E3D" w:rsidRPr="00F07699" w:rsidRDefault="00CF0E3D" w:rsidP="00CF0E3D">
      <w:pPr>
        <w:pStyle w:val="subsection"/>
      </w:pPr>
      <w:r w:rsidRPr="00F07699">
        <w:tab/>
        <w:t>(3)</w:t>
      </w:r>
      <w:r w:rsidRPr="00F07699">
        <w:tab/>
        <w:t xml:space="preserve">In </w:t>
      </w:r>
      <w:r w:rsidRPr="00275F9C">
        <w:t>giving the consent</w:t>
      </w:r>
      <w:r>
        <w:t>s</w:t>
      </w:r>
      <w:r w:rsidRPr="00275F9C">
        <w:t xml:space="preserve">, </w:t>
      </w:r>
      <w:r w:rsidRPr="00F07699">
        <w:t xml:space="preserve">the CDR consumer gives the accredited person a </w:t>
      </w:r>
      <w:r w:rsidRPr="00F07699">
        <w:rPr>
          <w:b/>
          <w:i/>
        </w:rPr>
        <w:t xml:space="preserve">valid </w:t>
      </w:r>
      <w:r w:rsidRPr="00F07699">
        <w:t xml:space="preserve">request to seek to collect that CDR data from </w:t>
      </w:r>
      <w:r w:rsidRPr="00ED4F4B">
        <w:t>the CDR participant</w:t>
      </w:r>
      <w:r w:rsidRPr="00F07699">
        <w:t>.</w:t>
      </w:r>
    </w:p>
    <w:p w14:paraId="1AF8BF56" w14:textId="77777777" w:rsidR="00CF0E3D" w:rsidRPr="00F07699" w:rsidRDefault="00CF0E3D" w:rsidP="00CF0E3D">
      <w:pPr>
        <w:pStyle w:val="notetext"/>
      </w:pPr>
      <w:r w:rsidRPr="00F07699">
        <w:t>Note:</w:t>
      </w:r>
      <w:r w:rsidRPr="00F07699">
        <w:tab/>
        <w:t>If the accredited person seeks to collect CDR data under this Part without a valid request, it will contravene privacy safeguard 3 (a civil penalty provision under the Act): see section 56EF of the Act.</w:t>
      </w:r>
    </w:p>
    <w:p w14:paraId="53D0FC6A" w14:textId="77777777" w:rsidR="00CF0E3D" w:rsidRPr="00ED4F4B" w:rsidRDefault="00CF0E3D" w:rsidP="00CF0E3D">
      <w:pPr>
        <w:pStyle w:val="subsection"/>
      </w:pPr>
      <w:r w:rsidRPr="00ED4F4B">
        <w:tab/>
        <w:t>(4)</w:t>
      </w:r>
      <w:r w:rsidRPr="00ED4F4B">
        <w:tab/>
        <w:t xml:space="preserve">The request ceases to be </w:t>
      </w:r>
      <w:r w:rsidRPr="00ED4F4B">
        <w:rPr>
          <w:b/>
          <w:i/>
        </w:rPr>
        <w:t>valid</w:t>
      </w:r>
      <w:r w:rsidRPr="00ED4F4B">
        <w:rPr>
          <w:b/>
        </w:rPr>
        <w:t xml:space="preserve"> </w:t>
      </w:r>
      <w:r w:rsidRPr="00ED4F4B">
        <w:t>if the collection consent is withdrawn.</w:t>
      </w:r>
    </w:p>
    <w:p w14:paraId="137054DD" w14:textId="77777777" w:rsidR="00CF0E3D" w:rsidRPr="00ED4F4B" w:rsidRDefault="00CF0E3D" w:rsidP="00CF0E3D">
      <w:pPr>
        <w:pStyle w:val="notetext"/>
      </w:pPr>
      <w:r w:rsidRPr="00ED4F4B">
        <w:t>Note:</w:t>
      </w:r>
      <w:r w:rsidRPr="00ED4F4B">
        <w:tab/>
        <w:t>So long as the use consent is not also withdrawn, the accredited person could continue to use CDR data it had already collected in order to provide the requested goods or services. However, the notification requirement of rule 4.18A would apply.</w:t>
      </w:r>
    </w:p>
    <w:p w14:paraId="57745A68" w14:textId="77777777" w:rsidR="00CF0E3D" w:rsidRPr="00ED4F4B" w:rsidRDefault="00CF0E3D" w:rsidP="00CF0E3D">
      <w:pPr>
        <w:pStyle w:val="subsection"/>
      </w:pPr>
      <w:r w:rsidRPr="00ED4F4B">
        <w:tab/>
        <w:t>(5)</w:t>
      </w:r>
      <w:r w:rsidRPr="00ED4F4B">
        <w:tab/>
        <w:t>If an accredited person asks for a CDR consumer’s consents for the purpose of making a consumer data request under this Part, the accredited person must do so in accordance with Division 4.3.</w:t>
      </w:r>
    </w:p>
    <w:p w14:paraId="25BD237F" w14:textId="77777777" w:rsidR="00CF0E3D" w:rsidRDefault="00CF0E3D" w:rsidP="00CF0E3D">
      <w:pPr>
        <w:pStyle w:val="notetext"/>
      </w:pPr>
      <w:r w:rsidRPr="00F07699">
        <w:t>Note:</w:t>
      </w:r>
      <w:r w:rsidRPr="00F07699">
        <w:tab/>
        <w:t>This subrule is a civil penalty provision (see rule 9.8).</w:t>
      </w:r>
    </w:p>
    <w:p w14:paraId="3429E866" w14:textId="1DB17E3C" w:rsidR="00B86207" w:rsidRPr="00693A57" w:rsidRDefault="00B86207" w:rsidP="00B86207">
      <w:pPr>
        <w:pStyle w:val="ActHead5"/>
        <w:rPr>
          <w:color w:val="0000FF"/>
        </w:rPr>
      </w:pPr>
      <w:bookmarkStart w:id="131" w:name="_Toc77064876"/>
      <w:r w:rsidRPr="00693A57">
        <w:rPr>
          <w:color w:val="0000FF"/>
        </w:rPr>
        <w:lastRenderedPageBreak/>
        <w:t xml:space="preserve">4.3A Request for accredited person to seek to collect CDR data, made to </w:t>
      </w:r>
      <w:r w:rsidR="00182338" w:rsidRPr="00693A57">
        <w:rPr>
          <w:color w:val="0000FF"/>
        </w:rPr>
        <w:t>CDR representative</w:t>
      </w:r>
      <w:bookmarkEnd w:id="131"/>
    </w:p>
    <w:p w14:paraId="46C54D86" w14:textId="77777777" w:rsidR="00B86207" w:rsidRPr="00693A57" w:rsidRDefault="00B86207" w:rsidP="00B86207">
      <w:pPr>
        <w:pStyle w:val="subsection"/>
        <w:rPr>
          <w:color w:val="0000FF"/>
        </w:rPr>
      </w:pPr>
      <w:r w:rsidRPr="00693A57">
        <w:rPr>
          <w:color w:val="0000FF"/>
        </w:rPr>
        <w:tab/>
        <w:t>(1)</w:t>
      </w:r>
      <w:r w:rsidRPr="00693A57">
        <w:rPr>
          <w:color w:val="0000FF"/>
        </w:rPr>
        <w:tab/>
        <w:t>This rule applies if:</w:t>
      </w:r>
    </w:p>
    <w:p w14:paraId="1A3BD790" w14:textId="09527692" w:rsidR="00B86207" w:rsidRPr="00693A57" w:rsidRDefault="00B86207" w:rsidP="00B86207">
      <w:pPr>
        <w:pStyle w:val="paragraph"/>
        <w:rPr>
          <w:color w:val="0000FF"/>
        </w:rPr>
      </w:pPr>
      <w:r w:rsidRPr="00693A57">
        <w:rPr>
          <w:color w:val="0000FF"/>
        </w:rPr>
        <w:tab/>
        <w:t>(a)</w:t>
      </w:r>
      <w:r w:rsidRPr="00693A57">
        <w:rPr>
          <w:color w:val="0000FF"/>
        </w:rPr>
        <w:tab/>
        <w:t xml:space="preserve">a CDR consumer requests a </w:t>
      </w:r>
      <w:r w:rsidR="00182338" w:rsidRPr="00693A57">
        <w:rPr>
          <w:color w:val="0000FF"/>
        </w:rPr>
        <w:t>CDR representative</w:t>
      </w:r>
      <w:r w:rsidRPr="00693A57">
        <w:rPr>
          <w:color w:val="0000FF"/>
        </w:rPr>
        <w:t xml:space="preserve"> to provide goods or services to the CDR consumer or to another person; and</w:t>
      </w:r>
    </w:p>
    <w:p w14:paraId="04C9668A" w14:textId="53267EE9" w:rsidR="00B86207" w:rsidRPr="00693A57" w:rsidRDefault="00B86207" w:rsidP="00B86207">
      <w:pPr>
        <w:pStyle w:val="paragraph"/>
        <w:rPr>
          <w:color w:val="0000FF"/>
        </w:rPr>
      </w:pPr>
      <w:r w:rsidRPr="00693A57">
        <w:rPr>
          <w:color w:val="0000FF"/>
        </w:rPr>
        <w:tab/>
        <w:t>(b)</w:t>
      </w:r>
      <w:r w:rsidRPr="00693A57">
        <w:rPr>
          <w:color w:val="0000FF"/>
        </w:rPr>
        <w:tab/>
        <w:t xml:space="preserve">the </w:t>
      </w:r>
      <w:r w:rsidR="00182338" w:rsidRPr="00693A57">
        <w:rPr>
          <w:color w:val="0000FF"/>
        </w:rPr>
        <w:t>CDR representative</w:t>
      </w:r>
      <w:r w:rsidRPr="00693A57">
        <w:rPr>
          <w:color w:val="0000FF"/>
        </w:rPr>
        <w:t xml:space="preserve"> needs to:</w:t>
      </w:r>
    </w:p>
    <w:p w14:paraId="3D6F6A97" w14:textId="77777777" w:rsidR="00B86207" w:rsidRPr="00693A57" w:rsidRDefault="00B86207" w:rsidP="00B86207">
      <w:pPr>
        <w:pStyle w:val="paragraphsub"/>
        <w:rPr>
          <w:color w:val="0000FF"/>
        </w:rPr>
      </w:pPr>
      <w:r w:rsidRPr="00693A57">
        <w:rPr>
          <w:color w:val="0000FF"/>
        </w:rPr>
        <w:tab/>
        <w:t>(i)</w:t>
      </w:r>
      <w:r w:rsidRPr="00693A57">
        <w:rPr>
          <w:color w:val="0000FF"/>
        </w:rPr>
        <w:tab/>
        <w:t>request its CDR principal to collect the CDR consumer’s CDR data from a CDR participant under these rules; and</w:t>
      </w:r>
    </w:p>
    <w:p w14:paraId="7658EE01" w14:textId="77777777" w:rsidR="00B86207" w:rsidRPr="00693A57" w:rsidRDefault="00B86207" w:rsidP="00B86207">
      <w:pPr>
        <w:pStyle w:val="paragraphsub"/>
        <w:rPr>
          <w:color w:val="0000FF"/>
        </w:rPr>
      </w:pPr>
      <w:r w:rsidRPr="00693A57">
        <w:rPr>
          <w:color w:val="0000FF"/>
        </w:rPr>
        <w:tab/>
        <w:t>(ii)</w:t>
      </w:r>
      <w:r w:rsidRPr="00693A57">
        <w:rPr>
          <w:color w:val="0000FF"/>
        </w:rPr>
        <w:tab/>
        <w:t>use it in order to provide those goods or services.</w:t>
      </w:r>
    </w:p>
    <w:p w14:paraId="4CAFA3AF" w14:textId="4C937D65" w:rsidR="00B86207" w:rsidRPr="00693A57" w:rsidRDefault="00B86207" w:rsidP="00B86207">
      <w:pPr>
        <w:pStyle w:val="subsection"/>
        <w:rPr>
          <w:color w:val="0000FF"/>
        </w:rPr>
      </w:pPr>
      <w:r w:rsidRPr="00693A57">
        <w:rPr>
          <w:color w:val="0000FF"/>
        </w:rPr>
        <w:tab/>
        <w:t>(2)</w:t>
      </w:r>
      <w:r w:rsidRPr="00693A57">
        <w:rPr>
          <w:color w:val="0000FF"/>
        </w:rPr>
        <w:tab/>
        <w:t xml:space="preserve">The </w:t>
      </w:r>
      <w:r w:rsidR="00182338" w:rsidRPr="00693A57">
        <w:rPr>
          <w:color w:val="0000FF"/>
        </w:rPr>
        <w:t>CDR representative</w:t>
      </w:r>
      <w:r w:rsidRPr="00693A57">
        <w:rPr>
          <w:color w:val="0000FF"/>
        </w:rPr>
        <w:t xml:space="preserve"> may, in accordance with Division 4.3, ask the CDR consumer to give:</w:t>
      </w:r>
    </w:p>
    <w:p w14:paraId="09274C37" w14:textId="77777777" w:rsidR="00B86207" w:rsidRPr="00693A57" w:rsidRDefault="00B86207" w:rsidP="00B86207">
      <w:pPr>
        <w:pStyle w:val="paragraph"/>
        <w:rPr>
          <w:color w:val="0000FF"/>
        </w:rPr>
      </w:pPr>
      <w:r w:rsidRPr="00693A57">
        <w:rPr>
          <w:color w:val="0000FF"/>
        </w:rPr>
        <w:tab/>
        <w:t>(a)</w:t>
      </w:r>
      <w:r w:rsidRPr="00693A57">
        <w:rPr>
          <w:color w:val="0000FF"/>
        </w:rPr>
        <w:tab/>
        <w:t>a collection consent for the CDR principal to collect their CDR data from the CDR participant; and</w:t>
      </w:r>
    </w:p>
    <w:p w14:paraId="43A39313" w14:textId="77777777" w:rsidR="00B86207" w:rsidRPr="00693A57" w:rsidRDefault="00B86207" w:rsidP="00B86207">
      <w:pPr>
        <w:pStyle w:val="paragraph"/>
        <w:rPr>
          <w:color w:val="0000FF"/>
        </w:rPr>
      </w:pPr>
      <w:r w:rsidRPr="00693A57">
        <w:rPr>
          <w:color w:val="0000FF"/>
        </w:rPr>
        <w:tab/>
        <w:t>(b)</w:t>
      </w:r>
      <w:r w:rsidRPr="00693A57">
        <w:rPr>
          <w:color w:val="0000FF"/>
        </w:rPr>
        <w:tab/>
        <w:t>a use consent for:</w:t>
      </w:r>
    </w:p>
    <w:p w14:paraId="754E2979" w14:textId="61CCC3F2" w:rsidR="00B86207" w:rsidRPr="00693A57" w:rsidRDefault="00B86207" w:rsidP="00B86207">
      <w:pPr>
        <w:pStyle w:val="paragraphsub"/>
        <w:rPr>
          <w:color w:val="0000FF"/>
        </w:rPr>
      </w:pPr>
      <w:r w:rsidRPr="00693A57">
        <w:rPr>
          <w:color w:val="0000FF"/>
        </w:rPr>
        <w:tab/>
        <w:t>(i)</w:t>
      </w:r>
      <w:r w:rsidRPr="00693A57">
        <w:rPr>
          <w:color w:val="0000FF"/>
        </w:rPr>
        <w:tab/>
        <w:t xml:space="preserve">the CDR principal to disclose that data to the </w:t>
      </w:r>
      <w:r w:rsidR="00182338" w:rsidRPr="00693A57">
        <w:rPr>
          <w:color w:val="0000FF"/>
        </w:rPr>
        <w:t>CDR representative</w:t>
      </w:r>
      <w:r w:rsidRPr="00693A57">
        <w:rPr>
          <w:color w:val="0000FF"/>
        </w:rPr>
        <w:t>; and</w:t>
      </w:r>
    </w:p>
    <w:p w14:paraId="529A0489" w14:textId="3E1BC776" w:rsidR="00B86207" w:rsidRPr="00693A57" w:rsidRDefault="00B86207" w:rsidP="00B86207">
      <w:pPr>
        <w:pStyle w:val="paragraphsub"/>
        <w:rPr>
          <w:color w:val="0000FF"/>
        </w:rPr>
      </w:pPr>
      <w:r w:rsidRPr="00693A57">
        <w:rPr>
          <w:color w:val="0000FF"/>
        </w:rPr>
        <w:tab/>
        <w:t>(ii)</w:t>
      </w:r>
      <w:r w:rsidRPr="00693A57">
        <w:rPr>
          <w:color w:val="0000FF"/>
        </w:rPr>
        <w:tab/>
        <w:t xml:space="preserve">for the </w:t>
      </w:r>
      <w:r w:rsidR="00182338" w:rsidRPr="00693A57">
        <w:rPr>
          <w:color w:val="0000FF"/>
        </w:rPr>
        <w:t>CDR representative</w:t>
      </w:r>
      <w:r w:rsidRPr="00693A57">
        <w:rPr>
          <w:color w:val="0000FF"/>
        </w:rPr>
        <w:t xml:space="preserve"> to use it in order to provide those goods or services.</w:t>
      </w:r>
    </w:p>
    <w:p w14:paraId="79ACE617" w14:textId="77777777" w:rsidR="00B86207" w:rsidRPr="00693A57" w:rsidRDefault="00B86207" w:rsidP="00B86207">
      <w:pPr>
        <w:pStyle w:val="notetext"/>
        <w:rPr>
          <w:color w:val="0000FF"/>
        </w:rPr>
      </w:pPr>
      <w:r w:rsidRPr="00693A57">
        <w:rPr>
          <w:color w:val="0000FF"/>
        </w:rPr>
        <w:t>Note 1:</w:t>
      </w:r>
      <w:r w:rsidRPr="00693A57">
        <w:rPr>
          <w:color w:val="0000FF"/>
        </w:rPr>
        <w:tab/>
        <w:t>In order to provide goods or services in accordance with the CDR consumer’s request, it might be necessary for the accredited person to request CDR data from more than 1 CDR participant.</w:t>
      </w:r>
    </w:p>
    <w:p w14:paraId="7903F6E4" w14:textId="77777777" w:rsidR="00B86207" w:rsidRPr="00693A57" w:rsidRDefault="00B86207" w:rsidP="00B86207">
      <w:pPr>
        <w:pStyle w:val="notetext"/>
        <w:rPr>
          <w:color w:val="0000FF"/>
        </w:rPr>
      </w:pPr>
      <w:r w:rsidRPr="00693A57">
        <w:rPr>
          <w:color w:val="0000FF"/>
        </w:rPr>
        <w:t>Note 2:</w:t>
      </w:r>
      <w:r w:rsidRPr="00693A57">
        <w:rPr>
          <w:color w:val="0000FF"/>
        </w:rPr>
        <w:tab/>
        <w:t>The CDR data may be collected and used only in accordance with the data minimisation principle: see rule 1.8.</w:t>
      </w:r>
    </w:p>
    <w:p w14:paraId="28237075" w14:textId="77777777" w:rsidR="00B86207" w:rsidRPr="00693A57" w:rsidRDefault="00B86207" w:rsidP="00B86207">
      <w:pPr>
        <w:pStyle w:val="subsection"/>
        <w:rPr>
          <w:color w:val="0000FF"/>
        </w:rPr>
      </w:pPr>
      <w:r w:rsidRPr="00693A57">
        <w:rPr>
          <w:color w:val="0000FF"/>
        </w:rPr>
        <w:tab/>
        <w:t>(3)</w:t>
      </w:r>
      <w:r w:rsidRPr="00693A57">
        <w:rPr>
          <w:color w:val="0000FF"/>
        </w:rPr>
        <w:tab/>
        <w:t xml:space="preserve">In giving the consents, the CDR consumer gives the CDR principal a </w:t>
      </w:r>
      <w:r w:rsidRPr="00693A57">
        <w:rPr>
          <w:b/>
          <w:i/>
          <w:color w:val="0000FF"/>
        </w:rPr>
        <w:t xml:space="preserve">valid </w:t>
      </w:r>
      <w:r w:rsidRPr="00693A57">
        <w:rPr>
          <w:color w:val="0000FF"/>
        </w:rPr>
        <w:t>request to seek to collect that CDR data from the CDR participant.</w:t>
      </w:r>
    </w:p>
    <w:p w14:paraId="729DF412" w14:textId="77777777" w:rsidR="00B86207" w:rsidRPr="00693A57" w:rsidRDefault="00B86207" w:rsidP="00B86207">
      <w:pPr>
        <w:pStyle w:val="notetext"/>
        <w:rPr>
          <w:color w:val="0000FF"/>
        </w:rPr>
      </w:pPr>
      <w:r w:rsidRPr="00693A57">
        <w:rPr>
          <w:color w:val="0000FF"/>
        </w:rPr>
        <w:t>Note:</w:t>
      </w:r>
      <w:r w:rsidRPr="00693A57">
        <w:rPr>
          <w:color w:val="0000FF"/>
        </w:rPr>
        <w:tab/>
        <w:t>If an accredited person seeks to collect CDR data under this Part without a valid request, it will contravene privacy safeguard 3 (a civil penalty provision under the Act): see section 56EF of the Act.</w:t>
      </w:r>
    </w:p>
    <w:p w14:paraId="30A93FE4" w14:textId="77777777" w:rsidR="00B86207" w:rsidRPr="00693A57" w:rsidRDefault="00B86207" w:rsidP="00B86207">
      <w:pPr>
        <w:pStyle w:val="subsection"/>
        <w:rPr>
          <w:color w:val="0000FF"/>
        </w:rPr>
      </w:pPr>
      <w:r w:rsidRPr="00693A57">
        <w:rPr>
          <w:color w:val="0000FF"/>
        </w:rPr>
        <w:tab/>
        <w:t>(4)</w:t>
      </w:r>
      <w:r w:rsidRPr="00693A57">
        <w:rPr>
          <w:color w:val="0000FF"/>
        </w:rPr>
        <w:tab/>
        <w:t xml:space="preserve">The request ceases to be </w:t>
      </w:r>
      <w:r w:rsidRPr="00693A57">
        <w:rPr>
          <w:b/>
          <w:i/>
          <w:color w:val="0000FF"/>
        </w:rPr>
        <w:t>valid</w:t>
      </w:r>
      <w:r w:rsidRPr="00693A57">
        <w:rPr>
          <w:b/>
          <w:color w:val="0000FF"/>
        </w:rPr>
        <w:t xml:space="preserve"> </w:t>
      </w:r>
      <w:r w:rsidRPr="00693A57">
        <w:rPr>
          <w:color w:val="0000FF"/>
        </w:rPr>
        <w:t>if the collection consent is withdrawn.</w:t>
      </w:r>
    </w:p>
    <w:p w14:paraId="6804D04A" w14:textId="1C73267D" w:rsidR="00B86207" w:rsidRPr="00693A57" w:rsidRDefault="00B86207" w:rsidP="00B86207">
      <w:pPr>
        <w:pStyle w:val="notetext"/>
        <w:rPr>
          <w:color w:val="0000FF"/>
        </w:rPr>
      </w:pPr>
      <w:r w:rsidRPr="00693A57">
        <w:rPr>
          <w:color w:val="0000FF"/>
        </w:rPr>
        <w:t>Note:</w:t>
      </w:r>
      <w:r w:rsidRPr="00693A57">
        <w:rPr>
          <w:color w:val="0000FF"/>
        </w:rPr>
        <w:tab/>
        <w:t xml:space="preserve">So long as the use consent is not also withdrawn, the CDR principal could continue to disclose CDR data it had already collected to the </w:t>
      </w:r>
      <w:r w:rsidR="00182338" w:rsidRPr="00693A57">
        <w:rPr>
          <w:color w:val="0000FF"/>
        </w:rPr>
        <w:t>CDR representative</w:t>
      </w:r>
      <w:r w:rsidRPr="00693A57">
        <w:rPr>
          <w:color w:val="0000FF"/>
        </w:rPr>
        <w:t xml:space="preserve">, and the </w:t>
      </w:r>
      <w:r w:rsidR="00182338" w:rsidRPr="00693A57">
        <w:rPr>
          <w:color w:val="0000FF"/>
        </w:rPr>
        <w:t>CDR representative</w:t>
      </w:r>
      <w:r w:rsidRPr="00693A57">
        <w:rPr>
          <w:color w:val="0000FF"/>
        </w:rPr>
        <w:t xml:space="preserve"> could use it in order to provide the requested goods or services. However, the notification requirement of rule 4.18A would apply.</w:t>
      </w:r>
    </w:p>
    <w:p w14:paraId="71A29368" w14:textId="5492748E" w:rsidR="00D22C3C" w:rsidRPr="00693A57" w:rsidRDefault="00D22C3C" w:rsidP="00EE0BA9">
      <w:pPr>
        <w:pStyle w:val="ActHead5"/>
        <w:rPr>
          <w:color w:val="0000FF"/>
        </w:rPr>
      </w:pPr>
      <w:bookmarkStart w:id="132" w:name="_Toc77064877"/>
      <w:r w:rsidRPr="00693A57">
        <w:rPr>
          <w:color w:val="0000FF"/>
        </w:rPr>
        <w:t>4.3B Modific</w:t>
      </w:r>
      <w:r w:rsidR="00EE0BA9" w:rsidRPr="00693A57">
        <w:rPr>
          <w:color w:val="0000FF"/>
        </w:rPr>
        <w:t>a</w:t>
      </w:r>
      <w:r w:rsidRPr="00693A57">
        <w:rPr>
          <w:color w:val="0000FF"/>
        </w:rPr>
        <w:t xml:space="preserve">tions of </w:t>
      </w:r>
      <w:r w:rsidR="00EE0BA9" w:rsidRPr="00693A57">
        <w:rPr>
          <w:color w:val="0000FF"/>
        </w:rPr>
        <w:t xml:space="preserve">Division 4.3 in relation to </w:t>
      </w:r>
      <w:r w:rsidR="00182338" w:rsidRPr="00693A57">
        <w:rPr>
          <w:color w:val="0000FF"/>
        </w:rPr>
        <w:t>CDR representative</w:t>
      </w:r>
      <w:bookmarkEnd w:id="132"/>
    </w:p>
    <w:p w14:paraId="1BB78525" w14:textId="577DC818" w:rsidR="00B86207" w:rsidRPr="00693A57" w:rsidRDefault="00B86207" w:rsidP="00B86207">
      <w:pPr>
        <w:pStyle w:val="subsection"/>
        <w:rPr>
          <w:color w:val="0000FF"/>
        </w:rPr>
      </w:pPr>
      <w:r w:rsidRPr="00693A57">
        <w:rPr>
          <w:color w:val="0000FF"/>
        </w:rPr>
        <w:tab/>
      </w:r>
      <w:r w:rsidRPr="00693A57">
        <w:rPr>
          <w:color w:val="0000FF"/>
        </w:rPr>
        <w:tab/>
      </w:r>
      <w:r w:rsidR="003C23E8" w:rsidRPr="00693A57">
        <w:rPr>
          <w:color w:val="0000FF"/>
        </w:rPr>
        <w:t xml:space="preserve">The </w:t>
      </w:r>
      <w:r w:rsidRPr="00693A57">
        <w:rPr>
          <w:color w:val="0000FF"/>
        </w:rPr>
        <w:t>CDR</w:t>
      </w:r>
      <w:r w:rsidR="003C23E8" w:rsidRPr="00693A57">
        <w:rPr>
          <w:color w:val="0000FF"/>
        </w:rPr>
        <w:t xml:space="preserve"> principal must ensure that, when the </w:t>
      </w:r>
      <w:r w:rsidR="00182338" w:rsidRPr="00693A57">
        <w:rPr>
          <w:color w:val="0000FF"/>
        </w:rPr>
        <w:t>CDR representative</w:t>
      </w:r>
      <w:r w:rsidR="003C23E8" w:rsidRPr="00693A57">
        <w:rPr>
          <w:color w:val="0000FF"/>
        </w:rPr>
        <w:t xml:space="preserve"> asks for the </w:t>
      </w:r>
      <w:r w:rsidRPr="00693A57">
        <w:rPr>
          <w:color w:val="0000FF"/>
        </w:rPr>
        <w:t xml:space="preserve">CDR consumer’s consents, </w:t>
      </w:r>
      <w:r w:rsidR="003C23E8" w:rsidRPr="00693A57">
        <w:rPr>
          <w:color w:val="0000FF"/>
        </w:rPr>
        <w:t>it</w:t>
      </w:r>
      <w:r w:rsidRPr="00693A57">
        <w:rPr>
          <w:color w:val="0000FF"/>
        </w:rPr>
        <w:t xml:space="preserve"> </w:t>
      </w:r>
      <w:r w:rsidR="003C23E8" w:rsidRPr="00693A57">
        <w:rPr>
          <w:color w:val="0000FF"/>
        </w:rPr>
        <w:t xml:space="preserve">does </w:t>
      </w:r>
      <w:r w:rsidRPr="00693A57">
        <w:rPr>
          <w:color w:val="0000FF"/>
        </w:rPr>
        <w:t>so in accordance with Division 4.3, applied with the following modifications:</w:t>
      </w:r>
    </w:p>
    <w:p w14:paraId="266E337B" w14:textId="563E7855" w:rsidR="00D936FC" w:rsidRPr="00693A57" w:rsidRDefault="00D936FC" w:rsidP="00A670EA">
      <w:pPr>
        <w:pStyle w:val="paragraph"/>
        <w:rPr>
          <w:color w:val="0000FF"/>
        </w:rPr>
      </w:pPr>
      <w:r w:rsidRPr="00693A57">
        <w:rPr>
          <w:color w:val="0000FF"/>
        </w:rPr>
        <w:tab/>
        <w:t>(a)</w:t>
      </w:r>
      <w:r w:rsidRPr="00693A57">
        <w:rPr>
          <w:color w:val="0000FF"/>
        </w:rPr>
        <w:tab/>
        <w:t>replace references to the accredited person</w:t>
      </w:r>
      <w:r w:rsidR="00A670EA" w:rsidRPr="00693A57">
        <w:rPr>
          <w:color w:val="0000FF"/>
        </w:rPr>
        <w:t xml:space="preserve"> with references to </w:t>
      </w:r>
      <w:r w:rsidRPr="00693A57">
        <w:rPr>
          <w:color w:val="0000FF"/>
        </w:rPr>
        <w:t xml:space="preserve">the </w:t>
      </w:r>
      <w:r w:rsidR="00182338" w:rsidRPr="00693A57">
        <w:rPr>
          <w:color w:val="0000FF"/>
        </w:rPr>
        <w:t>CDR representative</w:t>
      </w:r>
      <w:r w:rsidR="002A0156" w:rsidRPr="00693A57">
        <w:rPr>
          <w:color w:val="0000FF"/>
        </w:rPr>
        <w:t>, except in Sub</w:t>
      </w:r>
      <w:r w:rsidR="00A670EA" w:rsidRPr="00693A57">
        <w:rPr>
          <w:color w:val="0000FF"/>
        </w:rPr>
        <w:t>division 4.3.5;</w:t>
      </w:r>
    </w:p>
    <w:p w14:paraId="160B509C" w14:textId="4E72F8C9" w:rsidR="007303FA" w:rsidRPr="00693A57" w:rsidRDefault="007303FA" w:rsidP="00A670EA">
      <w:pPr>
        <w:pStyle w:val="paragraph"/>
        <w:rPr>
          <w:color w:val="0000FF"/>
        </w:rPr>
      </w:pPr>
      <w:r w:rsidRPr="00693A57">
        <w:rPr>
          <w:color w:val="0000FF"/>
        </w:rPr>
        <w:tab/>
        <w:t>(b)</w:t>
      </w:r>
      <w:r w:rsidRPr="00693A57">
        <w:rPr>
          <w:color w:val="0000FF"/>
        </w:rPr>
        <w:tab/>
        <w:t xml:space="preserve">in Subdivision 4.3.5, replace references to the accredited person with references to the </w:t>
      </w:r>
      <w:r w:rsidR="007A59AB" w:rsidRPr="00693A57">
        <w:rPr>
          <w:color w:val="0000FF"/>
        </w:rPr>
        <w:t xml:space="preserve">CDR </w:t>
      </w:r>
      <w:r w:rsidRPr="00693A57">
        <w:rPr>
          <w:color w:val="0000FF"/>
        </w:rPr>
        <w:t>principal;</w:t>
      </w:r>
    </w:p>
    <w:p w14:paraId="2D62A2FE" w14:textId="1F2805D3" w:rsidR="007A59AB" w:rsidRPr="00693A57" w:rsidRDefault="007A59AB" w:rsidP="00A670EA">
      <w:pPr>
        <w:pStyle w:val="paragraph"/>
        <w:rPr>
          <w:color w:val="0000FF"/>
        </w:rPr>
      </w:pPr>
      <w:r w:rsidRPr="00693A57">
        <w:rPr>
          <w:color w:val="0000FF"/>
        </w:rPr>
        <w:lastRenderedPageBreak/>
        <w:tab/>
        <w:t>(c)</w:t>
      </w:r>
      <w:r w:rsidRPr="00693A57">
        <w:rPr>
          <w:color w:val="0000FF"/>
        </w:rPr>
        <w:tab/>
        <w:t xml:space="preserve">replace references to the goods and services provided by the accredited person with references goods or services provided by the </w:t>
      </w:r>
      <w:r w:rsidR="00182338" w:rsidRPr="00693A57">
        <w:rPr>
          <w:color w:val="0000FF"/>
        </w:rPr>
        <w:t>CDR representative</w:t>
      </w:r>
      <w:r w:rsidRPr="00693A57">
        <w:rPr>
          <w:color w:val="0000FF"/>
        </w:rPr>
        <w:t>;</w:t>
      </w:r>
    </w:p>
    <w:p w14:paraId="14C1C20F" w14:textId="12964DA7" w:rsidR="007303FA" w:rsidRPr="00693A57" w:rsidRDefault="007303FA" w:rsidP="007303FA">
      <w:pPr>
        <w:pStyle w:val="paragraph"/>
        <w:rPr>
          <w:color w:val="0000FF"/>
        </w:rPr>
      </w:pPr>
      <w:r w:rsidRPr="00693A57">
        <w:rPr>
          <w:color w:val="0000FF"/>
        </w:rPr>
        <w:tab/>
        <w:t>(</w:t>
      </w:r>
      <w:r w:rsidR="007A59AB" w:rsidRPr="00693A57">
        <w:rPr>
          <w:color w:val="0000FF"/>
        </w:rPr>
        <w:t>d</w:t>
      </w:r>
      <w:r w:rsidRPr="00693A57">
        <w:rPr>
          <w:color w:val="0000FF"/>
        </w:rPr>
        <w:t>)</w:t>
      </w:r>
      <w:r w:rsidRPr="00693A57">
        <w:rPr>
          <w:color w:val="0000FF"/>
        </w:rPr>
        <w:tab/>
        <w:t>replace references to the consumer dashboard provided by the accredited person with references to the consumer dashb</w:t>
      </w:r>
      <w:r w:rsidR="00FF16E1" w:rsidRPr="00693A57">
        <w:rPr>
          <w:color w:val="0000FF"/>
        </w:rPr>
        <w:t>oard provided by the principal;</w:t>
      </w:r>
    </w:p>
    <w:p w14:paraId="2BFC52AF" w14:textId="46E1483F" w:rsidR="00FF16E1" w:rsidRPr="00693A57" w:rsidRDefault="00B13F8B" w:rsidP="00FF16E1">
      <w:pPr>
        <w:pStyle w:val="paragraph"/>
        <w:rPr>
          <w:color w:val="0000FF"/>
        </w:rPr>
      </w:pPr>
      <w:r w:rsidRPr="00693A57">
        <w:rPr>
          <w:color w:val="0000FF"/>
        </w:rPr>
        <w:tab/>
        <w:t>(e</w:t>
      </w:r>
      <w:r w:rsidR="00FF16E1" w:rsidRPr="00693A57">
        <w:rPr>
          <w:color w:val="0000FF"/>
        </w:rPr>
        <w:t>)</w:t>
      </w:r>
      <w:r w:rsidR="00FF16E1" w:rsidRPr="00693A57">
        <w:rPr>
          <w:color w:val="0000FF"/>
        </w:rPr>
        <w:tab/>
        <w:t xml:space="preserve">replace </w:t>
      </w:r>
      <w:r w:rsidR="00852EE8" w:rsidRPr="00693A57">
        <w:rPr>
          <w:color w:val="0000FF"/>
        </w:rPr>
        <w:t>references to the accredited person’s CDR policy with references to the CDR principal’s CDR policy;</w:t>
      </w:r>
      <w:r w:rsidR="00FF16E1" w:rsidRPr="00693A57">
        <w:rPr>
          <w:color w:val="0000FF"/>
        </w:rPr>
        <w:t xml:space="preserve"> </w:t>
      </w:r>
    </w:p>
    <w:p w14:paraId="2AE3E732" w14:textId="74832181" w:rsidR="00852EE8" w:rsidRPr="00693A57" w:rsidRDefault="00B13F8B" w:rsidP="00852EE8">
      <w:pPr>
        <w:pStyle w:val="paragraph"/>
        <w:rPr>
          <w:color w:val="0000FF"/>
        </w:rPr>
      </w:pPr>
      <w:r w:rsidRPr="00693A57">
        <w:rPr>
          <w:color w:val="0000FF"/>
        </w:rPr>
        <w:tab/>
        <w:t>(f</w:t>
      </w:r>
      <w:r w:rsidR="00852EE8" w:rsidRPr="00693A57">
        <w:rPr>
          <w:color w:val="0000FF"/>
        </w:rPr>
        <w:t>)</w:t>
      </w:r>
      <w:r w:rsidR="00852EE8" w:rsidRPr="00693A57">
        <w:rPr>
          <w:color w:val="0000FF"/>
        </w:rPr>
        <w:tab/>
        <w:t xml:space="preserve">replace references to an outsourced service provider of the accredited person with references to an outsourced service provider of the CDR principal or of the </w:t>
      </w:r>
      <w:r w:rsidR="00182338" w:rsidRPr="00693A57">
        <w:rPr>
          <w:color w:val="0000FF"/>
        </w:rPr>
        <w:t>CDR representative</w:t>
      </w:r>
      <w:r w:rsidR="00852EE8" w:rsidRPr="00693A57">
        <w:rPr>
          <w:color w:val="0000FF"/>
        </w:rPr>
        <w:t xml:space="preserve">; </w:t>
      </w:r>
    </w:p>
    <w:p w14:paraId="59BAF4BA" w14:textId="29822196" w:rsidR="00B82440" w:rsidRPr="00693A57" w:rsidRDefault="00B82440" w:rsidP="00B82440">
      <w:pPr>
        <w:pStyle w:val="paragraph"/>
        <w:rPr>
          <w:color w:val="0000FF"/>
        </w:rPr>
      </w:pPr>
      <w:r w:rsidRPr="00693A57">
        <w:rPr>
          <w:color w:val="0000FF"/>
        </w:rPr>
        <w:tab/>
      </w:r>
      <w:r w:rsidR="00A670EA" w:rsidRPr="00693A57">
        <w:rPr>
          <w:color w:val="0000FF"/>
        </w:rPr>
        <w:t>(</w:t>
      </w:r>
      <w:r w:rsidR="00B13F8B" w:rsidRPr="00693A57">
        <w:rPr>
          <w:color w:val="0000FF"/>
        </w:rPr>
        <w:t>g</w:t>
      </w:r>
      <w:r w:rsidRPr="00693A57">
        <w:rPr>
          <w:color w:val="0000FF"/>
        </w:rPr>
        <w:t>)</w:t>
      </w:r>
      <w:r w:rsidRPr="00693A57">
        <w:rPr>
          <w:color w:val="0000FF"/>
        </w:rPr>
        <w:tab/>
        <w:t xml:space="preserve">replace subrule 4.11(1A) with the following: </w:t>
      </w:r>
    </w:p>
    <w:p w14:paraId="07288D43" w14:textId="7281D0FD" w:rsidR="00B82440" w:rsidRPr="00693A57" w:rsidRDefault="00B82440" w:rsidP="00B82440">
      <w:pPr>
        <w:pStyle w:val="paragraph"/>
        <w:rPr>
          <w:color w:val="0000FF"/>
        </w:rPr>
      </w:pPr>
      <w:r w:rsidRPr="00693A57">
        <w:rPr>
          <w:color w:val="0000FF"/>
        </w:rPr>
        <w:tab/>
      </w:r>
      <w:r w:rsidRPr="00693A57">
        <w:rPr>
          <w:color w:val="0000FF"/>
        </w:rPr>
        <w:tab/>
        <w:t xml:space="preserve">“(1A)  A </w:t>
      </w:r>
      <w:r w:rsidR="00182338" w:rsidRPr="00693A57">
        <w:rPr>
          <w:color w:val="0000FF"/>
        </w:rPr>
        <w:t>CDR representative</w:t>
      </w:r>
      <w:r w:rsidRPr="00693A57">
        <w:rPr>
          <w:color w:val="0000FF"/>
        </w:rPr>
        <w:t xml:space="preserve"> must not ask a CDR consumer to give a disclosure consent for disclosure of CDR data by the </w:t>
      </w:r>
      <w:r w:rsidR="00182338" w:rsidRPr="00693A57">
        <w:rPr>
          <w:color w:val="0000FF"/>
        </w:rPr>
        <w:t>CDR representative</w:t>
      </w:r>
      <w:r w:rsidRPr="00693A57">
        <w:rPr>
          <w:color w:val="0000FF"/>
        </w:rPr>
        <w:t xml:space="preserve"> unless the consumer has already given the collection and use consents required for the data to be collected by the CDR principal and disclosed to and used by </w:t>
      </w:r>
      <w:r w:rsidR="00182338" w:rsidRPr="00693A57">
        <w:rPr>
          <w:color w:val="0000FF"/>
        </w:rPr>
        <w:t>CDR representative</w:t>
      </w:r>
      <w:r w:rsidRPr="00693A57">
        <w:rPr>
          <w:color w:val="0000FF"/>
        </w:rPr>
        <w:t>.”</w:t>
      </w:r>
      <w:r w:rsidR="00171D2F" w:rsidRPr="00693A57">
        <w:rPr>
          <w:color w:val="0000FF"/>
        </w:rPr>
        <w:t>;</w:t>
      </w:r>
    </w:p>
    <w:p w14:paraId="62F22C5F" w14:textId="7A49C594" w:rsidR="00171D2F" w:rsidRPr="00693A57" w:rsidRDefault="007303FA" w:rsidP="00171D2F">
      <w:pPr>
        <w:pStyle w:val="paragraph"/>
        <w:rPr>
          <w:color w:val="0000FF"/>
        </w:rPr>
      </w:pPr>
      <w:r w:rsidRPr="00693A57">
        <w:rPr>
          <w:color w:val="0000FF"/>
        </w:rPr>
        <w:tab/>
        <w:t>(</w:t>
      </w:r>
      <w:r w:rsidR="00B13F8B" w:rsidRPr="00693A57">
        <w:rPr>
          <w:color w:val="0000FF"/>
        </w:rPr>
        <w:t>h</w:t>
      </w:r>
      <w:r w:rsidR="00171D2F" w:rsidRPr="00693A57">
        <w:rPr>
          <w:color w:val="0000FF"/>
        </w:rPr>
        <w:t>)</w:t>
      </w:r>
      <w:r w:rsidR="00171D2F" w:rsidRPr="00693A57">
        <w:rPr>
          <w:color w:val="0000FF"/>
        </w:rPr>
        <w:tab/>
        <w:t>omit paragraph 4.11(3)(b);</w:t>
      </w:r>
    </w:p>
    <w:p w14:paraId="6A7BA33F" w14:textId="247176C0" w:rsidR="00B86207" w:rsidRPr="00693A57" w:rsidRDefault="007303FA" w:rsidP="00171D2F">
      <w:pPr>
        <w:pStyle w:val="paragraph"/>
        <w:rPr>
          <w:color w:val="0000FF"/>
        </w:rPr>
      </w:pPr>
      <w:r w:rsidRPr="00693A57">
        <w:rPr>
          <w:color w:val="0000FF"/>
        </w:rPr>
        <w:tab/>
        <w:t>(</w:t>
      </w:r>
      <w:r w:rsidR="00B13F8B" w:rsidRPr="00693A57">
        <w:rPr>
          <w:color w:val="0000FF"/>
        </w:rPr>
        <w:t>i</w:t>
      </w:r>
      <w:r w:rsidR="00171D2F" w:rsidRPr="00693A57">
        <w:rPr>
          <w:color w:val="0000FF"/>
        </w:rPr>
        <w:t>)</w:t>
      </w:r>
      <w:r w:rsidR="00171D2F" w:rsidRPr="00693A57">
        <w:rPr>
          <w:color w:val="0000FF"/>
        </w:rPr>
        <w:tab/>
        <w:t>replace paragraph 4.11(3)(i) with the following:</w:t>
      </w:r>
    </w:p>
    <w:p w14:paraId="223347D6" w14:textId="77AC1498" w:rsidR="00171D2F" w:rsidRPr="00693A57" w:rsidRDefault="00171D2F" w:rsidP="00171D2F">
      <w:pPr>
        <w:pStyle w:val="paragraph"/>
        <w:rPr>
          <w:color w:val="0000FF"/>
        </w:rPr>
      </w:pPr>
      <w:r w:rsidRPr="00693A57">
        <w:rPr>
          <w:color w:val="0000FF"/>
        </w:rPr>
        <w:tab/>
      </w:r>
      <w:r w:rsidRPr="00693A57">
        <w:rPr>
          <w:color w:val="0000FF"/>
        </w:rPr>
        <w:tab/>
        <w:t>“(i)</w:t>
      </w:r>
      <w:r w:rsidRPr="00693A57">
        <w:rPr>
          <w:color w:val="0000FF"/>
        </w:rPr>
        <w:tab/>
        <w:t xml:space="preserve">the fact that the person is a </w:t>
      </w:r>
      <w:r w:rsidR="00182338" w:rsidRPr="00693A57">
        <w:rPr>
          <w:color w:val="0000FF"/>
        </w:rPr>
        <w:t>CDR representative</w:t>
      </w:r>
      <w:r w:rsidRPr="00693A57">
        <w:rPr>
          <w:color w:val="0000FF"/>
        </w:rPr>
        <w:t xml:space="preserve"> and that the CDR data will be collected by its CDR principal at its request;</w:t>
      </w:r>
    </w:p>
    <w:p w14:paraId="2C6DFD21" w14:textId="2FE2A9E2" w:rsidR="0009551E" w:rsidRPr="00693A57" w:rsidRDefault="0009551E" w:rsidP="0009551E">
      <w:pPr>
        <w:pStyle w:val="paragraphsub"/>
        <w:rPr>
          <w:color w:val="0000FF"/>
        </w:rPr>
      </w:pPr>
      <w:r w:rsidRPr="00693A57">
        <w:rPr>
          <w:color w:val="0000FF"/>
        </w:rPr>
        <w:tab/>
        <w:t>(j)</w:t>
      </w:r>
      <w:r w:rsidRPr="00693A57">
        <w:rPr>
          <w:color w:val="0000FF"/>
        </w:rPr>
        <w:tab/>
        <w:t xml:space="preserve">if the </w:t>
      </w:r>
      <w:r w:rsidR="00182338" w:rsidRPr="00693A57">
        <w:rPr>
          <w:color w:val="0000FF"/>
        </w:rPr>
        <w:t>CDR representative</w:t>
      </w:r>
      <w:r w:rsidRPr="00693A57">
        <w:rPr>
          <w:color w:val="0000FF"/>
        </w:rPr>
        <w:t xml:space="preserve"> is not located in Australia—the country in which it is located;</w:t>
      </w:r>
    </w:p>
    <w:p w14:paraId="4E5B84FB" w14:textId="048DA1EE" w:rsidR="00171D2F" w:rsidRPr="00693A57" w:rsidRDefault="00171D2F" w:rsidP="00171D2F">
      <w:pPr>
        <w:pStyle w:val="paragraphsub"/>
        <w:rPr>
          <w:color w:val="0000FF"/>
        </w:rPr>
      </w:pPr>
      <w:r w:rsidRPr="00693A57">
        <w:rPr>
          <w:color w:val="0000FF"/>
        </w:rPr>
        <w:tab/>
        <w:t>(</w:t>
      </w:r>
      <w:r w:rsidR="0009551E" w:rsidRPr="00693A57">
        <w:rPr>
          <w:color w:val="0000FF"/>
        </w:rPr>
        <w:t>k</w:t>
      </w:r>
      <w:r w:rsidRPr="00693A57">
        <w:rPr>
          <w:color w:val="0000FF"/>
        </w:rPr>
        <w:t>)</w:t>
      </w:r>
      <w:r w:rsidRPr="00693A57">
        <w:rPr>
          <w:color w:val="0000FF"/>
        </w:rPr>
        <w:tab/>
        <w:t>the principal’s name; and</w:t>
      </w:r>
    </w:p>
    <w:p w14:paraId="28096FF8" w14:textId="0BFFE2E8" w:rsidR="00171D2F" w:rsidRPr="00693A57" w:rsidRDefault="00171D2F" w:rsidP="00171D2F">
      <w:pPr>
        <w:pStyle w:val="paragraphsub"/>
        <w:rPr>
          <w:color w:val="0000FF"/>
        </w:rPr>
      </w:pPr>
      <w:r w:rsidRPr="00693A57">
        <w:rPr>
          <w:color w:val="0000FF"/>
        </w:rPr>
        <w:tab/>
        <w:t>(l)</w:t>
      </w:r>
      <w:r w:rsidRPr="00693A57">
        <w:rPr>
          <w:color w:val="0000FF"/>
        </w:rPr>
        <w:tab/>
        <w:t>the prinicpal’s accreditation number; and</w:t>
      </w:r>
    </w:p>
    <w:p w14:paraId="0D194E52" w14:textId="3BEB6B89" w:rsidR="00171D2F" w:rsidRPr="00693A57" w:rsidRDefault="00171D2F" w:rsidP="00171D2F">
      <w:pPr>
        <w:pStyle w:val="paragraphsub"/>
        <w:rPr>
          <w:color w:val="0000FF"/>
        </w:rPr>
      </w:pPr>
      <w:r w:rsidRPr="00693A57">
        <w:rPr>
          <w:color w:val="0000FF"/>
        </w:rPr>
        <w:tab/>
        <w:t>(m)</w:t>
      </w:r>
      <w:r w:rsidRPr="00693A57">
        <w:rPr>
          <w:color w:val="0000FF"/>
        </w:rPr>
        <w:tab/>
        <w:t>a link to the principal’s CDR policy; and</w:t>
      </w:r>
    </w:p>
    <w:p w14:paraId="1EDE4F5F" w14:textId="180994F1" w:rsidR="00171D2F" w:rsidRPr="00693A57" w:rsidRDefault="00171D2F" w:rsidP="00171D2F">
      <w:pPr>
        <w:pStyle w:val="paragraphsub"/>
        <w:rPr>
          <w:color w:val="0000FF"/>
        </w:rPr>
      </w:pPr>
      <w:r w:rsidRPr="00693A57">
        <w:rPr>
          <w:color w:val="0000FF"/>
        </w:rPr>
        <w:tab/>
        <w:t>(n)</w:t>
      </w:r>
      <w:r w:rsidRPr="00693A57">
        <w:rPr>
          <w:color w:val="0000FF"/>
        </w:rPr>
        <w:tab/>
        <w:t>a statement that the CDR consumer can obtain further information about such collections or disclosures from the principal’s CDR policy if desired.”;</w:t>
      </w:r>
    </w:p>
    <w:p w14:paraId="44D6D993" w14:textId="0E4A06FC" w:rsidR="00171D2F" w:rsidRPr="00693A57" w:rsidRDefault="00171D2F" w:rsidP="00171D2F">
      <w:pPr>
        <w:pStyle w:val="paragraph"/>
        <w:rPr>
          <w:color w:val="0000FF"/>
        </w:rPr>
      </w:pPr>
      <w:r w:rsidRPr="00693A57">
        <w:rPr>
          <w:color w:val="0000FF"/>
        </w:rPr>
        <w:tab/>
        <w:t>(</w:t>
      </w:r>
      <w:r w:rsidR="00B13F8B" w:rsidRPr="00693A57">
        <w:rPr>
          <w:color w:val="0000FF"/>
        </w:rPr>
        <w:t>j</w:t>
      </w:r>
      <w:r w:rsidRPr="00693A57">
        <w:rPr>
          <w:color w:val="0000FF"/>
        </w:rPr>
        <w:t>)</w:t>
      </w:r>
      <w:r w:rsidRPr="00693A57">
        <w:rPr>
          <w:color w:val="0000FF"/>
        </w:rPr>
        <w:tab/>
        <w:t>replace subrules 4.14(1C) and (2) with the following:</w:t>
      </w:r>
    </w:p>
    <w:p w14:paraId="1FD9BA83" w14:textId="70E9BCE7" w:rsidR="00171D2F" w:rsidRPr="00693A57" w:rsidRDefault="00171D2F" w:rsidP="00171D2F">
      <w:pPr>
        <w:pStyle w:val="paragraph"/>
        <w:rPr>
          <w:color w:val="0000FF"/>
        </w:rPr>
      </w:pPr>
      <w:r w:rsidRPr="00693A57">
        <w:rPr>
          <w:color w:val="0000FF"/>
        </w:rPr>
        <w:tab/>
      </w:r>
      <w:r w:rsidRPr="00693A57">
        <w:rPr>
          <w:color w:val="0000FF"/>
        </w:rPr>
        <w:tab/>
        <w:t xml:space="preserve">“(1C)  If a CDR principal becomes a data holder, rather than an accredited data recipient, of particular CDR data as a result of subsection 56AJ(4) of the Act, all of the </w:t>
      </w:r>
      <w:r w:rsidR="00182338" w:rsidRPr="00693A57">
        <w:rPr>
          <w:color w:val="0000FF"/>
        </w:rPr>
        <w:t>CDR representative</w:t>
      </w:r>
      <w:r w:rsidRPr="00693A57">
        <w:rPr>
          <w:color w:val="0000FF"/>
        </w:rPr>
        <w:t>’s consents given under these rules that relate to that CDR data expire.</w:t>
      </w:r>
    </w:p>
    <w:p w14:paraId="15C9D14D" w14:textId="049901AD" w:rsidR="00171D2F" w:rsidRPr="00693A57" w:rsidRDefault="00171D2F" w:rsidP="00171D2F">
      <w:pPr>
        <w:pStyle w:val="paragraph"/>
        <w:rPr>
          <w:color w:val="0000FF"/>
        </w:rPr>
      </w:pPr>
      <w:r w:rsidRPr="00693A57">
        <w:rPr>
          <w:color w:val="0000FF"/>
        </w:rPr>
        <w:tab/>
      </w:r>
      <w:r w:rsidRPr="00693A57">
        <w:rPr>
          <w:color w:val="0000FF"/>
        </w:rPr>
        <w:tab/>
        <w:t xml:space="preserve">“(2)  If a CDR principal’s accreditation is revoked or surrendered in accordance with rule 5.17, all of the consents of any </w:t>
      </w:r>
      <w:r w:rsidR="00182338" w:rsidRPr="00693A57">
        <w:rPr>
          <w:color w:val="0000FF"/>
        </w:rPr>
        <w:t>CDR representative</w:t>
      </w:r>
      <w:r w:rsidRPr="00693A57">
        <w:rPr>
          <w:color w:val="0000FF"/>
        </w:rPr>
        <w:t xml:space="preserve"> expire when the revocation or surrender takes effect.”</w:t>
      </w:r>
      <w:r w:rsidR="00A670EA" w:rsidRPr="00693A57">
        <w:rPr>
          <w:color w:val="0000FF"/>
        </w:rPr>
        <w:t>;</w:t>
      </w:r>
    </w:p>
    <w:p w14:paraId="42F410BD" w14:textId="5312636B" w:rsidR="00D22C3C" w:rsidRPr="00693A57" w:rsidRDefault="007303FA" w:rsidP="00D22C3C">
      <w:pPr>
        <w:pStyle w:val="paragraph"/>
        <w:rPr>
          <w:color w:val="0000FF"/>
        </w:rPr>
      </w:pPr>
      <w:r w:rsidRPr="00693A57">
        <w:rPr>
          <w:color w:val="0000FF"/>
        </w:rPr>
        <w:tab/>
        <w:t>(</w:t>
      </w:r>
      <w:r w:rsidR="00B13F8B" w:rsidRPr="00693A57">
        <w:rPr>
          <w:color w:val="0000FF"/>
        </w:rPr>
        <w:t>k</w:t>
      </w:r>
      <w:r w:rsidR="00D22C3C" w:rsidRPr="00693A57">
        <w:rPr>
          <w:color w:val="0000FF"/>
        </w:rPr>
        <w:t>)</w:t>
      </w:r>
      <w:r w:rsidR="00D22C3C" w:rsidRPr="00693A57">
        <w:rPr>
          <w:color w:val="0000FF"/>
        </w:rPr>
        <w:tab/>
        <w:t>replace subrules 4.16(2) and (3) with the following:</w:t>
      </w:r>
    </w:p>
    <w:p w14:paraId="42346110" w14:textId="32EE7BC2" w:rsidR="00D22C3C" w:rsidRPr="00693A57" w:rsidRDefault="00D22C3C" w:rsidP="00D22C3C">
      <w:pPr>
        <w:pStyle w:val="paragraph"/>
        <w:rPr>
          <w:color w:val="0000FF"/>
        </w:rPr>
      </w:pPr>
      <w:r w:rsidRPr="00693A57">
        <w:rPr>
          <w:color w:val="0000FF"/>
        </w:rPr>
        <w:tab/>
      </w:r>
      <w:r w:rsidRPr="00693A57">
        <w:rPr>
          <w:color w:val="0000FF"/>
        </w:rPr>
        <w:tab/>
        <w:t>“(2)</w:t>
      </w:r>
      <w:r w:rsidRPr="00693A57">
        <w:rPr>
          <w:color w:val="0000FF"/>
        </w:rPr>
        <w:tab/>
        <w:t xml:space="preserve">The CDR consumer may make the election: </w:t>
      </w:r>
    </w:p>
    <w:p w14:paraId="6E7C70E3" w14:textId="03C05657" w:rsidR="00D22C3C" w:rsidRPr="00693A57" w:rsidRDefault="00D22C3C" w:rsidP="00D22C3C">
      <w:pPr>
        <w:pStyle w:val="paragraphsub-sub"/>
        <w:rPr>
          <w:color w:val="0000FF"/>
        </w:rPr>
      </w:pPr>
      <w:r w:rsidRPr="00693A57">
        <w:rPr>
          <w:color w:val="0000FF"/>
        </w:rPr>
        <w:tab/>
        <w:t>(a)</w:t>
      </w:r>
      <w:r w:rsidRPr="00693A57">
        <w:rPr>
          <w:color w:val="0000FF"/>
        </w:rPr>
        <w:tab/>
        <w:t xml:space="preserve">by communicating it to the CDR principal or </w:t>
      </w:r>
      <w:r w:rsidR="00182338" w:rsidRPr="00693A57">
        <w:rPr>
          <w:color w:val="0000FF"/>
        </w:rPr>
        <w:t>CDR representative</w:t>
      </w:r>
      <w:r w:rsidRPr="00693A57">
        <w:rPr>
          <w:color w:val="0000FF"/>
        </w:rPr>
        <w:t xml:space="preserve"> in writing; or</w:t>
      </w:r>
    </w:p>
    <w:p w14:paraId="370398A5" w14:textId="16913ED3" w:rsidR="00D22C3C" w:rsidRPr="00693A57" w:rsidRDefault="00D22C3C" w:rsidP="00D22C3C">
      <w:pPr>
        <w:pStyle w:val="paragraphsub-sub"/>
        <w:rPr>
          <w:color w:val="0000FF"/>
        </w:rPr>
      </w:pPr>
      <w:r w:rsidRPr="00693A57">
        <w:rPr>
          <w:color w:val="0000FF"/>
        </w:rPr>
        <w:tab/>
        <w:t>(b)</w:t>
      </w:r>
      <w:r w:rsidRPr="00693A57">
        <w:rPr>
          <w:color w:val="0000FF"/>
        </w:rPr>
        <w:tab/>
        <w:t>by using the CDR principal’s consumer dashboard.</w:t>
      </w:r>
    </w:p>
    <w:p w14:paraId="62D725BD" w14:textId="5E64040B" w:rsidR="00D22C3C" w:rsidRPr="00693A57" w:rsidRDefault="00D22C3C" w:rsidP="00D22C3C">
      <w:pPr>
        <w:pStyle w:val="paragraphsub"/>
        <w:rPr>
          <w:color w:val="0000FF"/>
        </w:rPr>
      </w:pPr>
      <w:r w:rsidRPr="00693A57">
        <w:rPr>
          <w:color w:val="0000FF"/>
        </w:rPr>
        <w:tab/>
        <w:t>(3)</w:t>
      </w:r>
      <w:r w:rsidRPr="00693A57">
        <w:rPr>
          <w:color w:val="0000FF"/>
        </w:rPr>
        <w:tab/>
        <w:t xml:space="preserve">This rule does not apply if, when seeking the consent, the </w:t>
      </w:r>
      <w:r w:rsidR="00182338" w:rsidRPr="00693A57">
        <w:rPr>
          <w:color w:val="0000FF"/>
        </w:rPr>
        <w:t>CDR representative</w:t>
      </w:r>
      <w:r w:rsidRPr="00693A57">
        <w:rPr>
          <w:color w:val="0000FF"/>
        </w:rPr>
        <w:t xml:space="preserve"> informs the CDR consumer that they and the CDR </w:t>
      </w:r>
      <w:r w:rsidRPr="00693A57">
        <w:rPr>
          <w:color w:val="0000FF"/>
        </w:rPr>
        <w:lastRenderedPageBreak/>
        <w:t>principal have a general policy of deleting CDR data when it becomes redundant data.”;</w:t>
      </w:r>
    </w:p>
    <w:p w14:paraId="7431976B" w14:textId="6A764D3B" w:rsidR="00A670EA" w:rsidRPr="00693A57" w:rsidRDefault="001D0808" w:rsidP="001D0808">
      <w:pPr>
        <w:pStyle w:val="paragraph"/>
        <w:rPr>
          <w:color w:val="0000FF"/>
        </w:rPr>
      </w:pPr>
      <w:r w:rsidRPr="00693A57">
        <w:rPr>
          <w:color w:val="0000FF"/>
        </w:rPr>
        <w:tab/>
      </w:r>
      <w:r w:rsidR="00D22C3C" w:rsidRPr="00693A57">
        <w:rPr>
          <w:color w:val="0000FF"/>
        </w:rPr>
        <w:t>(</w:t>
      </w:r>
      <w:r w:rsidR="00B13F8B" w:rsidRPr="00693A57">
        <w:rPr>
          <w:color w:val="0000FF"/>
        </w:rPr>
        <w:t>l</w:t>
      </w:r>
      <w:r w:rsidR="00A670EA" w:rsidRPr="00693A57">
        <w:rPr>
          <w:color w:val="0000FF"/>
        </w:rPr>
        <w:t>)</w:t>
      </w:r>
      <w:r w:rsidR="00A670EA" w:rsidRPr="00693A57">
        <w:rPr>
          <w:color w:val="0000FF"/>
        </w:rPr>
        <w:tab/>
        <w:t>add the fol</w:t>
      </w:r>
      <w:r w:rsidRPr="00693A57">
        <w:rPr>
          <w:color w:val="0000FF"/>
        </w:rPr>
        <w:t>lowing rule to Subdivision 4.3.5</w:t>
      </w:r>
      <w:r w:rsidR="00A670EA" w:rsidRPr="00693A57">
        <w:rPr>
          <w:color w:val="0000FF"/>
        </w:rPr>
        <w:t>:</w:t>
      </w:r>
    </w:p>
    <w:p w14:paraId="205B2300" w14:textId="09C57C61" w:rsidR="00A670EA" w:rsidRPr="00693A57" w:rsidRDefault="00A670EA" w:rsidP="00171D2F">
      <w:pPr>
        <w:pStyle w:val="paragraph"/>
        <w:rPr>
          <w:b/>
          <w:i/>
          <w:color w:val="0000FF"/>
        </w:rPr>
      </w:pPr>
      <w:r w:rsidRPr="00693A57">
        <w:rPr>
          <w:color w:val="0000FF"/>
        </w:rPr>
        <w:tab/>
      </w:r>
      <w:r w:rsidRPr="00693A57">
        <w:rPr>
          <w:color w:val="0000FF"/>
        </w:rPr>
        <w:tab/>
        <w:t>“</w:t>
      </w:r>
      <w:r w:rsidR="0009551E" w:rsidRPr="00693A57">
        <w:rPr>
          <w:b/>
          <w:i/>
          <w:color w:val="0000FF"/>
        </w:rPr>
        <w:t xml:space="preserve">4.20A  </w:t>
      </w:r>
      <w:r w:rsidRPr="00693A57">
        <w:rPr>
          <w:b/>
          <w:i/>
          <w:color w:val="0000FF"/>
        </w:rPr>
        <w:t xml:space="preserve">Application of subdivision to CDR principal and </w:t>
      </w:r>
      <w:r w:rsidR="00182338" w:rsidRPr="00693A57">
        <w:rPr>
          <w:b/>
          <w:i/>
          <w:color w:val="0000FF"/>
        </w:rPr>
        <w:t>CDR representative</w:t>
      </w:r>
    </w:p>
    <w:p w14:paraId="6CA7E8ED" w14:textId="0656E4E5" w:rsidR="00A670EA" w:rsidRPr="00693A57" w:rsidRDefault="00A670EA" w:rsidP="00171D2F">
      <w:pPr>
        <w:pStyle w:val="paragraph"/>
        <w:rPr>
          <w:color w:val="0000FF"/>
        </w:rPr>
      </w:pPr>
      <w:r w:rsidRPr="00693A57">
        <w:rPr>
          <w:color w:val="0000FF"/>
        </w:rPr>
        <w:tab/>
      </w:r>
      <w:r w:rsidRPr="00693A57">
        <w:rPr>
          <w:color w:val="0000FF"/>
        </w:rPr>
        <w:tab/>
      </w:r>
      <w:r w:rsidR="0009551E" w:rsidRPr="00693A57">
        <w:rPr>
          <w:color w:val="0000FF"/>
        </w:rPr>
        <w:t xml:space="preserve">Where an accredited person who is a CDR principal is required under this subdivision to give a notice to a CDR consumer in relation to a consumer data request made at the request of a </w:t>
      </w:r>
      <w:r w:rsidR="00182338" w:rsidRPr="00693A57">
        <w:rPr>
          <w:color w:val="0000FF"/>
        </w:rPr>
        <w:t>CDR representative</w:t>
      </w:r>
      <w:r w:rsidR="0009551E" w:rsidRPr="00693A57">
        <w:rPr>
          <w:color w:val="0000FF"/>
        </w:rPr>
        <w:t xml:space="preserve">, the notice may be given through the </w:t>
      </w:r>
      <w:r w:rsidR="00182338" w:rsidRPr="00693A57">
        <w:rPr>
          <w:color w:val="0000FF"/>
        </w:rPr>
        <w:t>CDR representative</w:t>
      </w:r>
      <w:r w:rsidR="0009551E" w:rsidRPr="00693A57">
        <w:rPr>
          <w:color w:val="0000FF"/>
        </w:rPr>
        <w:t>.”.</w:t>
      </w:r>
    </w:p>
    <w:p w14:paraId="2829D3E0" w14:textId="0F721DA2" w:rsidR="00B86207" w:rsidRPr="00693A57" w:rsidRDefault="00D60816" w:rsidP="00CF0E3D">
      <w:pPr>
        <w:pStyle w:val="notetext"/>
        <w:rPr>
          <w:color w:val="0000FF"/>
        </w:rPr>
      </w:pPr>
      <w:r w:rsidRPr="00693A57">
        <w:rPr>
          <w:color w:val="0000FF"/>
        </w:rPr>
        <w:t>Note:</w:t>
      </w:r>
      <w:r w:rsidRPr="00693A57">
        <w:rPr>
          <w:color w:val="0000FF"/>
        </w:rPr>
        <w:tab/>
        <w:t>This rule is a civil pe</w:t>
      </w:r>
      <w:r w:rsidR="00D936FC" w:rsidRPr="00693A57">
        <w:rPr>
          <w:color w:val="0000FF"/>
        </w:rPr>
        <w:t>nalty provision (see rule 9.8).</w:t>
      </w:r>
    </w:p>
    <w:p w14:paraId="64077F33" w14:textId="77777777" w:rsidR="00CF0E3D" w:rsidRPr="00ED4F4B" w:rsidRDefault="00CF0E3D" w:rsidP="00CF0E3D">
      <w:pPr>
        <w:pStyle w:val="ActHead4"/>
      </w:pPr>
      <w:bookmarkStart w:id="133" w:name="_Toc50114024"/>
      <w:bookmarkStart w:id="134" w:name="_Toc57219015"/>
      <w:bookmarkStart w:id="135" w:name="_Toc59549129"/>
      <w:bookmarkStart w:id="136" w:name="_Toc77064878"/>
      <w:r w:rsidRPr="00ED4F4B">
        <w:t xml:space="preserve">Subdivision </w:t>
      </w:r>
      <w:bookmarkStart w:id="137" w:name="_Toc50633070"/>
      <w:r w:rsidRPr="00ED4F4B">
        <w:t>4.2.3—Consumer data requests by accredited persons</w:t>
      </w:r>
      <w:bookmarkEnd w:id="137"/>
      <w:r w:rsidRPr="00ED4F4B">
        <w:t xml:space="preserve"> to data holders</w:t>
      </w:r>
      <w:bookmarkEnd w:id="133"/>
      <w:bookmarkEnd w:id="134"/>
      <w:bookmarkEnd w:id="135"/>
      <w:bookmarkEnd w:id="136"/>
    </w:p>
    <w:p w14:paraId="0EA7ACFC" w14:textId="77777777" w:rsidR="00CF0E3D" w:rsidRPr="000639C3" w:rsidRDefault="00CF0E3D" w:rsidP="00CF0E3D">
      <w:pPr>
        <w:pStyle w:val="ActHead5"/>
      </w:pPr>
      <w:bookmarkStart w:id="138" w:name="_Toc50114025"/>
      <w:bookmarkStart w:id="139" w:name="_Toc57219016"/>
      <w:bookmarkStart w:id="140" w:name="_Toc59549130"/>
      <w:bookmarkStart w:id="141" w:name="_Toc77064879"/>
      <w:r w:rsidRPr="00ED4F4B">
        <w:t>4.4  Consumer data request by accredited person to data holder</w:t>
      </w:r>
      <w:bookmarkEnd w:id="138"/>
      <w:bookmarkEnd w:id="139"/>
      <w:bookmarkEnd w:id="140"/>
      <w:bookmarkEnd w:id="141"/>
    </w:p>
    <w:p w14:paraId="51A3F0C6" w14:textId="77777777" w:rsidR="00CF0E3D" w:rsidRPr="00ED4F4B" w:rsidRDefault="00CF0E3D" w:rsidP="00CF0E3D">
      <w:pPr>
        <w:pStyle w:val="subsection"/>
      </w:pPr>
      <w:r w:rsidRPr="00ED4F4B">
        <w:tab/>
        <w:t>(1)</w:t>
      </w:r>
      <w:r w:rsidRPr="00ED4F4B">
        <w:tab/>
        <w:t>If:</w:t>
      </w:r>
    </w:p>
    <w:p w14:paraId="1958C2BC" w14:textId="000C9F35" w:rsidR="00CF0E3D" w:rsidRPr="00ED4F4B" w:rsidRDefault="00CF0E3D" w:rsidP="00CF0E3D">
      <w:pPr>
        <w:pStyle w:val="paragraph"/>
      </w:pPr>
      <w:r w:rsidRPr="00ED4F4B">
        <w:tab/>
        <w:t>(a)</w:t>
      </w:r>
      <w:r w:rsidRPr="00ED4F4B">
        <w:tab/>
        <w:t xml:space="preserve">a CDR consumer has given an accredited person a request under rule 4.3 </w:t>
      </w:r>
      <w:r w:rsidR="00A670EA" w:rsidRPr="00693A57">
        <w:rPr>
          <w:color w:val="0000FF"/>
        </w:rPr>
        <w:t xml:space="preserve">or 4.3A </w:t>
      </w:r>
      <w:r w:rsidRPr="00ED4F4B">
        <w:t>to seek to collect CDR data from a data holder; and</w:t>
      </w:r>
    </w:p>
    <w:p w14:paraId="7D3361DD" w14:textId="77777777" w:rsidR="00CF0E3D" w:rsidRPr="00ED4F4B" w:rsidRDefault="00CF0E3D" w:rsidP="00CF0E3D">
      <w:pPr>
        <w:pStyle w:val="paragraph"/>
      </w:pPr>
      <w:r w:rsidRPr="00ED4F4B">
        <w:tab/>
        <w:t>(b)</w:t>
      </w:r>
      <w:r w:rsidRPr="00ED4F4B">
        <w:tab/>
        <w:t>the request is valid;</w:t>
      </w:r>
    </w:p>
    <w:p w14:paraId="373E44A3" w14:textId="77777777" w:rsidR="00CF0E3D" w:rsidRPr="00ED4F4B" w:rsidRDefault="00CF0E3D" w:rsidP="00CF0E3D">
      <w:pPr>
        <w:pStyle w:val="subsection"/>
        <w:spacing w:before="40"/>
      </w:pPr>
      <w:r w:rsidRPr="00ED4F4B">
        <w:tab/>
      </w:r>
      <w:r w:rsidRPr="00ED4F4B">
        <w:tab/>
        <w:t>the accredited person may request the data holder to disclose, to the accredited person, some or all of the CDR data that:</w:t>
      </w:r>
    </w:p>
    <w:p w14:paraId="6ADBE3AD" w14:textId="77777777" w:rsidR="00CF0E3D" w:rsidRPr="00ED4F4B" w:rsidRDefault="00CF0E3D" w:rsidP="00CF0E3D">
      <w:pPr>
        <w:pStyle w:val="paragraph"/>
      </w:pPr>
      <w:r w:rsidRPr="00ED4F4B">
        <w:tab/>
        <w:t>(c)</w:t>
      </w:r>
      <w:r w:rsidRPr="00ED4F4B">
        <w:tab/>
        <w:t>is the subject of the relevant collection consent and use consent; and</w:t>
      </w:r>
    </w:p>
    <w:p w14:paraId="10BA421C" w14:textId="77777777" w:rsidR="00CF0E3D" w:rsidRPr="00ED4F4B" w:rsidRDefault="00CF0E3D" w:rsidP="00CF0E3D">
      <w:pPr>
        <w:pStyle w:val="paragraph"/>
      </w:pPr>
      <w:r w:rsidRPr="00ED4F4B">
        <w:tab/>
        <w:t>(d)</w:t>
      </w:r>
      <w:r w:rsidRPr="00ED4F4B">
        <w:tab/>
        <w:t>it is able to collect and use in compliance with the data minimisation principle.</w:t>
      </w:r>
    </w:p>
    <w:p w14:paraId="5486F321" w14:textId="77777777" w:rsidR="00CF0E3D" w:rsidRPr="00ED4F4B" w:rsidRDefault="00CF0E3D" w:rsidP="00CF0E3D">
      <w:pPr>
        <w:pStyle w:val="notetext"/>
      </w:pPr>
      <w:r w:rsidRPr="00ED4F4B">
        <w:t>Note:</w:t>
      </w:r>
      <w:r w:rsidRPr="00ED4F4B">
        <w:tab/>
        <w:t>See rule 1.8 for the definition of the “data minimisation principle”.</w:t>
      </w:r>
    </w:p>
    <w:p w14:paraId="582A135A" w14:textId="77777777" w:rsidR="00CF0E3D" w:rsidRPr="00ED4F4B" w:rsidRDefault="00CF0E3D" w:rsidP="00CF0E3D">
      <w:pPr>
        <w:pStyle w:val="subsection"/>
      </w:pPr>
      <w:r w:rsidRPr="00ED4F4B">
        <w:tab/>
        <w:t>(2)</w:t>
      </w:r>
      <w:r w:rsidRPr="00ED4F4B">
        <w:tab/>
        <w:t xml:space="preserve">Such a request is a </w:t>
      </w:r>
      <w:r w:rsidRPr="00ED4F4B">
        <w:rPr>
          <w:b/>
          <w:i/>
        </w:rPr>
        <w:t xml:space="preserve">consumer data request </w:t>
      </w:r>
      <w:r w:rsidRPr="00ED4F4B">
        <w:t>by an accredited person to a data holder on behalf of a CDR consumer.</w:t>
      </w:r>
    </w:p>
    <w:p w14:paraId="61353FC8" w14:textId="77777777" w:rsidR="00CF0E3D" w:rsidRDefault="00CF0E3D" w:rsidP="00CF0E3D">
      <w:pPr>
        <w:pStyle w:val="notetext"/>
      </w:pPr>
      <w:r w:rsidRPr="00ED4F4B">
        <w:t>Note 1:</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52DCBE90" w14:textId="77777777" w:rsidR="00CF0E3D" w:rsidRPr="00ED4F4B" w:rsidRDefault="00CF0E3D" w:rsidP="00CF0E3D">
      <w:pPr>
        <w:pStyle w:val="notetext"/>
      </w:pPr>
      <w:r w:rsidRPr="00ED4F4B">
        <w:t>Note 2:</w:t>
      </w:r>
      <w:r w:rsidRPr="00ED4F4B">
        <w:tab/>
        <w:t>These rules will progressively permit consumer data requests to be made in relation to CDR data held by a broader range of data holders within the banking sector, and in relation to a broader range of CDR data, according to the timetable set out in Part 6 of Schedule 3.</w:t>
      </w:r>
    </w:p>
    <w:p w14:paraId="79876B28" w14:textId="77777777" w:rsidR="00CF0E3D" w:rsidRPr="00ED4F4B" w:rsidRDefault="00CF0E3D" w:rsidP="00CF0E3D">
      <w:pPr>
        <w:pStyle w:val="subsection"/>
      </w:pPr>
      <w:r w:rsidRPr="00ED4F4B">
        <w:rPr>
          <w:szCs w:val="22"/>
        </w:rPr>
        <w:tab/>
      </w:r>
      <w:r w:rsidRPr="00ED4F4B">
        <w:t>(3)</w:t>
      </w:r>
      <w:r w:rsidRPr="00ED4F4B">
        <w:rPr>
          <w:szCs w:val="22"/>
        </w:rPr>
        <w:tab/>
      </w:r>
      <w:r w:rsidRPr="00ED4F4B">
        <w:t>An accredited person must, if it makes a consumer data request under this Subdivision, make the request</w:t>
      </w:r>
      <w:r w:rsidRPr="00ED4F4B">
        <w:rPr>
          <w:szCs w:val="22"/>
        </w:rPr>
        <w:t>:</w:t>
      </w:r>
    </w:p>
    <w:p w14:paraId="5B26DD5C" w14:textId="77777777" w:rsidR="00CF0E3D" w:rsidRPr="00F07699" w:rsidRDefault="00CF0E3D" w:rsidP="00CF0E3D">
      <w:pPr>
        <w:pStyle w:val="paragraph"/>
        <w:rPr>
          <w:szCs w:val="22"/>
        </w:rPr>
      </w:pPr>
      <w:r w:rsidRPr="00F07699">
        <w:tab/>
        <w:t>(a)</w:t>
      </w:r>
      <w:r w:rsidRPr="00F07699">
        <w:tab/>
        <w:t>using the data holder’s accredited person</w:t>
      </w:r>
      <w:r w:rsidRPr="00F07699">
        <w:rPr>
          <w:b/>
          <w:bCs/>
          <w:i/>
          <w:iCs/>
        </w:rPr>
        <w:t xml:space="preserve"> </w:t>
      </w:r>
      <w:r w:rsidRPr="00F07699">
        <w:t>request service; and</w:t>
      </w:r>
    </w:p>
    <w:p w14:paraId="7D06E7C3" w14:textId="77777777" w:rsidR="00CF0E3D" w:rsidRPr="00F07699" w:rsidRDefault="00CF0E3D" w:rsidP="00CF0E3D">
      <w:pPr>
        <w:pStyle w:val="paragraph"/>
      </w:pPr>
      <w:r w:rsidRPr="00F07699">
        <w:tab/>
        <w:t>(b)</w:t>
      </w:r>
      <w:r w:rsidRPr="00F07699">
        <w:tab/>
        <w:t>in accordance with the data standards.</w:t>
      </w:r>
    </w:p>
    <w:p w14:paraId="0CF61FC6" w14:textId="77777777" w:rsidR="00CF0E3D" w:rsidRPr="00F07699" w:rsidRDefault="00CF0E3D" w:rsidP="00CF0E3D">
      <w:pPr>
        <w:pStyle w:val="notetext"/>
      </w:pPr>
      <w:r w:rsidRPr="00F07699">
        <w:t>Note 1:</w:t>
      </w:r>
      <w:r w:rsidRPr="00F07699">
        <w:tab/>
        <w:t>A data holder cannot charge an accredited person a fee for making a consumer data request in relation to required consumer data.</w:t>
      </w:r>
    </w:p>
    <w:p w14:paraId="592DB330" w14:textId="77777777" w:rsidR="00CF0E3D" w:rsidRDefault="00CF0E3D" w:rsidP="00CF0E3D">
      <w:pPr>
        <w:pStyle w:val="notetext"/>
      </w:pPr>
      <w:r w:rsidRPr="00F07699">
        <w:t>Note 2:</w:t>
      </w:r>
      <w:r w:rsidRPr="00F07699">
        <w:tab/>
        <w:t>This sub</w:t>
      </w:r>
      <w:r w:rsidRPr="004F7FBE">
        <w:t>rule is a civil penalty provision (see rule 9.8).</w:t>
      </w:r>
    </w:p>
    <w:p w14:paraId="4940247C" w14:textId="3F4B3482" w:rsidR="00CF0E3D" w:rsidRPr="007C39E2" w:rsidRDefault="00CF0E3D" w:rsidP="00CF0E3D">
      <w:pPr>
        <w:pStyle w:val="ActHead5"/>
      </w:pPr>
      <w:bookmarkStart w:id="142" w:name="_Toc11771601"/>
      <w:bookmarkStart w:id="143" w:name="_Toc77064880"/>
      <w:bookmarkEnd w:id="121"/>
      <w:r>
        <w:lastRenderedPageBreak/>
        <w:t>4.5</w:t>
      </w:r>
      <w:r w:rsidRPr="00B24FE2">
        <w:t xml:space="preserve">  Data holder must </w:t>
      </w:r>
      <w:r>
        <w:t xml:space="preserve">ask </w:t>
      </w:r>
      <w:r w:rsidRPr="007C39E2">
        <w:t>eligible CDR consumer to authorise disclosure</w:t>
      </w:r>
      <w:bookmarkEnd w:id="142"/>
      <w:bookmarkEnd w:id="143"/>
    </w:p>
    <w:p w14:paraId="3CC4800A"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(1)</w:t>
      </w:r>
      <w:r w:rsidRPr="00464C22">
        <w:rPr>
          <w:color w:val="000000" w:themeColor="text1"/>
        </w:rPr>
        <w:tab/>
        <w:t>This rule applies if:</w:t>
      </w:r>
    </w:p>
    <w:p w14:paraId="5970D50D"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 xml:space="preserve">a data holder receives a consumer data request under </w:t>
      </w:r>
      <w:r>
        <w:rPr>
          <w:color w:val="000000" w:themeColor="text1"/>
        </w:rPr>
        <w:t>rule 4.4</w:t>
      </w:r>
      <w:r w:rsidRPr="00464C22">
        <w:rPr>
          <w:color w:val="000000" w:themeColor="text1"/>
        </w:rPr>
        <w:t>; and</w:t>
      </w:r>
    </w:p>
    <w:p w14:paraId="58AA3042"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there is no current authorisation for the data holder to disclose the requested data to the person who made the request; and</w:t>
      </w:r>
    </w:p>
    <w:p w14:paraId="140A3A55"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(c)</w:t>
      </w:r>
      <w:r w:rsidRPr="00464C22">
        <w:rPr>
          <w:color w:val="000000" w:themeColor="text1"/>
        </w:rPr>
        <w:tab/>
        <w:t>the data holder reasonably believes that the request was made by an accredited person on behalf of an eligible CDR consumer.</w:t>
      </w:r>
    </w:p>
    <w:p w14:paraId="296658E3" w14:textId="77777777" w:rsidR="001D018F" w:rsidRPr="00693A57" w:rsidRDefault="001D018F" w:rsidP="001D018F">
      <w:pPr>
        <w:pStyle w:val="notetext"/>
        <w:rPr>
          <w:color w:val="FF0000"/>
        </w:rPr>
      </w:pPr>
      <w:r w:rsidRPr="00693A57">
        <w:rPr>
          <w:color w:val="FF0000"/>
        </w:rPr>
        <w:t xml:space="preserve">Note: </w:t>
      </w:r>
      <w:r w:rsidRPr="00693A57">
        <w:rPr>
          <w:color w:val="FF0000"/>
        </w:rPr>
        <w:tab/>
        <w:t>See rule 1.7 for the meaning of “eligible”.  See also:</w:t>
      </w:r>
    </w:p>
    <w:p w14:paraId="566CCC6A" w14:textId="77777777" w:rsidR="001D018F" w:rsidRPr="00693A57" w:rsidRDefault="001D018F" w:rsidP="001D018F">
      <w:pPr>
        <w:pStyle w:val="notepara"/>
        <w:numPr>
          <w:ilvl w:val="0"/>
          <w:numId w:val="11"/>
        </w:numPr>
        <w:rPr>
          <w:color w:val="FF0000"/>
        </w:rPr>
      </w:pPr>
      <w:r w:rsidRPr="00693A57">
        <w:rPr>
          <w:color w:val="FF0000"/>
        </w:rPr>
        <w:t>for the banking sector—clause 2.1 of Schedule 3;</w:t>
      </w:r>
    </w:p>
    <w:p w14:paraId="26EAD115" w14:textId="5E0122B5" w:rsidR="001D018F" w:rsidRPr="00693A57" w:rsidRDefault="001D018F" w:rsidP="001D018F">
      <w:pPr>
        <w:pStyle w:val="notepara"/>
        <w:numPr>
          <w:ilvl w:val="0"/>
          <w:numId w:val="11"/>
        </w:numPr>
        <w:rPr>
          <w:color w:val="FF0000"/>
        </w:rPr>
      </w:pPr>
      <w:r w:rsidRPr="00693A57">
        <w:rPr>
          <w:color w:val="FF0000"/>
        </w:rPr>
        <w:t>for the energy sector—clause </w:t>
      </w:r>
      <w:r w:rsidRPr="00693A57">
        <w:rPr>
          <w:color w:val="FF0000"/>
        </w:rPr>
        <w:fldChar w:fldCharType="begin" w:fldLock="1"/>
      </w:r>
      <w:r w:rsidRPr="00693A57">
        <w:rPr>
          <w:color w:val="FF0000"/>
        </w:rPr>
        <w:instrText xml:space="preserve"> REF _Ref76551273 \n </w:instrText>
      </w:r>
      <w:r w:rsidRPr="00693A57">
        <w:rPr>
          <w:color w:val="FF0000"/>
        </w:rPr>
        <w:fldChar w:fldCharType="separate"/>
      </w:r>
      <w:r w:rsidR="000F7228">
        <w:rPr>
          <w:color w:val="FF0000"/>
        </w:rPr>
        <w:t>2.1</w:t>
      </w:r>
      <w:r w:rsidRPr="00693A57">
        <w:rPr>
          <w:color w:val="FF0000"/>
        </w:rPr>
        <w:fldChar w:fldCharType="end"/>
      </w:r>
      <w:r w:rsidRPr="00693A57">
        <w:rPr>
          <w:color w:val="FF0000"/>
        </w:rPr>
        <w:t xml:space="preserve"> of Schedule 4.</w:t>
      </w:r>
    </w:p>
    <w:p w14:paraId="676C8700" w14:textId="77777777" w:rsidR="00CF0E3D" w:rsidRPr="00693A57" w:rsidRDefault="00CF0E3D" w:rsidP="00CF0E3D">
      <w:pPr>
        <w:pStyle w:val="notetext"/>
        <w:rPr>
          <w:strike/>
          <w:color w:val="FF0000"/>
        </w:rPr>
      </w:pPr>
      <w:r w:rsidRPr="00693A57">
        <w:rPr>
          <w:strike/>
          <w:color w:val="FF0000"/>
        </w:rPr>
        <w:t>Note:</w:t>
      </w:r>
      <w:r w:rsidRPr="00693A57">
        <w:rPr>
          <w:strike/>
          <w:color w:val="FF0000"/>
        </w:rPr>
        <w:tab/>
        <w:t>See subrule 1.7(1) for the meaning of “eligible”. For the banking sector, see clause 2.1 of Schedule 3 for when a CDR consumer is eligible.</w:t>
      </w:r>
    </w:p>
    <w:p w14:paraId="4983E6B6"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(2)</w:t>
      </w:r>
      <w:r w:rsidRPr="00464C22">
        <w:rPr>
          <w:color w:val="000000" w:themeColor="text1"/>
        </w:rPr>
        <w:tab/>
        <w:t>If the data holder is considering disclosing any of the requested voluntary consumer data, the data holder must ask the CDR consumer on whose behalf the request was made to authorise the disclosure:</w:t>
      </w:r>
    </w:p>
    <w:p w14:paraId="6436BA8B"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 xml:space="preserve">in accordance with </w:t>
      </w:r>
      <w:r>
        <w:rPr>
          <w:color w:val="000000" w:themeColor="text1"/>
        </w:rPr>
        <w:t>Division 4.4</w:t>
      </w:r>
      <w:r w:rsidRPr="00464C22">
        <w:rPr>
          <w:color w:val="000000" w:themeColor="text1"/>
        </w:rPr>
        <w:t>; and</w:t>
      </w:r>
    </w:p>
    <w:p w14:paraId="229F4BF3"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530FF90F" w14:textId="1E2C8E6D" w:rsidR="00C4707E" w:rsidRPr="00693A57" w:rsidRDefault="00CF0E3D" w:rsidP="00C4707E">
      <w:pPr>
        <w:pStyle w:val="notetext"/>
        <w:rPr>
          <w:color w:val="FF0000"/>
        </w:rPr>
      </w:pPr>
      <w:r w:rsidRPr="00693A57">
        <w:rPr>
          <w:color w:val="FF0000"/>
        </w:rPr>
        <w:t>Note 1:</w:t>
      </w:r>
      <w:r w:rsidRPr="00693A57">
        <w:rPr>
          <w:color w:val="FF0000"/>
        </w:rPr>
        <w:tab/>
      </w:r>
      <w:r w:rsidR="00C4707E" w:rsidRPr="00693A57">
        <w:rPr>
          <w:color w:val="FF0000"/>
        </w:rPr>
        <w:t>See rule 1.7 for the meaning of “voluntary consumer data”.  See also:</w:t>
      </w:r>
    </w:p>
    <w:p w14:paraId="26D28B71" w14:textId="247588E7" w:rsidR="00C4707E" w:rsidRPr="00693A57" w:rsidRDefault="00C4707E" w:rsidP="007D5353">
      <w:pPr>
        <w:pStyle w:val="notepara"/>
        <w:numPr>
          <w:ilvl w:val="0"/>
          <w:numId w:val="11"/>
        </w:numPr>
        <w:rPr>
          <w:color w:val="FF0000"/>
        </w:rPr>
      </w:pPr>
      <w:r w:rsidRPr="00693A57">
        <w:rPr>
          <w:color w:val="FF0000"/>
        </w:rPr>
        <w:t>for the banking sector—clause </w:t>
      </w:r>
      <w:r w:rsidR="005E6980" w:rsidRPr="00693A57">
        <w:rPr>
          <w:color w:val="FF0000"/>
        </w:rPr>
        <w:t>3.2</w:t>
      </w:r>
      <w:r w:rsidRPr="00693A57">
        <w:rPr>
          <w:color w:val="FF0000"/>
        </w:rPr>
        <w:t xml:space="preserve"> of Schedule 3;</w:t>
      </w:r>
    </w:p>
    <w:p w14:paraId="763C4377" w14:textId="3BADCEBE" w:rsidR="00C4707E" w:rsidRPr="00693A57" w:rsidRDefault="00C4707E" w:rsidP="007D5353">
      <w:pPr>
        <w:pStyle w:val="notepara"/>
        <w:numPr>
          <w:ilvl w:val="0"/>
          <w:numId w:val="11"/>
        </w:numPr>
        <w:rPr>
          <w:color w:val="FF0000"/>
        </w:rPr>
      </w:pPr>
      <w:r w:rsidRPr="00693A57">
        <w:rPr>
          <w:color w:val="FF0000"/>
        </w:rPr>
        <w:t>for the energy sector—clause </w:t>
      </w:r>
      <w:r w:rsidR="005E6980" w:rsidRPr="00693A57">
        <w:rPr>
          <w:color w:val="FF0000"/>
        </w:rPr>
        <w:fldChar w:fldCharType="begin" w:fldLock="1"/>
      </w:r>
      <w:r w:rsidR="005E6980" w:rsidRPr="00693A57">
        <w:rPr>
          <w:color w:val="FF0000"/>
        </w:rPr>
        <w:instrText xml:space="preserve"> REF _Ref62567373 \n </w:instrText>
      </w:r>
      <w:r w:rsidR="005E6980" w:rsidRPr="00693A57">
        <w:rPr>
          <w:color w:val="FF0000"/>
        </w:rPr>
        <w:fldChar w:fldCharType="separate"/>
      </w:r>
      <w:r w:rsidR="000F7228">
        <w:rPr>
          <w:color w:val="FF0000"/>
        </w:rPr>
        <w:t>3.2</w:t>
      </w:r>
      <w:r w:rsidR="005E6980" w:rsidRPr="00693A57">
        <w:rPr>
          <w:color w:val="FF0000"/>
        </w:rPr>
        <w:fldChar w:fldCharType="end"/>
      </w:r>
      <w:r w:rsidR="005E6980" w:rsidRPr="00693A57">
        <w:rPr>
          <w:color w:val="FF0000"/>
        </w:rPr>
        <w:t xml:space="preserve"> </w:t>
      </w:r>
      <w:r w:rsidRPr="00693A57">
        <w:rPr>
          <w:color w:val="FF0000"/>
        </w:rPr>
        <w:t>of Schedule 4.</w:t>
      </w:r>
    </w:p>
    <w:p w14:paraId="543180DE" w14:textId="27E78C52" w:rsidR="00CF0E3D" w:rsidRPr="00693A57" w:rsidRDefault="00B13F8B" w:rsidP="00CF0E3D">
      <w:pPr>
        <w:pStyle w:val="notetext"/>
        <w:rPr>
          <w:strike/>
          <w:color w:val="FF0000"/>
        </w:rPr>
      </w:pPr>
      <w:r w:rsidRPr="00693A57">
        <w:rPr>
          <w:strike/>
          <w:color w:val="FF0000"/>
        </w:rPr>
        <w:t>Note 1:</w:t>
      </w:r>
      <w:r w:rsidR="00C4707E" w:rsidRPr="00693A57">
        <w:rPr>
          <w:strike/>
          <w:color w:val="FF0000"/>
        </w:rPr>
        <w:tab/>
      </w:r>
      <w:r w:rsidR="00CF0E3D" w:rsidRPr="00693A57">
        <w:rPr>
          <w:strike/>
          <w:color w:val="FF0000"/>
        </w:rPr>
        <w:t>See rule 1.7 for the definition of “voluntary consumer data”, and see clause 3.2 of Schedule 3 for the definition of “voluntary consumer data” in relation to the banking sector.</w:t>
      </w:r>
    </w:p>
    <w:p w14:paraId="0A29AB74" w14:textId="77777777" w:rsidR="00CF0E3D" w:rsidRPr="00F07699" w:rsidRDefault="00CF0E3D" w:rsidP="00CF0E3D">
      <w:pPr>
        <w:pStyle w:val="notetext"/>
      </w:pPr>
      <w:r w:rsidRPr="00F07699">
        <w:t>Note 2:</w:t>
      </w:r>
      <w:r w:rsidRPr="00F07699">
        <w:tab/>
        <w:t>This subrule is a civil penalty provision (see rule 9.8).</w:t>
      </w:r>
    </w:p>
    <w:p w14:paraId="7BA33CB5" w14:textId="77777777" w:rsidR="00CF0E3D" w:rsidRPr="00773999" w:rsidRDefault="00CF0E3D" w:rsidP="00CF0E3D">
      <w:pPr>
        <w:pStyle w:val="subsection"/>
        <w:rPr>
          <w:color w:val="000000" w:themeColor="text1"/>
        </w:rPr>
      </w:pPr>
      <w:r w:rsidRPr="00E1300D">
        <w:rPr>
          <w:color w:val="000000" w:themeColor="text1"/>
        </w:rPr>
        <w:tab/>
      </w:r>
      <w:r>
        <w:rPr>
          <w:color w:val="000000" w:themeColor="text1"/>
        </w:rPr>
        <w:t>(3)</w:t>
      </w:r>
      <w:r w:rsidRPr="00E1300D">
        <w:rPr>
          <w:color w:val="000000" w:themeColor="text1"/>
        </w:rPr>
        <w:tab/>
        <w:t>The data holder must, subject to rule 4.7, ask the CDR consumer on whose behalf the request was made to authorise the disclosure of any requested required consumer data</w:t>
      </w:r>
      <w:r w:rsidRPr="00813976">
        <w:t>:</w:t>
      </w:r>
    </w:p>
    <w:p w14:paraId="405CD51A" w14:textId="77777777" w:rsidR="00CF0E3D" w:rsidRPr="00813976" w:rsidRDefault="00CF0E3D" w:rsidP="00CF0E3D">
      <w:pPr>
        <w:pStyle w:val="paragraph"/>
      </w:pPr>
      <w:r w:rsidRPr="00813976">
        <w:tab/>
      </w:r>
      <w:r>
        <w:t>(a)</w:t>
      </w:r>
      <w:r w:rsidRPr="00813976">
        <w:tab/>
        <w:t xml:space="preserve">in accordance with </w:t>
      </w:r>
      <w:r>
        <w:t>Division 4.4</w:t>
      </w:r>
      <w:r w:rsidRPr="00813976">
        <w:t>; and</w:t>
      </w:r>
    </w:p>
    <w:p w14:paraId="44682F45" w14:textId="77777777" w:rsidR="00CF0E3D" w:rsidRPr="00813976" w:rsidRDefault="00CF0E3D" w:rsidP="00CF0E3D">
      <w:pPr>
        <w:pStyle w:val="paragraph"/>
      </w:pPr>
      <w:r w:rsidRPr="00813976">
        <w:tab/>
      </w:r>
      <w:r>
        <w:t>(b)</w:t>
      </w:r>
      <w:r w:rsidRPr="00813976">
        <w:tab/>
        <w:t>in accordance with the data standards.</w:t>
      </w:r>
    </w:p>
    <w:p w14:paraId="59DA0A79" w14:textId="26B1C6A5" w:rsidR="00F25A41" w:rsidRPr="00693A57" w:rsidRDefault="00CF0E3D" w:rsidP="00F25A41">
      <w:pPr>
        <w:pStyle w:val="notetext"/>
        <w:rPr>
          <w:color w:val="FF0000"/>
        </w:rPr>
      </w:pPr>
      <w:r w:rsidRPr="00693A57">
        <w:rPr>
          <w:color w:val="FF0000"/>
        </w:rPr>
        <w:t xml:space="preserve">Note 1: </w:t>
      </w:r>
      <w:r w:rsidRPr="00693A57">
        <w:rPr>
          <w:color w:val="FF0000"/>
        </w:rPr>
        <w:tab/>
      </w:r>
      <w:r w:rsidR="00F25A41" w:rsidRPr="00693A57">
        <w:rPr>
          <w:color w:val="FF0000"/>
        </w:rPr>
        <w:t>See rule 1.7 for the meaning of “required consumer data”.  See also:</w:t>
      </w:r>
    </w:p>
    <w:p w14:paraId="1CD0A777" w14:textId="691DEDA4" w:rsidR="00F25A41" w:rsidRPr="00693A57" w:rsidRDefault="00F25A41" w:rsidP="007D5353">
      <w:pPr>
        <w:pStyle w:val="notepara"/>
        <w:numPr>
          <w:ilvl w:val="0"/>
          <w:numId w:val="11"/>
        </w:numPr>
        <w:rPr>
          <w:color w:val="FF0000"/>
        </w:rPr>
      </w:pPr>
      <w:r w:rsidRPr="00693A57">
        <w:rPr>
          <w:color w:val="FF0000"/>
        </w:rPr>
        <w:t>for the banking sector—clause 3.2 of Schedule 3;</w:t>
      </w:r>
    </w:p>
    <w:p w14:paraId="0BB53C1A" w14:textId="391C6AE1" w:rsidR="00F25A41" w:rsidRPr="00693A57" w:rsidRDefault="00F25A41" w:rsidP="007D5353">
      <w:pPr>
        <w:pStyle w:val="notepara"/>
        <w:numPr>
          <w:ilvl w:val="0"/>
          <w:numId w:val="11"/>
        </w:numPr>
        <w:rPr>
          <w:color w:val="FF0000"/>
        </w:rPr>
      </w:pPr>
      <w:r w:rsidRPr="00693A57">
        <w:rPr>
          <w:color w:val="FF0000"/>
        </w:rPr>
        <w:t>for the energy sector—clause </w:t>
      </w:r>
      <w:r w:rsidR="000B1D10" w:rsidRPr="00693A57">
        <w:rPr>
          <w:color w:val="FF0000"/>
        </w:rPr>
        <w:t>3.2</w:t>
      </w:r>
      <w:r w:rsidRPr="00693A57">
        <w:rPr>
          <w:color w:val="FF0000"/>
        </w:rPr>
        <w:t xml:space="preserve"> of Schedule 4.</w:t>
      </w:r>
    </w:p>
    <w:p w14:paraId="6BEA4853" w14:textId="78FEEFAA" w:rsidR="00CF0E3D" w:rsidRPr="00693A57" w:rsidRDefault="00B13F8B" w:rsidP="00F25A41">
      <w:pPr>
        <w:pStyle w:val="notetext"/>
        <w:rPr>
          <w:strike/>
          <w:color w:val="FF0000"/>
        </w:rPr>
      </w:pPr>
      <w:r w:rsidRPr="00693A57">
        <w:rPr>
          <w:strike/>
          <w:color w:val="FF0000"/>
        </w:rPr>
        <w:t>Note 1:</w:t>
      </w:r>
      <w:r w:rsidR="00F25A41" w:rsidRPr="00693A57">
        <w:rPr>
          <w:strike/>
          <w:color w:val="FF0000"/>
        </w:rPr>
        <w:tab/>
      </w:r>
      <w:r w:rsidR="00CF0E3D" w:rsidRPr="00693A57">
        <w:rPr>
          <w:strike/>
          <w:color w:val="FF0000"/>
        </w:rPr>
        <w:t>See rule 1.7 for the definition of “required consumer data”, and see</w:t>
      </w:r>
      <w:r w:rsidR="00F25A41" w:rsidRPr="00693A57">
        <w:rPr>
          <w:strike/>
          <w:color w:val="FF0000"/>
        </w:rPr>
        <w:t xml:space="preserve"> c</w:t>
      </w:r>
      <w:r w:rsidR="00CF0E3D" w:rsidRPr="00693A57">
        <w:rPr>
          <w:strike/>
          <w:color w:val="FF0000"/>
        </w:rPr>
        <w:t>lause 3.2 of Schedule 3 for the definition of “required consumer data” in relation to the banking sector.</w:t>
      </w:r>
    </w:p>
    <w:p w14:paraId="15E58553" w14:textId="77777777" w:rsidR="00CF0E3D" w:rsidRDefault="00CF0E3D" w:rsidP="00CF0E3D">
      <w:pPr>
        <w:pStyle w:val="notetext"/>
      </w:pPr>
      <w:r w:rsidRPr="00F07699">
        <w:t xml:space="preserve">Note 2: </w:t>
      </w:r>
      <w:r w:rsidRPr="00F07699">
        <w:tab/>
        <w:t>This subrule is a civil penalty provision (see rule 9.8).</w:t>
      </w:r>
    </w:p>
    <w:p w14:paraId="21388DA8" w14:textId="77777777" w:rsidR="00CF0E3D" w:rsidRPr="007C39E2" w:rsidRDefault="00CF0E3D" w:rsidP="00CF0E3D">
      <w:pPr>
        <w:pStyle w:val="ActHead5"/>
      </w:pPr>
      <w:bookmarkStart w:id="144" w:name="_Toc77064881"/>
      <w:r>
        <w:t>4.6</w:t>
      </w:r>
      <w:r w:rsidRPr="007C39E2">
        <w:t xml:space="preserve">  Disclosing consumer data in response to a consumer data request</w:t>
      </w:r>
      <w:bookmarkEnd w:id="144"/>
    </w:p>
    <w:p w14:paraId="119F2AF8" w14:textId="77777777" w:rsidR="00CF0E3D" w:rsidRPr="007C39E2" w:rsidRDefault="00CF0E3D" w:rsidP="00CF0E3D">
      <w:pPr>
        <w:pStyle w:val="subsection"/>
      </w:pPr>
      <w:r w:rsidRPr="007C39E2">
        <w:tab/>
      </w:r>
      <w:r>
        <w:t>(1)</w:t>
      </w:r>
      <w:r w:rsidRPr="007C39E2">
        <w:tab/>
        <w:t>This rule applies if:</w:t>
      </w:r>
    </w:p>
    <w:p w14:paraId="224023C5" w14:textId="77777777" w:rsidR="00CF0E3D" w:rsidRDefault="00CF0E3D" w:rsidP="00CF0E3D">
      <w:pPr>
        <w:pStyle w:val="paragraph"/>
      </w:pPr>
      <w:r w:rsidRPr="000374B5">
        <w:tab/>
      </w:r>
      <w:r>
        <w:t>(a)</w:t>
      </w:r>
      <w:r w:rsidRPr="000374B5">
        <w:tab/>
        <w:t>a data holder</w:t>
      </w:r>
      <w:r>
        <w:t xml:space="preserve"> has </w:t>
      </w:r>
      <w:r w:rsidRPr="000374B5">
        <w:t>receive</w:t>
      </w:r>
      <w:r>
        <w:t>d</w:t>
      </w:r>
      <w:r w:rsidRPr="000374B5">
        <w:t xml:space="preserve"> a consumer data request </w:t>
      </w:r>
      <w:r>
        <w:t>made under rule 4.4 for disclosure of CDR data</w:t>
      </w:r>
      <w:r w:rsidRPr="000374B5">
        <w:t>; and</w:t>
      </w:r>
    </w:p>
    <w:p w14:paraId="11A8EE79" w14:textId="77777777" w:rsidR="00CF0E3D" w:rsidRPr="007C39E2" w:rsidRDefault="00CF0E3D" w:rsidP="00CF0E3D">
      <w:pPr>
        <w:pStyle w:val="paragraph"/>
      </w:pPr>
      <w:r w:rsidRPr="000374B5">
        <w:tab/>
      </w:r>
      <w:r>
        <w:t>(b)</w:t>
      </w:r>
      <w:r w:rsidRPr="000374B5">
        <w:tab/>
      </w:r>
      <w:r>
        <w:t xml:space="preserve">the CDR consumer on whose behalf the request was made has given </w:t>
      </w:r>
      <w:r w:rsidRPr="00143470">
        <w:t xml:space="preserve">the data holder </w:t>
      </w:r>
      <w:r>
        <w:t>a current</w:t>
      </w:r>
      <w:r w:rsidRPr="000374B5">
        <w:t xml:space="preserve"> </w:t>
      </w:r>
      <w:r>
        <w:t>authorisation to disclose some or all of that CDR data</w:t>
      </w:r>
      <w:r w:rsidRPr="007C39E2">
        <w:t>.</w:t>
      </w:r>
    </w:p>
    <w:p w14:paraId="18D14A63" w14:textId="77777777" w:rsidR="00CF0E3D" w:rsidRPr="00464C22" w:rsidRDefault="00CF0E3D" w:rsidP="00CF0E3D">
      <w:pPr>
        <w:pStyle w:val="subsection"/>
        <w:rPr>
          <w:color w:val="000000" w:themeColor="text1"/>
        </w:rPr>
      </w:pPr>
      <w:r w:rsidRPr="00464C22">
        <w:rPr>
          <w:color w:val="000000" w:themeColor="text1"/>
        </w:rPr>
        <w:lastRenderedPageBreak/>
        <w:tab/>
      </w:r>
      <w:r>
        <w:rPr>
          <w:color w:val="000000" w:themeColor="text1"/>
        </w:rPr>
        <w:t>(2)</w:t>
      </w:r>
      <w:r w:rsidRPr="00464C22">
        <w:rPr>
          <w:color w:val="000000" w:themeColor="text1"/>
        </w:rPr>
        <w:tab/>
        <w:t>The data holder may</w:t>
      </w:r>
      <w:r>
        <w:rPr>
          <w:color w:val="000000" w:themeColor="text1"/>
        </w:rPr>
        <w:t>, subject to rule 4.6A,</w:t>
      </w:r>
      <w:r w:rsidRPr="00464C22">
        <w:rPr>
          <w:color w:val="000000" w:themeColor="text1"/>
        </w:rPr>
        <w:t xml:space="preserve"> disclose, to the person who made the request, any of the requested voluntary consumer data that it is authorised to disclose.</w:t>
      </w:r>
    </w:p>
    <w:p w14:paraId="603FC7EA" w14:textId="386D2FE6" w:rsidR="00B00AE1" w:rsidRPr="00693A57" w:rsidRDefault="00CF0E3D" w:rsidP="00B00AE1">
      <w:pPr>
        <w:pStyle w:val="notetext"/>
        <w:rPr>
          <w:color w:val="FF0000"/>
        </w:rPr>
      </w:pPr>
      <w:r w:rsidRPr="00693A57">
        <w:rPr>
          <w:color w:val="FF0000"/>
        </w:rPr>
        <w:t>Note 1:</w:t>
      </w:r>
      <w:r w:rsidRPr="00693A57">
        <w:rPr>
          <w:color w:val="FF0000"/>
        </w:rPr>
        <w:tab/>
      </w:r>
      <w:r w:rsidR="00B00AE1" w:rsidRPr="00693A57">
        <w:rPr>
          <w:color w:val="FF0000"/>
        </w:rPr>
        <w:t>See rule 1.7 for the meaning of “voluntary consumer data”.  See also:</w:t>
      </w:r>
    </w:p>
    <w:p w14:paraId="09E54D14" w14:textId="5D09C3ED" w:rsidR="00B00AE1" w:rsidRPr="00693A57" w:rsidRDefault="00B00AE1" w:rsidP="007D5353">
      <w:pPr>
        <w:pStyle w:val="notepara"/>
        <w:numPr>
          <w:ilvl w:val="0"/>
          <w:numId w:val="11"/>
        </w:numPr>
        <w:rPr>
          <w:color w:val="FF0000"/>
        </w:rPr>
      </w:pPr>
      <w:r w:rsidRPr="00693A57">
        <w:rPr>
          <w:color w:val="FF0000"/>
        </w:rPr>
        <w:t>for the banking sector—clause </w:t>
      </w:r>
      <w:r w:rsidR="001D018F" w:rsidRPr="00693A57">
        <w:rPr>
          <w:color w:val="FF0000"/>
        </w:rPr>
        <w:t>3.2</w:t>
      </w:r>
      <w:r w:rsidRPr="00693A57">
        <w:rPr>
          <w:color w:val="FF0000"/>
        </w:rPr>
        <w:t xml:space="preserve"> of Schedule 3;</w:t>
      </w:r>
    </w:p>
    <w:p w14:paraId="3CCAAF6A" w14:textId="3D608393" w:rsidR="00B00AE1" w:rsidRPr="00693A57" w:rsidRDefault="00B00AE1" w:rsidP="007D5353">
      <w:pPr>
        <w:pStyle w:val="notepara"/>
        <w:numPr>
          <w:ilvl w:val="0"/>
          <w:numId w:val="11"/>
        </w:numPr>
        <w:rPr>
          <w:color w:val="FF0000"/>
        </w:rPr>
      </w:pPr>
      <w:r w:rsidRPr="00693A57">
        <w:rPr>
          <w:color w:val="FF0000"/>
        </w:rPr>
        <w:t>for the energy sector—clause </w:t>
      </w:r>
      <w:r w:rsidR="001D018F" w:rsidRPr="00693A57">
        <w:rPr>
          <w:color w:val="FF0000"/>
        </w:rPr>
        <w:fldChar w:fldCharType="begin" w:fldLock="1"/>
      </w:r>
      <w:r w:rsidR="001D018F" w:rsidRPr="00693A57">
        <w:rPr>
          <w:color w:val="FF0000"/>
        </w:rPr>
        <w:instrText xml:space="preserve"> REF _Ref62567373 \n </w:instrText>
      </w:r>
      <w:r w:rsidR="001D018F" w:rsidRPr="00693A57">
        <w:rPr>
          <w:color w:val="FF0000"/>
        </w:rPr>
        <w:fldChar w:fldCharType="separate"/>
      </w:r>
      <w:r w:rsidR="000F7228">
        <w:rPr>
          <w:color w:val="FF0000"/>
        </w:rPr>
        <w:t>3.2</w:t>
      </w:r>
      <w:r w:rsidR="001D018F" w:rsidRPr="00693A57">
        <w:rPr>
          <w:color w:val="FF0000"/>
        </w:rPr>
        <w:fldChar w:fldCharType="end"/>
      </w:r>
      <w:r w:rsidR="001D018F" w:rsidRPr="00693A57">
        <w:rPr>
          <w:color w:val="FF0000"/>
        </w:rPr>
        <w:t xml:space="preserve"> </w:t>
      </w:r>
      <w:r w:rsidRPr="00693A57">
        <w:rPr>
          <w:color w:val="FF0000"/>
        </w:rPr>
        <w:t>of Schedule 4.</w:t>
      </w:r>
    </w:p>
    <w:p w14:paraId="5F4A3C34" w14:textId="5F3A802C" w:rsidR="005E6980" w:rsidRPr="00693A57" w:rsidRDefault="005E6980" w:rsidP="005E6980">
      <w:pPr>
        <w:pStyle w:val="notetext"/>
        <w:rPr>
          <w:color w:val="FF0000"/>
        </w:rPr>
      </w:pPr>
      <w:r w:rsidRPr="00693A57">
        <w:rPr>
          <w:color w:val="FF0000"/>
        </w:rPr>
        <w:t>Note 2:</w:t>
      </w:r>
      <w:r w:rsidRPr="00693A57">
        <w:rPr>
          <w:color w:val="FF0000"/>
        </w:rPr>
        <w:tab/>
        <w:t>For requests that relate to joint accounts, additional requirements need to be met in order for the data holder to be authorised to disclose requested CDR data that relates to the joint account: see Part 4A.</w:t>
      </w:r>
    </w:p>
    <w:p w14:paraId="5EE30866" w14:textId="77777777" w:rsidR="004D7FDE" w:rsidRPr="00693A57" w:rsidRDefault="004D7FDE" w:rsidP="004D7FDE">
      <w:pPr>
        <w:pStyle w:val="notetext"/>
        <w:rPr>
          <w:strike/>
          <w:color w:val="FF0000"/>
        </w:rPr>
      </w:pPr>
      <w:r w:rsidRPr="00693A57">
        <w:rPr>
          <w:strike/>
          <w:color w:val="FF0000"/>
        </w:rPr>
        <w:t>Note 1:</w:t>
      </w:r>
      <w:r w:rsidRPr="00693A57">
        <w:rPr>
          <w:strike/>
          <w:color w:val="FF0000"/>
        </w:rPr>
        <w:tab/>
        <w:t>See rule 1.7 for the definition of “voluntary consumer data”, and see clause 3.2 of Schedule 3 for the definition of “voluntary consumer data” in relation to the banking sector.</w:t>
      </w:r>
    </w:p>
    <w:p w14:paraId="41D0EF8F" w14:textId="77777777" w:rsidR="00CF0E3D" w:rsidRPr="00693A57" w:rsidRDefault="00CF0E3D" w:rsidP="00CF0E3D">
      <w:pPr>
        <w:pStyle w:val="notetext"/>
        <w:rPr>
          <w:strike/>
          <w:color w:val="FF0000"/>
        </w:rPr>
      </w:pPr>
      <w:r w:rsidRPr="00693A57">
        <w:rPr>
          <w:strike/>
          <w:color w:val="FF0000"/>
        </w:rPr>
        <w:t>Note 2:</w:t>
      </w:r>
      <w:r w:rsidRPr="00693A57">
        <w:rPr>
          <w:strike/>
          <w:color w:val="FF0000"/>
        </w:rPr>
        <w:tab/>
        <w:t>For the banking sector, for requests that relate to joint accounts, additional requirements need to be met in order for the data holder to be authorised to disclose requested CDR data that relates to the joint account: see Part 4 of Schedule 3 to these rules.</w:t>
      </w:r>
    </w:p>
    <w:p w14:paraId="078309EF"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(3)</w:t>
      </w:r>
      <w:r w:rsidRPr="00464C22">
        <w:rPr>
          <w:color w:val="000000" w:themeColor="text1"/>
        </w:rPr>
        <w:tab/>
        <w:t>It must do so:</w:t>
      </w:r>
    </w:p>
    <w:p w14:paraId="4920C627"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095EA614"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37AB2D78" w14:textId="003E1373" w:rsidR="0053384C" w:rsidRDefault="0053384C" w:rsidP="0053384C">
      <w:pPr>
        <w:pStyle w:val="notetext"/>
        <w:rPr>
          <w:color w:val="000000" w:themeColor="text1"/>
        </w:rPr>
      </w:pPr>
      <w:r w:rsidRPr="00464C22">
        <w:rPr>
          <w:color w:val="000000" w:themeColor="text1"/>
        </w:rPr>
        <w:t>Note:</w:t>
      </w:r>
      <w:r w:rsidRPr="00464C22">
        <w:rPr>
          <w:color w:val="000000" w:themeColor="text1"/>
        </w:rPr>
        <w:tab/>
        <w:t>This subrule is a civil penalty provision (see rule </w:t>
      </w:r>
      <w:r>
        <w:rPr>
          <w:color w:val="000000" w:themeColor="text1"/>
        </w:rPr>
        <w:t>9.8</w:t>
      </w:r>
      <w:r w:rsidRPr="00464C22">
        <w:rPr>
          <w:color w:val="000000" w:themeColor="text1"/>
        </w:rPr>
        <w:t>).</w:t>
      </w:r>
    </w:p>
    <w:p w14:paraId="5D072996"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(4)</w:t>
      </w:r>
      <w:r w:rsidRPr="00464C22">
        <w:rPr>
          <w:color w:val="000000" w:themeColor="text1"/>
        </w:rPr>
        <w:tab/>
        <w:t>The data holder must, subject to</w:t>
      </w:r>
      <w:r>
        <w:rPr>
          <w:color w:val="000000" w:themeColor="text1"/>
        </w:rPr>
        <w:t xml:space="preserve"> rule 4.6A and</w:t>
      </w:r>
      <w:r w:rsidRPr="00464C22">
        <w:rPr>
          <w:color w:val="000000" w:themeColor="text1"/>
        </w:rPr>
        <w:t xml:space="preserve"> rule 4.7, disclose, to the person who made the request, the requested required consumer data that it is authorised to disclose:</w:t>
      </w:r>
    </w:p>
    <w:p w14:paraId="76D34C0F"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2319E339"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2C805AC1" w14:textId="10E33D5F" w:rsidR="00F25A41" w:rsidRPr="00693A57" w:rsidRDefault="00F25A41" w:rsidP="00F25A41">
      <w:pPr>
        <w:pStyle w:val="notetext"/>
        <w:rPr>
          <w:color w:val="FF0000"/>
        </w:rPr>
      </w:pPr>
      <w:r w:rsidRPr="00693A57">
        <w:rPr>
          <w:color w:val="FF0000"/>
        </w:rPr>
        <w:t xml:space="preserve">Note 1: </w:t>
      </w:r>
      <w:r w:rsidRPr="00693A57">
        <w:rPr>
          <w:color w:val="FF0000"/>
        </w:rPr>
        <w:tab/>
        <w:t>See rule 1.7 for the meaning of “required consumer data”.  See also:</w:t>
      </w:r>
    </w:p>
    <w:p w14:paraId="532677BA" w14:textId="77777777" w:rsidR="00F25A41" w:rsidRPr="00693A57" w:rsidRDefault="00F25A41" w:rsidP="007D5353">
      <w:pPr>
        <w:pStyle w:val="notepara"/>
        <w:numPr>
          <w:ilvl w:val="0"/>
          <w:numId w:val="11"/>
        </w:numPr>
        <w:rPr>
          <w:color w:val="FF0000"/>
        </w:rPr>
      </w:pPr>
      <w:r w:rsidRPr="00693A57">
        <w:rPr>
          <w:color w:val="FF0000"/>
        </w:rPr>
        <w:t>for the banking sector—clause 3.2 of Schedule 3;</w:t>
      </w:r>
    </w:p>
    <w:p w14:paraId="05CBFDB4" w14:textId="763D823E" w:rsidR="00F25A41" w:rsidRPr="00693A57" w:rsidRDefault="00F25A41" w:rsidP="007D5353">
      <w:pPr>
        <w:pStyle w:val="notepara"/>
        <w:numPr>
          <w:ilvl w:val="0"/>
          <w:numId w:val="11"/>
        </w:numPr>
        <w:rPr>
          <w:color w:val="FF0000"/>
        </w:rPr>
      </w:pPr>
      <w:r w:rsidRPr="00693A57">
        <w:rPr>
          <w:color w:val="FF0000"/>
        </w:rPr>
        <w:t>for the energy sector—clause </w:t>
      </w:r>
      <w:r w:rsidR="005E6980" w:rsidRPr="00693A57">
        <w:rPr>
          <w:color w:val="FF0000"/>
        </w:rPr>
        <w:fldChar w:fldCharType="begin" w:fldLock="1"/>
      </w:r>
      <w:r w:rsidR="005E6980" w:rsidRPr="00693A57">
        <w:rPr>
          <w:color w:val="FF0000"/>
        </w:rPr>
        <w:instrText xml:space="preserve"> REF _Ref62567373 \n </w:instrText>
      </w:r>
      <w:r w:rsidR="005E6980" w:rsidRPr="00693A57">
        <w:rPr>
          <w:color w:val="FF0000"/>
        </w:rPr>
        <w:fldChar w:fldCharType="separate"/>
      </w:r>
      <w:r w:rsidR="000F7228">
        <w:rPr>
          <w:color w:val="FF0000"/>
        </w:rPr>
        <w:t>3.2</w:t>
      </w:r>
      <w:r w:rsidR="005E6980" w:rsidRPr="00693A57">
        <w:rPr>
          <w:color w:val="FF0000"/>
        </w:rPr>
        <w:fldChar w:fldCharType="end"/>
      </w:r>
      <w:r w:rsidRPr="00693A57">
        <w:rPr>
          <w:color w:val="FF0000"/>
        </w:rPr>
        <w:t xml:space="preserve"> of Schedule 4.</w:t>
      </w:r>
    </w:p>
    <w:p w14:paraId="103CBF4A" w14:textId="77777777" w:rsidR="005E6980" w:rsidRPr="00693A57" w:rsidRDefault="005E6980" w:rsidP="005E6980">
      <w:pPr>
        <w:pStyle w:val="notetext"/>
        <w:rPr>
          <w:color w:val="FF0000"/>
        </w:rPr>
      </w:pPr>
      <w:r w:rsidRPr="00693A57">
        <w:rPr>
          <w:color w:val="FF0000"/>
        </w:rPr>
        <w:t>Note 2:</w:t>
      </w:r>
      <w:r w:rsidRPr="00693A57">
        <w:rPr>
          <w:color w:val="FF0000"/>
        </w:rPr>
        <w:tab/>
        <w:t>For requests that relate to joint accounts, additional requirements need to be met in order for the data holder to be authorised to disclose requested CDR data that relates to the joint account: see Part 4A.</w:t>
      </w:r>
    </w:p>
    <w:p w14:paraId="0007F86B" w14:textId="17C1C343" w:rsidR="004D7FDE" w:rsidRPr="00693A57" w:rsidRDefault="004D7FDE" w:rsidP="004D7FDE">
      <w:pPr>
        <w:pStyle w:val="notetext"/>
        <w:rPr>
          <w:strike/>
          <w:color w:val="FF0000"/>
        </w:rPr>
      </w:pPr>
      <w:r w:rsidRPr="00693A57">
        <w:rPr>
          <w:strike/>
          <w:color w:val="FF0000"/>
        </w:rPr>
        <w:t>Note 1:</w:t>
      </w:r>
      <w:r w:rsidRPr="00693A57">
        <w:rPr>
          <w:strike/>
          <w:color w:val="FF0000"/>
        </w:rPr>
        <w:tab/>
        <w:t>See rule 1.7 for the definition of “required consumer data”, and seeclause 3.2 of Schedule 3 for the definition of “required consumer data” in relation to the banking sector.</w:t>
      </w:r>
    </w:p>
    <w:p w14:paraId="07E5E006" w14:textId="77777777" w:rsidR="004D7FDE" w:rsidRPr="00693A57" w:rsidRDefault="004D7FDE" w:rsidP="00CF0E3D">
      <w:pPr>
        <w:pStyle w:val="notetext"/>
        <w:rPr>
          <w:strike/>
          <w:color w:val="FF0000"/>
        </w:rPr>
      </w:pPr>
    </w:p>
    <w:p w14:paraId="22AD14F4" w14:textId="2AA676AB" w:rsidR="00CF0E3D" w:rsidRPr="00693A57" w:rsidRDefault="004D7FDE" w:rsidP="00CF0E3D">
      <w:pPr>
        <w:pStyle w:val="notetext"/>
        <w:rPr>
          <w:strike/>
          <w:color w:val="FF0000"/>
        </w:rPr>
      </w:pPr>
      <w:r w:rsidRPr="00693A57">
        <w:rPr>
          <w:strike/>
          <w:color w:val="FF0000"/>
        </w:rPr>
        <w:t>N</w:t>
      </w:r>
      <w:r w:rsidR="00CF0E3D" w:rsidRPr="00693A57">
        <w:rPr>
          <w:strike/>
          <w:color w:val="FF0000"/>
        </w:rPr>
        <w:t>ote 2:</w:t>
      </w:r>
      <w:r w:rsidR="00CF0E3D" w:rsidRPr="00693A57">
        <w:rPr>
          <w:strike/>
          <w:color w:val="FF0000"/>
        </w:rPr>
        <w:tab/>
        <w:t>For the banking sector, for requests that relate to joint accounts, additional requirements need to be met in order for the data holder to be authorised to disclose requested CDR data that relates to the joint account: see Part 4 of Schedule 3 to these rules.</w:t>
      </w:r>
    </w:p>
    <w:p w14:paraId="6509A257" w14:textId="77777777" w:rsidR="00CF0E3D" w:rsidRPr="00464C22" w:rsidRDefault="00CF0E3D" w:rsidP="00CF0E3D">
      <w:pPr>
        <w:pStyle w:val="notetext"/>
        <w:rPr>
          <w:color w:val="000000" w:themeColor="text1"/>
        </w:rPr>
      </w:pPr>
      <w:r w:rsidRPr="00464C22">
        <w:rPr>
          <w:color w:val="000000" w:themeColor="text1"/>
        </w:rPr>
        <w:t>Note 3:</w:t>
      </w:r>
      <w:r w:rsidRPr="00464C22">
        <w:rPr>
          <w:color w:val="000000" w:themeColor="text1"/>
        </w:rPr>
        <w:tab/>
        <w:t>A fee cannot be charged for the disclosure of required consumer data: see section 56BU of the Act.</w:t>
      </w:r>
    </w:p>
    <w:p w14:paraId="3DA5CB4F" w14:textId="77777777" w:rsidR="00CF0E3D" w:rsidRPr="00813976" w:rsidRDefault="00CF0E3D" w:rsidP="00CF0E3D">
      <w:pPr>
        <w:pStyle w:val="notetext"/>
      </w:pPr>
      <w:r w:rsidRPr="00813976">
        <w:t>Note 4:</w:t>
      </w:r>
      <w:r w:rsidRPr="00813976">
        <w:tab/>
        <w:t>Rule </w:t>
      </w:r>
      <w:r>
        <w:t>7.4</w:t>
      </w:r>
      <w:r w:rsidRPr="00813976">
        <w:t xml:space="preserve"> (which deals with privacy safeguard 5, paragraph 56EH(a) of the Act) requires the accredited person to update its consumer dashboard for the CDR consumer on whose behalf the request was made to indicate the CDR data that was collected.</w:t>
      </w:r>
    </w:p>
    <w:p w14:paraId="1C75582A" w14:textId="77777777" w:rsidR="00CF0E3D" w:rsidRPr="00813976" w:rsidRDefault="00CF0E3D" w:rsidP="00CF0E3D">
      <w:pPr>
        <w:pStyle w:val="notetext"/>
      </w:pPr>
      <w:r w:rsidRPr="00813976">
        <w:t>Note 5:</w:t>
      </w:r>
      <w:r w:rsidRPr="00813976">
        <w:tab/>
        <w:t>Rule </w:t>
      </w:r>
      <w:r>
        <w:t>7.9</w:t>
      </w:r>
      <w:r w:rsidRPr="00813976">
        <w:t xml:space="preserve"> (which deals with privacy safeguard 10, paragraph 56EM(1)(a) of the Act) requires the data holder to update its consumer dashboard for the CDR consumer on whose behalf the request was made to indicate the CDR data that was disclosed.</w:t>
      </w:r>
    </w:p>
    <w:p w14:paraId="5CC3FB27" w14:textId="77777777" w:rsidR="00CF0E3D" w:rsidRPr="00813976" w:rsidRDefault="00CF0E3D" w:rsidP="00CF0E3D">
      <w:pPr>
        <w:pStyle w:val="notetext"/>
      </w:pPr>
      <w:r w:rsidRPr="00813976">
        <w:lastRenderedPageBreak/>
        <w:t>Note 6:</w:t>
      </w:r>
      <w:r w:rsidRPr="00813976">
        <w:tab/>
        <w:t>This subrule is a civil penalty provision (see rule </w:t>
      </w:r>
      <w:r>
        <w:t>9.8</w:t>
      </w:r>
      <w:r w:rsidRPr="00813976">
        <w:t>).</w:t>
      </w:r>
    </w:p>
    <w:p w14:paraId="6586F456" w14:textId="77777777" w:rsidR="00CF0E3D" w:rsidRPr="00ED4F4B" w:rsidRDefault="00CF0E3D" w:rsidP="00CF0E3D">
      <w:pPr>
        <w:pStyle w:val="ActHead5"/>
      </w:pPr>
      <w:bookmarkStart w:id="145" w:name="_Toc57219019"/>
      <w:bookmarkStart w:id="146" w:name="_Toc59549131"/>
      <w:bookmarkStart w:id="147" w:name="_Toc77064882"/>
      <w:bookmarkStart w:id="148" w:name="_Toc11771603"/>
      <w:r w:rsidRPr="00ED4F4B">
        <w:t>4.6A  Disclosure of CDR data relating to account not permitted if not approved by account holder</w:t>
      </w:r>
      <w:bookmarkEnd w:id="145"/>
      <w:bookmarkEnd w:id="146"/>
      <w:bookmarkEnd w:id="147"/>
    </w:p>
    <w:p w14:paraId="05587A09" w14:textId="77777777" w:rsidR="00CF0E3D" w:rsidRPr="00ED4F4B" w:rsidRDefault="00CF0E3D" w:rsidP="00CF0E3D">
      <w:pPr>
        <w:pStyle w:val="subsection"/>
      </w:pPr>
      <w:r w:rsidRPr="00ED4F4B">
        <w:tab/>
      </w:r>
      <w:r w:rsidRPr="00ED4F4B">
        <w:tab/>
        <w:t>Despite subrules 4.6(2) and (4), the data holder must not disclose requested CDR data that relates to a particular account to the person who made the request if:</w:t>
      </w:r>
    </w:p>
    <w:p w14:paraId="2E4E693D" w14:textId="77777777" w:rsidR="00CF0E3D" w:rsidRPr="00ED4F4B" w:rsidRDefault="00CF0E3D" w:rsidP="00CF0E3D">
      <w:pPr>
        <w:pStyle w:val="paragraph"/>
      </w:pPr>
      <w:r w:rsidRPr="00ED4F4B">
        <w:tab/>
        <w:t>(a)</w:t>
      </w:r>
      <w:r w:rsidRPr="00ED4F4B">
        <w:tab/>
        <w:t>both of the following are satisfied:</w:t>
      </w:r>
    </w:p>
    <w:p w14:paraId="112804F5" w14:textId="77777777" w:rsidR="00CF0E3D" w:rsidRPr="00ED4F4B" w:rsidRDefault="00CF0E3D" w:rsidP="00CF0E3D">
      <w:pPr>
        <w:pStyle w:val="paragraphsub"/>
      </w:pPr>
      <w:r w:rsidRPr="00ED4F4B">
        <w:tab/>
        <w:t>(i)</w:t>
      </w:r>
      <w:r w:rsidRPr="00ED4F4B">
        <w:tab/>
        <w:t>the request was made on behalf of a secondary user of the account;</w:t>
      </w:r>
    </w:p>
    <w:p w14:paraId="4752DC88" w14:textId="77777777" w:rsidR="00CF0E3D" w:rsidRPr="00ED4F4B" w:rsidRDefault="00CF0E3D" w:rsidP="00CF0E3D">
      <w:pPr>
        <w:pStyle w:val="paragraphsub"/>
      </w:pPr>
      <w:r w:rsidRPr="00ED4F4B">
        <w:tab/>
        <w:t>(ii)</w:t>
      </w:r>
      <w:r w:rsidRPr="00ED4F4B">
        <w:tab/>
        <w:t>the account holder has indicated, through their consumer dashboard, that they no longer approve CDR data relating to that account being disclosed to that accredited person in response to consumer data requests made by that secondary user; or</w:t>
      </w:r>
    </w:p>
    <w:p w14:paraId="50E329B8" w14:textId="77777777" w:rsidR="00CF0E3D" w:rsidRPr="00ED4F4B" w:rsidRDefault="00CF0E3D" w:rsidP="00CF0E3D">
      <w:pPr>
        <w:pStyle w:val="paragraph"/>
      </w:pPr>
      <w:r w:rsidRPr="00ED4F4B">
        <w:tab/>
        <w:t>(b)</w:t>
      </w:r>
      <w:r w:rsidRPr="00ED4F4B">
        <w:tab/>
        <w:t>a Schedule to the rules provides that the requested CDR data must not be disclosed.</w:t>
      </w:r>
    </w:p>
    <w:p w14:paraId="35C4494B" w14:textId="77777777" w:rsidR="00CF0E3D" w:rsidRPr="00ED4F4B" w:rsidRDefault="00CF0E3D" w:rsidP="00CF0E3D">
      <w:pPr>
        <w:pStyle w:val="notetext"/>
      </w:pPr>
      <w:r w:rsidRPr="00ED4F4B">
        <w:t>Note 1:</w:t>
      </w:r>
      <w:r w:rsidRPr="00ED4F4B">
        <w:tab/>
        <w:t>For subparagraph (a)(ii), the account holder is able to indicate this using the functionality referred to in subparagraph 1.15(5)(b)(i).</w:t>
      </w:r>
    </w:p>
    <w:p w14:paraId="463C86BB" w14:textId="77777777" w:rsidR="00CF0E3D" w:rsidRPr="00ED4F4B" w:rsidRDefault="00CF0E3D" w:rsidP="00CF0E3D">
      <w:pPr>
        <w:pStyle w:val="notetext"/>
      </w:pPr>
      <w:r w:rsidRPr="00ED4F4B">
        <w:t xml:space="preserve">Note 2: </w:t>
      </w:r>
      <w:r w:rsidRPr="00ED4F4B">
        <w:tab/>
        <w:t>For paragraph (b), for the banking sector, see clause 4.13 of Schedule 3 to these rules.</w:t>
      </w:r>
    </w:p>
    <w:p w14:paraId="1B098E86" w14:textId="77777777" w:rsidR="00CF0E3D" w:rsidRDefault="00CF0E3D" w:rsidP="00CF0E3D">
      <w:pPr>
        <w:pStyle w:val="ActHead5"/>
      </w:pPr>
      <w:bookmarkStart w:id="149" w:name="_Toc77064883"/>
      <w:r>
        <w:t>4.7</w:t>
      </w:r>
      <w:r w:rsidRPr="007C39E2">
        <w:t xml:space="preserve">  Refusal to disclose required consumer data in response to consumer data </w:t>
      </w:r>
      <w:r>
        <w:t>request</w:t>
      </w:r>
      <w:bookmarkEnd w:id="148"/>
      <w:bookmarkEnd w:id="149"/>
    </w:p>
    <w:p w14:paraId="58AD754F" w14:textId="77777777" w:rsidR="00CF0E3D" w:rsidRPr="009C4726" w:rsidRDefault="00CF0E3D" w:rsidP="00CF0E3D">
      <w:pPr>
        <w:pStyle w:val="subsection"/>
      </w:pPr>
      <w:r>
        <w:tab/>
      </w:r>
      <w:r w:rsidRPr="009C4726">
        <w:t>(1)</w:t>
      </w:r>
      <w:r w:rsidRPr="009C4726">
        <w:tab/>
        <w:t>Despite subrules 4.5(3) and 4.6(4), a data holder may refuse to ask for an authorisation in relation to the relevant CDR data, or refuse to disclose required consumer data in response to the request:</w:t>
      </w:r>
    </w:p>
    <w:p w14:paraId="117A2E3F" w14:textId="77777777" w:rsidR="00CF0E3D" w:rsidRPr="009C4726" w:rsidRDefault="00CF0E3D" w:rsidP="00CF0E3D">
      <w:pPr>
        <w:pStyle w:val="paragraph"/>
      </w:pPr>
      <w:r w:rsidRPr="009C4726">
        <w:tab/>
        <w:t>(a)</w:t>
      </w:r>
      <w:r w:rsidRPr="009C4726">
        <w:tab/>
        <w:t>if the data holder considers this to be necessary to prevent physical or financial harm or abuse; or</w:t>
      </w:r>
    </w:p>
    <w:p w14:paraId="174CD27F" w14:textId="77777777" w:rsidR="00CF0E3D" w:rsidRPr="009C4726" w:rsidRDefault="00CF0E3D" w:rsidP="00CF0E3D">
      <w:pPr>
        <w:pStyle w:val="paragraph"/>
      </w:pPr>
      <w:r w:rsidRPr="009C4726">
        <w:tab/>
        <w:t>(b)</w:t>
      </w:r>
      <w:r w:rsidRPr="009C4726">
        <w:tab/>
        <w:t>if the data holder has reasonable grounds to believe that disclosure of some or all of that data would adversely impact the security, integrity or stability of:</w:t>
      </w:r>
    </w:p>
    <w:p w14:paraId="79342108" w14:textId="77777777" w:rsidR="00CF0E3D" w:rsidRPr="009C4726" w:rsidRDefault="00CF0E3D" w:rsidP="00CF0E3D">
      <w:pPr>
        <w:pStyle w:val="paragraphsub"/>
      </w:pPr>
      <w:r w:rsidRPr="009C4726">
        <w:tab/>
        <w:t>(i)</w:t>
      </w:r>
      <w:r w:rsidRPr="009C4726">
        <w:tab/>
        <w:t>the Register of Accredited Persons; or</w:t>
      </w:r>
    </w:p>
    <w:p w14:paraId="5FE43A5F" w14:textId="77777777" w:rsidR="00CF0E3D" w:rsidRPr="009C4726" w:rsidRDefault="00CF0E3D" w:rsidP="00CF0E3D">
      <w:pPr>
        <w:pStyle w:val="paragraphsub"/>
      </w:pPr>
      <w:r w:rsidRPr="009C4726">
        <w:tab/>
        <w:t>(ii)</w:t>
      </w:r>
      <w:r w:rsidRPr="009C4726">
        <w:tab/>
        <w:t>the data holder’s information and communication technology systems; or</w:t>
      </w:r>
    </w:p>
    <w:p w14:paraId="51A04220" w14:textId="77777777" w:rsidR="00CF0E3D" w:rsidRPr="009C4726" w:rsidRDefault="00CF0E3D" w:rsidP="00CF0E3D">
      <w:pPr>
        <w:pStyle w:val="paragraph"/>
      </w:pPr>
      <w:r w:rsidRPr="009C4726">
        <w:tab/>
        <w:t>(c)</w:t>
      </w:r>
      <w:r w:rsidRPr="009C4726">
        <w:tab/>
        <w:t>in relation to an account that is blocked or suspended; or</w:t>
      </w:r>
    </w:p>
    <w:p w14:paraId="0C15A9E2" w14:textId="77777777" w:rsidR="00CF0E3D" w:rsidRPr="009C4726" w:rsidRDefault="00CF0E3D" w:rsidP="00CF0E3D">
      <w:pPr>
        <w:pStyle w:val="paragraph"/>
      </w:pPr>
      <w:r w:rsidRPr="009C4726">
        <w:tab/>
        <w:t>(d)</w:t>
      </w:r>
      <w:r w:rsidRPr="009C4726">
        <w:tab/>
        <w:t>in circumstances (if any) set out in the data standards.</w:t>
      </w:r>
    </w:p>
    <w:p w14:paraId="3622F7ED" w14:textId="77777777" w:rsidR="00CF0E3D" w:rsidRPr="0023036E" w:rsidRDefault="00CF0E3D" w:rsidP="00CF0E3D">
      <w:pPr>
        <w:pStyle w:val="subsection"/>
      </w:pPr>
      <w:r w:rsidRPr="007C39E2">
        <w:tab/>
      </w:r>
      <w:r>
        <w:t>(3)</w:t>
      </w:r>
      <w:r w:rsidRPr="007C39E2">
        <w:tab/>
        <w:t>The data holder must inform the accredited person of such a refusal</w:t>
      </w:r>
      <w:r w:rsidRPr="0023036E">
        <w:t xml:space="preserve"> in accordance with the data standards.</w:t>
      </w:r>
    </w:p>
    <w:p w14:paraId="768E1B1B"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44B2DD1C"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1CD95038" w14:textId="77777777" w:rsidR="00CF0E3D" w:rsidRDefault="00CF0E3D" w:rsidP="00CF0E3D">
      <w:pPr>
        <w:pStyle w:val="paragraph"/>
        <w:rPr>
          <w:color w:val="000000" w:themeColor="text1"/>
        </w:rPr>
      </w:pPr>
      <w:r w:rsidRPr="005F3D40">
        <w:rPr>
          <w:color w:val="000000" w:themeColor="text1"/>
        </w:rPr>
        <w:tab/>
        <w:t>(b)</w:t>
      </w:r>
      <w:r w:rsidRPr="005F3D40">
        <w:rPr>
          <w:color w:val="000000" w:themeColor="text1"/>
        </w:rPr>
        <w:tab/>
        <w:t>for a body corporate―$250,000.</w:t>
      </w:r>
    </w:p>
    <w:p w14:paraId="6909B8C1" w14:textId="77777777" w:rsidR="00D2745F" w:rsidRDefault="00D2745F" w:rsidP="00CF0E3D">
      <w:pPr>
        <w:pStyle w:val="paragraph"/>
        <w:rPr>
          <w:color w:val="000000" w:themeColor="text1"/>
        </w:rPr>
      </w:pPr>
    </w:p>
    <w:p w14:paraId="57E72E0A" w14:textId="77777777" w:rsidR="00CF0E3D" w:rsidRPr="004F7FBE" w:rsidRDefault="00CF0E3D" w:rsidP="00CF0E3D">
      <w:pPr>
        <w:pStyle w:val="ActHead4"/>
      </w:pPr>
      <w:bookmarkStart w:id="150" w:name="_Toc50114029"/>
      <w:bookmarkStart w:id="151" w:name="_Toc57390999"/>
      <w:bookmarkStart w:id="152" w:name="_Toc59549132"/>
      <w:bookmarkStart w:id="153" w:name="_Toc77064884"/>
      <w:bookmarkStart w:id="154" w:name="_Toc50114030"/>
      <w:bookmarkStart w:id="155" w:name="_Toc57219022"/>
      <w:r w:rsidRPr="004F7FBE">
        <w:lastRenderedPageBreak/>
        <w:t>Subdivision 4.2.4—Consumer data requests by accredited persons to accredited data recipients</w:t>
      </w:r>
      <w:bookmarkEnd w:id="150"/>
      <w:bookmarkEnd w:id="151"/>
      <w:bookmarkEnd w:id="152"/>
      <w:bookmarkEnd w:id="153"/>
    </w:p>
    <w:p w14:paraId="5ADE0A3A" w14:textId="77777777" w:rsidR="00CF0E3D" w:rsidRPr="00ED4F4B" w:rsidRDefault="00CF0E3D" w:rsidP="00CF0E3D">
      <w:pPr>
        <w:pStyle w:val="ActHead5"/>
      </w:pPr>
      <w:bookmarkStart w:id="156" w:name="_Toc59549133"/>
      <w:bookmarkStart w:id="157" w:name="_Toc77064885"/>
      <w:r w:rsidRPr="00ED4F4B">
        <w:t>4.7A  Consumer data request by accredited person to accredited data recipient</w:t>
      </w:r>
      <w:bookmarkEnd w:id="154"/>
      <w:bookmarkEnd w:id="155"/>
      <w:bookmarkEnd w:id="156"/>
      <w:bookmarkEnd w:id="157"/>
    </w:p>
    <w:p w14:paraId="133B2FAF" w14:textId="77777777" w:rsidR="00CF0E3D" w:rsidRPr="00ED4F4B" w:rsidRDefault="00CF0E3D" w:rsidP="00CF0E3D">
      <w:pPr>
        <w:pStyle w:val="subsection"/>
      </w:pPr>
      <w:r w:rsidRPr="00ED4F4B">
        <w:tab/>
        <w:t>(1)</w:t>
      </w:r>
      <w:r w:rsidRPr="00ED4F4B">
        <w:tab/>
        <w:t>If:</w:t>
      </w:r>
    </w:p>
    <w:p w14:paraId="60A11388" w14:textId="7BD0BA7C" w:rsidR="00CF0E3D" w:rsidRPr="00ED4F4B" w:rsidRDefault="00CF0E3D" w:rsidP="00CF0E3D">
      <w:pPr>
        <w:pStyle w:val="paragraph"/>
      </w:pPr>
      <w:r w:rsidRPr="00ED4F4B">
        <w:tab/>
        <w:t>(a)</w:t>
      </w:r>
      <w:r w:rsidRPr="00ED4F4B">
        <w:tab/>
        <w:t>a CDR consumer has given an accredited person a request under rule 4.3</w:t>
      </w:r>
      <w:r w:rsidR="00B86207">
        <w:t xml:space="preserve"> </w:t>
      </w:r>
      <w:r w:rsidR="00B86207" w:rsidRPr="00693A57">
        <w:rPr>
          <w:color w:val="0000FF"/>
        </w:rPr>
        <w:t>or 4.3A</w:t>
      </w:r>
      <w:r w:rsidRPr="00ED4F4B">
        <w:t xml:space="preserve"> to seek to collect CDR data from an accredited data recipient; and</w:t>
      </w:r>
    </w:p>
    <w:p w14:paraId="1E7722C6" w14:textId="77777777" w:rsidR="00CF0E3D" w:rsidRPr="00ED4F4B" w:rsidRDefault="00CF0E3D" w:rsidP="00CF0E3D">
      <w:pPr>
        <w:pStyle w:val="paragraph"/>
      </w:pPr>
      <w:r w:rsidRPr="00ED4F4B">
        <w:tab/>
        <w:t>(b)</w:t>
      </w:r>
      <w:r w:rsidRPr="00ED4F4B">
        <w:tab/>
        <w:t>the request is valid;</w:t>
      </w:r>
    </w:p>
    <w:p w14:paraId="5B7DBBA7" w14:textId="77777777" w:rsidR="00CF0E3D" w:rsidRPr="00ED4F4B" w:rsidRDefault="00CF0E3D" w:rsidP="00CF0E3D">
      <w:pPr>
        <w:pStyle w:val="subsection"/>
        <w:spacing w:before="40"/>
      </w:pPr>
      <w:r w:rsidRPr="00ED4F4B">
        <w:tab/>
      </w:r>
      <w:r w:rsidRPr="00ED4F4B">
        <w:tab/>
        <w:t>the accredited person may request the accredited data recipient to disclose, to the accredited person, some or all of the CDR data that:</w:t>
      </w:r>
    </w:p>
    <w:p w14:paraId="0194D894" w14:textId="77777777" w:rsidR="00CF0E3D" w:rsidRPr="00ED4F4B" w:rsidRDefault="00CF0E3D" w:rsidP="00CF0E3D">
      <w:pPr>
        <w:pStyle w:val="paragraph"/>
      </w:pPr>
      <w:r w:rsidRPr="00ED4F4B">
        <w:tab/>
        <w:t>(c)</w:t>
      </w:r>
      <w:r w:rsidRPr="00ED4F4B">
        <w:tab/>
        <w:t>is the subject of the relevant collection consent and use consent; and</w:t>
      </w:r>
    </w:p>
    <w:p w14:paraId="46455040" w14:textId="77777777" w:rsidR="00CF0E3D" w:rsidRPr="00ED4F4B" w:rsidRDefault="00CF0E3D" w:rsidP="00CF0E3D">
      <w:pPr>
        <w:pStyle w:val="paragraph"/>
      </w:pPr>
      <w:r w:rsidRPr="00ED4F4B">
        <w:tab/>
        <w:t>(d)</w:t>
      </w:r>
      <w:r w:rsidRPr="00ED4F4B">
        <w:tab/>
        <w:t>it is able to collect and use in compliance with the data minimisation principle.</w:t>
      </w:r>
    </w:p>
    <w:p w14:paraId="6C2480B7" w14:textId="77777777" w:rsidR="00CF0E3D" w:rsidRPr="00ED4F4B" w:rsidRDefault="00CF0E3D" w:rsidP="00CF0E3D">
      <w:pPr>
        <w:pStyle w:val="notetext"/>
      </w:pPr>
      <w:r w:rsidRPr="00ED4F4B">
        <w:t>Note:</w:t>
      </w:r>
      <w:r w:rsidRPr="00ED4F4B">
        <w:tab/>
        <w:t>See rule 1.8 for the definition of the “data minimisation principle”.</w:t>
      </w:r>
    </w:p>
    <w:p w14:paraId="4F6ACD23" w14:textId="77777777" w:rsidR="00CF0E3D" w:rsidRPr="00ED4F4B" w:rsidRDefault="00CF0E3D" w:rsidP="00CF0E3D">
      <w:pPr>
        <w:pStyle w:val="subsection"/>
      </w:pPr>
      <w:r w:rsidRPr="00ED4F4B">
        <w:tab/>
        <w:t>(2)</w:t>
      </w:r>
      <w:r w:rsidRPr="00ED4F4B">
        <w:tab/>
        <w:t xml:space="preserve">Such a request is a </w:t>
      </w:r>
      <w:r w:rsidRPr="00ED4F4B">
        <w:rPr>
          <w:b/>
          <w:i/>
        </w:rPr>
        <w:t xml:space="preserve">consumer data request </w:t>
      </w:r>
      <w:r w:rsidRPr="00ED4F4B">
        <w:t>by an accredited person to an accredited data recipient on behalf of a CDR consumer.</w:t>
      </w:r>
    </w:p>
    <w:p w14:paraId="4F4C9DD7" w14:textId="77777777" w:rsidR="00CF0E3D" w:rsidRPr="00ED4F4B" w:rsidRDefault="00CF0E3D" w:rsidP="00CF0E3D">
      <w:pPr>
        <w:pStyle w:val="notetext"/>
      </w:pPr>
      <w:r w:rsidRPr="00ED4F4B">
        <w:t>Note:</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4950310C" w14:textId="77777777" w:rsidR="00CF0E3D" w:rsidRPr="00ED4F4B" w:rsidRDefault="00CF0E3D" w:rsidP="00CF0E3D">
      <w:pPr>
        <w:pStyle w:val="ActHead5"/>
      </w:pPr>
      <w:bookmarkStart w:id="158" w:name="_Toc50114031"/>
      <w:bookmarkStart w:id="159" w:name="_Toc57219023"/>
      <w:bookmarkStart w:id="160" w:name="_Toc59549134"/>
      <w:bookmarkStart w:id="161" w:name="_Toc77064886"/>
      <w:r w:rsidRPr="00ED4F4B">
        <w:t>4.7B  Accredited data recipient may ask eligible CDR consumer for AP disclosure consent</w:t>
      </w:r>
      <w:bookmarkEnd w:id="158"/>
      <w:bookmarkEnd w:id="159"/>
      <w:bookmarkEnd w:id="160"/>
      <w:bookmarkEnd w:id="161"/>
    </w:p>
    <w:p w14:paraId="24768170" w14:textId="77777777" w:rsidR="00CF0E3D" w:rsidRPr="00ED4F4B" w:rsidRDefault="00CF0E3D" w:rsidP="00CF0E3D">
      <w:pPr>
        <w:pStyle w:val="subsection"/>
      </w:pPr>
      <w:r w:rsidRPr="00ED4F4B">
        <w:tab/>
        <w:t>(1)</w:t>
      </w:r>
      <w:r w:rsidRPr="00ED4F4B">
        <w:tab/>
        <w:t>This rule applies if:</w:t>
      </w:r>
    </w:p>
    <w:p w14:paraId="715064A0" w14:textId="77777777" w:rsidR="00CF0E3D" w:rsidRPr="00ED4F4B" w:rsidRDefault="00CF0E3D" w:rsidP="00CF0E3D">
      <w:pPr>
        <w:pStyle w:val="paragraph"/>
      </w:pPr>
      <w:r w:rsidRPr="00ED4F4B">
        <w:tab/>
        <w:t>(a)</w:t>
      </w:r>
      <w:r w:rsidRPr="00ED4F4B">
        <w:tab/>
        <w:t>an accredited data recipient receives, or reasonably anticipates receiving, a consumer data request under rule 4.7A; and</w:t>
      </w:r>
    </w:p>
    <w:p w14:paraId="34313E25" w14:textId="77777777" w:rsidR="00CF0E3D" w:rsidRPr="00ED4F4B" w:rsidRDefault="00CF0E3D" w:rsidP="00CF0E3D">
      <w:pPr>
        <w:pStyle w:val="paragraph"/>
      </w:pPr>
      <w:r w:rsidRPr="00ED4F4B">
        <w:tab/>
        <w:t>(b)</w:t>
      </w:r>
      <w:r w:rsidRPr="00ED4F4B">
        <w:tab/>
        <w:t>there is no current AP disclosure consent for the accredited data recipient to disclose the requested data to the person who made the request; and</w:t>
      </w:r>
    </w:p>
    <w:p w14:paraId="6029DA32" w14:textId="77777777" w:rsidR="00CF0E3D" w:rsidRPr="00ED4F4B" w:rsidRDefault="00CF0E3D" w:rsidP="00CF0E3D">
      <w:pPr>
        <w:pStyle w:val="paragraph"/>
      </w:pPr>
      <w:r w:rsidRPr="00ED4F4B">
        <w:tab/>
        <w:t>(c)</w:t>
      </w:r>
      <w:r w:rsidRPr="00ED4F4B">
        <w:tab/>
        <w:t>the accredited data recipient reasonably believes that the request was or will be made by an accredited person on behalf of an eligible CDR consumer.</w:t>
      </w:r>
    </w:p>
    <w:p w14:paraId="6E6EA44B" w14:textId="701B3212" w:rsidR="00F25A41" w:rsidRPr="00693A57" w:rsidRDefault="00CF0E3D" w:rsidP="00F25A41">
      <w:pPr>
        <w:pStyle w:val="notetext"/>
        <w:rPr>
          <w:color w:val="FF0000"/>
        </w:rPr>
      </w:pPr>
      <w:r w:rsidRPr="00693A57">
        <w:rPr>
          <w:color w:val="FF0000"/>
        </w:rPr>
        <w:t>Note:</w:t>
      </w:r>
      <w:r w:rsidRPr="00693A57">
        <w:rPr>
          <w:color w:val="FF0000"/>
        </w:rPr>
        <w:tab/>
      </w:r>
      <w:r w:rsidR="00F25A41" w:rsidRPr="00693A57">
        <w:rPr>
          <w:color w:val="FF0000"/>
        </w:rPr>
        <w:t>See rule 1.7 for the meaning of “eligible”.  See also:</w:t>
      </w:r>
    </w:p>
    <w:p w14:paraId="25A1CF0D" w14:textId="55EBD771" w:rsidR="00F25A41" w:rsidRPr="00693A57" w:rsidRDefault="00F25A41" w:rsidP="007D5353">
      <w:pPr>
        <w:pStyle w:val="notepara"/>
        <w:numPr>
          <w:ilvl w:val="0"/>
          <w:numId w:val="11"/>
        </w:numPr>
        <w:rPr>
          <w:color w:val="FF0000"/>
        </w:rPr>
      </w:pPr>
      <w:r w:rsidRPr="00693A57">
        <w:rPr>
          <w:color w:val="FF0000"/>
        </w:rPr>
        <w:t>for the banking sector—clause 2.1 of Schedule 3;</w:t>
      </w:r>
    </w:p>
    <w:p w14:paraId="4B90FEAA" w14:textId="462C361B" w:rsidR="00F25A41" w:rsidRPr="00693A57" w:rsidRDefault="00F25A41" w:rsidP="007D5353">
      <w:pPr>
        <w:pStyle w:val="notepara"/>
        <w:numPr>
          <w:ilvl w:val="0"/>
          <w:numId w:val="11"/>
        </w:numPr>
        <w:rPr>
          <w:color w:val="FF0000"/>
        </w:rPr>
      </w:pPr>
      <w:r w:rsidRPr="00693A57">
        <w:rPr>
          <w:color w:val="FF0000"/>
        </w:rPr>
        <w:t>for the energy sector—clause </w:t>
      </w:r>
      <w:r w:rsidR="001D018F" w:rsidRPr="00693A57">
        <w:rPr>
          <w:color w:val="FF0000"/>
        </w:rPr>
        <w:fldChar w:fldCharType="begin" w:fldLock="1"/>
      </w:r>
      <w:r w:rsidR="001D018F" w:rsidRPr="00693A57">
        <w:rPr>
          <w:color w:val="FF0000"/>
        </w:rPr>
        <w:instrText xml:space="preserve"> REF _Ref76551273 \n </w:instrText>
      </w:r>
      <w:r w:rsidR="001D018F" w:rsidRPr="00693A57">
        <w:rPr>
          <w:color w:val="FF0000"/>
        </w:rPr>
        <w:fldChar w:fldCharType="separate"/>
      </w:r>
      <w:r w:rsidR="000F7228">
        <w:rPr>
          <w:color w:val="FF0000"/>
        </w:rPr>
        <w:t>2.1</w:t>
      </w:r>
      <w:r w:rsidR="001D018F" w:rsidRPr="00693A57">
        <w:rPr>
          <w:color w:val="FF0000"/>
        </w:rPr>
        <w:fldChar w:fldCharType="end"/>
      </w:r>
      <w:r w:rsidRPr="00693A57">
        <w:rPr>
          <w:color w:val="FF0000"/>
        </w:rPr>
        <w:t xml:space="preserve"> of Schedule 4.</w:t>
      </w:r>
    </w:p>
    <w:p w14:paraId="40A49851" w14:textId="4870006F" w:rsidR="00CF0E3D" w:rsidRPr="00693A57" w:rsidRDefault="00B13F8B" w:rsidP="00CF0E3D">
      <w:pPr>
        <w:pStyle w:val="notetext"/>
        <w:rPr>
          <w:strike/>
          <w:color w:val="FF0000"/>
        </w:rPr>
      </w:pPr>
      <w:r w:rsidRPr="00693A57">
        <w:rPr>
          <w:strike/>
          <w:color w:val="FF0000"/>
        </w:rPr>
        <w:t>Note:</w:t>
      </w:r>
      <w:r w:rsidR="00F25A41" w:rsidRPr="00693A57">
        <w:rPr>
          <w:strike/>
          <w:color w:val="FF0000"/>
        </w:rPr>
        <w:tab/>
      </w:r>
      <w:r w:rsidR="00CF0E3D" w:rsidRPr="00693A57">
        <w:rPr>
          <w:strike/>
          <w:color w:val="FF0000"/>
        </w:rPr>
        <w:t>See subrule 1.7(1) for the meaning of “eligible”. For the banking sector, see clause 2.1 of Schedule 3 for when a CDR consumer is eligible.</w:t>
      </w:r>
    </w:p>
    <w:p w14:paraId="05742156" w14:textId="77777777" w:rsidR="00CF0E3D" w:rsidRPr="00ED4F4B" w:rsidRDefault="00CF0E3D" w:rsidP="00CF0E3D">
      <w:pPr>
        <w:pStyle w:val="subsection"/>
      </w:pPr>
      <w:r w:rsidRPr="00ED4F4B">
        <w:tab/>
        <w:t>(2)</w:t>
      </w:r>
      <w:r w:rsidRPr="00ED4F4B">
        <w:tab/>
        <w:t>The accredited data recipient may, in accordance with Division 4.3, ask the CDR consumer for such an AP disclosure consent.</w:t>
      </w:r>
    </w:p>
    <w:p w14:paraId="532FA5C6" w14:textId="77777777" w:rsidR="00CF0E3D" w:rsidRPr="00ED4F4B" w:rsidRDefault="00CF0E3D" w:rsidP="00CF0E3D">
      <w:pPr>
        <w:pStyle w:val="notetext"/>
      </w:pPr>
      <w:r w:rsidRPr="00ED4F4B">
        <w:t>Note:</w:t>
      </w:r>
      <w:r w:rsidRPr="00ED4F4B">
        <w:tab/>
        <w:t>If the CDR consumer consents to the disclosure, the accredited data recipient is authorised (but not required) to disclose the requested CDR data to the accredited person: see paragraph 7.5(1)(f) and rules 7.6, 7.7 and 7.8.</w:t>
      </w:r>
    </w:p>
    <w:p w14:paraId="65F78C59" w14:textId="77777777" w:rsidR="00CF0E3D" w:rsidRPr="00ED4F4B" w:rsidRDefault="00CF0E3D" w:rsidP="00CF0E3D">
      <w:pPr>
        <w:pStyle w:val="subsection"/>
      </w:pPr>
      <w:r w:rsidRPr="00ED4F4B">
        <w:lastRenderedPageBreak/>
        <w:tab/>
        <w:t>(3)</w:t>
      </w:r>
      <w:r w:rsidRPr="00ED4F4B">
        <w:tab/>
        <w:t>If an accredited data recipient asks for an AP disclosure consent for the purposes of subrule (2), it must do so in accordance with Division 4.3.</w:t>
      </w:r>
    </w:p>
    <w:p w14:paraId="64D00FFE" w14:textId="77777777" w:rsidR="00CF0E3D" w:rsidRDefault="00CF0E3D" w:rsidP="00CF0E3D">
      <w:pPr>
        <w:pStyle w:val="notetext"/>
      </w:pPr>
      <w:r w:rsidRPr="00ED4F4B">
        <w:t>Note:</w:t>
      </w:r>
      <w:r w:rsidRPr="00ED4F4B">
        <w:tab/>
        <w:t>This subrule is a civil penalty provision (see rule 9.8).</w:t>
      </w:r>
    </w:p>
    <w:p w14:paraId="1D025F10" w14:textId="77777777" w:rsidR="00CF0E3D" w:rsidRPr="002044A8" w:rsidRDefault="00CF0E3D" w:rsidP="00CF0E3D">
      <w:pPr>
        <w:pStyle w:val="ActHead3"/>
      </w:pPr>
      <w:bookmarkStart w:id="162" w:name="_Toc50114034"/>
      <w:bookmarkStart w:id="163" w:name="_Toc57219024"/>
      <w:bookmarkStart w:id="164" w:name="_Toc59549135"/>
      <w:bookmarkStart w:id="165" w:name="_Toc77064887"/>
      <w:bookmarkStart w:id="166" w:name="_Toc11771605"/>
      <w:r w:rsidRPr="002044A8">
        <w:t>Division 4.3—Giving and amending consents</w:t>
      </w:r>
      <w:bookmarkEnd w:id="162"/>
      <w:bookmarkEnd w:id="163"/>
      <w:bookmarkEnd w:id="164"/>
      <w:bookmarkEnd w:id="165"/>
    </w:p>
    <w:p w14:paraId="7F05AFD7" w14:textId="77777777" w:rsidR="00CF0E3D" w:rsidRPr="00F07699" w:rsidRDefault="00CF0E3D" w:rsidP="00CF0E3D">
      <w:pPr>
        <w:pStyle w:val="ActHead4"/>
      </w:pPr>
      <w:bookmarkStart w:id="167" w:name="_Toc50114035"/>
      <w:bookmarkStart w:id="168" w:name="_Toc50633075"/>
      <w:bookmarkStart w:id="169" w:name="_Toc57219025"/>
      <w:bookmarkStart w:id="170" w:name="_Toc59549136"/>
      <w:bookmarkStart w:id="171" w:name="_Toc77064888"/>
      <w:r w:rsidRPr="00F07699">
        <w:t>Subdivision 4.3.1—Preliminary</w:t>
      </w:r>
      <w:bookmarkEnd w:id="167"/>
      <w:bookmarkEnd w:id="168"/>
      <w:bookmarkEnd w:id="169"/>
      <w:bookmarkEnd w:id="170"/>
      <w:bookmarkEnd w:id="171"/>
    </w:p>
    <w:p w14:paraId="1837D2CE" w14:textId="77777777" w:rsidR="00CF0E3D" w:rsidRPr="00F07699" w:rsidRDefault="00CF0E3D" w:rsidP="00CF0E3D">
      <w:pPr>
        <w:pStyle w:val="ActHead5"/>
      </w:pPr>
      <w:bookmarkStart w:id="172" w:name="_Toc50114036"/>
      <w:bookmarkStart w:id="173" w:name="_Toc50633076"/>
      <w:bookmarkStart w:id="174" w:name="_Toc57219026"/>
      <w:bookmarkStart w:id="175" w:name="_Toc59549137"/>
      <w:bookmarkStart w:id="176" w:name="_Toc77064889"/>
      <w:r w:rsidRPr="00F07699">
        <w:t>4.8  Purpose of Division</w:t>
      </w:r>
      <w:bookmarkEnd w:id="172"/>
      <w:bookmarkEnd w:id="173"/>
      <w:bookmarkEnd w:id="174"/>
      <w:bookmarkEnd w:id="175"/>
      <w:bookmarkEnd w:id="176"/>
    </w:p>
    <w:p w14:paraId="309EDA84" w14:textId="77777777" w:rsidR="00CF0E3D" w:rsidRPr="00ED4F4B" w:rsidRDefault="00CF0E3D" w:rsidP="00CF0E3D">
      <w:pPr>
        <w:pStyle w:val="subsection"/>
      </w:pPr>
      <w:r w:rsidRPr="00ED4F4B">
        <w:tab/>
      </w:r>
      <w:r w:rsidRPr="00ED4F4B">
        <w:tab/>
        <w:t>This Division deals with giving and amending collection consents, use consents and disclosure consents, as well as related matters.</w:t>
      </w:r>
    </w:p>
    <w:p w14:paraId="5931BDD6" w14:textId="77777777" w:rsidR="00CF0E3D" w:rsidRPr="00F07699" w:rsidRDefault="00CF0E3D" w:rsidP="00CF0E3D">
      <w:pPr>
        <w:pStyle w:val="ActHead5"/>
      </w:pPr>
      <w:bookmarkStart w:id="177" w:name="_Toc50114037"/>
      <w:bookmarkStart w:id="178" w:name="_Toc50633077"/>
      <w:bookmarkStart w:id="179" w:name="_Toc57219027"/>
      <w:bookmarkStart w:id="180" w:name="_Toc59549138"/>
      <w:bookmarkStart w:id="181" w:name="_Toc77064890"/>
      <w:r w:rsidRPr="00F07699">
        <w:t>4.9  Object</w:t>
      </w:r>
      <w:bookmarkEnd w:id="177"/>
      <w:bookmarkEnd w:id="178"/>
      <w:bookmarkEnd w:id="179"/>
      <w:bookmarkEnd w:id="180"/>
      <w:bookmarkEnd w:id="181"/>
    </w:p>
    <w:p w14:paraId="644CAA4F" w14:textId="77777777" w:rsidR="00CF0E3D" w:rsidRPr="00F07699" w:rsidRDefault="00CF0E3D" w:rsidP="00CF0E3D">
      <w:pPr>
        <w:pStyle w:val="subsection"/>
      </w:pPr>
      <w:r w:rsidRPr="00F07699">
        <w:tab/>
      </w:r>
      <w:r w:rsidRPr="00F07699">
        <w:tab/>
        <w:t>The object of this Division is to ensure that a consent is:</w:t>
      </w:r>
    </w:p>
    <w:p w14:paraId="6C2E844B" w14:textId="77777777" w:rsidR="00CF0E3D" w:rsidRPr="00F07699" w:rsidRDefault="00CF0E3D" w:rsidP="00CF0E3D">
      <w:pPr>
        <w:pStyle w:val="paragraph"/>
      </w:pPr>
      <w:r w:rsidRPr="00F07699">
        <w:tab/>
        <w:t>(a)</w:t>
      </w:r>
      <w:r w:rsidRPr="00F07699">
        <w:tab/>
        <w:t>voluntary; and</w:t>
      </w:r>
    </w:p>
    <w:p w14:paraId="4F962B27" w14:textId="77777777" w:rsidR="00CF0E3D" w:rsidRPr="00F07699" w:rsidRDefault="00CF0E3D" w:rsidP="00CF0E3D">
      <w:pPr>
        <w:pStyle w:val="paragraph"/>
      </w:pPr>
      <w:r w:rsidRPr="00F07699">
        <w:tab/>
        <w:t>(b)</w:t>
      </w:r>
      <w:r w:rsidRPr="00F07699">
        <w:tab/>
        <w:t>express; and</w:t>
      </w:r>
    </w:p>
    <w:p w14:paraId="4F026563" w14:textId="77777777" w:rsidR="00CF0E3D" w:rsidRPr="00F07699" w:rsidRDefault="00CF0E3D" w:rsidP="00CF0E3D">
      <w:pPr>
        <w:pStyle w:val="paragraph"/>
      </w:pPr>
      <w:r w:rsidRPr="00F07699">
        <w:tab/>
        <w:t>(c)</w:t>
      </w:r>
      <w:r w:rsidRPr="00F07699">
        <w:tab/>
        <w:t>informed; and</w:t>
      </w:r>
    </w:p>
    <w:p w14:paraId="29F86839" w14:textId="77777777" w:rsidR="00CF0E3D" w:rsidRPr="00F07699" w:rsidRDefault="00CF0E3D" w:rsidP="00CF0E3D">
      <w:pPr>
        <w:pStyle w:val="paragraph"/>
      </w:pPr>
      <w:r w:rsidRPr="00F07699">
        <w:tab/>
        <w:t>(d)</w:t>
      </w:r>
      <w:r w:rsidRPr="00F07699">
        <w:tab/>
        <w:t>specific as to purpose; and</w:t>
      </w:r>
    </w:p>
    <w:p w14:paraId="39C323B5" w14:textId="77777777" w:rsidR="00CF0E3D" w:rsidRPr="00F07699" w:rsidRDefault="00CF0E3D" w:rsidP="00CF0E3D">
      <w:pPr>
        <w:pStyle w:val="paragraph"/>
      </w:pPr>
      <w:r w:rsidRPr="00F07699">
        <w:tab/>
        <w:t>(e)</w:t>
      </w:r>
      <w:r w:rsidRPr="00F07699">
        <w:tab/>
        <w:t>time limited; and</w:t>
      </w:r>
    </w:p>
    <w:p w14:paraId="0E3D97CC" w14:textId="77777777" w:rsidR="00CF0E3D" w:rsidRPr="00F07699" w:rsidRDefault="00CF0E3D" w:rsidP="00CF0E3D">
      <w:pPr>
        <w:pStyle w:val="paragraph"/>
      </w:pPr>
      <w:r w:rsidRPr="00F07699">
        <w:tab/>
        <w:t>(f)</w:t>
      </w:r>
      <w:r w:rsidRPr="00F07699">
        <w:tab/>
        <w:t>easily withdrawn.</w:t>
      </w:r>
    </w:p>
    <w:p w14:paraId="6BF513B2" w14:textId="77777777" w:rsidR="00CF0E3D" w:rsidRPr="00F07699" w:rsidRDefault="00CF0E3D" w:rsidP="00CF0E3D">
      <w:pPr>
        <w:pStyle w:val="ActHead4"/>
      </w:pPr>
      <w:bookmarkStart w:id="182" w:name="_Toc50633078"/>
      <w:bookmarkStart w:id="183" w:name="_Toc50114038"/>
      <w:bookmarkStart w:id="184" w:name="_Toc57219028"/>
      <w:bookmarkStart w:id="185" w:name="_Toc59549139"/>
      <w:bookmarkStart w:id="186" w:name="_Toc77064891"/>
      <w:r w:rsidRPr="00F07699">
        <w:t>Subdivision 4.3.2—</w:t>
      </w:r>
      <w:bookmarkEnd w:id="182"/>
      <w:r w:rsidRPr="00ED4F4B">
        <w:t>Giving consents</w:t>
      </w:r>
      <w:bookmarkEnd w:id="183"/>
      <w:bookmarkEnd w:id="184"/>
      <w:bookmarkEnd w:id="185"/>
      <w:bookmarkEnd w:id="186"/>
    </w:p>
    <w:p w14:paraId="34018269" w14:textId="77777777" w:rsidR="00CF0E3D" w:rsidRPr="00F07699" w:rsidRDefault="00CF0E3D" w:rsidP="00CF0E3D">
      <w:pPr>
        <w:pStyle w:val="notemargin"/>
      </w:pPr>
      <w:r w:rsidRPr="00F07699">
        <w:t>Note:</w:t>
      </w:r>
      <w:r w:rsidRPr="00F07699">
        <w:tab/>
        <w:t xml:space="preserve">Under rule 4.3, if an accredited person asks a CDR consumer for their consent to collect and use their CDR data, it must do so in accordance with this </w:t>
      </w:r>
      <w:r w:rsidRPr="00ED4F4B">
        <w:t>Division</w:t>
      </w:r>
      <w:r w:rsidRPr="00F07699">
        <w:t>, and in particular, rules 4.10, 4.11 and 4.12. A failure to do so could contravene one or more civil penalty provisions: see section 56EF of the Act and rule 4.3.</w:t>
      </w:r>
    </w:p>
    <w:p w14:paraId="38F4BB9B" w14:textId="77777777" w:rsidR="00CF0E3D" w:rsidRDefault="00CF0E3D" w:rsidP="00CF0E3D">
      <w:pPr>
        <w:pStyle w:val="ActHead5"/>
      </w:pPr>
      <w:bookmarkStart w:id="187" w:name="_Toc50114039"/>
      <w:bookmarkStart w:id="188" w:name="_Toc50633079"/>
      <w:bookmarkStart w:id="189" w:name="_Toc57560264"/>
      <w:bookmarkStart w:id="190" w:name="_Toc59549140"/>
      <w:bookmarkStart w:id="191" w:name="_Toc77064892"/>
      <w:bookmarkStart w:id="192" w:name="_Toc50114040"/>
      <w:bookmarkStart w:id="193" w:name="_Toc50633080"/>
      <w:bookmarkStart w:id="194" w:name="_Toc57219030"/>
      <w:r w:rsidRPr="00F07699">
        <w:t>4.10  Requirements relating to accredited person’s processes for seeking consent</w:t>
      </w:r>
      <w:bookmarkEnd w:id="187"/>
      <w:bookmarkEnd w:id="188"/>
      <w:bookmarkEnd w:id="189"/>
      <w:bookmarkEnd w:id="190"/>
      <w:bookmarkEnd w:id="191"/>
    </w:p>
    <w:p w14:paraId="1FCDEB66" w14:textId="77777777" w:rsidR="00CF0E3D" w:rsidRPr="00ED4F4B" w:rsidRDefault="00CF0E3D" w:rsidP="00CF0E3D">
      <w:pPr>
        <w:pStyle w:val="subsection"/>
      </w:pPr>
      <w:r w:rsidRPr="00ED4F4B">
        <w:tab/>
        <w:t>(1)</w:t>
      </w:r>
      <w:r w:rsidRPr="00ED4F4B">
        <w:tab/>
        <w:t>An accredited person’s processes for asking a CDR consumer to give and amend a consent:</w:t>
      </w:r>
    </w:p>
    <w:p w14:paraId="39CC6379" w14:textId="77777777" w:rsidR="00CF0E3D" w:rsidRPr="00ED4F4B" w:rsidRDefault="00CF0E3D" w:rsidP="00CF0E3D">
      <w:pPr>
        <w:pStyle w:val="paragraph"/>
      </w:pPr>
      <w:r w:rsidRPr="00ED4F4B">
        <w:tab/>
        <w:t>(a)</w:t>
      </w:r>
      <w:r w:rsidRPr="00ED4F4B">
        <w:tab/>
        <w:t>must:</w:t>
      </w:r>
    </w:p>
    <w:p w14:paraId="7110F45E" w14:textId="77777777" w:rsidR="00CF0E3D" w:rsidRPr="00ED4F4B" w:rsidRDefault="00CF0E3D" w:rsidP="00CF0E3D">
      <w:pPr>
        <w:pStyle w:val="paragraphsub"/>
      </w:pPr>
      <w:r w:rsidRPr="00ED4F4B">
        <w:tab/>
        <w:t>(i)</w:t>
      </w:r>
      <w:r w:rsidRPr="00ED4F4B">
        <w:tab/>
        <w:t>accord with any consumer experience data standards; and</w:t>
      </w:r>
    </w:p>
    <w:p w14:paraId="327BAB11" w14:textId="77777777" w:rsidR="00CF0E3D" w:rsidRPr="00ED4F4B" w:rsidRDefault="00CF0E3D" w:rsidP="00CF0E3D">
      <w:pPr>
        <w:pStyle w:val="paragraphsub"/>
      </w:pPr>
      <w:r w:rsidRPr="00ED4F4B">
        <w:tab/>
      </w:r>
      <w:r w:rsidRPr="00285CFD">
        <w:t>(ia)</w:t>
      </w:r>
      <w:r w:rsidRPr="00880559">
        <w:tab/>
      </w:r>
      <w:r w:rsidRPr="00880559">
        <w:tab/>
      </w:r>
      <w:r w:rsidRPr="00ED4F4B">
        <w:t>subject to subrule (2), accord with any other data standards; and</w:t>
      </w:r>
    </w:p>
    <w:p w14:paraId="4D5E7AD3" w14:textId="77777777" w:rsidR="00CF0E3D" w:rsidRPr="00ED4F4B" w:rsidRDefault="00CF0E3D" w:rsidP="00CF0E3D">
      <w:pPr>
        <w:pStyle w:val="paragraphsub"/>
      </w:pPr>
      <w:r w:rsidRPr="00ED4F4B">
        <w:tab/>
        <w:t>(ii)</w:t>
      </w:r>
      <w:r w:rsidRPr="00ED4F4B">
        <w:tab/>
        <w:t>having regard to any consumer experience guidelines developed by the Data Standards Body, be as easy to understand as practicable, including by use of concise language and, where appropriate, visual aids; and</w:t>
      </w:r>
    </w:p>
    <w:p w14:paraId="3C9ACDB7" w14:textId="77777777" w:rsidR="00CF0E3D" w:rsidRPr="00ED4F4B" w:rsidRDefault="00CF0E3D" w:rsidP="00CF0E3D">
      <w:pPr>
        <w:pStyle w:val="paragraph"/>
      </w:pPr>
      <w:r w:rsidRPr="00ED4F4B">
        <w:tab/>
        <w:t>(b)</w:t>
      </w:r>
      <w:r w:rsidRPr="00ED4F4B">
        <w:tab/>
        <w:t>must not:</w:t>
      </w:r>
    </w:p>
    <w:p w14:paraId="19D2AFE3" w14:textId="77777777" w:rsidR="00CF0E3D" w:rsidRPr="00ED4F4B" w:rsidRDefault="00CF0E3D" w:rsidP="00CF0E3D">
      <w:pPr>
        <w:pStyle w:val="paragraphsub"/>
      </w:pPr>
      <w:r w:rsidRPr="00ED4F4B">
        <w:tab/>
        <w:t>(i)</w:t>
      </w:r>
      <w:r w:rsidRPr="00ED4F4B">
        <w:tab/>
        <w:t>include or refer to the accredited person’s CDR policy or other documents so as to reduce comprehensibility; or</w:t>
      </w:r>
    </w:p>
    <w:p w14:paraId="42B2591A" w14:textId="77777777" w:rsidR="00CF0E3D" w:rsidRPr="00ED4F4B" w:rsidRDefault="00CF0E3D" w:rsidP="00CF0E3D">
      <w:pPr>
        <w:pStyle w:val="paragraphsub"/>
      </w:pPr>
      <w:r w:rsidRPr="00ED4F4B">
        <w:tab/>
        <w:t>(ii)</w:t>
      </w:r>
      <w:r w:rsidRPr="00ED4F4B">
        <w:tab/>
        <w:t>bundle consents with other directions, permissions, consents or agreements.</w:t>
      </w:r>
    </w:p>
    <w:p w14:paraId="4F1118C8" w14:textId="77777777" w:rsidR="00CF0E3D" w:rsidRPr="00ED4F4B" w:rsidRDefault="00CF0E3D" w:rsidP="00CF0E3D">
      <w:pPr>
        <w:pStyle w:val="subsection"/>
      </w:pPr>
      <w:r w:rsidRPr="00ED4F4B">
        <w:lastRenderedPageBreak/>
        <w:tab/>
        <w:t>(2)</w:t>
      </w:r>
      <w:r w:rsidRPr="00ED4F4B">
        <w:tab/>
        <w:t>Subparagraph (1)(a)(</w:t>
      </w:r>
      <w:r>
        <w:t>ia</w:t>
      </w:r>
      <w:r w:rsidRPr="00ED4F4B">
        <w:t>) does not apply to:</w:t>
      </w:r>
    </w:p>
    <w:p w14:paraId="5DF07E6E" w14:textId="77777777" w:rsidR="00CF0E3D" w:rsidRPr="00ED4F4B" w:rsidRDefault="00CF0E3D" w:rsidP="00CF0E3D">
      <w:pPr>
        <w:pStyle w:val="paragraph"/>
      </w:pPr>
      <w:r w:rsidRPr="00ED4F4B">
        <w:tab/>
        <w:t>(a)</w:t>
      </w:r>
      <w:r w:rsidRPr="00ED4F4B">
        <w:tab/>
        <w:t>a collection consent for collection of CDR data from an accredited data recipient; or</w:t>
      </w:r>
    </w:p>
    <w:p w14:paraId="6E2F30A1" w14:textId="77777777" w:rsidR="00CF0E3D" w:rsidRPr="00ED4F4B" w:rsidRDefault="00CF0E3D" w:rsidP="00CF0E3D">
      <w:pPr>
        <w:pStyle w:val="paragraph"/>
      </w:pPr>
      <w:r w:rsidRPr="00ED4F4B">
        <w:tab/>
        <w:t>(b)</w:t>
      </w:r>
      <w:r w:rsidRPr="00ED4F4B">
        <w:tab/>
        <w:t>a disclosure consent.</w:t>
      </w:r>
    </w:p>
    <w:p w14:paraId="23697532" w14:textId="77777777" w:rsidR="00CF0E3D" w:rsidRPr="00F07699" w:rsidRDefault="00CF0E3D" w:rsidP="00CF0E3D">
      <w:pPr>
        <w:pStyle w:val="ActHead5"/>
      </w:pPr>
      <w:bookmarkStart w:id="195" w:name="_Toc59549141"/>
      <w:bookmarkStart w:id="196" w:name="_Toc77064893"/>
      <w:r w:rsidRPr="00F07699">
        <w:t>4.11  Asking CDR consumer to give consent</w:t>
      </w:r>
      <w:bookmarkEnd w:id="192"/>
      <w:bookmarkEnd w:id="193"/>
      <w:bookmarkEnd w:id="194"/>
      <w:bookmarkEnd w:id="195"/>
      <w:bookmarkEnd w:id="196"/>
    </w:p>
    <w:p w14:paraId="1FC1B770" w14:textId="77777777" w:rsidR="00CF0E3D" w:rsidRPr="00ED4F4B" w:rsidRDefault="00CF0E3D" w:rsidP="00CF0E3D">
      <w:pPr>
        <w:pStyle w:val="SubsectionHead"/>
      </w:pPr>
      <w:r w:rsidRPr="00ED4F4B">
        <w:t>Asking CDR consumer to give consent</w:t>
      </w:r>
    </w:p>
    <w:p w14:paraId="65A706F9" w14:textId="77777777" w:rsidR="00CF0E3D" w:rsidRPr="00ED4F4B" w:rsidRDefault="00CF0E3D" w:rsidP="00CF0E3D">
      <w:pPr>
        <w:pStyle w:val="subsection"/>
      </w:pPr>
      <w:r w:rsidRPr="00ED4F4B">
        <w:tab/>
        <w:t>(1A)</w:t>
      </w:r>
      <w:r w:rsidRPr="00ED4F4B">
        <w:tab/>
        <w:t xml:space="preserve">An accredited person must not ask a CDR consumer to give a disclosure consent in relation to CDR data unless the consumer has already given the collection and use consents required to collect the CDR data to be disclosed. </w:t>
      </w:r>
    </w:p>
    <w:p w14:paraId="53C35CA4" w14:textId="77777777" w:rsidR="00CF0E3D" w:rsidRPr="00ED4F4B" w:rsidRDefault="00CF0E3D" w:rsidP="00CF0E3D">
      <w:pPr>
        <w:pStyle w:val="notetext"/>
      </w:pPr>
      <w:r w:rsidRPr="00ED4F4B">
        <w:t>Note:</w:t>
      </w:r>
      <w:r w:rsidRPr="00ED4F4B">
        <w:tab/>
        <w:t>This does not prevent the accredited person from asking for a disclosure consent in relation to CDR data that has yet to be collected.</w:t>
      </w:r>
    </w:p>
    <w:p w14:paraId="08C5E5C9" w14:textId="77777777" w:rsidR="00CF0E3D" w:rsidRPr="00ED4F4B" w:rsidRDefault="00CF0E3D" w:rsidP="00CF0E3D">
      <w:pPr>
        <w:pStyle w:val="subsection"/>
      </w:pPr>
      <w:r w:rsidRPr="00ED4F4B">
        <w:tab/>
        <w:t>(1)</w:t>
      </w:r>
      <w:r w:rsidRPr="00ED4F4B">
        <w:tab/>
        <w:t>When asking a CDR consumer to give a consent, an accredited person must:</w:t>
      </w:r>
    </w:p>
    <w:p w14:paraId="2B0CFA35" w14:textId="77777777" w:rsidR="00CF0E3D" w:rsidRPr="00ED4F4B" w:rsidRDefault="00CF0E3D" w:rsidP="00CF0E3D">
      <w:pPr>
        <w:pStyle w:val="paragraph"/>
      </w:pPr>
      <w:r w:rsidRPr="00ED4F4B">
        <w:tab/>
        <w:t>(a)</w:t>
      </w:r>
      <w:r w:rsidRPr="00ED4F4B">
        <w:tab/>
        <w:t>allow the CDR consumer to choose the types of CDR data to which the consent will apply by enabling the CDR consumer to actively select or otherwise clearly indicate:</w:t>
      </w:r>
    </w:p>
    <w:p w14:paraId="2BE780D9" w14:textId="77777777" w:rsidR="00CF0E3D" w:rsidRPr="00ED4F4B" w:rsidRDefault="00CF0E3D" w:rsidP="00CF0E3D">
      <w:pPr>
        <w:pStyle w:val="paragraphsub"/>
      </w:pPr>
      <w:r w:rsidRPr="00ED4F4B">
        <w:tab/>
        <w:t>(i)</w:t>
      </w:r>
      <w:r w:rsidRPr="00ED4F4B">
        <w:tab/>
        <w:t>in the case of a collection consent or a disclosure consent―the particular types of CDR data to which the consent will apply; and</w:t>
      </w:r>
    </w:p>
    <w:p w14:paraId="6B46C425" w14:textId="77777777" w:rsidR="00CF0E3D" w:rsidRPr="00ED4F4B" w:rsidRDefault="00CF0E3D" w:rsidP="00CF0E3D">
      <w:pPr>
        <w:pStyle w:val="paragraphsub"/>
      </w:pPr>
      <w:r w:rsidRPr="00ED4F4B">
        <w:tab/>
        <w:t>(ii)</w:t>
      </w:r>
      <w:r w:rsidRPr="00ED4F4B">
        <w:tab/>
        <w:t>in the case of a use consent―the specific uses of collected data to which they are consenting; and</w:t>
      </w:r>
    </w:p>
    <w:p w14:paraId="14DFABF1" w14:textId="77777777" w:rsidR="00CF0E3D" w:rsidRPr="00ED4F4B" w:rsidRDefault="00CF0E3D" w:rsidP="00CF0E3D">
      <w:pPr>
        <w:pStyle w:val="paragraph"/>
      </w:pPr>
      <w:r w:rsidRPr="00ED4F4B">
        <w:tab/>
        <w:t>(b)</w:t>
      </w:r>
      <w:r w:rsidRPr="00ED4F4B">
        <w:tab/>
        <w:t>allow the CDR consumer to choose the period of the collection consent, use consent, or disclosure consent (as appropriate) by enabling the CDR consumer to actively select or otherwise clearly indicate whether the consent would apply:</w:t>
      </w:r>
    </w:p>
    <w:p w14:paraId="63D3F0A0" w14:textId="77777777" w:rsidR="00CF0E3D" w:rsidRPr="00ED4F4B" w:rsidRDefault="00CF0E3D" w:rsidP="00CF0E3D">
      <w:pPr>
        <w:pStyle w:val="paragraphsub"/>
      </w:pPr>
      <w:r w:rsidRPr="00ED4F4B">
        <w:tab/>
        <w:t>(i)</w:t>
      </w:r>
      <w:r w:rsidRPr="00ED4F4B">
        <w:tab/>
        <w:t xml:space="preserve"> on a single occasion; or</w:t>
      </w:r>
    </w:p>
    <w:p w14:paraId="54C30D2E" w14:textId="77777777" w:rsidR="00CF0E3D" w:rsidRPr="00ED4F4B" w:rsidRDefault="00CF0E3D" w:rsidP="00CF0E3D">
      <w:pPr>
        <w:pStyle w:val="paragraphsub"/>
      </w:pPr>
      <w:r w:rsidRPr="00ED4F4B">
        <w:tab/>
        <w:t>(ii)</w:t>
      </w:r>
      <w:r w:rsidRPr="00ED4F4B">
        <w:tab/>
        <w:t xml:space="preserve"> over a specified period of time; and</w:t>
      </w:r>
    </w:p>
    <w:p w14:paraId="59DD7C7E" w14:textId="77777777" w:rsidR="00CF0E3D" w:rsidRPr="00ED4F4B" w:rsidRDefault="00CF0E3D" w:rsidP="00CF0E3D">
      <w:pPr>
        <w:pStyle w:val="paragraph"/>
      </w:pPr>
      <w:r w:rsidRPr="00ED4F4B">
        <w:tab/>
        <w:t>(ba)</w:t>
      </w:r>
      <w:r w:rsidRPr="00ED4F4B">
        <w:tab/>
        <w:t>in the case of a disclosure consent―allow the CDR consumer to select the person to whom the CDR data may be disclosed;</w:t>
      </w:r>
    </w:p>
    <w:p w14:paraId="20FDE55C" w14:textId="77777777" w:rsidR="00CF0E3D" w:rsidRPr="00ED4F4B" w:rsidRDefault="00CF0E3D" w:rsidP="00CF0E3D">
      <w:pPr>
        <w:pStyle w:val="paragraph"/>
      </w:pPr>
      <w:r w:rsidRPr="00ED4F4B">
        <w:tab/>
        <w:t>(c)</w:t>
      </w:r>
      <w:r w:rsidRPr="00ED4F4B">
        <w:tab/>
        <w:t>ask for the CDR consumer’s express consent to the choices referred to in paragraphs (a), (b) and (ba) for each relevant category of consents; and</w:t>
      </w:r>
    </w:p>
    <w:p w14:paraId="4754D05D" w14:textId="77777777" w:rsidR="00CF0E3D" w:rsidRPr="00ED4F4B" w:rsidRDefault="00CF0E3D" w:rsidP="00CF0E3D">
      <w:pPr>
        <w:pStyle w:val="paragraph"/>
      </w:pPr>
      <w:r w:rsidRPr="00ED4F4B">
        <w:tab/>
        <w:t>(d)</w:t>
      </w:r>
      <w:r w:rsidRPr="00ED4F4B">
        <w:tab/>
        <w:t>if the accredited person intends to charge a fee for disclosure of CDR data, or pass on to the CDR consumer a fee charged by a data holder for disclosure of CDR data:</w:t>
      </w:r>
    </w:p>
    <w:p w14:paraId="1BCA66BD" w14:textId="77777777" w:rsidR="00CF0E3D" w:rsidRPr="00ED4F4B" w:rsidRDefault="00CF0E3D" w:rsidP="00CF0E3D">
      <w:pPr>
        <w:pStyle w:val="paragraphsub"/>
      </w:pPr>
      <w:r w:rsidRPr="00ED4F4B">
        <w:tab/>
        <w:t>(i)</w:t>
      </w:r>
      <w:r w:rsidRPr="00ED4F4B">
        <w:tab/>
        <w:t>clearly distinguish between the CDR data for which a fee will, and will not, be charged or passed on; and</w:t>
      </w:r>
    </w:p>
    <w:p w14:paraId="3ED42A2A" w14:textId="77777777" w:rsidR="00CF0E3D" w:rsidRPr="00ED4F4B" w:rsidRDefault="00CF0E3D" w:rsidP="00CF0E3D">
      <w:pPr>
        <w:pStyle w:val="paragraphsub"/>
      </w:pPr>
      <w:r w:rsidRPr="00ED4F4B">
        <w:tab/>
        <w:t>(ii)</w:t>
      </w:r>
      <w:r w:rsidRPr="00ED4F4B">
        <w:tab/>
        <w:t>allow the CDR consumer to actively select or otherwise clearly indicate whether they consent to the collection or disclosure, as appropriate, of the CDR data for which a fee will be charged or passed on; and</w:t>
      </w:r>
    </w:p>
    <w:p w14:paraId="6C626E5D" w14:textId="77777777" w:rsidR="00CF0E3D" w:rsidRPr="00F07699" w:rsidRDefault="00CF0E3D" w:rsidP="00CF0E3D">
      <w:pPr>
        <w:pStyle w:val="paragraph"/>
      </w:pPr>
      <w:r>
        <w:tab/>
        <w:t>(e</w:t>
      </w:r>
      <w:r w:rsidRPr="00F07699">
        <w:t>)</w:t>
      </w:r>
      <w:r w:rsidRPr="00F07699">
        <w:tab/>
        <w:t>allow the CDR consumer to make an election in relation to deletion of redundant data in accordance with rule 4.16.</w:t>
      </w:r>
    </w:p>
    <w:p w14:paraId="1730CF36" w14:textId="77777777" w:rsidR="00CF0E3D" w:rsidRPr="00F07699" w:rsidRDefault="00CF0E3D" w:rsidP="00CF0E3D">
      <w:pPr>
        <w:pStyle w:val="notetext"/>
      </w:pPr>
      <w:r w:rsidRPr="00F07699">
        <w:t>Example:</w:t>
      </w:r>
      <w:r w:rsidRPr="00F07699">
        <w:tab/>
      </w:r>
      <w:r w:rsidRPr="00ED4F4B">
        <w:t xml:space="preserve">For a collection consent, an </w:t>
      </w:r>
      <w:r w:rsidRPr="00F07699">
        <w:t>accredited person could present the CDR consumer with a set of un</w:t>
      </w:r>
      <w:r w:rsidRPr="00F07699">
        <w:noBreakHyphen/>
        <w:t xml:space="preserve">filled boxes corresponding to different types of data, and permit the CDR </w:t>
      </w:r>
      <w:r w:rsidRPr="00F07699">
        <w:lastRenderedPageBreak/>
        <w:t>consumer to select the boxes that correspond to the data they consent to the accredited person collecting.</w:t>
      </w:r>
    </w:p>
    <w:p w14:paraId="468A13F9" w14:textId="77777777" w:rsidR="00CF0E3D" w:rsidRPr="00F07699" w:rsidRDefault="00CF0E3D" w:rsidP="00CF0E3D">
      <w:pPr>
        <w:pStyle w:val="notetext"/>
      </w:pPr>
      <w:r w:rsidRPr="00F07699">
        <w:t>Note 1:</w:t>
      </w:r>
      <w:r w:rsidRPr="00F07699">
        <w:tab/>
        <w:t>An accredited person could not infer consent, or seek to rely on an implied consent.</w:t>
      </w:r>
    </w:p>
    <w:p w14:paraId="3A2D0AA1" w14:textId="77777777" w:rsidR="00CF0E3D" w:rsidRPr="00F07699" w:rsidRDefault="00CF0E3D" w:rsidP="00CF0E3D">
      <w:pPr>
        <w:pStyle w:val="notetext"/>
      </w:pPr>
      <w:r w:rsidRPr="00F07699">
        <w:t>Note 2:</w:t>
      </w:r>
      <w:r w:rsidRPr="00F07699">
        <w:tab/>
        <w:t>For paragraph (b), the specified period may not be more than 12 months: see subrule 4.12(1). After the end of the period, redundant data would need to be dealt with in accordance with subsection 56EO(2) of the Act (privacy safeguard 12) and rules 7.12 and 7.13.</w:t>
      </w:r>
    </w:p>
    <w:p w14:paraId="6CFD8DCA" w14:textId="77777777" w:rsidR="00CF0E3D" w:rsidRPr="00ED4F4B" w:rsidRDefault="00CF0E3D" w:rsidP="00CF0E3D">
      <w:pPr>
        <w:pStyle w:val="notetext"/>
      </w:pPr>
      <w:r w:rsidRPr="00ED4F4B">
        <w:t xml:space="preserve">Note 3: </w:t>
      </w:r>
      <w:r w:rsidRPr="00ED4F4B">
        <w:tab/>
        <w:t>For paragraph (d), a data holder could charge a fee for disclosure of voluntary consumer data, while an accredited data recipient could charge a fee for the disclosure of any CDR data.</w:t>
      </w:r>
    </w:p>
    <w:p w14:paraId="56356D47" w14:textId="77777777" w:rsidR="00CF0E3D" w:rsidRPr="00F07699" w:rsidRDefault="00CF0E3D" w:rsidP="00CF0E3D">
      <w:pPr>
        <w:pStyle w:val="subsection"/>
      </w:pPr>
      <w:r w:rsidRPr="00F07699">
        <w:tab/>
        <w:t>(2)</w:t>
      </w:r>
      <w:r w:rsidRPr="00F07699">
        <w:tab/>
        <w:t>The accredited person must not present pre</w:t>
      </w:r>
      <w:r w:rsidRPr="00F07699">
        <w:noBreakHyphen/>
        <w:t>selected options to the CDR consumer for the purposes of subrule (1).</w:t>
      </w:r>
    </w:p>
    <w:p w14:paraId="5AAE1009" w14:textId="77777777" w:rsidR="00CF0E3D" w:rsidRPr="00F07699" w:rsidRDefault="00CF0E3D" w:rsidP="00CF0E3D">
      <w:pPr>
        <w:pStyle w:val="SubsectionHead"/>
      </w:pPr>
      <w:r w:rsidRPr="00F07699">
        <w:t>Information presented to CDR consumer when asking for consent</w:t>
      </w:r>
    </w:p>
    <w:p w14:paraId="62AA21E7" w14:textId="77777777" w:rsidR="00CF0E3D" w:rsidRPr="00ED4F4B" w:rsidRDefault="00CF0E3D" w:rsidP="00CF0E3D">
      <w:pPr>
        <w:pStyle w:val="subsection"/>
      </w:pPr>
      <w:r w:rsidRPr="00ED4F4B">
        <w:tab/>
        <w:t>(3)</w:t>
      </w:r>
      <w:r w:rsidRPr="00ED4F4B">
        <w:tab/>
        <w:t>When asking a CDR consumer to give consent, the accredited person must give the CDR consumer the following information:</w:t>
      </w:r>
    </w:p>
    <w:p w14:paraId="33E385B1" w14:textId="77777777" w:rsidR="00CF0E3D" w:rsidRPr="00ED4F4B" w:rsidRDefault="00CF0E3D" w:rsidP="00CF0E3D">
      <w:pPr>
        <w:pStyle w:val="paragraph"/>
      </w:pPr>
      <w:r w:rsidRPr="00ED4F4B">
        <w:tab/>
        <w:t>(a)</w:t>
      </w:r>
      <w:r w:rsidRPr="00ED4F4B">
        <w:tab/>
        <w:t>its name;</w:t>
      </w:r>
    </w:p>
    <w:p w14:paraId="3A8CAAEC" w14:textId="77777777" w:rsidR="00CF0E3D" w:rsidRPr="00ED4F4B" w:rsidRDefault="00CF0E3D" w:rsidP="00CF0E3D">
      <w:pPr>
        <w:pStyle w:val="paragraph"/>
      </w:pPr>
      <w:r w:rsidRPr="00ED4F4B">
        <w:tab/>
        <w:t>(b)</w:t>
      </w:r>
      <w:r w:rsidRPr="00ED4F4B">
        <w:tab/>
        <w:t>its accreditation number;</w:t>
      </w:r>
    </w:p>
    <w:p w14:paraId="4185EE7C" w14:textId="77777777" w:rsidR="00CF0E3D" w:rsidRPr="00ED4F4B" w:rsidRDefault="00CF0E3D" w:rsidP="00CF0E3D">
      <w:pPr>
        <w:pStyle w:val="paragraph"/>
      </w:pPr>
      <w:r w:rsidRPr="00ED4F4B">
        <w:tab/>
        <w:t>(c)</w:t>
      </w:r>
      <w:r w:rsidRPr="00ED4F4B">
        <w:tab/>
        <w:t>in the case of a collection consent or a use consent―how the collection or use (as applicable) indicated in accordance with subrule (1) complies with the data minimisation principle, including how:</w:t>
      </w:r>
    </w:p>
    <w:p w14:paraId="4A1AE137" w14:textId="77777777" w:rsidR="00CF0E3D" w:rsidRPr="00ED4F4B" w:rsidRDefault="00CF0E3D" w:rsidP="00CF0E3D">
      <w:pPr>
        <w:pStyle w:val="paragraphsub"/>
      </w:pPr>
      <w:r w:rsidRPr="00ED4F4B">
        <w:tab/>
        <w:t>(i)</w:t>
      </w:r>
      <w:r w:rsidRPr="00ED4F4B">
        <w:tab/>
        <w:t>in the case of a collection c</w:t>
      </w:r>
      <w:r>
        <w:t xml:space="preserve">onsent―that collection </w:t>
      </w:r>
      <w:r w:rsidRPr="00ED4F4B">
        <w:t>is reasonably needed, and relates to no longer a time period than is reasonably needed; and</w:t>
      </w:r>
    </w:p>
    <w:p w14:paraId="043ED07A" w14:textId="77777777" w:rsidR="00CF0E3D" w:rsidRPr="00ED4F4B" w:rsidRDefault="00CF0E3D" w:rsidP="00CF0E3D">
      <w:pPr>
        <w:pStyle w:val="paragraphsub"/>
      </w:pPr>
      <w:r w:rsidRPr="00ED4F4B">
        <w:tab/>
        <w:t>(ii)</w:t>
      </w:r>
      <w:r w:rsidRPr="00ED4F4B">
        <w:tab/>
        <w:t>in the case of a use consent―that use would not go beyond what is reasonably needed;</w:t>
      </w:r>
    </w:p>
    <w:p w14:paraId="78D09575" w14:textId="77777777" w:rsidR="00CF0E3D" w:rsidRDefault="00CF0E3D" w:rsidP="00CF0E3D">
      <w:pPr>
        <w:pStyle w:val="paragraph"/>
      </w:pPr>
      <w:r w:rsidRPr="00ED4F4B">
        <w:tab/>
      </w:r>
      <w:r w:rsidRPr="00ED4F4B">
        <w:tab/>
        <w:t>in order to provide the requested goods or services to the CDR consumer or make the other uses consented to;</w:t>
      </w:r>
    </w:p>
    <w:p w14:paraId="29DD86F2" w14:textId="7185C590" w:rsidR="009C3B77" w:rsidRPr="00693A57" w:rsidRDefault="009C3B77" w:rsidP="00CF0E3D">
      <w:pPr>
        <w:pStyle w:val="paragraph"/>
        <w:rPr>
          <w:color w:val="0000FF"/>
        </w:rPr>
      </w:pPr>
      <w:r w:rsidRPr="00693A57">
        <w:rPr>
          <w:color w:val="0000FF"/>
        </w:rPr>
        <w:tab/>
        <w:t>(ca)</w:t>
      </w:r>
      <w:r w:rsidRPr="00693A57">
        <w:rPr>
          <w:color w:val="0000FF"/>
        </w:rPr>
        <w:tab/>
        <w:t>in the case of an insight disclosure consent—an explanation of the CDR insight that will make clear to the CDR consumer what the CDR insight would reveal or describe;</w:t>
      </w:r>
    </w:p>
    <w:p w14:paraId="7502B218" w14:textId="77777777" w:rsidR="00CF0E3D" w:rsidRPr="00ED4F4B" w:rsidRDefault="00CF0E3D" w:rsidP="00CF0E3D">
      <w:pPr>
        <w:pStyle w:val="paragraph"/>
      </w:pPr>
      <w:r w:rsidRPr="0032505D">
        <w:tab/>
        <w:t>(</w:t>
      </w:r>
      <w:r w:rsidRPr="00ED4F4B">
        <w:t>d)</w:t>
      </w:r>
      <w:r w:rsidRPr="00ED4F4B">
        <w:tab/>
        <w:t>if the accredited person intends passing a fee on, or charging a fee, to the CDR consumer a</w:t>
      </w:r>
      <w:r>
        <w:t>s described in paragraph (1)(d)</w:t>
      </w:r>
      <w:r w:rsidRPr="00ED4F4B">
        <w:t>―the following information:</w:t>
      </w:r>
    </w:p>
    <w:p w14:paraId="03774805" w14:textId="77777777" w:rsidR="00CF0E3D" w:rsidRPr="00ED4F4B" w:rsidRDefault="00CF0E3D" w:rsidP="00CF0E3D">
      <w:pPr>
        <w:pStyle w:val="paragraphsub"/>
      </w:pPr>
      <w:r w:rsidRPr="00ED4F4B">
        <w:tab/>
        <w:t>(i)</w:t>
      </w:r>
      <w:r w:rsidRPr="00ED4F4B">
        <w:tab/>
        <w:t>the amount of the fee;</w:t>
      </w:r>
    </w:p>
    <w:p w14:paraId="1212A0B1" w14:textId="77777777" w:rsidR="00CF0E3D" w:rsidRPr="00ED4F4B" w:rsidRDefault="00CF0E3D" w:rsidP="00CF0E3D">
      <w:pPr>
        <w:pStyle w:val="paragraphsub"/>
      </w:pPr>
      <w:r w:rsidRPr="00ED4F4B">
        <w:tab/>
        <w:t>(ii)</w:t>
      </w:r>
      <w:r w:rsidRPr="00ED4F4B">
        <w:tab/>
        <w:t>the consequences if the CDR consumer does not consent to the collection, or to the disclosure, of that data;</w:t>
      </w:r>
    </w:p>
    <w:p w14:paraId="6FAB549B" w14:textId="77777777" w:rsidR="00CF0E3D" w:rsidRPr="00F07699" w:rsidRDefault="00CF0E3D" w:rsidP="00CF0E3D">
      <w:pPr>
        <w:pStyle w:val="paragraph"/>
      </w:pPr>
      <w:r w:rsidRPr="00F07699">
        <w:tab/>
        <w:t>(e)</w:t>
      </w:r>
      <w:r w:rsidRPr="00F07699">
        <w:tab/>
        <w:t xml:space="preserve">if the accredited person is </w:t>
      </w:r>
      <w:r w:rsidRPr="00ED309B">
        <w:t xml:space="preserve">seeking a </w:t>
      </w:r>
      <w:r w:rsidRPr="00880559">
        <w:t>de</w:t>
      </w:r>
      <w:r w:rsidRPr="00880559">
        <w:noBreakHyphen/>
        <w:t>identification consent</w:t>
      </w:r>
      <w:r w:rsidRPr="00F07699">
        <w:t>—the additional information specified in rule 4.15;</w:t>
      </w:r>
    </w:p>
    <w:p w14:paraId="1AD9A1E4" w14:textId="77777777" w:rsidR="00CF0E3D" w:rsidRPr="00F07699" w:rsidRDefault="00CF0E3D" w:rsidP="00CF0E3D">
      <w:pPr>
        <w:pStyle w:val="paragraph"/>
      </w:pPr>
      <w:r w:rsidRPr="00F07699">
        <w:tab/>
        <w:t>(f)</w:t>
      </w:r>
      <w:r w:rsidRPr="00F07699">
        <w:tab/>
        <w:t>if the CDR data may be disclosed to, or collected by, an outsourced service provider (including one that is based overseas) of the accredited person:</w:t>
      </w:r>
    </w:p>
    <w:p w14:paraId="2A246ABE" w14:textId="77777777" w:rsidR="00CF0E3D" w:rsidRPr="00F07699" w:rsidRDefault="00CF0E3D" w:rsidP="00CF0E3D">
      <w:pPr>
        <w:pStyle w:val="paragraphsub"/>
      </w:pPr>
      <w:r w:rsidRPr="00F07699">
        <w:tab/>
        <w:t>(i)</w:t>
      </w:r>
      <w:r w:rsidRPr="00F07699">
        <w:tab/>
        <w:t>a statement of that fact; and</w:t>
      </w:r>
    </w:p>
    <w:p w14:paraId="521FB65E" w14:textId="77777777" w:rsidR="00CF0E3D" w:rsidRPr="00F07699" w:rsidRDefault="00CF0E3D" w:rsidP="00CF0E3D">
      <w:pPr>
        <w:pStyle w:val="paragraphsub"/>
      </w:pPr>
      <w:r w:rsidRPr="00F07699">
        <w:tab/>
        <w:t>(ii)</w:t>
      </w:r>
      <w:r w:rsidRPr="00F07699">
        <w:tab/>
        <w:t>a link to the accredited person’s CDR policy; and</w:t>
      </w:r>
    </w:p>
    <w:p w14:paraId="25A40898" w14:textId="77777777" w:rsidR="00CF0E3D" w:rsidRPr="00F07699" w:rsidRDefault="00CF0E3D" w:rsidP="00CF0E3D">
      <w:pPr>
        <w:pStyle w:val="paragraphsub"/>
      </w:pPr>
      <w:r w:rsidRPr="00F07699">
        <w:tab/>
        <w:t>(iii)</w:t>
      </w:r>
      <w:r w:rsidRPr="00F07699">
        <w:tab/>
        <w:t>a statement that the consumer can obtain further information about such disclosures from the policy if desired;</w:t>
      </w:r>
    </w:p>
    <w:p w14:paraId="20EA7DE5" w14:textId="77777777" w:rsidR="00CF0E3D" w:rsidRPr="00F07699" w:rsidRDefault="00CF0E3D" w:rsidP="00CF0E3D">
      <w:pPr>
        <w:pStyle w:val="paragraph"/>
      </w:pPr>
      <w:r w:rsidRPr="00F07699">
        <w:lastRenderedPageBreak/>
        <w:tab/>
        <w:t>(g)</w:t>
      </w:r>
      <w:r w:rsidRPr="00F07699">
        <w:tab/>
        <w:t>the following information about withdrawal of consents:</w:t>
      </w:r>
    </w:p>
    <w:p w14:paraId="5EEC8964" w14:textId="77777777" w:rsidR="00CF0E3D" w:rsidRPr="00F07699" w:rsidRDefault="00CF0E3D" w:rsidP="00CF0E3D">
      <w:pPr>
        <w:pStyle w:val="paragraphsub"/>
      </w:pPr>
      <w:r w:rsidRPr="00F07699">
        <w:tab/>
        <w:t>(i)</w:t>
      </w:r>
      <w:r w:rsidRPr="00F07699">
        <w:tab/>
        <w:t>a statement that, at any time, the consent can be withdrawn;</w:t>
      </w:r>
    </w:p>
    <w:p w14:paraId="335F9AF2" w14:textId="77777777" w:rsidR="00CF0E3D" w:rsidRPr="00F07699" w:rsidRDefault="00CF0E3D" w:rsidP="00CF0E3D">
      <w:pPr>
        <w:pStyle w:val="paragraphsub"/>
      </w:pPr>
      <w:r w:rsidRPr="00F07699">
        <w:tab/>
        <w:t>(ii)</w:t>
      </w:r>
      <w:r w:rsidRPr="00F07699">
        <w:tab/>
        <w:t>instructions for how the consent can be withdrawn;</w:t>
      </w:r>
    </w:p>
    <w:p w14:paraId="75C7F2AE" w14:textId="77777777" w:rsidR="00CF0E3D" w:rsidRPr="00F07699" w:rsidRDefault="00CF0E3D" w:rsidP="00CF0E3D">
      <w:pPr>
        <w:pStyle w:val="paragraphsub"/>
      </w:pPr>
      <w:r w:rsidRPr="00F07699">
        <w:tab/>
        <w:t>(iii)</w:t>
      </w:r>
      <w:r w:rsidRPr="00F07699">
        <w:tab/>
        <w:t>a statement indicating the consequences (if any) to the CDR consumer if they withdraw the consent;</w:t>
      </w:r>
    </w:p>
    <w:p w14:paraId="12B5E2F7" w14:textId="77777777" w:rsidR="00CF0E3D" w:rsidRPr="00F07699" w:rsidRDefault="00CF0E3D" w:rsidP="00CF0E3D">
      <w:pPr>
        <w:pStyle w:val="paragraph"/>
      </w:pPr>
      <w:r w:rsidRPr="00F07699">
        <w:tab/>
        <w:t>(h)</w:t>
      </w:r>
      <w:r w:rsidRPr="00F07699">
        <w:tab/>
        <w:t>the following information about redundant data:</w:t>
      </w:r>
    </w:p>
    <w:p w14:paraId="66D0EAFB" w14:textId="77777777" w:rsidR="00CF0E3D" w:rsidRPr="00F07699" w:rsidRDefault="00CF0E3D" w:rsidP="00CF0E3D">
      <w:pPr>
        <w:pStyle w:val="paragraphsub"/>
      </w:pPr>
      <w:r w:rsidRPr="00F07699">
        <w:tab/>
        <w:t>(i)</w:t>
      </w:r>
      <w:r w:rsidRPr="00F07699">
        <w:tab/>
        <w:t>a statement, in accordance with rule 4.17, regarding the accredited person’s intended treatment of redundant data;</w:t>
      </w:r>
    </w:p>
    <w:p w14:paraId="77D3836F" w14:textId="77777777" w:rsidR="00CF0E3D" w:rsidRPr="00F07699" w:rsidRDefault="00CF0E3D" w:rsidP="00CF0E3D">
      <w:pPr>
        <w:pStyle w:val="paragraphsub"/>
      </w:pPr>
      <w:r w:rsidRPr="00F07699">
        <w:tab/>
        <w:t>(ii)</w:t>
      </w:r>
      <w:r w:rsidRPr="00F07699">
        <w:tab/>
        <w:t>a statement outlining the CDR consumer’s right to elect that their redundant data be deleted;</w:t>
      </w:r>
    </w:p>
    <w:p w14:paraId="2A6631A9" w14:textId="6CA7AE23" w:rsidR="00A72C8A" w:rsidRPr="00A72C8A" w:rsidRDefault="00CF0E3D" w:rsidP="00A72C8A">
      <w:pPr>
        <w:pStyle w:val="paragraphsub"/>
      </w:pPr>
      <w:r w:rsidRPr="00F07699">
        <w:tab/>
        <w:t>(iii)</w:t>
      </w:r>
      <w:r w:rsidRPr="00F07699">
        <w:tab/>
        <w:t xml:space="preserve">instructions </w:t>
      </w:r>
      <w:r>
        <w:t>for how the election can be made</w:t>
      </w:r>
      <w:r w:rsidR="00A72C8A" w:rsidRPr="00693A57">
        <w:rPr>
          <w:color w:val="0000FF"/>
        </w:rPr>
        <w:t>;</w:t>
      </w:r>
      <w:r w:rsidR="00A72C8A" w:rsidRPr="00A72C8A">
        <w:t xml:space="preserve"> </w:t>
      </w:r>
    </w:p>
    <w:p w14:paraId="15E22179" w14:textId="12071F01" w:rsidR="00A72C8A" w:rsidRPr="00693A57" w:rsidRDefault="00A72C8A" w:rsidP="00A72C8A">
      <w:pPr>
        <w:pStyle w:val="paragraph"/>
        <w:rPr>
          <w:color w:val="0000FF"/>
        </w:rPr>
      </w:pPr>
      <w:r w:rsidRPr="00693A57">
        <w:rPr>
          <w:color w:val="0000FF"/>
        </w:rPr>
        <w:tab/>
        <w:t>(i)</w:t>
      </w:r>
      <w:r w:rsidRPr="00693A57">
        <w:rPr>
          <w:color w:val="0000FF"/>
        </w:rPr>
        <w:tab/>
      </w:r>
      <w:r w:rsidR="002403AE" w:rsidRPr="00693A57">
        <w:rPr>
          <w:color w:val="0000FF"/>
        </w:rPr>
        <w:t xml:space="preserve">if the accredited person is an affiliate and the CDR data will be collected by a sponsor </w:t>
      </w:r>
      <w:r w:rsidR="00FD3D31" w:rsidRPr="00693A57">
        <w:rPr>
          <w:color w:val="0000FF"/>
        </w:rPr>
        <w:t>at its request</w:t>
      </w:r>
      <w:r w:rsidR="002403AE" w:rsidRPr="00693A57">
        <w:rPr>
          <w:color w:val="0000FF"/>
        </w:rPr>
        <w:t>;</w:t>
      </w:r>
    </w:p>
    <w:p w14:paraId="1F2AEC36" w14:textId="77777777" w:rsidR="00A72C8A" w:rsidRPr="00693A57" w:rsidRDefault="00A72C8A" w:rsidP="00A72C8A">
      <w:pPr>
        <w:pStyle w:val="paragraphsub"/>
        <w:rPr>
          <w:color w:val="0000FF"/>
        </w:rPr>
      </w:pPr>
      <w:r w:rsidRPr="00693A57">
        <w:rPr>
          <w:color w:val="0000FF"/>
        </w:rPr>
        <w:tab/>
        <w:t>(i)</w:t>
      </w:r>
      <w:r w:rsidRPr="00693A57">
        <w:rPr>
          <w:color w:val="0000FF"/>
        </w:rPr>
        <w:tab/>
        <w:t>a statement of that fact; and</w:t>
      </w:r>
    </w:p>
    <w:p w14:paraId="4CB49182" w14:textId="0B0F4E35" w:rsidR="00A72C8A" w:rsidRPr="00693A57" w:rsidRDefault="00A72C8A" w:rsidP="00A72C8A">
      <w:pPr>
        <w:pStyle w:val="paragraphsub"/>
        <w:rPr>
          <w:color w:val="0000FF"/>
        </w:rPr>
      </w:pPr>
      <w:r w:rsidRPr="00693A57">
        <w:rPr>
          <w:color w:val="0000FF"/>
        </w:rPr>
        <w:tab/>
        <w:t>(ii)</w:t>
      </w:r>
      <w:r w:rsidRPr="00693A57">
        <w:rPr>
          <w:color w:val="0000FF"/>
        </w:rPr>
        <w:tab/>
        <w:t xml:space="preserve">the </w:t>
      </w:r>
      <w:r w:rsidR="002403AE" w:rsidRPr="00693A57">
        <w:rPr>
          <w:color w:val="0000FF"/>
        </w:rPr>
        <w:t>sponsor</w:t>
      </w:r>
      <w:r w:rsidRPr="00693A57">
        <w:rPr>
          <w:color w:val="0000FF"/>
        </w:rPr>
        <w:t>’s name; and</w:t>
      </w:r>
    </w:p>
    <w:p w14:paraId="463F036A" w14:textId="2FDFBD7F" w:rsidR="00A72C8A" w:rsidRPr="00693A57" w:rsidRDefault="00A72C8A" w:rsidP="00A72C8A">
      <w:pPr>
        <w:pStyle w:val="paragraphsub"/>
        <w:rPr>
          <w:color w:val="0000FF"/>
        </w:rPr>
      </w:pPr>
      <w:r w:rsidRPr="00693A57">
        <w:rPr>
          <w:color w:val="0000FF"/>
        </w:rPr>
        <w:tab/>
        <w:t>(iii)</w:t>
      </w:r>
      <w:r w:rsidRPr="00693A57">
        <w:rPr>
          <w:color w:val="0000FF"/>
        </w:rPr>
        <w:tab/>
        <w:t xml:space="preserve">the </w:t>
      </w:r>
      <w:r w:rsidR="002403AE" w:rsidRPr="00693A57">
        <w:rPr>
          <w:color w:val="0000FF"/>
        </w:rPr>
        <w:t>sponsor</w:t>
      </w:r>
      <w:r w:rsidRPr="00693A57">
        <w:rPr>
          <w:color w:val="0000FF"/>
        </w:rPr>
        <w:t>’s accreditation number; and</w:t>
      </w:r>
    </w:p>
    <w:p w14:paraId="7A72D584" w14:textId="7816D95D" w:rsidR="00A72C8A" w:rsidRPr="00693A57" w:rsidRDefault="00A72C8A" w:rsidP="00A72C8A">
      <w:pPr>
        <w:pStyle w:val="paragraphsub"/>
        <w:rPr>
          <w:color w:val="0000FF"/>
        </w:rPr>
      </w:pPr>
      <w:r w:rsidRPr="00693A57">
        <w:rPr>
          <w:color w:val="0000FF"/>
        </w:rPr>
        <w:tab/>
        <w:t>(iv)</w:t>
      </w:r>
      <w:r w:rsidRPr="00693A57">
        <w:rPr>
          <w:color w:val="0000FF"/>
        </w:rPr>
        <w:tab/>
        <w:t xml:space="preserve">a link to the </w:t>
      </w:r>
      <w:r w:rsidR="002403AE" w:rsidRPr="00693A57">
        <w:rPr>
          <w:color w:val="0000FF"/>
        </w:rPr>
        <w:t>sponsor</w:t>
      </w:r>
      <w:r w:rsidRPr="00693A57">
        <w:rPr>
          <w:color w:val="0000FF"/>
        </w:rPr>
        <w:t>’s CDR policy; and</w:t>
      </w:r>
    </w:p>
    <w:p w14:paraId="22762B41" w14:textId="7ED23B50" w:rsidR="00A72C8A" w:rsidRPr="00693A57" w:rsidRDefault="00A72C8A" w:rsidP="00A72C8A">
      <w:pPr>
        <w:pStyle w:val="paragraphsub"/>
        <w:rPr>
          <w:color w:val="0000FF"/>
        </w:rPr>
      </w:pPr>
      <w:r w:rsidRPr="00693A57">
        <w:rPr>
          <w:color w:val="0000FF"/>
        </w:rPr>
        <w:tab/>
        <w:t>(v)</w:t>
      </w:r>
      <w:r w:rsidRPr="00693A57">
        <w:rPr>
          <w:color w:val="0000FF"/>
        </w:rPr>
        <w:tab/>
        <w:t xml:space="preserve">a statement that the CDR consumer can obtain further information about such collections or disclosures from the </w:t>
      </w:r>
      <w:r w:rsidR="002403AE" w:rsidRPr="00693A57">
        <w:rPr>
          <w:color w:val="0000FF"/>
        </w:rPr>
        <w:t>sponsor</w:t>
      </w:r>
      <w:r w:rsidRPr="00693A57">
        <w:rPr>
          <w:color w:val="0000FF"/>
        </w:rPr>
        <w:t>’s CDR policy if desired.</w:t>
      </w:r>
    </w:p>
    <w:p w14:paraId="54ED7F76" w14:textId="77777777" w:rsidR="00CF0E3D" w:rsidRPr="00F07699" w:rsidRDefault="00CF0E3D" w:rsidP="00CF0E3D">
      <w:pPr>
        <w:pStyle w:val="notetext"/>
      </w:pPr>
      <w:r w:rsidRPr="00F07699">
        <w:t xml:space="preserve">Note: </w:t>
      </w:r>
      <w:r w:rsidRPr="00F07699">
        <w:tab/>
        <w:t>For paragraph (c), if the accredited person is seeking the CDR consumer’s consent to de</w:t>
      </w:r>
      <w:r w:rsidRPr="00F07699">
        <w:noBreakHyphen/>
        <w:t>identification as referred to in paragraph (e), the accredited person would need to indicate how that would comply with the data minimisation principle.</w:t>
      </w:r>
    </w:p>
    <w:p w14:paraId="363FB4C6" w14:textId="77777777" w:rsidR="00CF0E3D" w:rsidRPr="00F07699" w:rsidRDefault="00CF0E3D" w:rsidP="00CF0E3D">
      <w:pPr>
        <w:pStyle w:val="ActHead5"/>
      </w:pPr>
      <w:bookmarkStart w:id="197" w:name="_Toc50114041"/>
      <w:bookmarkStart w:id="198" w:name="_Toc50633081"/>
      <w:bookmarkStart w:id="199" w:name="_Toc57219031"/>
      <w:bookmarkStart w:id="200" w:name="_Toc59549142"/>
      <w:bookmarkStart w:id="201" w:name="_Toc77064894"/>
      <w:r w:rsidRPr="00F07699">
        <w:t>4.12  Restrictions on seeking consent</w:t>
      </w:r>
      <w:bookmarkEnd w:id="197"/>
      <w:bookmarkEnd w:id="198"/>
      <w:bookmarkEnd w:id="199"/>
      <w:bookmarkEnd w:id="200"/>
      <w:bookmarkEnd w:id="201"/>
    </w:p>
    <w:p w14:paraId="4506E0C7" w14:textId="77777777" w:rsidR="00CF0E3D" w:rsidRPr="00F07699" w:rsidRDefault="00CF0E3D" w:rsidP="00CF0E3D">
      <w:pPr>
        <w:pStyle w:val="subsection"/>
      </w:pPr>
      <w:r w:rsidRPr="00F07699">
        <w:tab/>
        <w:t>(1)</w:t>
      </w:r>
      <w:r w:rsidRPr="00F07699">
        <w:tab/>
        <w:t>An accredited person must not specify a period of time for the purposes of paragraph 4.11(1)(b) that is more than 12 months.</w:t>
      </w:r>
    </w:p>
    <w:p w14:paraId="33EA0BC2" w14:textId="77777777" w:rsidR="00CF0E3D" w:rsidRPr="00533E3F" w:rsidRDefault="00CF0E3D" w:rsidP="00CF0E3D">
      <w:pPr>
        <w:pStyle w:val="subsection"/>
      </w:pPr>
      <w:r w:rsidRPr="00F07699">
        <w:tab/>
        <w:t>(2)</w:t>
      </w:r>
      <w:r w:rsidRPr="00F07699">
        <w:tab/>
        <w:t xml:space="preserve">An accredited person must not ask </w:t>
      </w:r>
      <w:r w:rsidRPr="00533E3F">
        <w:t>for a colle</w:t>
      </w:r>
      <w:r>
        <w:t xml:space="preserve">ction consent or a use consent </w:t>
      </w:r>
      <w:r w:rsidRPr="00533E3F">
        <w:t>unless it would comply with the data minimisation principle in respect of that collection or those uses.</w:t>
      </w:r>
    </w:p>
    <w:p w14:paraId="34D1E6AC" w14:textId="77777777" w:rsidR="00CF0E3D" w:rsidRPr="00533E3F" w:rsidRDefault="00CF0E3D" w:rsidP="00CF0E3D">
      <w:pPr>
        <w:pStyle w:val="notetext"/>
      </w:pPr>
      <w:r w:rsidRPr="00533E3F">
        <w:t>Note:</w:t>
      </w:r>
      <w:r w:rsidRPr="00533E3F">
        <w:tab/>
        <w:t>See rule 1.8 for the definition of “data minimisation principle”.</w:t>
      </w:r>
    </w:p>
    <w:p w14:paraId="738B1C1D" w14:textId="77777777" w:rsidR="00CF0E3D" w:rsidRPr="00533E3F" w:rsidRDefault="00CF0E3D" w:rsidP="00CF0E3D">
      <w:pPr>
        <w:pStyle w:val="subsection"/>
      </w:pPr>
      <w:r w:rsidRPr="00533E3F">
        <w:t xml:space="preserve"> </w:t>
      </w:r>
      <w:r w:rsidRPr="00533E3F">
        <w:tab/>
        <w:t>(3)</w:t>
      </w:r>
      <w:r w:rsidRPr="00533E3F">
        <w:tab/>
        <w:t>An accredited person must not ask for a consent:</w:t>
      </w:r>
    </w:p>
    <w:p w14:paraId="3AC27740" w14:textId="77777777" w:rsidR="00CF0E3D" w:rsidRPr="00533E3F" w:rsidRDefault="00CF0E3D" w:rsidP="00CF0E3D">
      <w:pPr>
        <w:pStyle w:val="paragraph"/>
      </w:pPr>
      <w:r w:rsidRPr="00533E3F">
        <w:tab/>
        <w:t>(a)</w:t>
      </w:r>
      <w:r w:rsidRPr="00533E3F">
        <w:tab/>
        <w:t>that is not in a category of consents; or</w:t>
      </w:r>
    </w:p>
    <w:p w14:paraId="5165AFAF" w14:textId="75640C94" w:rsidR="00CF0E3D" w:rsidRPr="00F07699" w:rsidRDefault="00CF0E3D" w:rsidP="00CF0E3D">
      <w:pPr>
        <w:pStyle w:val="paragraph"/>
      </w:pPr>
      <w:r w:rsidRPr="00533E3F">
        <w:tab/>
        <w:t>(b)</w:t>
      </w:r>
      <w:r w:rsidRPr="00533E3F">
        <w:tab/>
        <w:t>subject to subrule (4), for using the C</w:t>
      </w:r>
      <w:r w:rsidRPr="00F07699">
        <w:t>DR data, including by aggregating the data, for the purpose of:</w:t>
      </w:r>
    </w:p>
    <w:p w14:paraId="4511B9D2" w14:textId="77777777" w:rsidR="00CF0E3D" w:rsidRPr="00F07699" w:rsidRDefault="00CF0E3D" w:rsidP="00CF0E3D">
      <w:pPr>
        <w:pStyle w:val="paragraphsub"/>
      </w:pPr>
      <w:r w:rsidRPr="00F07699">
        <w:tab/>
        <w:t>(i)</w:t>
      </w:r>
      <w:r w:rsidRPr="00F07699">
        <w:tab/>
        <w:t>identifying; or</w:t>
      </w:r>
    </w:p>
    <w:p w14:paraId="541280AF" w14:textId="77777777" w:rsidR="00CF0E3D" w:rsidRDefault="00CF0E3D" w:rsidP="00CF0E3D">
      <w:pPr>
        <w:pStyle w:val="paragraphsub"/>
      </w:pPr>
      <w:r w:rsidRPr="00F07699">
        <w:tab/>
        <w:t>(ii)</w:t>
      </w:r>
      <w:r w:rsidRPr="00F07699">
        <w:tab/>
        <w:t>compiling insights in relation to; or</w:t>
      </w:r>
    </w:p>
    <w:p w14:paraId="64DF99C8" w14:textId="77777777" w:rsidR="00CF0E3D" w:rsidRPr="00F07699" w:rsidRDefault="00CF0E3D" w:rsidP="00CF0E3D">
      <w:pPr>
        <w:pStyle w:val="paragraphsub"/>
      </w:pPr>
      <w:r w:rsidRPr="00F07699">
        <w:tab/>
        <w:t>(iii)</w:t>
      </w:r>
      <w:r w:rsidRPr="00F07699">
        <w:tab/>
        <w:t>building a profile in relation to;</w:t>
      </w:r>
    </w:p>
    <w:p w14:paraId="711B702F" w14:textId="77777777" w:rsidR="00CF0E3D" w:rsidRDefault="00CF0E3D" w:rsidP="00CF0E3D">
      <w:pPr>
        <w:pStyle w:val="paragraph"/>
      </w:pPr>
      <w:r w:rsidRPr="00F07699">
        <w:tab/>
      </w:r>
      <w:r w:rsidRPr="00F07699">
        <w:tab/>
        <w:t>any identifiable person who is not the CDR consumer who made the consumer data request.</w:t>
      </w:r>
    </w:p>
    <w:p w14:paraId="44ABB5CF" w14:textId="77777777" w:rsidR="00CF0E3D" w:rsidRPr="00F07699" w:rsidRDefault="00CF0E3D" w:rsidP="00CF0E3D">
      <w:pPr>
        <w:pStyle w:val="subsection"/>
      </w:pPr>
      <w:r w:rsidRPr="00F07699">
        <w:tab/>
        <w:t>(4)</w:t>
      </w:r>
      <w:r w:rsidRPr="00F07699">
        <w:tab/>
        <w:t>Paragraph (3)(b) does not apply in relation to a person whose identity is readily apparent from the CDR data, if the accredited person is seeking consent to:</w:t>
      </w:r>
    </w:p>
    <w:p w14:paraId="0A6A8E0F" w14:textId="77777777" w:rsidR="00CF0E3D" w:rsidRPr="00F07699" w:rsidRDefault="00CF0E3D" w:rsidP="00CF0E3D">
      <w:pPr>
        <w:pStyle w:val="paragraph"/>
      </w:pPr>
      <w:r w:rsidRPr="00F07699">
        <w:lastRenderedPageBreak/>
        <w:tab/>
        <w:t>(a)</w:t>
      </w:r>
      <w:r w:rsidRPr="00F07699">
        <w:tab/>
        <w:t>derive, from that CDR data, CDR data about that person’s interactions with the CDR consumer; and</w:t>
      </w:r>
    </w:p>
    <w:p w14:paraId="34D89058" w14:textId="77777777" w:rsidR="00CF0E3D" w:rsidRPr="00F07699" w:rsidRDefault="00CF0E3D" w:rsidP="00CF0E3D">
      <w:pPr>
        <w:pStyle w:val="paragraph"/>
      </w:pPr>
      <w:r w:rsidRPr="00F07699">
        <w:tab/>
        <w:t>(b)</w:t>
      </w:r>
      <w:r w:rsidRPr="00F07699">
        <w:tab/>
        <w:t>use that derived CDR data in order to provide the requested goods or services.</w:t>
      </w:r>
    </w:p>
    <w:p w14:paraId="732650F7" w14:textId="77777777" w:rsidR="00CF0E3D" w:rsidRPr="00533E3F" w:rsidRDefault="00CF0E3D" w:rsidP="00CF0E3D">
      <w:pPr>
        <w:pStyle w:val="ActHead4"/>
      </w:pPr>
      <w:bookmarkStart w:id="202" w:name="_Toc50114042"/>
      <w:bookmarkStart w:id="203" w:name="_Toc57219032"/>
      <w:bookmarkStart w:id="204" w:name="_Toc59549143"/>
      <w:bookmarkStart w:id="205" w:name="_Toc77064895"/>
      <w:r w:rsidRPr="00533E3F">
        <w:t>Subdivision </w:t>
      </w:r>
      <w:bookmarkStart w:id="206" w:name="_Toc50633082"/>
      <w:r w:rsidRPr="00533E3F">
        <w:t>4.3.2A—Amending consents</w:t>
      </w:r>
      <w:bookmarkEnd w:id="202"/>
      <w:bookmarkEnd w:id="203"/>
      <w:bookmarkEnd w:id="204"/>
      <w:bookmarkEnd w:id="205"/>
    </w:p>
    <w:p w14:paraId="1FFCFB22" w14:textId="77777777" w:rsidR="00CF0E3D" w:rsidRPr="00533E3F" w:rsidRDefault="00CF0E3D" w:rsidP="00CF0E3D">
      <w:pPr>
        <w:pStyle w:val="ActHead5"/>
      </w:pPr>
      <w:bookmarkStart w:id="207" w:name="_Toc50114043"/>
      <w:bookmarkStart w:id="208" w:name="_Toc57219033"/>
      <w:bookmarkStart w:id="209" w:name="_Toc59549144"/>
      <w:bookmarkStart w:id="210" w:name="_Toc77064896"/>
      <w:r w:rsidRPr="00533E3F">
        <w:t>4.12A  Amendment of consent</w:t>
      </w:r>
      <w:bookmarkEnd w:id="206"/>
      <w:bookmarkEnd w:id="207"/>
      <w:bookmarkEnd w:id="208"/>
      <w:bookmarkEnd w:id="209"/>
      <w:bookmarkEnd w:id="210"/>
    </w:p>
    <w:p w14:paraId="473B144E" w14:textId="77777777" w:rsidR="00CF0E3D" w:rsidRPr="00533E3F" w:rsidRDefault="00CF0E3D" w:rsidP="00CF0E3D">
      <w:pPr>
        <w:pStyle w:val="subsection"/>
      </w:pPr>
      <w:r w:rsidRPr="00533E3F">
        <w:tab/>
      </w:r>
      <w:r w:rsidRPr="00533E3F">
        <w:tab/>
        <w:t>An amendment of a consent takes effect when the CDR consumer amends the consent.</w:t>
      </w:r>
    </w:p>
    <w:p w14:paraId="4086BCB8" w14:textId="77777777" w:rsidR="00CF0E3D" w:rsidRPr="00533E3F" w:rsidRDefault="00CF0E3D" w:rsidP="00CF0E3D">
      <w:pPr>
        <w:pStyle w:val="notetext"/>
      </w:pPr>
      <w:r w:rsidRPr="00533E3F">
        <w:t>Note:</w:t>
      </w:r>
      <w:r w:rsidRPr="00533E3F">
        <w:tab/>
        <w:t>It is not possible for the CDR consumer to specify a different day or time.</w:t>
      </w:r>
    </w:p>
    <w:p w14:paraId="0C02A428" w14:textId="77777777" w:rsidR="00CF0E3D" w:rsidRPr="00533E3F" w:rsidRDefault="00CF0E3D" w:rsidP="00CF0E3D">
      <w:pPr>
        <w:pStyle w:val="ActHead5"/>
      </w:pPr>
      <w:bookmarkStart w:id="211" w:name="_Toc40970016"/>
      <w:bookmarkStart w:id="212" w:name="_Toc50114044"/>
      <w:bookmarkStart w:id="213" w:name="_Toc57219034"/>
      <w:bookmarkStart w:id="214" w:name="_Toc59549145"/>
      <w:bookmarkStart w:id="215" w:name="_Toc77064897"/>
      <w:bookmarkStart w:id="216" w:name="_Toc40626965"/>
      <w:r w:rsidRPr="00533E3F">
        <w:t>4.12B  Inviting CDR consumer to amend consent</w:t>
      </w:r>
      <w:bookmarkEnd w:id="211"/>
      <w:bookmarkEnd w:id="212"/>
      <w:bookmarkEnd w:id="213"/>
      <w:bookmarkEnd w:id="214"/>
      <w:bookmarkEnd w:id="215"/>
    </w:p>
    <w:p w14:paraId="5C6046AE" w14:textId="77777777" w:rsidR="00CF0E3D" w:rsidRPr="00533E3F" w:rsidRDefault="00CF0E3D" w:rsidP="00CF0E3D">
      <w:pPr>
        <w:pStyle w:val="subsection"/>
      </w:pPr>
      <w:r w:rsidRPr="00533E3F">
        <w:tab/>
        <w:t>(1)</w:t>
      </w:r>
      <w:r w:rsidRPr="00533E3F">
        <w:tab/>
        <w:t>An accredited person may invite a CDR consumer to amend a consent given in accordance with this Division only in accordance with this rule.</w:t>
      </w:r>
    </w:p>
    <w:p w14:paraId="74846B3B" w14:textId="77777777" w:rsidR="00CF0E3D" w:rsidRPr="00533E3F" w:rsidRDefault="00CF0E3D" w:rsidP="00CF0E3D">
      <w:pPr>
        <w:pStyle w:val="subsection"/>
      </w:pPr>
      <w:r w:rsidRPr="00533E3F">
        <w:tab/>
        <w:t>(2)</w:t>
      </w:r>
      <w:r w:rsidRPr="00533E3F">
        <w:tab/>
        <w:t>The accredited person may give the invitation:</w:t>
      </w:r>
    </w:p>
    <w:p w14:paraId="1712B777" w14:textId="77777777" w:rsidR="00CF0E3D" w:rsidRPr="00533E3F" w:rsidRDefault="00CF0E3D" w:rsidP="00CF0E3D">
      <w:pPr>
        <w:pStyle w:val="paragraph"/>
      </w:pPr>
      <w:r w:rsidRPr="00533E3F">
        <w:tab/>
        <w:t>(a)</w:t>
      </w:r>
      <w:r w:rsidRPr="00533E3F">
        <w:tab/>
        <w:t>if its consumer dashboard offers the consent amendment functionality referred to in subrule 1.</w:t>
      </w:r>
      <w:r w:rsidRPr="005F5B3D">
        <w:t>14</w:t>
      </w:r>
      <w:r w:rsidRPr="00533E3F">
        <w:t>(2A)―via its consumer dashboard; or</w:t>
      </w:r>
    </w:p>
    <w:p w14:paraId="4414FB9D" w14:textId="77777777" w:rsidR="00CF0E3D" w:rsidRPr="00533E3F" w:rsidRDefault="00CF0E3D" w:rsidP="00CF0E3D">
      <w:pPr>
        <w:pStyle w:val="paragraph"/>
      </w:pPr>
      <w:r w:rsidRPr="00533E3F">
        <w:tab/>
        <w:t>(b)</w:t>
      </w:r>
      <w:r w:rsidRPr="00533E3F">
        <w:tab/>
        <w:t>in writing directly to the CDR consumer.</w:t>
      </w:r>
    </w:p>
    <w:p w14:paraId="74059664" w14:textId="77777777" w:rsidR="00CF0E3D" w:rsidRPr="00533E3F" w:rsidRDefault="00CF0E3D" w:rsidP="00CF0E3D">
      <w:pPr>
        <w:pStyle w:val="subsection"/>
        <w:rPr>
          <w:sz w:val="24"/>
        </w:rPr>
      </w:pPr>
      <w:r w:rsidRPr="00533E3F">
        <w:tab/>
        <w:t>(3)</w:t>
      </w:r>
      <w:r w:rsidRPr="00533E3F">
        <w:tab/>
        <w:t>The accredited person may invite a CDR consumer to amend a current consent if:</w:t>
      </w:r>
    </w:p>
    <w:p w14:paraId="15676ACC" w14:textId="77777777" w:rsidR="00CF0E3D" w:rsidRPr="00533E3F" w:rsidRDefault="00CF0E3D" w:rsidP="00CF0E3D">
      <w:pPr>
        <w:pStyle w:val="paragraph"/>
      </w:pPr>
      <w:r w:rsidRPr="00533E3F">
        <w:tab/>
        <w:t>(a)</w:t>
      </w:r>
      <w:r w:rsidRPr="00533E3F">
        <w:tab/>
        <w:t xml:space="preserve">the amendment would better enable the accredited person to provide the goods or services referred to in paragraph 4.3(1)(a); or </w:t>
      </w:r>
    </w:p>
    <w:p w14:paraId="3B78E050" w14:textId="77777777" w:rsidR="00CF0E3D" w:rsidRPr="00533E3F" w:rsidRDefault="00CF0E3D" w:rsidP="00CF0E3D">
      <w:pPr>
        <w:pStyle w:val="paragraph"/>
        <w:rPr>
          <w:sz w:val="20"/>
        </w:rPr>
      </w:pPr>
      <w:r w:rsidRPr="00533E3F">
        <w:tab/>
        <w:t>(b)</w:t>
      </w:r>
      <w:r w:rsidRPr="00533E3F">
        <w:tab/>
        <w:t>the amendment would:</w:t>
      </w:r>
    </w:p>
    <w:p w14:paraId="27422C7D" w14:textId="77777777" w:rsidR="00CF0E3D" w:rsidRPr="00533E3F" w:rsidRDefault="00CF0E3D" w:rsidP="00CF0E3D">
      <w:pPr>
        <w:pStyle w:val="paragraphsub"/>
      </w:pPr>
      <w:r w:rsidRPr="00533E3F">
        <w:tab/>
        <w:t>(i)</w:t>
      </w:r>
      <w:r w:rsidRPr="00533E3F">
        <w:tab/>
        <w:t>be consequential to an agreement between the accredited person and the CDR consumer to modify those goods or services; and</w:t>
      </w:r>
    </w:p>
    <w:p w14:paraId="30B17F91" w14:textId="77777777" w:rsidR="00CF0E3D" w:rsidRPr="00533E3F" w:rsidRDefault="00CF0E3D" w:rsidP="00CF0E3D">
      <w:pPr>
        <w:pStyle w:val="paragraphsub"/>
      </w:pPr>
      <w:r w:rsidRPr="00533E3F">
        <w:tab/>
        <w:t>(ii)</w:t>
      </w:r>
      <w:r w:rsidRPr="00533E3F">
        <w:tab/>
        <w:t>enable the accredited person to provide the modified goods or services. </w:t>
      </w:r>
    </w:p>
    <w:p w14:paraId="2477B472" w14:textId="77777777" w:rsidR="00CF0E3D" w:rsidRPr="00533E3F" w:rsidRDefault="00CF0E3D" w:rsidP="00CF0E3D">
      <w:pPr>
        <w:pStyle w:val="subsection"/>
      </w:pPr>
      <w:r w:rsidRPr="00533E3F">
        <w:tab/>
      </w:r>
      <w:r w:rsidRPr="005F5B3D">
        <w:t>(</w:t>
      </w:r>
      <w:r>
        <w:t>4</w:t>
      </w:r>
      <w:r w:rsidRPr="005F5B3D">
        <w:t>)</w:t>
      </w:r>
      <w:r>
        <w:tab/>
      </w:r>
      <w:r w:rsidRPr="005F5B3D">
        <w:t>The</w:t>
      </w:r>
      <w:r w:rsidRPr="00E048C0">
        <w:t xml:space="preserve"> </w:t>
      </w:r>
      <w:r w:rsidRPr="00533E3F">
        <w:t>accredited person must not, for an invitation to amend the period referred to in paragraph 4.11(1)(b):</w:t>
      </w:r>
    </w:p>
    <w:p w14:paraId="1F5239EE" w14:textId="77777777" w:rsidR="00CF0E3D" w:rsidRPr="00533E3F" w:rsidRDefault="00CF0E3D" w:rsidP="00CF0E3D">
      <w:pPr>
        <w:pStyle w:val="paragraph"/>
      </w:pPr>
      <w:r w:rsidRPr="00533E3F">
        <w:tab/>
        <w:t>(a)</w:t>
      </w:r>
      <w:r w:rsidRPr="00533E3F">
        <w:tab/>
        <w:t>give the invitation any earlier than a reasonable period before the current consent is expected to expire; or</w:t>
      </w:r>
    </w:p>
    <w:p w14:paraId="30852200" w14:textId="77777777" w:rsidR="00CF0E3D" w:rsidRDefault="00CF0E3D" w:rsidP="00CF0E3D">
      <w:pPr>
        <w:pStyle w:val="paragraph"/>
      </w:pPr>
      <w:r w:rsidRPr="00533E3F">
        <w:tab/>
        <w:t>(b)</w:t>
      </w:r>
      <w:r w:rsidRPr="00533E3F">
        <w:tab/>
        <w:t>give more than a reasonable number of such invitations within this period.</w:t>
      </w:r>
      <w:bookmarkEnd w:id="216"/>
    </w:p>
    <w:p w14:paraId="7E7618DD" w14:textId="77777777" w:rsidR="00CF0E3D" w:rsidRPr="00ED309B" w:rsidRDefault="00CF0E3D" w:rsidP="00CF0E3D">
      <w:pPr>
        <w:pStyle w:val="subsection"/>
      </w:pPr>
      <w:r w:rsidRPr="00ED309B">
        <w:tab/>
      </w:r>
      <w:r w:rsidRPr="005F5B3D">
        <w:t>(5)</w:t>
      </w:r>
      <w:r w:rsidRPr="00ED309B">
        <w:tab/>
      </w:r>
      <w:r w:rsidRPr="005F5B3D">
        <w:t xml:space="preserve">The </w:t>
      </w:r>
      <w:r w:rsidRPr="00ED309B">
        <w:t>accredited person must not give such an invitation before 1 July 2021.</w:t>
      </w:r>
    </w:p>
    <w:p w14:paraId="13A4BF56" w14:textId="77777777" w:rsidR="00CF0E3D" w:rsidRPr="00533E3F" w:rsidRDefault="00CF0E3D" w:rsidP="00CF0E3D">
      <w:pPr>
        <w:pStyle w:val="ActHead5"/>
      </w:pPr>
      <w:bookmarkStart w:id="217" w:name="_Toc50114045"/>
      <w:bookmarkStart w:id="218" w:name="_Toc57219035"/>
      <w:bookmarkStart w:id="219" w:name="_Toc59549146"/>
      <w:bookmarkStart w:id="220" w:name="_Toc77064898"/>
      <w:r w:rsidRPr="00533E3F">
        <w:t>4.12C  Process for amending consents</w:t>
      </w:r>
      <w:bookmarkEnd w:id="217"/>
      <w:bookmarkEnd w:id="218"/>
      <w:bookmarkEnd w:id="219"/>
      <w:bookmarkEnd w:id="220"/>
    </w:p>
    <w:p w14:paraId="324D1332" w14:textId="77777777" w:rsidR="00CF0E3D" w:rsidRPr="00533E3F" w:rsidRDefault="00CF0E3D" w:rsidP="00CF0E3D">
      <w:pPr>
        <w:pStyle w:val="subsection"/>
      </w:pPr>
      <w:r w:rsidRPr="00533E3F">
        <w:tab/>
        <w:t>(1)</w:t>
      </w:r>
      <w:r w:rsidRPr="00533E3F">
        <w:tab/>
        <w:t>Subject to this rule, if an accredited person allows CDR consumers to amend consents, it must allow them to do so in the same manner that it asks for CDR consumers to give consents.</w:t>
      </w:r>
    </w:p>
    <w:p w14:paraId="51E62D8B" w14:textId="77777777" w:rsidR="00CF0E3D" w:rsidRPr="00533E3F" w:rsidRDefault="00CF0E3D" w:rsidP="00CF0E3D">
      <w:pPr>
        <w:pStyle w:val="subsection"/>
      </w:pPr>
      <w:r w:rsidRPr="00533E3F">
        <w:lastRenderedPageBreak/>
        <w:tab/>
        <w:t>(2)</w:t>
      </w:r>
      <w:r w:rsidRPr="00533E3F">
        <w:tab/>
        <w:t>Despite subrule 4.11(2), in the case of an amendment to a consent, an accredited person may present, as pre</w:t>
      </w:r>
      <w:r w:rsidRPr="00533E3F">
        <w:noBreakHyphen/>
        <w:t>selected options, the following details of the current consent:</w:t>
      </w:r>
    </w:p>
    <w:p w14:paraId="066E192C" w14:textId="77777777" w:rsidR="00CF0E3D" w:rsidRPr="00533E3F" w:rsidRDefault="00CF0E3D" w:rsidP="00CF0E3D">
      <w:pPr>
        <w:pStyle w:val="paragraph"/>
      </w:pPr>
      <w:r w:rsidRPr="00533E3F">
        <w:tab/>
        <w:t>(a)</w:t>
      </w:r>
      <w:r w:rsidRPr="00533E3F">
        <w:tab/>
        <w:t>the selections or indications referred to in paragraphs 4.11(1)(a), (b) and (ba);</w:t>
      </w:r>
    </w:p>
    <w:p w14:paraId="48C86122" w14:textId="77777777" w:rsidR="00CF0E3D" w:rsidRPr="00533E3F" w:rsidRDefault="00CF0E3D" w:rsidP="00CF0E3D">
      <w:pPr>
        <w:pStyle w:val="paragraph"/>
      </w:pPr>
      <w:r w:rsidRPr="00533E3F">
        <w:tab/>
        <w:t>(b)</w:t>
      </w:r>
      <w:r w:rsidRPr="00533E3F">
        <w:tab/>
        <w:t>the election (if any) referred to in paragraph 4.11(1)(e).</w:t>
      </w:r>
    </w:p>
    <w:p w14:paraId="4A433F60" w14:textId="77777777" w:rsidR="00CF0E3D" w:rsidRPr="00533E3F" w:rsidRDefault="00CF0E3D" w:rsidP="00CF0E3D">
      <w:pPr>
        <w:pStyle w:val="subsection"/>
      </w:pPr>
      <w:r w:rsidRPr="00533E3F">
        <w:tab/>
        <w:t>(3)</w:t>
      </w:r>
      <w:r w:rsidRPr="00533E3F">
        <w:tab/>
        <w:t>In the case of an amendment to a consent, in addition to the information referred to in subrule 4.11(3), the accredited person must give the CDR consumer:</w:t>
      </w:r>
    </w:p>
    <w:p w14:paraId="10E3208B" w14:textId="77777777" w:rsidR="00CF0E3D" w:rsidRPr="00533E3F" w:rsidRDefault="00CF0E3D" w:rsidP="00CF0E3D">
      <w:pPr>
        <w:pStyle w:val="paragraph"/>
      </w:pPr>
      <w:r w:rsidRPr="00533E3F">
        <w:tab/>
        <w:t>(a)</w:t>
      </w:r>
      <w:r w:rsidRPr="00533E3F">
        <w:tab/>
        <w:t>a statement that indicates the consequences of amending a consent; and</w:t>
      </w:r>
    </w:p>
    <w:p w14:paraId="74641FBA" w14:textId="77777777" w:rsidR="00CF0E3D" w:rsidRPr="00533E3F" w:rsidRDefault="00CF0E3D" w:rsidP="00CF0E3D">
      <w:pPr>
        <w:pStyle w:val="paragraph"/>
      </w:pPr>
      <w:r w:rsidRPr="00533E3F">
        <w:tab/>
        <w:t>(b)</w:t>
      </w:r>
      <w:r w:rsidRPr="00533E3F">
        <w:tab/>
        <w:t>a statement that the accredited person will be able to continue to use any CDR data that has already been disclosed to it to the extent allowed by the amended consent.</w:t>
      </w:r>
    </w:p>
    <w:p w14:paraId="40221B5B" w14:textId="77777777" w:rsidR="00CF0E3D" w:rsidRPr="00533E3F" w:rsidRDefault="00CF0E3D" w:rsidP="00CF0E3D">
      <w:pPr>
        <w:pStyle w:val="ActHead4"/>
      </w:pPr>
      <w:bookmarkStart w:id="221" w:name="_Toc50114046"/>
      <w:bookmarkStart w:id="222" w:name="_Toc57219036"/>
      <w:bookmarkStart w:id="223" w:name="_Toc59549147"/>
      <w:bookmarkStart w:id="224" w:name="_Toc77064899"/>
      <w:r w:rsidRPr="00533E3F">
        <w:t>Subdivision 4.3.2B—Withdrawing consents</w:t>
      </w:r>
      <w:bookmarkEnd w:id="221"/>
      <w:bookmarkEnd w:id="222"/>
      <w:bookmarkEnd w:id="223"/>
      <w:bookmarkEnd w:id="224"/>
      <w:r w:rsidRPr="00533E3F">
        <w:t xml:space="preserve"> </w:t>
      </w:r>
    </w:p>
    <w:p w14:paraId="77804467" w14:textId="77777777" w:rsidR="00CF0E3D" w:rsidRPr="00F07699" w:rsidRDefault="00CF0E3D" w:rsidP="00CF0E3D">
      <w:pPr>
        <w:pStyle w:val="ActHead5"/>
      </w:pPr>
      <w:bookmarkStart w:id="225" w:name="_Toc50114047"/>
      <w:bookmarkStart w:id="226" w:name="_Toc57219037"/>
      <w:bookmarkStart w:id="227" w:name="_Toc59549148"/>
      <w:bookmarkStart w:id="228" w:name="_Toc77064900"/>
      <w:r w:rsidRPr="00F07699">
        <w:t xml:space="preserve">4.13  Withdrawal of </w:t>
      </w:r>
      <w:r w:rsidRPr="00533E3F">
        <w:t>consents, and notifications</w:t>
      </w:r>
      <w:bookmarkEnd w:id="225"/>
      <w:bookmarkEnd w:id="226"/>
      <w:bookmarkEnd w:id="227"/>
      <w:bookmarkEnd w:id="228"/>
    </w:p>
    <w:p w14:paraId="0ECD152A" w14:textId="77777777" w:rsidR="00CF0E3D" w:rsidRPr="00F07699" w:rsidRDefault="00CF0E3D" w:rsidP="00CF0E3D">
      <w:pPr>
        <w:pStyle w:val="subsection"/>
      </w:pPr>
      <w:r w:rsidRPr="00F07699">
        <w:tab/>
        <w:t>(1)</w:t>
      </w:r>
      <w:r w:rsidRPr="00F07699">
        <w:tab/>
        <w:t>The CDR consumer who gave a consent</w:t>
      </w:r>
      <w:r w:rsidRPr="0048491E">
        <w:t xml:space="preserve"> </w:t>
      </w:r>
      <w:r w:rsidRPr="00F07699">
        <w:t>may withdraw the consent at any time:</w:t>
      </w:r>
    </w:p>
    <w:p w14:paraId="6CB1958A" w14:textId="77777777" w:rsidR="00CF0E3D" w:rsidRPr="00F07699" w:rsidRDefault="00CF0E3D" w:rsidP="00CF0E3D">
      <w:pPr>
        <w:pStyle w:val="paragraph"/>
      </w:pPr>
      <w:r w:rsidRPr="00F07699">
        <w:tab/>
        <w:t>(a)</w:t>
      </w:r>
      <w:r w:rsidRPr="00F07699">
        <w:tab/>
        <w:t>by using the accredited person’s consumer dashboard; or</w:t>
      </w:r>
    </w:p>
    <w:p w14:paraId="73C2D28E" w14:textId="77777777" w:rsidR="00CF0E3D" w:rsidRPr="00F07699" w:rsidRDefault="00CF0E3D" w:rsidP="00CF0E3D">
      <w:pPr>
        <w:pStyle w:val="paragraph"/>
      </w:pPr>
      <w:r w:rsidRPr="00F07699">
        <w:tab/>
        <w:t>(b)</w:t>
      </w:r>
      <w:r w:rsidRPr="00F07699">
        <w:tab/>
        <w:t>by using a simple alternative method of communication to be made available by the accredited person for that purpose.</w:t>
      </w:r>
    </w:p>
    <w:p w14:paraId="14148282" w14:textId="77777777" w:rsidR="00CF0E3D" w:rsidRPr="00F07699" w:rsidRDefault="00CF0E3D" w:rsidP="00CF0E3D">
      <w:pPr>
        <w:pStyle w:val="subsection"/>
      </w:pPr>
      <w:r w:rsidRPr="00F07699">
        <w:tab/>
        <w:t>(2)</w:t>
      </w:r>
      <w:r w:rsidRPr="00F07699">
        <w:tab/>
        <w:t>The accredited person must:</w:t>
      </w:r>
    </w:p>
    <w:p w14:paraId="71DF5E82" w14:textId="77777777" w:rsidR="00CF0E3D" w:rsidRPr="00F07699" w:rsidRDefault="00CF0E3D" w:rsidP="00CF0E3D">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14:paraId="2139A4A7" w14:textId="77777777" w:rsidR="00CF0E3D" w:rsidRDefault="00CF0E3D" w:rsidP="00CF0E3D">
      <w:pPr>
        <w:pStyle w:val="paragraph"/>
      </w:pPr>
      <w:r w:rsidRPr="00F07699">
        <w:tab/>
      </w:r>
      <w:r w:rsidRPr="00533E3F">
        <w:t>(b)</w:t>
      </w:r>
      <w:r w:rsidRPr="00533E3F">
        <w:tab/>
        <w:t>if a collection consent was withdrawn, in any case―notify the data holder of the withdrawal in accordance with the data standards.</w:t>
      </w:r>
    </w:p>
    <w:p w14:paraId="3B6E6539" w14:textId="77777777" w:rsidR="00CF0E3D" w:rsidRPr="00533E3F" w:rsidRDefault="00CF0E3D" w:rsidP="00CF0E3D">
      <w:pPr>
        <w:pStyle w:val="notetext"/>
      </w:pPr>
      <w:r w:rsidRPr="00533E3F">
        <w:t>Note 1:</w:t>
      </w:r>
      <w:r w:rsidRPr="00533E3F">
        <w:tab/>
        <w:t>When a data holder is notified of the withdrawal of a collection consent, an authorisation to disclose the CDR data expires: see paragraph 4.26(1)(d).</w:t>
      </w:r>
    </w:p>
    <w:p w14:paraId="152E0B49" w14:textId="77777777" w:rsidR="00CF0E3D" w:rsidRPr="00533E3F" w:rsidRDefault="00CF0E3D" w:rsidP="00CF0E3D">
      <w:pPr>
        <w:pStyle w:val="notetext"/>
      </w:pPr>
      <w:r w:rsidRPr="00533E3F">
        <w:t>Note 2:</w:t>
      </w:r>
      <w:r w:rsidRPr="00533E3F">
        <w:tab/>
        <w:t>This subrule is a civil penalty provision (see rule 9.8).</w:t>
      </w:r>
    </w:p>
    <w:p w14:paraId="22739F40" w14:textId="77777777" w:rsidR="00CF0E3D" w:rsidRPr="00F07699" w:rsidRDefault="00CF0E3D" w:rsidP="00CF0E3D">
      <w:pPr>
        <w:pStyle w:val="subsection"/>
      </w:pPr>
      <w:r w:rsidRPr="00F07699">
        <w:tab/>
        <w:t>(3)</w:t>
      </w:r>
      <w:r w:rsidRPr="00F07699">
        <w:tab/>
        <w:t>Withdrawal of a consent does not affect an election under rule 4.16 that the CDR consumer’s collected CDR data be deleted once it becomes redundant.</w:t>
      </w:r>
    </w:p>
    <w:p w14:paraId="48B128C6" w14:textId="77777777" w:rsidR="00CF0E3D" w:rsidRPr="00533E3F" w:rsidRDefault="00CF0E3D" w:rsidP="00CF0E3D">
      <w:pPr>
        <w:pStyle w:val="ActHead4"/>
      </w:pPr>
      <w:bookmarkStart w:id="229" w:name="_Toc50114048"/>
      <w:bookmarkStart w:id="230" w:name="_Toc57219038"/>
      <w:bookmarkStart w:id="231" w:name="_Toc59549149"/>
      <w:bookmarkStart w:id="232" w:name="_Toc77064901"/>
      <w:r w:rsidRPr="00533E3F">
        <w:t>Subdivision 4.3.2C—Duration of consent</w:t>
      </w:r>
      <w:bookmarkEnd w:id="229"/>
      <w:bookmarkEnd w:id="230"/>
      <w:bookmarkEnd w:id="231"/>
      <w:bookmarkEnd w:id="232"/>
    </w:p>
    <w:p w14:paraId="4F761B8E" w14:textId="77777777" w:rsidR="00CF0E3D" w:rsidRPr="00F07699" w:rsidRDefault="00CF0E3D" w:rsidP="00CF0E3D">
      <w:pPr>
        <w:pStyle w:val="ActHead5"/>
      </w:pPr>
      <w:bookmarkStart w:id="233" w:name="_Toc50114049"/>
      <w:bookmarkStart w:id="234" w:name="_Toc50633083"/>
      <w:bookmarkStart w:id="235" w:name="_Toc57219039"/>
      <w:bookmarkStart w:id="236" w:name="_Toc59549150"/>
      <w:bookmarkStart w:id="237" w:name="_Toc77064902"/>
      <w:r w:rsidRPr="00F07699">
        <w:t>4.14  Duration of consent</w:t>
      </w:r>
      <w:bookmarkEnd w:id="233"/>
      <w:bookmarkEnd w:id="234"/>
      <w:bookmarkEnd w:id="235"/>
      <w:bookmarkEnd w:id="236"/>
      <w:bookmarkEnd w:id="237"/>
    </w:p>
    <w:p w14:paraId="010BF872" w14:textId="77777777" w:rsidR="00CF0E3D" w:rsidRPr="00F07699" w:rsidRDefault="00CF0E3D" w:rsidP="00CF0E3D">
      <w:pPr>
        <w:pStyle w:val="subsection"/>
      </w:pPr>
      <w:r w:rsidRPr="00F07699">
        <w:tab/>
        <w:t>(1)</w:t>
      </w:r>
      <w:r w:rsidRPr="00F07699">
        <w:tab/>
        <w:t>A consent expires at the earliest of the following:</w:t>
      </w:r>
    </w:p>
    <w:p w14:paraId="4346E96F" w14:textId="77777777" w:rsidR="00CF0E3D" w:rsidRPr="00F07699" w:rsidRDefault="00CF0E3D" w:rsidP="00CF0E3D">
      <w:pPr>
        <w:pStyle w:val="paragraph"/>
      </w:pPr>
      <w:r w:rsidRPr="00F07699">
        <w:tab/>
        <w:t>(a)</w:t>
      </w:r>
      <w:r w:rsidRPr="00F07699">
        <w:tab/>
        <w:t>if the consent was withdrawn in accordance with paragraph 4.13(1)(b)―the earlier of the following:</w:t>
      </w:r>
    </w:p>
    <w:p w14:paraId="12760DC3" w14:textId="77777777" w:rsidR="00CF0E3D" w:rsidRPr="00F07699" w:rsidRDefault="00CF0E3D" w:rsidP="00CF0E3D">
      <w:pPr>
        <w:pStyle w:val="paragraphsub"/>
      </w:pPr>
      <w:r w:rsidRPr="00F07699">
        <w:tab/>
        <w:t>(i)</w:t>
      </w:r>
      <w:r w:rsidRPr="00F07699">
        <w:tab/>
        <w:t>when the accredited person gave effect to the withdrawal;</w:t>
      </w:r>
    </w:p>
    <w:p w14:paraId="55FAA6E3" w14:textId="77777777" w:rsidR="00CF0E3D" w:rsidRPr="00F07699" w:rsidRDefault="00CF0E3D" w:rsidP="00CF0E3D">
      <w:pPr>
        <w:pStyle w:val="paragraphsub"/>
      </w:pPr>
      <w:r w:rsidRPr="00F07699">
        <w:tab/>
        <w:t>(ii)</w:t>
      </w:r>
      <w:r w:rsidRPr="00F07699">
        <w:tab/>
        <w:t>2 business days after the accredited person received the communication;</w:t>
      </w:r>
    </w:p>
    <w:p w14:paraId="0BE14363" w14:textId="77777777" w:rsidR="00CF0E3D" w:rsidRPr="00F07699" w:rsidRDefault="00CF0E3D" w:rsidP="00CF0E3D">
      <w:pPr>
        <w:pStyle w:val="paragraph"/>
      </w:pPr>
      <w:r w:rsidRPr="00F07699">
        <w:lastRenderedPageBreak/>
        <w:tab/>
        <w:t>(b)</w:t>
      </w:r>
      <w:r w:rsidRPr="00F07699">
        <w:tab/>
        <w:t>if the consent was withdrawn in accordance with paragraph 4.13(1)(a)―when the consent was withdrawn;</w:t>
      </w:r>
    </w:p>
    <w:p w14:paraId="5BE2D62D" w14:textId="77777777" w:rsidR="00CF0E3D" w:rsidRPr="00533E3F" w:rsidRDefault="00CF0E3D" w:rsidP="00CF0E3D">
      <w:pPr>
        <w:pStyle w:val="paragraph"/>
      </w:pPr>
      <w:r w:rsidRPr="00533E3F">
        <w:tab/>
        <w:t>(d)</w:t>
      </w:r>
      <w:r w:rsidRPr="00533E3F">
        <w:tab/>
        <w:t>the end of the period of 12 months after:</w:t>
      </w:r>
    </w:p>
    <w:p w14:paraId="283F5271" w14:textId="77777777" w:rsidR="00CF0E3D" w:rsidRPr="00533E3F" w:rsidRDefault="00CF0E3D" w:rsidP="00CF0E3D">
      <w:pPr>
        <w:pStyle w:val="paragraphsub"/>
      </w:pPr>
      <w:r w:rsidRPr="00533E3F">
        <w:tab/>
        <w:t>(i)</w:t>
      </w:r>
      <w:r w:rsidRPr="00533E3F">
        <w:tab/>
        <w:t>the consent was given; or</w:t>
      </w:r>
    </w:p>
    <w:p w14:paraId="204A8794" w14:textId="77777777" w:rsidR="00CF0E3D" w:rsidRPr="00533E3F" w:rsidRDefault="00CF0E3D" w:rsidP="00CF0E3D">
      <w:pPr>
        <w:pStyle w:val="paragraphsub"/>
      </w:pPr>
      <w:r w:rsidRPr="00533E3F">
        <w:tab/>
        <w:t>(ii)</w:t>
      </w:r>
      <w:r w:rsidRPr="00533E3F">
        <w:tab/>
        <w:t>if the period of the consent has been amended in accordance with this Subdivision―the consent was last amended;</w:t>
      </w:r>
    </w:p>
    <w:p w14:paraId="663FFA07" w14:textId="77777777" w:rsidR="00CF0E3D" w:rsidRPr="00F07699" w:rsidRDefault="00CF0E3D" w:rsidP="00CF0E3D">
      <w:pPr>
        <w:pStyle w:val="paragraph"/>
      </w:pPr>
      <w:r w:rsidRPr="00F07699">
        <w:tab/>
        <w:t>(e)</w:t>
      </w:r>
      <w:r w:rsidRPr="00F07699">
        <w:tab/>
        <w:t>at the end of the period the CDR consumer consented to in accordance with rule 4.11;</w:t>
      </w:r>
    </w:p>
    <w:p w14:paraId="3F67C066" w14:textId="77777777" w:rsidR="00CF0E3D" w:rsidRPr="00F07699" w:rsidRDefault="00CF0E3D" w:rsidP="00CF0E3D">
      <w:pPr>
        <w:pStyle w:val="paragraph"/>
      </w:pPr>
      <w:r w:rsidRPr="00F07699">
        <w:tab/>
        <w:t>(f)</w:t>
      </w:r>
      <w:r w:rsidRPr="00F07699">
        <w:tab/>
        <w:t>if the consent expires as a result of the operation of another provision of these rules that references this paragraph.</w:t>
      </w:r>
    </w:p>
    <w:p w14:paraId="0A4CEB70" w14:textId="77777777" w:rsidR="00CF0E3D" w:rsidRPr="00F07699" w:rsidRDefault="00CF0E3D" w:rsidP="00CF0E3D">
      <w:pPr>
        <w:pStyle w:val="notetext"/>
      </w:pPr>
      <w:r w:rsidRPr="00F07699">
        <w:t>Note:</w:t>
      </w:r>
      <w:r w:rsidRPr="00F07699">
        <w:tab/>
        <w:t>Clause 7.2 of Schedule 3 is an example of a provision referencing paragraph (f). This relates to when an accredited data recipient of CDR data becomes instead a data holder of that CDR data.</w:t>
      </w:r>
    </w:p>
    <w:p w14:paraId="43F0EE1F" w14:textId="77777777" w:rsidR="00CF0E3D" w:rsidRPr="00533E3F" w:rsidRDefault="00CF0E3D" w:rsidP="00CF0E3D">
      <w:pPr>
        <w:pStyle w:val="subsection"/>
        <w:tabs>
          <w:tab w:val="left" w:pos="4536"/>
        </w:tabs>
      </w:pPr>
      <w:r w:rsidRPr="00533E3F">
        <w:tab/>
        <w:t xml:space="preserve">(1A) </w:t>
      </w:r>
      <w:r w:rsidRPr="00533E3F">
        <w:tab/>
        <w:t>If:</w:t>
      </w:r>
    </w:p>
    <w:p w14:paraId="0CEBEB37" w14:textId="77777777" w:rsidR="00CF0E3D" w:rsidRPr="00533E3F" w:rsidRDefault="00CF0E3D" w:rsidP="00CF0E3D">
      <w:pPr>
        <w:pStyle w:val="paragraph"/>
      </w:pPr>
      <w:r w:rsidRPr="00533E3F">
        <w:tab/>
        <w:t>(a)</w:t>
      </w:r>
      <w:r w:rsidRPr="00533E3F">
        <w:tab/>
        <w:t>an accredited person is notified, under paragraph 4.25(2)(b), of the withdrawal of an authorisation to disclose CDR data; and</w:t>
      </w:r>
    </w:p>
    <w:p w14:paraId="51AB4930" w14:textId="77777777" w:rsidR="00CF0E3D" w:rsidRPr="00533E3F" w:rsidRDefault="00CF0E3D" w:rsidP="00CF0E3D">
      <w:pPr>
        <w:pStyle w:val="paragraph"/>
      </w:pPr>
      <w:r w:rsidRPr="00533E3F">
        <w:tab/>
        <w:t>(b)</w:t>
      </w:r>
      <w:r w:rsidRPr="00533E3F">
        <w:tab/>
        <w:t>the collection consent has not expired in accordance with subrule (1);</w:t>
      </w:r>
    </w:p>
    <w:p w14:paraId="332396B9" w14:textId="77777777" w:rsidR="00CF0E3D" w:rsidRPr="00533E3F" w:rsidRDefault="00CF0E3D" w:rsidP="00CF0E3D">
      <w:pPr>
        <w:pStyle w:val="subsection"/>
        <w:spacing w:before="40"/>
      </w:pPr>
      <w:r w:rsidRPr="00533E3F">
        <w:tab/>
      </w:r>
      <w:r w:rsidRPr="00533E3F">
        <w:tab/>
        <w:t>the collection consent to collect that CDR data expires when the accredited person receives that notification.</w:t>
      </w:r>
    </w:p>
    <w:p w14:paraId="7759FA57" w14:textId="77777777" w:rsidR="00CF0E3D" w:rsidRPr="00533E3F" w:rsidRDefault="00CF0E3D" w:rsidP="00CF0E3D">
      <w:pPr>
        <w:pStyle w:val="notetext"/>
      </w:pPr>
      <w:r w:rsidRPr="00533E3F">
        <w:t>Note:</w:t>
      </w:r>
      <w:r w:rsidRPr="00533E3F">
        <w:tab/>
        <w:t>This would not result in the use consent relating to any CDR data that had already been collected expiring. However, see the notification requirement of rule 4.18A.</w:t>
      </w:r>
    </w:p>
    <w:p w14:paraId="51E5D237" w14:textId="77777777" w:rsidR="00CF0E3D" w:rsidRPr="00533E3F" w:rsidRDefault="00CF0E3D" w:rsidP="00CF0E3D">
      <w:pPr>
        <w:pStyle w:val="subsection"/>
        <w:tabs>
          <w:tab w:val="left" w:pos="4536"/>
        </w:tabs>
      </w:pPr>
      <w:r w:rsidRPr="00533E3F">
        <w:tab/>
        <w:t>(1B)</w:t>
      </w:r>
      <w:r w:rsidRPr="00533E3F">
        <w:tab/>
        <w:t>If:</w:t>
      </w:r>
    </w:p>
    <w:p w14:paraId="78BE767F" w14:textId="77777777" w:rsidR="00CF0E3D" w:rsidRPr="00533E3F" w:rsidRDefault="00CF0E3D" w:rsidP="00CF0E3D">
      <w:pPr>
        <w:pStyle w:val="paragraph"/>
      </w:pPr>
      <w:r w:rsidRPr="00533E3F">
        <w:tab/>
        <w:t>(a)</w:t>
      </w:r>
      <w:r w:rsidRPr="00533E3F">
        <w:tab/>
        <w:t>an accredited person has a collection consent to collect particular CDR data from a particular accredited data recipient; and</w:t>
      </w:r>
    </w:p>
    <w:p w14:paraId="3DD4E344" w14:textId="77777777" w:rsidR="00CF0E3D" w:rsidRPr="00533E3F" w:rsidRDefault="00CF0E3D" w:rsidP="00CF0E3D">
      <w:pPr>
        <w:pStyle w:val="paragraph"/>
      </w:pPr>
      <w:r w:rsidRPr="00533E3F">
        <w:tab/>
        <w:t>(b)</w:t>
      </w:r>
      <w:r w:rsidRPr="00533E3F">
        <w:tab/>
        <w:t>the accredited data recipient has an AP disclosure consent to disclose that CDR data to that accredited person;</w:t>
      </w:r>
    </w:p>
    <w:p w14:paraId="2B1F8EBB" w14:textId="77777777" w:rsidR="00CF0E3D" w:rsidRPr="009B1CF7" w:rsidRDefault="00CF0E3D" w:rsidP="00CF0E3D">
      <w:pPr>
        <w:pStyle w:val="subsection"/>
        <w:spacing w:before="40"/>
      </w:pPr>
      <w:r w:rsidRPr="009B1CF7">
        <w:tab/>
      </w:r>
      <w:r w:rsidRPr="009B1CF7">
        <w:tab/>
        <w:t>then if one of those consents expires, the other expires when the accredited person or accredited data recipient is notified of the first</w:t>
      </w:r>
      <w:r>
        <w:noBreakHyphen/>
      </w:r>
      <w:r w:rsidRPr="009B1CF7">
        <w:t>mentioned expiry.</w:t>
      </w:r>
    </w:p>
    <w:p w14:paraId="74B36C67" w14:textId="77777777" w:rsidR="00CF0E3D" w:rsidRPr="009B1CF7" w:rsidRDefault="00CF0E3D" w:rsidP="00CF0E3D">
      <w:pPr>
        <w:pStyle w:val="subsection"/>
        <w:tabs>
          <w:tab w:val="left" w:pos="4536"/>
        </w:tabs>
      </w:pPr>
      <w:r w:rsidRPr="00533E3F">
        <w:tab/>
        <w:t>(1C)</w:t>
      </w:r>
      <w:r w:rsidRPr="00533E3F">
        <w:tab/>
        <w:t>If an accredited person becomes a data holder, rather than an accredited data recipient, of particular CDR data as a result of subsection 56AJ(4) of the Act</w:t>
      </w:r>
      <w:r w:rsidRPr="009B1CF7">
        <w:t>, all of that accredited person’s consents given under these rules that relate to that CDR data expire.</w:t>
      </w:r>
    </w:p>
    <w:p w14:paraId="2252AEC5" w14:textId="77777777" w:rsidR="00CF0E3D" w:rsidRDefault="00CF0E3D" w:rsidP="00CF0E3D">
      <w:pPr>
        <w:pStyle w:val="subsection"/>
        <w:tabs>
          <w:tab w:val="left" w:pos="4536"/>
        </w:tabs>
      </w:pPr>
      <w:r w:rsidRPr="00F07699">
        <w:tab/>
        <w:t>(2)</w:t>
      </w:r>
      <w:r w:rsidRPr="00F07699">
        <w:tab/>
        <w:t xml:space="preserve">If an accredited person’s accreditation is revoked or surrendered in accordance with rule 5.17, all </w:t>
      </w:r>
      <w:r w:rsidRPr="00533E3F">
        <w:t xml:space="preserve">of the accredited person’s </w:t>
      </w:r>
      <w:r w:rsidRPr="00D56478">
        <w:t xml:space="preserve">consents </w:t>
      </w:r>
      <w:r w:rsidRPr="00F07699">
        <w:t>expire when the revocation or surrender takes effect.</w:t>
      </w:r>
    </w:p>
    <w:p w14:paraId="59077F13" w14:textId="77777777" w:rsidR="00CF0E3D" w:rsidRPr="00F07699" w:rsidRDefault="00CF0E3D" w:rsidP="00CF0E3D">
      <w:pPr>
        <w:pStyle w:val="ActHead4"/>
      </w:pPr>
      <w:bookmarkStart w:id="238" w:name="_Toc50633084"/>
      <w:bookmarkStart w:id="239" w:name="_Toc57219040"/>
      <w:bookmarkStart w:id="240" w:name="_Toc59549151"/>
      <w:bookmarkStart w:id="241" w:name="_Toc77064903"/>
      <w:r w:rsidRPr="00F07699">
        <w:t>Subdivision 4.3.3—Information relating to de</w:t>
      </w:r>
      <w:r w:rsidRPr="00F07699">
        <w:noBreakHyphen/>
        <w:t>identification of CDR data</w:t>
      </w:r>
      <w:bookmarkEnd w:id="238"/>
      <w:bookmarkEnd w:id="239"/>
      <w:bookmarkEnd w:id="240"/>
      <w:bookmarkEnd w:id="241"/>
    </w:p>
    <w:p w14:paraId="0FA2EEFF" w14:textId="77777777" w:rsidR="00CF0E3D" w:rsidRPr="00F07699" w:rsidRDefault="00CF0E3D" w:rsidP="00CF0E3D">
      <w:pPr>
        <w:pStyle w:val="ActHead5"/>
      </w:pPr>
      <w:bookmarkStart w:id="242" w:name="_Toc50633085"/>
      <w:bookmarkStart w:id="243" w:name="_Toc57219041"/>
      <w:bookmarkStart w:id="244" w:name="_Toc59549152"/>
      <w:bookmarkStart w:id="245" w:name="_Toc77064904"/>
      <w:r w:rsidRPr="00F07699">
        <w:t>4.15  Additional information relating to de</w:t>
      </w:r>
      <w:r w:rsidRPr="00F07699">
        <w:noBreakHyphen/>
        <w:t>identification of CDR data</w:t>
      </w:r>
      <w:bookmarkEnd w:id="242"/>
      <w:bookmarkEnd w:id="243"/>
      <w:bookmarkEnd w:id="244"/>
      <w:bookmarkEnd w:id="245"/>
    </w:p>
    <w:p w14:paraId="78B7601C" w14:textId="77777777" w:rsidR="00CF0E3D" w:rsidRPr="00F07699" w:rsidRDefault="00CF0E3D" w:rsidP="00CF0E3D">
      <w:pPr>
        <w:pStyle w:val="subsection"/>
      </w:pPr>
      <w:r w:rsidRPr="00F07699">
        <w:tab/>
      </w:r>
      <w:r w:rsidRPr="00F07699">
        <w:tab/>
        <w:t>For paragraph 4.11(3)(e), the additional information relating to de</w:t>
      </w:r>
      <w:r w:rsidRPr="00F07699">
        <w:noBreakHyphen/>
        <w:t>identification is the following:</w:t>
      </w:r>
    </w:p>
    <w:p w14:paraId="2DEF0A35" w14:textId="77777777" w:rsidR="00CF0E3D" w:rsidRPr="00F07699" w:rsidRDefault="00CF0E3D" w:rsidP="00CF0E3D">
      <w:pPr>
        <w:pStyle w:val="paragraph"/>
      </w:pPr>
      <w:r w:rsidRPr="00F07699">
        <w:tab/>
        <w:t>(a)</w:t>
      </w:r>
      <w:r w:rsidRPr="00F07699">
        <w:tab/>
        <w:t>what the CDR data de</w:t>
      </w:r>
      <w:r w:rsidRPr="00F07699">
        <w:noBreakHyphen/>
        <w:t>identification process is;</w:t>
      </w:r>
    </w:p>
    <w:p w14:paraId="46676CCB" w14:textId="77777777" w:rsidR="00CF0E3D" w:rsidRPr="00A6091B" w:rsidRDefault="00CF0E3D" w:rsidP="00CF0E3D">
      <w:pPr>
        <w:pStyle w:val="paragraph"/>
      </w:pPr>
      <w:r w:rsidRPr="00A6091B">
        <w:lastRenderedPageBreak/>
        <w:tab/>
        <w:t>(b)</w:t>
      </w:r>
      <w:r w:rsidRPr="00A6091B">
        <w:tab/>
        <w:t>if it would disclose (by sale or otherwise) the de</w:t>
      </w:r>
      <w:r w:rsidRPr="00A6091B">
        <w:noBreakHyphen/>
        <w:t>identified data to one or more other persons;</w:t>
      </w:r>
    </w:p>
    <w:p w14:paraId="08C583E9" w14:textId="77777777" w:rsidR="00CF0E3D" w:rsidRPr="00A6091B" w:rsidRDefault="00CF0E3D" w:rsidP="00CF0E3D">
      <w:pPr>
        <w:pStyle w:val="paragraphsub"/>
      </w:pPr>
      <w:r w:rsidRPr="00A6091B">
        <w:tab/>
        <w:t>(i)</w:t>
      </w:r>
      <w:r w:rsidRPr="00A6091B">
        <w:tab/>
        <w:t>that fact; and</w:t>
      </w:r>
    </w:p>
    <w:p w14:paraId="1C624528" w14:textId="77777777" w:rsidR="00CF0E3D" w:rsidRPr="00A6091B" w:rsidRDefault="00CF0E3D" w:rsidP="00CF0E3D">
      <w:pPr>
        <w:pStyle w:val="paragraphsub"/>
      </w:pPr>
      <w:r w:rsidRPr="00A6091B">
        <w:tab/>
        <w:t>(ii)</w:t>
      </w:r>
      <w:r w:rsidRPr="00A6091B">
        <w:tab/>
        <w:t>the classes of persons to which it would disclose that data;</w:t>
      </w:r>
    </w:p>
    <w:p w14:paraId="0103DC43" w14:textId="77777777" w:rsidR="00CF0E3D" w:rsidRPr="00A6091B" w:rsidRDefault="00CF0E3D" w:rsidP="00CF0E3D">
      <w:pPr>
        <w:pStyle w:val="paragraphsub"/>
      </w:pPr>
      <w:r w:rsidRPr="00A6091B">
        <w:tab/>
        <w:t>(iii)</w:t>
      </w:r>
      <w:r w:rsidRPr="00A6091B">
        <w:tab/>
        <w:t>why it would so disclose that data;</w:t>
      </w:r>
    </w:p>
    <w:p w14:paraId="0C25A9D2" w14:textId="77777777" w:rsidR="00CF0E3D" w:rsidRPr="00A6091B" w:rsidRDefault="00CF0E3D" w:rsidP="00CF0E3D">
      <w:pPr>
        <w:pStyle w:val="paragraph"/>
        <w:rPr>
          <w:sz w:val="20"/>
        </w:rPr>
      </w:pPr>
      <w:r w:rsidRPr="00A6091B">
        <w:tab/>
        <w:t>(c)</w:t>
      </w:r>
      <w:r w:rsidRPr="00A6091B">
        <w:tab/>
        <w:t>if the accredited person would use the de</w:t>
      </w:r>
      <w:r w:rsidRPr="00A6091B">
        <w:noBreakHyphen/>
        <w:t>identified data for general research―that fact, together with a link to a description in the accredited person’s CDR policy of:</w:t>
      </w:r>
    </w:p>
    <w:p w14:paraId="1BF0889A" w14:textId="77777777" w:rsidR="00CF0E3D" w:rsidRPr="00A6091B" w:rsidRDefault="00CF0E3D" w:rsidP="00CF0E3D">
      <w:pPr>
        <w:pStyle w:val="paragraphsub"/>
      </w:pPr>
      <w:r w:rsidRPr="00A6091B">
        <w:tab/>
        <w:t>(i)</w:t>
      </w:r>
      <w:r w:rsidRPr="00A6091B">
        <w:tab/>
        <w:t>the research to be conducted; and</w:t>
      </w:r>
    </w:p>
    <w:p w14:paraId="75B53A78" w14:textId="77777777" w:rsidR="00CF0E3D" w:rsidRPr="00A6091B" w:rsidRDefault="00CF0E3D" w:rsidP="00CF0E3D">
      <w:pPr>
        <w:pStyle w:val="paragraphsub"/>
      </w:pPr>
      <w:r w:rsidRPr="00A6091B">
        <w:tab/>
        <w:t>(ii)</w:t>
      </w:r>
      <w:r w:rsidRPr="00A6091B">
        <w:tab/>
        <w:t>any additional benefit to be provided to the CDR consumer for consenting to the use;</w:t>
      </w:r>
    </w:p>
    <w:p w14:paraId="449110D5" w14:textId="77777777" w:rsidR="00CF0E3D" w:rsidRPr="00A6091B" w:rsidRDefault="00CF0E3D" w:rsidP="00CF0E3D">
      <w:pPr>
        <w:pStyle w:val="paragraph"/>
      </w:pPr>
      <w:r w:rsidRPr="00A6091B">
        <w:tab/>
        <w:t>(e)</w:t>
      </w:r>
      <w:r w:rsidRPr="00A6091B">
        <w:tab/>
        <w:t>that the CDR consumer would not be able to elect, in accordance with rule 4.16, to have the de</w:t>
      </w:r>
      <w:r w:rsidRPr="00A6091B">
        <w:noBreakHyphen/>
        <w:t>identified data deleted once it becomes redundant data.</w:t>
      </w:r>
    </w:p>
    <w:p w14:paraId="0C3F8796" w14:textId="77777777" w:rsidR="00CF0E3D" w:rsidRPr="00F07699" w:rsidRDefault="00CF0E3D" w:rsidP="00CF0E3D">
      <w:pPr>
        <w:pStyle w:val="ActHead4"/>
      </w:pPr>
      <w:bookmarkStart w:id="246" w:name="_Toc50633086"/>
      <w:bookmarkStart w:id="247" w:name="_Toc57219042"/>
      <w:bookmarkStart w:id="248" w:name="_Toc59549153"/>
      <w:bookmarkStart w:id="249" w:name="_Toc77064905"/>
      <w:r w:rsidRPr="00F07699">
        <w:t>Subdivision 4.3.4—Election to delete redundant data</w:t>
      </w:r>
      <w:bookmarkEnd w:id="246"/>
      <w:bookmarkEnd w:id="247"/>
      <w:bookmarkEnd w:id="248"/>
      <w:bookmarkEnd w:id="249"/>
    </w:p>
    <w:p w14:paraId="7C412E8D" w14:textId="77777777" w:rsidR="00CF0E3D" w:rsidRPr="00F07699" w:rsidRDefault="00CF0E3D" w:rsidP="00CF0E3D">
      <w:pPr>
        <w:pStyle w:val="ActHead5"/>
      </w:pPr>
      <w:bookmarkStart w:id="250" w:name="_Toc50114053"/>
      <w:bookmarkStart w:id="251" w:name="_Toc50633087"/>
      <w:bookmarkStart w:id="252" w:name="_Toc57219043"/>
      <w:bookmarkStart w:id="253" w:name="_Toc59549154"/>
      <w:bookmarkStart w:id="254" w:name="_Toc77064906"/>
      <w:r w:rsidRPr="00F07699">
        <w:t>4.16  Election to delete redundant data</w:t>
      </w:r>
      <w:bookmarkEnd w:id="250"/>
      <w:bookmarkEnd w:id="251"/>
      <w:bookmarkEnd w:id="252"/>
      <w:bookmarkEnd w:id="253"/>
      <w:bookmarkEnd w:id="254"/>
    </w:p>
    <w:p w14:paraId="6BA3C5BD" w14:textId="77777777" w:rsidR="00CF0E3D" w:rsidRPr="00533E3F" w:rsidRDefault="00CF0E3D" w:rsidP="00CF0E3D">
      <w:pPr>
        <w:pStyle w:val="subsection"/>
      </w:pPr>
      <w:r w:rsidRPr="00F07699">
        <w:tab/>
        <w:t>(1)</w:t>
      </w:r>
      <w:r w:rsidRPr="00F07699">
        <w:tab/>
        <w:t xml:space="preserve">The CDR consumer who gave a consent </w:t>
      </w:r>
      <w:r w:rsidRPr="00533E3F">
        <w:t>relating to particular CDR data may elect that the collected data, and any data derived from it, be deleted when it becomes redundant data:</w:t>
      </w:r>
    </w:p>
    <w:p w14:paraId="04E5E0DF" w14:textId="77777777" w:rsidR="00CF0E3D" w:rsidRPr="00533E3F" w:rsidRDefault="00CF0E3D" w:rsidP="00CF0E3D">
      <w:pPr>
        <w:pStyle w:val="paragraph"/>
      </w:pPr>
      <w:r w:rsidRPr="00533E3F">
        <w:tab/>
        <w:t>(a)</w:t>
      </w:r>
      <w:r w:rsidRPr="00533E3F">
        <w:tab/>
        <w:t>when giving the consent; or</w:t>
      </w:r>
    </w:p>
    <w:p w14:paraId="01F06C36" w14:textId="77777777" w:rsidR="00CF0E3D" w:rsidRPr="00533E3F" w:rsidRDefault="00CF0E3D" w:rsidP="00CF0E3D">
      <w:pPr>
        <w:pStyle w:val="paragraph"/>
      </w:pPr>
      <w:r w:rsidRPr="00533E3F">
        <w:tab/>
        <w:t>(b)</w:t>
      </w:r>
      <w:r w:rsidRPr="00533E3F">
        <w:tab/>
        <w:t>at any other time before the consent expires.</w:t>
      </w:r>
    </w:p>
    <w:p w14:paraId="7F73F2A2" w14:textId="77777777" w:rsidR="00CF0E3D" w:rsidRPr="00533E3F" w:rsidRDefault="00CF0E3D" w:rsidP="00CF0E3D">
      <w:pPr>
        <w:pStyle w:val="notetext"/>
      </w:pPr>
      <w:r w:rsidRPr="00533E3F">
        <w:t>Note:</w:t>
      </w:r>
      <w:r w:rsidRPr="00533E3F">
        <w:tab/>
        <w:t>See rule 7.12 for the effect of an election.</w:t>
      </w:r>
    </w:p>
    <w:p w14:paraId="1E3038B4" w14:textId="77777777" w:rsidR="00CF0E3D" w:rsidRPr="00533E3F" w:rsidRDefault="00CF0E3D" w:rsidP="00CF0E3D">
      <w:pPr>
        <w:pStyle w:val="subsection"/>
      </w:pPr>
      <w:r w:rsidRPr="00533E3F">
        <w:tab/>
        <w:t>(2)</w:t>
      </w:r>
      <w:r w:rsidRPr="00533E3F">
        <w:tab/>
        <w:t>The CDR consumer may make the election:</w:t>
      </w:r>
    </w:p>
    <w:p w14:paraId="3AFC0192" w14:textId="77777777" w:rsidR="00CF0E3D" w:rsidRPr="00533E3F" w:rsidRDefault="00CF0E3D" w:rsidP="00CF0E3D">
      <w:pPr>
        <w:pStyle w:val="paragraph"/>
      </w:pPr>
      <w:r w:rsidRPr="00533E3F">
        <w:tab/>
        <w:t>(a)</w:t>
      </w:r>
      <w:r w:rsidRPr="00533E3F">
        <w:tab/>
        <w:t>by communicating it to the accredited person in writing; or</w:t>
      </w:r>
    </w:p>
    <w:p w14:paraId="70D51002" w14:textId="77777777" w:rsidR="00CF0E3D" w:rsidRPr="00533E3F" w:rsidRDefault="00CF0E3D" w:rsidP="00CF0E3D">
      <w:pPr>
        <w:pStyle w:val="paragraph"/>
      </w:pPr>
      <w:r w:rsidRPr="00533E3F">
        <w:tab/>
        <w:t>(b)</w:t>
      </w:r>
      <w:r w:rsidRPr="00533E3F">
        <w:tab/>
        <w:t>by using the accredited person’s consumer dashboard.</w:t>
      </w:r>
    </w:p>
    <w:p w14:paraId="38D411FD" w14:textId="77777777" w:rsidR="00CF0E3D" w:rsidRPr="00F07699" w:rsidRDefault="00CF0E3D" w:rsidP="00CF0E3D">
      <w:pPr>
        <w:pStyle w:val="subsection"/>
      </w:pPr>
      <w:r w:rsidRPr="00533E3F">
        <w:tab/>
        <w:t>(3)</w:t>
      </w:r>
      <w:r w:rsidRPr="00533E3F">
        <w:tab/>
        <w:t>This rule does not apply if, when seeking the consent</w:t>
      </w:r>
      <w:r w:rsidRPr="00F07699">
        <w:t>, the accredited person informs the CDR consumer that they have a general policy of deleting CDR data when it becomes redundant data.</w:t>
      </w:r>
    </w:p>
    <w:p w14:paraId="3AC2FB17" w14:textId="285F4558" w:rsidR="00CF0E3D" w:rsidRPr="00F07699" w:rsidRDefault="00F25A41" w:rsidP="00F25A41">
      <w:pPr>
        <w:pStyle w:val="notetext"/>
      </w:pPr>
      <w:r>
        <w:t>Note:</w:t>
      </w:r>
      <w:r>
        <w:tab/>
      </w:r>
      <w:r w:rsidR="00CF0E3D" w:rsidRPr="00F07699">
        <w:t>See paragraph 4.17(1)(a).</w:t>
      </w:r>
    </w:p>
    <w:p w14:paraId="65277593" w14:textId="77777777" w:rsidR="00CF0E3D" w:rsidRPr="00F07699" w:rsidRDefault="00CF0E3D" w:rsidP="00CF0E3D">
      <w:pPr>
        <w:pStyle w:val="subsection"/>
      </w:pPr>
      <w:r w:rsidRPr="00F07699">
        <w:tab/>
        <w:t>(4)</w:t>
      </w:r>
      <w:r w:rsidRPr="00F07699">
        <w:tab/>
        <w:t>This rule does not require the deletion of derived CDR data that was de</w:t>
      </w:r>
      <w:r w:rsidRPr="00F07699">
        <w:noBreakHyphen/>
        <w:t>identified in accordance with the CDR data de</w:t>
      </w:r>
      <w:r w:rsidRPr="00F07699">
        <w:noBreakHyphen/>
        <w:t>identification process before the collected data from which it was derived became redundant.</w:t>
      </w:r>
    </w:p>
    <w:p w14:paraId="35D66889" w14:textId="77777777" w:rsidR="00CF0E3D" w:rsidRPr="00F07699" w:rsidRDefault="00CF0E3D" w:rsidP="00CF0E3D">
      <w:pPr>
        <w:pStyle w:val="ActHead5"/>
      </w:pPr>
      <w:bookmarkStart w:id="255" w:name="_Toc50114054"/>
      <w:bookmarkStart w:id="256" w:name="_Toc50633088"/>
      <w:bookmarkStart w:id="257" w:name="_Toc57219044"/>
      <w:bookmarkStart w:id="258" w:name="_Toc59549155"/>
      <w:bookmarkStart w:id="259" w:name="_Toc77064907"/>
      <w:r w:rsidRPr="00F07699">
        <w:t>4.17  Information relating to redundant data</w:t>
      </w:r>
      <w:bookmarkEnd w:id="255"/>
      <w:bookmarkEnd w:id="256"/>
      <w:bookmarkEnd w:id="257"/>
      <w:bookmarkEnd w:id="258"/>
      <w:bookmarkEnd w:id="259"/>
    </w:p>
    <w:p w14:paraId="7D752B54" w14:textId="77777777" w:rsidR="00CF0E3D" w:rsidRDefault="00CF0E3D" w:rsidP="00CF0E3D">
      <w:pPr>
        <w:pStyle w:val="subsection"/>
      </w:pPr>
      <w:r w:rsidRPr="00F07699">
        <w:tab/>
        <w:t>(1)</w:t>
      </w:r>
      <w:r w:rsidRPr="00F07699">
        <w:tab/>
        <w:t>For subparagraph 4.11(3)(h)</w:t>
      </w:r>
      <w:r w:rsidRPr="004E01F4">
        <w:t>(i)</w:t>
      </w:r>
      <w:r w:rsidRPr="00F07699">
        <w:t>, the accredited person must state whether they have a general policy, when collected CDR data becomes redundant data, of:</w:t>
      </w:r>
    </w:p>
    <w:p w14:paraId="130C345F" w14:textId="77777777" w:rsidR="00CF0E3D" w:rsidRPr="00F07699" w:rsidRDefault="00CF0E3D" w:rsidP="00CF0E3D">
      <w:pPr>
        <w:pStyle w:val="paragraph"/>
      </w:pPr>
      <w:r w:rsidRPr="00F07699">
        <w:tab/>
        <w:t>(a)</w:t>
      </w:r>
      <w:r w:rsidRPr="00F07699">
        <w:tab/>
        <w:t>deleting the redundant data; or</w:t>
      </w:r>
    </w:p>
    <w:p w14:paraId="5641E7EB" w14:textId="77777777" w:rsidR="00CF0E3D" w:rsidRPr="00F07699" w:rsidRDefault="00CF0E3D" w:rsidP="00CF0E3D">
      <w:pPr>
        <w:pStyle w:val="paragraph"/>
      </w:pPr>
      <w:r w:rsidRPr="00F07699">
        <w:tab/>
        <w:t>(b)</w:t>
      </w:r>
      <w:r w:rsidRPr="00F07699">
        <w:tab/>
        <w:t>de</w:t>
      </w:r>
      <w:r w:rsidRPr="00F07699">
        <w:noBreakHyphen/>
        <w:t>identifying the redundant data; or</w:t>
      </w:r>
    </w:p>
    <w:p w14:paraId="396B002F" w14:textId="77777777" w:rsidR="00CF0E3D" w:rsidRPr="00F07699" w:rsidRDefault="00CF0E3D" w:rsidP="00CF0E3D">
      <w:pPr>
        <w:pStyle w:val="paragraph"/>
      </w:pPr>
      <w:r w:rsidRPr="00F07699">
        <w:lastRenderedPageBreak/>
        <w:tab/>
        <w:t>(c)</w:t>
      </w:r>
      <w:r w:rsidRPr="00F07699">
        <w:tab/>
        <w:t>deciding, when the CDR data becomes redundant data, whether to delete it or de</w:t>
      </w:r>
      <w:r w:rsidRPr="00F07699">
        <w:noBreakHyphen/>
        <w:t>identify it.</w:t>
      </w:r>
    </w:p>
    <w:p w14:paraId="58F2CE6F" w14:textId="77777777" w:rsidR="00CF0E3D" w:rsidRPr="00F07699" w:rsidRDefault="00CF0E3D" w:rsidP="00CF0E3D">
      <w:pPr>
        <w:pStyle w:val="subsection"/>
      </w:pPr>
      <w:r w:rsidRPr="00F07699">
        <w:tab/>
        <w:t>(2)</w:t>
      </w:r>
      <w:r w:rsidRPr="00F07699">
        <w:tab/>
        <w:t>An accredited person that gives the statement referred to in paragraph (1)(b) or (c) must also state:</w:t>
      </w:r>
    </w:p>
    <w:p w14:paraId="75E65D79" w14:textId="77777777" w:rsidR="00CF0E3D" w:rsidRPr="00F07699" w:rsidRDefault="00CF0E3D" w:rsidP="00CF0E3D">
      <w:pPr>
        <w:pStyle w:val="paragraph"/>
      </w:pPr>
      <w:r w:rsidRPr="00F07699">
        <w:tab/>
        <w:t>(a)</w:t>
      </w:r>
      <w:r w:rsidRPr="00F07699">
        <w:tab/>
        <w:t>that, if it de</w:t>
      </w:r>
      <w:r w:rsidRPr="00F07699">
        <w:noBreakHyphen/>
        <w:t>identifies the redundant data:</w:t>
      </w:r>
    </w:p>
    <w:p w14:paraId="219CF367" w14:textId="77777777" w:rsidR="00CF0E3D" w:rsidRPr="00F07699" w:rsidRDefault="00CF0E3D" w:rsidP="00CF0E3D">
      <w:pPr>
        <w:pStyle w:val="paragraphsub"/>
      </w:pPr>
      <w:r w:rsidRPr="00F07699">
        <w:tab/>
        <w:t>(i)</w:t>
      </w:r>
      <w:r w:rsidRPr="00F07699">
        <w:tab/>
        <w:t>it would apply the CDR data de</w:t>
      </w:r>
      <w:r w:rsidRPr="00F07699">
        <w:noBreakHyphen/>
        <w:t>identification process; and</w:t>
      </w:r>
    </w:p>
    <w:p w14:paraId="1D32876B" w14:textId="77777777" w:rsidR="00CF0E3D" w:rsidRPr="00F07699" w:rsidRDefault="00CF0E3D" w:rsidP="00CF0E3D">
      <w:pPr>
        <w:pStyle w:val="paragraphsub"/>
      </w:pPr>
      <w:r w:rsidRPr="00F07699">
        <w:tab/>
        <w:t>(ii)</w:t>
      </w:r>
      <w:r w:rsidRPr="00F07699">
        <w:tab/>
        <w:t>it would be able to use or, if applicable, disclose (by sale or otherwise) the de</w:t>
      </w:r>
      <w:r w:rsidRPr="00F07699">
        <w:noBreakHyphen/>
        <w:t>identified redundant data without seeking further consent from the CDR consumer; and</w:t>
      </w:r>
    </w:p>
    <w:p w14:paraId="3681D4E9" w14:textId="77777777" w:rsidR="00CF0E3D" w:rsidRPr="00F07699" w:rsidRDefault="00CF0E3D" w:rsidP="00CF0E3D">
      <w:pPr>
        <w:pStyle w:val="paragraph"/>
      </w:pPr>
      <w:r w:rsidRPr="00F07699">
        <w:tab/>
        <w:t>(b)</w:t>
      </w:r>
      <w:r w:rsidRPr="00F07699">
        <w:tab/>
        <w:t>what de</w:t>
      </w:r>
      <w:r w:rsidRPr="00F07699">
        <w:noBreakHyphen/>
        <w:t>identification of CDR data in accordance with the CDR data de</w:t>
      </w:r>
      <w:r w:rsidRPr="00F07699">
        <w:noBreakHyphen/>
        <w:t>identification process means; and</w:t>
      </w:r>
    </w:p>
    <w:p w14:paraId="2DD1BB99" w14:textId="77777777" w:rsidR="00CF0E3D" w:rsidRPr="00F07699" w:rsidRDefault="00CF0E3D" w:rsidP="00CF0E3D">
      <w:pPr>
        <w:pStyle w:val="paragraph"/>
      </w:pPr>
      <w:r w:rsidRPr="00F07699">
        <w:tab/>
        <w:t>(c)</w:t>
      </w:r>
      <w:r w:rsidRPr="00F07699">
        <w:tab/>
        <w:t>if applicable, examples of how it could use the redundant data once de</w:t>
      </w:r>
      <w:r w:rsidRPr="00F07699">
        <w:noBreakHyphen/>
        <w:t>identified.</w:t>
      </w:r>
    </w:p>
    <w:p w14:paraId="6216A4F6" w14:textId="77777777" w:rsidR="00CF0E3D" w:rsidRPr="00F07699" w:rsidRDefault="00CF0E3D" w:rsidP="00CF0E3D">
      <w:pPr>
        <w:pStyle w:val="notetext"/>
      </w:pPr>
      <w:r w:rsidRPr="00F07699">
        <w:t xml:space="preserve">Note: </w:t>
      </w:r>
      <w:r w:rsidRPr="00F07699">
        <w:tab/>
        <w:t>For the CDR data de</w:t>
      </w:r>
      <w:r w:rsidRPr="00F07699">
        <w:noBreakHyphen/>
        <w:t>identification process, see rule 1.17.</w:t>
      </w:r>
    </w:p>
    <w:p w14:paraId="19C35D0B" w14:textId="77777777" w:rsidR="00CF0E3D" w:rsidRPr="00F07699" w:rsidRDefault="00CF0E3D" w:rsidP="00CF0E3D">
      <w:pPr>
        <w:pStyle w:val="ActHead4"/>
      </w:pPr>
      <w:bookmarkStart w:id="260" w:name="_Toc50633089"/>
      <w:bookmarkStart w:id="261" w:name="_Toc57219045"/>
      <w:bookmarkStart w:id="262" w:name="_Toc59549156"/>
      <w:bookmarkStart w:id="263" w:name="_Toc77064908"/>
      <w:r w:rsidRPr="00F07699">
        <w:t>Subdivision 4.3.5—Notification requirements</w:t>
      </w:r>
      <w:bookmarkEnd w:id="260"/>
      <w:bookmarkEnd w:id="261"/>
      <w:bookmarkEnd w:id="262"/>
      <w:bookmarkEnd w:id="263"/>
    </w:p>
    <w:p w14:paraId="76D52325" w14:textId="77777777" w:rsidR="00CF0E3D" w:rsidRPr="00F07699" w:rsidRDefault="00CF0E3D" w:rsidP="00CF0E3D">
      <w:pPr>
        <w:pStyle w:val="ActHead5"/>
      </w:pPr>
      <w:bookmarkStart w:id="264" w:name="_Toc50114056"/>
      <w:bookmarkStart w:id="265" w:name="_Toc50633090"/>
      <w:bookmarkStart w:id="266" w:name="_Toc57219046"/>
      <w:bookmarkStart w:id="267" w:name="_Toc59549157"/>
      <w:bookmarkStart w:id="268" w:name="_Toc77064909"/>
      <w:r w:rsidRPr="00F07699">
        <w:t>4.18  CDR receipts</w:t>
      </w:r>
      <w:bookmarkEnd w:id="264"/>
      <w:bookmarkEnd w:id="265"/>
      <w:bookmarkEnd w:id="266"/>
      <w:bookmarkEnd w:id="267"/>
      <w:bookmarkEnd w:id="268"/>
    </w:p>
    <w:p w14:paraId="69B22C76" w14:textId="77777777" w:rsidR="00CF0E3D" w:rsidRPr="00F07699" w:rsidRDefault="00CF0E3D" w:rsidP="00CF0E3D">
      <w:pPr>
        <w:pStyle w:val="subsection"/>
      </w:pPr>
      <w:r w:rsidRPr="00F07699">
        <w:tab/>
        <w:t>(1)</w:t>
      </w:r>
      <w:r w:rsidRPr="00F07699">
        <w:tab/>
        <w:t>The accredited person must give the CDR consumer a notice that complies with this rule (a</w:t>
      </w:r>
      <w:r w:rsidRPr="00F07699">
        <w:rPr>
          <w:b/>
          <w:i/>
        </w:rPr>
        <w:t xml:space="preserve"> CDR receipt</w:t>
      </w:r>
      <w:r w:rsidRPr="00F07699">
        <w:t>) as soon as practicable after:</w:t>
      </w:r>
    </w:p>
    <w:p w14:paraId="7360ABF7" w14:textId="77777777" w:rsidR="00CF0E3D" w:rsidRPr="004E01F4" w:rsidRDefault="00CF0E3D" w:rsidP="00CF0E3D">
      <w:pPr>
        <w:pStyle w:val="paragraph"/>
      </w:pPr>
      <w:r w:rsidRPr="004E01F4">
        <w:tab/>
        <w:t>(a)</w:t>
      </w:r>
      <w:r w:rsidRPr="004E01F4">
        <w:tab/>
        <w:t>the CDR consumer gives the accredited person a collection consent, a use consent or a disclosure consent; or</w:t>
      </w:r>
    </w:p>
    <w:p w14:paraId="5EB221A8" w14:textId="77777777" w:rsidR="00CF0E3D" w:rsidRPr="004E01F4" w:rsidRDefault="00CF0E3D" w:rsidP="00CF0E3D">
      <w:pPr>
        <w:pStyle w:val="paragraph"/>
      </w:pPr>
      <w:r w:rsidRPr="004E01F4">
        <w:tab/>
        <w:t>(aa)</w:t>
      </w:r>
      <w:r w:rsidRPr="004E01F4">
        <w:tab/>
        <w:t>the CDR consumer amends such a consent in accordance with this Part; or</w:t>
      </w:r>
    </w:p>
    <w:p w14:paraId="72C21ED7" w14:textId="77777777" w:rsidR="00CF0E3D" w:rsidRPr="004E01F4" w:rsidRDefault="00CF0E3D" w:rsidP="00CF0E3D">
      <w:pPr>
        <w:pStyle w:val="paragraph"/>
      </w:pPr>
      <w:r w:rsidRPr="004E01F4">
        <w:tab/>
        <w:t>(b)</w:t>
      </w:r>
      <w:r w:rsidRPr="004E01F4">
        <w:tab/>
        <w:t>the CDR consumer withdraws such a consent in accordance with rule 4.13</w:t>
      </w:r>
    </w:p>
    <w:p w14:paraId="1C262521" w14:textId="77777777" w:rsidR="00CF0E3D" w:rsidRPr="004E01F4" w:rsidRDefault="00CF0E3D" w:rsidP="00CF0E3D">
      <w:pPr>
        <w:pStyle w:val="notetext"/>
      </w:pPr>
      <w:r w:rsidRPr="004E01F4">
        <w:t>Note:</w:t>
      </w:r>
      <w:r w:rsidRPr="004E01F4">
        <w:tab/>
        <w:t>This subrule is a civil penalty provision (see rule 9.8).</w:t>
      </w:r>
    </w:p>
    <w:p w14:paraId="7E6B22C0" w14:textId="77777777" w:rsidR="00CF0E3D" w:rsidRPr="004E01F4" w:rsidRDefault="00CF0E3D" w:rsidP="00CF0E3D">
      <w:pPr>
        <w:pStyle w:val="subsection"/>
      </w:pPr>
      <w:r w:rsidRPr="004E01F4">
        <w:tab/>
        <w:t>(2)</w:t>
      </w:r>
      <w:r w:rsidRPr="004E01F4">
        <w:tab/>
        <w:t>A CDR receipt given for the purposes of paragraph (1)(a) must set out:</w:t>
      </w:r>
    </w:p>
    <w:p w14:paraId="6F210FB1" w14:textId="77777777" w:rsidR="00CF0E3D" w:rsidRPr="004E01F4" w:rsidRDefault="00CF0E3D" w:rsidP="00CF0E3D">
      <w:pPr>
        <w:pStyle w:val="paragraph"/>
      </w:pPr>
      <w:r w:rsidRPr="004E01F4">
        <w:tab/>
        <w:t>(a)</w:t>
      </w:r>
      <w:r w:rsidRPr="004E01F4">
        <w:tab/>
        <w:t>the details that relate to the consent that are listed in paragraphs 1.14(3)(a) to (f); and</w:t>
      </w:r>
    </w:p>
    <w:p w14:paraId="6263E186" w14:textId="77777777" w:rsidR="00CF0E3D" w:rsidRPr="004E01F4" w:rsidRDefault="00CF0E3D" w:rsidP="00CF0E3D">
      <w:pPr>
        <w:pStyle w:val="paragraph"/>
      </w:pPr>
      <w:r w:rsidRPr="004E01F4">
        <w:tab/>
        <w:t>(b)</w:t>
      </w:r>
      <w:r w:rsidRPr="004E01F4">
        <w:tab/>
        <w:t>in the case of a collection consent―th</w:t>
      </w:r>
      <w:r>
        <w:t xml:space="preserve">e name of each CDR participant </w:t>
      </w:r>
      <w:r w:rsidRPr="004E01F4">
        <w:t>the CDR consumer has consented to the collection of CDR data from; and</w:t>
      </w:r>
    </w:p>
    <w:p w14:paraId="2CCFC4FF" w14:textId="77777777" w:rsidR="00CF0E3D" w:rsidRPr="004E01F4" w:rsidRDefault="00CF0E3D" w:rsidP="00CF0E3D">
      <w:pPr>
        <w:pStyle w:val="paragraph"/>
      </w:pPr>
      <w:r w:rsidRPr="004E01F4">
        <w:tab/>
        <w:t>(ba)</w:t>
      </w:r>
      <w:r w:rsidRPr="004E01F4">
        <w:tab/>
        <w:t>in the case of a disclosure consent―the name of the person the CDR consumer has consented to the disclosure of CDR data to; and</w:t>
      </w:r>
    </w:p>
    <w:p w14:paraId="39C53305" w14:textId="77777777" w:rsidR="00CF0E3D" w:rsidRPr="004E01F4" w:rsidRDefault="00CF0E3D" w:rsidP="00CF0E3D">
      <w:pPr>
        <w:pStyle w:val="paragraph"/>
      </w:pPr>
      <w:r w:rsidRPr="004E01F4">
        <w:tab/>
        <w:t>(c)</w:t>
      </w:r>
      <w:r w:rsidRPr="004E01F4">
        <w:tab/>
        <w:t>any other information the accredited person provided to the CDR consumer when obtaining the consent (see rule 4.11).</w:t>
      </w:r>
    </w:p>
    <w:p w14:paraId="5D430C20" w14:textId="77777777" w:rsidR="00CF0E3D" w:rsidRPr="004E01F4" w:rsidRDefault="00CF0E3D" w:rsidP="00CF0E3D">
      <w:pPr>
        <w:pStyle w:val="subsection"/>
      </w:pPr>
      <w:r w:rsidRPr="004E01F4">
        <w:tab/>
        <w:t>(2A)</w:t>
      </w:r>
      <w:r w:rsidRPr="004E01F4">
        <w:tab/>
        <w:t>A CDR receipt given for the purposes of paragraph (1)(aa) must set out details of each amendment that has been made to the consent.</w:t>
      </w:r>
    </w:p>
    <w:p w14:paraId="70350223" w14:textId="77777777" w:rsidR="00CF0E3D" w:rsidRPr="00F07699" w:rsidRDefault="00CF0E3D" w:rsidP="00CF0E3D">
      <w:pPr>
        <w:pStyle w:val="subsection"/>
      </w:pPr>
      <w:r w:rsidRPr="00F07699">
        <w:tab/>
        <w:t>(3)</w:t>
      </w:r>
      <w:r w:rsidRPr="00F07699">
        <w:tab/>
        <w:t>A CDR receipt given for the purposes of paragraph (1)(b) must set out when the consent expired.</w:t>
      </w:r>
    </w:p>
    <w:p w14:paraId="3C9FE2BD" w14:textId="77777777" w:rsidR="00CF0E3D" w:rsidRPr="00F07699" w:rsidRDefault="00CF0E3D" w:rsidP="00CF0E3D">
      <w:pPr>
        <w:pStyle w:val="subsection"/>
      </w:pPr>
      <w:r w:rsidRPr="00F07699">
        <w:tab/>
        <w:t>(4)</w:t>
      </w:r>
      <w:r w:rsidRPr="00F07699">
        <w:tab/>
        <w:t>A CDR receipt must be given in writing otherwise than through the CDR consumer’s consumer dashboard.</w:t>
      </w:r>
    </w:p>
    <w:p w14:paraId="5CCA4766" w14:textId="77777777" w:rsidR="00CF0E3D" w:rsidRPr="00F07699" w:rsidRDefault="00CF0E3D" w:rsidP="00CF0E3D">
      <w:pPr>
        <w:pStyle w:val="subsection"/>
      </w:pPr>
      <w:r w:rsidRPr="00F07699">
        <w:lastRenderedPageBreak/>
        <w:tab/>
        <w:t>(5)</w:t>
      </w:r>
      <w:r w:rsidRPr="00F07699">
        <w:tab/>
        <w:t>A copy of the CDR receipt may be included in the CDR consumer’s consumer dashboard.</w:t>
      </w:r>
    </w:p>
    <w:p w14:paraId="5721EC9E" w14:textId="77777777" w:rsidR="00CF0E3D" w:rsidRPr="004E01F4" w:rsidRDefault="00CF0E3D" w:rsidP="00CF0E3D">
      <w:pPr>
        <w:pStyle w:val="ActHead5"/>
      </w:pPr>
      <w:bookmarkStart w:id="269" w:name="_Toc50114057"/>
      <w:bookmarkStart w:id="270" w:name="_Toc57219047"/>
      <w:bookmarkStart w:id="271" w:name="_Toc59549158"/>
      <w:bookmarkStart w:id="272" w:name="_Toc77064910"/>
      <w:r w:rsidRPr="004E01F4">
        <w:t>4.18A  Notification if collection consent expires</w:t>
      </w:r>
      <w:bookmarkEnd w:id="269"/>
      <w:bookmarkEnd w:id="270"/>
      <w:bookmarkEnd w:id="271"/>
      <w:bookmarkEnd w:id="272"/>
    </w:p>
    <w:p w14:paraId="4B7F5E10" w14:textId="77777777" w:rsidR="00CF0E3D" w:rsidRPr="004E01F4" w:rsidRDefault="00CF0E3D" w:rsidP="00CF0E3D">
      <w:pPr>
        <w:pStyle w:val="subsection"/>
      </w:pPr>
      <w:r w:rsidRPr="004E01F4">
        <w:tab/>
        <w:t>(1)</w:t>
      </w:r>
      <w:r w:rsidRPr="004E01F4">
        <w:tab/>
        <w:t>This rule applies if, in relation to particular goods or services an accredited person is providing as referred to in subrule 4.3(1):</w:t>
      </w:r>
    </w:p>
    <w:p w14:paraId="70485E88" w14:textId="77777777" w:rsidR="00CF0E3D" w:rsidRPr="004E01F4" w:rsidRDefault="00CF0E3D" w:rsidP="00CF0E3D">
      <w:pPr>
        <w:pStyle w:val="paragraph"/>
      </w:pPr>
      <w:r w:rsidRPr="004E01F4">
        <w:tab/>
        <w:t>(a)</w:t>
      </w:r>
      <w:r w:rsidRPr="004E01F4">
        <w:tab/>
        <w:t>the collection consent expires; but</w:t>
      </w:r>
    </w:p>
    <w:p w14:paraId="235F75A1" w14:textId="77777777" w:rsidR="00CF0E3D" w:rsidRPr="004E01F4" w:rsidRDefault="00CF0E3D" w:rsidP="00CF0E3D">
      <w:pPr>
        <w:pStyle w:val="paragraph"/>
      </w:pPr>
      <w:r w:rsidRPr="004E01F4">
        <w:tab/>
        <w:t>(b)</w:t>
      </w:r>
      <w:r w:rsidRPr="004E01F4">
        <w:tab/>
        <w:t>the use consent is current.</w:t>
      </w:r>
    </w:p>
    <w:p w14:paraId="20305C76" w14:textId="77777777" w:rsidR="00CF0E3D" w:rsidRPr="004E01F4" w:rsidRDefault="00CF0E3D" w:rsidP="00CF0E3D">
      <w:pPr>
        <w:pStyle w:val="subsection"/>
      </w:pPr>
      <w:r w:rsidRPr="004E01F4">
        <w:tab/>
        <w:t>(2)</w:t>
      </w:r>
      <w:r w:rsidRPr="004E01F4">
        <w:tab/>
        <w:t xml:space="preserve">The accredited person must notify the CDR consumer </w:t>
      </w:r>
      <w:r w:rsidRPr="00A6091B">
        <w:t xml:space="preserve">as soon as practicable </w:t>
      </w:r>
      <w:r w:rsidRPr="004E01F4">
        <w:t>that, at any time, they:</w:t>
      </w:r>
    </w:p>
    <w:p w14:paraId="7A57CC77" w14:textId="77777777" w:rsidR="00CF0E3D" w:rsidRPr="004E01F4" w:rsidRDefault="00CF0E3D" w:rsidP="00CF0E3D">
      <w:pPr>
        <w:pStyle w:val="paragraph"/>
      </w:pPr>
      <w:r w:rsidRPr="004E01F4">
        <w:tab/>
        <w:t>(a)</w:t>
      </w:r>
      <w:r w:rsidRPr="004E01F4">
        <w:tab/>
        <w:t>may withdraw the use consent; and</w:t>
      </w:r>
    </w:p>
    <w:p w14:paraId="154BFAE0" w14:textId="77777777" w:rsidR="00CF0E3D" w:rsidRPr="004E01F4" w:rsidRDefault="00CF0E3D" w:rsidP="00CF0E3D">
      <w:pPr>
        <w:pStyle w:val="paragraph"/>
      </w:pPr>
      <w:r w:rsidRPr="004E01F4">
        <w:tab/>
        <w:t>(b)</w:t>
      </w:r>
      <w:r w:rsidRPr="004E01F4">
        <w:tab/>
        <w:t>may make the election to delete redundant data in respect of that CDR data under rule 4.16.</w:t>
      </w:r>
    </w:p>
    <w:p w14:paraId="1EE430C7" w14:textId="77777777" w:rsidR="00CF0E3D" w:rsidRPr="004E01F4" w:rsidRDefault="00CF0E3D" w:rsidP="00CF0E3D">
      <w:pPr>
        <w:pStyle w:val="notetext"/>
      </w:pPr>
      <w:r w:rsidRPr="004E01F4">
        <w:t>Note:</w:t>
      </w:r>
      <w:r w:rsidRPr="004E01F4">
        <w:tab/>
        <w:t>This subrule is a civil penalty provision (see rule 9.8).</w:t>
      </w:r>
    </w:p>
    <w:p w14:paraId="33300E1F" w14:textId="77777777" w:rsidR="00CF0E3D" w:rsidRPr="004E01F4" w:rsidRDefault="00CF0E3D" w:rsidP="00CF0E3D">
      <w:pPr>
        <w:pStyle w:val="subsection"/>
      </w:pPr>
      <w:r w:rsidRPr="004E01F4">
        <w:tab/>
        <w:t>(3)</w:t>
      </w:r>
      <w:r w:rsidRPr="004E01F4">
        <w:tab/>
        <w:t>The notification must be given in writing otherwise than through the CDR consumer’s consumer dashboard.</w:t>
      </w:r>
    </w:p>
    <w:p w14:paraId="559A8E35" w14:textId="77777777" w:rsidR="00CF0E3D" w:rsidRPr="004E01F4" w:rsidRDefault="00CF0E3D" w:rsidP="00CF0E3D">
      <w:pPr>
        <w:pStyle w:val="subsection"/>
      </w:pPr>
      <w:r w:rsidRPr="004E01F4">
        <w:tab/>
        <w:t>(4)</w:t>
      </w:r>
      <w:r w:rsidRPr="004E01F4">
        <w:tab/>
        <w:t>The notification may also be included in the CDR consumer’s consumer dashboard.</w:t>
      </w:r>
    </w:p>
    <w:p w14:paraId="254E6404" w14:textId="77777777" w:rsidR="00CF0E3D" w:rsidRPr="004E01F4" w:rsidRDefault="00CF0E3D" w:rsidP="00CF0E3D">
      <w:pPr>
        <w:pStyle w:val="ActHead5"/>
      </w:pPr>
      <w:bookmarkStart w:id="273" w:name="_Toc50114058"/>
      <w:bookmarkStart w:id="274" w:name="_Toc57219048"/>
      <w:bookmarkStart w:id="275" w:name="_Toc59549159"/>
      <w:bookmarkStart w:id="276" w:name="_Toc77064911"/>
      <w:r w:rsidRPr="004E01F4">
        <w:t>4.18B  Notification if collection consent or AP disclosure consent</w:t>
      </w:r>
      <w:bookmarkEnd w:id="273"/>
      <w:r w:rsidRPr="004E01F4">
        <w:t xml:space="preserve"> expires</w:t>
      </w:r>
      <w:bookmarkEnd w:id="274"/>
      <w:bookmarkEnd w:id="275"/>
      <w:bookmarkEnd w:id="276"/>
    </w:p>
    <w:p w14:paraId="4B5FC259" w14:textId="77777777" w:rsidR="00CF0E3D" w:rsidRPr="004E01F4" w:rsidRDefault="00CF0E3D" w:rsidP="00CF0E3D">
      <w:pPr>
        <w:pStyle w:val="subsection"/>
        <w:tabs>
          <w:tab w:val="left" w:pos="4536"/>
        </w:tabs>
      </w:pPr>
      <w:r w:rsidRPr="004E01F4">
        <w:tab/>
        <w:t>(1)</w:t>
      </w:r>
      <w:r w:rsidRPr="004E01F4">
        <w:tab/>
        <w:t>This rule applies if:</w:t>
      </w:r>
    </w:p>
    <w:p w14:paraId="33AFA274" w14:textId="77777777" w:rsidR="00CF0E3D" w:rsidRPr="004E01F4" w:rsidRDefault="00CF0E3D" w:rsidP="00CF0E3D">
      <w:pPr>
        <w:pStyle w:val="paragraph"/>
      </w:pPr>
      <w:r w:rsidRPr="004E01F4">
        <w:tab/>
        <w:t>(a)</w:t>
      </w:r>
      <w:r w:rsidRPr="004E01F4">
        <w:tab/>
        <w:t>an accredited person has a collection consent relating to particular CDR data and a particular accredited data recipient; and</w:t>
      </w:r>
    </w:p>
    <w:p w14:paraId="73F818F9" w14:textId="77777777" w:rsidR="00CF0E3D" w:rsidRPr="004E01F4" w:rsidRDefault="00CF0E3D" w:rsidP="00CF0E3D">
      <w:pPr>
        <w:pStyle w:val="paragraph"/>
      </w:pPr>
      <w:r w:rsidRPr="004E01F4">
        <w:tab/>
        <w:t>(b)</w:t>
      </w:r>
      <w:r w:rsidRPr="004E01F4">
        <w:tab/>
        <w:t>the accredited data recipient has an AP disclosure consent relating to that CDR data and that accredited person.</w:t>
      </w:r>
    </w:p>
    <w:p w14:paraId="0FE30AB0" w14:textId="77777777" w:rsidR="00CF0E3D" w:rsidRPr="004E01F4" w:rsidRDefault="00CF0E3D" w:rsidP="00CF0E3D">
      <w:pPr>
        <w:pStyle w:val="subsection"/>
      </w:pPr>
      <w:r w:rsidRPr="004E01F4">
        <w:tab/>
        <w:t>(2)</w:t>
      </w:r>
      <w:r w:rsidRPr="004E01F4">
        <w:tab/>
        <w:t xml:space="preserve">If the collection consent expires in accordance with these rules, the accredited person must notify the accredited data recipient </w:t>
      </w:r>
      <w:r w:rsidRPr="00A6091B">
        <w:t xml:space="preserve">as soon as practicable </w:t>
      </w:r>
      <w:r w:rsidRPr="004E01F4">
        <w:t>of the expiry.</w:t>
      </w:r>
    </w:p>
    <w:p w14:paraId="141DA9BA" w14:textId="77777777" w:rsidR="00CF0E3D" w:rsidRPr="004E01F4" w:rsidRDefault="00CF0E3D" w:rsidP="00CF0E3D">
      <w:pPr>
        <w:pStyle w:val="notetext"/>
      </w:pPr>
      <w:r w:rsidRPr="004E01F4">
        <w:t>Note:</w:t>
      </w:r>
      <w:r w:rsidRPr="004E01F4">
        <w:tab/>
        <w:t>This subrule is a civil penalty provision (see rule 9.8).</w:t>
      </w:r>
    </w:p>
    <w:p w14:paraId="5105095B" w14:textId="77777777" w:rsidR="00CF0E3D" w:rsidRPr="004E01F4" w:rsidRDefault="00CF0E3D" w:rsidP="00CF0E3D">
      <w:pPr>
        <w:pStyle w:val="subsection"/>
      </w:pPr>
      <w:r w:rsidRPr="004E01F4">
        <w:tab/>
        <w:t>(3)</w:t>
      </w:r>
      <w:r w:rsidRPr="004E01F4">
        <w:tab/>
        <w:t xml:space="preserve">If the AP disclosure consent expires in accordance with these rules, the accredited data recipient must notify the accredited </w:t>
      </w:r>
      <w:r w:rsidRPr="00A6091B">
        <w:t xml:space="preserve">person as soon as practicable </w:t>
      </w:r>
      <w:r w:rsidRPr="004E01F4">
        <w:t>of the expiry.</w:t>
      </w:r>
    </w:p>
    <w:p w14:paraId="4944B828" w14:textId="77777777" w:rsidR="00CF0E3D" w:rsidRPr="004E01F4" w:rsidRDefault="00CF0E3D" w:rsidP="00CF0E3D">
      <w:pPr>
        <w:pStyle w:val="notetext"/>
      </w:pPr>
      <w:r w:rsidRPr="004E01F4">
        <w:t>Note:</w:t>
      </w:r>
      <w:r w:rsidRPr="004E01F4">
        <w:tab/>
        <w:t>This subrule is a civil penalty provision (see rule 9.8).</w:t>
      </w:r>
    </w:p>
    <w:p w14:paraId="6C59B709" w14:textId="77777777" w:rsidR="00CF0E3D" w:rsidRPr="004E01F4" w:rsidRDefault="00CF0E3D" w:rsidP="00CF0E3D">
      <w:pPr>
        <w:pStyle w:val="ActHead5"/>
      </w:pPr>
      <w:bookmarkStart w:id="277" w:name="_Toc50114059"/>
      <w:bookmarkStart w:id="278" w:name="_Toc57219049"/>
      <w:bookmarkStart w:id="279" w:name="_Toc59549160"/>
      <w:bookmarkStart w:id="280" w:name="_Toc77064912"/>
      <w:r w:rsidRPr="004E01F4">
        <w:t>4.18C  Notification if</w:t>
      </w:r>
      <w:r>
        <w:t xml:space="preserve"> </w:t>
      </w:r>
      <w:r w:rsidRPr="005F5B3D">
        <w:t>collection</w:t>
      </w:r>
      <w:r w:rsidRPr="004E01F4">
        <w:t xml:space="preserve"> consent is amended</w:t>
      </w:r>
      <w:bookmarkEnd w:id="277"/>
      <w:bookmarkEnd w:id="278"/>
      <w:bookmarkEnd w:id="279"/>
      <w:bookmarkEnd w:id="280"/>
    </w:p>
    <w:p w14:paraId="48CFD2AC" w14:textId="77777777" w:rsidR="00CF0E3D" w:rsidRPr="004E01F4" w:rsidRDefault="00CF0E3D" w:rsidP="00CF0E3D">
      <w:pPr>
        <w:pStyle w:val="subsection"/>
      </w:pPr>
      <w:r w:rsidRPr="004E01F4">
        <w:tab/>
        <w:t>(1)</w:t>
      </w:r>
      <w:r w:rsidRPr="004E01F4">
        <w:tab/>
        <w:t>This rule applies if:</w:t>
      </w:r>
    </w:p>
    <w:p w14:paraId="67D1FACE" w14:textId="77777777" w:rsidR="00CF0E3D" w:rsidRPr="004E01F4" w:rsidRDefault="00CF0E3D" w:rsidP="00CF0E3D">
      <w:pPr>
        <w:pStyle w:val="paragraph"/>
      </w:pPr>
      <w:r w:rsidRPr="004E01F4">
        <w:tab/>
        <w:t>(a)</w:t>
      </w:r>
      <w:r w:rsidRPr="004E01F4">
        <w:tab/>
        <w:t>an accredited person has a collection consent relating to particular CDR data and a particular CDR participant; and</w:t>
      </w:r>
    </w:p>
    <w:p w14:paraId="7D8FA75E" w14:textId="77777777" w:rsidR="00CF0E3D" w:rsidRPr="004E01F4" w:rsidRDefault="00CF0E3D" w:rsidP="00CF0E3D">
      <w:pPr>
        <w:pStyle w:val="paragraph"/>
      </w:pPr>
      <w:r w:rsidRPr="004E01F4">
        <w:tab/>
        <w:t>(b)</w:t>
      </w:r>
      <w:r w:rsidRPr="004E01F4">
        <w:tab/>
        <w:t>the CDR consumer amends the consent.</w:t>
      </w:r>
    </w:p>
    <w:p w14:paraId="0B14CEFE" w14:textId="77777777" w:rsidR="00CF0E3D" w:rsidRPr="004E01F4" w:rsidRDefault="00CF0E3D" w:rsidP="00CF0E3D">
      <w:pPr>
        <w:pStyle w:val="subsection"/>
      </w:pPr>
      <w:r w:rsidRPr="004E01F4">
        <w:lastRenderedPageBreak/>
        <w:tab/>
        <w:t>(2)</w:t>
      </w:r>
      <w:r w:rsidRPr="004E01F4">
        <w:tab/>
        <w:t>The accredited person must notify:</w:t>
      </w:r>
    </w:p>
    <w:p w14:paraId="385593E8" w14:textId="77777777" w:rsidR="00CF0E3D" w:rsidRPr="004E01F4" w:rsidRDefault="00CF0E3D" w:rsidP="00CF0E3D">
      <w:pPr>
        <w:pStyle w:val="paragraph"/>
      </w:pPr>
      <w:r w:rsidRPr="004E01F4">
        <w:tab/>
        <w:t>(a)</w:t>
      </w:r>
      <w:r w:rsidRPr="004E01F4">
        <w:tab/>
        <w:t>if the CDR participant is a data holder―the data holder, in accordance with the data standards, that the consent has been amended; and</w:t>
      </w:r>
    </w:p>
    <w:p w14:paraId="4617F682" w14:textId="77777777" w:rsidR="00CF0E3D" w:rsidRPr="004E01F4" w:rsidRDefault="00CF0E3D" w:rsidP="00CF0E3D">
      <w:pPr>
        <w:pStyle w:val="paragraph"/>
      </w:pPr>
      <w:r w:rsidRPr="004E01F4">
        <w:tab/>
        <w:t>(b)</w:t>
      </w:r>
      <w:r w:rsidRPr="004E01F4">
        <w:tab/>
        <w:t xml:space="preserve">if the CDR participant is an accredited data recipient―the accredited data recipient </w:t>
      </w:r>
      <w:r w:rsidRPr="00A6091B">
        <w:t xml:space="preserve">as soon as practicable </w:t>
      </w:r>
      <w:r w:rsidRPr="004E01F4">
        <w:t>that the consent has been amended.</w:t>
      </w:r>
    </w:p>
    <w:p w14:paraId="2058C128" w14:textId="77777777" w:rsidR="00CF0E3D" w:rsidRDefault="00CF0E3D" w:rsidP="00CF0E3D">
      <w:pPr>
        <w:pStyle w:val="notetext"/>
      </w:pPr>
      <w:r w:rsidRPr="004E01F4">
        <w:t>Note:</w:t>
      </w:r>
      <w:r w:rsidRPr="004E01F4">
        <w:tab/>
        <w:t>This subrule is a civil penalty provision (see rule 9.8).</w:t>
      </w:r>
    </w:p>
    <w:p w14:paraId="07F6CC8A" w14:textId="77777777" w:rsidR="00CF0E3D" w:rsidRPr="00F07699" w:rsidRDefault="00CF0E3D" w:rsidP="00CF0E3D">
      <w:pPr>
        <w:pStyle w:val="ActHead5"/>
      </w:pPr>
      <w:bookmarkStart w:id="281" w:name="_Toc50633091"/>
      <w:bookmarkStart w:id="282" w:name="_Toc57219050"/>
      <w:bookmarkStart w:id="283" w:name="_Toc59549161"/>
      <w:bookmarkStart w:id="284" w:name="_Toc77064913"/>
      <w:r w:rsidRPr="00F07699">
        <w:t>4.19  Updating consumer dashboard</w:t>
      </w:r>
      <w:bookmarkEnd w:id="281"/>
      <w:bookmarkEnd w:id="282"/>
      <w:bookmarkEnd w:id="283"/>
      <w:bookmarkEnd w:id="284"/>
    </w:p>
    <w:p w14:paraId="221175AB" w14:textId="77777777" w:rsidR="00CF0E3D" w:rsidRPr="00F07699" w:rsidRDefault="00CF0E3D" w:rsidP="00CF0E3D">
      <w:pPr>
        <w:pStyle w:val="subsection"/>
      </w:pPr>
      <w:r w:rsidRPr="00F07699">
        <w:tab/>
      </w:r>
      <w:r w:rsidRPr="00F07699">
        <w:tab/>
        <w:t>An accredited person must update a CDR consumer’s consumer dashboard as soon as practicable after the information required to be contained on the dashboard changes.</w:t>
      </w:r>
    </w:p>
    <w:p w14:paraId="12DBE90E" w14:textId="77777777" w:rsidR="00CF0E3D" w:rsidRPr="00F07699" w:rsidRDefault="00CF0E3D" w:rsidP="00CF0E3D">
      <w:pPr>
        <w:pStyle w:val="notetext"/>
      </w:pPr>
      <w:r w:rsidRPr="00F07699">
        <w:t>Note:</w:t>
      </w:r>
      <w:r w:rsidRPr="00F07699">
        <w:tab/>
        <w:t>This rule is a civil penalty provision (see rule 9.8).</w:t>
      </w:r>
    </w:p>
    <w:p w14:paraId="19887FF3" w14:textId="77777777" w:rsidR="00CF0E3D" w:rsidRPr="004E01F4" w:rsidRDefault="00CF0E3D" w:rsidP="00CF0E3D">
      <w:pPr>
        <w:pStyle w:val="ActHead5"/>
      </w:pPr>
      <w:bookmarkStart w:id="285" w:name="_Toc50633092"/>
      <w:bookmarkStart w:id="286" w:name="_Toc50114061"/>
      <w:bookmarkStart w:id="287" w:name="_Toc57219051"/>
      <w:bookmarkStart w:id="288" w:name="_Toc59549162"/>
      <w:bookmarkStart w:id="289" w:name="_Toc77064914"/>
      <w:r w:rsidRPr="004E01F4">
        <w:t xml:space="preserve">4.20  Ongoing notification requirement—collection consents and use </w:t>
      </w:r>
      <w:bookmarkEnd w:id="285"/>
      <w:r w:rsidRPr="004E01F4">
        <w:t>consents</w:t>
      </w:r>
      <w:bookmarkEnd w:id="286"/>
      <w:bookmarkEnd w:id="287"/>
      <w:bookmarkEnd w:id="288"/>
      <w:bookmarkEnd w:id="289"/>
      <w:r w:rsidRPr="004E01F4">
        <w:t xml:space="preserve"> </w:t>
      </w:r>
    </w:p>
    <w:p w14:paraId="24A15A28" w14:textId="77777777" w:rsidR="00CF0E3D" w:rsidRPr="004E01F4" w:rsidRDefault="00CF0E3D" w:rsidP="00CF0E3D">
      <w:pPr>
        <w:pStyle w:val="subsection"/>
      </w:pPr>
      <w:r w:rsidRPr="004E01F4">
        <w:tab/>
        <w:t>(1)</w:t>
      </w:r>
      <w:r w:rsidRPr="004E01F4">
        <w:tab/>
        <w:t>This rule applies in relation to a collection consent or a use consent if:</w:t>
      </w:r>
    </w:p>
    <w:p w14:paraId="5D0C71F1" w14:textId="77777777" w:rsidR="00CF0E3D" w:rsidRPr="004E01F4" w:rsidRDefault="00CF0E3D" w:rsidP="00CF0E3D">
      <w:pPr>
        <w:pStyle w:val="paragraph"/>
      </w:pPr>
      <w:r w:rsidRPr="004E01F4">
        <w:tab/>
        <w:t>(a)</w:t>
      </w:r>
      <w:r w:rsidRPr="004E01F4">
        <w:tab/>
        <w:t>the consent is current; and</w:t>
      </w:r>
    </w:p>
    <w:p w14:paraId="417C1A58" w14:textId="77777777" w:rsidR="00CF0E3D" w:rsidRPr="004E01F4" w:rsidRDefault="00CF0E3D" w:rsidP="00CF0E3D">
      <w:pPr>
        <w:pStyle w:val="paragraph"/>
      </w:pPr>
      <w:r w:rsidRPr="004E01F4">
        <w:tab/>
        <w:t>(b)</w:t>
      </w:r>
      <w:r w:rsidRPr="004E01F4">
        <w:tab/>
        <w:t>90 days have elapsed since the latest of the following:</w:t>
      </w:r>
    </w:p>
    <w:p w14:paraId="510B7C1B" w14:textId="77777777" w:rsidR="00CF0E3D" w:rsidRPr="004E01F4" w:rsidRDefault="00CF0E3D" w:rsidP="00CF0E3D">
      <w:pPr>
        <w:pStyle w:val="paragraphsub"/>
      </w:pPr>
      <w:r w:rsidRPr="004E01F4">
        <w:tab/>
        <w:t>(i)</w:t>
      </w:r>
      <w:r w:rsidRPr="004E01F4">
        <w:tab/>
        <w:t>the CDR consumer gave the consent;</w:t>
      </w:r>
    </w:p>
    <w:p w14:paraId="40A5055B" w14:textId="77777777" w:rsidR="00CF0E3D" w:rsidRPr="004E01F4" w:rsidRDefault="00CF0E3D" w:rsidP="00CF0E3D">
      <w:pPr>
        <w:pStyle w:val="paragraphsub"/>
      </w:pPr>
      <w:r w:rsidRPr="004E01F4">
        <w:tab/>
        <w:t>(ia)</w:t>
      </w:r>
      <w:r w:rsidRPr="004E01F4">
        <w:tab/>
        <w:t>the CDR consumer last amended the consent;</w:t>
      </w:r>
    </w:p>
    <w:p w14:paraId="15CB3CF7" w14:textId="77777777" w:rsidR="00CF0E3D" w:rsidRPr="00F07699" w:rsidRDefault="00CF0E3D" w:rsidP="00CF0E3D">
      <w:pPr>
        <w:pStyle w:val="paragraphsub"/>
      </w:pPr>
      <w:r w:rsidRPr="00F07699">
        <w:tab/>
        <w:t>(ii)</w:t>
      </w:r>
      <w:r w:rsidRPr="00F07699">
        <w:tab/>
        <w:t>the CDR consumer last used their consumer dashboard;</w:t>
      </w:r>
    </w:p>
    <w:p w14:paraId="30EE9F75" w14:textId="77777777" w:rsidR="00CF0E3D" w:rsidRPr="00F07699" w:rsidRDefault="00CF0E3D" w:rsidP="00CF0E3D">
      <w:pPr>
        <w:pStyle w:val="paragraphsub"/>
      </w:pPr>
      <w:r w:rsidRPr="00F07699">
        <w:tab/>
        <w:t>(iii)</w:t>
      </w:r>
      <w:r w:rsidRPr="00F07699">
        <w:tab/>
        <w:t>the accredited person last sent the CDR consumer a notification in accordance with this rule.</w:t>
      </w:r>
    </w:p>
    <w:p w14:paraId="4D68092B" w14:textId="77777777" w:rsidR="00CF0E3D" w:rsidRPr="00F07699" w:rsidRDefault="00CF0E3D" w:rsidP="00CF0E3D">
      <w:pPr>
        <w:pStyle w:val="subsection"/>
      </w:pPr>
      <w:r w:rsidRPr="00F07699">
        <w:tab/>
        <w:t>(2)</w:t>
      </w:r>
      <w:r w:rsidRPr="00F07699">
        <w:tab/>
        <w:t>The accredited person must notify the CDR consumer in accordance with this rule that the consent is still current.</w:t>
      </w:r>
    </w:p>
    <w:p w14:paraId="2B34A345" w14:textId="77777777" w:rsidR="00CF0E3D" w:rsidRPr="00F07699" w:rsidRDefault="00CF0E3D" w:rsidP="00CF0E3D">
      <w:pPr>
        <w:pStyle w:val="notetext"/>
      </w:pPr>
      <w:r w:rsidRPr="00F07699">
        <w:t>Note:</w:t>
      </w:r>
      <w:r w:rsidRPr="00F07699">
        <w:tab/>
        <w:t>This subrule is a civil penalty provision (see rule 9.8).</w:t>
      </w:r>
    </w:p>
    <w:p w14:paraId="1D685015" w14:textId="77777777" w:rsidR="00CF0E3D" w:rsidRPr="00F07699" w:rsidRDefault="00CF0E3D" w:rsidP="00CF0E3D">
      <w:pPr>
        <w:pStyle w:val="subsection"/>
      </w:pPr>
      <w:r w:rsidRPr="00F07699">
        <w:tab/>
        <w:t>(3)</w:t>
      </w:r>
      <w:r w:rsidRPr="00F07699">
        <w:tab/>
        <w:t>The notification must be given in writing otherwise than through the CDR consumer’s consumer dashboard.</w:t>
      </w:r>
    </w:p>
    <w:p w14:paraId="45D4EA14" w14:textId="77777777" w:rsidR="00CF0E3D" w:rsidRPr="00F07699" w:rsidRDefault="00CF0E3D" w:rsidP="00CF0E3D">
      <w:pPr>
        <w:pStyle w:val="subsection"/>
      </w:pPr>
      <w:r w:rsidRPr="00F07699">
        <w:tab/>
        <w:t>(4)</w:t>
      </w:r>
      <w:r w:rsidRPr="00F07699">
        <w:tab/>
        <w:t>A copy of the notification may be included in the CDR consumer’s consumer dashboard.</w:t>
      </w:r>
    </w:p>
    <w:p w14:paraId="1424E0CD" w14:textId="77777777" w:rsidR="00CF0E3D" w:rsidRPr="00F07699" w:rsidRDefault="00CF0E3D" w:rsidP="00CF0E3D">
      <w:pPr>
        <w:pStyle w:val="ActHead3"/>
      </w:pPr>
      <w:bookmarkStart w:id="290" w:name="_Toc50114062"/>
      <w:bookmarkStart w:id="291" w:name="_Toc50633093"/>
      <w:bookmarkStart w:id="292" w:name="_Toc57219052"/>
      <w:bookmarkStart w:id="293" w:name="_Toc59549163"/>
      <w:bookmarkStart w:id="294" w:name="_Toc77064915"/>
      <w:bookmarkStart w:id="295" w:name="_Toc11771619"/>
      <w:bookmarkEnd w:id="166"/>
      <w:r w:rsidRPr="00F07699">
        <w:t>Division 4.4—Authorisations to disclose CDR data</w:t>
      </w:r>
      <w:bookmarkEnd w:id="290"/>
      <w:bookmarkEnd w:id="291"/>
      <w:bookmarkEnd w:id="292"/>
      <w:bookmarkEnd w:id="293"/>
      <w:bookmarkEnd w:id="294"/>
    </w:p>
    <w:p w14:paraId="65D0E2A6" w14:textId="77777777" w:rsidR="00CF0E3D" w:rsidRPr="00F07699" w:rsidRDefault="00CF0E3D" w:rsidP="00CF0E3D">
      <w:pPr>
        <w:pStyle w:val="notemargin"/>
      </w:pPr>
      <w:r w:rsidRPr="00F07699">
        <w:t>Note:</w:t>
      </w:r>
      <w:r w:rsidRPr="00F07699">
        <w:tab/>
        <w:t>Under rule 4.5, if a data holder is considering disclosing voluntary consumer data in response to a consumer data request, or if required consumer data was requested, the data holder must seek an authorisation from the CDR consumer to disclose the CDR data in accordance with (among other things) this Division, and in particular, rules 4.23, 4.24 and 4.25. A failure to do so could contravene one or more civil penalty provisions: see rule 4.5.</w:t>
      </w:r>
    </w:p>
    <w:p w14:paraId="1993F3C4" w14:textId="77777777" w:rsidR="00CF0E3D" w:rsidRPr="00F07699" w:rsidRDefault="00CF0E3D" w:rsidP="00CF0E3D">
      <w:pPr>
        <w:pStyle w:val="ActHead5"/>
      </w:pPr>
      <w:bookmarkStart w:id="296" w:name="_Toc50114063"/>
      <w:bookmarkStart w:id="297" w:name="_Toc50633094"/>
      <w:bookmarkStart w:id="298" w:name="_Toc57219053"/>
      <w:bookmarkStart w:id="299" w:name="_Toc59549164"/>
      <w:bookmarkStart w:id="300" w:name="_Toc77064916"/>
      <w:r w:rsidRPr="00F07699">
        <w:t>4.21  Purpose of Division</w:t>
      </w:r>
      <w:bookmarkEnd w:id="296"/>
      <w:bookmarkEnd w:id="297"/>
      <w:bookmarkEnd w:id="298"/>
      <w:bookmarkEnd w:id="299"/>
      <w:bookmarkEnd w:id="300"/>
    </w:p>
    <w:p w14:paraId="5BFB6A89" w14:textId="77777777" w:rsidR="00CF0E3D" w:rsidRPr="00F07699" w:rsidRDefault="00CF0E3D" w:rsidP="00CF0E3D">
      <w:pPr>
        <w:pStyle w:val="subsection"/>
      </w:pPr>
      <w:r w:rsidRPr="00F07699">
        <w:tab/>
      </w:r>
      <w:r w:rsidRPr="00F07699">
        <w:tab/>
        <w:t>This Division deals with authorisations to disclose CDR data for the purposes of rule 4.5</w:t>
      </w:r>
      <w:r w:rsidRPr="004E01F4">
        <w:t>, and amendments to authorisations</w:t>
      </w:r>
      <w:r w:rsidRPr="00F07699">
        <w:t>.</w:t>
      </w:r>
    </w:p>
    <w:p w14:paraId="5732FCC9" w14:textId="77777777" w:rsidR="00CF0E3D" w:rsidRPr="00F07699" w:rsidRDefault="00CF0E3D" w:rsidP="00CF0E3D">
      <w:pPr>
        <w:pStyle w:val="ActHead5"/>
      </w:pPr>
      <w:bookmarkStart w:id="301" w:name="_Toc50114064"/>
      <w:bookmarkStart w:id="302" w:name="_Toc50633095"/>
      <w:bookmarkStart w:id="303" w:name="_Toc57219054"/>
      <w:bookmarkStart w:id="304" w:name="_Toc59549165"/>
      <w:bookmarkStart w:id="305" w:name="_Toc77064917"/>
      <w:r w:rsidRPr="00F07699">
        <w:lastRenderedPageBreak/>
        <w:t>4.22  Requirements relating to data holder’s processes for seeking authorisation</w:t>
      </w:r>
      <w:bookmarkEnd w:id="301"/>
      <w:bookmarkEnd w:id="302"/>
      <w:bookmarkEnd w:id="303"/>
      <w:bookmarkEnd w:id="304"/>
      <w:bookmarkEnd w:id="305"/>
    </w:p>
    <w:p w14:paraId="5A187DE4" w14:textId="77777777" w:rsidR="00CF0E3D" w:rsidRPr="00F07699" w:rsidRDefault="00CF0E3D" w:rsidP="00CF0E3D">
      <w:pPr>
        <w:pStyle w:val="subsection"/>
        <w:rPr>
          <w:lang w:val="en-GB"/>
        </w:rPr>
      </w:pPr>
      <w:r w:rsidRPr="00F07699">
        <w:tab/>
      </w:r>
      <w:r w:rsidRPr="00F07699">
        <w:tab/>
        <w:t xml:space="preserve">A data holder’s processes for asking a CDR consumer to give </w:t>
      </w:r>
      <w:r w:rsidRPr="004E01F4">
        <w:t xml:space="preserve">or amend an </w:t>
      </w:r>
      <w:r w:rsidRPr="00F07699">
        <w:t>authorisation must:</w:t>
      </w:r>
    </w:p>
    <w:p w14:paraId="78A2699E" w14:textId="77777777" w:rsidR="00CF0E3D" w:rsidRPr="00F07699" w:rsidRDefault="00CF0E3D" w:rsidP="00CF0E3D">
      <w:pPr>
        <w:pStyle w:val="paragraph"/>
        <w:rPr>
          <w:lang w:val="en-GB"/>
        </w:rPr>
      </w:pPr>
      <w:r w:rsidRPr="00F07699">
        <w:tab/>
        <w:t>(a)</w:t>
      </w:r>
      <w:r w:rsidRPr="00F07699">
        <w:tab/>
        <w:t>accord with the data standards; and</w:t>
      </w:r>
    </w:p>
    <w:p w14:paraId="09BAD1C8" w14:textId="77777777" w:rsidR="00CF0E3D" w:rsidRPr="00F07699" w:rsidRDefault="00CF0E3D" w:rsidP="00CF0E3D">
      <w:pPr>
        <w:pStyle w:val="paragraph"/>
        <w:rPr>
          <w:lang w:val="en-GB"/>
        </w:rPr>
      </w:pPr>
      <w:r w:rsidRPr="00F07699">
        <w:tab/>
        <w:t>(b)</w:t>
      </w:r>
      <w:r w:rsidRPr="00F07699">
        <w:tab/>
        <w:t>having regard to any consumer experience guidelines developed by the Data Standards Body, be as easy to understand as practicable, including by use of concise language and, where appropriate, visual aids.</w:t>
      </w:r>
    </w:p>
    <w:p w14:paraId="5F0E910A" w14:textId="77777777" w:rsidR="00CF0E3D" w:rsidRPr="004E01F4" w:rsidRDefault="00CF0E3D" w:rsidP="00CF0E3D">
      <w:pPr>
        <w:pStyle w:val="ActHead5"/>
      </w:pPr>
      <w:bookmarkStart w:id="306" w:name="_Toc50114065"/>
      <w:bookmarkStart w:id="307" w:name="_Toc57219055"/>
      <w:bookmarkStart w:id="308" w:name="_Toc59549166"/>
      <w:bookmarkStart w:id="309" w:name="_Toc77064918"/>
      <w:r w:rsidRPr="004E01F4">
        <w:t>4.22A  Inviting CDR consumer to amend a current authorisation</w:t>
      </w:r>
      <w:bookmarkEnd w:id="306"/>
      <w:bookmarkEnd w:id="307"/>
      <w:bookmarkEnd w:id="308"/>
      <w:bookmarkEnd w:id="309"/>
    </w:p>
    <w:p w14:paraId="4CDF0CFD" w14:textId="77777777" w:rsidR="00CF0E3D" w:rsidRPr="004E01F4" w:rsidRDefault="00CF0E3D" w:rsidP="00CF0E3D">
      <w:pPr>
        <w:pStyle w:val="subsection"/>
      </w:pPr>
      <w:r w:rsidRPr="004E01F4">
        <w:tab/>
        <w:t>(1)</w:t>
      </w:r>
      <w:r w:rsidRPr="004E01F4">
        <w:tab/>
        <w:t>If a data holder has received a notice under rule 4.18C, the data holder must, in accordance with this Division, invite the CDR consumer to amend the authorisation to disclose CDR data accordingly.</w:t>
      </w:r>
    </w:p>
    <w:p w14:paraId="24023661" w14:textId="77777777" w:rsidR="00CF0E3D" w:rsidRPr="004E01F4" w:rsidRDefault="00CF0E3D" w:rsidP="00CF0E3D">
      <w:pPr>
        <w:pStyle w:val="notetext"/>
      </w:pPr>
      <w:r w:rsidRPr="004E01F4">
        <w:t>Note:</w:t>
      </w:r>
      <w:r w:rsidRPr="004E01F4">
        <w:tab/>
        <w:t>This subrule is a civil penalty provision (see rule 9.8).</w:t>
      </w:r>
    </w:p>
    <w:p w14:paraId="03ECF35F" w14:textId="77777777" w:rsidR="00CF0E3D" w:rsidRPr="004E01F4" w:rsidRDefault="00CF0E3D" w:rsidP="00CF0E3D">
      <w:pPr>
        <w:pStyle w:val="subsection"/>
      </w:pPr>
      <w:r w:rsidRPr="004E01F4">
        <w:tab/>
        <w:t>(2)</w:t>
      </w:r>
      <w:r w:rsidRPr="004E01F4">
        <w:tab/>
        <w:t>An amendment of an authorisation to disclose CDR data other than in accordance with subrule (1) is of no effect.</w:t>
      </w:r>
    </w:p>
    <w:p w14:paraId="3441259B" w14:textId="77777777" w:rsidR="00CF0E3D" w:rsidRPr="004E01F4" w:rsidRDefault="00CF0E3D" w:rsidP="00CF0E3D">
      <w:pPr>
        <w:pStyle w:val="ActHead5"/>
      </w:pPr>
      <w:bookmarkStart w:id="310" w:name="_Toc50633096"/>
      <w:bookmarkStart w:id="311" w:name="_Toc50114066"/>
      <w:bookmarkStart w:id="312" w:name="_Toc57219056"/>
      <w:bookmarkStart w:id="313" w:name="_Toc59549167"/>
      <w:bookmarkStart w:id="314" w:name="_Toc77064919"/>
      <w:r w:rsidRPr="004E01F4">
        <w:t>4.23  Asking CDR consumer to give authorisation to disclose CDR data</w:t>
      </w:r>
      <w:bookmarkEnd w:id="310"/>
      <w:r w:rsidRPr="004E01F4">
        <w:t xml:space="preserve"> or inviting CDR consumer to amend a current authorisation</w:t>
      </w:r>
      <w:bookmarkEnd w:id="311"/>
      <w:bookmarkEnd w:id="312"/>
      <w:bookmarkEnd w:id="313"/>
      <w:bookmarkEnd w:id="314"/>
    </w:p>
    <w:p w14:paraId="424C7796" w14:textId="77777777" w:rsidR="00CF0E3D" w:rsidRPr="004E01F4" w:rsidRDefault="00CF0E3D" w:rsidP="00CF0E3D">
      <w:pPr>
        <w:pStyle w:val="subsection"/>
      </w:pPr>
      <w:r w:rsidRPr="004E01F4">
        <w:tab/>
        <w:t>(1)</w:t>
      </w:r>
      <w:r w:rsidRPr="004E01F4">
        <w:tab/>
        <w:t>When asking a CDR consumer to authorise the disclosure of CDR data, or amend a current authorisation, a data holder must give the CDR consumer the following information about the authorisation or amendment:</w:t>
      </w:r>
    </w:p>
    <w:p w14:paraId="0A948BE3" w14:textId="77777777" w:rsidR="00CF0E3D" w:rsidRPr="004E01F4" w:rsidRDefault="00CF0E3D" w:rsidP="00CF0E3D">
      <w:pPr>
        <w:pStyle w:val="paragraph"/>
      </w:pPr>
      <w:r w:rsidRPr="004E01F4">
        <w:tab/>
        <w:t>(a)</w:t>
      </w:r>
      <w:r w:rsidRPr="004E01F4">
        <w:tab/>
        <w:t>subject to subrule (2),</w:t>
      </w:r>
      <w:r w:rsidRPr="004E01F4">
        <w:rPr>
          <w:u w:val="words"/>
        </w:rPr>
        <w:t xml:space="preserve"> </w:t>
      </w:r>
      <w:r w:rsidRPr="004E01F4">
        <w:t>the name of the accredited person that made the request;</w:t>
      </w:r>
    </w:p>
    <w:p w14:paraId="7FC7477F" w14:textId="77777777" w:rsidR="00CF0E3D" w:rsidRPr="00F07699" w:rsidRDefault="00CF0E3D" w:rsidP="00CF0E3D">
      <w:pPr>
        <w:pStyle w:val="paragraph"/>
      </w:pPr>
      <w:r w:rsidRPr="00F07699">
        <w:tab/>
        <w:t>(b)</w:t>
      </w:r>
      <w:r w:rsidRPr="00F07699">
        <w:tab/>
        <w:t>the period of time to which the CDR data that was the subject of the request relates;</w:t>
      </w:r>
    </w:p>
    <w:p w14:paraId="1B0ED0A5" w14:textId="77777777" w:rsidR="00CF0E3D" w:rsidRPr="00F07699" w:rsidRDefault="00CF0E3D" w:rsidP="00CF0E3D">
      <w:pPr>
        <w:pStyle w:val="paragraph"/>
      </w:pPr>
      <w:r w:rsidRPr="00F07699">
        <w:tab/>
        <w:t>(c)</w:t>
      </w:r>
      <w:r w:rsidRPr="00F07699">
        <w:tab/>
        <w:t>the types of CDR data for which the data holder is seeking an authorisation to disclose;</w:t>
      </w:r>
    </w:p>
    <w:p w14:paraId="22670703" w14:textId="77777777" w:rsidR="00CF0E3D" w:rsidRPr="00F07699" w:rsidRDefault="00CF0E3D" w:rsidP="00CF0E3D">
      <w:pPr>
        <w:pStyle w:val="paragraph"/>
      </w:pPr>
      <w:r w:rsidRPr="00F07699">
        <w:tab/>
        <w:t>(d)</w:t>
      </w:r>
      <w:r w:rsidRPr="00F07699">
        <w:tab/>
        <w:t>whether the authorisation is being sought for:</w:t>
      </w:r>
    </w:p>
    <w:p w14:paraId="6584B2FD" w14:textId="77777777" w:rsidR="00CF0E3D" w:rsidRPr="00F07699" w:rsidRDefault="00CF0E3D" w:rsidP="00CF0E3D">
      <w:pPr>
        <w:pStyle w:val="paragraphsub"/>
      </w:pPr>
      <w:r w:rsidRPr="00F07699">
        <w:tab/>
        <w:t>(i)</w:t>
      </w:r>
      <w:r w:rsidRPr="00F07699">
        <w:tab/>
        <w:t>disclosure of CDR data on a single occasion; or</w:t>
      </w:r>
    </w:p>
    <w:p w14:paraId="2ED376E4" w14:textId="77777777" w:rsidR="00CF0E3D" w:rsidRPr="00F07699" w:rsidRDefault="00CF0E3D" w:rsidP="00CF0E3D">
      <w:pPr>
        <w:pStyle w:val="paragraphsub"/>
      </w:pPr>
      <w:r w:rsidRPr="00F07699">
        <w:tab/>
        <w:t>(ii)</w:t>
      </w:r>
      <w:r w:rsidRPr="00F07699">
        <w:tab/>
        <w:t>disclosure of CDR data over a period of time of not more than 12 months;</w:t>
      </w:r>
    </w:p>
    <w:p w14:paraId="0184E0A6" w14:textId="77777777" w:rsidR="00CF0E3D" w:rsidRPr="00F07699" w:rsidRDefault="00CF0E3D" w:rsidP="00CF0E3D">
      <w:pPr>
        <w:pStyle w:val="paragraph"/>
      </w:pPr>
      <w:r w:rsidRPr="00F07699">
        <w:tab/>
        <w:t>(e)</w:t>
      </w:r>
      <w:r w:rsidRPr="00F07699">
        <w:tab/>
        <w:t>if authorisation is being sought for disclosure over a period of time―what that period is;</w:t>
      </w:r>
    </w:p>
    <w:p w14:paraId="61AAEF48" w14:textId="77777777" w:rsidR="00CF0E3D" w:rsidRPr="00F07699" w:rsidRDefault="00CF0E3D" w:rsidP="00CF0E3D">
      <w:pPr>
        <w:pStyle w:val="paragraph"/>
      </w:pPr>
      <w:r w:rsidRPr="00F07699">
        <w:tab/>
        <w:t>(f)</w:t>
      </w:r>
      <w:r w:rsidRPr="00F07699">
        <w:tab/>
        <w:t>a statement that, at any time, the authorisation can be withdrawn;</w:t>
      </w:r>
    </w:p>
    <w:p w14:paraId="75AA9916" w14:textId="77777777" w:rsidR="00CF0E3D" w:rsidRPr="00F07699" w:rsidRDefault="00CF0E3D" w:rsidP="00CF0E3D">
      <w:pPr>
        <w:pStyle w:val="paragraph"/>
      </w:pPr>
      <w:r w:rsidRPr="00F07699">
        <w:tab/>
        <w:t>(g)</w:t>
      </w:r>
      <w:r w:rsidRPr="00F07699">
        <w:tab/>
        <w:t>instructions for how the authorisation can be withdrawn.</w:t>
      </w:r>
    </w:p>
    <w:p w14:paraId="2CBFD6EE" w14:textId="77777777" w:rsidR="00CF0E3D" w:rsidRPr="004E01F4" w:rsidRDefault="00CF0E3D" w:rsidP="00CF0E3D">
      <w:pPr>
        <w:pStyle w:val="subsection"/>
      </w:pPr>
      <w:r w:rsidRPr="004E01F4">
        <w:rPr>
          <w:u w:val="words"/>
        </w:rPr>
        <w:tab/>
      </w:r>
      <w:r w:rsidRPr="004E01F4">
        <w:t>(2)</w:t>
      </w:r>
      <w:r w:rsidRPr="004E01F4">
        <w:tab/>
        <w:t>The data holder must also give the CDR consumer any information that the Register of Accredited Persons holds in relation to the accredited person that is specified as information for the purposes of this rule.</w:t>
      </w:r>
    </w:p>
    <w:p w14:paraId="56A53EB4" w14:textId="77777777" w:rsidR="00CF0E3D" w:rsidRPr="00F07699" w:rsidRDefault="00CF0E3D" w:rsidP="00CF0E3D">
      <w:pPr>
        <w:pStyle w:val="ActHead5"/>
      </w:pPr>
      <w:bookmarkStart w:id="315" w:name="_Toc50114067"/>
      <w:bookmarkStart w:id="316" w:name="_Toc50633097"/>
      <w:bookmarkStart w:id="317" w:name="_Toc57219057"/>
      <w:bookmarkStart w:id="318" w:name="_Toc59549168"/>
      <w:bookmarkStart w:id="319" w:name="_Toc77064920"/>
      <w:r w:rsidRPr="00F07699">
        <w:lastRenderedPageBreak/>
        <w:t>4.24  Restrictions when asking CDR consumer to authorise disclosure of CDR data</w:t>
      </w:r>
      <w:bookmarkEnd w:id="315"/>
      <w:bookmarkEnd w:id="316"/>
      <w:bookmarkEnd w:id="317"/>
      <w:bookmarkEnd w:id="318"/>
      <w:bookmarkEnd w:id="319"/>
    </w:p>
    <w:p w14:paraId="1C635BDB" w14:textId="77777777" w:rsidR="00CF0E3D" w:rsidRPr="00F07699" w:rsidRDefault="00CF0E3D" w:rsidP="00CF0E3D">
      <w:pPr>
        <w:pStyle w:val="subsection"/>
      </w:pPr>
      <w:r w:rsidRPr="00F07699">
        <w:tab/>
      </w:r>
      <w:r w:rsidRPr="00F07699">
        <w:tab/>
        <w:t>When asking a CDR consumer to authorise the disclosure of CDR data</w:t>
      </w:r>
      <w:r w:rsidRPr="0077773C">
        <w:t xml:space="preserve"> </w:t>
      </w:r>
      <w:r w:rsidRPr="004E01F4">
        <w:t>or to amend a current authorisation,</w:t>
      </w:r>
      <w:r w:rsidRPr="00F07699">
        <w:t xml:space="preserve"> the data holder must not do any of the following:</w:t>
      </w:r>
    </w:p>
    <w:p w14:paraId="2AC79995" w14:textId="77777777" w:rsidR="00CF0E3D" w:rsidRPr="00F07699" w:rsidRDefault="00CF0E3D" w:rsidP="00CF0E3D">
      <w:pPr>
        <w:pStyle w:val="paragraph"/>
      </w:pPr>
      <w:r w:rsidRPr="00F07699">
        <w:tab/>
        <w:t>(a)</w:t>
      </w:r>
      <w:r w:rsidRPr="00F07699">
        <w:tab/>
        <w:t>add any requirements to the authorisation process beyond those specified in the data standards and these rules;</w:t>
      </w:r>
    </w:p>
    <w:p w14:paraId="465BA55F" w14:textId="77777777" w:rsidR="00CF0E3D" w:rsidRPr="00F07699" w:rsidRDefault="00CF0E3D" w:rsidP="00CF0E3D">
      <w:pPr>
        <w:pStyle w:val="paragraph"/>
      </w:pPr>
      <w:r w:rsidRPr="00F07699">
        <w:tab/>
        <w:t>(b)</w:t>
      </w:r>
      <w:r w:rsidRPr="00F07699">
        <w:tab/>
        <w:t>provide or request additional information during the authorisation process beyond that specified in the data standards and these rules;</w:t>
      </w:r>
    </w:p>
    <w:p w14:paraId="44E408D9" w14:textId="77777777" w:rsidR="00CF0E3D" w:rsidRPr="00F07699" w:rsidRDefault="00CF0E3D" w:rsidP="00CF0E3D">
      <w:pPr>
        <w:pStyle w:val="paragraph"/>
      </w:pPr>
      <w:r w:rsidRPr="00F07699">
        <w:tab/>
        <w:t>(c)</w:t>
      </w:r>
      <w:r w:rsidRPr="00F07699">
        <w:tab/>
        <w:t>offer additional or alternative services as part of the authorisation process;</w:t>
      </w:r>
    </w:p>
    <w:p w14:paraId="7B3456C7" w14:textId="77777777" w:rsidR="00CF0E3D" w:rsidRPr="00F07699" w:rsidRDefault="00CF0E3D" w:rsidP="00CF0E3D">
      <w:pPr>
        <w:pStyle w:val="paragraph"/>
      </w:pPr>
      <w:r w:rsidRPr="00F07699">
        <w:tab/>
        <w:t>(d)</w:t>
      </w:r>
      <w:r w:rsidRPr="00F07699">
        <w:tab/>
        <w:t>include or refer to other documents.</w:t>
      </w:r>
    </w:p>
    <w:p w14:paraId="21F20A5A" w14:textId="77777777" w:rsidR="00CF0E3D" w:rsidRPr="00F07699" w:rsidRDefault="00CF0E3D" w:rsidP="00CF0E3D">
      <w:pPr>
        <w:pStyle w:val="ActHead5"/>
      </w:pPr>
      <w:bookmarkStart w:id="320" w:name="_Toc50114068"/>
      <w:bookmarkStart w:id="321" w:name="_Toc50633098"/>
      <w:bookmarkStart w:id="322" w:name="_Toc57219058"/>
      <w:bookmarkStart w:id="323" w:name="_Toc59549169"/>
      <w:bookmarkStart w:id="324" w:name="_Toc77064921"/>
      <w:r w:rsidRPr="00F07699">
        <w:t>4.25  Withdrawal of authorisation to disclose CDR data and notification</w:t>
      </w:r>
      <w:bookmarkEnd w:id="320"/>
      <w:bookmarkEnd w:id="321"/>
      <w:bookmarkEnd w:id="322"/>
      <w:bookmarkEnd w:id="323"/>
      <w:bookmarkEnd w:id="324"/>
    </w:p>
    <w:p w14:paraId="5D83F47D" w14:textId="77777777" w:rsidR="00CF0E3D" w:rsidRPr="00F07699" w:rsidRDefault="00CF0E3D" w:rsidP="00CF0E3D">
      <w:pPr>
        <w:pStyle w:val="subsection"/>
      </w:pPr>
      <w:r w:rsidRPr="00F07699">
        <w:tab/>
        <w:t>(1)</w:t>
      </w:r>
      <w:r w:rsidRPr="00F07699">
        <w:tab/>
        <w:t>The CDR consumer who gave, to a data holder, an authorisation to disclose particular CDR data to an accredited person may withdraw the authorisation at any time:</w:t>
      </w:r>
    </w:p>
    <w:p w14:paraId="2A47386D" w14:textId="77777777" w:rsidR="00CF0E3D" w:rsidRPr="00F07699" w:rsidRDefault="00CF0E3D" w:rsidP="00CF0E3D">
      <w:pPr>
        <w:pStyle w:val="paragraph"/>
      </w:pPr>
      <w:r w:rsidRPr="00F07699">
        <w:tab/>
        <w:t>(a)</w:t>
      </w:r>
      <w:r w:rsidRPr="00F07699">
        <w:tab/>
        <w:t>by using the data holder’s consumer dashboard; or</w:t>
      </w:r>
    </w:p>
    <w:p w14:paraId="094C7F59" w14:textId="77777777" w:rsidR="00CF0E3D" w:rsidRPr="00F07699" w:rsidRDefault="00CF0E3D" w:rsidP="00CF0E3D">
      <w:pPr>
        <w:pStyle w:val="paragraph"/>
      </w:pPr>
      <w:r w:rsidRPr="00F07699">
        <w:tab/>
        <w:t>(b)</w:t>
      </w:r>
      <w:r w:rsidRPr="00F07699">
        <w:tab/>
        <w:t>by using a simple alternative method of communication to be made available by the data holder for that purpose.</w:t>
      </w:r>
    </w:p>
    <w:p w14:paraId="56BE3353" w14:textId="77777777" w:rsidR="00CF0E3D" w:rsidRPr="00F07699" w:rsidRDefault="00CF0E3D" w:rsidP="00CF0E3D">
      <w:pPr>
        <w:pStyle w:val="subsection"/>
      </w:pPr>
      <w:r w:rsidRPr="00F07699">
        <w:tab/>
        <w:t>(2)</w:t>
      </w:r>
      <w:r w:rsidRPr="00F07699">
        <w:tab/>
        <w:t>The data holder must:</w:t>
      </w:r>
    </w:p>
    <w:p w14:paraId="59C3E79E" w14:textId="77777777" w:rsidR="00CF0E3D" w:rsidRPr="00F07699" w:rsidRDefault="00CF0E3D" w:rsidP="00CF0E3D">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14:paraId="4B998AE3" w14:textId="77777777" w:rsidR="00CF0E3D" w:rsidRPr="00F07699" w:rsidRDefault="00CF0E3D" w:rsidP="00CF0E3D">
      <w:pPr>
        <w:pStyle w:val="paragraph"/>
      </w:pPr>
      <w:r w:rsidRPr="00F07699">
        <w:tab/>
        <w:t>(b)</w:t>
      </w:r>
      <w:r w:rsidRPr="00F07699">
        <w:tab/>
        <w:t>in any case―notify the accredited person of the withdrawal in accordance with the data standards.</w:t>
      </w:r>
    </w:p>
    <w:p w14:paraId="5C721548" w14:textId="77777777" w:rsidR="00CF0E3D" w:rsidRPr="00F07699" w:rsidRDefault="00CF0E3D" w:rsidP="00CF0E3D">
      <w:pPr>
        <w:pStyle w:val="notetext"/>
      </w:pPr>
      <w:r>
        <w:t>Note 1:</w:t>
      </w:r>
      <w:r>
        <w:tab/>
        <w:t xml:space="preserve">Upon notification </w:t>
      </w:r>
      <w:r w:rsidRPr="004E01F4">
        <w:t xml:space="preserve">a consent for the accredited person to collect </w:t>
      </w:r>
      <w:r w:rsidRPr="00F07699">
        <w:t>the CDR data expires: see paragraph 4.14(1)(b).</w:t>
      </w:r>
    </w:p>
    <w:p w14:paraId="1FA75DCD" w14:textId="77777777" w:rsidR="00CF0E3D" w:rsidRPr="00F07699" w:rsidRDefault="00CF0E3D" w:rsidP="00CF0E3D">
      <w:pPr>
        <w:pStyle w:val="notetext"/>
      </w:pPr>
      <w:r w:rsidRPr="00F07699">
        <w:t>Note 2:</w:t>
      </w:r>
      <w:r w:rsidRPr="00F07699">
        <w:tab/>
        <w:t>This subrule is a civil penalty provision (see rule 9.8).</w:t>
      </w:r>
    </w:p>
    <w:p w14:paraId="72C63180" w14:textId="77777777" w:rsidR="00CF0E3D" w:rsidRPr="00F07699" w:rsidRDefault="00CF0E3D" w:rsidP="00CF0E3D">
      <w:pPr>
        <w:pStyle w:val="ActHead5"/>
      </w:pPr>
      <w:bookmarkStart w:id="325" w:name="_Toc50114069"/>
      <w:bookmarkStart w:id="326" w:name="_Toc50633099"/>
      <w:bookmarkStart w:id="327" w:name="_Toc57219059"/>
      <w:bookmarkStart w:id="328" w:name="_Toc59549170"/>
      <w:bookmarkStart w:id="329" w:name="_Toc77064922"/>
      <w:r w:rsidRPr="00F07699">
        <w:t>4.26  Duration of authorisation to disclose CDR data</w:t>
      </w:r>
      <w:bookmarkEnd w:id="325"/>
      <w:bookmarkEnd w:id="326"/>
      <w:bookmarkEnd w:id="327"/>
      <w:bookmarkEnd w:id="328"/>
      <w:bookmarkEnd w:id="329"/>
    </w:p>
    <w:p w14:paraId="3865E5E6" w14:textId="77777777" w:rsidR="00CF0E3D" w:rsidRPr="00F07699" w:rsidRDefault="00CF0E3D" w:rsidP="00CF0E3D">
      <w:pPr>
        <w:pStyle w:val="subsection"/>
      </w:pPr>
      <w:r w:rsidRPr="00F07699">
        <w:tab/>
        <w:t>(1)</w:t>
      </w:r>
      <w:r w:rsidRPr="00F07699">
        <w:tab/>
        <w:t>An authorisation to disclose particular CDR data to an accredited person expires at the earliest of the following:</w:t>
      </w:r>
    </w:p>
    <w:p w14:paraId="38317FB2" w14:textId="77777777" w:rsidR="00CF0E3D" w:rsidRPr="00F07699" w:rsidRDefault="00CF0E3D" w:rsidP="00CF0E3D">
      <w:pPr>
        <w:pStyle w:val="paragraph"/>
      </w:pPr>
      <w:r w:rsidRPr="00F07699">
        <w:tab/>
        <w:t>(a)</w:t>
      </w:r>
      <w:r w:rsidRPr="00F07699">
        <w:tab/>
        <w:t>if the authorisation was withdrawn in accordance with paragraph 4.25(1)(b)―the earlier of the following:</w:t>
      </w:r>
    </w:p>
    <w:p w14:paraId="5DFCB304" w14:textId="77777777" w:rsidR="00CF0E3D" w:rsidRPr="00F07699" w:rsidRDefault="00CF0E3D" w:rsidP="00CF0E3D">
      <w:pPr>
        <w:pStyle w:val="paragraphsub"/>
      </w:pPr>
      <w:r w:rsidRPr="00F07699">
        <w:tab/>
        <w:t>(i)</w:t>
      </w:r>
      <w:r w:rsidRPr="00F07699">
        <w:tab/>
        <w:t>when the data holder gave effect to the withdrawal;</w:t>
      </w:r>
    </w:p>
    <w:p w14:paraId="426C9B1C" w14:textId="77777777" w:rsidR="00CF0E3D" w:rsidRPr="00F07699" w:rsidRDefault="00CF0E3D" w:rsidP="00CF0E3D">
      <w:pPr>
        <w:pStyle w:val="paragraphsub"/>
      </w:pPr>
      <w:r w:rsidRPr="00F07699">
        <w:tab/>
        <w:t>(ii)</w:t>
      </w:r>
      <w:r w:rsidRPr="00F07699">
        <w:tab/>
        <w:t>2 business days after the data holder received the communication;</w:t>
      </w:r>
    </w:p>
    <w:p w14:paraId="5B876846" w14:textId="77777777" w:rsidR="00CF0E3D" w:rsidRPr="00F07699" w:rsidRDefault="00CF0E3D" w:rsidP="00CF0E3D">
      <w:pPr>
        <w:pStyle w:val="paragraph"/>
      </w:pPr>
      <w:r w:rsidRPr="00F07699">
        <w:tab/>
        <w:t>(b)</w:t>
      </w:r>
      <w:r w:rsidRPr="00F07699">
        <w:tab/>
        <w:t>if the authorisation was withdrawn in accordance with paragraph 4.25(1)(a)―when the authorisation was withdrawn;</w:t>
      </w:r>
    </w:p>
    <w:p w14:paraId="74B81CDE" w14:textId="77777777" w:rsidR="00CF0E3D" w:rsidRPr="00F07699" w:rsidRDefault="00CF0E3D" w:rsidP="00CF0E3D">
      <w:pPr>
        <w:pStyle w:val="paragraph"/>
      </w:pPr>
      <w:r w:rsidRPr="00F07699">
        <w:tab/>
        <w:t>(c)</w:t>
      </w:r>
      <w:r w:rsidRPr="00F07699">
        <w:tab/>
        <w:t>if the CDR consumer ceases to be eligible in relation to the data holder;</w:t>
      </w:r>
    </w:p>
    <w:p w14:paraId="56386FE0" w14:textId="77777777" w:rsidR="00CF0E3D" w:rsidRPr="00F07699" w:rsidRDefault="00CF0E3D" w:rsidP="00CF0E3D">
      <w:pPr>
        <w:pStyle w:val="paragraph"/>
      </w:pPr>
      <w:r w:rsidRPr="00F07699">
        <w:tab/>
        <w:t>(d)</w:t>
      </w:r>
      <w:r w:rsidRPr="00F07699">
        <w:tab/>
        <w:t>if the data holder was notified, under paragraph 4.13(2)(b), of the withdrawal of a consent to collect that CDR data―when the data holder received that notification;</w:t>
      </w:r>
    </w:p>
    <w:p w14:paraId="4E28CEB3" w14:textId="77777777" w:rsidR="00CF0E3D" w:rsidRPr="00F07699" w:rsidRDefault="00CF0E3D" w:rsidP="00CF0E3D">
      <w:pPr>
        <w:pStyle w:val="paragraph"/>
      </w:pPr>
      <w:r w:rsidRPr="00F07699">
        <w:tab/>
        <w:t>(e)</w:t>
      </w:r>
      <w:r w:rsidRPr="00F07699">
        <w:tab/>
        <w:t>the end of the period of 12 months after the authorisation was given;</w:t>
      </w:r>
    </w:p>
    <w:p w14:paraId="0E8E7934" w14:textId="77777777" w:rsidR="00CF0E3D" w:rsidRPr="00F07699" w:rsidRDefault="00CF0E3D" w:rsidP="00CF0E3D">
      <w:pPr>
        <w:pStyle w:val="paragraph"/>
      </w:pPr>
      <w:r w:rsidRPr="00F07699">
        <w:lastRenderedPageBreak/>
        <w:tab/>
        <w:t>(f)</w:t>
      </w:r>
      <w:r w:rsidRPr="00F07699">
        <w:tab/>
        <w:t>if the authorisation was for disclosure of CDR data on a single occasion—after the CDR data has been disclosed;</w:t>
      </w:r>
    </w:p>
    <w:p w14:paraId="0ACC8102" w14:textId="77777777" w:rsidR="00CF0E3D" w:rsidRPr="00F07699" w:rsidRDefault="00CF0E3D" w:rsidP="00CF0E3D">
      <w:pPr>
        <w:pStyle w:val="paragraph"/>
      </w:pPr>
      <w:r w:rsidRPr="00F07699">
        <w:tab/>
        <w:t>(g)</w:t>
      </w:r>
      <w:r w:rsidRPr="00F07699">
        <w:tab/>
        <w:t>if the authorisation was for disclosure of CDR data over a specified period—the end of</w:t>
      </w:r>
      <w:r w:rsidRPr="0077773C">
        <w:t>:</w:t>
      </w:r>
    </w:p>
    <w:p w14:paraId="627DD748" w14:textId="77777777" w:rsidR="00CF0E3D" w:rsidRPr="004E01F4" w:rsidRDefault="00CF0E3D" w:rsidP="00CF0E3D">
      <w:pPr>
        <w:pStyle w:val="paragraphsub"/>
      </w:pPr>
      <w:r w:rsidRPr="004E01F4">
        <w:tab/>
        <w:t>(i)</w:t>
      </w:r>
      <w:r w:rsidRPr="004E01F4">
        <w:tab/>
        <w:t>that period; or</w:t>
      </w:r>
    </w:p>
    <w:p w14:paraId="10B8CFC8" w14:textId="77777777" w:rsidR="00CF0E3D" w:rsidRPr="004E01F4" w:rsidRDefault="00CF0E3D" w:rsidP="00CF0E3D">
      <w:pPr>
        <w:pStyle w:val="paragraphsub"/>
      </w:pPr>
      <w:r w:rsidRPr="004E01F4">
        <w:tab/>
        <w:t>(ii)</w:t>
      </w:r>
      <w:r w:rsidRPr="004E01F4">
        <w:tab/>
        <w:t>if the period of the authorisation has been amended in accordance with this Division―that period as last amended;</w:t>
      </w:r>
    </w:p>
    <w:p w14:paraId="1D07F158" w14:textId="77777777" w:rsidR="00CF0E3D" w:rsidRPr="00F07699" w:rsidRDefault="00CF0E3D" w:rsidP="00CF0E3D">
      <w:pPr>
        <w:pStyle w:val="paragraph"/>
      </w:pPr>
      <w:r w:rsidRPr="00F07699">
        <w:tab/>
        <w:t>(h)</w:t>
      </w:r>
      <w:r w:rsidRPr="00F07699">
        <w:tab/>
        <w:t>if the authorisation expires as a result of the operation of a provision of these rules that references this paragraph.</w:t>
      </w:r>
    </w:p>
    <w:p w14:paraId="54C26D99" w14:textId="77777777" w:rsidR="00CF0E3D" w:rsidRPr="00F07699" w:rsidRDefault="00CF0E3D" w:rsidP="00CF0E3D">
      <w:pPr>
        <w:pStyle w:val="notetext"/>
      </w:pPr>
      <w:r w:rsidRPr="00F07699">
        <w:t>Note:</w:t>
      </w:r>
      <w:r w:rsidRPr="00F07699">
        <w:tab/>
        <w:t>Clause 7.2 of Schedule 3 is an example of a provision satisfying paragraph (h). This relates to when an accredited data recipient of CDR data becomes instead a data holder of that CDR data.</w:t>
      </w:r>
    </w:p>
    <w:p w14:paraId="41F35C00" w14:textId="77777777" w:rsidR="00CF0E3D" w:rsidRPr="00F07699" w:rsidRDefault="00CF0E3D" w:rsidP="00CF0E3D">
      <w:pPr>
        <w:pStyle w:val="subsection"/>
      </w:pPr>
      <w:r w:rsidRPr="00F07699">
        <w:tab/>
        <w:t>(2)</w:t>
      </w:r>
      <w:r w:rsidRPr="00F07699">
        <w:tab/>
        <w:t>If an accredited person’s accreditation is revoked or surrendered in accordance with rule 5.17, all authorisations for a data holder to disclose CDR data to that accredited person expire when the data holder is notified of the revocation or surrender.</w:t>
      </w:r>
    </w:p>
    <w:p w14:paraId="301D488A" w14:textId="77777777" w:rsidR="00CF0E3D" w:rsidRPr="00F07699" w:rsidRDefault="00CF0E3D" w:rsidP="00CF0E3D">
      <w:pPr>
        <w:pStyle w:val="ActHead5"/>
      </w:pPr>
      <w:bookmarkStart w:id="330" w:name="_Toc50633100"/>
      <w:bookmarkStart w:id="331" w:name="_Toc57219060"/>
      <w:bookmarkStart w:id="332" w:name="_Toc59549171"/>
      <w:bookmarkStart w:id="333" w:name="_Toc77064923"/>
      <w:r w:rsidRPr="00F07699">
        <w:t>4.27  Updating consumer dashboard</w:t>
      </w:r>
      <w:bookmarkEnd w:id="330"/>
      <w:bookmarkEnd w:id="331"/>
      <w:bookmarkEnd w:id="332"/>
      <w:bookmarkEnd w:id="333"/>
    </w:p>
    <w:p w14:paraId="6E74961E" w14:textId="77777777" w:rsidR="00CF0E3D" w:rsidRPr="00F07699" w:rsidRDefault="00CF0E3D" w:rsidP="00CF0E3D">
      <w:pPr>
        <w:pStyle w:val="subsection"/>
      </w:pPr>
      <w:r w:rsidRPr="00F07699">
        <w:tab/>
      </w:r>
      <w:r w:rsidRPr="00F07699">
        <w:tab/>
        <w:t>A data holder must update a CDR consumer’s consumer dashboard as soon as practicable after the information required to be contained on the dashboard changes.</w:t>
      </w:r>
    </w:p>
    <w:p w14:paraId="09B001C0" w14:textId="77777777" w:rsidR="00CF0E3D" w:rsidRPr="00F07699" w:rsidRDefault="00CF0E3D" w:rsidP="00CF0E3D">
      <w:pPr>
        <w:pStyle w:val="notetext"/>
      </w:pPr>
      <w:r w:rsidRPr="00F07699">
        <w:t>Note:</w:t>
      </w:r>
      <w:r w:rsidRPr="00F07699">
        <w:tab/>
        <w:t>This rule is a civil penalty provision (see rule 9.8).</w:t>
      </w:r>
    </w:p>
    <w:p w14:paraId="403FD82D" w14:textId="77777777" w:rsidR="00CF0E3D" w:rsidRPr="00A6091B" w:rsidRDefault="00CF0E3D" w:rsidP="00CF0E3D">
      <w:pPr>
        <w:pStyle w:val="ActHead5"/>
      </w:pPr>
      <w:bookmarkStart w:id="334" w:name="_Toc59549172"/>
      <w:bookmarkStart w:id="335" w:name="_Toc77064924"/>
      <w:r w:rsidRPr="00A6091B">
        <w:t>4.28  Notification requirements for consumer data requests on behalf of secondary users</w:t>
      </w:r>
      <w:bookmarkEnd w:id="334"/>
      <w:bookmarkEnd w:id="335"/>
    </w:p>
    <w:p w14:paraId="6C54FD61" w14:textId="77777777" w:rsidR="00CF0E3D" w:rsidRPr="00A6091B" w:rsidRDefault="00CF0E3D" w:rsidP="00CF0E3D">
      <w:pPr>
        <w:pStyle w:val="subsection"/>
      </w:pPr>
      <w:r w:rsidRPr="00A6091B">
        <w:tab/>
        <w:t>(1)</w:t>
      </w:r>
      <w:r w:rsidRPr="00A6091B">
        <w:tab/>
        <w:t>This rule applies if:</w:t>
      </w:r>
    </w:p>
    <w:p w14:paraId="13895393" w14:textId="77777777" w:rsidR="00CF0E3D" w:rsidRPr="00A6091B" w:rsidRDefault="00CF0E3D" w:rsidP="00CF0E3D">
      <w:pPr>
        <w:pStyle w:val="paragraph"/>
      </w:pPr>
      <w:r w:rsidRPr="00A6091B">
        <w:tab/>
        <w:t>(a)</w:t>
      </w:r>
      <w:r w:rsidRPr="00A6091B">
        <w:tab/>
        <w:t>an accredited person makes a consumer data request under this Part on behalf of a secondary user for a particular account; and</w:t>
      </w:r>
    </w:p>
    <w:p w14:paraId="1657E015" w14:textId="77777777" w:rsidR="00CF0E3D" w:rsidRPr="00A6091B" w:rsidRDefault="00CF0E3D" w:rsidP="00CF0E3D">
      <w:pPr>
        <w:pStyle w:val="paragraph"/>
      </w:pPr>
      <w:r w:rsidRPr="00A6091B">
        <w:tab/>
        <w:t>(b)</w:t>
      </w:r>
      <w:r w:rsidRPr="00A6091B">
        <w:tab/>
        <w:t>the secondary user amends or withdraws an authorisation, or an authorisation given by the secondary user expires.</w:t>
      </w:r>
    </w:p>
    <w:p w14:paraId="443C4984" w14:textId="77777777" w:rsidR="00CF0E3D" w:rsidRPr="00A6091B" w:rsidRDefault="00CF0E3D" w:rsidP="00CF0E3D">
      <w:pPr>
        <w:pStyle w:val="subsection"/>
      </w:pPr>
      <w:r w:rsidRPr="00A6091B">
        <w:tab/>
        <w:t>(2)</w:t>
      </w:r>
      <w:r w:rsidRPr="00A6091B">
        <w:tab/>
        <w:t>The data holder must, as soon as practicable, notify the account holder of that fact through its ordinary means of contacting the account holder.</w:t>
      </w:r>
    </w:p>
    <w:p w14:paraId="57DD1628" w14:textId="77777777" w:rsidR="00CF0E3D" w:rsidRPr="00A6091B" w:rsidRDefault="00CF0E3D" w:rsidP="00CF0E3D">
      <w:pPr>
        <w:pStyle w:val="notetext"/>
      </w:pPr>
      <w:r w:rsidRPr="00A6091B">
        <w:t>Note:</w:t>
      </w:r>
      <w:r w:rsidRPr="00A6091B">
        <w:tab/>
        <w:t>This subclause is a civil penalty provision (see rule 9.8).</w:t>
      </w:r>
    </w:p>
    <w:p w14:paraId="640DFE70" w14:textId="5D95F6AA" w:rsidR="00CC28A8" w:rsidRPr="00693A57" w:rsidRDefault="00832060" w:rsidP="000029CF">
      <w:pPr>
        <w:pStyle w:val="ActHead2"/>
        <w:rPr>
          <w:color w:val="0000FF"/>
        </w:rPr>
      </w:pPr>
      <w:bookmarkStart w:id="336" w:name="_Toc77064925"/>
      <w:bookmarkStart w:id="337" w:name="_Toc11771626"/>
      <w:bookmarkEnd w:id="295"/>
      <w:r w:rsidRPr="00693A57">
        <w:rPr>
          <w:color w:val="0000FF"/>
        </w:rPr>
        <w:t>Part 4</w:t>
      </w:r>
      <w:r w:rsidR="000029CF" w:rsidRPr="00693A57">
        <w:rPr>
          <w:color w:val="0000FF"/>
        </w:rPr>
        <w:t>A—</w:t>
      </w:r>
      <w:r w:rsidR="00CC28A8" w:rsidRPr="00693A57">
        <w:rPr>
          <w:color w:val="0000FF"/>
        </w:rPr>
        <w:t>Joint accounts</w:t>
      </w:r>
      <w:bookmarkEnd w:id="336"/>
    </w:p>
    <w:p w14:paraId="401C42C6" w14:textId="7484EACE" w:rsidR="008D1B60" w:rsidRPr="00693A57" w:rsidRDefault="008D1B60" w:rsidP="008D1B60">
      <w:pPr>
        <w:pStyle w:val="notemargin"/>
        <w:rPr>
          <w:color w:val="0000FF"/>
        </w:rPr>
      </w:pPr>
      <w:r w:rsidRPr="00693A57">
        <w:rPr>
          <w:color w:val="0000FF"/>
        </w:rPr>
        <w:t>Note:</w:t>
      </w:r>
      <w:r w:rsidRPr="00693A57">
        <w:rPr>
          <w:color w:val="0000FF"/>
        </w:rPr>
        <w:tab/>
        <w:t>When this Part commences, it will be subject to transitional provisions that operate until April 2022.</w:t>
      </w:r>
    </w:p>
    <w:p w14:paraId="07E6F305" w14:textId="3FB23D1C" w:rsidR="00CC28A8" w:rsidRPr="00693A57" w:rsidRDefault="00832060" w:rsidP="00085185">
      <w:pPr>
        <w:pStyle w:val="ActHead3"/>
        <w:rPr>
          <w:color w:val="0000FF"/>
        </w:rPr>
      </w:pPr>
      <w:bookmarkStart w:id="338" w:name="_Toc77064926"/>
      <w:r w:rsidRPr="00693A57">
        <w:rPr>
          <w:color w:val="0000FF"/>
        </w:rPr>
        <w:lastRenderedPageBreak/>
        <w:t>Division  4A.1</w:t>
      </w:r>
      <w:r w:rsidR="00CC28A8" w:rsidRPr="00693A57">
        <w:rPr>
          <w:color w:val="0000FF"/>
        </w:rPr>
        <w:t>—Preliminary</w:t>
      </w:r>
      <w:bookmarkEnd w:id="338"/>
    </w:p>
    <w:p w14:paraId="4205C29C" w14:textId="11BA2B87" w:rsidR="00CC28A8" w:rsidRPr="00693A57" w:rsidRDefault="00832060" w:rsidP="00CC28A8">
      <w:pPr>
        <w:pStyle w:val="ActHead5"/>
        <w:rPr>
          <w:noProof/>
          <w:color w:val="0000FF"/>
          <w:lang w:val="en-US"/>
        </w:rPr>
      </w:pPr>
      <w:r w:rsidRPr="00693A57">
        <w:rPr>
          <w:color w:val="0000FF"/>
          <w:lang w:val="en-US"/>
        </w:rPr>
        <w:t xml:space="preserve"> </w:t>
      </w:r>
      <w:bookmarkStart w:id="339" w:name="_Toc77064927"/>
      <w:r w:rsidRPr="00693A57">
        <w:rPr>
          <w:color w:val="0000FF"/>
          <w:lang w:val="en-US"/>
        </w:rPr>
        <w:t xml:space="preserve">4A.1 </w:t>
      </w:r>
      <w:r w:rsidR="00CC28A8" w:rsidRPr="00693A57">
        <w:rPr>
          <w:noProof/>
          <w:color w:val="0000FF"/>
          <w:lang w:val="en-US"/>
        </w:rPr>
        <w:t xml:space="preserve"> Purpose of Part</w:t>
      </w:r>
      <w:bookmarkEnd w:id="339"/>
    </w:p>
    <w:p w14:paraId="7207B28F" w14:textId="59988FF7" w:rsidR="00CC28A8" w:rsidRPr="00693A57" w:rsidRDefault="00CC28A8" w:rsidP="00CC28A8">
      <w:pPr>
        <w:pStyle w:val="subsection"/>
        <w:rPr>
          <w:strike/>
          <w:color w:val="0000FF"/>
          <w:lang w:val="en-US"/>
        </w:rPr>
      </w:pPr>
      <w:r w:rsidRPr="00693A57">
        <w:rPr>
          <w:color w:val="0000FF"/>
          <w:lang w:val="en-US"/>
        </w:rPr>
        <w:tab/>
      </w:r>
      <w:r w:rsidRPr="00693A57">
        <w:rPr>
          <w:color w:val="0000FF"/>
          <w:lang w:val="en-US"/>
        </w:rPr>
        <w:tab/>
        <w:t>Special rules apply in relation to consumer data requests under Part 4 under which there is a request for disclosure of CDR data that relates to one or more joint accounts. This Part sets out those rules.</w:t>
      </w:r>
    </w:p>
    <w:p w14:paraId="30B57AB7" w14:textId="4D612173" w:rsidR="00CC28A8" w:rsidRPr="00693A57" w:rsidRDefault="00832060" w:rsidP="00CC28A8">
      <w:pPr>
        <w:pStyle w:val="ActHead5"/>
        <w:rPr>
          <w:color w:val="0000FF"/>
          <w:lang w:val="en-US"/>
        </w:rPr>
      </w:pPr>
      <w:r w:rsidRPr="00693A57">
        <w:rPr>
          <w:color w:val="0000FF"/>
          <w:lang w:val="en-US"/>
        </w:rPr>
        <w:t xml:space="preserve"> </w:t>
      </w:r>
      <w:bookmarkStart w:id="340" w:name="_Toc77064928"/>
      <w:r w:rsidRPr="00693A57">
        <w:rPr>
          <w:color w:val="0000FF"/>
          <w:lang w:val="en-US"/>
        </w:rPr>
        <w:t xml:space="preserve">4A.2 </w:t>
      </w:r>
      <w:r w:rsidR="00CC28A8" w:rsidRPr="00693A57">
        <w:rPr>
          <w:color w:val="0000FF"/>
          <w:lang w:val="en-US"/>
        </w:rPr>
        <w:t>Simplified outline of this Part</w:t>
      </w:r>
      <w:bookmarkEnd w:id="340"/>
    </w:p>
    <w:p w14:paraId="322ED927" w14:textId="65F9395C" w:rsidR="00CC28A8" w:rsidRPr="00693A57" w:rsidRDefault="00CC28A8" w:rsidP="00CC28A8">
      <w:pPr>
        <w:pStyle w:val="SOText"/>
        <w:pBdr>
          <w:right w:val="single" w:sz="6" w:space="10" w:color="auto"/>
        </w:pBdr>
        <w:rPr>
          <w:color w:val="0000FF"/>
        </w:rPr>
      </w:pPr>
      <w:r w:rsidRPr="00693A57">
        <w:rPr>
          <w:color w:val="0000FF"/>
        </w:rPr>
        <w:t>CDR data that relates to a joint account</w:t>
      </w:r>
      <w:r w:rsidR="00624C46" w:rsidRPr="00693A57">
        <w:rPr>
          <w:color w:val="0000FF"/>
        </w:rPr>
        <w:t xml:space="preserve"> </w:t>
      </w:r>
      <w:r w:rsidRPr="00693A57">
        <w:rPr>
          <w:color w:val="0000FF"/>
        </w:rPr>
        <w:t>can be dis</w:t>
      </w:r>
      <w:r w:rsidR="00E85D43" w:rsidRPr="00693A57">
        <w:rPr>
          <w:color w:val="0000FF"/>
        </w:rPr>
        <w:t xml:space="preserve">closed under these rules only in accordance with the </w:t>
      </w:r>
      <w:r w:rsidRPr="00693A57">
        <w:rPr>
          <w:color w:val="0000FF"/>
        </w:rPr>
        <w:t xml:space="preserve">disclosure option </w:t>
      </w:r>
      <w:r w:rsidR="00E85D43" w:rsidRPr="00693A57">
        <w:rPr>
          <w:color w:val="0000FF"/>
        </w:rPr>
        <w:t xml:space="preserve">that </w:t>
      </w:r>
      <w:r w:rsidRPr="00693A57">
        <w:rPr>
          <w:color w:val="0000FF"/>
        </w:rPr>
        <w:t>applies to the account. Division 4</w:t>
      </w:r>
      <w:r w:rsidR="00794BC7" w:rsidRPr="00693A57">
        <w:rPr>
          <w:color w:val="0000FF"/>
        </w:rPr>
        <w:t>A</w:t>
      </w:r>
      <w:r w:rsidRPr="00693A57">
        <w:rPr>
          <w:color w:val="0000FF"/>
        </w:rPr>
        <w:t>.2 sets out:</w:t>
      </w:r>
    </w:p>
    <w:p w14:paraId="4A4D7C11" w14:textId="2FA39BD9" w:rsidR="00CC28A8" w:rsidRPr="00693A57" w:rsidRDefault="00CC28A8" w:rsidP="00CC28A8">
      <w:pPr>
        <w:pStyle w:val="SOPara"/>
        <w:pBdr>
          <w:right w:val="single" w:sz="6" w:space="10" w:color="auto"/>
        </w:pBdr>
        <w:rPr>
          <w:color w:val="0000FF"/>
        </w:rPr>
      </w:pPr>
      <w:r w:rsidRPr="00693A57">
        <w:rPr>
          <w:color w:val="0000FF"/>
        </w:rPr>
        <w:tab/>
        <w:t>•</w:t>
      </w:r>
      <w:r w:rsidRPr="00693A57">
        <w:rPr>
          <w:color w:val="0000FF"/>
        </w:rPr>
        <w:tab/>
        <w:t xml:space="preserve">the </w:t>
      </w:r>
      <w:r w:rsidR="00E85D43" w:rsidRPr="00693A57">
        <w:rPr>
          <w:color w:val="0000FF"/>
        </w:rPr>
        <w:t xml:space="preserve">three </w:t>
      </w:r>
      <w:r w:rsidRPr="00693A57">
        <w:rPr>
          <w:color w:val="0000FF"/>
        </w:rPr>
        <w:t>disclosure options</w:t>
      </w:r>
      <w:r w:rsidR="00E85D43" w:rsidRPr="00693A57">
        <w:rPr>
          <w:color w:val="0000FF"/>
        </w:rPr>
        <w:t>, with the default option being the pre-approval option</w:t>
      </w:r>
      <w:r w:rsidRPr="00693A57">
        <w:rPr>
          <w:color w:val="0000FF"/>
        </w:rPr>
        <w:t>; and</w:t>
      </w:r>
    </w:p>
    <w:p w14:paraId="0A3E4E70" w14:textId="77777777" w:rsidR="00506306" w:rsidRPr="00693A57" w:rsidRDefault="00CC28A8" w:rsidP="00CC28A8">
      <w:pPr>
        <w:pStyle w:val="SOPara"/>
        <w:pBdr>
          <w:right w:val="single" w:sz="6" w:space="10" w:color="auto"/>
        </w:pBdr>
        <w:rPr>
          <w:color w:val="0000FF"/>
        </w:rPr>
      </w:pPr>
      <w:r w:rsidRPr="00693A57">
        <w:rPr>
          <w:color w:val="0000FF"/>
        </w:rPr>
        <w:tab/>
        <w:t>•</w:t>
      </w:r>
      <w:r w:rsidRPr="00693A57">
        <w:rPr>
          <w:color w:val="0000FF"/>
        </w:rPr>
        <w:tab/>
        <w:t xml:space="preserve">an obligation for data holders to provide a service (a </w:t>
      </w:r>
      <w:r w:rsidR="00E85D43" w:rsidRPr="00693A57">
        <w:rPr>
          <w:color w:val="0000FF"/>
        </w:rPr>
        <w:t>disclosure option management service</w:t>
      </w:r>
      <w:r w:rsidRPr="00693A57">
        <w:rPr>
          <w:color w:val="0000FF"/>
        </w:rPr>
        <w:t>) for all joint accounts to which this Part applies through w</w:t>
      </w:r>
      <w:r w:rsidR="00624C46" w:rsidRPr="00693A57">
        <w:rPr>
          <w:color w:val="0000FF"/>
        </w:rPr>
        <w:t xml:space="preserve">hich joint account holders can </w:t>
      </w:r>
      <w:r w:rsidR="00506306" w:rsidRPr="00693A57">
        <w:rPr>
          <w:color w:val="0000FF"/>
        </w:rPr>
        <w:t xml:space="preserve">change the disclosure option that applies to the account, or propose a change to the </w:t>
      </w:r>
      <w:r w:rsidR="00624C46" w:rsidRPr="00693A57">
        <w:rPr>
          <w:color w:val="0000FF"/>
        </w:rPr>
        <w:t>other account holders</w:t>
      </w:r>
      <w:r w:rsidR="00506306" w:rsidRPr="00693A57">
        <w:rPr>
          <w:color w:val="0000FF"/>
        </w:rPr>
        <w:t>.</w:t>
      </w:r>
    </w:p>
    <w:p w14:paraId="49B5A368" w14:textId="329E9D30" w:rsidR="00CC28A8" w:rsidRPr="00693A57" w:rsidRDefault="00CC28A8" w:rsidP="00CC28A8">
      <w:pPr>
        <w:pStyle w:val="SOPara"/>
        <w:pBdr>
          <w:right w:val="single" w:sz="6" w:space="10" w:color="auto"/>
        </w:pBdr>
        <w:rPr>
          <w:color w:val="0000FF"/>
        </w:rPr>
      </w:pPr>
      <w:r w:rsidRPr="00693A57">
        <w:rPr>
          <w:color w:val="0000FF"/>
        </w:rPr>
        <w:tab/>
        <w:t>•</w:t>
      </w:r>
      <w:r w:rsidRPr="00693A57">
        <w:rPr>
          <w:color w:val="0000FF"/>
        </w:rPr>
        <w:tab/>
        <w:t xml:space="preserve">when one joint account holder </w:t>
      </w:r>
      <w:r w:rsidR="00777905" w:rsidRPr="00693A57">
        <w:rPr>
          <w:color w:val="0000FF"/>
        </w:rPr>
        <w:t xml:space="preserve">proposes </w:t>
      </w:r>
      <w:r w:rsidR="002373B6" w:rsidRPr="00693A57">
        <w:rPr>
          <w:color w:val="0000FF"/>
        </w:rPr>
        <w:t xml:space="preserve">to change the </w:t>
      </w:r>
      <w:r w:rsidRPr="00693A57">
        <w:rPr>
          <w:color w:val="0000FF"/>
        </w:rPr>
        <w:t xml:space="preserve">disclosure option―a process by which the other joint account holders can </w:t>
      </w:r>
      <w:r w:rsidR="00624C46" w:rsidRPr="00693A57">
        <w:rPr>
          <w:color w:val="0000FF"/>
        </w:rPr>
        <w:t>either agree with or reject</w:t>
      </w:r>
      <w:r w:rsidR="00777905" w:rsidRPr="00693A57">
        <w:rPr>
          <w:color w:val="0000FF"/>
        </w:rPr>
        <w:t xml:space="preserve"> the proposal</w:t>
      </w:r>
      <w:r w:rsidRPr="00693A57">
        <w:rPr>
          <w:color w:val="0000FF"/>
        </w:rPr>
        <w:t>; and</w:t>
      </w:r>
    </w:p>
    <w:p w14:paraId="584AB109" w14:textId="77777777" w:rsidR="00CC28A8" w:rsidRPr="00693A57" w:rsidRDefault="00CC28A8" w:rsidP="00CC28A8">
      <w:pPr>
        <w:pStyle w:val="SOPara"/>
        <w:pBdr>
          <w:right w:val="single" w:sz="6" w:space="10" w:color="auto"/>
        </w:pBdr>
        <w:rPr>
          <w:color w:val="0000FF"/>
        </w:rPr>
      </w:pPr>
      <w:r w:rsidRPr="00693A57">
        <w:rPr>
          <w:color w:val="0000FF"/>
        </w:rPr>
        <w:tab/>
        <w:t>•</w:t>
      </w:r>
      <w:r w:rsidRPr="00693A57">
        <w:rPr>
          <w:color w:val="0000FF"/>
        </w:rPr>
        <w:tab/>
        <w:t>some associated notification requirements.</w:t>
      </w:r>
    </w:p>
    <w:p w14:paraId="35B4E5B0" w14:textId="77777777" w:rsidR="00FA06B3" w:rsidRPr="00693A57" w:rsidRDefault="00CC28A8" w:rsidP="00CC28A8">
      <w:pPr>
        <w:pStyle w:val="SOText"/>
        <w:pBdr>
          <w:right w:val="single" w:sz="6" w:space="10" w:color="auto"/>
        </w:pBdr>
        <w:rPr>
          <w:color w:val="0000FF"/>
        </w:rPr>
      </w:pPr>
      <w:r w:rsidRPr="00693A57">
        <w:rPr>
          <w:color w:val="0000FF"/>
        </w:rPr>
        <w:t>A</w:t>
      </w:r>
      <w:r w:rsidR="00FA06B3" w:rsidRPr="00693A57">
        <w:rPr>
          <w:color w:val="0000FF"/>
        </w:rPr>
        <w:t>ny joint account holder can choose that the non-disclosure option will apply.</w:t>
      </w:r>
    </w:p>
    <w:p w14:paraId="7DCCA863" w14:textId="77777777" w:rsidR="00FA06B3" w:rsidRPr="00693A57" w:rsidRDefault="00FA06B3" w:rsidP="00CC28A8">
      <w:pPr>
        <w:pStyle w:val="SOText"/>
        <w:pBdr>
          <w:right w:val="single" w:sz="6" w:space="10" w:color="auto"/>
        </w:pBdr>
        <w:rPr>
          <w:color w:val="0000FF"/>
        </w:rPr>
      </w:pPr>
      <w:r w:rsidRPr="00693A57">
        <w:rPr>
          <w:color w:val="0000FF"/>
        </w:rPr>
        <w:t>If the pre-approval option applies, any joint account holder can choose that the co-approval option will apply.</w:t>
      </w:r>
    </w:p>
    <w:p w14:paraId="44768175" w14:textId="33ACE961" w:rsidR="00CC28A8" w:rsidRPr="00693A57" w:rsidRDefault="00FA06B3" w:rsidP="00CC28A8">
      <w:pPr>
        <w:pStyle w:val="SOText"/>
        <w:pBdr>
          <w:right w:val="single" w:sz="6" w:space="10" w:color="auto"/>
        </w:pBdr>
        <w:rPr>
          <w:color w:val="0000FF"/>
        </w:rPr>
      </w:pPr>
      <w:r w:rsidRPr="00693A57">
        <w:rPr>
          <w:color w:val="0000FF"/>
        </w:rPr>
        <w:t xml:space="preserve">A change from the non-disclosure option to another option, or a change from the co-approval option to the pre-approval option, requires the agreement of all the </w:t>
      </w:r>
      <w:r w:rsidR="00CC28A8" w:rsidRPr="00693A57">
        <w:rPr>
          <w:color w:val="0000FF"/>
        </w:rPr>
        <w:t>joint account holders.</w:t>
      </w:r>
    </w:p>
    <w:p w14:paraId="11514185" w14:textId="25C7FAC2" w:rsidR="00CC28A8" w:rsidRPr="00693A57" w:rsidRDefault="00CC28A8" w:rsidP="00CC28A8">
      <w:pPr>
        <w:pStyle w:val="SOText"/>
        <w:pBdr>
          <w:right w:val="single" w:sz="6" w:space="10" w:color="auto"/>
        </w:pBdr>
        <w:rPr>
          <w:color w:val="0000FF"/>
        </w:rPr>
      </w:pPr>
      <w:r w:rsidRPr="00693A57">
        <w:rPr>
          <w:color w:val="0000FF"/>
        </w:rPr>
        <w:t>When an accredited person makes a consumer data request under Part 4 on behalf of a CDR consumer, and the request includes CDR data relating to one or more joint accounts of which the CDR consumer is a j</w:t>
      </w:r>
      <w:r w:rsidR="00FA06B3" w:rsidRPr="00693A57">
        <w:rPr>
          <w:color w:val="0000FF"/>
        </w:rPr>
        <w:t>oint account holder, Division 4A.3</w:t>
      </w:r>
      <w:r w:rsidRPr="00693A57">
        <w:rPr>
          <w:color w:val="0000FF"/>
        </w:rPr>
        <w:t xml:space="preserve"> deals with how the request is processed.</w:t>
      </w:r>
    </w:p>
    <w:p w14:paraId="754B40E3" w14:textId="03EBBA20" w:rsidR="00CC28A8" w:rsidRPr="00693A57" w:rsidRDefault="00CC28A8" w:rsidP="00CC28A8">
      <w:pPr>
        <w:pStyle w:val="SOText"/>
        <w:pBdr>
          <w:right w:val="single" w:sz="6" w:space="10" w:color="auto"/>
        </w:pBdr>
        <w:rPr>
          <w:color w:val="0000FF"/>
        </w:rPr>
      </w:pPr>
      <w:r w:rsidRPr="00693A57">
        <w:rPr>
          <w:color w:val="0000FF"/>
        </w:rPr>
        <w:t>Division 4</w:t>
      </w:r>
      <w:r w:rsidR="00FA06B3" w:rsidRPr="00693A57">
        <w:rPr>
          <w:color w:val="0000FF"/>
        </w:rPr>
        <w:t>A</w:t>
      </w:r>
      <w:r w:rsidRPr="00693A57">
        <w:rPr>
          <w:color w:val="0000FF"/>
        </w:rPr>
        <w:t>.3 also deals with how requests are processed when the accredited person makes a consumer data request on behalf of a secondary user of the joint account.</w:t>
      </w:r>
    </w:p>
    <w:p w14:paraId="63053FCC" w14:textId="0453EC1B" w:rsidR="00CC28A8" w:rsidRPr="00693A57" w:rsidRDefault="00832060" w:rsidP="00794BC7">
      <w:pPr>
        <w:pStyle w:val="ActHead3"/>
        <w:rPr>
          <w:color w:val="0000FF"/>
          <w:lang w:val="en-US"/>
        </w:rPr>
      </w:pPr>
      <w:bookmarkStart w:id="341" w:name="_Toc77064929"/>
      <w:r w:rsidRPr="00693A57">
        <w:rPr>
          <w:color w:val="0000FF"/>
          <w:lang w:val="en-US"/>
        </w:rPr>
        <w:lastRenderedPageBreak/>
        <w:t>Division  4A.2</w:t>
      </w:r>
      <w:r w:rsidR="00D937A7" w:rsidRPr="00693A57">
        <w:rPr>
          <w:color w:val="0000FF"/>
          <w:lang w:val="en-US"/>
        </w:rPr>
        <w:t>A</w:t>
      </w:r>
      <w:r w:rsidR="00794BC7" w:rsidRPr="00693A57">
        <w:rPr>
          <w:color w:val="0000FF"/>
          <w:lang w:val="en-US"/>
        </w:rPr>
        <w:t xml:space="preserve">— </w:t>
      </w:r>
      <w:r w:rsidR="00085185" w:rsidRPr="00693A57">
        <w:rPr>
          <w:color w:val="0000FF"/>
          <w:lang w:val="en-US"/>
        </w:rPr>
        <w:t>Disclosure options</w:t>
      </w:r>
      <w:bookmarkEnd w:id="341"/>
    </w:p>
    <w:p w14:paraId="5B6D4E59" w14:textId="5B3A361B" w:rsidR="00CC28A8" w:rsidRPr="00693A57" w:rsidRDefault="00832060" w:rsidP="00CC28A8">
      <w:pPr>
        <w:pStyle w:val="ActHead5"/>
        <w:rPr>
          <w:color w:val="0000FF"/>
          <w:lang w:val="en-US"/>
        </w:rPr>
      </w:pPr>
      <w:r w:rsidRPr="00693A57">
        <w:rPr>
          <w:color w:val="0000FF"/>
          <w:lang w:val="en-US"/>
        </w:rPr>
        <w:t xml:space="preserve"> </w:t>
      </w:r>
      <w:bookmarkStart w:id="342" w:name="_Toc77064930"/>
      <w:r w:rsidRPr="00693A57">
        <w:rPr>
          <w:color w:val="0000FF"/>
          <w:lang w:val="en-US"/>
        </w:rPr>
        <w:t xml:space="preserve">4A.3 </w:t>
      </w:r>
      <w:r w:rsidR="00CC28A8" w:rsidRPr="00693A57">
        <w:rPr>
          <w:color w:val="0000FF"/>
          <w:lang w:val="en-US"/>
        </w:rPr>
        <w:t>Simplified outline of this Division</w:t>
      </w:r>
      <w:bookmarkEnd w:id="342"/>
    </w:p>
    <w:p w14:paraId="0B6392FD" w14:textId="65A87AAC" w:rsidR="00CC28A8" w:rsidRPr="00693A57" w:rsidRDefault="00CC28A8" w:rsidP="00CC28A8">
      <w:pPr>
        <w:pStyle w:val="SOText"/>
        <w:rPr>
          <w:color w:val="0000FF"/>
        </w:rPr>
      </w:pPr>
      <w:r w:rsidRPr="00693A57">
        <w:rPr>
          <w:color w:val="0000FF"/>
        </w:rPr>
        <w:t xml:space="preserve">This Division sets out the disclosure options that can apply to a joint account. These disclosure options are relevant when an </w:t>
      </w:r>
      <w:r w:rsidRPr="00693A57">
        <w:rPr>
          <w:color w:val="0000FF"/>
          <w:lang w:val="en-US"/>
        </w:rPr>
        <w:t>accredited person makes a consumer data request on behalf of one joint account holder or a secondary user under Part 4 .</w:t>
      </w:r>
    </w:p>
    <w:p w14:paraId="060AA18C" w14:textId="1353342E" w:rsidR="00CC28A8" w:rsidRPr="00693A57" w:rsidRDefault="00777905" w:rsidP="00CC28A8">
      <w:pPr>
        <w:pStyle w:val="SOText"/>
        <w:rPr>
          <w:color w:val="0000FF"/>
          <w:lang w:val="en-US"/>
        </w:rPr>
      </w:pPr>
      <w:r w:rsidRPr="00693A57">
        <w:rPr>
          <w:color w:val="0000FF"/>
          <w:lang w:val="en-US"/>
        </w:rPr>
        <w:t xml:space="preserve">The default is the </w:t>
      </w:r>
      <w:r w:rsidR="00CC28A8" w:rsidRPr="00693A57">
        <w:rPr>
          <w:color w:val="0000FF"/>
          <w:lang w:val="en-US"/>
        </w:rPr>
        <w:t>pre</w:t>
      </w:r>
      <w:r w:rsidR="00CC28A8" w:rsidRPr="00693A57">
        <w:rPr>
          <w:color w:val="0000FF"/>
          <w:lang w:val="en-US"/>
        </w:rPr>
        <w:noBreakHyphen/>
        <w:t xml:space="preserve">approval option. If </w:t>
      </w:r>
      <w:r w:rsidRPr="00693A57">
        <w:rPr>
          <w:color w:val="0000FF"/>
          <w:lang w:val="en-US"/>
        </w:rPr>
        <w:t>this option applies</w:t>
      </w:r>
      <w:r w:rsidR="00CC28A8" w:rsidRPr="00693A57">
        <w:rPr>
          <w:color w:val="0000FF"/>
        </w:rPr>
        <w:t xml:space="preserve">, </w:t>
      </w:r>
      <w:r w:rsidR="00CC28A8" w:rsidRPr="00693A57">
        <w:rPr>
          <w:color w:val="0000FF"/>
          <w:lang w:val="en-US"/>
        </w:rPr>
        <w:t>CDR data relating to the joint account can be disclosed in response to the request without the approval of the other account holder</w:t>
      </w:r>
      <w:r w:rsidR="00506306" w:rsidRPr="00693A57">
        <w:rPr>
          <w:color w:val="0000FF"/>
          <w:lang w:val="en-US"/>
        </w:rPr>
        <w:t>s</w:t>
      </w:r>
      <w:r w:rsidR="00CC28A8" w:rsidRPr="00693A57">
        <w:rPr>
          <w:color w:val="0000FF"/>
          <w:lang w:val="en-US"/>
        </w:rPr>
        <w:t>, but the other account holders can revoke the pre</w:t>
      </w:r>
      <w:r w:rsidR="00CC28A8" w:rsidRPr="00693A57">
        <w:rPr>
          <w:color w:val="0000FF"/>
          <w:lang w:val="en-US"/>
        </w:rPr>
        <w:noBreakHyphen/>
        <w:t>approval in relation to a particular consumer data request at any time.</w:t>
      </w:r>
    </w:p>
    <w:p w14:paraId="37FCFA52" w14:textId="14033AEF" w:rsidR="00777905" w:rsidRPr="00693A57" w:rsidRDefault="00777905" w:rsidP="00777905">
      <w:pPr>
        <w:pStyle w:val="SOText"/>
        <w:rPr>
          <w:color w:val="0000FF"/>
          <w:lang w:val="en-US"/>
        </w:rPr>
      </w:pPr>
      <w:r w:rsidRPr="00693A57">
        <w:rPr>
          <w:color w:val="0000FF"/>
          <w:lang w:val="en-US"/>
        </w:rPr>
        <w:t>Another option is the non-disclosure option. If this option applies, CDR data relating to the joint account cannot be disclosed under these rules.</w:t>
      </w:r>
    </w:p>
    <w:p w14:paraId="60E41CB9" w14:textId="0E6E50DB" w:rsidR="00CC28A8" w:rsidRPr="00693A57" w:rsidRDefault="00777905" w:rsidP="00CC28A8">
      <w:pPr>
        <w:pStyle w:val="SOText"/>
        <w:rPr>
          <w:color w:val="0000FF"/>
          <w:lang w:val="en-US"/>
        </w:rPr>
      </w:pPr>
      <w:r w:rsidRPr="00693A57">
        <w:rPr>
          <w:color w:val="0000FF"/>
          <w:lang w:val="en-US"/>
        </w:rPr>
        <w:t xml:space="preserve">The third option is the </w:t>
      </w:r>
      <w:r w:rsidR="00CC28A8" w:rsidRPr="00693A57">
        <w:rPr>
          <w:color w:val="0000FF"/>
          <w:lang w:val="en-US"/>
        </w:rPr>
        <w:t>co</w:t>
      </w:r>
      <w:r w:rsidR="00CC28A8" w:rsidRPr="00693A57">
        <w:rPr>
          <w:color w:val="0000FF"/>
          <w:lang w:val="en-US"/>
        </w:rPr>
        <w:noBreakHyphen/>
        <w:t>approval option. If</w:t>
      </w:r>
      <w:r w:rsidRPr="00693A57">
        <w:rPr>
          <w:color w:val="0000FF"/>
          <w:lang w:val="en-US"/>
        </w:rPr>
        <w:t xml:space="preserve"> this option applies</w:t>
      </w:r>
      <w:r w:rsidR="00CC28A8" w:rsidRPr="00693A57">
        <w:rPr>
          <w:color w:val="0000FF"/>
          <w:lang w:val="en-US"/>
        </w:rPr>
        <w:t>, CDR data relating to the joint account can be disclosed under these rules only with the approval of the all the account holders.</w:t>
      </w:r>
    </w:p>
    <w:p w14:paraId="2A2ECD22" w14:textId="518E012E" w:rsidR="00CC28A8" w:rsidRPr="00693A57" w:rsidRDefault="00CC28A8" w:rsidP="00CC28A8">
      <w:pPr>
        <w:pStyle w:val="SOText"/>
        <w:rPr>
          <w:color w:val="0000FF"/>
          <w:lang w:val="en-US"/>
        </w:rPr>
      </w:pPr>
      <w:r w:rsidRPr="00693A57">
        <w:rPr>
          <w:color w:val="0000FF"/>
          <w:lang w:val="en-US"/>
        </w:rPr>
        <w:t xml:space="preserve">Data holders must offer </w:t>
      </w:r>
      <w:r w:rsidR="00777905" w:rsidRPr="00693A57">
        <w:rPr>
          <w:color w:val="0000FF"/>
          <w:lang w:val="en-US"/>
        </w:rPr>
        <w:t xml:space="preserve">the </w:t>
      </w:r>
      <w:r w:rsidRPr="00693A57">
        <w:rPr>
          <w:color w:val="0000FF"/>
          <w:lang w:val="en-US"/>
        </w:rPr>
        <w:t>pre</w:t>
      </w:r>
      <w:r w:rsidRPr="00693A57">
        <w:rPr>
          <w:color w:val="0000FF"/>
          <w:lang w:val="en-US"/>
        </w:rPr>
        <w:noBreakHyphen/>
        <w:t>approval option</w:t>
      </w:r>
      <w:r w:rsidR="002373B6" w:rsidRPr="00693A57">
        <w:rPr>
          <w:color w:val="0000FF"/>
          <w:lang w:val="en-US"/>
        </w:rPr>
        <w:t xml:space="preserve"> and non-approval option</w:t>
      </w:r>
      <w:r w:rsidRPr="00693A57">
        <w:rPr>
          <w:color w:val="0000FF"/>
          <w:lang w:val="en-US"/>
        </w:rPr>
        <w:t xml:space="preserve"> on joint accounts, and may offer </w:t>
      </w:r>
      <w:r w:rsidR="00777905" w:rsidRPr="00693A57">
        <w:rPr>
          <w:color w:val="0000FF"/>
          <w:lang w:val="en-US"/>
        </w:rPr>
        <w:t>the c</w:t>
      </w:r>
      <w:r w:rsidR="002373B6" w:rsidRPr="00693A57">
        <w:rPr>
          <w:color w:val="0000FF"/>
          <w:lang w:val="en-US"/>
        </w:rPr>
        <w:t>o</w:t>
      </w:r>
      <w:r w:rsidR="002373B6" w:rsidRPr="00693A57">
        <w:rPr>
          <w:color w:val="0000FF"/>
          <w:lang w:val="en-US"/>
        </w:rPr>
        <w:noBreakHyphen/>
        <w:t>approval option</w:t>
      </w:r>
      <w:r w:rsidR="00777905" w:rsidRPr="00693A57">
        <w:rPr>
          <w:color w:val="0000FF"/>
          <w:lang w:val="en-US"/>
        </w:rPr>
        <w:t>.</w:t>
      </w:r>
    </w:p>
    <w:p w14:paraId="6971C0D9" w14:textId="218C4884" w:rsidR="00175787" w:rsidRPr="00693A57" w:rsidRDefault="00175787" w:rsidP="00175787">
      <w:pPr>
        <w:pStyle w:val="SOText"/>
        <w:rPr>
          <w:color w:val="0000FF"/>
          <w:lang w:val="en-US"/>
        </w:rPr>
      </w:pPr>
      <w:r w:rsidRPr="00693A57">
        <w:rPr>
          <w:color w:val="0000FF"/>
          <w:lang w:val="en-US"/>
        </w:rPr>
        <w:t>The process for changing the disclosure option is set out in this Division.</w:t>
      </w:r>
    </w:p>
    <w:p w14:paraId="44FA44DE" w14:textId="4BD450BD" w:rsidR="00CC28A8" w:rsidRPr="00693A57" w:rsidRDefault="00CC28A8" w:rsidP="00CC28A8">
      <w:pPr>
        <w:pStyle w:val="SOText"/>
        <w:rPr>
          <w:color w:val="0000FF"/>
        </w:rPr>
      </w:pPr>
      <w:r w:rsidRPr="00693A57">
        <w:rPr>
          <w:color w:val="0000FF"/>
        </w:rPr>
        <w:t xml:space="preserve">For each joint account, a data holder must offer a </w:t>
      </w:r>
      <w:r w:rsidR="00E85D43" w:rsidRPr="00693A57">
        <w:rPr>
          <w:color w:val="0000FF"/>
        </w:rPr>
        <w:t>disclosure option management service</w:t>
      </w:r>
      <w:r w:rsidRPr="00693A57">
        <w:rPr>
          <w:color w:val="0000FF"/>
        </w:rPr>
        <w:t xml:space="preserve"> that can be used by joint account holders to select and manage these disclosure options.</w:t>
      </w:r>
    </w:p>
    <w:p w14:paraId="5030C586" w14:textId="5740C452" w:rsidR="00CC28A8" w:rsidRPr="00693A57" w:rsidRDefault="00832060" w:rsidP="00AA7F0D">
      <w:pPr>
        <w:pStyle w:val="ActHead5"/>
        <w:rPr>
          <w:color w:val="0000FF"/>
          <w:lang w:val="en-US"/>
        </w:rPr>
      </w:pPr>
      <w:r w:rsidRPr="00693A57">
        <w:rPr>
          <w:color w:val="0000FF"/>
          <w:lang w:val="en-US"/>
        </w:rPr>
        <w:t xml:space="preserve"> </w:t>
      </w:r>
      <w:bookmarkStart w:id="343" w:name="_Toc77064931"/>
      <w:r w:rsidRPr="00693A57">
        <w:rPr>
          <w:color w:val="0000FF"/>
          <w:lang w:val="en-US"/>
        </w:rPr>
        <w:t xml:space="preserve">4A.4 </w:t>
      </w:r>
      <w:r w:rsidR="00CC28A8" w:rsidRPr="00693A57">
        <w:rPr>
          <w:color w:val="0000FF"/>
          <w:lang w:val="en-US"/>
        </w:rPr>
        <w:t xml:space="preserve">Disclosure options </w:t>
      </w:r>
      <w:r w:rsidR="00190FE5" w:rsidRPr="00693A57">
        <w:rPr>
          <w:color w:val="0000FF"/>
          <w:lang w:val="en-US"/>
        </w:rPr>
        <w:t xml:space="preserve">for </w:t>
      </w:r>
      <w:r w:rsidR="00CC28A8" w:rsidRPr="00693A57">
        <w:rPr>
          <w:color w:val="0000FF"/>
          <w:lang w:val="en-US"/>
        </w:rPr>
        <w:t>joint accounts</w:t>
      </w:r>
      <w:bookmarkEnd w:id="343"/>
    </w:p>
    <w:p w14:paraId="50796552" w14:textId="31B44FB5" w:rsidR="002373B6" w:rsidRPr="00693A57" w:rsidRDefault="005A712F" w:rsidP="002373B6">
      <w:pPr>
        <w:pStyle w:val="SubsectionHead"/>
        <w:rPr>
          <w:color w:val="0000FF"/>
        </w:rPr>
      </w:pPr>
      <w:r w:rsidRPr="00693A57">
        <w:rPr>
          <w:color w:val="0000FF"/>
        </w:rPr>
        <w:t xml:space="preserve">Disclosure </w:t>
      </w:r>
      <w:r w:rsidR="002373B6" w:rsidRPr="00693A57">
        <w:rPr>
          <w:color w:val="0000FF"/>
        </w:rPr>
        <w:t>option</w:t>
      </w:r>
      <w:r w:rsidRPr="00693A57">
        <w:rPr>
          <w:color w:val="0000FF"/>
        </w:rPr>
        <w:t>s</w:t>
      </w:r>
    </w:p>
    <w:p w14:paraId="53B3F195" w14:textId="2B2A52FB" w:rsidR="007F3929" w:rsidRPr="00693A57" w:rsidRDefault="007F3929" w:rsidP="007F3929">
      <w:pPr>
        <w:pStyle w:val="subsection"/>
        <w:rPr>
          <w:color w:val="0000FF"/>
        </w:rPr>
      </w:pPr>
      <w:r w:rsidRPr="00693A57">
        <w:rPr>
          <w:color w:val="0000FF"/>
          <w:lang w:val="en-US"/>
        </w:rPr>
        <w:tab/>
      </w:r>
      <w:r w:rsidR="00832060" w:rsidRPr="00693A57">
        <w:rPr>
          <w:color w:val="0000FF"/>
          <w:lang w:val="en-US"/>
        </w:rPr>
        <w:t>(1)</w:t>
      </w:r>
      <w:r w:rsidRPr="00693A57">
        <w:rPr>
          <w:color w:val="0000FF"/>
          <w:lang w:val="en-US"/>
        </w:rPr>
        <w:tab/>
      </w:r>
      <w:r w:rsidR="00C826C8" w:rsidRPr="00693A57">
        <w:rPr>
          <w:color w:val="0000FF"/>
          <w:lang w:val="en-US"/>
        </w:rPr>
        <w:t>D</w:t>
      </w:r>
      <w:r w:rsidRPr="00693A57">
        <w:rPr>
          <w:color w:val="0000FF"/>
          <w:lang w:val="en-US"/>
        </w:rPr>
        <w:t xml:space="preserve">isclosure of CDR data relating to a joint account </w:t>
      </w:r>
      <w:r w:rsidR="00C826C8" w:rsidRPr="00693A57">
        <w:rPr>
          <w:color w:val="0000FF"/>
          <w:lang w:val="en-US"/>
        </w:rPr>
        <w:t xml:space="preserve">may be authorised </w:t>
      </w:r>
      <w:r w:rsidRPr="00693A57">
        <w:rPr>
          <w:color w:val="0000FF"/>
          <w:lang w:val="en-US"/>
        </w:rPr>
        <w:t xml:space="preserve"> </w:t>
      </w:r>
      <w:r w:rsidR="00C826C8" w:rsidRPr="00693A57">
        <w:rPr>
          <w:color w:val="0000FF"/>
          <w:lang w:val="en-US"/>
        </w:rPr>
        <w:t xml:space="preserve">only as permitted by </w:t>
      </w:r>
      <w:r w:rsidRPr="00693A57">
        <w:rPr>
          <w:color w:val="0000FF"/>
          <w:lang w:val="en-US"/>
        </w:rPr>
        <w:t xml:space="preserve">the </w:t>
      </w:r>
      <w:r w:rsidRPr="00693A57">
        <w:rPr>
          <w:b/>
          <w:i/>
          <w:color w:val="0000FF"/>
          <w:lang w:val="en-US"/>
        </w:rPr>
        <w:t>disclosure option</w:t>
      </w:r>
      <w:r w:rsidRPr="00693A57">
        <w:rPr>
          <w:color w:val="0000FF"/>
        </w:rPr>
        <w:t xml:space="preserve"> that applies</w:t>
      </w:r>
      <w:r w:rsidR="00190FE5" w:rsidRPr="00693A57">
        <w:rPr>
          <w:color w:val="0000FF"/>
        </w:rPr>
        <w:t xml:space="preserve"> to the joint accou</w:t>
      </w:r>
      <w:r w:rsidR="00506306" w:rsidRPr="00693A57">
        <w:rPr>
          <w:color w:val="0000FF"/>
        </w:rPr>
        <w:t>n</w:t>
      </w:r>
      <w:r w:rsidR="00190FE5" w:rsidRPr="00693A57">
        <w:rPr>
          <w:color w:val="0000FF"/>
        </w:rPr>
        <w:t>t</w:t>
      </w:r>
      <w:r w:rsidR="00C826C8" w:rsidRPr="00693A57">
        <w:rPr>
          <w:color w:val="0000FF"/>
        </w:rPr>
        <w:t xml:space="preserve">.  This may </w:t>
      </w:r>
      <w:r w:rsidRPr="00693A57">
        <w:rPr>
          <w:color w:val="0000FF"/>
        </w:rPr>
        <w:t>be</w:t>
      </w:r>
      <w:r w:rsidR="00175787" w:rsidRPr="00693A57">
        <w:rPr>
          <w:color w:val="0000FF"/>
        </w:rPr>
        <w:t xml:space="preserve"> any of the following</w:t>
      </w:r>
      <w:r w:rsidRPr="00693A57">
        <w:rPr>
          <w:color w:val="0000FF"/>
        </w:rPr>
        <w:t>:</w:t>
      </w:r>
    </w:p>
    <w:p w14:paraId="2060ED96" w14:textId="60AECE90" w:rsidR="007F3929" w:rsidRPr="00693A57" w:rsidRDefault="007F3929" w:rsidP="007F3929">
      <w:pPr>
        <w:pStyle w:val="paragraph"/>
        <w:rPr>
          <w:color w:val="0000FF"/>
        </w:rPr>
      </w:pPr>
      <w:r w:rsidRPr="00693A57">
        <w:rPr>
          <w:color w:val="0000FF"/>
        </w:rPr>
        <w:tab/>
      </w:r>
      <w:r w:rsidR="00832060" w:rsidRPr="00693A57">
        <w:rPr>
          <w:color w:val="0000FF"/>
        </w:rPr>
        <w:t>(a)</w:t>
      </w:r>
      <w:r w:rsidRPr="00693A57">
        <w:rPr>
          <w:color w:val="0000FF"/>
        </w:rPr>
        <w:tab/>
        <w:t xml:space="preserve">the </w:t>
      </w:r>
      <w:r w:rsidRPr="00693A57">
        <w:rPr>
          <w:b/>
          <w:i/>
          <w:color w:val="0000FF"/>
        </w:rPr>
        <w:t>pre-approval option</w:t>
      </w:r>
      <w:r w:rsidR="002C49A4" w:rsidRPr="00693A57">
        <w:rPr>
          <w:color w:val="0000FF"/>
        </w:rPr>
        <w:t xml:space="preserve">, under which CDR data relating to the joint account may be disclosed in response to a valid </w:t>
      </w:r>
      <w:r w:rsidR="00296C9B" w:rsidRPr="00693A57">
        <w:rPr>
          <w:color w:val="0000FF"/>
        </w:rPr>
        <w:t xml:space="preserve">consumer data </w:t>
      </w:r>
      <w:r w:rsidR="002C49A4" w:rsidRPr="00693A57">
        <w:rPr>
          <w:color w:val="0000FF"/>
        </w:rPr>
        <w:t>request by one joint account holder</w:t>
      </w:r>
      <w:r w:rsidR="002373B6" w:rsidRPr="00693A57">
        <w:rPr>
          <w:color w:val="0000FF"/>
        </w:rPr>
        <w:t xml:space="preserve"> on the authorisation of that joint account holder</w:t>
      </w:r>
      <w:r w:rsidR="002C49A4" w:rsidRPr="00693A57">
        <w:rPr>
          <w:color w:val="0000FF"/>
        </w:rPr>
        <w:t xml:space="preserve"> without </w:t>
      </w:r>
      <w:r w:rsidR="00506306" w:rsidRPr="00693A57">
        <w:rPr>
          <w:color w:val="0000FF"/>
        </w:rPr>
        <w:t>the approval of</w:t>
      </w:r>
      <w:r w:rsidR="007D0835" w:rsidRPr="00693A57">
        <w:rPr>
          <w:color w:val="0000FF"/>
        </w:rPr>
        <w:t xml:space="preserve"> other</w:t>
      </w:r>
      <w:r w:rsidR="00506306" w:rsidRPr="00693A57">
        <w:rPr>
          <w:color w:val="0000FF"/>
        </w:rPr>
        <w:t xml:space="preserve"> </w:t>
      </w:r>
      <w:r w:rsidR="002C49A4" w:rsidRPr="00693A57">
        <w:rPr>
          <w:color w:val="0000FF"/>
        </w:rPr>
        <w:t>account holders;</w:t>
      </w:r>
    </w:p>
    <w:p w14:paraId="799D9F22" w14:textId="2F1685BC" w:rsidR="002373B6" w:rsidRPr="00693A57" w:rsidRDefault="007F3929" w:rsidP="007F3929">
      <w:pPr>
        <w:pStyle w:val="paragraph"/>
        <w:rPr>
          <w:color w:val="0000FF"/>
        </w:rPr>
      </w:pPr>
      <w:r w:rsidRPr="00693A57">
        <w:rPr>
          <w:color w:val="0000FF"/>
        </w:rPr>
        <w:tab/>
      </w:r>
      <w:r w:rsidR="00832060" w:rsidRPr="00693A57">
        <w:rPr>
          <w:color w:val="0000FF"/>
        </w:rPr>
        <w:t>(b)</w:t>
      </w:r>
      <w:r w:rsidRPr="00693A57">
        <w:rPr>
          <w:color w:val="0000FF"/>
        </w:rPr>
        <w:tab/>
        <w:t xml:space="preserve">the </w:t>
      </w:r>
      <w:r w:rsidRPr="00693A57">
        <w:rPr>
          <w:b/>
          <w:i/>
          <w:color w:val="0000FF"/>
        </w:rPr>
        <w:t>co-approval option</w:t>
      </w:r>
      <w:r w:rsidR="002C49A4" w:rsidRPr="00693A57">
        <w:rPr>
          <w:color w:val="0000FF"/>
        </w:rPr>
        <w:t xml:space="preserve">, under which CDR data relating to the joint account may be disclosed in response to a valid </w:t>
      </w:r>
      <w:r w:rsidR="00506306" w:rsidRPr="00693A57">
        <w:rPr>
          <w:color w:val="0000FF"/>
        </w:rPr>
        <w:t>c</w:t>
      </w:r>
      <w:r w:rsidR="00296C9B" w:rsidRPr="00693A57">
        <w:rPr>
          <w:color w:val="0000FF"/>
        </w:rPr>
        <w:t xml:space="preserve">onsumer data </w:t>
      </w:r>
      <w:r w:rsidR="002C49A4" w:rsidRPr="00693A57">
        <w:rPr>
          <w:color w:val="0000FF"/>
        </w:rPr>
        <w:t>request by one joint account holder only after</w:t>
      </w:r>
      <w:r w:rsidR="002373B6" w:rsidRPr="00693A57">
        <w:rPr>
          <w:color w:val="0000FF"/>
        </w:rPr>
        <w:t>:</w:t>
      </w:r>
    </w:p>
    <w:p w14:paraId="760DF5B3" w14:textId="584200FB" w:rsidR="002373B6" w:rsidRPr="00693A57" w:rsidRDefault="002373B6" w:rsidP="002373B6">
      <w:pPr>
        <w:pStyle w:val="paragraphsub"/>
        <w:rPr>
          <w:color w:val="0000FF"/>
        </w:rPr>
      </w:pPr>
      <w:r w:rsidRPr="00693A57">
        <w:rPr>
          <w:color w:val="0000FF"/>
        </w:rPr>
        <w:tab/>
        <w:t>(i)</w:t>
      </w:r>
      <w:r w:rsidRPr="00693A57">
        <w:rPr>
          <w:color w:val="0000FF"/>
        </w:rPr>
        <w:tab/>
        <w:t>that joint account holder has authorised the disclosure; and</w:t>
      </w:r>
    </w:p>
    <w:p w14:paraId="28CF3D9E" w14:textId="7DC74118" w:rsidR="007F3929" w:rsidRPr="00693A57" w:rsidRDefault="002373B6" w:rsidP="002373B6">
      <w:pPr>
        <w:pStyle w:val="paragraphsub"/>
        <w:rPr>
          <w:color w:val="0000FF"/>
        </w:rPr>
      </w:pPr>
      <w:r w:rsidRPr="00693A57">
        <w:rPr>
          <w:color w:val="0000FF"/>
        </w:rPr>
        <w:tab/>
        <w:t>(ii)</w:t>
      </w:r>
      <w:r w:rsidRPr="00693A57">
        <w:rPr>
          <w:color w:val="0000FF"/>
        </w:rPr>
        <w:tab/>
        <w:t xml:space="preserve">each of the other joint account </w:t>
      </w:r>
      <w:r w:rsidR="002C49A4" w:rsidRPr="00693A57">
        <w:rPr>
          <w:color w:val="0000FF"/>
        </w:rPr>
        <w:t xml:space="preserve">holders has </w:t>
      </w:r>
      <w:r w:rsidRPr="00693A57">
        <w:rPr>
          <w:color w:val="0000FF"/>
        </w:rPr>
        <w:t xml:space="preserve">approved the </w:t>
      </w:r>
      <w:r w:rsidR="00506306" w:rsidRPr="00693A57">
        <w:rPr>
          <w:color w:val="0000FF"/>
          <w:lang w:val="en-US"/>
        </w:rPr>
        <w:t>disclosure</w:t>
      </w:r>
      <w:r w:rsidR="002C49A4" w:rsidRPr="00693A57">
        <w:rPr>
          <w:color w:val="0000FF"/>
        </w:rPr>
        <w:t xml:space="preserve">; </w:t>
      </w:r>
    </w:p>
    <w:p w14:paraId="64FF580B" w14:textId="2671C8F3" w:rsidR="007F3929" w:rsidRPr="00693A57" w:rsidRDefault="007F3929" w:rsidP="007F3929">
      <w:pPr>
        <w:pStyle w:val="paragraph"/>
        <w:rPr>
          <w:color w:val="0000FF"/>
        </w:rPr>
      </w:pPr>
      <w:r w:rsidRPr="00693A57">
        <w:rPr>
          <w:color w:val="0000FF"/>
        </w:rPr>
        <w:lastRenderedPageBreak/>
        <w:tab/>
      </w:r>
      <w:r w:rsidR="00832060" w:rsidRPr="00693A57">
        <w:rPr>
          <w:color w:val="0000FF"/>
        </w:rPr>
        <w:t>(c)</w:t>
      </w:r>
      <w:r w:rsidRPr="00693A57">
        <w:rPr>
          <w:color w:val="0000FF"/>
        </w:rPr>
        <w:tab/>
        <w:t xml:space="preserve">the </w:t>
      </w:r>
      <w:r w:rsidRPr="00693A57">
        <w:rPr>
          <w:b/>
          <w:i/>
          <w:color w:val="0000FF"/>
        </w:rPr>
        <w:t>non-disclosure option</w:t>
      </w:r>
      <w:r w:rsidR="002C49A4" w:rsidRPr="00693A57">
        <w:rPr>
          <w:color w:val="0000FF"/>
        </w:rPr>
        <w:t>, under which CDR data relating to the joint account may not be disclosed in response to a valid</w:t>
      </w:r>
      <w:r w:rsidR="00612DF6" w:rsidRPr="00693A57">
        <w:rPr>
          <w:color w:val="0000FF"/>
        </w:rPr>
        <w:t xml:space="preserve"> c</w:t>
      </w:r>
      <w:r w:rsidR="00296C9B" w:rsidRPr="00693A57">
        <w:rPr>
          <w:color w:val="0000FF"/>
        </w:rPr>
        <w:t xml:space="preserve">onsumer data </w:t>
      </w:r>
      <w:r w:rsidR="002C49A4" w:rsidRPr="00693A57">
        <w:rPr>
          <w:color w:val="0000FF"/>
        </w:rPr>
        <w:t>request by a joint account holder.</w:t>
      </w:r>
    </w:p>
    <w:p w14:paraId="4F536CEA" w14:textId="1505516E" w:rsidR="00673DF3" w:rsidRPr="00693A57" w:rsidRDefault="00673DF3" w:rsidP="00673DF3">
      <w:pPr>
        <w:pStyle w:val="subsection"/>
        <w:rPr>
          <w:color w:val="0000FF"/>
        </w:rPr>
      </w:pPr>
      <w:r w:rsidRPr="00693A57">
        <w:rPr>
          <w:color w:val="0000FF"/>
        </w:rPr>
        <w:tab/>
      </w:r>
      <w:r w:rsidR="00832060" w:rsidRPr="00693A57">
        <w:rPr>
          <w:color w:val="0000FF"/>
        </w:rPr>
        <w:t>(2)</w:t>
      </w:r>
      <w:r w:rsidRPr="00693A57">
        <w:rPr>
          <w:color w:val="0000FF"/>
        </w:rPr>
        <w:tab/>
        <w:t xml:space="preserve">The data holder must provide for the pre-approval and non-disclosure options to be available for a joint account </w:t>
      </w:r>
    </w:p>
    <w:p w14:paraId="004C2DF1" w14:textId="41107BFF" w:rsidR="002373B6" w:rsidRPr="00693A57" w:rsidRDefault="00624C46" w:rsidP="00624C46">
      <w:pPr>
        <w:pStyle w:val="subsection"/>
        <w:rPr>
          <w:color w:val="0000FF"/>
        </w:rPr>
      </w:pPr>
      <w:r w:rsidRPr="00693A57">
        <w:rPr>
          <w:color w:val="0000FF"/>
        </w:rPr>
        <w:tab/>
      </w:r>
      <w:r w:rsidR="00832060" w:rsidRPr="00693A57">
        <w:rPr>
          <w:color w:val="0000FF"/>
        </w:rPr>
        <w:t>(3)</w:t>
      </w:r>
      <w:r w:rsidRPr="00693A57">
        <w:rPr>
          <w:color w:val="0000FF"/>
        </w:rPr>
        <w:tab/>
        <w:t>The data holder may provide for the co-approval option to be available for a joint account</w:t>
      </w:r>
      <w:r w:rsidR="002373B6" w:rsidRPr="00693A57">
        <w:rPr>
          <w:color w:val="0000FF"/>
        </w:rPr>
        <w:t>.</w:t>
      </w:r>
    </w:p>
    <w:p w14:paraId="5485596A" w14:textId="746FDC81" w:rsidR="00E85D43" w:rsidRPr="00693A57" w:rsidRDefault="00E85D43" w:rsidP="00E85D43">
      <w:pPr>
        <w:pStyle w:val="subsection"/>
        <w:rPr>
          <w:color w:val="0000FF"/>
          <w:lang w:val="en-US"/>
        </w:rPr>
      </w:pPr>
      <w:r w:rsidRPr="00693A57">
        <w:rPr>
          <w:color w:val="0000FF"/>
          <w:lang w:val="en-US"/>
        </w:rPr>
        <w:tab/>
      </w:r>
      <w:r w:rsidR="00832060" w:rsidRPr="00693A57">
        <w:rPr>
          <w:color w:val="0000FF"/>
          <w:lang w:val="en-US"/>
        </w:rPr>
        <w:t>(4)</w:t>
      </w:r>
      <w:r w:rsidRPr="00693A57">
        <w:rPr>
          <w:color w:val="0000FF"/>
          <w:lang w:val="en-US"/>
        </w:rPr>
        <w:tab/>
        <w:t xml:space="preserve">For the purposes of rule </w:t>
      </w:r>
      <w:r w:rsidR="00832060" w:rsidRPr="00693A57">
        <w:rPr>
          <w:color w:val="0000FF"/>
          <w:lang w:val="en-US"/>
        </w:rPr>
        <w:t xml:space="preserve"> 4A.</w:t>
      </w:r>
      <w:r w:rsidR="000B1D10" w:rsidRPr="00693A57">
        <w:rPr>
          <w:color w:val="0000FF"/>
          <w:lang w:val="en-US"/>
        </w:rPr>
        <w:t>13</w:t>
      </w:r>
      <w:r w:rsidRPr="00693A57">
        <w:rPr>
          <w:color w:val="0000FF"/>
          <w:lang w:val="en-US"/>
        </w:rPr>
        <w:t>, where the pre-approval option applies to a joint account and a joint account holder authorises the disclosure of CDR data that relates to the account in response to a valid consumer data request:</w:t>
      </w:r>
    </w:p>
    <w:p w14:paraId="1AC4146C" w14:textId="4642CBE9" w:rsidR="00E85D43" w:rsidRPr="00693A57" w:rsidRDefault="00E85D43" w:rsidP="00E85D43">
      <w:pPr>
        <w:pStyle w:val="paragraph"/>
        <w:rPr>
          <w:color w:val="0000FF"/>
          <w:lang w:val="en-US"/>
        </w:rPr>
      </w:pPr>
      <w:r w:rsidRPr="00693A57">
        <w:rPr>
          <w:color w:val="0000FF"/>
          <w:lang w:val="en-US"/>
        </w:rPr>
        <w:tab/>
        <w:t>(</w:t>
      </w:r>
      <w:r w:rsidR="00612DF6" w:rsidRPr="00693A57">
        <w:rPr>
          <w:color w:val="0000FF"/>
          <w:lang w:val="en-US"/>
        </w:rPr>
        <w:t>a</w:t>
      </w:r>
      <w:r w:rsidRPr="00693A57">
        <w:rPr>
          <w:color w:val="0000FF"/>
          <w:lang w:val="en-US"/>
        </w:rPr>
        <w:t>)</w:t>
      </w:r>
      <w:r w:rsidRPr="00693A57">
        <w:rPr>
          <w:color w:val="0000FF"/>
          <w:lang w:val="en-US"/>
        </w:rPr>
        <w:tab/>
        <w:t xml:space="preserve">each relevant account holder is taken to have approved the </w:t>
      </w:r>
      <w:r w:rsidR="00506306" w:rsidRPr="00693A57">
        <w:rPr>
          <w:color w:val="0000FF"/>
          <w:lang w:val="en-US"/>
        </w:rPr>
        <w:t>disclosure</w:t>
      </w:r>
      <w:r w:rsidRPr="00693A57">
        <w:rPr>
          <w:color w:val="0000FF"/>
          <w:lang w:val="en-US"/>
        </w:rPr>
        <w:t>; and</w:t>
      </w:r>
    </w:p>
    <w:p w14:paraId="6F502FB3" w14:textId="7974AAC7" w:rsidR="00E85D43" w:rsidRPr="00693A57" w:rsidRDefault="00612DF6" w:rsidP="00E85D43">
      <w:pPr>
        <w:pStyle w:val="paragraph"/>
        <w:rPr>
          <w:color w:val="0000FF"/>
          <w:lang w:val="en-US"/>
        </w:rPr>
      </w:pPr>
      <w:r w:rsidRPr="00693A57">
        <w:rPr>
          <w:color w:val="0000FF"/>
          <w:lang w:val="en-US"/>
        </w:rPr>
        <w:tab/>
        <w:t>(b</w:t>
      </w:r>
      <w:r w:rsidR="00E85D43" w:rsidRPr="00693A57">
        <w:rPr>
          <w:color w:val="0000FF"/>
          <w:lang w:val="en-US"/>
        </w:rPr>
        <w:t>)</w:t>
      </w:r>
      <w:r w:rsidR="00E85D43" w:rsidRPr="00693A57">
        <w:rPr>
          <w:color w:val="0000FF"/>
          <w:lang w:val="en-US"/>
        </w:rPr>
        <w:tab/>
        <w:t>if an approval is withdrawn</w:t>
      </w:r>
      <w:r w:rsidRPr="00693A57">
        <w:rPr>
          <w:color w:val="0000FF"/>
          <w:lang w:val="en-US"/>
        </w:rPr>
        <w:t xml:space="preserve">, the CDR data </w:t>
      </w:r>
      <w:r w:rsidRPr="00693A57">
        <w:rPr>
          <w:color w:val="0000FF"/>
        </w:rPr>
        <w:t>relating to the joint account may not be disclosed despite the authorisation</w:t>
      </w:r>
      <w:r w:rsidR="00E85D43" w:rsidRPr="00693A57">
        <w:rPr>
          <w:color w:val="0000FF"/>
          <w:lang w:val="en-US"/>
        </w:rPr>
        <w:t>.</w:t>
      </w:r>
    </w:p>
    <w:p w14:paraId="7862C122" w14:textId="67811C32" w:rsidR="00624C46" w:rsidRPr="00693A57" w:rsidRDefault="002373B6" w:rsidP="002373B6">
      <w:pPr>
        <w:pStyle w:val="SubsectionHead"/>
        <w:rPr>
          <w:color w:val="0000FF"/>
        </w:rPr>
      </w:pPr>
      <w:r w:rsidRPr="00693A57">
        <w:rPr>
          <w:color w:val="0000FF"/>
        </w:rPr>
        <w:t>Default option</w:t>
      </w:r>
    </w:p>
    <w:p w14:paraId="4BDCB6C5" w14:textId="4F19FB77" w:rsidR="00E85D43" w:rsidRPr="00693A57" w:rsidRDefault="007F3929" w:rsidP="007F3929">
      <w:pPr>
        <w:pStyle w:val="subsection"/>
        <w:rPr>
          <w:color w:val="0000FF"/>
          <w:lang w:val="en-US"/>
        </w:rPr>
      </w:pPr>
      <w:r w:rsidRPr="00693A57">
        <w:rPr>
          <w:color w:val="0000FF"/>
          <w:lang w:val="en-US"/>
        </w:rPr>
        <w:tab/>
      </w:r>
      <w:r w:rsidR="00832060" w:rsidRPr="00693A57">
        <w:rPr>
          <w:color w:val="0000FF"/>
          <w:lang w:val="en-US"/>
        </w:rPr>
        <w:t>(5)</w:t>
      </w:r>
      <w:r w:rsidRPr="00693A57">
        <w:rPr>
          <w:color w:val="0000FF"/>
          <w:lang w:val="en-US"/>
        </w:rPr>
        <w:tab/>
      </w:r>
      <w:r w:rsidR="00E85D43" w:rsidRPr="00693A57">
        <w:rPr>
          <w:color w:val="0000FF"/>
          <w:lang w:val="en-US"/>
        </w:rPr>
        <w:t xml:space="preserve">Unless a sector </w:t>
      </w:r>
      <w:r w:rsidR="00612DF6" w:rsidRPr="00693A57">
        <w:rPr>
          <w:color w:val="0000FF"/>
          <w:lang w:val="en-US"/>
        </w:rPr>
        <w:t xml:space="preserve">Schedule provides otherwise, </w:t>
      </w:r>
      <w:r w:rsidR="00E85D43" w:rsidRPr="00693A57">
        <w:rPr>
          <w:color w:val="0000FF"/>
          <w:lang w:val="en-US"/>
        </w:rPr>
        <w:t xml:space="preserve">the </w:t>
      </w:r>
      <w:r w:rsidRPr="00693A57">
        <w:rPr>
          <w:color w:val="0000FF"/>
          <w:lang w:val="en-US"/>
        </w:rPr>
        <w:t>pr</w:t>
      </w:r>
      <w:r w:rsidR="00E33E5B" w:rsidRPr="00693A57">
        <w:rPr>
          <w:color w:val="0000FF"/>
          <w:lang w:val="en-US"/>
        </w:rPr>
        <w:t>e-approval option app</w:t>
      </w:r>
      <w:r w:rsidRPr="00693A57">
        <w:rPr>
          <w:color w:val="0000FF"/>
          <w:lang w:val="en-US"/>
        </w:rPr>
        <w:t xml:space="preserve">lies to a joint account </w:t>
      </w:r>
      <w:r w:rsidR="00E85D43" w:rsidRPr="00693A57">
        <w:rPr>
          <w:color w:val="0000FF"/>
          <w:lang w:val="en-US"/>
        </w:rPr>
        <w:t>by default.</w:t>
      </w:r>
    </w:p>
    <w:p w14:paraId="40B97D9E" w14:textId="63A9C92A" w:rsidR="00296C9B" w:rsidRPr="00693A57" w:rsidRDefault="00296C9B" w:rsidP="00E85D43">
      <w:pPr>
        <w:pStyle w:val="subsection"/>
        <w:rPr>
          <w:color w:val="0000FF"/>
          <w:lang w:val="en-US"/>
        </w:rPr>
      </w:pPr>
      <w:r w:rsidRPr="00693A57">
        <w:rPr>
          <w:color w:val="0000FF"/>
          <w:lang w:val="en-US"/>
        </w:rPr>
        <w:tab/>
      </w:r>
      <w:r w:rsidR="00832060" w:rsidRPr="00693A57">
        <w:rPr>
          <w:color w:val="0000FF"/>
          <w:lang w:val="en-US"/>
        </w:rPr>
        <w:t>(6)</w:t>
      </w:r>
      <w:r w:rsidRPr="00693A57">
        <w:rPr>
          <w:color w:val="0000FF"/>
          <w:lang w:val="en-US"/>
        </w:rPr>
        <w:tab/>
      </w:r>
      <w:r w:rsidR="00E85D43" w:rsidRPr="00693A57">
        <w:rPr>
          <w:color w:val="0000FF"/>
          <w:lang w:val="en-US"/>
        </w:rPr>
        <w:t>The disclosure option that applies to a joint account may be changed in accordan</w:t>
      </w:r>
      <w:r w:rsidR="00612DF6" w:rsidRPr="00693A57">
        <w:rPr>
          <w:color w:val="0000FF"/>
          <w:lang w:val="en-US"/>
        </w:rPr>
        <w:t>c</w:t>
      </w:r>
      <w:r w:rsidR="00E85D43" w:rsidRPr="00693A57">
        <w:rPr>
          <w:color w:val="0000FF"/>
          <w:lang w:val="en-US"/>
        </w:rPr>
        <w:t xml:space="preserve">e with rule </w:t>
      </w:r>
      <w:r w:rsidR="000B1D10" w:rsidRPr="00693A57">
        <w:rPr>
          <w:color w:val="0000FF"/>
          <w:lang w:val="en-US"/>
        </w:rPr>
        <w:t>4</w:t>
      </w:r>
      <w:r w:rsidR="00832060" w:rsidRPr="00693A57">
        <w:rPr>
          <w:color w:val="0000FF"/>
          <w:lang w:val="en-US"/>
        </w:rPr>
        <w:t>A</w:t>
      </w:r>
      <w:r w:rsidR="000B1D10" w:rsidRPr="00693A57">
        <w:rPr>
          <w:color w:val="0000FF"/>
          <w:lang w:val="en-US"/>
        </w:rPr>
        <w:t>.8</w:t>
      </w:r>
      <w:r w:rsidR="00E85D43" w:rsidRPr="00693A57">
        <w:rPr>
          <w:color w:val="0000FF"/>
          <w:lang w:val="en-US"/>
        </w:rPr>
        <w:t>.</w:t>
      </w:r>
    </w:p>
    <w:p w14:paraId="55880556" w14:textId="5D3EDB54" w:rsidR="00CC28A8" w:rsidRPr="00693A57" w:rsidRDefault="00832060" w:rsidP="00CC28A8">
      <w:pPr>
        <w:pStyle w:val="ActHead5"/>
        <w:rPr>
          <w:color w:val="0000FF"/>
          <w:lang w:val="en-US"/>
        </w:rPr>
      </w:pPr>
      <w:r w:rsidRPr="00693A57">
        <w:rPr>
          <w:color w:val="0000FF"/>
          <w:lang w:val="en-US"/>
        </w:rPr>
        <w:t xml:space="preserve"> </w:t>
      </w:r>
      <w:bookmarkStart w:id="344" w:name="_Toc77064932"/>
      <w:r w:rsidRPr="00693A57">
        <w:rPr>
          <w:color w:val="0000FF"/>
          <w:lang w:val="en-US"/>
        </w:rPr>
        <w:t xml:space="preserve">4A.5 </w:t>
      </w:r>
      <w:r w:rsidR="00CC28A8" w:rsidRPr="00693A57">
        <w:rPr>
          <w:color w:val="0000FF"/>
          <w:lang w:val="en-US"/>
        </w:rPr>
        <w:t xml:space="preserve">Obligation to provide </w:t>
      </w:r>
      <w:r w:rsidR="00E85D43" w:rsidRPr="00693A57">
        <w:rPr>
          <w:color w:val="0000FF"/>
          <w:lang w:val="en-US"/>
        </w:rPr>
        <w:t xml:space="preserve">disclosure option </w:t>
      </w:r>
      <w:r w:rsidR="00CC28A8" w:rsidRPr="00693A57">
        <w:rPr>
          <w:color w:val="0000FF"/>
          <w:lang w:val="en-US"/>
        </w:rPr>
        <w:t>management service</w:t>
      </w:r>
      <w:bookmarkEnd w:id="344"/>
    </w:p>
    <w:p w14:paraId="5E418AEF" w14:textId="332C5F96" w:rsidR="00CC28A8" w:rsidRPr="00693A57" w:rsidRDefault="00CC28A8" w:rsidP="00CC28A8">
      <w:pPr>
        <w:pStyle w:val="SubsectionHead"/>
        <w:rPr>
          <w:color w:val="0000FF"/>
          <w:lang w:val="en-US"/>
        </w:rPr>
      </w:pPr>
      <w:r w:rsidRPr="00693A57">
        <w:rPr>
          <w:color w:val="0000FF"/>
          <w:lang w:val="en-US"/>
        </w:rPr>
        <w:t xml:space="preserve">Obligation to provide </w:t>
      </w:r>
      <w:r w:rsidR="00E85D43" w:rsidRPr="00693A57">
        <w:rPr>
          <w:color w:val="0000FF"/>
          <w:lang w:val="en-US"/>
        </w:rPr>
        <w:t>disclosure option management service</w:t>
      </w:r>
    </w:p>
    <w:p w14:paraId="5EDDAC6C" w14:textId="77777777" w:rsidR="00175787" w:rsidRPr="00693A57" w:rsidRDefault="00CC28A8" w:rsidP="00175787">
      <w:pPr>
        <w:pStyle w:val="subsection"/>
        <w:rPr>
          <w:color w:val="0000FF"/>
          <w:lang w:val="en-US"/>
        </w:rPr>
      </w:pPr>
      <w:r w:rsidRPr="00693A57">
        <w:rPr>
          <w:color w:val="0000FF"/>
          <w:lang w:val="en-US"/>
        </w:rPr>
        <w:tab/>
        <w:t>(1)</w:t>
      </w:r>
      <w:r w:rsidRPr="00693A57">
        <w:rPr>
          <w:color w:val="0000FF"/>
          <w:lang w:val="en-US"/>
        </w:rPr>
        <w:tab/>
        <w:t>For each joint account to which this Part applies, the data holder must provide a service to</w:t>
      </w:r>
      <w:r w:rsidR="00175787" w:rsidRPr="00693A57">
        <w:rPr>
          <w:color w:val="0000FF"/>
          <w:lang w:val="en-US"/>
        </w:rPr>
        <w:t xml:space="preserve"> each joint account holder that </w:t>
      </w:r>
      <w:r w:rsidRPr="00693A57">
        <w:rPr>
          <w:color w:val="0000FF"/>
          <w:lang w:val="en-US"/>
        </w:rPr>
        <w:t>allows the joint account holder to</w:t>
      </w:r>
      <w:r w:rsidR="00175787" w:rsidRPr="00693A57">
        <w:rPr>
          <w:color w:val="0000FF"/>
          <w:lang w:val="en-US"/>
        </w:rPr>
        <w:t>:</w:t>
      </w:r>
    </w:p>
    <w:p w14:paraId="7EF8A7B8" w14:textId="3E150B51" w:rsidR="00612DF6" w:rsidRPr="00693A57" w:rsidRDefault="00175787" w:rsidP="00175787">
      <w:pPr>
        <w:pStyle w:val="paragraph"/>
        <w:rPr>
          <w:color w:val="0000FF"/>
          <w:lang w:val="en-US"/>
        </w:rPr>
      </w:pPr>
      <w:r w:rsidRPr="00693A57">
        <w:rPr>
          <w:color w:val="0000FF"/>
          <w:lang w:val="en-US"/>
        </w:rPr>
        <w:tab/>
        <w:t>(a)</w:t>
      </w:r>
      <w:r w:rsidRPr="00693A57">
        <w:rPr>
          <w:color w:val="0000FF"/>
          <w:lang w:val="en-US"/>
        </w:rPr>
        <w:tab/>
      </w:r>
      <w:r w:rsidR="00612DF6" w:rsidRPr="00693A57">
        <w:rPr>
          <w:color w:val="0000FF"/>
          <w:lang w:val="en-US"/>
        </w:rPr>
        <w:t>change the disclosure option that applies to the account</w:t>
      </w:r>
      <w:r w:rsidR="00405212" w:rsidRPr="00693A57">
        <w:rPr>
          <w:color w:val="0000FF"/>
          <w:lang w:val="en-US"/>
        </w:rPr>
        <w:t xml:space="preserve"> in accordance with rule </w:t>
      </w:r>
      <w:r w:rsidR="000B1D10" w:rsidRPr="00693A57">
        <w:rPr>
          <w:color w:val="0000FF"/>
          <w:lang w:val="en-US"/>
        </w:rPr>
        <w:t>4</w:t>
      </w:r>
      <w:r w:rsidR="00832060" w:rsidRPr="00693A57">
        <w:rPr>
          <w:color w:val="0000FF"/>
          <w:lang w:val="en-US"/>
        </w:rPr>
        <w:t>A</w:t>
      </w:r>
      <w:r w:rsidR="000B1D10" w:rsidRPr="00693A57">
        <w:rPr>
          <w:color w:val="0000FF"/>
          <w:lang w:val="en-US"/>
        </w:rPr>
        <w:t>.7</w:t>
      </w:r>
      <w:r w:rsidR="00612DF6" w:rsidRPr="00693A57">
        <w:rPr>
          <w:color w:val="0000FF"/>
          <w:lang w:val="en-US"/>
        </w:rPr>
        <w:t>; and</w:t>
      </w:r>
    </w:p>
    <w:p w14:paraId="4EE0B000" w14:textId="238063D8" w:rsidR="00175787" w:rsidRPr="00693A57" w:rsidRDefault="00612DF6" w:rsidP="00175787">
      <w:pPr>
        <w:pStyle w:val="paragraph"/>
        <w:rPr>
          <w:color w:val="0000FF"/>
          <w:lang w:val="en-US"/>
        </w:rPr>
      </w:pPr>
      <w:r w:rsidRPr="00693A57">
        <w:rPr>
          <w:color w:val="0000FF"/>
          <w:lang w:val="en-US"/>
        </w:rPr>
        <w:tab/>
        <w:t>(b)</w:t>
      </w:r>
      <w:r w:rsidRPr="00693A57">
        <w:rPr>
          <w:color w:val="0000FF"/>
          <w:lang w:val="en-US"/>
        </w:rPr>
        <w:tab/>
      </w:r>
      <w:r w:rsidR="00175787" w:rsidRPr="00693A57">
        <w:rPr>
          <w:color w:val="0000FF"/>
          <w:lang w:val="en-US"/>
        </w:rPr>
        <w:t>propose a change in the disclosure option to the other joint account holders</w:t>
      </w:r>
      <w:r w:rsidR="00513EE7" w:rsidRPr="00693A57">
        <w:rPr>
          <w:color w:val="0000FF"/>
          <w:lang w:val="en-US"/>
        </w:rPr>
        <w:t xml:space="preserve"> in accordance with rule </w:t>
      </w:r>
      <w:r w:rsidR="000B1D10" w:rsidRPr="00693A57">
        <w:rPr>
          <w:color w:val="0000FF"/>
        </w:rPr>
        <w:t>4</w:t>
      </w:r>
      <w:r w:rsidR="00832060" w:rsidRPr="00693A57">
        <w:rPr>
          <w:color w:val="0000FF"/>
        </w:rPr>
        <w:t>A</w:t>
      </w:r>
      <w:r w:rsidR="000B1D10" w:rsidRPr="00693A57">
        <w:rPr>
          <w:color w:val="0000FF"/>
        </w:rPr>
        <w:t>.8</w:t>
      </w:r>
      <w:r w:rsidR="00175787" w:rsidRPr="00693A57">
        <w:rPr>
          <w:color w:val="0000FF"/>
          <w:lang w:val="en-US"/>
        </w:rPr>
        <w:t>; and</w:t>
      </w:r>
    </w:p>
    <w:p w14:paraId="26F48C7E" w14:textId="24ECF55C" w:rsidR="00175787" w:rsidRPr="00693A57" w:rsidRDefault="00513EE7" w:rsidP="00CC28A8">
      <w:pPr>
        <w:pStyle w:val="paragraph"/>
        <w:rPr>
          <w:color w:val="0000FF"/>
          <w:lang w:val="en-US"/>
        </w:rPr>
      </w:pPr>
      <w:r w:rsidRPr="00693A57">
        <w:rPr>
          <w:color w:val="0000FF"/>
          <w:lang w:val="en-US"/>
        </w:rPr>
        <w:tab/>
        <w:t>(c</w:t>
      </w:r>
      <w:r w:rsidR="00175787" w:rsidRPr="00693A57">
        <w:rPr>
          <w:color w:val="0000FF"/>
          <w:lang w:val="en-US"/>
        </w:rPr>
        <w:t>)</w:t>
      </w:r>
      <w:r w:rsidR="00175787" w:rsidRPr="00693A57">
        <w:rPr>
          <w:color w:val="0000FF"/>
          <w:lang w:val="en-US"/>
        </w:rPr>
        <w:tab/>
        <w:t>respond to a proposal by another joint account holder to change the disclosure option.</w:t>
      </w:r>
    </w:p>
    <w:p w14:paraId="555D5B3F" w14:textId="29FBA8C8" w:rsidR="00CC28A8" w:rsidRPr="00693A57" w:rsidRDefault="00513EE7" w:rsidP="00CC28A8">
      <w:pPr>
        <w:pStyle w:val="notetext"/>
        <w:rPr>
          <w:color w:val="0000FF"/>
        </w:rPr>
      </w:pPr>
      <w:r w:rsidRPr="00693A57">
        <w:rPr>
          <w:color w:val="0000FF"/>
        </w:rPr>
        <w:t>Note</w:t>
      </w:r>
      <w:r w:rsidR="00CC28A8" w:rsidRPr="00693A57">
        <w:rPr>
          <w:color w:val="0000FF"/>
        </w:rPr>
        <w:t>:</w:t>
      </w:r>
      <w:r w:rsidR="00CC28A8" w:rsidRPr="00693A57">
        <w:rPr>
          <w:color w:val="0000FF"/>
        </w:rPr>
        <w:tab/>
        <w:t>This sub</w:t>
      </w:r>
      <w:r w:rsidR="008F7859" w:rsidRPr="00693A57">
        <w:rPr>
          <w:color w:val="0000FF"/>
        </w:rPr>
        <w:t>rule</w:t>
      </w:r>
      <w:r w:rsidR="00CC28A8" w:rsidRPr="00693A57">
        <w:rPr>
          <w:color w:val="0000FF"/>
        </w:rPr>
        <w:t xml:space="preserve"> is a civil penalty provision (see rule 9.8).</w:t>
      </w:r>
    </w:p>
    <w:p w14:paraId="1CB85834" w14:textId="08072052" w:rsidR="00CC28A8" w:rsidRPr="00693A57" w:rsidRDefault="00CC28A8" w:rsidP="00CC28A8">
      <w:pPr>
        <w:pStyle w:val="subsection"/>
        <w:rPr>
          <w:color w:val="0000FF"/>
        </w:rPr>
      </w:pPr>
      <w:r w:rsidRPr="00693A57">
        <w:rPr>
          <w:color w:val="0000FF"/>
        </w:rPr>
        <w:tab/>
        <w:t>(2)</w:t>
      </w:r>
      <w:r w:rsidRPr="00693A57">
        <w:rPr>
          <w:color w:val="0000FF"/>
        </w:rPr>
        <w:tab/>
        <w:t xml:space="preserve">Such a service is a </w:t>
      </w:r>
      <w:r w:rsidR="00E85D43" w:rsidRPr="00693A57">
        <w:rPr>
          <w:b/>
          <w:i/>
          <w:color w:val="0000FF"/>
        </w:rPr>
        <w:t>disclosure option</w:t>
      </w:r>
      <w:r w:rsidRPr="00693A57">
        <w:rPr>
          <w:b/>
          <w:i/>
          <w:color w:val="0000FF"/>
        </w:rPr>
        <w:t xml:space="preserve"> management service</w:t>
      </w:r>
      <w:r w:rsidRPr="00693A57">
        <w:rPr>
          <w:color w:val="0000FF"/>
        </w:rPr>
        <w:t>.</w:t>
      </w:r>
    </w:p>
    <w:p w14:paraId="671C9323" w14:textId="15450305" w:rsidR="00CC28A8" w:rsidRPr="00693A57" w:rsidRDefault="00CC28A8" w:rsidP="00CC28A8">
      <w:pPr>
        <w:pStyle w:val="SubsectionHead"/>
        <w:rPr>
          <w:color w:val="0000FF"/>
        </w:rPr>
      </w:pPr>
      <w:r w:rsidRPr="00693A57">
        <w:rPr>
          <w:color w:val="0000FF"/>
        </w:rPr>
        <w:t xml:space="preserve">Requirements for </w:t>
      </w:r>
      <w:r w:rsidR="00E85D43" w:rsidRPr="00693A57">
        <w:rPr>
          <w:color w:val="0000FF"/>
        </w:rPr>
        <w:t xml:space="preserve">disclosure option </w:t>
      </w:r>
      <w:r w:rsidRPr="00693A57">
        <w:rPr>
          <w:color w:val="0000FF"/>
        </w:rPr>
        <w:t>management service</w:t>
      </w:r>
    </w:p>
    <w:p w14:paraId="4E459429" w14:textId="77777777" w:rsidR="00CC28A8" w:rsidRPr="00693A57" w:rsidRDefault="00CC28A8" w:rsidP="00CC28A8">
      <w:pPr>
        <w:pStyle w:val="subsection"/>
        <w:rPr>
          <w:color w:val="0000FF"/>
        </w:rPr>
      </w:pPr>
      <w:r w:rsidRPr="00693A57">
        <w:rPr>
          <w:color w:val="0000FF"/>
        </w:rPr>
        <w:tab/>
        <w:t>(3)</w:t>
      </w:r>
      <w:r w:rsidRPr="00693A57">
        <w:rPr>
          <w:color w:val="0000FF"/>
        </w:rPr>
        <w:tab/>
        <w:t>The service must be provided online and, if there is a data holder’s consumer dashboard for a joint account holder, may be included in the dashboard.</w:t>
      </w:r>
    </w:p>
    <w:p w14:paraId="5E51B8B1" w14:textId="77777777" w:rsidR="00CC28A8" w:rsidRPr="00693A57" w:rsidRDefault="00CC28A8" w:rsidP="00CC28A8">
      <w:pPr>
        <w:pStyle w:val="subsection"/>
        <w:rPr>
          <w:color w:val="0000FF"/>
        </w:rPr>
      </w:pPr>
      <w:r w:rsidRPr="00693A57">
        <w:rPr>
          <w:color w:val="0000FF"/>
        </w:rPr>
        <w:tab/>
        <w:t>(4)</w:t>
      </w:r>
      <w:r w:rsidRPr="00693A57">
        <w:rPr>
          <w:color w:val="0000FF"/>
        </w:rPr>
        <w:tab/>
        <w:t>The service may, but need not, also be provided other than online.</w:t>
      </w:r>
    </w:p>
    <w:p w14:paraId="0027494D" w14:textId="5E711187" w:rsidR="00CC28A8" w:rsidRPr="00693A57" w:rsidRDefault="00CC28A8" w:rsidP="00CC28A8">
      <w:pPr>
        <w:pStyle w:val="subsection"/>
        <w:rPr>
          <w:color w:val="0000FF"/>
        </w:rPr>
      </w:pPr>
      <w:r w:rsidRPr="00693A57">
        <w:rPr>
          <w:color w:val="0000FF"/>
        </w:rPr>
        <w:tab/>
        <w:t>(5)</w:t>
      </w:r>
      <w:r w:rsidRPr="00693A57">
        <w:rPr>
          <w:color w:val="0000FF"/>
        </w:rPr>
        <w:tab/>
        <w:t xml:space="preserve">The service must give effect to a </w:t>
      </w:r>
      <w:r w:rsidR="00AF3D4C" w:rsidRPr="00693A57">
        <w:rPr>
          <w:color w:val="0000FF"/>
        </w:rPr>
        <w:t>change in the disclosure option</w:t>
      </w:r>
      <w:r w:rsidRPr="00693A57">
        <w:rPr>
          <w:color w:val="0000FF"/>
        </w:rPr>
        <w:t xml:space="preserve"> as soon as practicable.</w:t>
      </w:r>
    </w:p>
    <w:p w14:paraId="7E33D122" w14:textId="742AC096" w:rsidR="00CC28A8" w:rsidRPr="00693A57" w:rsidRDefault="002C49A4" w:rsidP="00CC28A8">
      <w:pPr>
        <w:pStyle w:val="subsection"/>
        <w:rPr>
          <w:color w:val="0000FF"/>
        </w:rPr>
      </w:pPr>
      <w:r w:rsidRPr="00693A57">
        <w:rPr>
          <w:color w:val="0000FF"/>
        </w:rPr>
        <w:lastRenderedPageBreak/>
        <w:tab/>
        <w:t>(6)</w:t>
      </w:r>
      <w:r w:rsidRPr="00693A57">
        <w:rPr>
          <w:color w:val="0000FF"/>
        </w:rPr>
        <w:tab/>
        <w:t xml:space="preserve">The service must not </w:t>
      </w:r>
      <w:r w:rsidR="00CC28A8" w:rsidRPr="00693A57">
        <w:rPr>
          <w:color w:val="0000FF"/>
        </w:rPr>
        <w:t>do any of the following</w:t>
      </w:r>
      <w:r w:rsidRPr="00693A57">
        <w:rPr>
          <w:color w:val="0000FF"/>
        </w:rPr>
        <w:t xml:space="preserve"> in relation to the </w:t>
      </w:r>
      <w:r w:rsidR="00634E2B" w:rsidRPr="00693A57">
        <w:rPr>
          <w:color w:val="0000FF"/>
        </w:rPr>
        <w:t>processes</w:t>
      </w:r>
      <w:r w:rsidRPr="00693A57">
        <w:rPr>
          <w:color w:val="0000FF"/>
        </w:rPr>
        <w:t xml:space="preserve"> </w:t>
      </w:r>
      <w:r w:rsidR="00C826C8" w:rsidRPr="00693A57">
        <w:rPr>
          <w:color w:val="0000FF"/>
        </w:rPr>
        <w:t xml:space="preserve">that it provides </w:t>
      </w:r>
      <w:r w:rsidR="00634E2B" w:rsidRPr="00693A57">
        <w:rPr>
          <w:color w:val="0000FF"/>
        </w:rPr>
        <w:t xml:space="preserve">for </w:t>
      </w:r>
      <w:r w:rsidRPr="00693A57">
        <w:rPr>
          <w:color w:val="0000FF"/>
        </w:rPr>
        <w:t>proposing to change the disclosure option that applies to the joint account, or responding to such a proposal</w:t>
      </w:r>
      <w:r w:rsidR="00634E2B" w:rsidRPr="00693A57">
        <w:rPr>
          <w:color w:val="0000FF"/>
        </w:rPr>
        <w:t xml:space="preserve"> (the </w:t>
      </w:r>
      <w:r w:rsidR="00634E2B" w:rsidRPr="00693A57">
        <w:rPr>
          <w:b/>
          <w:i/>
          <w:color w:val="0000FF"/>
        </w:rPr>
        <w:t>processes</w:t>
      </w:r>
      <w:r w:rsidR="00634E2B" w:rsidRPr="00693A57">
        <w:rPr>
          <w:color w:val="0000FF"/>
        </w:rPr>
        <w:t>)</w:t>
      </w:r>
      <w:r w:rsidR="00CC28A8" w:rsidRPr="00693A57">
        <w:rPr>
          <w:color w:val="0000FF"/>
        </w:rPr>
        <w:t>:</w:t>
      </w:r>
    </w:p>
    <w:p w14:paraId="24EAEE1B" w14:textId="363C90EE" w:rsidR="00CC28A8" w:rsidRPr="00693A57" w:rsidRDefault="00CC28A8" w:rsidP="00CC28A8">
      <w:pPr>
        <w:pStyle w:val="paragraph"/>
        <w:rPr>
          <w:color w:val="0000FF"/>
        </w:rPr>
      </w:pPr>
      <w:r w:rsidRPr="00693A57">
        <w:rPr>
          <w:color w:val="0000FF"/>
        </w:rPr>
        <w:tab/>
        <w:t>(a)</w:t>
      </w:r>
      <w:r w:rsidRPr="00693A57">
        <w:rPr>
          <w:color w:val="0000FF"/>
        </w:rPr>
        <w:tab/>
        <w:t>add any requirements to the process</w:t>
      </w:r>
      <w:r w:rsidR="00634E2B" w:rsidRPr="00693A57">
        <w:rPr>
          <w:color w:val="0000FF"/>
        </w:rPr>
        <w:t>es</w:t>
      </w:r>
      <w:r w:rsidRPr="00693A57">
        <w:rPr>
          <w:color w:val="0000FF"/>
        </w:rPr>
        <w:t xml:space="preserve"> beyond those specified in the data standards and these rules;</w:t>
      </w:r>
    </w:p>
    <w:p w14:paraId="63BD411F" w14:textId="4C90DCB1" w:rsidR="00CC28A8" w:rsidRPr="00693A57" w:rsidRDefault="00CC28A8" w:rsidP="00CC28A8">
      <w:pPr>
        <w:pStyle w:val="paragraph"/>
        <w:rPr>
          <w:color w:val="0000FF"/>
        </w:rPr>
      </w:pPr>
      <w:r w:rsidRPr="00693A57">
        <w:rPr>
          <w:color w:val="0000FF"/>
        </w:rPr>
        <w:tab/>
        <w:t>(b)</w:t>
      </w:r>
      <w:r w:rsidRPr="00693A57">
        <w:rPr>
          <w:color w:val="0000FF"/>
        </w:rPr>
        <w:tab/>
        <w:t>offer additional or alternative services as part of the process</w:t>
      </w:r>
      <w:r w:rsidR="00634E2B" w:rsidRPr="00693A57">
        <w:rPr>
          <w:color w:val="0000FF"/>
        </w:rPr>
        <w:t>es</w:t>
      </w:r>
      <w:r w:rsidRPr="00693A57">
        <w:rPr>
          <w:color w:val="0000FF"/>
        </w:rPr>
        <w:t>;</w:t>
      </w:r>
    </w:p>
    <w:p w14:paraId="6E782EC1" w14:textId="77777777" w:rsidR="00CC28A8" w:rsidRPr="00693A57" w:rsidRDefault="00CC28A8" w:rsidP="00CC28A8">
      <w:pPr>
        <w:pStyle w:val="paragraph"/>
        <w:rPr>
          <w:color w:val="0000FF"/>
          <w:szCs w:val="22"/>
          <w:shd w:val="clear" w:color="auto" w:fill="FFFFFF"/>
        </w:rPr>
      </w:pPr>
      <w:r w:rsidRPr="00693A57">
        <w:rPr>
          <w:color w:val="0000FF"/>
        </w:rPr>
        <w:tab/>
        <w:t>(c)</w:t>
      </w:r>
      <w:r w:rsidRPr="00693A57">
        <w:rPr>
          <w:color w:val="0000FF"/>
        </w:rPr>
        <w:tab/>
        <w:t xml:space="preserve">include or refer to other documents, or provide any other information, </w:t>
      </w:r>
      <w:r w:rsidRPr="00693A57">
        <w:rPr>
          <w:color w:val="0000FF"/>
          <w:szCs w:val="22"/>
          <w:shd w:val="clear" w:color="auto" w:fill="FFFFFF"/>
        </w:rPr>
        <w:t>so as to reduce comprehensibility;</w:t>
      </w:r>
    </w:p>
    <w:p w14:paraId="13A6A2EB" w14:textId="77777777" w:rsidR="00CC28A8" w:rsidRPr="00693A57" w:rsidRDefault="00CC28A8" w:rsidP="00CC28A8">
      <w:pPr>
        <w:pStyle w:val="paragraph"/>
        <w:rPr>
          <w:color w:val="0000FF"/>
        </w:rPr>
      </w:pPr>
      <w:r w:rsidRPr="00693A57">
        <w:rPr>
          <w:color w:val="0000FF"/>
        </w:rPr>
        <w:tab/>
        <w:t>(d)</w:t>
      </w:r>
      <w:r w:rsidRPr="00693A57">
        <w:rPr>
          <w:color w:val="0000FF"/>
        </w:rPr>
        <w:tab/>
        <w:t>offer any pre</w:t>
      </w:r>
      <w:r w:rsidRPr="00693A57">
        <w:rPr>
          <w:color w:val="0000FF"/>
        </w:rPr>
        <w:noBreakHyphen/>
        <w:t>selected options.</w:t>
      </w:r>
    </w:p>
    <w:p w14:paraId="72826D5D" w14:textId="77777777" w:rsidR="00B733BA" w:rsidRPr="00693A57" w:rsidRDefault="00B733BA" w:rsidP="00B733BA">
      <w:pPr>
        <w:pStyle w:val="subsection"/>
        <w:rPr>
          <w:color w:val="0000FF"/>
        </w:rPr>
      </w:pPr>
      <w:r w:rsidRPr="00693A57">
        <w:rPr>
          <w:color w:val="0000FF"/>
        </w:rPr>
        <w:tab/>
        <w:t>(7)</w:t>
      </w:r>
      <w:r w:rsidRPr="00693A57">
        <w:rPr>
          <w:color w:val="0000FF"/>
        </w:rPr>
        <w:tab/>
        <w:t>The service must notify the joint account holder:</w:t>
      </w:r>
    </w:p>
    <w:p w14:paraId="753FD2BB" w14:textId="35B24745" w:rsidR="00B733BA" w:rsidRPr="00693A57" w:rsidRDefault="00B733BA" w:rsidP="00B733BA">
      <w:pPr>
        <w:pStyle w:val="paragraph"/>
        <w:rPr>
          <w:color w:val="0000FF"/>
        </w:rPr>
      </w:pPr>
      <w:r w:rsidRPr="00693A57">
        <w:rPr>
          <w:color w:val="0000FF"/>
        </w:rPr>
        <w:tab/>
        <w:t>(a)</w:t>
      </w:r>
      <w:r w:rsidRPr="00693A57">
        <w:rPr>
          <w:color w:val="0000FF"/>
        </w:rPr>
        <w:tab/>
        <w:t xml:space="preserve">of the matters mentioned in subrule </w:t>
      </w:r>
      <w:r w:rsidR="00832060" w:rsidRPr="00693A57">
        <w:rPr>
          <w:color w:val="0000FF"/>
        </w:rPr>
        <w:t xml:space="preserve"> 4A.</w:t>
      </w:r>
      <w:r w:rsidR="000B1D10" w:rsidRPr="00693A57">
        <w:rPr>
          <w:color w:val="0000FF"/>
        </w:rPr>
        <w:t>6</w:t>
      </w:r>
      <w:r w:rsidRPr="00693A57">
        <w:rPr>
          <w:color w:val="0000FF"/>
        </w:rPr>
        <w:t xml:space="preserve">(1); and </w:t>
      </w:r>
    </w:p>
    <w:p w14:paraId="2C843430" w14:textId="64620865" w:rsidR="00B733BA" w:rsidRPr="00693A57" w:rsidRDefault="00B733BA" w:rsidP="00B733BA">
      <w:pPr>
        <w:pStyle w:val="paragraph"/>
        <w:rPr>
          <w:color w:val="0000FF"/>
        </w:rPr>
      </w:pPr>
      <w:r w:rsidRPr="00693A57">
        <w:rPr>
          <w:color w:val="0000FF"/>
        </w:rPr>
        <w:tab/>
        <w:t>(b)</w:t>
      </w:r>
      <w:r w:rsidRPr="00693A57">
        <w:rPr>
          <w:color w:val="0000FF"/>
        </w:rPr>
        <w:tab/>
        <w:t>which disclosure option currently applies.</w:t>
      </w:r>
    </w:p>
    <w:p w14:paraId="7897CC38" w14:textId="792F65F7" w:rsidR="00B733BA" w:rsidRPr="00693A57" w:rsidRDefault="00B733BA" w:rsidP="00BD1239">
      <w:pPr>
        <w:pStyle w:val="subsection"/>
        <w:rPr>
          <w:color w:val="0000FF"/>
        </w:rPr>
      </w:pPr>
      <w:r w:rsidRPr="00693A57">
        <w:rPr>
          <w:color w:val="0000FF"/>
        </w:rPr>
        <w:tab/>
        <w:t>(8)</w:t>
      </w:r>
      <w:r w:rsidRPr="00693A57">
        <w:rPr>
          <w:color w:val="0000FF"/>
        </w:rPr>
        <w:tab/>
        <w:t>The service must be in accordance with the data standards.</w:t>
      </w:r>
    </w:p>
    <w:p w14:paraId="18A127F0" w14:textId="23630D7E" w:rsidR="00B733BA" w:rsidRPr="00693A57" w:rsidRDefault="00832060" w:rsidP="00B733BA">
      <w:pPr>
        <w:pStyle w:val="ActHead5"/>
        <w:rPr>
          <w:color w:val="0000FF"/>
        </w:rPr>
      </w:pPr>
      <w:r w:rsidRPr="00693A57">
        <w:rPr>
          <w:color w:val="0000FF"/>
          <w:lang w:val="en-US"/>
        </w:rPr>
        <w:t xml:space="preserve"> </w:t>
      </w:r>
      <w:bookmarkStart w:id="345" w:name="_Toc77064933"/>
      <w:r w:rsidRPr="00693A57">
        <w:rPr>
          <w:color w:val="0000FF"/>
          <w:lang w:val="en-US"/>
        </w:rPr>
        <w:t xml:space="preserve">4A.6 </w:t>
      </w:r>
      <w:r w:rsidR="00B733BA" w:rsidRPr="00693A57">
        <w:rPr>
          <w:color w:val="0000FF"/>
          <w:lang w:val="en-US"/>
        </w:rPr>
        <w:t xml:space="preserve"> Obligation to inform joint account holders</w:t>
      </w:r>
      <w:bookmarkEnd w:id="345"/>
    </w:p>
    <w:p w14:paraId="7AC4CE22" w14:textId="53110DF2" w:rsidR="00CC28A8" w:rsidRPr="00693A57" w:rsidRDefault="00CC28A8" w:rsidP="00CC28A8">
      <w:pPr>
        <w:pStyle w:val="subsection"/>
        <w:rPr>
          <w:color w:val="0000FF"/>
        </w:rPr>
      </w:pPr>
      <w:r w:rsidRPr="00693A57">
        <w:rPr>
          <w:color w:val="0000FF"/>
        </w:rPr>
        <w:tab/>
        <w:t>(</w:t>
      </w:r>
      <w:r w:rsidR="00B733BA" w:rsidRPr="00693A57">
        <w:rPr>
          <w:color w:val="0000FF"/>
        </w:rPr>
        <w:t>1</w:t>
      </w:r>
      <w:r w:rsidRPr="00693A57">
        <w:rPr>
          <w:color w:val="0000FF"/>
        </w:rPr>
        <w:t>)</w:t>
      </w:r>
      <w:r w:rsidRPr="00693A57">
        <w:rPr>
          <w:color w:val="0000FF"/>
        </w:rPr>
        <w:tab/>
      </w:r>
      <w:r w:rsidR="00B733BA" w:rsidRPr="00693A57">
        <w:rPr>
          <w:color w:val="0000FF"/>
        </w:rPr>
        <w:t xml:space="preserve">A data holder must notify each joint account holder: </w:t>
      </w:r>
    </w:p>
    <w:p w14:paraId="04EDD0D9" w14:textId="6A6D1D6D" w:rsidR="00EE34EC" w:rsidRPr="00693A57" w:rsidRDefault="00EE34EC" w:rsidP="00EE34EC">
      <w:pPr>
        <w:pStyle w:val="paragraph"/>
        <w:rPr>
          <w:color w:val="0000FF"/>
        </w:rPr>
      </w:pPr>
      <w:r w:rsidRPr="00693A57">
        <w:rPr>
          <w:color w:val="0000FF"/>
        </w:rPr>
        <w:tab/>
        <w:t>(a)</w:t>
      </w:r>
      <w:r w:rsidRPr="00693A57">
        <w:rPr>
          <w:color w:val="0000FF"/>
        </w:rPr>
        <w:tab/>
      </w:r>
      <w:r w:rsidR="00634E2B" w:rsidRPr="00693A57">
        <w:rPr>
          <w:color w:val="0000FF"/>
        </w:rPr>
        <w:t>what disclosure options are available in relation to the joint account</w:t>
      </w:r>
      <w:r w:rsidRPr="00693A57">
        <w:rPr>
          <w:color w:val="0000FF"/>
        </w:rPr>
        <w:t>;</w:t>
      </w:r>
    </w:p>
    <w:p w14:paraId="0D853D80" w14:textId="714CAB55" w:rsidR="00634E2B" w:rsidRPr="00693A57" w:rsidRDefault="00EE34EC" w:rsidP="00EE34EC">
      <w:pPr>
        <w:pStyle w:val="paragraph"/>
        <w:rPr>
          <w:color w:val="0000FF"/>
        </w:rPr>
      </w:pPr>
      <w:r w:rsidRPr="00693A57">
        <w:rPr>
          <w:color w:val="0000FF"/>
        </w:rPr>
        <w:tab/>
        <w:t>(b)</w:t>
      </w:r>
      <w:r w:rsidRPr="00693A57">
        <w:rPr>
          <w:color w:val="0000FF"/>
        </w:rPr>
        <w:tab/>
        <w:t>the effect of each disclosure option and how it operates, including, if there is a secondary user for the joint account, how it operates in relation to the secondary user;</w:t>
      </w:r>
    </w:p>
    <w:p w14:paraId="6B24FA77" w14:textId="49960CEA" w:rsidR="00CC28A8" w:rsidRPr="00693A57" w:rsidRDefault="00EE34EC" w:rsidP="00EE34EC">
      <w:pPr>
        <w:pStyle w:val="paragraph"/>
        <w:rPr>
          <w:color w:val="0000FF"/>
        </w:rPr>
      </w:pPr>
      <w:r w:rsidRPr="00693A57">
        <w:rPr>
          <w:color w:val="0000FF"/>
        </w:rPr>
        <w:tab/>
        <w:t>(c)</w:t>
      </w:r>
      <w:r w:rsidRPr="00693A57">
        <w:rPr>
          <w:color w:val="0000FF"/>
        </w:rPr>
        <w:tab/>
      </w:r>
      <w:r w:rsidR="00B733BA" w:rsidRPr="00693A57">
        <w:rPr>
          <w:color w:val="0000FF"/>
        </w:rPr>
        <w:t>that the pre-approval option applies by default;</w:t>
      </w:r>
    </w:p>
    <w:p w14:paraId="3E6BDE2E" w14:textId="77777777" w:rsidR="00336F3E" w:rsidRPr="00693A57" w:rsidRDefault="00EE34EC" w:rsidP="00EE34EC">
      <w:pPr>
        <w:pStyle w:val="paragraph"/>
        <w:rPr>
          <w:color w:val="0000FF"/>
        </w:rPr>
      </w:pPr>
      <w:r w:rsidRPr="00693A57">
        <w:rPr>
          <w:color w:val="0000FF"/>
        </w:rPr>
        <w:tab/>
        <w:t>(d)</w:t>
      </w:r>
      <w:r w:rsidRPr="00693A57">
        <w:rPr>
          <w:color w:val="0000FF"/>
        </w:rPr>
        <w:tab/>
      </w:r>
      <w:r w:rsidR="00CC28A8" w:rsidRPr="00693A57">
        <w:rPr>
          <w:color w:val="0000FF"/>
        </w:rPr>
        <w:t xml:space="preserve">that they can </w:t>
      </w:r>
      <w:r w:rsidR="00634E2B" w:rsidRPr="00693A57">
        <w:rPr>
          <w:color w:val="0000FF"/>
        </w:rPr>
        <w:t>at any time</w:t>
      </w:r>
      <w:r w:rsidR="00336F3E" w:rsidRPr="00693A57">
        <w:rPr>
          <w:color w:val="0000FF"/>
        </w:rPr>
        <w:t>:</w:t>
      </w:r>
    </w:p>
    <w:p w14:paraId="5BCFE3D8" w14:textId="77777777" w:rsidR="00336F3E" w:rsidRPr="00693A57" w:rsidRDefault="00336F3E" w:rsidP="00336F3E">
      <w:pPr>
        <w:pStyle w:val="paragraphsub"/>
        <w:rPr>
          <w:color w:val="0000FF"/>
        </w:rPr>
      </w:pPr>
      <w:r w:rsidRPr="00693A57">
        <w:rPr>
          <w:color w:val="0000FF"/>
        </w:rPr>
        <w:tab/>
        <w:t>(i)</w:t>
      </w:r>
      <w:r w:rsidRPr="00693A57">
        <w:rPr>
          <w:color w:val="0000FF"/>
        </w:rPr>
        <w:tab/>
        <w:t xml:space="preserve">choose to change the disclosure option on the joint account to the non-disclosure option; or </w:t>
      </w:r>
    </w:p>
    <w:p w14:paraId="79A634CB" w14:textId="2F3C2371" w:rsidR="00CC28A8" w:rsidRPr="00693A57" w:rsidRDefault="00336F3E" w:rsidP="00336F3E">
      <w:pPr>
        <w:pStyle w:val="paragraphsub"/>
        <w:rPr>
          <w:color w:val="0000FF"/>
        </w:rPr>
      </w:pPr>
      <w:r w:rsidRPr="00693A57">
        <w:rPr>
          <w:color w:val="0000FF"/>
        </w:rPr>
        <w:tab/>
        <w:t>(ii)</w:t>
      </w:r>
      <w:r w:rsidRPr="00693A57">
        <w:rPr>
          <w:color w:val="0000FF"/>
        </w:rPr>
        <w:tab/>
      </w:r>
      <w:r w:rsidR="00634E2B" w:rsidRPr="00693A57">
        <w:rPr>
          <w:color w:val="0000FF"/>
        </w:rPr>
        <w:t xml:space="preserve">propose to the other joint account holders </w:t>
      </w:r>
      <w:r w:rsidRPr="00693A57">
        <w:rPr>
          <w:color w:val="0000FF"/>
        </w:rPr>
        <w:t xml:space="preserve">to </w:t>
      </w:r>
      <w:r w:rsidR="00634E2B" w:rsidRPr="00693A57">
        <w:rPr>
          <w:color w:val="0000FF"/>
        </w:rPr>
        <w:t xml:space="preserve">change </w:t>
      </w:r>
      <w:r w:rsidR="00BD1239" w:rsidRPr="00693A57">
        <w:rPr>
          <w:color w:val="0000FF"/>
        </w:rPr>
        <w:t xml:space="preserve">the </w:t>
      </w:r>
      <w:r w:rsidR="00634E2B" w:rsidRPr="00693A57">
        <w:rPr>
          <w:color w:val="0000FF"/>
        </w:rPr>
        <w:t>disclosure option</w:t>
      </w:r>
      <w:r w:rsidRPr="00693A57">
        <w:rPr>
          <w:color w:val="0000FF"/>
        </w:rPr>
        <w:t xml:space="preserve"> to either co-approval or pre-approval</w:t>
      </w:r>
      <w:r w:rsidR="00CC28A8" w:rsidRPr="00693A57">
        <w:rPr>
          <w:color w:val="0000FF"/>
        </w:rPr>
        <w:t>;</w:t>
      </w:r>
    </w:p>
    <w:p w14:paraId="78445843" w14:textId="572F47E3" w:rsidR="00CC28A8" w:rsidRPr="00693A57" w:rsidRDefault="00EE34EC" w:rsidP="00EE34EC">
      <w:pPr>
        <w:pStyle w:val="paragraph"/>
        <w:rPr>
          <w:color w:val="0000FF"/>
        </w:rPr>
      </w:pPr>
      <w:r w:rsidRPr="00693A57">
        <w:rPr>
          <w:color w:val="0000FF"/>
        </w:rPr>
        <w:tab/>
        <w:t>(e)</w:t>
      </w:r>
      <w:r w:rsidRPr="00693A57">
        <w:rPr>
          <w:color w:val="0000FF"/>
        </w:rPr>
        <w:tab/>
      </w:r>
      <w:r w:rsidR="00CC28A8" w:rsidRPr="00693A57">
        <w:rPr>
          <w:color w:val="0000FF"/>
        </w:rPr>
        <w:t xml:space="preserve">how they can </w:t>
      </w:r>
      <w:r w:rsidRPr="00693A57">
        <w:rPr>
          <w:color w:val="0000FF"/>
        </w:rPr>
        <w:t xml:space="preserve">make such a </w:t>
      </w:r>
      <w:r w:rsidR="00336F3E" w:rsidRPr="00693A57">
        <w:rPr>
          <w:color w:val="0000FF"/>
        </w:rPr>
        <w:t xml:space="preserve">choice or </w:t>
      </w:r>
      <w:r w:rsidRPr="00693A57">
        <w:rPr>
          <w:color w:val="0000FF"/>
        </w:rPr>
        <w:t>proposal</w:t>
      </w:r>
      <w:r w:rsidR="00CC28A8" w:rsidRPr="00693A57">
        <w:rPr>
          <w:color w:val="0000FF"/>
        </w:rPr>
        <w:t>;</w:t>
      </w:r>
    </w:p>
    <w:p w14:paraId="60C3A535" w14:textId="4BE5AF39" w:rsidR="00CC28A8" w:rsidRPr="00693A57" w:rsidRDefault="00EE34EC" w:rsidP="00EE34EC">
      <w:pPr>
        <w:pStyle w:val="paragraph"/>
        <w:rPr>
          <w:color w:val="0000FF"/>
        </w:rPr>
      </w:pPr>
      <w:r w:rsidRPr="00693A57">
        <w:rPr>
          <w:color w:val="0000FF"/>
        </w:rPr>
        <w:tab/>
        <w:t>(f)</w:t>
      </w:r>
      <w:r w:rsidRPr="00693A57">
        <w:rPr>
          <w:color w:val="0000FF"/>
        </w:rPr>
        <w:tab/>
        <w:t>how they can respond to such a proposal by another joint account holder</w:t>
      </w:r>
      <w:r w:rsidR="00CC28A8" w:rsidRPr="00693A57">
        <w:rPr>
          <w:color w:val="0000FF"/>
        </w:rPr>
        <w:t xml:space="preserve">; </w:t>
      </w:r>
    </w:p>
    <w:p w14:paraId="4CA5D86A" w14:textId="31287C25" w:rsidR="00CC28A8" w:rsidRPr="00693A57" w:rsidRDefault="00EE34EC" w:rsidP="00EE34EC">
      <w:pPr>
        <w:pStyle w:val="paragraph"/>
        <w:rPr>
          <w:color w:val="0000FF"/>
        </w:rPr>
      </w:pPr>
      <w:r w:rsidRPr="00693A57">
        <w:rPr>
          <w:color w:val="0000FF"/>
        </w:rPr>
        <w:tab/>
        <w:t>(g)</w:t>
      </w:r>
      <w:r w:rsidRPr="00693A57">
        <w:rPr>
          <w:color w:val="0000FF"/>
        </w:rPr>
        <w:tab/>
      </w:r>
      <w:r w:rsidR="00CC28A8" w:rsidRPr="00693A57">
        <w:rPr>
          <w:color w:val="0000FF"/>
        </w:rPr>
        <w:t xml:space="preserve">that when CDR data relating to the joint account is disclosed under these rules, the data holder will ordinarily provide </w:t>
      </w:r>
      <w:r w:rsidR="00CC28A8" w:rsidRPr="00693A57">
        <w:rPr>
          <w:color w:val="0000FF"/>
          <w:lang w:val="en-US"/>
        </w:rPr>
        <w:t xml:space="preserve">each </w:t>
      </w:r>
      <w:r w:rsidR="00CC28A8" w:rsidRPr="00693A57">
        <w:rPr>
          <w:color w:val="0000FF"/>
        </w:rPr>
        <w:t xml:space="preserve">joint account holder and, if applicable, each secondary user, with a consumer dashboard through which they will be able to see information about </w:t>
      </w:r>
      <w:r w:rsidR="00A75A8E" w:rsidRPr="00693A57">
        <w:rPr>
          <w:color w:val="0000FF"/>
        </w:rPr>
        <w:t>disclosures relating to the account</w:t>
      </w:r>
      <w:r w:rsidR="00CC28A8" w:rsidRPr="00693A57">
        <w:rPr>
          <w:color w:val="0000FF"/>
        </w:rPr>
        <w:t>.</w:t>
      </w:r>
    </w:p>
    <w:p w14:paraId="465BAD0A" w14:textId="77777777" w:rsidR="00B733BA" w:rsidRPr="00693A57" w:rsidRDefault="00B733BA" w:rsidP="00B733BA">
      <w:pPr>
        <w:pStyle w:val="subsection"/>
        <w:rPr>
          <w:color w:val="0000FF"/>
        </w:rPr>
      </w:pPr>
      <w:r w:rsidRPr="00693A57">
        <w:rPr>
          <w:color w:val="0000FF"/>
        </w:rPr>
        <w:tab/>
        <w:t>(2)</w:t>
      </w:r>
      <w:r w:rsidRPr="00693A57">
        <w:rPr>
          <w:color w:val="0000FF"/>
        </w:rPr>
        <w:tab/>
        <w:t>The notification must be done:</w:t>
      </w:r>
    </w:p>
    <w:p w14:paraId="7434CAA4" w14:textId="6109F6BB" w:rsidR="00B733BA" w:rsidRPr="00693A57" w:rsidRDefault="00B733BA" w:rsidP="00B733BA">
      <w:pPr>
        <w:pStyle w:val="paragraph"/>
        <w:rPr>
          <w:color w:val="0000FF"/>
        </w:rPr>
      </w:pPr>
      <w:r w:rsidRPr="00693A57">
        <w:rPr>
          <w:color w:val="0000FF"/>
        </w:rPr>
        <w:tab/>
        <w:t>(a)</w:t>
      </w:r>
      <w:r w:rsidRPr="00693A57">
        <w:rPr>
          <w:color w:val="0000FF"/>
        </w:rPr>
        <w:tab/>
        <w:t xml:space="preserve">if the account is opened </w:t>
      </w:r>
      <w:r w:rsidR="00442448" w:rsidRPr="00693A57">
        <w:rPr>
          <w:color w:val="0000FF"/>
        </w:rPr>
        <w:t xml:space="preserve">on or </w:t>
      </w:r>
      <w:r w:rsidRPr="00693A57">
        <w:rPr>
          <w:color w:val="0000FF"/>
        </w:rPr>
        <w:t xml:space="preserve">after </w:t>
      </w:r>
      <w:r w:rsidR="00442448" w:rsidRPr="00693A57">
        <w:rPr>
          <w:color w:val="0000FF"/>
        </w:rPr>
        <w:t>[the commencement day]</w:t>
      </w:r>
      <w:r w:rsidRPr="00693A57">
        <w:rPr>
          <w:color w:val="0000FF"/>
        </w:rPr>
        <w:t>—</w:t>
      </w:r>
      <w:r w:rsidR="00442448" w:rsidRPr="00693A57">
        <w:rPr>
          <w:color w:val="0000FF"/>
        </w:rPr>
        <w:t>at the time the account is opened; and</w:t>
      </w:r>
    </w:p>
    <w:p w14:paraId="268D8F38" w14:textId="22A702E9" w:rsidR="00442448" w:rsidRPr="00693A57" w:rsidRDefault="00442448" w:rsidP="00B733BA">
      <w:pPr>
        <w:pStyle w:val="paragraph"/>
        <w:rPr>
          <w:color w:val="0000FF"/>
        </w:rPr>
      </w:pPr>
      <w:r w:rsidRPr="00693A57">
        <w:rPr>
          <w:color w:val="0000FF"/>
        </w:rPr>
        <w:tab/>
        <w:t>(b)</w:t>
      </w:r>
      <w:r w:rsidRPr="00693A57">
        <w:rPr>
          <w:color w:val="0000FF"/>
        </w:rPr>
        <w:tab/>
        <w:t>otherwise—within 7 business days after [ the commencement day].</w:t>
      </w:r>
    </w:p>
    <w:p w14:paraId="116C4582" w14:textId="744E2029" w:rsidR="00CC28A8" w:rsidRPr="00693A57" w:rsidRDefault="00B733BA" w:rsidP="00CC28A8">
      <w:pPr>
        <w:pStyle w:val="subsection"/>
        <w:rPr>
          <w:color w:val="0000FF"/>
        </w:rPr>
      </w:pPr>
      <w:r w:rsidRPr="00693A57">
        <w:rPr>
          <w:color w:val="0000FF"/>
        </w:rPr>
        <w:tab/>
        <w:t>(3</w:t>
      </w:r>
      <w:r w:rsidR="00CC28A8" w:rsidRPr="00693A57">
        <w:rPr>
          <w:color w:val="0000FF"/>
        </w:rPr>
        <w:t>)</w:t>
      </w:r>
      <w:r w:rsidR="00CC28A8" w:rsidRPr="00693A57">
        <w:rPr>
          <w:color w:val="0000FF"/>
        </w:rPr>
        <w:tab/>
        <w:t xml:space="preserve">The </w:t>
      </w:r>
      <w:r w:rsidRPr="00693A57">
        <w:rPr>
          <w:color w:val="0000FF"/>
        </w:rPr>
        <w:t xml:space="preserve">notification </w:t>
      </w:r>
      <w:r w:rsidR="00CC28A8" w:rsidRPr="00693A57">
        <w:rPr>
          <w:color w:val="0000FF"/>
        </w:rPr>
        <w:t>must be in accordance with the data standards.</w:t>
      </w:r>
    </w:p>
    <w:p w14:paraId="1B7807B8" w14:textId="3ADDEDE2" w:rsidR="00442448" w:rsidRPr="00693A57" w:rsidRDefault="00442448" w:rsidP="00442448">
      <w:pPr>
        <w:pStyle w:val="nDrafterComment"/>
        <w:rPr>
          <w:color w:val="0000FF"/>
        </w:rPr>
      </w:pPr>
      <w:r w:rsidRPr="00693A57">
        <w:rPr>
          <w:b/>
          <w:i/>
          <w:color w:val="0000FF"/>
        </w:rPr>
        <w:t>Drafter's Comment:</w:t>
      </w:r>
      <w:r w:rsidRPr="00693A57">
        <w:rPr>
          <w:color w:val="0000FF"/>
        </w:rPr>
        <w:tab/>
        <w:t xml:space="preserve">If these amendments commence on a set date, that date can be used here.  If not, we will need a more elaborate reference. </w:t>
      </w:r>
    </w:p>
    <w:p w14:paraId="32AAE651" w14:textId="427EB9C0" w:rsidR="00336F3E" w:rsidRPr="00693A57" w:rsidRDefault="00832060" w:rsidP="00336F3E">
      <w:pPr>
        <w:pStyle w:val="ActHead5"/>
        <w:rPr>
          <w:color w:val="0000FF"/>
        </w:rPr>
      </w:pPr>
      <w:r w:rsidRPr="00693A57">
        <w:rPr>
          <w:color w:val="0000FF"/>
          <w:lang w:val="en-US"/>
        </w:rPr>
        <w:lastRenderedPageBreak/>
        <w:t xml:space="preserve"> </w:t>
      </w:r>
      <w:bookmarkStart w:id="346" w:name="_Toc77064934"/>
      <w:r w:rsidRPr="00693A57">
        <w:rPr>
          <w:color w:val="0000FF"/>
          <w:lang w:val="en-US"/>
        </w:rPr>
        <w:t xml:space="preserve">4A.7 </w:t>
      </w:r>
      <w:r w:rsidR="00336F3E" w:rsidRPr="00693A57">
        <w:rPr>
          <w:color w:val="0000FF"/>
        </w:rPr>
        <w:t xml:space="preserve"> Changing to </w:t>
      </w:r>
      <w:r w:rsidR="00BD1239" w:rsidRPr="00693A57">
        <w:rPr>
          <w:color w:val="0000FF"/>
        </w:rPr>
        <w:t xml:space="preserve">a more restrictive </w:t>
      </w:r>
      <w:r w:rsidR="00336F3E" w:rsidRPr="00693A57">
        <w:rPr>
          <w:color w:val="0000FF"/>
        </w:rPr>
        <w:t>non-disclosure option</w:t>
      </w:r>
      <w:bookmarkEnd w:id="346"/>
    </w:p>
    <w:p w14:paraId="5FB4890A" w14:textId="6AD63673" w:rsidR="00A75A8E" w:rsidRPr="00693A57" w:rsidRDefault="00336F3E" w:rsidP="00A75A8E">
      <w:pPr>
        <w:pStyle w:val="subsection"/>
        <w:rPr>
          <w:color w:val="0000FF"/>
        </w:rPr>
      </w:pPr>
      <w:r w:rsidRPr="00693A57">
        <w:rPr>
          <w:color w:val="0000FF"/>
        </w:rPr>
        <w:tab/>
      </w:r>
      <w:r w:rsidR="00BD1239" w:rsidRPr="00693A57">
        <w:rPr>
          <w:color w:val="0000FF"/>
        </w:rPr>
        <w:t>(1)</w:t>
      </w:r>
      <w:r w:rsidRPr="00693A57">
        <w:rPr>
          <w:color w:val="0000FF"/>
        </w:rPr>
        <w:tab/>
        <w:t xml:space="preserve">A joint account holder may at any time choose that the non-disclosure option will apply to the  </w:t>
      </w:r>
      <w:r w:rsidR="00C711D7" w:rsidRPr="00693A57">
        <w:rPr>
          <w:color w:val="0000FF"/>
        </w:rPr>
        <w:t xml:space="preserve">joint account, using the disclosure </w:t>
      </w:r>
      <w:r w:rsidR="00513EE7" w:rsidRPr="00693A57">
        <w:rPr>
          <w:color w:val="0000FF"/>
        </w:rPr>
        <w:t>option</w:t>
      </w:r>
      <w:r w:rsidR="00C711D7" w:rsidRPr="00693A57">
        <w:rPr>
          <w:color w:val="0000FF"/>
        </w:rPr>
        <w:t xml:space="preserve"> management service.</w:t>
      </w:r>
    </w:p>
    <w:p w14:paraId="187AC3A5" w14:textId="36F3DCC1" w:rsidR="00C711D7" w:rsidRPr="00693A57" w:rsidRDefault="00C711D7" w:rsidP="00336F3E">
      <w:pPr>
        <w:pStyle w:val="subsection"/>
        <w:rPr>
          <w:color w:val="0000FF"/>
        </w:rPr>
      </w:pPr>
      <w:r w:rsidRPr="00693A57">
        <w:rPr>
          <w:color w:val="0000FF"/>
        </w:rPr>
        <w:tab/>
      </w:r>
      <w:r w:rsidR="00BD1239" w:rsidRPr="00693A57">
        <w:rPr>
          <w:color w:val="0000FF"/>
        </w:rPr>
        <w:t>(2)</w:t>
      </w:r>
      <w:r w:rsidRPr="00693A57">
        <w:rPr>
          <w:color w:val="0000FF"/>
        </w:rPr>
        <w:tab/>
        <w:t xml:space="preserve">If the pre-approval option applies to a joint account, a joint account holder may at any time choose that the co-approval option will apply to the joint account, using the disclosure </w:t>
      </w:r>
      <w:r w:rsidR="00513EE7" w:rsidRPr="00693A57">
        <w:rPr>
          <w:color w:val="0000FF"/>
        </w:rPr>
        <w:t>option</w:t>
      </w:r>
      <w:r w:rsidRPr="00693A57">
        <w:rPr>
          <w:color w:val="0000FF"/>
        </w:rPr>
        <w:t xml:space="preserve"> management service.</w:t>
      </w:r>
    </w:p>
    <w:p w14:paraId="1E0C5C25" w14:textId="53252D01" w:rsidR="00BD1239" w:rsidRPr="00693A57" w:rsidRDefault="00BD1239" w:rsidP="00BD1239">
      <w:pPr>
        <w:pStyle w:val="subsection"/>
        <w:spacing w:before="240"/>
        <w:rPr>
          <w:color w:val="0000FF"/>
        </w:rPr>
      </w:pPr>
      <w:r w:rsidRPr="00693A57">
        <w:rPr>
          <w:color w:val="0000FF"/>
        </w:rPr>
        <w:tab/>
        <w:t>(3)</w:t>
      </w:r>
      <w:r w:rsidRPr="00693A57">
        <w:rPr>
          <w:color w:val="0000FF"/>
        </w:rPr>
        <w:tab/>
        <w:t>If a joint account holder (</w:t>
      </w:r>
      <w:r w:rsidRPr="00693A57">
        <w:rPr>
          <w:b/>
          <w:i/>
          <w:color w:val="0000FF"/>
        </w:rPr>
        <w:t>account holder A</w:t>
      </w:r>
      <w:r w:rsidRPr="00693A57">
        <w:rPr>
          <w:color w:val="0000FF"/>
        </w:rPr>
        <w:t>) changes the non-discloure option that applies to the account in accordance with this rule, the data holder must, through its ordinary methods for contacting the other joint account holders:</w:t>
      </w:r>
    </w:p>
    <w:p w14:paraId="5B37AB5E" w14:textId="77777777" w:rsidR="00BD1239" w:rsidRPr="00693A57" w:rsidRDefault="00BD1239" w:rsidP="00BD1239">
      <w:pPr>
        <w:pStyle w:val="paragraph"/>
        <w:rPr>
          <w:color w:val="0000FF"/>
        </w:rPr>
      </w:pPr>
      <w:r w:rsidRPr="00693A57">
        <w:rPr>
          <w:color w:val="0000FF"/>
        </w:rPr>
        <w:tab/>
        <w:t>(a)</w:t>
      </w:r>
      <w:r w:rsidRPr="00693A57">
        <w:rPr>
          <w:color w:val="0000FF"/>
        </w:rPr>
        <w:tab/>
        <w:t>explain to each of them what the consumer data right is; and</w:t>
      </w:r>
    </w:p>
    <w:p w14:paraId="01B60A45" w14:textId="77777777" w:rsidR="00BD1239" w:rsidRPr="00693A57" w:rsidRDefault="00BD1239" w:rsidP="00BD1239">
      <w:pPr>
        <w:pStyle w:val="paragraph"/>
        <w:rPr>
          <w:color w:val="0000FF"/>
        </w:rPr>
      </w:pPr>
      <w:r w:rsidRPr="00693A57">
        <w:rPr>
          <w:color w:val="0000FF"/>
        </w:rPr>
        <w:tab/>
        <w:t>(c)</w:t>
      </w:r>
      <w:r w:rsidRPr="00693A57">
        <w:rPr>
          <w:color w:val="0000FF"/>
        </w:rPr>
        <w:tab/>
        <w:t>inform them which disclosure option previously currently applied to the account; and</w:t>
      </w:r>
    </w:p>
    <w:p w14:paraId="3FB4B9BB" w14:textId="77777777" w:rsidR="00BD1239" w:rsidRPr="00693A57" w:rsidRDefault="00BD1239" w:rsidP="00BD1239">
      <w:pPr>
        <w:pStyle w:val="paragraph"/>
        <w:rPr>
          <w:color w:val="0000FF"/>
        </w:rPr>
      </w:pPr>
      <w:r w:rsidRPr="00693A57">
        <w:rPr>
          <w:color w:val="0000FF"/>
        </w:rPr>
        <w:tab/>
        <w:t>(b)</w:t>
      </w:r>
      <w:r w:rsidRPr="00693A57">
        <w:rPr>
          <w:color w:val="0000FF"/>
        </w:rPr>
        <w:tab/>
        <w:t>inform them that account holder A has changed the disclosure option, and of the disclosure option that now applies; and</w:t>
      </w:r>
    </w:p>
    <w:p w14:paraId="13460B69" w14:textId="77777777" w:rsidR="00BD1239" w:rsidRPr="00693A57" w:rsidRDefault="00BD1239" w:rsidP="00BD1239">
      <w:pPr>
        <w:pStyle w:val="paragraph"/>
        <w:rPr>
          <w:color w:val="0000FF"/>
        </w:rPr>
      </w:pPr>
      <w:r w:rsidRPr="00693A57">
        <w:rPr>
          <w:color w:val="0000FF"/>
        </w:rPr>
        <w:tab/>
        <w:t>(d)</w:t>
      </w:r>
      <w:r w:rsidRPr="00693A57">
        <w:rPr>
          <w:color w:val="0000FF"/>
        </w:rPr>
        <w:tab/>
        <w:t>explain to them the mechanisms for changing the disclosure option again.</w:t>
      </w:r>
    </w:p>
    <w:p w14:paraId="013088C6" w14:textId="77777777" w:rsidR="00BD1239" w:rsidRPr="00693A57" w:rsidRDefault="00BD1239" w:rsidP="00BD1239">
      <w:pPr>
        <w:pStyle w:val="notetext"/>
        <w:rPr>
          <w:color w:val="0000FF"/>
        </w:rPr>
      </w:pPr>
      <w:r w:rsidRPr="00693A57">
        <w:rPr>
          <w:color w:val="0000FF"/>
        </w:rPr>
        <w:t>Note:</w:t>
      </w:r>
      <w:r w:rsidRPr="00693A57">
        <w:rPr>
          <w:color w:val="0000FF"/>
        </w:rPr>
        <w:tab/>
        <w:t>This subrule is a civil penalty provision (see rule 9.8).</w:t>
      </w:r>
    </w:p>
    <w:p w14:paraId="01B34E64" w14:textId="702A4AF5" w:rsidR="00CC28A8" w:rsidRPr="00693A57" w:rsidRDefault="00832060" w:rsidP="00CC28A8">
      <w:pPr>
        <w:pStyle w:val="ActHead5"/>
        <w:rPr>
          <w:color w:val="0000FF"/>
        </w:rPr>
      </w:pPr>
      <w:r w:rsidRPr="00693A57">
        <w:rPr>
          <w:color w:val="0000FF"/>
          <w:lang w:val="en-US"/>
        </w:rPr>
        <w:t xml:space="preserve"> </w:t>
      </w:r>
      <w:bookmarkStart w:id="347" w:name="_Toc77064935"/>
      <w:r w:rsidRPr="00693A57">
        <w:rPr>
          <w:color w:val="0000FF"/>
          <w:lang w:val="en-US"/>
        </w:rPr>
        <w:t xml:space="preserve">4A.8 </w:t>
      </w:r>
      <w:r w:rsidR="00CC28A8" w:rsidRPr="00693A57">
        <w:rPr>
          <w:color w:val="0000FF"/>
        </w:rPr>
        <w:t xml:space="preserve"> </w:t>
      </w:r>
      <w:r w:rsidR="00C826C8" w:rsidRPr="00693A57">
        <w:rPr>
          <w:color w:val="0000FF"/>
        </w:rPr>
        <w:t>Obtaining agreement</w:t>
      </w:r>
      <w:r w:rsidR="00A75A8E" w:rsidRPr="00693A57">
        <w:rPr>
          <w:color w:val="0000FF"/>
        </w:rPr>
        <w:t xml:space="preserve"> </w:t>
      </w:r>
      <w:r w:rsidR="00C826C8" w:rsidRPr="00693A57">
        <w:rPr>
          <w:color w:val="0000FF"/>
        </w:rPr>
        <w:t xml:space="preserve">on </w:t>
      </w:r>
      <w:r w:rsidR="00C711D7" w:rsidRPr="00693A57">
        <w:rPr>
          <w:color w:val="0000FF"/>
        </w:rPr>
        <w:t>change</w:t>
      </w:r>
      <w:r w:rsidR="00BD1239" w:rsidRPr="00693A57">
        <w:rPr>
          <w:color w:val="0000FF"/>
        </w:rPr>
        <w:t xml:space="preserve"> to a less restrictive </w:t>
      </w:r>
      <w:r w:rsidR="00C826C8" w:rsidRPr="00693A57">
        <w:rPr>
          <w:color w:val="0000FF"/>
        </w:rPr>
        <w:t>disclosure option</w:t>
      </w:r>
      <w:bookmarkEnd w:id="347"/>
    </w:p>
    <w:p w14:paraId="56D314B7" w14:textId="4B5D8D52" w:rsidR="00CC28A8" w:rsidRPr="00693A57" w:rsidRDefault="00CC28A8" w:rsidP="00CC28A8">
      <w:pPr>
        <w:pStyle w:val="SubsectionHead"/>
        <w:rPr>
          <w:color w:val="0000FF"/>
        </w:rPr>
      </w:pPr>
      <w:r w:rsidRPr="00693A57">
        <w:rPr>
          <w:color w:val="0000FF"/>
        </w:rPr>
        <w:t xml:space="preserve">Application of </w:t>
      </w:r>
      <w:r w:rsidR="008F7859" w:rsidRPr="00693A57">
        <w:rPr>
          <w:color w:val="0000FF"/>
        </w:rPr>
        <w:t>rule</w:t>
      </w:r>
    </w:p>
    <w:p w14:paraId="0688AFD5" w14:textId="21C87E59" w:rsidR="00FA06B3" w:rsidRPr="00693A57" w:rsidRDefault="00CC28A8" w:rsidP="00CC28A8">
      <w:pPr>
        <w:pStyle w:val="subsection"/>
        <w:rPr>
          <w:color w:val="0000FF"/>
        </w:rPr>
      </w:pPr>
      <w:r w:rsidRPr="00693A57">
        <w:rPr>
          <w:color w:val="0000FF"/>
        </w:rPr>
        <w:tab/>
        <w:t>(1)</w:t>
      </w:r>
      <w:r w:rsidRPr="00693A57">
        <w:rPr>
          <w:color w:val="0000FF"/>
        </w:rPr>
        <w:tab/>
        <w:t xml:space="preserve">This </w:t>
      </w:r>
      <w:r w:rsidR="008F7859" w:rsidRPr="00693A57">
        <w:rPr>
          <w:color w:val="0000FF"/>
        </w:rPr>
        <w:t>rule</w:t>
      </w:r>
      <w:r w:rsidRPr="00693A57">
        <w:rPr>
          <w:color w:val="0000FF"/>
        </w:rPr>
        <w:t xml:space="preserve"> applies in relation to a particular joint account if</w:t>
      </w:r>
      <w:r w:rsidR="00FA06B3" w:rsidRPr="00693A57">
        <w:rPr>
          <w:color w:val="0000FF"/>
        </w:rPr>
        <w:t>:</w:t>
      </w:r>
    </w:p>
    <w:p w14:paraId="0A18BC4A" w14:textId="3E9C4CED" w:rsidR="00FA06B3" w:rsidRPr="00693A57" w:rsidRDefault="00A75A8E" w:rsidP="00A75A8E">
      <w:pPr>
        <w:pStyle w:val="paragraph"/>
        <w:rPr>
          <w:color w:val="0000FF"/>
        </w:rPr>
      </w:pPr>
      <w:r w:rsidRPr="00693A57">
        <w:rPr>
          <w:color w:val="0000FF"/>
        </w:rPr>
        <w:tab/>
      </w:r>
      <w:r w:rsidR="00FA06B3" w:rsidRPr="00693A57">
        <w:rPr>
          <w:color w:val="0000FF"/>
        </w:rPr>
        <w:t>(a)</w:t>
      </w:r>
      <w:r w:rsidR="00FA06B3" w:rsidRPr="00693A57">
        <w:rPr>
          <w:color w:val="0000FF"/>
        </w:rPr>
        <w:tab/>
        <w:t xml:space="preserve">the non-disclosure option applies to the account, and </w:t>
      </w:r>
      <w:r w:rsidR="00CC28A8" w:rsidRPr="00693A57">
        <w:rPr>
          <w:color w:val="0000FF"/>
        </w:rPr>
        <w:t>a joint account holder (</w:t>
      </w:r>
      <w:r w:rsidR="00CC28A8" w:rsidRPr="00693A57">
        <w:rPr>
          <w:b/>
          <w:i/>
          <w:color w:val="0000FF"/>
        </w:rPr>
        <w:t>account holder A</w:t>
      </w:r>
      <w:r w:rsidR="00CC28A8" w:rsidRPr="00693A57">
        <w:rPr>
          <w:color w:val="0000FF"/>
        </w:rPr>
        <w:t xml:space="preserve">) </w:t>
      </w:r>
      <w:r w:rsidR="00C826C8" w:rsidRPr="00693A57">
        <w:rPr>
          <w:color w:val="0000FF"/>
        </w:rPr>
        <w:t>proposes</w:t>
      </w:r>
      <w:r w:rsidR="00CC28A8" w:rsidRPr="00693A57">
        <w:rPr>
          <w:color w:val="0000FF"/>
        </w:rPr>
        <w:t xml:space="preserve">, using the </w:t>
      </w:r>
      <w:r w:rsidR="00E85D43" w:rsidRPr="00693A57">
        <w:rPr>
          <w:color w:val="0000FF"/>
        </w:rPr>
        <w:t>disclosure option management service</w:t>
      </w:r>
      <w:r w:rsidR="00CC28A8" w:rsidRPr="00693A57">
        <w:rPr>
          <w:color w:val="0000FF"/>
        </w:rPr>
        <w:t xml:space="preserve">, </w:t>
      </w:r>
      <w:r w:rsidR="00C826C8" w:rsidRPr="00693A57">
        <w:rPr>
          <w:color w:val="0000FF"/>
        </w:rPr>
        <w:t xml:space="preserve">to change </w:t>
      </w:r>
      <w:r w:rsidR="00BD1239" w:rsidRPr="00693A57">
        <w:rPr>
          <w:color w:val="0000FF"/>
        </w:rPr>
        <w:t xml:space="preserve">to the co-approval or pre-approval </w:t>
      </w:r>
      <w:r w:rsidR="00C826C8" w:rsidRPr="00693A57">
        <w:rPr>
          <w:color w:val="0000FF"/>
        </w:rPr>
        <w:t>disclosure option</w:t>
      </w:r>
      <w:r w:rsidR="00FA06B3" w:rsidRPr="00693A57">
        <w:rPr>
          <w:color w:val="0000FF"/>
        </w:rPr>
        <w:t>; or</w:t>
      </w:r>
    </w:p>
    <w:p w14:paraId="79A151D7" w14:textId="7C32E6F9" w:rsidR="00FA06B3" w:rsidRPr="00693A57" w:rsidRDefault="00C826C8" w:rsidP="00FA06B3">
      <w:pPr>
        <w:pStyle w:val="paragraph"/>
        <w:rPr>
          <w:color w:val="0000FF"/>
        </w:rPr>
      </w:pPr>
      <w:r w:rsidRPr="00693A57">
        <w:rPr>
          <w:color w:val="0000FF"/>
        </w:rPr>
        <w:t>.</w:t>
      </w:r>
      <w:r w:rsidR="00FA06B3" w:rsidRPr="00693A57">
        <w:rPr>
          <w:color w:val="0000FF"/>
        </w:rPr>
        <w:t xml:space="preserve"> </w:t>
      </w:r>
      <w:r w:rsidR="00FA06B3" w:rsidRPr="00693A57">
        <w:rPr>
          <w:color w:val="0000FF"/>
        </w:rPr>
        <w:tab/>
        <w:t>(b)</w:t>
      </w:r>
      <w:r w:rsidR="00FA06B3" w:rsidRPr="00693A57">
        <w:rPr>
          <w:color w:val="0000FF"/>
        </w:rPr>
        <w:tab/>
        <w:t>the co-</w:t>
      </w:r>
      <w:r w:rsidR="009234FB" w:rsidRPr="00693A57">
        <w:rPr>
          <w:color w:val="0000FF"/>
        </w:rPr>
        <w:t>approval</w:t>
      </w:r>
      <w:r w:rsidR="00FA06B3" w:rsidRPr="00693A57">
        <w:rPr>
          <w:color w:val="0000FF"/>
        </w:rPr>
        <w:t xml:space="preserve"> option applies to the account, and a joint account holder (</w:t>
      </w:r>
      <w:r w:rsidR="00FA06B3" w:rsidRPr="00693A57">
        <w:rPr>
          <w:b/>
          <w:i/>
          <w:color w:val="0000FF"/>
        </w:rPr>
        <w:t>account holder A</w:t>
      </w:r>
      <w:r w:rsidR="00FA06B3" w:rsidRPr="00693A57">
        <w:rPr>
          <w:color w:val="0000FF"/>
        </w:rPr>
        <w:t>) proposes, using the disclosure option management service, to change to the pre-</w:t>
      </w:r>
      <w:r w:rsidR="009234FB" w:rsidRPr="00693A57">
        <w:rPr>
          <w:color w:val="0000FF"/>
        </w:rPr>
        <w:t>approval</w:t>
      </w:r>
      <w:r w:rsidR="00FA06B3" w:rsidRPr="00693A57">
        <w:rPr>
          <w:color w:val="0000FF"/>
        </w:rPr>
        <w:t xml:space="preserve"> option.</w:t>
      </w:r>
    </w:p>
    <w:p w14:paraId="402D349D" w14:textId="512FFC75" w:rsidR="00CC28A8" w:rsidRPr="00693A57" w:rsidRDefault="00202719" w:rsidP="00CC28A8">
      <w:pPr>
        <w:pStyle w:val="SubsectionHead"/>
        <w:rPr>
          <w:color w:val="0000FF"/>
        </w:rPr>
      </w:pPr>
      <w:r w:rsidRPr="00693A57">
        <w:rPr>
          <w:color w:val="0000FF"/>
        </w:rPr>
        <w:t xml:space="preserve">Inviting </w:t>
      </w:r>
      <w:r w:rsidR="00CC28A8" w:rsidRPr="00693A57">
        <w:rPr>
          <w:color w:val="0000FF"/>
        </w:rPr>
        <w:t xml:space="preserve">other account holders to </w:t>
      </w:r>
      <w:r w:rsidR="00FA06B3" w:rsidRPr="00693A57">
        <w:rPr>
          <w:color w:val="0000FF"/>
        </w:rPr>
        <w:t>respond to proposal</w:t>
      </w:r>
    </w:p>
    <w:p w14:paraId="2148373D" w14:textId="77777777" w:rsidR="00CC28A8" w:rsidRPr="00693A57" w:rsidRDefault="00CC28A8" w:rsidP="00CC28A8">
      <w:pPr>
        <w:pStyle w:val="subsection"/>
        <w:rPr>
          <w:color w:val="0000FF"/>
        </w:rPr>
      </w:pPr>
      <w:r w:rsidRPr="00693A57">
        <w:rPr>
          <w:color w:val="0000FF"/>
        </w:rPr>
        <w:tab/>
        <w:t>(2)</w:t>
      </w:r>
      <w:r w:rsidRPr="00693A57">
        <w:rPr>
          <w:color w:val="0000FF"/>
        </w:rPr>
        <w:tab/>
        <w:t>The data holder must, through its ordinary methods for contacting the other joint account holders:</w:t>
      </w:r>
    </w:p>
    <w:p w14:paraId="6A7BEE95" w14:textId="77777777" w:rsidR="00CC28A8" w:rsidRPr="00693A57" w:rsidRDefault="00CC28A8" w:rsidP="00CC28A8">
      <w:pPr>
        <w:pStyle w:val="paragraph"/>
        <w:rPr>
          <w:color w:val="0000FF"/>
        </w:rPr>
      </w:pPr>
      <w:r w:rsidRPr="00693A57">
        <w:rPr>
          <w:color w:val="0000FF"/>
        </w:rPr>
        <w:tab/>
        <w:t>(a)</w:t>
      </w:r>
      <w:r w:rsidRPr="00693A57">
        <w:rPr>
          <w:color w:val="0000FF"/>
        </w:rPr>
        <w:tab/>
        <w:t>explain to each of them what the consumer data right is; and</w:t>
      </w:r>
    </w:p>
    <w:p w14:paraId="6CF8DCAD" w14:textId="7D62645B" w:rsidR="00202719" w:rsidRPr="00693A57" w:rsidRDefault="00202719" w:rsidP="00CC28A8">
      <w:pPr>
        <w:pStyle w:val="paragraph"/>
        <w:rPr>
          <w:color w:val="0000FF"/>
        </w:rPr>
      </w:pPr>
      <w:r w:rsidRPr="00693A57">
        <w:rPr>
          <w:color w:val="0000FF"/>
        </w:rPr>
        <w:tab/>
        <w:t>(c)</w:t>
      </w:r>
      <w:r w:rsidRPr="00693A57">
        <w:rPr>
          <w:color w:val="0000FF"/>
        </w:rPr>
        <w:tab/>
        <w:t>inform them which disclosure option currently applies to the account; and</w:t>
      </w:r>
    </w:p>
    <w:p w14:paraId="2F7CB8A6" w14:textId="2D135019" w:rsidR="00CC28A8" w:rsidRPr="00693A57" w:rsidRDefault="00CC28A8" w:rsidP="00CC28A8">
      <w:pPr>
        <w:pStyle w:val="paragraph"/>
        <w:rPr>
          <w:color w:val="0000FF"/>
        </w:rPr>
      </w:pPr>
      <w:r w:rsidRPr="00693A57">
        <w:rPr>
          <w:color w:val="0000FF"/>
        </w:rPr>
        <w:tab/>
        <w:t>(b)</w:t>
      </w:r>
      <w:r w:rsidRPr="00693A57">
        <w:rPr>
          <w:color w:val="0000FF"/>
        </w:rPr>
        <w:tab/>
        <w:t xml:space="preserve">inform them that account holder A has </w:t>
      </w:r>
      <w:r w:rsidR="00202719" w:rsidRPr="00693A57">
        <w:rPr>
          <w:color w:val="0000FF"/>
        </w:rPr>
        <w:t xml:space="preserve">proposed </w:t>
      </w:r>
      <w:r w:rsidR="00C32885" w:rsidRPr="00693A57">
        <w:rPr>
          <w:color w:val="0000FF"/>
        </w:rPr>
        <w:t>that</w:t>
      </w:r>
      <w:r w:rsidR="00BD1239" w:rsidRPr="00693A57">
        <w:rPr>
          <w:color w:val="0000FF"/>
        </w:rPr>
        <w:t xml:space="preserve"> the co-approval or pre-approval </w:t>
      </w:r>
      <w:r w:rsidR="00C32885" w:rsidRPr="00693A57">
        <w:rPr>
          <w:color w:val="0000FF"/>
        </w:rPr>
        <w:t>option apply to the account</w:t>
      </w:r>
      <w:r w:rsidR="00BD1239" w:rsidRPr="00693A57">
        <w:rPr>
          <w:color w:val="0000FF"/>
        </w:rPr>
        <w:t>, as the case may be</w:t>
      </w:r>
      <w:r w:rsidRPr="00693A57">
        <w:rPr>
          <w:color w:val="0000FF"/>
        </w:rPr>
        <w:t>; and</w:t>
      </w:r>
    </w:p>
    <w:p w14:paraId="35B18C6B" w14:textId="74017B0F" w:rsidR="00CC28A8" w:rsidRPr="00693A57" w:rsidRDefault="00CC28A8" w:rsidP="00CC28A8">
      <w:pPr>
        <w:pStyle w:val="paragraph"/>
        <w:rPr>
          <w:color w:val="0000FF"/>
        </w:rPr>
      </w:pPr>
      <w:r w:rsidRPr="00693A57">
        <w:rPr>
          <w:color w:val="0000FF"/>
        </w:rPr>
        <w:tab/>
        <w:t>(d)</w:t>
      </w:r>
      <w:r w:rsidRPr="00693A57">
        <w:rPr>
          <w:color w:val="0000FF"/>
        </w:rPr>
        <w:tab/>
        <w:t xml:space="preserve">explain to them that </w:t>
      </w:r>
      <w:r w:rsidR="00202719" w:rsidRPr="00693A57">
        <w:rPr>
          <w:color w:val="0000FF"/>
        </w:rPr>
        <w:t>th</w:t>
      </w:r>
      <w:r w:rsidR="00CA6E3F" w:rsidRPr="00693A57">
        <w:rPr>
          <w:color w:val="0000FF"/>
        </w:rPr>
        <w:t>is change requires the agreement of all account holders</w:t>
      </w:r>
      <w:r w:rsidRPr="00693A57">
        <w:rPr>
          <w:color w:val="0000FF"/>
        </w:rPr>
        <w:t>; and</w:t>
      </w:r>
    </w:p>
    <w:p w14:paraId="471D5D1B" w14:textId="15A23C83" w:rsidR="00E43DA0" w:rsidRPr="00693A57" w:rsidRDefault="00E43DA0" w:rsidP="00CC28A8">
      <w:pPr>
        <w:pStyle w:val="paragraph"/>
        <w:rPr>
          <w:color w:val="0000FF"/>
        </w:rPr>
      </w:pPr>
      <w:r w:rsidRPr="00693A57">
        <w:rPr>
          <w:color w:val="0000FF"/>
        </w:rPr>
        <w:tab/>
        <w:t>(e)</w:t>
      </w:r>
      <w:r w:rsidRPr="00693A57">
        <w:rPr>
          <w:color w:val="0000FF"/>
        </w:rPr>
        <w:tab/>
        <w:t xml:space="preserve">explain to them </w:t>
      </w:r>
      <w:r w:rsidR="00CA6E3F" w:rsidRPr="00693A57">
        <w:rPr>
          <w:color w:val="0000FF"/>
        </w:rPr>
        <w:t xml:space="preserve">any </w:t>
      </w:r>
      <w:r w:rsidR="00FA06B3" w:rsidRPr="00693A57">
        <w:rPr>
          <w:color w:val="0000FF"/>
        </w:rPr>
        <w:t>alternative options for change that are available and how they can be made</w:t>
      </w:r>
      <w:r w:rsidRPr="00693A57">
        <w:rPr>
          <w:color w:val="0000FF"/>
        </w:rPr>
        <w:t>; and</w:t>
      </w:r>
    </w:p>
    <w:p w14:paraId="1156EC40" w14:textId="63131735" w:rsidR="00E43DA0" w:rsidRPr="00693A57" w:rsidRDefault="00E43DA0" w:rsidP="00CC28A8">
      <w:pPr>
        <w:pStyle w:val="paragraph"/>
        <w:rPr>
          <w:color w:val="0000FF"/>
        </w:rPr>
      </w:pPr>
      <w:r w:rsidRPr="00693A57">
        <w:rPr>
          <w:color w:val="0000FF"/>
        </w:rPr>
        <w:tab/>
        <w:t>(f</w:t>
      </w:r>
      <w:r w:rsidR="00CC28A8" w:rsidRPr="00693A57">
        <w:rPr>
          <w:color w:val="0000FF"/>
        </w:rPr>
        <w:t>)</w:t>
      </w:r>
      <w:r w:rsidR="00CC28A8" w:rsidRPr="00693A57">
        <w:rPr>
          <w:color w:val="0000FF"/>
        </w:rPr>
        <w:tab/>
        <w:t xml:space="preserve">invite them to </w:t>
      </w:r>
      <w:r w:rsidRPr="00693A57">
        <w:rPr>
          <w:color w:val="0000FF"/>
        </w:rPr>
        <w:t>either agree to or reject the proposal</w:t>
      </w:r>
      <w:r w:rsidR="00CA6E3F" w:rsidRPr="00693A57">
        <w:rPr>
          <w:color w:val="0000FF"/>
        </w:rPr>
        <w:t xml:space="preserve"> </w:t>
      </w:r>
      <w:r w:rsidR="00085185" w:rsidRPr="00693A57">
        <w:rPr>
          <w:color w:val="0000FF"/>
        </w:rPr>
        <w:t>within a specified period</w:t>
      </w:r>
      <w:r w:rsidRPr="00693A57">
        <w:rPr>
          <w:color w:val="0000FF"/>
        </w:rPr>
        <w:t>.</w:t>
      </w:r>
    </w:p>
    <w:p w14:paraId="56087EC1" w14:textId="61A3E4A0" w:rsidR="008B606B" w:rsidRPr="00693A57" w:rsidRDefault="008B606B" w:rsidP="008B606B">
      <w:pPr>
        <w:pStyle w:val="notetext"/>
        <w:rPr>
          <w:color w:val="0000FF"/>
        </w:rPr>
      </w:pPr>
      <w:r w:rsidRPr="00693A57">
        <w:rPr>
          <w:color w:val="0000FF"/>
        </w:rPr>
        <w:lastRenderedPageBreak/>
        <w:t>Note:</w:t>
      </w:r>
      <w:r w:rsidRPr="00693A57">
        <w:rPr>
          <w:color w:val="0000FF"/>
        </w:rPr>
        <w:tab/>
        <w:t>This sub</w:t>
      </w:r>
      <w:r w:rsidR="008F7859" w:rsidRPr="00693A57">
        <w:rPr>
          <w:color w:val="0000FF"/>
        </w:rPr>
        <w:t>rule</w:t>
      </w:r>
      <w:r w:rsidRPr="00693A57">
        <w:rPr>
          <w:color w:val="0000FF"/>
        </w:rPr>
        <w:t xml:space="preserve"> is a civil penalty provision (see rule 9.8).</w:t>
      </w:r>
    </w:p>
    <w:p w14:paraId="54627723" w14:textId="467884A6" w:rsidR="00085185" w:rsidRPr="00693A57" w:rsidRDefault="00085185" w:rsidP="00085185">
      <w:pPr>
        <w:pStyle w:val="subsection"/>
        <w:rPr>
          <w:color w:val="0000FF"/>
        </w:rPr>
      </w:pPr>
      <w:r w:rsidRPr="00693A57">
        <w:rPr>
          <w:color w:val="0000FF"/>
        </w:rPr>
        <w:tab/>
      </w:r>
      <w:r w:rsidR="00CA6E3F" w:rsidRPr="00693A57">
        <w:rPr>
          <w:color w:val="0000FF"/>
        </w:rPr>
        <w:t>(3)</w:t>
      </w:r>
      <w:r w:rsidR="00CA6E3F" w:rsidRPr="00693A57">
        <w:rPr>
          <w:color w:val="0000FF"/>
        </w:rPr>
        <w:tab/>
      </w:r>
      <w:r w:rsidRPr="00693A57">
        <w:rPr>
          <w:color w:val="0000FF"/>
        </w:rPr>
        <w:t>At the</w:t>
      </w:r>
      <w:r w:rsidR="00CA6E3F" w:rsidRPr="00693A57">
        <w:rPr>
          <w:color w:val="0000FF"/>
        </w:rPr>
        <w:t xml:space="preserve"> end of the specified period</w:t>
      </w:r>
      <w:r w:rsidRPr="00693A57">
        <w:rPr>
          <w:color w:val="0000FF"/>
        </w:rPr>
        <w:t>, the data holder must inform the joint account holders whether:</w:t>
      </w:r>
    </w:p>
    <w:p w14:paraId="447E4A1B" w14:textId="10DC24BF" w:rsidR="00085185" w:rsidRPr="00693A57" w:rsidRDefault="00085185" w:rsidP="00085185">
      <w:pPr>
        <w:pStyle w:val="paragraph"/>
        <w:rPr>
          <w:color w:val="0000FF"/>
        </w:rPr>
      </w:pPr>
      <w:r w:rsidRPr="00693A57">
        <w:rPr>
          <w:color w:val="0000FF"/>
        </w:rPr>
        <w:tab/>
        <w:t>(a)</w:t>
      </w:r>
      <w:r w:rsidRPr="00693A57">
        <w:rPr>
          <w:color w:val="0000FF"/>
        </w:rPr>
        <w:tab/>
        <w:t xml:space="preserve">all the joint account holders have approved the change, and as a result the new disclosure option </w:t>
      </w:r>
      <w:r w:rsidR="008B606B" w:rsidRPr="00693A57">
        <w:rPr>
          <w:color w:val="0000FF"/>
        </w:rPr>
        <w:t>applies to the joint account; or</w:t>
      </w:r>
    </w:p>
    <w:p w14:paraId="7408CE38" w14:textId="717D9E21" w:rsidR="008B606B" w:rsidRPr="00693A57" w:rsidRDefault="008B606B" w:rsidP="00085185">
      <w:pPr>
        <w:pStyle w:val="paragraph"/>
        <w:rPr>
          <w:color w:val="0000FF"/>
        </w:rPr>
      </w:pPr>
      <w:r w:rsidRPr="00693A57">
        <w:rPr>
          <w:color w:val="0000FF"/>
        </w:rPr>
        <w:tab/>
        <w:t>(c)</w:t>
      </w:r>
      <w:r w:rsidRPr="00693A57">
        <w:rPr>
          <w:color w:val="0000FF"/>
        </w:rPr>
        <w:tab/>
        <w:t>not all the joint account holders have approved the change, and as a result the disclosure option is unchanged.</w:t>
      </w:r>
    </w:p>
    <w:p w14:paraId="54FA03DA" w14:textId="34313D0A" w:rsidR="00CC28A8" w:rsidRPr="00693A57" w:rsidRDefault="00CC28A8" w:rsidP="00CC28A8">
      <w:pPr>
        <w:pStyle w:val="notetext"/>
        <w:rPr>
          <w:color w:val="0000FF"/>
        </w:rPr>
      </w:pPr>
      <w:r w:rsidRPr="00693A57">
        <w:rPr>
          <w:color w:val="0000FF"/>
        </w:rPr>
        <w:t>Note:</w:t>
      </w:r>
      <w:r w:rsidRPr="00693A57">
        <w:rPr>
          <w:color w:val="0000FF"/>
        </w:rPr>
        <w:tab/>
        <w:t>This sub</w:t>
      </w:r>
      <w:r w:rsidR="008F7859" w:rsidRPr="00693A57">
        <w:rPr>
          <w:color w:val="0000FF"/>
        </w:rPr>
        <w:t>rule</w:t>
      </w:r>
      <w:r w:rsidRPr="00693A57">
        <w:rPr>
          <w:color w:val="0000FF"/>
        </w:rPr>
        <w:t xml:space="preserve"> is a civil penalty provision (see rule 9.8).</w:t>
      </w:r>
    </w:p>
    <w:p w14:paraId="1672960B" w14:textId="5CEADA96" w:rsidR="00CC28A8" w:rsidRPr="00693A57" w:rsidRDefault="00832060" w:rsidP="008B3536">
      <w:pPr>
        <w:pStyle w:val="ActHead3"/>
        <w:rPr>
          <w:color w:val="0000FF"/>
        </w:rPr>
      </w:pPr>
      <w:bookmarkStart w:id="348" w:name="_Toc77064936"/>
      <w:r w:rsidRPr="00693A57">
        <w:rPr>
          <w:color w:val="0000FF"/>
        </w:rPr>
        <w:t>Division 4A.3</w:t>
      </w:r>
      <w:r w:rsidR="008B3536" w:rsidRPr="00693A57">
        <w:rPr>
          <w:color w:val="0000FF"/>
        </w:rPr>
        <w:t>—</w:t>
      </w:r>
      <w:r w:rsidR="00CC28A8" w:rsidRPr="00693A57">
        <w:rPr>
          <w:color w:val="0000FF"/>
        </w:rPr>
        <w:t>Consumer data requests that relate to joint accounts</w:t>
      </w:r>
      <w:bookmarkEnd w:id="348"/>
    </w:p>
    <w:p w14:paraId="44F2E14A" w14:textId="3492C779" w:rsidR="00CC28A8" w:rsidRPr="00693A57" w:rsidRDefault="00832060" w:rsidP="008B3536">
      <w:pPr>
        <w:pStyle w:val="ActHead4"/>
        <w:rPr>
          <w:color w:val="0000FF"/>
        </w:rPr>
      </w:pPr>
      <w:bookmarkStart w:id="349" w:name="_Toc77064937"/>
      <w:r w:rsidRPr="00693A57">
        <w:rPr>
          <w:color w:val="0000FF"/>
        </w:rPr>
        <w:t>Subdivision 4A.3.1</w:t>
      </w:r>
      <w:r w:rsidR="008B3536" w:rsidRPr="00693A57">
        <w:rPr>
          <w:color w:val="0000FF"/>
        </w:rPr>
        <w:t>—</w:t>
      </w:r>
      <w:r w:rsidR="00CC28A8" w:rsidRPr="00693A57">
        <w:rPr>
          <w:color w:val="0000FF"/>
        </w:rPr>
        <w:t>Preliminary</w:t>
      </w:r>
      <w:bookmarkEnd w:id="349"/>
    </w:p>
    <w:p w14:paraId="34B99DB0" w14:textId="28D85450" w:rsidR="00CC28A8" w:rsidRPr="00693A57" w:rsidRDefault="00832060" w:rsidP="00CC28A8">
      <w:pPr>
        <w:pStyle w:val="ActHead5"/>
        <w:rPr>
          <w:color w:val="0000FF"/>
          <w:lang w:val="en-US"/>
        </w:rPr>
      </w:pPr>
      <w:r w:rsidRPr="00693A57">
        <w:rPr>
          <w:color w:val="0000FF"/>
          <w:lang w:val="en-US"/>
        </w:rPr>
        <w:t xml:space="preserve"> </w:t>
      </w:r>
      <w:bookmarkStart w:id="350" w:name="_Toc77064938"/>
      <w:r w:rsidRPr="00693A57">
        <w:rPr>
          <w:color w:val="0000FF"/>
          <w:lang w:val="en-US"/>
        </w:rPr>
        <w:t xml:space="preserve">4A.9 </w:t>
      </w:r>
      <w:r w:rsidR="00CC28A8" w:rsidRPr="00693A57">
        <w:rPr>
          <w:color w:val="0000FF"/>
          <w:lang w:val="en-US"/>
        </w:rPr>
        <w:t>Application of Division</w:t>
      </w:r>
      <w:bookmarkEnd w:id="350"/>
    </w:p>
    <w:p w14:paraId="43301805" w14:textId="77777777" w:rsidR="00415B40" w:rsidRPr="00693A57" w:rsidRDefault="00CC28A8" w:rsidP="00CC28A8">
      <w:pPr>
        <w:pStyle w:val="subsection"/>
        <w:rPr>
          <w:color w:val="0000FF"/>
        </w:rPr>
      </w:pPr>
      <w:r w:rsidRPr="00693A57">
        <w:rPr>
          <w:color w:val="0000FF"/>
          <w:lang w:val="en-US"/>
        </w:rPr>
        <w:tab/>
        <w:t>(1)</w:t>
      </w:r>
      <w:r w:rsidRPr="00693A57">
        <w:rPr>
          <w:color w:val="0000FF"/>
          <w:lang w:val="en-US"/>
        </w:rPr>
        <w:tab/>
        <w:t>This Division applies in relation to a consumer data reques</w:t>
      </w:r>
      <w:r w:rsidR="00B90EE2" w:rsidRPr="00693A57">
        <w:rPr>
          <w:color w:val="0000FF"/>
          <w:lang w:val="en-US"/>
        </w:rPr>
        <w:t>t to a data holder under Part 4</w:t>
      </w:r>
      <w:r w:rsidRPr="00693A57">
        <w:rPr>
          <w:color w:val="0000FF"/>
          <w:lang w:val="en-US"/>
        </w:rPr>
        <w:t xml:space="preserve"> that is for disclosure of </w:t>
      </w:r>
      <w:r w:rsidR="00415B40" w:rsidRPr="00693A57">
        <w:rPr>
          <w:color w:val="0000FF"/>
        </w:rPr>
        <w:t xml:space="preserve">CDR data </w:t>
      </w:r>
      <w:r w:rsidR="00415B40" w:rsidRPr="00693A57">
        <w:rPr>
          <w:color w:val="0000FF"/>
          <w:lang w:val="en-US"/>
        </w:rPr>
        <w:t>in relation to a particular joint account of a kind</w:t>
      </w:r>
      <w:r w:rsidR="00415B40" w:rsidRPr="00693A57">
        <w:rPr>
          <w:color w:val="0000FF"/>
        </w:rPr>
        <w:t xml:space="preserve"> specified for the purposes of this paragraph in a sector Schedule.</w:t>
      </w:r>
    </w:p>
    <w:p w14:paraId="1017B74D" w14:textId="77777777" w:rsidR="00CC28A8" w:rsidRPr="00693A57" w:rsidRDefault="00CC28A8" w:rsidP="00CC28A8">
      <w:pPr>
        <w:pStyle w:val="subsection"/>
        <w:rPr>
          <w:color w:val="0000FF"/>
          <w:lang w:val="en-US"/>
        </w:rPr>
      </w:pPr>
      <w:r w:rsidRPr="00693A57">
        <w:rPr>
          <w:color w:val="0000FF"/>
          <w:lang w:val="en-US"/>
        </w:rPr>
        <w:tab/>
        <w:t>(2)</w:t>
      </w:r>
      <w:r w:rsidRPr="00693A57">
        <w:rPr>
          <w:color w:val="0000FF"/>
          <w:lang w:val="en-US"/>
        </w:rPr>
        <w:tab/>
        <w:t>This Division applies whether or not the request is also for disclosure of other CDR data.</w:t>
      </w:r>
    </w:p>
    <w:p w14:paraId="78DFAE41" w14:textId="11BE2561" w:rsidR="00CC28A8" w:rsidRPr="00693A57" w:rsidRDefault="00CC28A8" w:rsidP="00CC28A8">
      <w:pPr>
        <w:pStyle w:val="subsection"/>
        <w:rPr>
          <w:color w:val="0000FF"/>
          <w:lang w:val="en-US"/>
        </w:rPr>
      </w:pPr>
      <w:r w:rsidRPr="00693A57">
        <w:rPr>
          <w:color w:val="0000FF"/>
          <w:lang w:val="en-US"/>
        </w:rPr>
        <w:tab/>
        <w:t>(3)</w:t>
      </w:r>
      <w:r w:rsidRPr="00693A57">
        <w:rPr>
          <w:color w:val="0000FF"/>
          <w:lang w:val="en-US"/>
        </w:rPr>
        <w:tab/>
        <w:t>If a particular consumer data request to a data holder under Part 4  relates to more than one joint account, this Division applies separately in relation to each such joint account.</w:t>
      </w:r>
    </w:p>
    <w:p w14:paraId="382CF70A" w14:textId="14F43752" w:rsidR="00CC28A8" w:rsidRPr="00693A57" w:rsidRDefault="00832060" w:rsidP="00CC28A8">
      <w:pPr>
        <w:pStyle w:val="ActHead5"/>
        <w:rPr>
          <w:color w:val="0000FF"/>
          <w:lang w:val="en-US"/>
        </w:rPr>
      </w:pPr>
      <w:r w:rsidRPr="00693A57">
        <w:rPr>
          <w:color w:val="0000FF"/>
          <w:lang w:val="en-US"/>
        </w:rPr>
        <w:t xml:space="preserve"> </w:t>
      </w:r>
      <w:bookmarkStart w:id="351" w:name="_Toc77064939"/>
      <w:r w:rsidRPr="00693A57">
        <w:rPr>
          <w:color w:val="0000FF"/>
          <w:lang w:val="en-US"/>
        </w:rPr>
        <w:t xml:space="preserve">4A.10 </w:t>
      </w:r>
      <w:r w:rsidR="00CC28A8" w:rsidRPr="00693A57">
        <w:rPr>
          <w:color w:val="0000FF"/>
          <w:lang w:val="en-US"/>
        </w:rPr>
        <w:t>Interpretation</w:t>
      </w:r>
      <w:bookmarkEnd w:id="351"/>
    </w:p>
    <w:p w14:paraId="300E0530" w14:textId="77777777" w:rsidR="00CC28A8" w:rsidRPr="00693A57" w:rsidRDefault="00CC28A8" w:rsidP="00CC28A8">
      <w:pPr>
        <w:pStyle w:val="subsection"/>
        <w:rPr>
          <w:color w:val="0000FF"/>
          <w:lang w:val="en-US"/>
        </w:rPr>
      </w:pPr>
      <w:r w:rsidRPr="00693A57">
        <w:rPr>
          <w:color w:val="0000FF"/>
          <w:lang w:val="en-US"/>
        </w:rPr>
        <w:tab/>
      </w:r>
      <w:r w:rsidRPr="00693A57">
        <w:rPr>
          <w:color w:val="0000FF"/>
          <w:lang w:val="en-US"/>
        </w:rPr>
        <w:tab/>
        <w:t>For this Division:</w:t>
      </w:r>
    </w:p>
    <w:p w14:paraId="24E9D203" w14:textId="598FC9CC" w:rsidR="00CC28A8" w:rsidRPr="00693A57" w:rsidRDefault="00CC28A8" w:rsidP="00CC28A8">
      <w:pPr>
        <w:pStyle w:val="paragraph"/>
        <w:rPr>
          <w:color w:val="0000FF"/>
          <w:lang w:val="en-US"/>
        </w:rPr>
      </w:pPr>
      <w:r w:rsidRPr="00693A57">
        <w:rPr>
          <w:color w:val="0000FF"/>
          <w:lang w:val="en-US"/>
        </w:rPr>
        <w:tab/>
        <w:t>(a)</w:t>
      </w:r>
      <w:r w:rsidRPr="00693A57">
        <w:rPr>
          <w:color w:val="0000FF"/>
          <w:lang w:val="en-US"/>
        </w:rPr>
        <w:tab/>
        <w:t>the</w:t>
      </w:r>
      <w:r w:rsidRPr="00693A57">
        <w:rPr>
          <w:b/>
          <w:i/>
          <w:color w:val="0000FF"/>
          <w:lang w:val="en-US"/>
        </w:rPr>
        <w:t xml:space="preserve"> requester </w:t>
      </w:r>
      <w:r w:rsidRPr="00693A57">
        <w:rPr>
          <w:color w:val="0000FF"/>
          <w:lang w:val="en-US"/>
        </w:rPr>
        <w:t xml:space="preserve">is the person on whose behalf the consumer data request referred to in </w:t>
      </w:r>
      <w:r w:rsidR="008F7859" w:rsidRPr="00693A57">
        <w:rPr>
          <w:color w:val="0000FF"/>
          <w:lang w:val="en-US"/>
        </w:rPr>
        <w:t>rule</w:t>
      </w:r>
      <w:r w:rsidRPr="00693A57">
        <w:rPr>
          <w:color w:val="0000FF"/>
          <w:lang w:val="en-US"/>
        </w:rPr>
        <w:t> </w:t>
      </w:r>
      <w:r w:rsidR="000B1D10" w:rsidRPr="00693A57">
        <w:rPr>
          <w:color w:val="0000FF"/>
        </w:rPr>
        <w:t>4</w:t>
      </w:r>
      <w:r w:rsidR="00832060" w:rsidRPr="00693A57">
        <w:rPr>
          <w:color w:val="0000FF"/>
        </w:rPr>
        <w:t>A</w:t>
      </w:r>
      <w:r w:rsidR="000B1D10" w:rsidRPr="00693A57">
        <w:rPr>
          <w:color w:val="0000FF"/>
        </w:rPr>
        <w:t>.9</w:t>
      </w:r>
      <w:r w:rsidR="00480F2B" w:rsidRPr="00693A57">
        <w:rPr>
          <w:color w:val="0000FF"/>
        </w:rPr>
        <w:t xml:space="preserve"> </w:t>
      </w:r>
      <w:r w:rsidRPr="00693A57">
        <w:rPr>
          <w:color w:val="0000FF"/>
          <w:lang w:val="en-US"/>
        </w:rPr>
        <w:t>was made; and</w:t>
      </w:r>
    </w:p>
    <w:p w14:paraId="392A932F" w14:textId="77777777" w:rsidR="00CC28A8" w:rsidRPr="00693A57" w:rsidRDefault="00CC28A8" w:rsidP="00CC28A8">
      <w:pPr>
        <w:pStyle w:val="paragraph"/>
        <w:rPr>
          <w:color w:val="0000FF"/>
          <w:lang w:val="en-US"/>
        </w:rPr>
      </w:pPr>
      <w:r w:rsidRPr="00693A57">
        <w:rPr>
          <w:color w:val="0000FF"/>
          <w:lang w:val="en-US"/>
        </w:rPr>
        <w:tab/>
        <w:t>(b)</w:t>
      </w:r>
      <w:r w:rsidRPr="00693A57">
        <w:rPr>
          <w:color w:val="0000FF"/>
          <w:lang w:val="en-US"/>
        </w:rPr>
        <w:tab/>
        <w:t xml:space="preserve">the </w:t>
      </w:r>
      <w:r w:rsidRPr="00693A57">
        <w:rPr>
          <w:b/>
          <w:i/>
          <w:color w:val="0000FF"/>
          <w:lang w:val="en-US"/>
        </w:rPr>
        <w:t>relevant account holders</w:t>
      </w:r>
      <w:r w:rsidRPr="00693A57">
        <w:rPr>
          <w:color w:val="0000FF"/>
          <w:lang w:val="en-US"/>
        </w:rPr>
        <w:t xml:space="preserve"> are:</w:t>
      </w:r>
    </w:p>
    <w:p w14:paraId="315D409A" w14:textId="5C2FFEF2" w:rsidR="00CC28A8" w:rsidRPr="00693A57" w:rsidRDefault="00CC28A8" w:rsidP="00480F2B">
      <w:pPr>
        <w:pStyle w:val="paragraphsub"/>
        <w:rPr>
          <w:color w:val="0000FF"/>
          <w:lang w:val="en-US"/>
        </w:rPr>
      </w:pPr>
      <w:r w:rsidRPr="00693A57">
        <w:rPr>
          <w:color w:val="0000FF"/>
          <w:lang w:val="en-US"/>
        </w:rPr>
        <w:tab/>
        <w:t>(i)</w:t>
      </w:r>
      <w:r w:rsidRPr="00693A57">
        <w:rPr>
          <w:color w:val="0000FF"/>
          <w:lang w:val="en-US"/>
        </w:rPr>
        <w:tab/>
        <w:t>if the requester is a secondary user―all joint account holders; and</w:t>
      </w:r>
    </w:p>
    <w:p w14:paraId="61841535" w14:textId="77777777" w:rsidR="00CC28A8" w:rsidRPr="00693A57" w:rsidRDefault="00CC28A8" w:rsidP="00CC28A8">
      <w:pPr>
        <w:pStyle w:val="paragraphsub"/>
        <w:rPr>
          <w:color w:val="0000FF"/>
          <w:lang w:val="en-US"/>
        </w:rPr>
      </w:pPr>
      <w:r w:rsidRPr="00693A57">
        <w:rPr>
          <w:color w:val="0000FF"/>
          <w:lang w:val="en-US"/>
        </w:rPr>
        <w:tab/>
        <w:t>(ii)</w:t>
      </w:r>
      <w:r w:rsidRPr="00693A57">
        <w:rPr>
          <w:color w:val="0000FF"/>
          <w:lang w:val="en-US"/>
        </w:rPr>
        <w:tab/>
        <w:t>if the requester is a joint account holder―the other joint account holders; and</w:t>
      </w:r>
    </w:p>
    <w:p w14:paraId="232E741D" w14:textId="7246D80B" w:rsidR="00CC28A8" w:rsidRPr="00693A57" w:rsidRDefault="00CC28A8" w:rsidP="00CC28A8">
      <w:pPr>
        <w:pStyle w:val="paragraph"/>
        <w:rPr>
          <w:color w:val="0000FF"/>
          <w:lang w:val="en-US"/>
        </w:rPr>
      </w:pPr>
      <w:r w:rsidRPr="00693A57">
        <w:rPr>
          <w:color w:val="0000FF"/>
          <w:lang w:val="en-US"/>
        </w:rPr>
        <w:tab/>
        <w:t>(c)</w:t>
      </w:r>
      <w:r w:rsidRPr="00693A57">
        <w:rPr>
          <w:color w:val="0000FF"/>
          <w:lang w:val="en-US"/>
        </w:rPr>
        <w:tab/>
      </w:r>
      <w:r w:rsidR="00E85D43" w:rsidRPr="00693A57">
        <w:rPr>
          <w:color w:val="0000FF"/>
          <w:lang w:val="en-US"/>
        </w:rPr>
        <w:t xml:space="preserve">the </w:t>
      </w:r>
      <w:r w:rsidRPr="00693A57">
        <w:rPr>
          <w:b/>
          <w:i/>
          <w:color w:val="0000FF"/>
          <w:lang w:val="en-US"/>
        </w:rPr>
        <w:t xml:space="preserve">joint account data </w:t>
      </w:r>
      <w:r w:rsidRPr="00693A57">
        <w:rPr>
          <w:color w:val="0000FF"/>
          <w:lang w:val="en-US"/>
        </w:rPr>
        <w:t xml:space="preserve">is the CDR data </w:t>
      </w:r>
      <w:r w:rsidR="008B3536" w:rsidRPr="00693A57">
        <w:rPr>
          <w:color w:val="0000FF"/>
          <w:lang w:val="en-US"/>
        </w:rPr>
        <w:t>that was the subject of the request</w:t>
      </w:r>
      <w:r w:rsidRPr="00693A57">
        <w:rPr>
          <w:color w:val="0000FF"/>
          <w:lang w:val="en-US"/>
        </w:rPr>
        <w:t xml:space="preserve"> referred to in subrule </w:t>
      </w:r>
      <w:r w:rsidR="00832060" w:rsidRPr="00693A57">
        <w:rPr>
          <w:color w:val="0000FF"/>
          <w:lang w:val="en-US"/>
        </w:rPr>
        <w:t xml:space="preserve"> 4A.</w:t>
      </w:r>
      <w:r w:rsidRPr="00693A57">
        <w:rPr>
          <w:color w:val="0000FF"/>
          <w:lang w:val="en-US"/>
        </w:rPr>
        <w:t>8(1).</w:t>
      </w:r>
    </w:p>
    <w:p w14:paraId="4829388D" w14:textId="0FEE5EBB" w:rsidR="00CC28A8" w:rsidRPr="00693A57" w:rsidRDefault="00832060" w:rsidP="008B3536">
      <w:pPr>
        <w:pStyle w:val="ActHead4"/>
        <w:rPr>
          <w:color w:val="0000FF"/>
        </w:rPr>
      </w:pPr>
      <w:bookmarkStart w:id="352" w:name="_Toc77064940"/>
      <w:r w:rsidRPr="00693A57">
        <w:rPr>
          <w:color w:val="0000FF"/>
          <w:lang w:val="en-US"/>
        </w:rPr>
        <w:t>Subdivision  4A.3.2</w:t>
      </w:r>
      <w:r w:rsidR="008B3536" w:rsidRPr="00693A57">
        <w:rPr>
          <w:color w:val="0000FF"/>
        </w:rPr>
        <w:t>—</w:t>
      </w:r>
      <w:r w:rsidR="00CC28A8" w:rsidRPr="00693A57">
        <w:rPr>
          <w:color w:val="0000FF"/>
          <w:lang w:val="en-US"/>
        </w:rPr>
        <w:t xml:space="preserve">How </w:t>
      </w:r>
      <w:r w:rsidR="00CC28A8" w:rsidRPr="00693A57">
        <w:rPr>
          <w:color w:val="0000FF"/>
        </w:rPr>
        <w:t>consumer data requests to data holders under Part 4 that relate to joint accounts are handled</w:t>
      </w:r>
      <w:bookmarkEnd w:id="352"/>
    </w:p>
    <w:p w14:paraId="48A514A3" w14:textId="232259DF" w:rsidR="00B90EE2" w:rsidRPr="00693A57" w:rsidRDefault="00832060" w:rsidP="00B90EE2">
      <w:pPr>
        <w:pStyle w:val="ActHead5"/>
        <w:rPr>
          <w:strike/>
          <w:color w:val="0000FF"/>
        </w:rPr>
      </w:pPr>
      <w:r w:rsidRPr="00693A57">
        <w:rPr>
          <w:color w:val="0000FF"/>
          <w:lang w:val="en-US"/>
        </w:rPr>
        <w:t xml:space="preserve"> </w:t>
      </w:r>
      <w:bookmarkStart w:id="353" w:name="_Toc77064941"/>
      <w:r w:rsidRPr="00693A57">
        <w:rPr>
          <w:color w:val="0000FF"/>
          <w:lang w:val="en-US"/>
        </w:rPr>
        <w:t xml:space="preserve">4A.11 </w:t>
      </w:r>
      <w:r w:rsidR="00B90EE2" w:rsidRPr="00693A57">
        <w:rPr>
          <w:color w:val="0000FF"/>
        </w:rPr>
        <w:t>How data holder is to deal with a consumer data request</w:t>
      </w:r>
      <w:bookmarkEnd w:id="353"/>
    </w:p>
    <w:p w14:paraId="08AFF288" w14:textId="2EECB275" w:rsidR="00D937A7" w:rsidRPr="00693A57" w:rsidRDefault="00B90EE2" w:rsidP="00B90EE2">
      <w:pPr>
        <w:pStyle w:val="subsection"/>
        <w:rPr>
          <w:color w:val="0000FF"/>
        </w:rPr>
      </w:pPr>
      <w:r w:rsidRPr="00693A57">
        <w:rPr>
          <w:color w:val="0000FF"/>
        </w:rPr>
        <w:tab/>
      </w:r>
      <w:r w:rsidR="006650B7" w:rsidRPr="00693A57">
        <w:rPr>
          <w:color w:val="0000FF"/>
        </w:rPr>
        <w:tab/>
        <w:t>When</w:t>
      </w:r>
      <w:r w:rsidR="00D937A7" w:rsidRPr="00693A57">
        <w:rPr>
          <w:color w:val="0000FF"/>
        </w:rPr>
        <w:t xml:space="preserve"> the data holder receives the consumer data request referred to in rule </w:t>
      </w:r>
      <w:r w:rsidR="000B1D10" w:rsidRPr="00693A57">
        <w:rPr>
          <w:color w:val="0000FF"/>
        </w:rPr>
        <w:t>4</w:t>
      </w:r>
      <w:r w:rsidR="00832060" w:rsidRPr="00693A57">
        <w:rPr>
          <w:color w:val="0000FF"/>
        </w:rPr>
        <w:t>A</w:t>
      </w:r>
      <w:r w:rsidR="000B1D10" w:rsidRPr="00693A57">
        <w:rPr>
          <w:color w:val="0000FF"/>
        </w:rPr>
        <w:t>.9</w:t>
      </w:r>
      <w:r w:rsidR="00D937A7" w:rsidRPr="00693A57">
        <w:rPr>
          <w:color w:val="0000FF"/>
        </w:rPr>
        <w:t>:</w:t>
      </w:r>
    </w:p>
    <w:p w14:paraId="2F836460" w14:textId="4B772E8A" w:rsidR="00D937A7" w:rsidRPr="00693A57" w:rsidRDefault="00D937A7" w:rsidP="00D937A7">
      <w:pPr>
        <w:pStyle w:val="paragraph"/>
        <w:rPr>
          <w:color w:val="0000FF"/>
        </w:rPr>
      </w:pPr>
      <w:r w:rsidRPr="00693A57">
        <w:rPr>
          <w:color w:val="0000FF"/>
        </w:rPr>
        <w:lastRenderedPageBreak/>
        <w:tab/>
      </w:r>
      <w:r w:rsidR="00832060" w:rsidRPr="00693A57">
        <w:rPr>
          <w:color w:val="0000FF"/>
        </w:rPr>
        <w:t>(a)</w:t>
      </w:r>
      <w:r w:rsidRPr="00693A57">
        <w:rPr>
          <w:color w:val="0000FF"/>
        </w:rPr>
        <w:tab/>
        <w:t xml:space="preserve">if the pre-approval disclosure option applies to the joint account—the data holder must respond to the request </w:t>
      </w:r>
      <w:r w:rsidR="006650B7" w:rsidRPr="00693A57">
        <w:rPr>
          <w:color w:val="0000FF"/>
        </w:rPr>
        <w:t>as if it were not a joint account and</w:t>
      </w:r>
      <w:r w:rsidR="006D4A46" w:rsidRPr="00693A57">
        <w:rPr>
          <w:color w:val="0000FF"/>
        </w:rPr>
        <w:t xml:space="preserve"> the requester were the only account holder</w:t>
      </w:r>
      <w:r w:rsidRPr="00693A57">
        <w:rPr>
          <w:color w:val="0000FF"/>
        </w:rPr>
        <w:t>; and</w:t>
      </w:r>
    </w:p>
    <w:p w14:paraId="1674ED58" w14:textId="391BFBFD" w:rsidR="00B667B5" w:rsidRPr="00693A57" w:rsidRDefault="00D937A7" w:rsidP="00D937A7">
      <w:pPr>
        <w:pStyle w:val="paragraph"/>
        <w:rPr>
          <w:color w:val="0000FF"/>
        </w:rPr>
      </w:pPr>
      <w:r w:rsidRPr="00693A57">
        <w:rPr>
          <w:color w:val="0000FF"/>
        </w:rPr>
        <w:tab/>
      </w:r>
      <w:r w:rsidR="00832060" w:rsidRPr="00693A57">
        <w:rPr>
          <w:color w:val="0000FF"/>
        </w:rPr>
        <w:t>(b)</w:t>
      </w:r>
      <w:r w:rsidRPr="00693A57">
        <w:rPr>
          <w:color w:val="0000FF"/>
        </w:rPr>
        <w:tab/>
        <w:t>if the co-</w:t>
      </w:r>
      <w:r w:rsidR="009234FB" w:rsidRPr="00693A57">
        <w:rPr>
          <w:color w:val="0000FF"/>
        </w:rPr>
        <w:t>approval</w:t>
      </w:r>
      <w:r w:rsidRPr="00693A57">
        <w:rPr>
          <w:color w:val="0000FF"/>
        </w:rPr>
        <w:t xml:space="preserve"> option applies to the joint account—</w:t>
      </w:r>
      <w:r w:rsidR="00B667B5" w:rsidRPr="00693A57">
        <w:rPr>
          <w:color w:val="0000FF"/>
        </w:rPr>
        <w:t>the data holder must:</w:t>
      </w:r>
    </w:p>
    <w:p w14:paraId="75C4E5F0" w14:textId="6BBDADCA" w:rsidR="00B667B5" w:rsidRPr="00693A57" w:rsidRDefault="00B667B5" w:rsidP="00B667B5">
      <w:pPr>
        <w:pStyle w:val="paragraphsub"/>
        <w:rPr>
          <w:color w:val="0000FF"/>
        </w:rPr>
      </w:pPr>
      <w:r w:rsidRPr="00693A57">
        <w:rPr>
          <w:color w:val="0000FF"/>
        </w:rPr>
        <w:tab/>
        <w:t>(i)</w:t>
      </w:r>
      <w:r w:rsidRPr="00693A57">
        <w:rPr>
          <w:color w:val="0000FF"/>
        </w:rPr>
        <w:tab/>
        <w:t>ask the requester for authorisation in accordance with rule 4.5 and Division 4.4; and</w:t>
      </w:r>
    </w:p>
    <w:p w14:paraId="1C46A977" w14:textId="1FE4D181" w:rsidR="00480F2B" w:rsidRPr="00693A57" w:rsidRDefault="00B667B5" w:rsidP="00B667B5">
      <w:pPr>
        <w:pStyle w:val="paragraphsub"/>
        <w:rPr>
          <w:color w:val="0000FF"/>
        </w:rPr>
      </w:pPr>
      <w:r w:rsidRPr="00693A57">
        <w:rPr>
          <w:color w:val="0000FF"/>
        </w:rPr>
        <w:tab/>
        <w:t>(ii)</w:t>
      </w:r>
      <w:r w:rsidRPr="00693A57">
        <w:rPr>
          <w:color w:val="0000FF"/>
        </w:rPr>
        <w:tab/>
        <w:t xml:space="preserve">if the authorisation is given, invite the approval of the relevant account holders in accordance with </w:t>
      </w:r>
      <w:r w:rsidR="00D937A7" w:rsidRPr="00693A57">
        <w:rPr>
          <w:color w:val="0000FF"/>
        </w:rPr>
        <w:t xml:space="preserve">rule </w:t>
      </w:r>
      <w:r w:rsidR="000B1D10" w:rsidRPr="00693A57">
        <w:rPr>
          <w:color w:val="0000FF"/>
        </w:rPr>
        <w:t>4</w:t>
      </w:r>
      <w:r w:rsidR="00832060" w:rsidRPr="00693A57">
        <w:rPr>
          <w:color w:val="0000FF"/>
        </w:rPr>
        <w:t>A</w:t>
      </w:r>
      <w:r w:rsidR="000B1D10" w:rsidRPr="00693A57">
        <w:rPr>
          <w:color w:val="0000FF"/>
        </w:rPr>
        <w:t>.12</w:t>
      </w:r>
      <w:r w:rsidR="00480F2B" w:rsidRPr="00693A57">
        <w:rPr>
          <w:color w:val="0000FF"/>
        </w:rPr>
        <w:t>; and</w:t>
      </w:r>
    </w:p>
    <w:p w14:paraId="08F2CA41" w14:textId="48D1780A" w:rsidR="00B667B5" w:rsidRPr="00693A57" w:rsidRDefault="00B667B5" w:rsidP="00B667B5">
      <w:pPr>
        <w:pStyle w:val="paragraphsub"/>
        <w:rPr>
          <w:color w:val="0000FF"/>
        </w:rPr>
      </w:pPr>
      <w:r w:rsidRPr="00693A57">
        <w:rPr>
          <w:color w:val="0000FF"/>
        </w:rPr>
        <w:tab/>
        <w:t>(iii)</w:t>
      </w:r>
      <w:r w:rsidRPr="00693A57">
        <w:rPr>
          <w:color w:val="0000FF"/>
        </w:rPr>
        <w:tab/>
        <w:t>if all the relevant account holders give their approval, comply with rules 4.6 and 4.7; and</w:t>
      </w:r>
    </w:p>
    <w:p w14:paraId="5246A4EE" w14:textId="08123A28" w:rsidR="00D937A7" w:rsidRPr="00693A57" w:rsidRDefault="00480F2B" w:rsidP="00480F2B">
      <w:pPr>
        <w:pStyle w:val="paragraph"/>
        <w:rPr>
          <w:color w:val="0000FF"/>
        </w:rPr>
      </w:pPr>
      <w:r w:rsidRPr="00693A57">
        <w:rPr>
          <w:color w:val="0000FF"/>
        </w:rPr>
        <w:tab/>
      </w:r>
      <w:r w:rsidR="00832060" w:rsidRPr="00693A57">
        <w:rPr>
          <w:color w:val="0000FF"/>
        </w:rPr>
        <w:t>(c)</w:t>
      </w:r>
      <w:r w:rsidRPr="00693A57">
        <w:rPr>
          <w:color w:val="0000FF"/>
        </w:rPr>
        <w:tab/>
        <w:t>if the non-disclosure option applies—</w:t>
      </w:r>
      <w:r w:rsidR="00D937A7" w:rsidRPr="00693A57">
        <w:rPr>
          <w:color w:val="0000FF"/>
        </w:rPr>
        <w:t>the data holder must refuse to disclose the requested CDR data</w:t>
      </w:r>
      <w:r w:rsidRPr="00693A57">
        <w:rPr>
          <w:color w:val="0000FF"/>
        </w:rPr>
        <w:t>.</w:t>
      </w:r>
    </w:p>
    <w:p w14:paraId="34E6F130" w14:textId="22F82D34" w:rsidR="00CC28A8" w:rsidRPr="00693A57" w:rsidRDefault="00832060" w:rsidP="00CC28A8">
      <w:pPr>
        <w:pStyle w:val="ActHead5"/>
        <w:rPr>
          <w:color w:val="0000FF"/>
        </w:rPr>
      </w:pPr>
      <w:r w:rsidRPr="00693A57">
        <w:rPr>
          <w:color w:val="0000FF"/>
          <w:lang w:val="en-US"/>
        </w:rPr>
        <w:t xml:space="preserve"> </w:t>
      </w:r>
      <w:bookmarkStart w:id="354" w:name="_Toc77064942"/>
      <w:r w:rsidRPr="00693A57">
        <w:rPr>
          <w:color w:val="0000FF"/>
          <w:lang w:val="en-US"/>
        </w:rPr>
        <w:t xml:space="preserve">4A.12 </w:t>
      </w:r>
      <w:r w:rsidR="00CC28A8" w:rsidRPr="00693A57">
        <w:rPr>
          <w:color w:val="0000FF"/>
        </w:rPr>
        <w:t>Asking relevant account holders for approval to disclose joint account data</w:t>
      </w:r>
      <w:bookmarkEnd w:id="354"/>
    </w:p>
    <w:p w14:paraId="1ABF8C84" w14:textId="26AD7F47" w:rsidR="00CC28A8" w:rsidRPr="00693A57" w:rsidRDefault="00CC28A8" w:rsidP="00CC28A8">
      <w:pPr>
        <w:pStyle w:val="subsection"/>
        <w:rPr>
          <w:color w:val="0000FF"/>
        </w:rPr>
      </w:pPr>
      <w:r w:rsidRPr="00693A57">
        <w:rPr>
          <w:color w:val="0000FF"/>
        </w:rPr>
        <w:tab/>
        <w:t>(1)</w:t>
      </w:r>
      <w:r w:rsidRPr="00693A57">
        <w:rPr>
          <w:color w:val="0000FF"/>
        </w:rPr>
        <w:tab/>
        <w:t xml:space="preserve">This </w:t>
      </w:r>
      <w:r w:rsidR="006650B7" w:rsidRPr="00693A57">
        <w:rPr>
          <w:color w:val="0000FF"/>
        </w:rPr>
        <w:t>rule</w:t>
      </w:r>
      <w:r w:rsidRPr="00693A57">
        <w:rPr>
          <w:color w:val="0000FF"/>
        </w:rPr>
        <w:t xml:space="preserve"> applies if:</w:t>
      </w:r>
    </w:p>
    <w:p w14:paraId="417E61C5" w14:textId="15C6B5B8" w:rsidR="00CC28A8" w:rsidRPr="00693A57" w:rsidRDefault="00CC28A8" w:rsidP="00CC28A8">
      <w:pPr>
        <w:pStyle w:val="paragraph"/>
        <w:rPr>
          <w:color w:val="0000FF"/>
        </w:rPr>
      </w:pPr>
      <w:r w:rsidRPr="00693A57">
        <w:rPr>
          <w:color w:val="0000FF"/>
        </w:rPr>
        <w:tab/>
        <w:t>(a)</w:t>
      </w:r>
      <w:r w:rsidRPr="00693A57">
        <w:rPr>
          <w:color w:val="0000FF"/>
        </w:rPr>
        <w:tab/>
        <w:t>the requester has</w:t>
      </w:r>
      <w:r w:rsidR="00660EA9" w:rsidRPr="00693A57">
        <w:rPr>
          <w:color w:val="0000FF"/>
        </w:rPr>
        <w:t xml:space="preserve"> authorised, under Division 4.4</w:t>
      </w:r>
      <w:r w:rsidRPr="00693A57">
        <w:rPr>
          <w:color w:val="0000FF"/>
        </w:rPr>
        <w:t>, the disclosure of the joint account data; and</w:t>
      </w:r>
    </w:p>
    <w:p w14:paraId="287996CA" w14:textId="77777777" w:rsidR="00CC28A8" w:rsidRPr="00693A57" w:rsidRDefault="00CC28A8" w:rsidP="00CC28A8">
      <w:pPr>
        <w:pStyle w:val="paragraph"/>
        <w:rPr>
          <w:color w:val="0000FF"/>
        </w:rPr>
      </w:pPr>
      <w:r w:rsidRPr="00693A57">
        <w:rPr>
          <w:color w:val="0000FF"/>
        </w:rPr>
        <w:tab/>
        <w:t>(b)</w:t>
      </w:r>
      <w:r w:rsidRPr="00693A57">
        <w:rPr>
          <w:color w:val="0000FF"/>
        </w:rPr>
        <w:tab/>
        <w:t>a co</w:t>
      </w:r>
      <w:r w:rsidRPr="00693A57">
        <w:rPr>
          <w:color w:val="0000FF"/>
        </w:rPr>
        <w:noBreakHyphen/>
        <w:t>approval option applies to the joint account.</w:t>
      </w:r>
    </w:p>
    <w:p w14:paraId="6B37099C" w14:textId="426E081B" w:rsidR="00660EA9" w:rsidRPr="00693A57" w:rsidRDefault="00E019B5" w:rsidP="00E019B5">
      <w:pPr>
        <w:pStyle w:val="notetext"/>
        <w:rPr>
          <w:color w:val="0000FF"/>
        </w:rPr>
      </w:pPr>
      <w:r w:rsidRPr="00693A57">
        <w:rPr>
          <w:color w:val="0000FF"/>
        </w:rPr>
        <w:t>Note:</w:t>
      </w:r>
      <w:r w:rsidRPr="00693A57">
        <w:rPr>
          <w:color w:val="0000FF"/>
        </w:rPr>
        <w:tab/>
      </w:r>
      <w:r w:rsidR="00660EA9" w:rsidRPr="00693A57">
        <w:rPr>
          <w:color w:val="0000FF"/>
        </w:rPr>
        <w:t xml:space="preserve">The data holder must provide each relevant account holder with consumer dashboard in accordance with </w:t>
      </w:r>
      <w:r w:rsidRPr="00693A57">
        <w:rPr>
          <w:color w:val="0000FF"/>
        </w:rPr>
        <w:t xml:space="preserve">rule </w:t>
      </w:r>
      <w:r w:rsidR="000B1D10" w:rsidRPr="00693A57">
        <w:rPr>
          <w:color w:val="0000FF"/>
        </w:rPr>
        <w:t>4</w:t>
      </w:r>
      <w:r w:rsidR="00832060" w:rsidRPr="00693A57">
        <w:rPr>
          <w:color w:val="0000FF"/>
        </w:rPr>
        <w:t>A</w:t>
      </w:r>
      <w:r w:rsidR="000B1D10" w:rsidRPr="00693A57">
        <w:rPr>
          <w:color w:val="0000FF"/>
        </w:rPr>
        <w:t>.15</w:t>
      </w:r>
      <w:r w:rsidR="00405212" w:rsidRPr="00693A57">
        <w:rPr>
          <w:color w:val="0000FF"/>
        </w:rPr>
        <w:t>.</w:t>
      </w:r>
    </w:p>
    <w:p w14:paraId="5B9A7D27" w14:textId="6962823C" w:rsidR="00CC28A8" w:rsidRPr="00693A57" w:rsidRDefault="00CC28A8" w:rsidP="00CC28A8">
      <w:pPr>
        <w:pStyle w:val="subsection"/>
        <w:rPr>
          <w:color w:val="0000FF"/>
        </w:rPr>
      </w:pPr>
      <w:r w:rsidRPr="00693A57">
        <w:rPr>
          <w:color w:val="0000FF"/>
        </w:rPr>
        <w:tab/>
      </w:r>
      <w:r w:rsidR="00E019B5" w:rsidRPr="00693A57">
        <w:rPr>
          <w:color w:val="0000FF"/>
        </w:rPr>
        <w:t>(2</w:t>
      </w:r>
      <w:r w:rsidRPr="00693A57">
        <w:rPr>
          <w:color w:val="0000FF"/>
        </w:rPr>
        <w:t>)</w:t>
      </w:r>
      <w:r w:rsidRPr="00693A57">
        <w:rPr>
          <w:color w:val="0000FF"/>
        </w:rPr>
        <w:tab/>
        <w:t xml:space="preserve">The data holder must, through its ordinary methods for contacting </w:t>
      </w:r>
      <w:r w:rsidR="003145EA" w:rsidRPr="00693A57">
        <w:rPr>
          <w:color w:val="0000FF"/>
        </w:rPr>
        <w:t>each relevant account holder</w:t>
      </w:r>
      <w:r w:rsidRPr="00693A57">
        <w:rPr>
          <w:color w:val="0000FF"/>
        </w:rPr>
        <w:t>:</w:t>
      </w:r>
    </w:p>
    <w:p w14:paraId="50C01CBB" w14:textId="1D292B76" w:rsidR="00CC28A8" w:rsidRPr="00693A57" w:rsidRDefault="00CC28A8" w:rsidP="00CC28A8">
      <w:pPr>
        <w:pStyle w:val="paragraph"/>
        <w:rPr>
          <w:color w:val="0000FF"/>
        </w:rPr>
      </w:pPr>
      <w:r w:rsidRPr="00693A57">
        <w:rPr>
          <w:color w:val="0000FF"/>
        </w:rPr>
        <w:tab/>
        <w:t>(a)</w:t>
      </w:r>
      <w:r w:rsidRPr="00693A57">
        <w:rPr>
          <w:color w:val="0000FF"/>
        </w:rPr>
        <w:tab/>
        <w:t xml:space="preserve">indicate that an accredited person has requested disclosure of CDR data that relates to the joint account </w:t>
      </w:r>
      <w:r w:rsidR="003145EA" w:rsidRPr="00693A57">
        <w:rPr>
          <w:color w:val="0000FF"/>
        </w:rPr>
        <w:t xml:space="preserve">(the </w:t>
      </w:r>
      <w:r w:rsidR="003145EA" w:rsidRPr="00693A57">
        <w:rPr>
          <w:b/>
          <w:i/>
          <w:color w:val="0000FF"/>
        </w:rPr>
        <w:t>requested data</w:t>
      </w:r>
      <w:r w:rsidR="003145EA" w:rsidRPr="00693A57">
        <w:rPr>
          <w:color w:val="0000FF"/>
        </w:rPr>
        <w:t>)</w:t>
      </w:r>
      <w:r w:rsidR="003145EA" w:rsidRPr="00693A57">
        <w:rPr>
          <w:b/>
          <w:i/>
          <w:color w:val="0000FF"/>
        </w:rPr>
        <w:t xml:space="preserve"> </w:t>
      </w:r>
      <w:r w:rsidRPr="00693A57">
        <w:rPr>
          <w:color w:val="0000FF"/>
        </w:rPr>
        <w:t>on behalf of the requester; and</w:t>
      </w:r>
    </w:p>
    <w:p w14:paraId="751B0A6C" w14:textId="53A3A43D" w:rsidR="00CC28A8" w:rsidRPr="00693A57" w:rsidRDefault="00CC28A8" w:rsidP="00CC28A8">
      <w:pPr>
        <w:pStyle w:val="paragraph"/>
        <w:rPr>
          <w:color w:val="0000FF"/>
        </w:rPr>
      </w:pPr>
      <w:r w:rsidRPr="00693A57">
        <w:rPr>
          <w:color w:val="0000FF"/>
        </w:rPr>
        <w:tab/>
        <w:t>(b)</w:t>
      </w:r>
      <w:r w:rsidRPr="00693A57">
        <w:rPr>
          <w:color w:val="0000FF"/>
        </w:rPr>
        <w:tab/>
        <w:t>outline the matters referred to in sub</w:t>
      </w:r>
      <w:r w:rsidR="008F7859" w:rsidRPr="00693A57">
        <w:rPr>
          <w:color w:val="0000FF"/>
        </w:rPr>
        <w:t>rule</w:t>
      </w:r>
      <w:r w:rsidRPr="00693A57">
        <w:rPr>
          <w:color w:val="0000FF"/>
        </w:rPr>
        <w:t> (1); and</w:t>
      </w:r>
    </w:p>
    <w:p w14:paraId="296BBEEE" w14:textId="144334BC" w:rsidR="00CC28A8" w:rsidRPr="00693A57" w:rsidRDefault="00CC28A8" w:rsidP="00CC28A8">
      <w:pPr>
        <w:pStyle w:val="paragraph"/>
        <w:rPr>
          <w:color w:val="0000FF"/>
        </w:rPr>
      </w:pPr>
      <w:r w:rsidRPr="00693A57">
        <w:rPr>
          <w:color w:val="0000FF"/>
        </w:rPr>
        <w:tab/>
        <w:t>(c)</w:t>
      </w:r>
      <w:r w:rsidRPr="00693A57">
        <w:rPr>
          <w:color w:val="0000FF"/>
        </w:rPr>
        <w:tab/>
        <w:t>indicate the matters referred to in paragraphs 4.23(a), (b), (c), (d) and (e)  so far as they relate to the request; and</w:t>
      </w:r>
    </w:p>
    <w:p w14:paraId="2588874E" w14:textId="73F2EB65" w:rsidR="00CC28A8" w:rsidRPr="00693A57" w:rsidRDefault="00CC28A8" w:rsidP="00CC28A8">
      <w:pPr>
        <w:pStyle w:val="paragraph"/>
        <w:rPr>
          <w:color w:val="0000FF"/>
        </w:rPr>
      </w:pPr>
      <w:r w:rsidRPr="00693A57">
        <w:rPr>
          <w:color w:val="0000FF"/>
        </w:rPr>
        <w:tab/>
        <w:t>(d)</w:t>
      </w:r>
      <w:r w:rsidRPr="00693A57">
        <w:rPr>
          <w:color w:val="0000FF"/>
        </w:rPr>
        <w:tab/>
      </w:r>
      <w:r w:rsidR="003145EA" w:rsidRPr="00693A57">
        <w:rPr>
          <w:color w:val="0000FF"/>
        </w:rPr>
        <w:t xml:space="preserve">ask the relevant account holder to approve or </w:t>
      </w:r>
      <w:r w:rsidR="005D0CE1" w:rsidRPr="00693A57">
        <w:rPr>
          <w:color w:val="0000FF"/>
        </w:rPr>
        <w:t xml:space="preserve">not </w:t>
      </w:r>
      <w:r w:rsidR="003145EA" w:rsidRPr="00693A57">
        <w:rPr>
          <w:color w:val="0000FF"/>
        </w:rPr>
        <w:t xml:space="preserve">approve </w:t>
      </w:r>
      <w:r w:rsidR="00E85D43" w:rsidRPr="00693A57">
        <w:rPr>
          <w:color w:val="0000FF"/>
        </w:rPr>
        <w:t xml:space="preserve">disclosure of the joint account </w:t>
      </w:r>
      <w:r w:rsidR="003145EA" w:rsidRPr="00693A57">
        <w:rPr>
          <w:color w:val="0000FF"/>
        </w:rPr>
        <w:t>data, using their consumer dashboard</w:t>
      </w:r>
      <w:r w:rsidRPr="00693A57">
        <w:rPr>
          <w:color w:val="0000FF"/>
        </w:rPr>
        <w:t>; and</w:t>
      </w:r>
    </w:p>
    <w:p w14:paraId="38194CBC" w14:textId="25701DF2" w:rsidR="003145EA" w:rsidRPr="00693A57" w:rsidRDefault="00CC28A8" w:rsidP="00CC28A8">
      <w:pPr>
        <w:pStyle w:val="paragraph"/>
        <w:rPr>
          <w:color w:val="0000FF"/>
        </w:rPr>
      </w:pPr>
      <w:r w:rsidRPr="00693A57">
        <w:rPr>
          <w:color w:val="0000FF"/>
        </w:rPr>
        <w:tab/>
        <w:t>(e)</w:t>
      </w:r>
      <w:r w:rsidRPr="00693A57">
        <w:rPr>
          <w:color w:val="0000FF"/>
        </w:rPr>
        <w:tab/>
      </w:r>
      <w:r w:rsidR="00660EA9" w:rsidRPr="00693A57">
        <w:rPr>
          <w:color w:val="0000FF"/>
        </w:rPr>
        <w:t xml:space="preserve">specify </w:t>
      </w:r>
      <w:r w:rsidRPr="00693A57">
        <w:rPr>
          <w:color w:val="0000FF"/>
        </w:rPr>
        <w:t>the time by which the data holder ne</w:t>
      </w:r>
      <w:r w:rsidR="003145EA" w:rsidRPr="00693A57">
        <w:rPr>
          <w:color w:val="0000FF"/>
        </w:rPr>
        <w:t xml:space="preserve">eds to receive any approval, and inform them that if an approval is not received by that time, the </w:t>
      </w:r>
      <w:r w:rsidR="00E85D43" w:rsidRPr="00693A57">
        <w:rPr>
          <w:color w:val="0000FF"/>
        </w:rPr>
        <w:t xml:space="preserve">joint account </w:t>
      </w:r>
      <w:r w:rsidR="003145EA" w:rsidRPr="00693A57">
        <w:rPr>
          <w:color w:val="0000FF"/>
        </w:rPr>
        <w:t>data will not be disclosed; and</w:t>
      </w:r>
    </w:p>
    <w:p w14:paraId="536E8EFF" w14:textId="578A817D" w:rsidR="00CC28A8" w:rsidRPr="00693A57" w:rsidRDefault="00CC28A8" w:rsidP="00CC28A8">
      <w:pPr>
        <w:pStyle w:val="paragraph"/>
        <w:rPr>
          <w:color w:val="0000FF"/>
        </w:rPr>
      </w:pPr>
      <w:r w:rsidRPr="00693A57">
        <w:rPr>
          <w:color w:val="0000FF"/>
        </w:rPr>
        <w:tab/>
        <w:t>(f)</w:t>
      </w:r>
      <w:r w:rsidRPr="00693A57">
        <w:rPr>
          <w:color w:val="0000FF"/>
        </w:rPr>
        <w:tab/>
        <w:t xml:space="preserve">inform them that any one of them may, at any time, </w:t>
      </w:r>
      <w:r w:rsidR="005D0CE1" w:rsidRPr="00693A57">
        <w:rPr>
          <w:color w:val="0000FF"/>
        </w:rPr>
        <w:t>withdraw</w:t>
      </w:r>
      <w:r w:rsidRPr="00693A57">
        <w:rPr>
          <w:color w:val="0000FF"/>
        </w:rPr>
        <w:t xml:space="preserve"> the approval</w:t>
      </w:r>
      <w:r w:rsidR="003145EA" w:rsidRPr="00693A57">
        <w:rPr>
          <w:color w:val="0000FF"/>
        </w:rPr>
        <w:t xml:space="preserve"> using their consumer dashboard</w:t>
      </w:r>
      <w:r w:rsidRPr="00693A57">
        <w:rPr>
          <w:color w:val="0000FF"/>
        </w:rPr>
        <w:t>; and</w:t>
      </w:r>
    </w:p>
    <w:p w14:paraId="5370A2CE" w14:textId="0ECE13A1" w:rsidR="00CC28A8" w:rsidRPr="00693A57" w:rsidRDefault="003145EA" w:rsidP="00CC28A8">
      <w:pPr>
        <w:pStyle w:val="paragraph"/>
        <w:rPr>
          <w:color w:val="0000FF"/>
        </w:rPr>
      </w:pPr>
      <w:r w:rsidRPr="00693A57">
        <w:rPr>
          <w:color w:val="0000FF"/>
        </w:rPr>
        <w:tab/>
        <w:t>(g</w:t>
      </w:r>
      <w:r w:rsidR="00CC28A8" w:rsidRPr="00693A57">
        <w:rPr>
          <w:color w:val="0000FF"/>
        </w:rPr>
        <w:t>)</w:t>
      </w:r>
      <w:r w:rsidR="00CC28A8" w:rsidRPr="00693A57">
        <w:rPr>
          <w:color w:val="0000FF"/>
        </w:rPr>
        <w:tab/>
        <w:t>indicate what the effect of removing the approval would be.</w:t>
      </w:r>
    </w:p>
    <w:p w14:paraId="306D2E8C" w14:textId="4FD51C7E" w:rsidR="00660EA9" w:rsidRPr="00693A57" w:rsidRDefault="00CC28A8" w:rsidP="00CC28A8">
      <w:pPr>
        <w:pStyle w:val="notetext"/>
        <w:rPr>
          <w:color w:val="0000FF"/>
        </w:rPr>
      </w:pPr>
      <w:r w:rsidRPr="00693A57">
        <w:rPr>
          <w:color w:val="0000FF"/>
        </w:rPr>
        <w:t>Note:</w:t>
      </w:r>
      <w:r w:rsidRPr="00693A57">
        <w:rPr>
          <w:color w:val="0000FF"/>
        </w:rPr>
        <w:tab/>
        <w:t xml:space="preserve">For removal of an approval, see </w:t>
      </w:r>
      <w:r w:rsidR="008F7859" w:rsidRPr="00693A57">
        <w:rPr>
          <w:color w:val="0000FF"/>
        </w:rPr>
        <w:t>rule</w:t>
      </w:r>
      <w:r w:rsidR="00552FA2" w:rsidRPr="00693A57">
        <w:rPr>
          <w:color w:val="0000FF"/>
        </w:rPr>
        <w:t> </w:t>
      </w:r>
      <w:r w:rsidR="000B1D10" w:rsidRPr="00693A57">
        <w:rPr>
          <w:color w:val="0000FF"/>
        </w:rPr>
        <w:t>4</w:t>
      </w:r>
      <w:r w:rsidR="00832060" w:rsidRPr="00693A57">
        <w:rPr>
          <w:color w:val="0000FF"/>
        </w:rPr>
        <w:t>A</w:t>
      </w:r>
      <w:r w:rsidR="000B1D10" w:rsidRPr="00693A57">
        <w:rPr>
          <w:color w:val="0000FF"/>
        </w:rPr>
        <w:t>.13</w:t>
      </w:r>
      <w:r w:rsidRPr="00693A57">
        <w:rPr>
          <w:color w:val="0000FF"/>
        </w:rPr>
        <w:t>.</w:t>
      </w:r>
    </w:p>
    <w:p w14:paraId="7FBB1004" w14:textId="132D068E" w:rsidR="00CC28A8" w:rsidRPr="00693A57" w:rsidRDefault="00832060" w:rsidP="00CC28A8">
      <w:pPr>
        <w:pStyle w:val="ActHead5"/>
        <w:rPr>
          <w:color w:val="0000FF"/>
        </w:rPr>
      </w:pPr>
      <w:r w:rsidRPr="00693A57">
        <w:rPr>
          <w:color w:val="0000FF"/>
          <w:lang w:val="en-US"/>
        </w:rPr>
        <w:t xml:space="preserve"> </w:t>
      </w:r>
      <w:bookmarkStart w:id="355" w:name="_Toc77064943"/>
      <w:r w:rsidRPr="00693A57">
        <w:rPr>
          <w:color w:val="0000FF"/>
          <w:lang w:val="en-US"/>
        </w:rPr>
        <w:t xml:space="preserve">4A.13 </w:t>
      </w:r>
      <w:r w:rsidR="00CC28A8" w:rsidRPr="00693A57">
        <w:rPr>
          <w:color w:val="0000FF"/>
        </w:rPr>
        <w:t>Continuation and removal of approvals</w:t>
      </w:r>
      <w:bookmarkEnd w:id="355"/>
    </w:p>
    <w:p w14:paraId="000ADFB6" w14:textId="03BD97C0" w:rsidR="00E85D43" w:rsidRPr="00693A57" w:rsidRDefault="00E85D43" w:rsidP="00CC28A8">
      <w:pPr>
        <w:pStyle w:val="subsection"/>
        <w:rPr>
          <w:color w:val="0000FF"/>
        </w:rPr>
      </w:pPr>
      <w:r w:rsidRPr="00693A57">
        <w:rPr>
          <w:color w:val="0000FF"/>
        </w:rPr>
        <w:tab/>
        <w:t>(1</w:t>
      </w:r>
      <w:r w:rsidR="00CC28A8" w:rsidRPr="00693A57">
        <w:rPr>
          <w:color w:val="0000FF"/>
        </w:rPr>
        <w:t>)</w:t>
      </w:r>
      <w:r w:rsidR="00CC28A8" w:rsidRPr="00693A57">
        <w:rPr>
          <w:color w:val="0000FF"/>
        </w:rPr>
        <w:tab/>
        <w:t xml:space="preserve">If </w:t>
      </w:r>
      <w:r w:rsidRPr="00693A57">
        <w:rPr>
          <w:color w:val="0000FF"/>
        </w:rPr>
        <w:t xml:space="preserve">a relevant </w:t>
      </w:r>
      <w:r w:rsidR="00CC28A8" w:rsidRPr="00693A57">
        <w:rPr>
          <w:color w:val="0000FF"/>
        </w:rPr>
        <w:t>account holder</w:t>
      </w:r>
      <w:r w:rsidRPr="00693A57">
        <w:rPr>
          <w:color w:val="0000FF"/>
        </w:rPr>
        <w:t>:</w:t>
      </w:r>
    </w:p>
    <w:p w14:paraId="49A3636C" w14:textId="6F015C6C" w:rsidR="00E85D43" w:rsidRPr="00693A57" w:rsidRDefault="00E85D43" w:rsidP="00E85D43">
      <w:pPr>
        <w:pStyle w:val="paragraph"/>
        <w:rPr>
          <w:color w:val="0000FF"/>
        </w:rPr>
      </w:pPr>
      <w:r w:rsidRPr="00693A57">
        <w:rPr>
          <w:color w:val="0000FF"/>
        </w:rPr>
        <w:lastRenderedPageBreak/>
        <w:tab/>
        <w:t>(a)</w:t>
      </w:r>
      <w:r w:rsidRPr="00693A57">
        <w:rPr>
          <w:color w:val="0000FF"/>
        </w:rPr>
        <w:tab/>
      </w:r>
      <w:r w:rsidR="00CC28A8" w:rsidRPr="00693A57">
        <w:rPr>
          <w:color w:val="0000FF"/>
        </w:rPr>
        <w:t xml:space="preserve">approves of the disclosure </w:t>
      </w:r>
      <w:r w:rsidRPr="00693A57">
        <w:rPr>
          <w:color w:val="0000FF"/>
        </w:rPr>
        <w:t xml:space="preserve">of joint account data </w:t>
      </w:r>
      <w:r w:rsidR="00CC28A8" w:rsidRPr="00693A57">
        <w:rPr>
          <w:color w:val="0000FF"/>
        </w:rPr>
        <w:t>in accordance with this Division</w:t>
      </w:r>
      <w:r w:rsidRPr="00693A57">
        <w:rPr>
          <w:color w:val="0000FF"/>
        </w:rPr>
        <w:t>; or</w:t>
      </w:r>
    </w:p>
    <w:p w14:paraId="0E24A412" w14:textId="12AE476A" w:rsidR="00E85D43" w:rsidRPr="00693A57" w:rsidRDefault="00E85D43" w:rsidP="00E85D43">
      <w:pPr>
        <w:pStyle w:val="paragraph"/>
        <w:rPr>
          <w:color w:val="0000FF"/>
        </w:rPr>
      </w:pPr>
      <w:r w:rsidRPr="00693A57">
        <w:rPr>
          <w:color w:val="0000FF"/>
        </w:rPr>
        <w:tab/>
        <w:t>(b)</w:t>
      </w:r>
      <w:r w:rsidRPr="00693A57">
        <w:rPr>
          <w:color w:val="0000FF"/>
        </w:rPr>
        <w:tab/>
        <w:t>is taken to have approved of the disclosure under the pre-apporval option;</w:t>
      </w:r>
    </w:p>
    <w:p w14:paraId="49BE154B" w14:textId="49768535" w:rsidR="00CC28A8" w:rsidRPr="00693A57" w:rsidRDefault="00E85D43" w:rsidP="00E85D43">
      <w:pPr>
        <w:pStyle w:val="subsection20"/>
        <w:rPr>
          <w:color w:val="0000FF"/>
        </w:rPr>
      </w:pPr>
      <w:r w:rsidRPr="00693A57">
        <w:rPr>
          <w:color w:val="0000FF"/>
        </w:rPr>
        <w:tab/>
      </w:r>
      <w:r w:rsidRPr="00693A57">
        <w:rPr>
          <w:color w:val="0000FF"/>
        </w:rPr>
        <w:tab/>
      </w:r>
      <w:r w:rsidR="00CC28A8" w:rsidRPr="00693A57">
        <w:rPr>
          <w:color w:val="0000FF"/>
        </w:rPr>
        <w:t>the approval is taken to apply while the authorisation referred to in paragraph </w:t>
      </w:r>
      <w:r w:rsidR="000B1D10" w:rsidRPr="00693A57">
        <w:rPr>
          <w:color w:val="0000FF"/>
        </w:rPr>
        <w:t>4</w:t>
      </w:r>
      <w:r w:rsidR="00832060" w:rsidRPr="00693A57">
        <w:rPr>
          <w:color w:val="0000FF"/>
        </w:rPr>
        <w:t>A</w:t>
      </w:r>
      <w:r w:rsidR="000B1D10" w:rsidRPr="00693A57">
        <w:rPr>
          <w:color w:val="0000FF"/>
        </w:rPr>
        <w:t>.11(b)</w:t>
      </w:r>
      <w:r w:rsidR="00CC28A8" w:rsidRPr="00693A57">
        <w:rPr>
          <w:color w:val="0000FF"/>
        </w:rPr>
        <w:t xml:space="preserve"> is current, unless </w:t>
      </w:r>
      <w:r w:rsidR="005D0CE1" w:rsidRPr="00693A57">
        <w:rPr>
          <w:color w:val="0000FF"/>
        </w:rPr>
        <w:t>withdrawn</w:t>
      </w:r>
      <w:r w:rsidR="00CC28A8" w:rsidRPr="00693A57">
        <w:rPr>
          <w:color w:val="0000FF"/>
        </w:rPr>
        <w:t xml:space="preserve"> sooner in accordance with this Division.</w:t>
      </w:r>
    </w:p>
    <w:p w14:paraId="31B26F68" w14:textId="53DD3B6C" w:rsidR="00E85D43" w:rsidRPr="00693A57" w:rsidRDefault="00E85D43" w:rsidP="00E85D43">
      <w:pPr>
        <w:pStyle w:val="subsection"/>
        <w:rPr>
          <w:color w:val="0000FF"/>
        </w:rPr>
      </w:pPr>
      <w:r w:rsidRPr="00693A57">
        <w:rPr>
          <w:color w:val="0000FF"/>
        </w:rPr>
        <w:tab/>
        <w:t>(2)</w:t>
      </w:r>
      <w:r w:rsidRPr="00693A57">
        <w:rPr>
          <w:color w:val="0000FF"/>
        </w:rPr>
        <w:tab/>
        <w:t xml:space="preserve">Any relevant account holder may </w:t>
      </w:r>
      <w:r w:rsidR="005D0CE1" w:rsidRPr="00693A57">
        <w:rPr>
          <w:color w:val="0000FF"/>
        </w:rPr>
        <w:t>withdraw</w:t>
      </w:r>
      <w:r w:rsidRPr="00693A57">
        <w:rPr>
          <w:color w:val="0000FF"/>
        </w:rPr>
        <w:t xml:space="preserve"> an approval given under this Division at any time, using their consumer dashboard.</w:t>
      </w:r>
    </w:p>
    <w:p w14:paraId="1C43BD68" w14:textId="6EFFED68" w:rsidR="00CC28A8" w:rsidRPr="00693A57" w:rsidRDefault="00832060" w:rsidP="00E85D43">
      <w:pPr>
        <w:pStyle w:val="ActHead5"/>
        <w:rPr>
          <w:color w:val="0000FF"/>
          <w:lang w:val="en-US"/>
        </w:rPr>
      </w:pPr>
      <w:r w:rsidRPr="00693A57">
        <w:rPr>
          <w:color w:val="0000FF"/>
          <w:lang w:val="en-US"/>
        </w:rPr>
        <w:t xml:space="preserve"> </w:t>
      </w:r>
      <w:bookmarkStart w:id="356" w:name="_Toc77064944"/>
      <w:r w:rsidRPr="00693A57">
        <w:rPr>
          <w:color w:val="0000FF"/>
          <w:lang w:val="en-US"/>
        </w:rPr>
        <w:t xml:space="preserve">4A.14 </w:t>
      </w:r>
      <w:r w:rsidR="00E85D43" w:rsidRPr="00693A57">
        <w:rPr>
          <w:color w:val="0000FF"/>
          <w:lang w:val="en-US"/>
        </w:rPr>
        <w:t xml:space="preserve"> </w:t>
      </w:r>
      <w:r w:rsidR="007D0835" w:rsidRPr="00693A57">
        <w:rPr>
          <w:color w:val="0000FF"/>
          <w:lang w:val="en-US"/>
        </w:rPr>
        <w:t>J</w:t>
      </w:r>
      <w:r w:rsidR="00CC28A8" w:rsidRPr="00693A57">
        <w:rPr>
          <w:color w:val="0000FF"/>
          <w:lang w:val="en-US"/>
        </w:rPr>
        <w:t>oint account data the data holder is authorised to disclose</w:t>
      </w:r>
      <w:bookmarkEnd w:id="356"/>
    </w:p>
    <w:p w14:paraId="6DC60C7B" w14:textId="1F3DC40E" w:rsidR="00CC28A8" w:rsidRPr="00693A57" w:rsidRDefault="00CC28A8" w:rsidP="00E85D43">
      <w:pPr>
        <w:pStyle w:val="subsection20"/>
        <w:rPr>
          <w:color w:val="0000FF"/>
          <w:lang w:val="en-US"/>
        </w:rPr>
      </w:pPr>
      <w:r w:rsidRPr="00693A57">
        <w:rPr>
          <w:color w:val="0000FF"/>
          <w:lang w:val="en-US"/>
        </w:rPr>
        <w:tab/>
        <w:t>(1)</w:t>
      </w:r>
      <w:r w:rsidRPr="00693A57">
        <w:rPr>
          <w:color w:val="0000FF"/>
          <w:lang w:val="en-US"/>
        </w:rPr>
        <w:tab/>
        <w:t>For paragraph 4</w:t>
      </w:r>
      <w:r w:rsidR="00832060" w:rsidRPr="00693A57">
        <w:rPr>
          <w:color w:val="0000FF"/>
          <w:lang w:val="en-US"/>
        </w:rPr>
        <w:t>A</w:t>
      </w:r>
      <w:r w:rsidRPr="00693A57">
        <w:rPr>
          <w:color w:val="0000FF"/>
          <w:lang w:val="en-US"/>
        </w:rPr>
        <w:t>.6(2) , the data holder must not disclose joint account data to the accredited person unless:</w:t>
      </w:r>
    </w:p>
    <w:p w14:paraId="61D9B262" w14:textId="7DF8F27E" w:rsidR="00CC28A8" w:rsidRPr="00693A57" w:rsidRDefault="00CC28A8" w:rsidP="00CC28A8">
      <w:pPr>
        <w:pStyle w:val="paragraph"/>
        <w:rPr>
          <w:color w:val="0000FF"/>
        </w:rPr>
      </w:pPr>
      <w:r w:rsidRPr="00693A57">
        <w:rPr>
          <w:color w:val="0000FF"/>
          <w:lang w:val="en-US"/>
        </w:rPr>
        <w:tab/>
        <w:t>(a)</w:t>
      </w:r>
      <w:r w:rsidRPr="00693A57">
        <w:rPr>
          <w:color w:val="0000FF"/>
          <w:lang w:val="en-US"/>
        </w:rPr>
        <w:tab/>
        <w:t xml:space="preserve">the requester </w:t>
      </w:r>
      <w:r w:rsidRPr="00693A57">
        <w:rPr>
          <w:color w:val="0000FF"/>
        </w:rPr>
        <w:t>has authorised the data holder to disclose that CDR data under Division 4.4; and</w:t>
      </w:r>
    </w:p>
    <w:p w14:paraId="779D426C" w14:textId="0C2F8529" w:rsidR="00CC28A8" w:rsidRPr="00693A57" w:rsidRDefault="00CC28A8" w:rsidP="00CC28A8">
      <w:pPr>
        <w:pStyle w:val="paragraph"/>
        <w:rPr>
          <w:color w:val="0000FF"/>
        </w:rPr>
      </w:pPr>
      <w:r w:rsidRPr="00693A57">
        <w:rPr>
          <w:color w:val="0000FF"/>
        </w:rPr>
        <w:tab/>
        <w:t>(b)</w:t>
      </w:r>
      <w:r w:rsidRPr="00693A57">
        <w:rPr>
          <w:color w:val="0000FF"/>
        </w:rPr>
        <w:tab/>
        <w:t>sub</w:t>
      </w:r>
      <w:r w:rsidR="008F7859" w:rsidRPr="00693A57">
        <w:rPr>
          <w:color w:val="0000FF"/>
        </w:rPr>
        <w:t>rule</w:t>
      </w:r>
      <w:r w:rsidRPr="00693A57">
        <w:rPr>
          <w:color w:val="0000FF"/>
        </w:rPr>
        <w:t xml:space="preserve"> (2), (3) or (4) applies.</w:t>
      </w:r>
    </w:p>
    <w:p w14:paraId="670A2DDB" w14:textId="77777777" w:rsidR="00CC28A8" w:rsidRPr="00693A57" w:rsidRDefault="00CC28A8" w:rsidP="00CC28A8">
      <w:pPr>
        <w:pStyle w:val="SubsectionHead"/>
        <w:rPr>
          <w:color w:val="0000FF"/>
        </w:rPr>
      </w:pPr>
      <w:r w:rsidRPr="00693A57">
        <w:rPr>
          <w:color w:val="0000FF"/>
        </w:rPr>
        <w:t>Pre</w:t>
      </w:r>
      <w:r w:rsidRPr="00693A57">
        <w:rPr>
          <w:color w:val="0000FF"/>
        </w:rPr>
        <w:noBreakHyphen/>
        <w:t>approval option</w:t>
      </w:r>
    </w:p>
    <w:p w14:paraId="0C8E17E2" w14:textId="205E3DD9" w:rsidR="00CC28A8" w:rsidRPr="00693A57" w:rsidRDefault="00CC28A8" w:rsidP="00CC28A8">
      <w:pPr>
        <w:pStyle w:val="subsection"/>
        <w:rPr>
          <w:color w:val="0000FF"/>
        </w:rPr>
      </w:pPr>
      <w:r w:rsidRPr="00693A57">
        <w:rPr>
          <w:color w:val="0000FF"/>
        </w:rPr>
        <w:tab/>
        <w:t>(2)</w:t>
      </w:r>
      <w:r w:rsidRPr="00693A57">
        <w:rPr>
          <w:color w:val="0000FF"/>
        </w:rPr>
        <w:tab/>
        <w:t>This sub</w:t>
      </w:r>
      <w:r w:rsidR="008F7859" w:rsidRPr="00693A57">
        <w:rPr>
          <w:color w:val="0000FF"/>
        </w:rPr>
        <w:t>rule</w:t>
      </w:r>
      <w:r w:rsidRPr="00693A57">
        <w:rPr>
          <w:color w:val="0000FF"/>
        </w:rPr>
        <w:t xml:space="preserve"> applies if:</w:t>
      </w:r>
    </w:p>
    <w:p w14:paraId="4236ED1A" w14:textId="6E79A2BE" w:rsidR="00CC28A8" w:rsidRPr="00693A57" w:rsidRDefault="00E85D43" w:rsidP="00CC28A8">
      <w:pPr>
        <w:pStyle w:val="paragraph"/>
        <w:rPr>
          <w:color w:val="0000FF"/>
        </w:rPr>
      </w:pPr>
      <w:r w:rsidRPr="00693A57">
        <w:rPr>
          <w:color w:val="0000FF"/>
        </w:rPr>
        <w:tab/>
        <w:t>(a)</w:t>
      </w:r>
      <w:r w:rsidRPr="00693A57">
        <w:rPr>
          <w:color w:val="0000FF"/>
        </w:rPr>
        <w:tab/>
        <w:t xml:space="preserve">the </w:t>
      </w:r>
      <w:r w:rsidR="00CC28A8" w:rsidRPr="00693A57">
        <w:rPr>
          <w:color w:val="0000FF"/>
        </w:rPr>
        <w:t>pre</w:t>
      </w:r>
      <w:r w:rsidR="00CC28A8" w:rsidRPr="00693A57">
        <w:rPr>
          <w:color w:val="0000FF"/>
        </w:rPr>
        <w:noBreakHyphen/>
        <w:t>approval option applies to the joint account; and</w:t>
      </w:r>
    </w:p>
    <w:p w14:paraId="5032DA88" w14:textId="13096C46" w:rsidR="00CC28A8" w:rsidRPr="00693A57" w:rsidRDefault="00CC28A8" w:rsidP="00CC28A8">
      <w:pPr>
        <w:pStyle w:val="paragraph"/>
        <w:rPr>
          <w:color w:val="0000FF"/>
        </w:rPr>
      </w:pPr>
      <w:r w:rsidRPr="00693A57">
        <w:rPr>
          <w:color w:val="0000FF"/>
        </w:rPr>
        <w:tab/>
        <w:t>(b)</w:t>
      </w:r>
      <w:r w:rsidRPr="00693A57">
        <w:rPr>
          <w:color w:val="0000FF"/>
        </w:rPr>
        <w:tab/>
        <w:t xml:space="preserve">no relevant account holder has </w:t>
      </w:r>
      <w:r w:rsidR="005D0CE1" w:rsidRPr="00693A57">
        <w:rPr>
          <w:color w:val="0000FF"/>
        </w:rPr>
        <w:t>withdrawn</w:t>
      </w:r>
      <w:r w:rsidRPr="00693A57">
        <w:rPr>
          <w:color w:val="0000FF"/>
        </w:rPr>
        <w:t xml:space="preserve"> the</w:t>
      </w:r>
      <w:r w:rsidR="00E85D43" w:rsidRPr="00693A57">
        <w:rPr>
          <w:color w:val="0000FF"/>
        </w:rPr>
        <w:t xml:space="preserve">ir </w:t>
      </w:r>
      <w:r w:rsidRPr="00693A57">
        <w:rPr>
          <w:color w:val="0000FF"/>
        </w:rPr>
        <w:t xml:space="preserve">approval using </w:t>
      </w:r>
      <w:r w:rsidR="00E85D43" w:rsidRPr="00693A57">
        <w:rPr>
          <w:color w:val="0000FF"/>
        </w:rPr>
        <w:t>their</w:t>
      </w:r>
      <w:r w:rsidRPr="00693A57">
        <w:rPr>
          <w:color w:val="0000FF"/>
        </w:rPr>
        <w:t xml:space="preserve"> consumer dashboard.</w:t>
      </w:r>
    </w:p>
    <w:p w14:paraId="49F67650" w14:textId="77777777" w:rsidR="00CC28A8" w:rsidRPr="00693A57" w:rsidRDefault="00CC28A8" w:rsidP="00CC28A8">
      <w:pPr>
        <w:pStyle w:val="SubsectionHead"/>
        <w:rPr>
          <w:color w:val="0000FF"/>
        </w:rPr>
      </w:pPr>
      <w:r w:rsidRPr="00693A57">
        <w:rPr>
          <w:color w:val="0000FF"/>
        </w:rPr>
        <w:t>Co</w:t>
      </w:r>
      <w:r w:rsidRPr="00693A57">
        <w:rPr>
          <w:color w:val="0000FF"/>
        </w:rPr>
        <w:noBreakHyphen/>
        <w:t>approval option</w:t>
      </w:r>
    </w:p>
    <w:p w14:paraId="0F25ABEA" w14:textId="3260F3EA" w:rsidR="00CC28A8" w:rsidRPr="00693A57" w:rsidRDefault="00CC28A8" w:rsidP="00CC28A8">
      <w:pPr>
        <w:pStyle w:val="subsection"/>
        <w:rPr>
          <w:color w:val="0000FF"/>
        </w:rPr>
      </w:pPr>
      <w:r w:rsidRPr="00693A57">
        <w:rPr>
          <w:color w:val="0000FF"/>
        </w:rPr>
        <w:tab/>
        <w:t>(3)</w:t>
      </w:r>
      <w:r w:rsidRPr="00693A57">
        <w:rPr>
          <w:color w:val="0000FF"/>
        </w:rPr>
        <w:tab/>
        <w:t>This sub</w:t>
      </w:r>
      <w:r w:rsidR="008F7859" w:rsidRPr="00693A57">
        <w:rPr>
          <w:color w:val="0000FF"/>
        </w:rPr>
        <w:t>rule</w:t>
      </w:r>
      <w:r w:rsidRPr="00693A57">
        <w:rPr>
          <w:color w:val="0000FF"/>
        </w:rPr>
        <w:t xml:space="preserve"> applies if:</w:t>
      </w:r>
    </w:p>
    <w:p w14:paraId="3340E31C" w14:textId="02A2434C" w:rsidR="00CC28A8" w:rsidRPr="00693A57" w:rsidRDefault="00CC28A8" w:rsidP="00CC28A8">
      <w:pPr>
        <w:pStyle w:val="paragraph"/>
        <w:rPr>
          <w:color w:val="0000FF"/>
        </w:rPr>
      </w:pPr>
      <w:r w:rsidRPr="00693A57">
        <w:rPr>
          <w:color w:val="0000FF"/>
        </w:rPr>
        <w:tab/>
        <w:t>(a)</w:t>
      </w:r>
      <w:r w:rsidRPr="00693A57">
        <w:rPr>
          <w:color w:val="0000FF"/>
        </w:rPr>
        <w:tab/>
      </w:r>
      <w:r w:rsidR="00E85D43" w:rsidRPr="00693A57">
        <w:rPr>
          <w:color w:val="0000FF"/>
        </w:rPr>
        <w:t xml:space="preserve">the </w:t>
      </w:r>
      <w:r w:rsidRPr="00693A57">
        <w:rPr>
          <w:color w:val="0000FF"/>
        </w:rPr>
        <w:t>co</w:t>
      </w:r>
      <w:r w:rsidRPr="00693A57">
        <w:rPr>
          <w:color w:val="0000FF"/>
        </w:rPr>
        <w:noBreakHyphen/>
        <w:t>approval option applies to the joint account; and</w:t>
      </w:r>
    </w:p>
    <w:p w14:paraId="5B557E5D" w14:textId="77777777" w:rsidR="00CC28A8" w:rsidRPr="00693A57" w:rsidRDefault="00CC28A8" w:rsidP="00CC28A8">
      <w:pPr>
        <w:pStyle w:val="paragraph"/>
        <w:rPr>
          <w:color w:val="0000FF"/>
        </w:rPr>
      </w:pPr>
      <w:r w:rsidRPr="00693A57">
        <w:rPr>
          <w:color w:val="0000FF"/>
        </w:rPr>
        <w:tab/>
        <w:t>(b)</w:t>
      </w:r>
      <w:r w:rsidRPr="00693A57">
        <w:rPr>
          <w:color w:val="0000FF"/>
        </w:rPr>
        <w:tab/>
        <w:t>for each relevant account holder, either:</w:t>
      </w:r>
    </w:p>
    <w:p w14:paraId="79DDA3C7" w14:textId="4B22DEE6" w:rsidR="00CC28A8" w:rsidRPr="00693A57" w:rsidRDefault="00CC28A8" w:rsidP="00CC28A8">
      <w:pPr>
        <w:pStyle w:val="paragraphsub"/>
        <w:rPr>
          <w:color w:val="0000FF"/>
        </w:rPr>
      </w:pPr>
      <w:r w:rsidRPr="00693A57">
        <w:rPr>
          <w:color w:val="0000FF"/>
        </w:rPr>
        <w:tab/>
        <w:t>(i)</w:t>
      </w:r>
      <w:r w:rsidRPr="00693A57">
        <w:rPr>
          <w:color w:val="0000FF"/>
        </w:rPr>
        <w:tab/>
        <w:t xml:space="preserve">the relevant account holder approved the disclosure in accordance with </w:t>
      </w:r>
      <w:r w:rsidR="00E85D43" w:rsidRPr="00693A57">
        <w:rPr>
          <w:color w:val="0000FF"/>
        </w:rPr>
        <w:t xml:space="preserve">rule </w:t>
      </w:r>
      <w:r w:rsidR="000B1D10" w:rsidRPr="00693A57">
        <w:rPr>
          <w:color w:val="0000FF"/>
        </w:rPr>
        <w:t>4</w:t>
      </w:r>
      <w:r w:rsidR="00832060" w:rsidRPr="00693A57">
        <w:rPr>
          <w:color w:val="0000FF"/>
        </w:rPr>
        <w:t>A</w:t>
      </w:r>
      <w:r w:rsidR="000B1D10" w:rsidRPr="00693A57">
        <w:rPr>
          <w:color w:val="0000FF"/>
        </w:rPr>
        <w:t>.12</w:t>
      </w:r>
      <w:r w:rsidR="00832060" w:rsidRPr="00693A57">
        <w:rPr>
          <w:color w:val="0000FF"/>
        </w:rPr>
        <w:t xml:space="preserve"> </w:t>
      </w:r>
      <w:r w:rsidRPr="00693A57">
        <w:rPr>
          <w:color w:val="0000FF"/>
        </w:rPr>
        <w:t xml:space="preserve">within the time </w:t>
      </w:r>
      <w:r w:rsidR="00E85D43" w:rsidRPr="00693A57">
        <w:rPr>
          <w:color w:val="0000FF"/>
        </w:rPr>
        <w:t xml:space="preserve">specified </w:t>
      </w:r>
      <w:r w:rsidRPr="00693A57">
        <w:rPr>
          <w:color w:val="0000FF"/>
        </w:rPr>
        <w:t xml:space="preserve">and has not </w:t>
      </w:r>
      <w:r w:rsidR="005D0CE1" w:rsidRPr="00693A57">
        <w:rPr>
          <w:color w:val="0000FF"/>
        </w:rPr>
        <w:t>withdrawn</w:t>
      </w:r>
      <w:r w:rsidRPr="00693A57">
        <w:rPr>
          <w:color w:val="0000FF"/>
        </w:rPr>
        <w:t xml:space="preserve"> the approval using their consumer dashboard; or</w:t>
      </w:r>
    </w:p>
    <w:p w14:paraId="46E0FC02" w14:textId="77777777" w:rsidR="00CC28A8" w:rsidRPr="00693A57" w:rsidRDefault="00CC28A8" w:rsidP="00CC28A8">
      <w:pPr>
        <w:pStyle w:val="paragraphsub"/>
        <w:rPr>
          <w:color w:val="0000FF"/>
        </w:rPr>
      </w:pPr>
      <w:r w:rsidRPr="00693A57">
        <w:rPr>
          <w:color w:val="0000FF"/>
        </w:rPr>
        <w:tab/>
        <w:t>(ii)</w:t>
      </w:r>
      <w:r w:rsidRPr="00693A57">
        <w:rPr>
          <w:color w:val="0000FF"/>
        </w:rPr>
        <w:tab/>
        <w:t>the data holder considers it necessary to avoid seeking the approval of the relevant account holder in order to prevent physical or financial harm or abuse.</w:t>
      </w:r>
    </w:p>
    <w:p w14:paraId="7912D69B" w14:textId="7FE35BA2" w:rsidR="005D0CE1" w:rsidRPr="00693A57" w:rsidRDefault="00CC28A8" w:rsidP="00CC28A8">
      <w:pPr>
        <w:pStyle w:val="notetext"/>
        <w:rPr>
          <w:color w:val="0000FF"/>
        </w:rPr>
      </w:pPr>
      <w:r w:rsidRPr="00693A57">
        <w:rPr>
          <w:color w:val="0000FF"/>
        </w:rPr>
        <w:t>Note:</w:t>
      </w:r>
      <w:r w:rsidRPr="00693A57">
        <w:rPr>
          <w:color w:val="0000FF"/>
        </w:rPr>
        <w:tab/>
      </w:r>
      <w:r w:rsidR="00F72122" w:rsidRPr="00693A57">
        <w:rPr>
          <w:color w:val="0000FF"/>
        </w:rPr>
        <w:t>Under subrule </w:t>
      </w:r>
      <w:r w:rsidR="000B1D10" w:rsidRPr="00693A57">
        <w:rPr>
          <w:color w:val="0000FF"/>
        </w:rPr>
        <w:t>4</w:t>
      </w:r>
      <w:r w:rsidR="00832060" w:rsidRPr="00693A57">
        <w:rPr>
          <w:color w:val="0000FF"/>
        </w:rPr>
        <w:t>A</w:t>
      </w:r>
      <w:r w:rsidR="000B1D10" w:rsidRPr="00693A57">
        <w:rPr>
          <w:color w:val="0000FF"/>
        </w:rPr>
        <w:t>.4</w:t>
      </w:r>
      <w:r w:rsidR="00F72122" w:rsidRPr="00693A57">
        <w:rPr>
          <w:color w:val="0000FF"/>
        </w:rPr>
        <w:t>, d</w:t>
      </w:r>
      <w:r w:rsidRPr="00693A57">
        <w:rPr>
          <w:color w:val="0000FF"/>
        </w:rPr>
        <w:t>ata holders are required to offer the</w:t>
      </w:r>
      <w:r w:rsidR="00F72122" w:rsidRPr="00693A57">
        <w:rPr>
          <w:color w:val="0000FF"/>
        </w:rPr>
        <w:t xml:space="preserve"> pre-approval</w:t>
      </w:r>
      <w:r w:rsidRPr="00693A57">
        <w:rPr>
          <w:color w:val="0000FF"/>
        </w:rPr>
        <w:t xml:space="preserve"> disclosure option</w:t>
      </w:r>
      <w:r w:rsidR="00F72122" w:rsidRPr="00693A57">
        <w:rPr>
          <w:color w:val="0000FF"/>
        </w:rPr>
        <w:t xml:space="preserve">, which applies by default.  </w:t>
      </w:r>
      <w:r w:rsidRPr="00693A57">
        <w:rPr>
          <w:color w:val="0000FF"/>
        </w:rPr>
        <w:t>Data holders may, but are not required to, offer the</w:t>
      </w:r>
      <w:r w:rsidR="00F72122" w:rsidRPr="00693A57">
        <w:rPr>
          <w:color w:val="0000FF"/>
        </w:rPr>
        <w:t xml:space="preserve"> co-approval option.</w:t>
      </w:r>
    </w:p>
    <w:p w14:paraId="21F74BF8" w14:textId="78F101D5" w:rsidR="005D0CE1" w:rsidRPr="00693A57" w:rsidRDefault="007D0835" w:rsidP="005D0CE1">
      <w:pPr>
        <w:pStyle w:val="SubsectionHead"/>
        <w:rPr>
          <w:color w:val="0000FF"/>
        </w:rPr>
      </w:pPr>
      <w:r w:rsidRPr="00693A57">
        <w:rPr>
          <w:color w:val="0000FF"/>
        </w:rPr>
        <w:t xml:space="preserve"> </w:t>
      </w:r>
      <w:r w:rsidR="00E743A8" w:rsidRPr="00693A57">
        <w:rPr>
          <w:color w:val="0000FF"/>
        </w:rPr>
        <w:t>Pre-approval</w:t>
      </w:r>
      <w:r w:rsidR="005D0CE1" w:rsidRPr="00693A57">
        <w:rPr>
          <w:color w:val="0000FF"/>
        </w:rPr>
        <w:t xml:space="preserve"> option </w:t>
      </w:r>
      <w:r w:rsidR="00216C26" w:rsidRPr="00693A57">
        <w:rPr>
          <w:color w:val="0000FF"/>
        </w:rPr>
        <w:t xml:space="preserve">does not </w:t>
      </w:r>
      <w:r w:rsidR="005D0CE1" w:rsidRPr="00693A57">
        <w:rPr>
          <w:color w:val="0000FF"/>
        </w:rPr>
        <w:t>appl</w:t>
      </w:r>
      <w:r w:rsidR="00216C26" w:rsidRPr="00693A57">
        <w:rPr>
          <w:color w:val="0000FF"/>
        </w:rPr>
        <w:t xml:space="preserve">y </w:t>
      </w:r>
      <w:r w:rsidR="005D0CE1" w:rsidRPr="00693A57">
        <w:rPr>
          <w:color w:val="0000FF"/>
        </w:rPr>
        <w:t>but circumstances of physical or financial harm or abuse might exist</w:t>
      </w:r>
    </w:p>
    <w:p w14:paraId="272A2929" w14:textId="77777777" w:rsidR="005D0CE1" w:rsidRPr="00693A57" w:rsidRDefault="005D0CE1" w:rsidP="005D0CE1">
      <w:pPr>
        <w:pStyle w:val="subsection"/>
        <w:rPr>
          <w:color w:val="0000FF"/>
        </w:rPr>
      </w:pPr>
      <w:r w:rsidRPr="00693A57">
        <w:rPr>
          <w:color w:val="0000FF"/>
        </w:rPr>
        <w:tab/>
        <w:t>(4)</w:t>
      </w:r>
      <w:r w:rsidRPr="00693A57">
        <w:rPr>
          <w:color w:val="0000FF"/>
        </w:rPr>
        <w:tab/>
        <w:t>This subclause applies if:</w:t>
      </w:r>
    </w:p>
    <w:p w14:paraId="1779C8FD" w14:textId="467366F6" w:rsidR="005D0CE1" w:rsidRPr="00693A57" w:rsidRDefault="005D0CE1" w:rsidP="005D0CE1">
      <w:pPr>
        <w:pStyle w:val="paragraph"/>
        <w:rPr>
          <w:color w:val="0000FF"/>
        </w:rPr>
      </w:pPr>
      <w:r w:rsidRPr="00693A57">
        <w:rPr>
          <w:color w:val="0000FF"/>
        </w:rPr>
        <w:tab/>
        <w:t>(a)</w:t>
      </w:r>
      <w:r w:rsidRPr="00693A57">
        <w:rPr>
          <w:color w:val="0000FF"/>
        </w:rPr>
        <w:tab/>
      </w:r>
      <w:r w:rsidR="00E743A8" w:rsidRPr="00693A57">
        <w:rPr>
          <w:color w:val="0000FF"/>
        </w:rPr>
        <w:t xml:space="preserve">the </w:t>
      </w:r>
      <w:r w:rsidR="00216C26" w:rsidRPr="00693A57">
        <w:rPr>
          <w:color w:val="0000FF"/>
        </w:rPr>
        <w:t>pre</w:t>
      </w:r>
      <w:r w:rsidR="00E743A8" w:rsidRPr="00693A57">
        <w:rPr>
          <w:color w:val="0000FF"/>
        </w:rPr>
        <w:t>-</w:t>
      </w:r>
      <w:r w:rsidRPr="00693A57">
        <w:rPr>
          <w:color w:val="0000FF"/>
        </w:rPr>
        <w:t xml:space="preserve">disclosure option </w:t>
      </w:r>
      <w:r w:rsidR="00216C26" w:rsidRPr="00693A57">
        <w:rPr>
          <w:color w:val="0000FF"/>
        </w:rPr>
        <w:t xml:space="preserve">does not apply </w:t>
      </w:r>
      <w:r w:rsidR="00E743A8" w:rsidRPr="00693A57">
        <w:rPr>
          <w:color w:val="0000FF"/>
        </w:rPr>
        <w:t xml:space="preserve">to the </w:t>
      </w:r>
      <w:r w:rsidRPr="00693A57">
        <w:rPr>
          <w:color w:val="0000FF"/>
        </w:rPr>
        <w:t>joint account; and</w:t>
      </w:r>
    </w:p>
    <w:p w14:paraId="056AE119" w14:textId="77777777" w:rsidR="00216C26" w:rsidRPr="00693A57" w:rsidRDefault="005D0CE1" w:rsidP="005D0CE1">
      <w:pPr>
        <w:pStyle w:val="paragraph"/>
        <w:rPr>
          <w:color w:val="0000FF"/>
        </w:rPr>
      </w:pPr>
      <w:r w:rsidRPr="00693A57">
        <w:rPr>
          <w:color w:val="0000FF"/>
        </w:rPr>
        <w:tab/>
        <w:t>(b)</w:t>
      </w:r>
      <w:r w:rsidRPr="00693A57">
        <w:rPr>
          <w:color w:val="0000FF"/>
        </w:rPr>
        <w:tab/>
        <w:t>the data holder considers it necessary</w:t>
      </w:r>
      <w:r w:rsidR="00216C26" w:rsidRPr="00693A57">
        <w:rPr>
          <w:color w:val="0000FF"/>
        </w:rPr>
        <w:t>,</w:t>
      </w:r>
      <w:r w:rsidRPr="00693A57">
        <w:rPr>
          <w:color w:val="0000FF"/>
        </w:rPr>
        <w:t xml:space="preserve"> in order to prevent physical</w:t>
      </w:r>
      <w:r w:rsidR="00E743A8" w:rsidRPr="00693A57">
        <w:rPr>
          <w:color w:val="0000FF"/>
        </w:rPr>
        <w:t xml:space="preserve"> or financial harm or abuse</w:t>
      </w:r>
      <w:r w:rsidR="00216C26" w:rsidRPr="00693A57">
        <w:rPr>
          <w:color w:val="0000FF"/>
        </w:rPr>
        <w:t xml:space="preserve">, to avoid inviting at least one of the relevant </w:t>
      </w:r>
      <w:r w:rsidR="00216C26" w:rsidRPr="00693A57">
        <w:rPr>
          <w:color w:val="0000FF"/>
        </w:rPr>
        <w:lastRenderedPageBreak/>
        <w:t>account holders to either approve a change to the disclosure option or approve disclosure under the co-approval option.</w:t>
      </w:r>
    </w:p>
    <w:p w14:paraId="504E4CC0" w14:textId="2B19CEB6" w:rsidR="00CC28A8" w:rsidRPr="00693A57" w:rsidRDefault="00832060" w:rsidP="00ED233D">
      <w:pPr>
        <w:pStyle w:val="ActHead5"/>
        <w:rPr>
          <w:color w:val="0000FF"/>
        </w:rPr>
      </w:pPr>
      <w:r w:rsidRPr="00693A57">
        <w:rPr>
          <w:color w:val="0000FF"/>
        </w:rPr>
        <w:t xml:space="preserve"> </w:t>
      </w:r>
      <w:bookmarkStart w:id="357" w:name="_Toc77064945"/>
      <w:r w:rsidRPr="00693A57">
        <w:rPr>
          <w:color w:val="0000FF"/>
        </w:rPr>
        <w:t xml:space="preserve">4A.15 </w:t>
      </w:r>
      <w:r w:rsidR="00ED233D" w:rsidRPr="00693A57">
        <w:rPr>
          <w:color w:val="0000FF"/>
        </w:rPr>
        <w:t xml:space="preserve"> </w:t>
      </w:r>
      <w:r w:rsidR="00CC28A8" w:rsidRPr="00693A57">
        <w:rPr>
          <w:color w:val="0000FF"/>
        </w:rPr>
        <w:t xml:space="preserve">Consumer dashboard for </w:t>
      </w:r>
      <w:r w:rsidR="00A021DB" w:rsidRPr="00693A57">
        <w:rPr>
          <w:color w:val="0000FF"/>
        </w:rPr>
        <w:t xml:space="preserve">joint </w:t>
      </w:r>
      <w:r w:rsidR="00CC28A8" w:rsidRPr="00693A57">
        <w:rPr>
          <w:color w:val="0000FF"/>
        </w:rPr>
        <w:t>account holders</w:t>
      </w:r>
      <w:bookmarkEnd w:id="357"/>
      <w:r w:rsidR="00CC28A8" w:rsidRPr="00693A57">
        <w:rPr>
          <w:color w:val="0000FF"/>
        </w:rPr>
        <w:t xml:space="preserve"> </w:t>
      </w:r>
    </w:p>
    <w:p w14:paraId="62C011A6" w14:textId="6FEDED9E" w:rsidR="00A021DB" w:rsidRPr="00693A57" w:rsidRDefault="00A021DB" w:rsidP="00A021DB">
      <w:pPr>
        <w:pStyle w:val="notemargin"/>
        <w:rPr>
          <w:color w:val="0000FF"/>
        </w:rPr>
      </w:pPr>
      <w:r w:rsidRPr="00693A57">
        <w:rPr>
          <w:color w:val="0000FF"/>
        </w:rPr>
        <w:t>Note:</w:t>
      </w:r>
      <w:r w:rsidRPr="00693A57">
        <w:rPr>
          <w:color w:val="0000FF"/>
        </w:rPr>
        <w:tab/>
        <w:t xml:space="preserve">Where this Division applies, the data holder must provide a consumer dashboard for the requester under rule 1.15.  This rule provides for the provision of a similar consumer dashboard for each </w:t>
      </w:r>
      <w:r w:rsidR="00460B9C" w:rsidRPr="00693A57">
        <w:rPr>
          <w:color w:val="0000FF"/>
        </w:rPr>
        <w:t>relevant account holder in some circumstances and requires additional functionality on the dashboards.</w:t>
      </w:r>
    </w:p>
    <w:p w14:paraId="66E34FD1" w14:textId="77777777" w:rsidR="00CC28A8" w:rsidRPr="00693A57" w:rsidRDefault="00CC28A8" w:rsidP="00CC28A8">
      <w:pPr>
        <w:pStyle w:val="SubsectionHead"/>
        <w:rPr>
          <w:color w:val="0000FF"/>
        </w:rPr>
      </w:pPr>
      <w:r w:rsidRPr="00693A57">
        <w:rPr>
          <w:color w:val="0000FF"/>
        </w:rPr>
        <w:t>Obligation for data holder to provide relevant account holders with consumer dashboard</w:t>
      </w:r>
    </w:p>
    <w:p w14:paraId="1A0E279A" w14:textId="77777777" w:rsidR="00460B9C" w:rsidRPr="00693A57" w:rsidRDefault="00CC28A8" w:rsidP="00A021DB">
      <w:pPr>
        <w:pStyle w:val="subsection"/>
        <w:rPr>
          <w:color w:val="0000FF"/>
        </w:rPr>
      </w:pPr>
      <w:r w:rsidRPr="00693A57">
        <w:rPr>
          <w:color w:val="0000FF"/>
        </w:rPr>
        <w:tab/>
        <w:t>(1)</w:t>
      </w:r>
      <w:r w:rsidRPr="00693A57">
        <w:rPr>
          <w:color w:val="0000FF"/>
        </w:rPr>
        <w:tab/>
      </w:r>
      <w:r w:rsidR="00460B9C" w:rsidRPr="00693A57">
        <w:rPr>
          <w:color w:val="0000FF"/>
        </w:rPr>
        <w:t>Where:</w:t>
      </w:r>
    </w:p>
    <w:p w14:paraId="7C5F3164" w14:textId="6A299627" w:rsidR="00460B9C" w:rsidRPr="00693A57" w:rsidRDefault="00460B9C" w:rsidP="00460B9C">
      <w:pPr>
        <w:pStyle w:val="paragraph"/>
        <w:rPr>
          <w:color w:val="0000FF"/>
        </w:rPr>
      </w:pPr>
      <w:r w:rsidRPr="00693A57">
        <w:rPr>
          <w:color w:val="0000FF"/>
        </w:rPr>
        <w:tab/>
        <w:t>(a)</w:t>
      </w:r>
      <w:r w:rsidRPr="00693A57">
        <w:rPr>
          <w:color w:val="0000FF"/>
        </w:rPr>
        <w:tab/>
        <w:t>this Division applies in relation to a consumer data request; and</w:t>
      </w:r>
    </w:p>
    <w:p w14:paraId="7425D23C" w14:textId="3642AE87" w:rsidR="00460B9C" w:rsidRPr="00693A57" w:rsidRDefault="00460B9C" w:rsidP="00460B9C">
      <w:pPr>
        <w:pStyle w:val="paragraph"/>
        <w:rPr>
          <w:color w:val="0000FF"/>
        </w:rPr>
      </w:pPr>
      <w:r w:rsidRPr="00693A57">
        <w:rPr>
          <w:color w:val="0000FF"/>
        </w:rPr>
        <w:tab/>
        <w:t>(b)</w:t>
      </w:r>
      <w:r w:rsidRPr="00693A57">
        <w:rPr>
          <w:color w:val="0000FF"/>
        </w:rPr>
        <w:tab/>
        <w:t>either the co-approval option or the pre-approval option applies</w:t>
      </w:r>
      <w:r w:rsidR="00F72122" w:rsidRPr="00693A57">
        <w:rPr>
          <w:color w:val="0000FF"/>
        </w:rPr>
        <w:t>, or has applied,</w:t>
      </w:r>
      <w:r w:rsidR="00325DB2" w:rsidRPr="00693A57">
        <w:rPr>
          <w:color w:val="0000FF"/>
        </w:rPr>
        <w:t xml:space="preserve"> </w:t>
      </w:r>
      <w:r w:rsidRPr="00693A57">
        <w:rPr>
          <w:color w:val="0000FF"/>
        </w:rPr>
        <w:t>to the joint account;</w:t>
      </w:r>
    </w:p>
    <w:p w14:paraId="3979FE9C" w14:textId="005EFC6A" w:rsidR="00CC28A8" w:rsidRPr="00693A57" w:rsidRDefault="00460B9C" w:rsidP="00460B9C">
      <w:pPr>
        <w:pStyle w:val="subsection20"/>
        <w:rPr>
          <w:color w:val="0000FF"/>
        </w:rPr>
      </w:pPr>
      <w:r w:rsidRPr="00693A57">
        <w:rPr>
          <w:color w:val="0000FF"/>
        </w:rPr>
        <w:tab/>
      </w:r>
      <w:r w:rsidRPr="00693A57">
        <w:rPr>
          <w:color w:val="0000FF"/>
        </w:rPr>
        <w:tab/>
      </w:r>
      <w:r w:rsidR="00CC28A8" w:rsidRPr="00693A57">
        <w:rPr>
          <w:color w:val="0000FF"/>
        </w:rPr>
        <w:t>the data holder must ensure that each relevant account holder has an online service that:</w:t>
      </w:r>
    </w:p>
    <w:p w14:paraId="0B1CF44D" w14:textId="03207910" w:rsidR="00CC28A8" w:rsidRPr="00693A57" w:rsidRDefault="00CC28A8" w:rsidP="00CC28A8">
      <w:pPr>
        <w:pStyle w:val="paragraph"/>
        <w:rPr>
          <w:color w:val="0000FF"/>
        </w:rPr>
      </w:pPr>
      <w:r w:rsidRPr="00693A57">
        <w:rPr>
          <w:color w:val="0000FF"/>
        </w:rPr>
        <w:tab/>
        <w:t>(</w:t>
      </w:r>
      <w:r w:rsidR="00402E88" w:rsidRPr="00693A57">
        <w:rPr>
          <w:color w:val="0000FF"/>
        </w:rPr>
        <w:t>c</w:t>
      </w:r>
      <w:r w:rsidRPr="00693A57">
        <w:rPr>
          <w:color w:val="0000FF"/>
        </w:rPr>
        <w:t>)</w:t>
      </w:r>
      <w:r w:rsidRPr="00693A57">
        <w:rPr>
          <w:color w:val="0000FF"/>
        </w:rPr>
        <w:tab/>
        <w:t xml:space="preserve">contains the details referred to in paragraph 1.15(1)(b)  that relate to </w:t>
      </w:r>
      <w:r w:rsidR="00325DB2" w:rsidRPr="00693A57">
        <w:rPr>
          <w:color w:val="0000FF"/>
        </w:rPr>
        <w:t>the joint account data</w:t>
      </w:r>
      <w:r w:rsidRPr="00693A57">
        <w:rPr>
          <w:color w:val="0000FF"/>
        </w:rPr>
        <w:t>; and</w:t>
      </w:r>
    </w:p>
    <w:p w14:paraId="41B282D7" w14:textId="7ECF569A" w:rsidR="00325DB2" w:rsidRPr="00693A57" w:rsidRDefault="00402E88" w:rsidP="00325DB2">
      <w:pPr>
        <w:pStyle w:val="paragraph"/>
        <w:rPr>
          <w:color w:val="0000FF"/>
        </w:rPr>
      </w:pPr>
      <w:r w:rsidRPr="00693A57">
        <w:rPr>
          <w:color w:val="0000FF"/>
        </w:rPr>
        <w:tab/>
        <w:t>(d</w:t>
      </w:r>
      <w:r w:rsidR="00CC28A8" w:rsidRPr="00693A57">
        <w:rPr>
          <w:color w:val="0000FF"/>
        </w:rPr>
        <w:t>)</w:t>
      </w:r>
      <w:r w:rsidR="00CC28A8" w:rsidRPr="00693A57">
        <w:rPr>
          <w:color w:val="0000FF"/>
        </w:rPr>
        <w:tab/>
        <w:t xml:space="preserve">has </w:t>
      </w:r>
      <w:r w:rsidR="00325DB2" w:rsidRPr="00693A57">
        <w:rPr>
          <w:color w:val="0000FF"/>
        </w:rPr>
        <w:t xml:space="preserve">a </w:t>
      </w:r>
      <w:r w:rsidR="00CC28A8" w:rsidRPr="00693A57">
        <w:rPr>
          <w:color w:val="0000FF"/>
        </w:rPr>
        <w:t xml:space="preserve">functionality </w:t>
      </w:r>
      <w:r w:rsidR="00325DB2" w:rsidRPr="00693A57">
        <w:rPr>
          <w:color w:val="0000FF"/>
        </w:rPr>
        <w:t>that:</w:t>
      </w:r>
    </w:p>
    <w:p w14:paraId="432794B2" w14:textId="422E3BCB" w:rsidR="00F72122" w:rsidRPr="00693A57" w:rsidRDefault="00F72122" w:rsidP="00F72122">
      <w:pPr>
        <w:pStyle w:val="paragraphsub"/>
        <w:rPr>
          <w:color w:val="0000FF"/>
        </w:rPr>
      </w:pPr>
      <w:r w:rsidRPr="00693A57">
        <w:rPr>
          <w:color w:val="0000FF"/>
        </w:rPr>
        <w:tab/>
        <w:t>(i)</w:t>
      </w:r>
      <w:r w:rsidRPr="00693A57">
        <w:rPr>
          <w:color w:val="0000FF"/>
        </w:rPr>
        <w:tab/>
        <w:t>can be used</w:t>
      </w:r>
      <w:r w:rsidR="00402E88" w:rsidRPr="00693A57">
        <w:rPr>
          <w:color w:val="0000FF"/>
        </w:rPr>
        <w:t xml:space="preserve"> by the relevant account holder</w:t>
      </w:r>
      <w:r w:rsidRPr="00693A57">
        <w:rPr>
          <w:color w:val="0000FF"/>
        </w:rPr>
        <w:t xml:space="preserve"> to manage approvals in relation to each authorisation to disclose joint account data made by </w:t>
      </w:r>
      <w:r w:rsidR="00402E88" w:rsidRPr="00693A57">
        <w:rPr>
          <w:color w:val="0000FF"/>
        </w:rPr>
        <w:t xml:space="preserve">a </w:t>
      </w:r>
      <w:r w:rsidRPr="00693A57">
        <w:rPr>
          <w:color w:val="0000FF"/>
        </w:rPr>
        <w:t>requester; and</w:t>
      </w:r>
    </w:p>
    <w:p w14:paraId="7852595B" w14:textId="055469D9" w:rsidR="00325DB2" w:rsidRPr="00693A57" w:rsidRDefault="00325DB2" w:rsidP="00325DB2">
      <w:pPr>
        <w:pStyle w:val="paragraphsub"/>
        <w:rPr>
          <w:color w:val="0000FF"/>
        </w:rPr>
      </w:pPr>
      <w:r w:rsidRPr="00693A57">
        <w:rPr>
          <w:color w:val="0000FF"/>
        </w:rPr>
        <w:tab/>
        <w:t>(i</w:t>
      </w:r>
      <w:r w:rsidR="00402E88" w:rsidRPr="00693A57">
        <w:rPr>
          <w:color w:val="0000FF"/>
        </w:rPr>
        <w:t>i</w:t>
      </w:r>
      <w:r w:rsidRPr="00693A57">
        <w:rPr>
          <w:color w:val="0000FF"/>
        </w:rPr>
        <w:t>)</w:t>
      </w:r>
      <w:r w:rsidRPr="00693A57">
        <w:rPr>
          <w:color w:val="0000FF"/>
        </w:rPr>
        <w:tab/>
        <w:t xml:space="preserve">allows for withdrawal, at any time, of </w:t>
      </w:r>
      <w:r w:rsidR="00402E88" w:rsidRPr="00693A57">
        <w:rPr>
          <w:color w:val="0000FF"/>
        </w:rPr>
        <w:t xml:space="preserve">such an </w:t>
      </w:r>
      <w:r w:rsidRPr="00693A57">
        <w:rPr>
          <w:color w:val="0000FF"/>
        </w:rPr>
        <w:t>approval; and</w:t>
      </w:r>
    </w:p>
    <w:p w14:paraId="0A3ADD71" w14:textId="0B211048" w:rsidR="00325DB2" w:rsidRPr="00693A57" w:rsidRDefault="00325DB2" w:rsidP="00325DB2">
      <w:pPr>
        <w:pStyle w:val="paragraphsub"/>
        <w:rPr>
          <w:color w:val="0000FF"/>
        </w:rPr>
      </w:pPr>
      <w:r w:rsidRPr="00693A57">
        <w:rPr>
          <w:color w:val="0000FF"/>
        </w:rPr>
        <w:tab/>
        <w:t>(</w:t>
      </w:r>
      <w:r w:rsidR="00402E88" w:rsidRPr="00693A57">
        <w:rPr>
          <w:color w:val="0000FF"/>
        </w:rPr>
        <w:t>ii</w:t>
      </w:r>
      <w:r w:rsidRPr="00693A57">
        <w:rPr>
          <w:color w:val="0000FF"/>
        </w:rPr>
        <w:t>i)</w:t>
      </w:r>
      <w:r w:rsidRPr="00693A57">
        <w:rPr>
          <w:color w:val="0000FF"/>
        </w:rPr>
        <w:tab/>
        <w:t>is simple and straightforward to use; and</w:t>
      </w:r>
    </w:p>
    <w:p w14:paraId="39F2BB7E" w14:textId="77777777" w:rsidR="00325DB2" w:rsidRPr="00693A57" w:rsidRDefault="00325DB2" w:rsidP="00325DB2">
      <w:pPr>
        <w:pStyle w:val="paragraphsub"/>
        <w:rPr>
          <w:color w:val="0000FF"/>
        </w:rPr>
      </w:pPr>
      <w:r w:rsidRPr="00693A57">
        <w:rPr>
          <w:color w:val="0000FF"/>
        </w:rPr>
        <w:tab/>
        <w:t>(iv)</w:t>
      </w:r>
      <w:r w:rsidRPr="00693A57">
        <w:rPr>
          <w:color w:val="0000FF"/>
        </w:rPr>
        <w:tab/>
        <w:t>is prominently displayed; and</w:t>
      </w:r>
    </w:p>
    <w:p w14:paraId="300FAE36" w14:textId="049C760E" w:rsidR="00325DB2" w:rsidRPr="00693A57" w:rsidRDefault="00325DB2" w:rsidP="00325DB2">
      <w:pPr>
        <w:pStyle w:val="paragraphsub"/>
        <w:rPr>
          <w:color w:val="0000FF"/>
        </w:rPr>
      </w:pPr>
      <w:r w:rsidRPr="00693A57">
        <w:rPr>
          <w:color w:val="0000FF"/>
        </w:rPr>
        <w:tab/>
        <w:t>(v)</w:t>
      </w:r>
      <w:r w:rsidRPr="00693A57">
        <w:rPr>
          <w:color w:val="0000FF"/>
        </w:rPr>
        <w:tab/>
        <w:t>as part of the withdrawal process, displays a message relating to the consequences of the withdrawal in accorda</w:t>
      </w:r>
      <w:r w:rsidR="00402E88" w:rsidRPr="00693A57">
        <w:rPr>
          <w:color w:val="0000FF"/>
        </w:rPr>
        <w:t>nce with the data standards.</w:t>
      </w:r>
    </w:p>
    <w:p w14:paraId="0F000B09" w14:textId="65BD946E" w:rsidR="00CC28A8" w:rsidRPr="00693A57" w:rsidRDefault="00CC28A8" w:rsidP="00CC28A8">
      <w:pPr>
        <w:pStyle w:val="notetext"/>
        <w:rPr>
          <w:color w:val="0000FF"/>
        </w:rPr>
      </w:pPr>
      <w:r w:rsidRPr="00693A57">
        <w:rPr>
          <w:color w:val="0000FF"/>
        </w:rPr>
        <w:t>Note:</w:t>
      </w:r>
      <w:r w:rsidRPr="00693A57">
        <w:rPr>
          <w:color w:val="0000FF"/>
        </w:rPr>
        <w:tab/>
        <w:t>This sub</w:t>
      </w:r>
      <w:r w:rsidR="008F7859" w:rsidRPr="00693A57">
        <w:rPr>
          <w:color w:val="0000FF"/>
        </w:rPr>
        <w:t>rule</w:t>
      </w:r>
      <w:r w:rsidRPr="00693A57">
        <w:rPr>
          <w:color w:val="0000FF"/>
        </w:rPr>
        <w:t xml:space="preserve"> is a civil penalty provision (see rule 9.8).</w:t>
      </w:r>
    </w:p>
    <w:p w14:paraId="0FB403F5" w14:textId="77777777" w:rsidR="00CC28A8" w:rsidRPr="00693A57" w:rsidRDefault="00CC28A8" w:rsidP="00CC28A8">
      <w:pPr>
        <w:pStyle w:val="subsection"/>
        <w:rPr>
          <w:color w:val="0000FF"/>
        </w:rPr>
      </w:pPr>
      <w:r w:rsidRPr="00693A57">
        <w:rPr>
          <w:color w:val="0000FF"/>
        </w:rPr>
        <w:tab/>
        <w:t>(2)</w:t>
      </w:r>
      <w:r w:rsidRPr="00693A57">
        <w:rPr>
          <w:color w:val="0000FF"/>
        </w:rPr>
        <w:tab/>
        <w:t xml:space="preserve">Such a service is the data holder’s </w:t>
      </w:r>
      <w:r w:rsidRPr="00693A57">
        <w:rPr>
          <w:b/>
          <w:i/>
          <w:color w:val="0000FF"/>
        </w:rPr>
        <w:t>consumer dashboard</w:t>
      </w:r>
      <w:r w:rsidRPr="00693A57">
        <w:rPr>
          <w:color w:val="0000FF"/>
        </w:rPr>
        <w:t xml:space="preserve"> for the relevant account holder.</w:t>
      </w:r>
    </w:p>
    <w:p w14:paraId="08087D83" w14:textId="2288A039" w:rsidR="00CC28A8" w:rsidRPr="00693A57" w:rsidRDefault="00CC28A8" w:rsidP="00CC28A8">
      <w:pPr>
        <w:pStyle w:val="subsection"/>
        <w:rPr>
          <w:color w:val="0000FF"/>
        </w:rPr>
      </w:pPr>
      <w:r w:rsidRPr="00693A57">
        <w:rPr>
          <w:color w:val="0000FF"/>
        </w:rPr>
        <w:tab/>
        <w:t>(3)</w:t>
      </w:r>
      <w:r w:rsidRPr="00693A57">
        <w:rPr>
          <w:color w:val="0000FF"/>
        </w:rPr>
        <w:tab/>
        <w:t>A data holder does not contravene subrule (1) i</w:t>
      </w:r>
      <w:r w:rsidR="00325DB2" w:rsidRPr="00693A57">
        <w:rPr>
          <w:color w:val="0000FF"/>
        </w:rPr>
        <w:t>n relation to subparagraphs </w:t>
      </w:r>
      <w:r w:rsidRPr="00693A57">
        <w:rPr>
          <w:color w:val="0000FF"/>
        </w:rPr>
        <w:t>(1)(c)(ii) and (iii) so long as it takes reasonable steps to ensure that the functionality complies with those subparagraphs.</w:t>
      </w:r>
    </w:p>
    <w:p w14:paraId="56B5CA1B" w14:textId="7FB88648" w:rsidR="00325DB2" w:rsidRPr="00693A57" w:rsidRDefault="00325DB2" w:rsidP="00325DB2">
      <w:pPr>
        <w:pStyle w:val="SubsectionHead"/>
        <w:rPr>
          <w:color w:val="0000FF"/>
        </w:rPr>
      </w:pPr>
      <w:r w:rsidRPr="00693A57">
        <w:rPr>
          <w:color w:val="0000FF"/>
        </w:rPr>
        <w:t xml:space="preserve">Common information on consumer </w:t>
      </w:r>
      <w:r w:rsidR="00AB3070" w:rsidRPr="00693A57">
        <w:rPr>
          <w:color w:val="0000FF"/>
        </w:rPr>
        <w:t>dashboard</w:t>
      </w:r>
    </w:p>
    <w:p w14:paraId="360058AC" w14:textId="202C0505" w:rsidR="00325DB2" w:rsidRPr="00693A57" w:rsidRDefault="00AB3070" w:rsidP="00CC28A8">
      <w:pPr>
        <w:pStyle w:val="subsection"/>
        <w:rPr>
          <w:color w:val="0000FF"/>
        </w:rPr>
      </w:pPr>
      <w:r w:rsidRPr="00693A57">
        <w:rPr>
          <w:color w:val="0000FF"/>
        </w:rPr>
        <w:tab/>
        <w:t>(4)</w:t>
      </w:r>
      <w:r w:rsidRPr="00693A57">
        <w:rPr>
          <w:color w:val="0000FF"/>
        </w:rPr>
        <w:tab/>
      </w:r>
      <w:r w:rsidR="00325DB2" w:rsidRPr="00693A57">
        <w:rPr>
          <w:color w:val="0000FF"/>
        </w:rPr>
        <w:t xml:space="preserve">For paragraph 1.15(1)(d) , if a relevant account holder’s consumer dashboard contains details of approvals under </w:t>
      </w:r>
      <w:r w:rsidRPr="00693A57">
        <w:rPr>
          <w:color w:val="0000FF"/>
        </w:rPr>
        <w:t>this Division</w:t>
      </w:r>
      <w:r w:rsidR="00325DB2" w:rsidRPr="00693A57">
        <w:rPr>
          <w:color w:val="0000FF"/>
        </w:rPr>
        <w:t>, the dashboards of the other joint account holders</w:t>
      </w:r>
      <w:r w:rsidRPr="00693A57">
        <w:rPr>
          <w:color w:val="0000FF"/>
        </w:rPr>
        <w:t xml:space="preserve"> </w:t>
      </w:r>
      <w:r w:rsidR="00325DB2" w:rsidRPr="00693A57">
        <w:rPr>
          <w:color w:val="0000FF"/>
        </w:rPr>
        <w:t>must contain those details.</w:t>
      </w:r>
    </w:p>
    <w:p w14:paraId="48C3C436" w14:textId="77777777" w:rsidR="00CC28A8" w:rsidRPr="00693A57" w:rsidRDefault="00CC28A8" w:rsidP="00CC28A8">
      <w:pPr>
        <w:pStyle w:val="SubsectionHead"/>
        <w:rPr>
          <w:color w:val="0000FF"/>
        </w:rPr>
      </w:pPr>
      <w:r w:rsidRPr="00693A57">
        <w:rPr>
          <w:color w:val="0000FF"/>
        </w:rPr>
        <w:t>Exception in the case of physical or financial harm or abuse</w:t>
      </w:r>
    </w:p>
    <w:p w14:paraId="194B193F" w14:textId="7168B2A7" w:rsidR="00CC28A8" w:rsidRPr="00693A57" w:rsidRDefault="008F7859" w:rsidP="00CC28A8">
      <w:pPr>
        <w:pStyle w:val="subsection"/>
        <w:rPr>
          <w:color w:val="0000FF"/>
        </w:rPr>
      </w:pPr>
      <w:r w:rsidRPr="00693A57">
        <w:rPr>
          <w:color w:val="0000FF"/>
        </w:rPr>
        <w:tab/>
        <w:t>(5</w:t>
      </w:r>
      <w:r w:rsidR="00CC28A8" w:rsidRPr="00693A57">
        <w:rPr>
          <w:color w:val="0000FF"/>
        </w:rPr>
        <w:t>)</w:t>
      </w:r>
      <w:r w:rsidR="00CC28A8" w:rsidRPr="00693A57">
        <w:rPr>
          <w:color w:val="0000FF"/>
        </w:rPr>
        <w:tab/>
        <w:t xml:space="preserve">Despite this </w:t>
      </w:r>
      <w:r w:rsidR="00AB3070" w:rsidRPr="00693A57">
        <w:rPr>
          <w:color w:val="0000FF"/>
        </w:rPr>
        <w:t>rule</w:t>
      </w:r>
      <w:r w:rsidR="00CC28A8" w:rsidRPr="00693A57">
        <w:rPr>
          <w:color w:val="0000FF"/>
        </w:rPr>
        <w:t>, the data holder may decline:</w:t>
      </w:r>
    </w:p>
    <w:p w14:paraId="71144041" w14:textId="77777777" w:rsidR="00CC28A8" w:rsidRPr="00693A57" w:rsidRDefault="00CC28A8" w:rsidP="00CC28A8">
      <w:pPr>
        <w:pStyle w:val="paragraph"/>
        <w:rPr>
          <w:color w:val="0000FF"/>
        </w:rPr>
      </w:pPr>
      <w:r w:rsidRPr="00693A57">
        <w:rPr>
          <w:color w:val="0000FF"/>
        </w:rPr>
        <w:lastRenderedPageBreak/>
        <w:tab/>
        <w:t>(a)</w:t>
      </w:r>
      <w:r w:rsidRPr="00693A57">
        <w:rPr>
          <w:color w:val="0000FF"/>
        </w:rPr>
        <w:tab/>
        <w:t>to provide a relevant account holder with a consumer dashboard; or</w:t>
      </w:r>
    </w:p>
    <w:p w14:paraId="30F1EA8F" w14:textId="09F5F2D7" w:rsidR="00CC28A8" w:rsidRPr="00693A57" w:rsidRDefault="00CC28A8" w:rsidP="00CC28A8">
      <w:pPr>
        <w:pStyle w:val="paragraph"/>
        <w:rPr>
          <w:color w:val="0000FF"/>
        </w:rPr>
      </w:pPr>
      <w:r w:rsidRPr="00693A57">
        <w:rPr>
          <w:color w:val="0000FF"/>
        </w:rPr>
        <w:tab/>
        <w:t>(b)</w:t>
      </w:r>
      <w:r w:rsidRPr="00693A57">
        <w:rPr>
          <w:color w:val="0000FF"/>
        </w:rPr>
        <w:tab/>
        <w:t xml:space="preserve">to reflect details </w:t>
      </w:r>
      <w:r w:rsidR="00AB3070" w:rsidRPr="00693A57">
        <w:rPr>
          <w:color w:val="0000FF"/>
        </w:rPr>
        <w:t xml:space="preserve">mentioned in paragraph (1)(d) or subrule (4) </w:t>
      </w:r>
      <w:r w:rsidRPr="00693A57">
        <w:rPr>
          <w:color w:val="0000FF"/>
        </w:rPr>
        <w:t>in the dashboard</w:t>
      </w:r>
      <w:r w:rsidR="00AB3070" w:rsidRPr="00693A57">
        <w:rPr>
          <w:color w:val="0000FF"/>
        </w:rPr>
        <w:t xml:space="preserve"> of a joint account holder</w:t>
      </w:r>
      <w:r w:rsidRPr="00693A57">
        <w:rPr>
          <w:color w:val="0000FF"/>
        </w:rPr>
        <w:t>;</w:t>
      </w:r>
    </w:p>
    <w:p w14:paraId="4BC04DFC" w14:textId="77777777" w:rsidR="00CC28A8" w:rsidRPr="00693A57" w:rsidRDefault="00CC28A8" w:rsidP="00CC28A8">
      <w:pPr>
        <w:pStyle w:val="subsection"/>
        <w:spacing w:before="40"/>
        <w:rPr>
          <w:color w:val="0000FF"/>
        </w:rPr>
      </w:pPr>
      <w:r w:rsidRPr="00693A57">
        <w:rPr>
          <w:color w:val="0000FF"/>
        </w:rPr>
        <w:tab/>
      </w:r>
      <w:r w:rsidRPr="00693A57">
        <w:rPr>
          <w:color w:val="0000FF"/>
        </w:rPr>
        <w:tab/>
        <w:t>if it considers it necessary to do either in order to prevent physical or financial harm or abuse.</w:t>
      </w:r>
    </w:p>
    <w:p w14:paraId="420CA2D7" w14:textId="00AC8CBA" w:rsidR="00425D83" w:rsidRPr="00693A57" w:rsidRDefault="00832060" w:rsidP="00425D83">
      <w:pPr>
        <w:pStyle w:val="ActHead5"/>
        <w:rPr>
          <w:color w:val="0000FF"/>
        </w:rPr>
      </w:pPr>
      <w:r w:rsidRPr="00693A57">
        <w:rPr>
          <w:color w:val="0000FF"/>
        </w:rPr>
        <w:t xml:space="preserve"> </w:t>
      </w:r>
      <w:bookmarkStart w:id="358" w:name="_Toc77064946"/>
      <w:r w:rsidRPr="00693A57">
        <w:rPr>
          <w:color w:val="0000FF"/>
        </w:rPr>
        <w:t>4A.16</w:t>
      </w:r>
      <w:r w:rsidR="00AB3070" w:rsidRPr="00693A57">
        <w:rPr>
          <w:color w:val="0000FF"/>
        </w:rPr>
        <w:t xml:space="preserve"> </w:t>
      </w:r>
      <w:r w:rsidR="00CC28A8" w:rsidRPr="00693A57">
        <w:rPr>
          <w:color w:val="0000FF"/>
        </w:rPr>
        <w:t>Notification requirements for consumer data requests on joint accounts</w:t>
      </w:r>
      <w:bookmarkEnd w:id="358"/>
    </w:p>
    <w:p w14:paraId="66C237CF" w14:textId="0A0FA2CA" w:rsidR="00425D83" w:rsidRPr="00693A57" w:rsidRDefault="00425D83" w:rsidP="00425D83">
      <w:pPr>
        <w:pStyle w:val="subsection"/>
        <w:rPr>
          <w:color w:val="0000FF"/>
        </w:rPr>
      </w:pPr>
      <w:r w:rsidRPr="00693A57">
        <w:rPr>
          <w:color w:val="0000FF"/>
        </w:rPr>
        <w:tab/>
        <w:t>(1)</w:t>
      </w:r>
      <w:r w:rsidRPr="00693A57">
        <w:rPr>
          <w:color w:val="0000FF"/>
        </w:rPr>
        <w:tab/>
        <w:t xml:space="preserve">For this </w:t>
      </w:r>
      <w:r w:rsidR="00E2351E" w:rsidRPr="00693A57">
        <w:rPr>
          <w:color w:val="0000FF"/>
        </w:rPr>
        <w:t>rule</w:t>
      </w:r>
      <w:r w:rsidRPr="00693A57">
        <w:rPr>
          <w:color w:val="0000FF"/>
        </w:rPr>
        <w:t>, a</w:t>
      </w:r>
      <w:r w:rsidR="005D38AF" w:rsidRPr="00693A57">
        <w:rPr>
          <w:color w:val="0000FF"/>
        </w:rPr>
        <w:t>n</w:t>
      </w:r>
      <w:r w:rsidRPr="00693A57">
        <w:rPr>
          <w:color w:val="0000FF"/>
        </w:rPr>
        <w:t xml:space="preserve"> </w:t>
      </w:r>
      <w:r w:rsidR="005D38AF" w:rsidRPr="00693A57">
        <w:rPr>
          <w:b/>
          <w:i/>
          <w:color w:val="0000FF"/>
        </w:rPr>
        <w:t>approval n</w:t>
      </w:r>
      <w:r w:rsidRPr="00693A57">
        <w:rPr>
          <w:b/>
          <w:i/>
          <w:color w:val="0000FF"/>
        </w:rPr>
        <w:t xml:space="preserve">otification </w:t>
      </w:r>
      <w:r w:rsidRPr="00693A57">
        <w:rPr>
          <w:color w:val="0000FF"/>
        </w:rPr>
        <w:t>is a notice given by the data holder</w:t>
      </w:r>
      <w:r w:rsidR="005D38AF" w:rsidRPr="00693A57">
        <w:rPr>
          <w:color w:val="0000FF"/>
        </w:rPr>
        <w:t>:</w:t>
      </w:r>
    </w:p>
    <w:p w14:paraId="751B95FE" w14:textId="2367C675" w:rsidR="005D38AF" w:rsidRPr="00693A57" w:rsidRDefault="005D38AF" w:rsidP="005D38AF">
      <w:pPr>
        <w:pStyle w:val="paragraph"/>
        <w:rPr>
          <w:color w:val="0000FF"/>
        </w:rPr>
      </w:pPr>
      <w:r w:rsidRPr="00693A57">
        <w:rPr>
          <w:color w:val="0000FF"/>
        </w:rPr>
        <w:tab/>
        <w:t>(a)</w:t>
      </w:r>
      <w:r w:rsidRPr="00693A57">
        <w:rPr>
          <w:color w:val="0000FF"/>
        </w:rPr>
        <w:tab/>
        <w:t xml:space="preserve">to a relevant account holder, to inform them that </w:t>
      </w:r>
      <w:r w:rsidR="00425D83" w:rsidRPr="00693A57">
        <w:rPr>
          <w:color w:val="0000FF"/>
        </w:rPr>
        <w:t xml:space="preserve">the requester </w:t>
      </w:r>
      <w:r w:rsidRPr="00693A57">
        <w:rPr>
          <w:color w:val="0000FF"/>
        </w:rPr>
        <w:t>has given, amended or withdrawn an authorisation, or that the authorisation has expired; or</w:t>
      </w:r>
    </w:p>
    <w:p w14:paraId="2E1C8A19" w14:textId="5F354BB2" w:rsidR="005D38AF" w:rsidRPr="00693A57" w:rsidRDefault="005D38AF" w:rsidP="005D38AF">
      <w:pPr>
        <w:pStyle w:val="paragraph"/>
        <w:rPr>
          <w:color w:val="0000FF"/>
        </w:rPr>
      </w:pPr>
      <w:r w:rsidRPr="00693A57">
        <w:rPr>
          <w:color w:val="0000FF"/>
        </w:rPr>
        <w:tab/>
        <w:t>(b)</w:t>
      </w:r>
      <w:r w:rsidRPr="00693A57">
        <w:rPr>
          <w:color w:val="0000FF"/>
        </w:rPr>
        <w:tab/>
        <w:t>to the requester, to inform them that:</w:t>
      </w:r>
    </w:p>
    <w:p w14:paraId="46E2A44A" w14:textId="5E068A6F" w:rsidR="005D38AF" w:rsidRPr="00693A57" w:rsidRDefault="005D38AF" w:rsidP="005D38AF">
      <w:pPr>
        <w:pStyle w:val="paragraphsub"/>
        <w:rPr>
          <w:color w:val="0000FF"/>
        </w:rPr>
      </w:pPr>
      <w:r w:rsidRPr="00693A57">
        <w:rPr>
          <w:color w:val="0000FF"/>
        </w:rPr>
        <w:tab/>
        <w:t>(a)</w:t>
      </w:r>
      <w:r w:rsidRPr="00693A57">
        <w:rPr>
          <w:color w:val="0000FF"/>
        </w:rPr>
        <w:tab/>
        <w:t xml:space="preserve">one or more of the relevant account holders has not given their approval for disclosure within </w:t>
      </w:r>
      <w:r w:rsidRPr="00693A57">
        <w:rPr>
          <w:color w:val="0000FF"/>
          <w:lang w:val="en-US"/>
        </w:rPr>
        <w:t>the time frame referred to in paragraph </w:t>
      </w:r>
      <w:r w:rsidR="000B1D10" w:rsidRPr="00693A57">
        <w:rPr>
          <w:color w:val="0000FF"/>
          <w:lang w:val="en-US"/>
        </w:rPr>
        <w:t>4</w:t>
      </w:r>
      <w:r w:rsidR="00832060" w:rsidRPr="00693A57">
        <w:rPr>
          <w:color w:val="0000FF"/>
          <w:lang w:val="en-US"/>
        </w:rPr>
        <w:t>A</w:t>
      </w:r>
      <w:r w:rsidR="000B1D10" w:rsidRPr="00693A57">
        <w:rPr>
          <w:color w:val="0000FF"/>
          <w:lang w:val="en-US"/>
        </w:rPr>
        <w:t>.12</w:t>
      </w:r>
      <w:r w:rsidRPr="00693A57">
        <w:rPr>
          <w:color w:val="0000FF"/>
          <w:lang w:val="en-US"/>
        </w:rPr>
        <w:t>(2)(e); or</w:t>
      </w:r>
    </w:p>
    <w:p w14:paraId="36167D80" w14:textId="77777777" w:rsidR="00856A1A" w:rsidRPr="00693A57" w:rsidRDefault="005D38AF" w:rsidP="005D38AF">
      <w:pPr>
        <w:pStyle w:val="paragraphsub"/>
        <w:rPr>
          <w:color w:val="0000FF"/>
        </w:rPr>
      </w:pPr>
      <w:r w:rsidRPr="00693A57">
        <w:rPr>
          <w:color w:val="0000FF"/>
        </w:rPr>
        <w:tab/>
        <w:t>(b)</w:t>
      </w:r>
      <w:r w:rsidRPr="00693A57">
        <w:rPr>
          <w:color w:val="0000FF"/>
        </w:rPr>
        <w:tab/>
        <w:t>a relevant account holder has withdrawn an approval previously given</w:t>
      </w:r>
      <w:r w:rsidR="00856A1A" w:rsidRPr="00693A57">
        <w:rPr>
          <w:color w:val="0000FF"/>
        </w:rPr>
        <w:t>;</w:t>
      </w:r>
    </w:p>
    <w:p w14:paraId="01709A98" w14:textId="58D5349F" w:rsidR="005D38AF" w:rsidRPr="00693A57" w:rsidRDefault="00856A1A" w:rsidP="00856A1A">
      <w:pPr>
        <w:pStyle w:val="subsection20"/>
        <w:rPr>
          <w:color w:val="0000FF"/>
        </w:rPr>
      </w:pPr>
      <w:r w:rsidRPr="00693A57">
        <w:rPr>
          <w:color w:val="0000FF"/>
        </w:rPr>
        <w:tab/>
      </w:r>
      <w:r w:rsidRPr="00693A57">
        <w:rPr>
          <w:color w:val="0000FF"/>
        </w:rPr>
        <w:tab/>
        <w:t>in accordance with the data standards.</w:t>
      </w:r>
    </w:p>
    <w:p w14:paraId="650920BF" w14:textId="14E4DDF3" w:rsidR="005D38AF" w:rsidRPr="00693A57" w:rsidRDefault="005D38AF" w:rsidP="005D38AF">
      <w:pPr>
        <w:pStyle w:val="subsection"/>
        <w:rPr>
          <w:color w:val="0000FF"/>
        </w:rPr>
      </w:pPr>
      <w:r w:rsidRPr="00693A57">
        <w:rPr>
          <w:color w:val="0000FF"/>
        </w:rPr>
        <w:tab/>
        <w:t>(2)</w:t>
      </w:r>
      <w:r w:rsidRPr="00693A57">
        <w:rPr>
          <w:color w:val="0000FF"/>
        </w:rPr>
        <w:tab/>
        <w:t xml:space="preserve">Subject to this rule, the data holder must make </w:t>
      </w:r>
      <w:r w:rsidR="00E2351E" w:rsidRPr="00693A57">
        <w:rPr>
          <w:color w:val="0000FF"/>
        </w:rPr>
        <w:t>the appropriate approval notifications when the events mentioned in subrule (1) occur, through its ordinary means of contacting the joint account holders.</w:t>
      </w:r>
    </w:p>
    <w:p w14:paraId="7D476AFF" w14:textId="77777777" w:rsidR="00E2351E" w:rsidRPr="00693A57" w:rsidRDefault="00E2351E" w:rsidP="00E2351E">
      <w:pPr>
        <w:pStyle w:val="notetext"/>
        <w:rPr>
          <w:color w:val="0000FF"/>
        </w:rPr>
      </w:pPr>
      <w:r w:rsidRPr="00693A57">
        <w:rPr>
          <w:color w:val="0000FF"/>
        </w:rPr>
        <w:t>Note:</w:t>
      </w:r>
      <w:r w:rsidRPr="00693A57">
        <w:rPr>
          <w:color w:val="0000FF"/>
        </w:rPr>
        <w:tab/>
        <w:t>This subrule is a civil penalty provision (see rule 9.8).</w:t>
      </w:r>
    </w:p>
    <w:p w14:paraId="1184AC15" w14:textId="77777777" w:rsidR="00C86802" w:rsidRPr="00693A57" w:rsidRDefault="00C86802" w:rsidP="00C86802">
      <w:pPr>
        <w:pStyle w:val="subsection"/>
        <w:rPr>
          <w:color w:val="0000FF"/>
        </w:rPr>
      </w:pPr>
      <w:r w:rsidRPr="00693A57">
        <w:rPr>
          <w:color w:val="0000FF"/>
        </w:rPr>
        <w:tab/>
        <w:t>(3)</w:t>
      </w:r>
      <w:r w:rsidRPr="00693A57">
        <w:rPr>
          <w:color w:val="0000FF"/>
        </w:rPr>
        <w:tab/>
        <w:t>The data holder must, in accordance with any relevant data standards:</w:t>
      </w:r>
    </w:p>
    <w:p w14:paraId="29CA5927" w14:textId="77777777" w:rsidR="00C86802" w:rsidRPr="00693A57" w:rsidRDefault="00C86802" w:rsidP="00C86802">
      <w:pPr>
        <w:pStyle w:val="paragraph"/>
        <w:rPr>
          <w:color w:val="0000FF"/>
        </w:rPr>
      </w:pPr>
      <w:r w:rsidRPr="00693A57">
        <w:rPr>
          <w:color w:val="0000FF"/>
        </w:rPr>
        <w:tab/>
        <w:t>(a)</w:t>
      </w:r>
      <w:r w:rsidRPr="00693A57">
        <w:rPr>
          <w:color w:val="0000FF"/>
        </w:rPr>
        <w:tab/>
        <w:t>provide for alternative notification mechanisms;</w:t>
      </w:r>
    </w:p>
    <w:p w14:paraId="52CAF77F" w14:textId="77777777" w:rsidR="00C86802" w:rsidRPr="00693A57" w:rsidRDefault="00C86802" w:rsidP="00C86802">
      <w:pPr>
        <w:pStyle w:val="paragraph"/>
        <w:rPr>
          <w:color w:val="0000FF"/>
        </w:rPr>
      </w:pPr>
      <w:r w:rsidRPr="00693A57">
        <w:rPr>
          <w:color w:val="0000FF"/>
        </w:rPr>
        <w:tab/>
        <w:t>(a)</w:t>
      </w:r>
      <w:r w:rsidRPr="00693A57">
        <w:rPr>
          <w:color w:val="0000FF"/>
        </w:rPr>
        <w:tab/>
        <w:t>give each joint account holder a means of selecting such an alternative, and of changing a selection; and</w:t>
      </w:r>
    </w:p>
    <w:p w14:paraId="4F85A42B" w14:textId="77777777" w:rsidR="00C86802" w:rsidRPr="00693A57" w:rsidRDefault="00C86802" w:rsidP="00C86802">
      <w:pPr>
        <w:pStyle w:val="paragraph"/>
        <w:rPr>
          <w:color w:val="0000FF"/>
        </w:rPr>
      </w:pPr>
      <w:r w:rsidRPr="00693A57">
        <w:rPr>
          <w:color w:val="0000FF"/>
        </w:rPr>
        <w:tab/>
        <w:t xml:space="preserve">(b) </w:t>
      </w:r>
      <w:r w:rsidRPr="00693A57">
        <w:rPr>
          <w:color w:val="0000FF"/>
        </w:rPr>
        <w:tab/>
        <w:t>make approval notifications in accordance with the selections.</w:t>
      </w:r>
    </w:p>
    <w:p w14:paraId="54F7E813" w14:textId="77777777" w:rsidR="00C86802" w:rsidRPr="00693A57" w:rsidRDefault="00C86802" w:rsidP="00C86802">
      <w:pPr>
        <w:pStyle w:val="notetext"/>
        <w:rPr>
          <w:color w:val="0000FF"/>
        </w:rPr>
      </w:pPr>
      <w:r w:rsidRPr="00693A57">
        <w:rPr>
          <w:color w:val="0000FF"/>
        </w:rPr>
        <w:t>Note:</w:t>
      </w:r>
      <w:r w:rsidRPr="00693A57">
        <w:rPr>
          <w:color w:val="0000FF"/>
        </w:rPr>
        <w:tab/>
        <w:t>This subrule is a civil penalty provision (see rule 9.8).</w:t>
      </w:r>
    </w:p>
    <w:p w14:paraId="646BC950" w14:textId="4A59B845" w:rsidR="00CC28A8" w:rsidRPr="00693A57" w:rsidRDefault="00856A1A" w:rsidP="00CC28A8">
      <w:pPr>
        <w:pStyle w:val="subsection"/>
        <w:rPr>
          <w:color w:val="0000FF"/>
          <w:shd w:val="clear" w:color="auto" w:fill="FFFFFF"/>
        </w:rPr>
      </w:pPr>
      <w:r w:rsidRPr="00693A57">
        <w:rPr>
          <w:color w:val="0000FF"/>
          <w:shd w:val="clear" w:color="auto" w:fill="FFFFFF"/>
        </w:rPr>
        <w:tab/>
        <w:t>(4</w:t>
      </w:r>
      <w:r w:rsidR="00CC28A8" w:rsidRPr="00693A57">
        <w:rPr>
          <w:color w:val="0000FF"/>
          <w:shd w:val="clear" w:color="auto" w:fill="FFFFFF"/>
        </w:rPr>
        <w:t>)</w:t>
      </w:r>
      <w:r w:rsidR="00CC28A8" w:rsidRPr="00693A57">
        <w:rPr>
          <w:color w:val="0000FF"/>
          <w:shd w:val="clear" w:color="auto" w:fill="FFFFFF"/>
        </w:rPr>
        <w:tab/>
        <w:t>However, a</w:t>
      </w:r>
      <w:r w:rsidRPr="00693A57">
        <w:rPr>
          <w:color w:val="0000FF"/>
          <w:shd w:val="clear" w:color="auto" w:fill="FFFFFF"/>
        </w:rPr>
        <w:t>n approval</w:t>
      </w:r>
      <w:r w:rsidR="00CC28A8" w:rsidRPr="00693A57">
        <w:rPr>
          <w:color w:val="0000FF"/>
          <w:shd w:val="clear" w:color="auto" w:fill="FFFFFF"/>
        </w:rPr>
        <w:t xml:space="preserve"> notification to a particular account holder under this </w:t>
      </w:r>
      <w:r w:rsidR="008F7859" w:rsidRPr="00693A57">
        <w:rPr>
          <w:color w:val="0000FF"/>
          <w:shd w:val="clear" w:color="auto" w:fill="FFFFFF"/>
        </w:rPr>
        <w:t>rule</w:t>
      </w:r>
      <w:r w:rsidR="00CC28A8" w:rsidRPr="00693A57">
        <w:rPr>
          <w:color w:val="0000FF"/>
          <w:shd w:val="clear" w:color="auto" w:fill="FFFFFF"/>
        </w:rPr>
        <w:t xml:space="preserve"> is not required if the data holder considers it necessary to avoid notifying that account holder in order to prevent physical or financial harm or abuse.</w:t>
      </w:r>
    </w:p>
    <w:p w14:paraId="57A7E821" w14:textId="47A60A19" w:rsidR="00CF0E3D" w:rsidRDefault="00CF0E3D" w:rsidP="00CF0E3D">
      <w:pPr>
        <w:pStyle w:val="ActHead2"/>
      </w:pPr>
      <w:bookmarkStart w:id="359" w:name="_Toc77064947"/>
      <w:r>
        <w:t>Part 5—Rules relating to accreditation etc.</w:t>
      </w:r>
      <w:bookmarkEnd w:id="337"/>
      <w:bookmarkEnd w:id="359"/>
    </w:p>
    <w:p w14:paraId="5F810D88" w14:textId="77777777" w:rsidR="00CF0E3D" w:rsidRPr="00641354" w:rsidRDefault="00CF0E3D" w:rsidP="00CF0E3D">
      <w:pPr>
        <w:pStyle w:val="ActHead3"/>
        <w:rPr>
          <w:color w:val="000000"/>
        </w:rPr>
      </w:pPr>
      <w:bookmarkStart w:id="360" w:name="_Toc11771627"/>
      <w:bookmarkStart w:id="361" w:name="_Toc77064948"/>
      <w:r>
        <w:rPr>
          <w:color w:val="000000"/>
        </w:rPr>
        <w:t>Division 5.1</w:t>
      </w:r>
      <w:r w:rsidRPr="00641354">
        <w:rPr>
          <w:color w:val="000000"/>
        </w:rPr>
        <w:t>—Preliminary</w:t>
      </w:r>
      <w:bookmarkEnd w:id="360"/>
      <w:bookmarkEnd w:id="361"/>
    </w:p>
    <w:p w14:paraId="74F1088C" w14:textId="77777777" w:rsidR="00CF0E3D" w:rsidRPr="00641354" w:rsidRDefault="00CF0E3D" w:rsidP="00CF0E3D">
      <w:pPr>
        <w:pStyle w:val="ActHead5"/>
        <w:rPr>
          <w:color w:val="000000"/>
        </w:rPr>
      </w:pPr>
      <w:bookmarkStart w:id="362" w:name="_Toc11771628"/>
      <w:bookmarkStart w:id="363" w:name="_Toc77064949"/>
      <w:r>
        <w:rPr>
          <w:color w:val="000000"/>
        </w:rPr>
        <w:t>5.1</w:t>
      </w:r>
      <w:r w:rsidRPr="00641354">
        <w:rPr>
          <w:color w:val="000000"/>
        </w:rPr>
        <w:t xml:space="preserve">  Simplified outline of this Part</w:t>
      </w:r>
      <w:bookmarkEnd w:id="362"/>
      <w:bookmarkEnd w:id="363"/>
    </w:p>
    <w:p w14:paraId="5DE1E382" w14:textId="77777777" w:rsidR="00CF0E3D" w:rsidRDefault="00CF0E3D" w:rsidP="00CF0E3D">
      <w:pPr>
        <w:pStyle w:val="SOText"/>
        <w:rPr>
          <w:color w:val="000000"/>
        </w:rPr>
      </w:pPr>
      <w:r>
        <w:rPr>
          <w:color w:val="000000"/>
        </w:rPr>
        <w:t xml:space="preserve">A person may apply under this Part to be an accredited person. The Data Recipient Accreditor </w:t>
      </w:r>
      <w:r w:rsidRPr="00005026">
        <w:t xml:space="preserve">may accredit </w:t>
      </w:r>
      <w:r>
        <w:rPr>
          <w:color w:val="000000"/>
        </w:rPr>
        <w:t xml:space="preserve">a person, under section 56CA of the Act, if </w:t>
      </w:r>
      <w:r>
        <w:rPr>
          <w:color w:val="000000"/>
        </w:rPr>
        <w:lastRenderedPageBreak/>
        <w:t>satisfied that the person meets the criteria for accreditation specified in this Part. This Part also deals with:</w:t>
      </w:r>
    </w:p>
    <w:p w14:paraId="3DE1EDC9" w14:textId="77777777" w:rsidR="00CF0E3D" w:rsidRDefault="00CF0E3D" w:rsidP="00CF0E3D">
      <w:pPr>
        <w:pStyle w:val="SOPara"/>
      </w:pPr>
      <w:r>
        <w:tab/>
      </w:r>
      <w:r>
        <w:sym w:font="Symbol" w:char="F0B7"/>
      </w:r>
      <w:r>
        <w:tab/>
        <w:t>how applications are dealt with by the Data Recipient Accreditor; and</w:t>
      </w:r>
    </w:p>
    <w:p w14:paraId="1F6BFFA7" w14:textId="77777777" w:rsidR="00CF0E3D" w:rsidRDefault="00CF0E3D" w:rsidP="00CF0E3D">
      <w:pPr>
        <w:pStyle w:val="SOPara"/>
      </w:pPr>
      <w:r>
        <w:tab/>
      </w:r>
      <w:r>
        <w:sym w:font="Symbol" w:char="F0B7"/>
      </w:r>
      <w:r>
        <w:tab/>
        <w:t>obligations of accredited persons; and</w:t>
      </w:r>
    </w:p>
    <w:p w14:paraId="0D3B7606" w14:textId="77777777" w:rsidR="00CF0E3D" w:rsidRDefault="00CF0E3D" w:rsidP="00CF0E3D">
      <w:pPr>
        <w:pStyle w:val="SOPara"/>
      </w:pPr>
      <w:r>
        <w:tab/>
      </w:r>
      <w:r>
        <w:sym w:font="Symbol" w:char="F0B7"/>
      </w:r>
      <w:r>
        <w:tab/>
        <w:t>the transfer, suspension</w:t>
      </w:r>
      <w:r w:rsidRPr="000C3240">
        <w:rPr>
          <w:color w:val="000000" w:themeColor="text1"/>
        </w:rPr>
        <w:t>, surrender</w:t>
      </w:r>
      <w:r>
        <w:t xml:space="preserve"> and revocation of accreditations; and</w:t>
      </w:r>
    </w:p>
    <w:p w14:paraId="3D2B7B2D" w14:textId="77777777" w:rsidR="00CF0E3D" w:rsidRDefault="00CF0E3D" w:rsidP="00CF0E3D">
      <w:pPr>
        <w:pStyle w:val="SOPara"/>
      </w:pPr>
      <w:r>
        <w:tab/>
      </w:r>
      <w:r>
        <w:sym w:font="Symbol" w:char="F0B7"/>
      </w:r>
      <w:r>
        <w:tab/>
        <w:t>related functions of the Data Recipient Accreditor.</w:t>
      </w:r>
    </w:p>
    <w:p w14:paraId="482153A0" w14:textId="77777777" w:rsidR="00CF0E3D" w:rsidRDefault="00CF0E3D" w:rsidP="00CF0E3D">
      <w:pPr>
        <w:pStyle w:val="SOText"/>
        <w:rPr>
          <w:color w:val="000000"/>
        </w:rPr>
      </w:pPr>
      <w:r>
        <w:rPr>
          <w:color w:val="000000"/>
        </w:rPr>
        <w:t>This Part deals with how entries are added to the Register of Accredited Persons, and how that Register is updated, amended and corrected.</w:t>
      </w:r>
    </w:p>
    <w:p w14:paraId="4191F8A4" w14:textId="77777777" w:rsidR="00CF0E3D" w:rsidRDefault="00CF0E3D" w:rsidP="00CF0E3D">
      <w:pPr>
        <w:pStyle w:val="ActHead3"/>
        <w:pageBreakBefore/>
      </w:pPr>
      <w:bookmarkStart w:id="364" w:name="_Toc11771629"/>
      <w:bookmarkStart w:id="365" w:name="_Toc77064950"/>
      <w:r>
        <w:lastRenderedPageBreak/>
        <w:t>Division 5.2—Rules relating to accreditation process</w:t>
      </w:r>
      <w:bookmarkEnd w:id="364"/>
      <w:bookmarkEnd w:id="365"/>
    </w:p>
    <w:p w14:paraId="15A30F92" w14:textId="092024F8" w:rsidR="00350945" w:rsidRPr="00693A57" w:rsidRDefault="00350945" w:rsidP="00350945">
      <w:pPr>
        <w:pStyle w:val="ActHead4"/>
        <w:rPr>
          <w:color w:val="0000FF"/>
        </w:rPr>
      </w:pPr>
      <w:bookmarkStart w:id="366" w:name="_Toc56521536"/>
      <w:bookmarkStart w:id="367" w:name="_Toc77064951"/>
      <w:bookmarkStart w:id="368" w:name="_Toc11771630"/>
      <w:r w:rsidRPr="00693A57">
        <w:rPr>
          <w:color w:val="0000FF"/>
        </w:rPr>
        <w:t>Subdivision 5.2.1A—Levels of accreditation</w:t>
      </w:r>
      <w:bookmarkEnd w:id="366"/>
      <w:bookmarkEnd w:id="367"/>
    </w:p>
    <w:p w14:paraId="2B990B1D" w14:textId="3136FBD6" w:rsidR="00350945" w:rsidRPr="00693A57" w:rsidRDefault="00350945" w:rsidP="00350945">
      <w:pPr>
        <w:pStyle w:val="ActHead5"/>
        <w:rPr>
          <w:color w:val="0000FF"/>
        </w:rPr>
      </w:pPr>
      <w:bookmarkStart w:id="369" w:name="_Toc56521537"/>
      <w:bookmarkStart w:id="370" w:name="_Toc77064952"/>
      <w:r w:rsidRPr="00693A57">
        <w:rPr>
          <w:color w:val="0000FF"/>
        </w:rPr>
        <w:t>5.1A  Levels of accreditation</w:t>
      </w:r>
      <w:bookmarkEnd w:id="369"/>
      <w:bookmarkEnd w:id="370"/>
    </w:p>
    <w:p w14:paraId="294C1E6B" w14:textId="473CBD3D" w:rsidR="00350945" w:rsidRPr="00693A57" w:rsidRDefault="00350945" w:rsidP="00350945">
      <w:pPr>
        <w:pStyle w:val="subsection"/>
        <w:rPr>
          <w:color w:val="0000FF"/>
        </w:rPr>
      </w:pPr>
      <w:r w:rsidRPr="00693A57">
        <w:rPr>
          <w:color w:val="0000FF"/>
        </w:rPr>
        <w:tab/>
      </w:r>
      <w:r w:rsidR="004F42E2" w:rsidRPr="00693A57">
        <w:rPr>
          <w:color w:val="0000FF"/>
        </w:rPr>
        <w:tab/>
      </w:r>
      <w:r w:rsidRPr="00693A57">
        <w:rPr>
          <w:color w:val="0000FF"/>
        </w:rPr>
        <w:t xml:space="preserve">Accreditation may be at either of the following </w:t>
      </w:r>
      <w:r w:rsidRPr="00693A57">
        <w:rPr>
          <w:b/>
          <w:i/>
          <w:color w:val="0000FF"/>
        </w:rPr>
        <w:t>levels</w:t>
      </w:r>
      <w:r w:rsidRPr="00693A57">
        <w:rPr>
          <w:color w:val="0000FF"/>
        </w:rPr>
        <w:t>:</w:t>
      </w:r>
    </w:p>
    <w:p w14:paraId="6837C244" w14:textId="77777777" w:rsidR="00350945" w:rsidRPr="00693A57" w:rsidRDefault="00350945" w:rsidP="00350945">
      <w:pPr>
        <w:pStyle w:val="paragraph"/>
        <w:rPr>
          <w:color w:val="0000FF"/>
        </w:rPr>
      </w:pPr>
      <w:r w:rsidRPr="00693A57">
        <w:rPr>
          <w:color w:val="0000FF"/>
        </w:rPr>
        <w:tab/>
        <w:t>(a)</w:t>
      </w:r>
      <w:r w:rsidRPr="00693A57">
        <w:rPr>
          <w:color w:val="0000FF"/>
        </w:rPr>
        <w:tab/>
        <w:t>unrestricted;</w:t>
      </w:r>
    </w:p>
    <w:p w14:paraId="3E248AE9" w14:textId="7AB7F1B1" w:rsidR="00350945" w:rsidRPr="00693A57" w:rsidRDefault="00350945" w:rsidP="00350945">
      <w:pPr>
        <w:pStyle w:val="paragraph"/>
        <w:rPr>
          <w:color w:val="0000FF"/>
        </w:rPr>
      </w:pPr>
      <w:r w:rsidRPr="00693A57">
        <w:rPr>
          <w:color w:val="0000FF"/>
        </w:rPr>
        <w:tab/>
        <w:t>(b)</w:t>
      </w:r>
      <w:r w:rsidRPr="00693A57">
        <w:rPr>
          <w:color w:val="0000FF"/>
        </w:rPr>
        <w:tab/>
      </w:r>
      <w:r w:rsidR="00CF36F6" w:rsidRPr="00693A57">
        <w:rPr>
          <w:color w:val="0000FF"/>
        </w:rPr>
        <w:t>sponsored</w:t>
      </w:r>
      <w:r w:rsidRPr="00693A57">
        <w:rPr>
          <w:color w:val="0000FF"/>
        </w:rPr>
        <w:t>.</w:t>
      </w:r>
    </w:p>
    <w:p w14:paraId="6F015A88" w14:textId="72538D68" w:rsidR="00350945" w:rsidRPr="00693A57" w:rsidRDefault="00484A69" w:rsidP="00350945">
      <w:pPr>
        <w:pStyle w:val="ActHead5"/>
        <w:rPr>
          <w:color w:val="0000FF"/>
        </w:rPr>
      </w:pPr>
      <w:bookmarkStart w:id="371" w:name="_Toc56521540"/>
      <w:bookmarkStart w:id="372" w:name="_Toc77064953"/>
      <w:r w:rsidRPr="00693A57">
        <w:rPr>
          <w:color w:val="0000FF"/>
        </w:rPr>
        <w:t>5.1B</w:t>
      </w:r>
      <w:r w:rsidR="00350945" w:rsidRPr="00693A57">
        <w:rPr>
          <w:color w:val="0000FF"/>
        </w:rPr>
        <w:t xml:space="preserve">  </w:t>
      </w:r>
      <w:r w:rsidR="00CF36F6" w:rsidRPr="00693A57">
        <w:rPr>
          <w:color w:val="0000FF"/>
        </w:rPr>
        <w:t xml:space="preserve">Sponsored </w:t>
      </w:r>
      <w:r w:rsidR="00AD1C5D" w:rsidRPr="00693A57">
        <w:rPr>
          <w:color w:val="0000FF"/>
        </w:rPr>
        <w:t>accreditation</w:t>
      </w:r>
      <w:bookmarkEnd w:id="371"/>
      <w:bookmarkEnd w:id="372"/>
    </w:p>
    <w:p w14:paraId="1C734F50" w14:textId="602960F6" w:rsidR="006F57C5" w:rsidRPr="00693A57" w:rsidRDefault="00350945" w:rsidP="00350945">
      <w:pPr>
        <w:pStyle w:val="subsection"/>
        <w:rPr>
          <w:color w:val="0000FF"/>
        </w:rPr>
      </w:pPr>
      <w:r w:rsidRPr="00693A57">
        <w:rPr>
          <w:color w:val="0000FF"/>
        </w:rPr>
        <w:tab/>
        <w:t>(1)</w:t>
      </w:r>
      <w:r w:rsidRPr="00693A57">
        <w:rPr>
          <w:color w:val="0000FF"/>
        </w:rPr>
        <w:tab/>
        <w:t xml:space="preserve">A person with </w:t>
      </w:r>
      <w:r w:rsidR="00CF36F6" w:rsidRPr="00693A57">
        <w:rPr>
          <w:color w:val="0000FF"/>
        </w:rPr>
        <w:t xml:space="preserve">sponsored </w:t>
      </w:r>
      <w:r w:rsidR="00AD1C5D" w:rsidRPr="00693A57">
        <w:rPr>
          <w:color w:val="0000FF"/>
        </w:rPr>
        <w:t>accreditation</w:t>
      </w:r>
      <w:r w:rsidR="00A47C69" w:rsidRPr="00693A57">
        <w:rPr>
          <w:color w:val="0000FF"/>
        </w:rPr>
        <w:t xml:space="preserve"> must </w:t>
      </w:r>
      <w:r w:rsidRPr="00693A57">
        <w:rPr>
          <w:color w:val="0000FF"/>
        </w:rPr>
        <w:t>not make a consumer data request</w:t>
      </w:r>
      <w:r w:rsidR="006F57C5" w:rsidRPr="00693A57">
        <w:rPr>
          <w:color w:val="0000FF"/>
        </w:rPr>
        <w:t xml:space="preserve"> under these rules unless it has a sponsorship arrangement with a sponsor.</w:t>
      </w:r>
    </w:p>
    <w:p w14:paraId="3BDF6759" w14:textId="3382085A" w:rsidR="006F57C5" w:rsidRPr="00693A57" w:rsidRDefault="006F57C5" w:rsidP="006F57C5">
      <w:pPr>
        <w:pStyle w:val="notetext"/>
        <w:rPr>
          <w:color w:val="0000FF"/>
        </w:rPr>
      </w:pPr>
      <w:r w:rsidRPr="00693A57">
        <w:rPr>
          <w:color w:val="0000FF"/>
        </w:rPr>
        <w:t>Note:</w:t>
      </w:r>
      <w:r w:rsidRPr="00693A57">
        <w:rPr>
          <w:color w:val="0000FF"/>
        </w:rPr>
        <w:tab/>
        <w:t>This subrule is a civil penalty provision (see rule 9.8).</w:t>
      </w:r>
    </w:p>
    <w:p w14:paraId="33667075" w14:textId="70BA0454" w:rsidR="00350945" w:rsidRPr="00693A57" w:rsidRDefault="006F57C5" w:rsidP="00350945">
      <w:pPr>
        <w:pStyle w:val="subsection"/>
        <w:rPr>
          <w:color w:val="0000FF"/>
        </w:rPr>
      </w:pPr>
      <w:r w:rsidRPr="00693A57">
        <w:rPr>
          <w:color w:val="0000FF"/>
        </w:rPr>
        <w:tab/>
        <w:t>(2)</w:t>
      </w:r>
      <w:r w:rsidRPr="00693A57">
        <w:rPr>
          <w:color w:val="0000FF"/>
        </w:rPr>
        <w:tab/>
        <w:t>A person with sponsored accreditati</w:t>
      </w:r>
      <w:r w:rsidR="00D3132F" w:rsidRPr="00693A57">
        <w:rPr>
          <w:color w:val="0000FF"/>
        </w:rPr>
        <w:t>on must not make a consumer data</w:t>
      </w:r>
      <w:r w:rsidRPr="00693A57">
        <w:rPr>
          <w:color w:val="0000FF"/>
        </w:rPr>
        <w:t xml:space="preserve"> request</w:t>
      </w:r>
      <w:r w:rsidR="000D70B7" w:rsidRPr="00693A57">
        <w:rPr>
          <w:color w:val="0000FF"/>
        </w:rPr>
        <w:t xml:space="preserve"> </w:t>
      </w:r>
      <w:r w:rsidR="00350945" w:rsidRPr="00693A57">
        <w:rPr>
          <w:color w:val="0000FF"/>
        </w:rPr>
        <w:t xml:space="preserve"> under these rules otherwise than:</w:t>
      </w:r>
    </w:p>
    <w:p w14:paraId="0DDACDB1" w14:textId="77777777" w:rsidR="006F57C5" w:rsidRPr="00693A57" w:rsidRDefault="00350945" w:rsidP="00350945">
      <w:pPr>
        <w:pStyle w:val="paragraph"/>
        <w:rPr>
          <w:color w:val="0000FF"/>
        </w:rPr>
      </w:pPr>
      <w:r w:rsidRPr="00693A57">
        <w:rPr>
          <w:color w:val="0000FF"/>
        </w:rPr>
        <w:tab/>
        <w:t>(a)</w:t>
      </w:r>
      <w:r w:rsidRPr="00693A57">
        <w:rPr>
          <w:color w:val="0000FF"/>
        </w:rPr>
        <w:tab/>
      </w:r>
      <w:r w:rsidR="006F57C5" w:rsidRPr="00693A57">
        <w:rPr>
          <w:color w:val="0000FF"/>
        </w:rPr>
        <w:t>to an accredited data recipient under rule 4.7A; or</w:t>
      </w:r>
    </w:p>
    <w:p w14:paraId="7BF51290" w14:textId="77D0E944" w:rsidR="00350945" w:rsidRPr="00693A57" w:rsidRDefault="006F57C5" w:rsidP="00350945">
      <w:pPr>
        <w:pStyle w:val="paragraph"/>
        <w:rPr>
          <w:color w:val="0000FF"/>
        </w:rPr>
      </w:pPr>
      <w:r w:rsidRPr="00693A57">
        <w:rPr>
          <w:color w:val="0000FF"/>
        </w:rPr>
        <w:tab/>
        <w:t>(b)</w:t>
      </w:r>
      <w:r w:rsidRPr="00693A57">
        <w:rPr>
          <w:color w:val="0000FF"/>
        </w:rPr>
        <w:tab/>
      </w:r>
      <w:r w:rsidR="00350945" w:rsidRPr="00693A57">
        <w:rPr>
          <w:color w:val="0000FF"/>
        </w:rPr>
        <w:t xml:space="preserve">through </w:t>
      </w:r>
      <w:r w:rsidR="00651859" w:rsidRPr="00693A57">
        <w:rPr>
          <w:color w:val="0000FF"/>
        </w:rPr>
        <w:t>a</w:t>
      </w:r>
      <w:r w:rsidR="00350945" w:rsidRPr="00693A57">
        <w:rPr>
          <w:color w:val="0000FF"/>
        </w:rPr>
        <w:t xml:space="preserve"> sponsor acting </w:t>
      </w:r>
      <w:r w:rsidR="00FD3D31" w:rsidRPr="00693A57">
        <w:rPr>
          <w:color w:val="0000FF"/>
        </w:rPr>
        <w:t xml:space="preserve">at its request </w:t>
      </w:r>
      <w:r w:rsidR="00350945" w:rsidRPr="00693A57">
        <w:rPr>
          <w:color w:val="0000FF"/>
        </w:rPr>
        <w:t xml:space="preserve">under </w:t>
      </w:r>
      <w:r w:rsidR="008A6C8F" w:rsidRPr="00693A57">
        <w:rPr>
          <w:color w:val="0000FF"/>
        </w:rPr>
        <w:t>a</w:t>
      </w:r>
      <w:r w:rsidR="00117A5B" w:rsidRPr="00693A57">
        <w:rPr>
          <w:color w:val="0000FF"/>
        </w:rPr>
        <w:t xml:space="preserve"> sponsorship </w:t>
      </w:r>
      <w:r w:rsidR="00950F44" w:rsidRPr="00693A57">
        <w:rPr>
          <w:color w:val="0000FF"/>
        </w:rPr>
        <w:t>arrangement.</w:t>
      </w:r>
    </w:p>
    <w:p w14:paraId="4A4629B7" w14:textId="77777777" w:rsidR="00350945" w:rsidRPr="00693A57" w:rsidRDefault="00350945" w:rsidP="00350945">
      <w:pPr>
        <w:pStyle w:val="notetext"/>
        <w:rPr>
          <w:color w:val="0000FF"/>
        </w:rPr>
      </w:pPr>
      <w:r w:rsidRPr="00693A57">
        <w:rPr>
          <w:color w:val="0000FF"/>
        </w:rPr>
        <w:t>Note:</w:t>
      </w:r>
      <w:r w:rsidRPr="00693A57">
        <w:rPr>
          <w:color w:val="0000FF"/>
        </w:rPr>
        <w:tab/>
        <w:t>This subrule is a civil penalty provision (see rule 9.8).</w:t>
      </w:r>
    </w:p>
    <w:p w14:paraId="2FAE34BF" w14:textId="09189EFF" w:rsidR="00020D60" w:rsidRPr="00693A57" w:rsidRDefault="00950F44" w:rsidP="00790E2D">
      <w:pPr>
        <w:pStyle w:val="subsection"/>
        <w:rPr>
          <w:color w:val="0000FF"/>
        </w:rPr>
      </w:pPr>
      <w:r w:rsidRPr="00693A57">
        <w:rPr>
          <w:color w:val="0000FF"/>
        </w:rPr>
        <w:tab/>
        <w:t>(3</w:t>
      </w:r>
      <w:r w:rsidR="00020D60" w:rsidRPr="00693A57">
        <w:rPr>
          <w:color w:val="0000FF"/>
        </w:rPr>
        <w:t>)</w:t>
      </w:r>
      <w:r w:rsidR="00020D60" w:rsidRPr="00693A57">
        <w:rPr>
          <w:color w:val="0000FF"/>
        </w:rPr>
        <w:tab/>
        <w:t xml:space="preserve">A </w:t>
      </w:r>
      <w:r w:rsidR="008A6C8F" w:rsidRPr="00693A57">
        <w:rPr>
          <w:color w:val="0000FF"/>
        </w:rPr>
        <w:t xml:space="preserve">person with sponsored accreditation </w:t>
      </w:r>
      <w:r w:rsidR="00790E2D" w:rsidRPr="00693A57">
        <w:rPr>
          <w:color w:val="0000FF"/>
        </w:rPr>
        <w:t xml:space="preserve">must not </w:t>
      </w:r>
      <w:r w:rsidR="00020D60" w:rsidRPr="00693A57">
        <w:rPr>
          <w:color w:val="0000FF"/>
        </w:rPr>
        <w:t>engage a provider under a</w:t>
      </w:r>
      <w:r w:rsidR="00883CE2" w:rsidRPr="00693A57">
        <w:rPr>
          <w:color w:val="0000FF"/>
        </w:rPr>
        <w:t xml:space="preserve">n outsourced service </w:t>
      </w:r>
      <w:r w:rsidR="00020D60" w:rsidRPr="00693A57">
        <w:rPr>
          <w:color w:val="0000FF"/>
        </w:rPr>
        <w:t>arrangement to collect CDR data from a CDR participant on its behalf.</w:t>
      </w:r>
    </w:p>
    <w:p w14:paraId="52995486" w14:textId="77777777" w:rsidR="00CC1025" w:rsidRPr="00693A57" w:rsidRDefault="00CC1025" w:rsidP="00CC1025">
      <w:pPr>
        <w:pStyle w:val="notetext"/>
        <w:rPr>
          <w:color w:val="0000FF"/>
        </w:rPr>
      </w:pPr>
      <w:r w:rsidRPr="00693A57">
        <w:rPr>
          <w:color w:val="0000FF"/>
        </w:rPr>
        <w:t>Note:</w:t>
      </w:r>
      <w:r w:rsidRPr="00693A57">
        <w:rPr>
          <w:color w:val="0000FF"/>
        </w:rPr>
        <w:tab/>
        <w:t>This subrule is a civil penalty provision (see rule 9.8).</w:t>
      </w:r>
    </w:p>
    <w:p w14:paraId="0BCD5205" w14:textId="30ED1A7A" w:rsidR="00790E2D" w:rsidRPr="00693A57" w:rsidRDefault="00950F44" w:rsidP="00790E2D">
      <w:pPr>
        <w:pStyle w:val="subsection"/>
        <w:rPr>
          <w:color w:val="0000FF"/>
        </w:rPr>
      </w:pPr>
      <w:r w:rsidRPr="00693A57">
        <w:rPr>
          <w:color w:val="0000FF"/>
        </w:rPr>
        <w:tab/>
        <w:t>(4</w:t>
      </w:r>
      <w:r w:rsidR="0096455F" w:rsidRPr="00693A57">
        <w:rPr>
          <w:color w:val="0000FF"/>
        </w:rPr>
        <w:t>)</w:t>
      </w:r>
      <w:r w:rsidR="0096455F" w:rsidRPr="00693A57">
        <w:rPr>
          <w:color w:val="0000FF"/>
        </w:rPr>
        <w:tab/>
      </w:r>
      <w:r w:rsidR="008A6C8F" w:rsidRPr="00693A57">
        <w:rPr>
          <w:color w:val="0000FF"/>
        </w:rPr>
        <w:t xml:space="preserve">A person with sponsored accreditation </w:t>
      </w:r>
      <w:r w:rsidR="00A47C69" w:rsidRPr="00693A57">
        <w:rPr>
          <w:color w:val="0000FF"/>
        </w:rPr>
        <w:t xml:space="preserve">must not </w:t>
      </w:r>
      <w:r w:rsidR="00C46D5A" w:rsidRPr="00693A57">
        <w:rPr>
          <w:color w:val="0000FF"/>
        </w:rPr>
        <w:t xml:space="preserve">have a </w:t>
      </w:r>
      <w:r w:rsidR="00182338" w:rsidRPr="00693A57">
        <w:rPr>
          <w:color w:val="0000FF"/>
        </w:rPr>
        <w:t>CDR representative</w:t>
      </w:r>
      <w:r w:rsidR="00C46D5A" w:rsidRPr="00693A57">
        <w:rPr>
          <w:color w:val="0000FF"/>
        </w:rPr>
        <w:t>.</w:t>
      </w:r>
      <w:r w:rsidR="00790E2D" w:rsidRPr="00693A57">
        <w:rPr>
          <w:color w:val="0000FF"/>
        </w:rPr>
        <w:t xml:space="preserve"> </w:t>
      </w:r>
    </w:p>
    <w:p w14:paraId="14AF6814" w14:textId="77777777" w:rsidR="00CC1025" w:rsidRPr="00693A57" w:rsidRDefault="00CC1025" w:rsidP="00CC1025">
      <w:pPr>
        <w:pStyle w:val="notetext"/>
        <w:rPr>
          <w:color w:val="0000FF"/>
        </w:rPr>
      </w:pPr>
      <w:r w:rsidRPr="00693A57">
        <w:rPr>
          <w:color w:val="0000FF"/>
        </w:rPr>
        <w:t>Note:</w:t>
      </w:r>
      <w:r w:rsidRPr="00693A57">
        <w:rPr>
          <w:color w:val="0000FF"/>
        </w:rPr>
        <w:tab/>
        <w:t>This subrule is a civil penalty provision (see rule 9.8).</w:t>
      </w:r>
    </w:p>
    <w:p w14:paraId="3A87D1F8" w14:textId="6A091A3B" w:rsidR="00F22B17" w:rsidRPr="00693A57" w:rsidRDefault="00950F44" w:rsidP="00A47C69">
      <w:pPr>
        <w:pStyle w:val="subsection"/>
        <w:rPr>
          <w:color w:val="0000FF"/>
        </w:rPr>
      </w:pPr>
      <w:r w:rsidRPr="00693A57">
        <w:rPr>
          <w:color w:val="0000FF"/>
        </w:rPr>
        <w:tab/>
        <w:t xml:space="preserve"> (5</w:t>
      </w:r>
      <w:r w:rsidR="00A47C69" w:rsidRPr="00693A57">
        <w:rPr>
          <w:color w:val="0000FF"/>
        </w:rPr>
        <w:t>)</w:t>
      </w:r>
      <w:r w:rsidR="00A47C69" w:rsidRPr="00693A57">
        <w:rPr>
          <w:color w:val="0000FF"/>
        </w:rPr>
        <w:tab/>
        <w:t xml:space="preserve">The accreditation of </w:t>
      </w:r>
      <w:r w:rsidR="008A6C8F" w:rsidRPr="00693A57">
        <w:rPr>
          <w:color w:val="0000FF"/>
        </w:rPr>
        <w:t xml:space="preserve">a person with sponsored accreditation </w:t>
      </w:r>
      <w:r w:rsidR="00A47C69" w:rsidRPr="00693A57">
        <w:rPr>
          <w:color w:val="0000FF"/>
        </w:rPr>
        <w:t xml:space="preserve">lapses if the </w:t>
      </w:r>
      <w:r w:rsidR="008A6C8F" w:rsidRPr="00693A57">
        <w:rPr>
          <w:color w:val="0000FF"/>
        </w:rPr>
        <w:t xml:space="preserve">person </w:t>
      </w:r>
      <w:r w:rsidR="00A47C69" w:rsidRPr="00693A57">
        <w:rPr>
          <w:color w:val="0000FF"/>
        </w:rPr>
        <w:t xml:space="preserve"> does not have a sponsor for a period of </w:t>
      </w:r>
      <w:r w:rsidR="00C46D5A" w:rsidRPr="00693A57">
        <w:rPr>
          <w:color w:val="0000FF"/>
        </w:rPr>
        <w:t>4 months.</w:t>
      </w:r>
    </w:p>
    <w:p w14:paraId="19FD73D2" w14:textId="249D5263" w:rsidR="00350945" w:rsidRPr="00350945" w:rsidRDefault="00CF0E3D" w:rsidP="00350945">
      <w:pPr>
        <w:pStyle w:val="ActHead4"/>
      </w:pPr>
      <w:bookmarkStart w:id="373" w:name="_Toc77064954"/>
      <w:r>
        <w:t>Subdivision 5.2.1—Applying to be accredited person</w:t>
      </w:r>
      <w:bookmarkEnd w:id="368"/>
      <w:bookmarkEnd w:id="373"/>
    </w:p>
    <w:p w14:paraId="4E7D2132" w14:textId="77777777" w:rsidR="00CF0E3D" w:rsidRDefault="00CF0E3D" w:rsidP="00CF0E3D">
      <w:pPr>
        <w:pStyle w:val="ActHead5"/>
      </w:pPr>
      <w:bookmarkStart w:id="374" w:name="_Toc11771631"/>
      <w:bookmarkStart w:id="375" w:name="_Toc77064955"/>
      <w:r>
        <w:t>5.2  Applying to be an accredited person</w:t>
      </w:r>
      <w:bookmarkEnd w:id="374"/>
      <w:bookmarkEnd w:id="375"/>
    </w:p>
    <w:p w14:paraId="316F6424" w14:textId="77777777" w:rsidR="00CF0E3D" w:rsidRPr="00693A57" w:rsidRDefault="00CF0E3D" w:rsidP="00CF0E3D">
      <w:pPr>
        <w:pStyle w:val="notemargin"/>
        <w:rPr>
          <w:strike/>
          <w:color w:val="0000FF"/>
        </w:rPr>
      </w:pPr>
      <w:r w:rsidRPr="00693A57">
        <w:rPr>
          <w:strike/>
          <w:color w:val="0000FF"/>
        </w:rPr>
        <w:t>Note:</w:t>
      </w:r>
      <w:r w:rsidRPr="00693A57">
        <w:rPr>
          <w:strike/>
          <w:color w:val="0000FF"/>
        </w:rPr>
        <w:tab/>
        <w:t>There is currently only a single level of accreditation, the “unrestricted” level.</w:t>
      </w:r>
    </w:p>
    <w:p w14:paraId="19617EEA" w14:textId="77777777" w:rsidR="00CF0E3D" w:rsidRDefault="00CF0E3D" w:rsidP="00CF0E3D">
      <w:pPr>
        <w:pStyle w:val="subsection"/>
      </w:pPr>
      <w:r>
        <w:tab/>
        <w:t>(1)</w:t>
      </w:r>
      <w:r>
        <w:tab/>
        <w:t>A person may apply to the Data Recipient Accreditor to be an accredited person.</w:t>
      </w:r>
    </w:p>
    <w:p w14:paraId="4C4E9593" w14:textId="77777777" w:rsidR="00CF0E3D" w:rsidRDefault="00CF0E3D" w:rsidP="00CF0E3D">
      <w:pPr>
        <w:pStyle w:val="subsection"/>
      </w:pPr>
      <w:r>
        <w:tab/>
        <w:t>(2)</w:t>
      </w:r>
      <w:r>
        <w:tab/>
        <w:t>The application must:</w:t>
      </w:r>
    </w:p>
    <w:p w14:paraId="7DCCF593" w14:textId="77777777" w:rsidR="00CF0E3D" w:rsidRDefault="00CF0E3D" w:rsidP="00CF0E3D">
      <w:pPr>
        <w:pStyle w:val="paragraph"/>
      </w:pPr>
      <w:r>
        <w:tab/>
        <w:t>(a)</w:t>
      </w:r>
      <w:r>
        <w:tab/>
        <w:t xml:space="preserve">be in the form approved, by the Data Recipient Accreditor, for the purposes of this paragraph </w:t>
      </w:r>
      <w:r w:rsidRPr="00641354">
        <w:rPr>
          <w:color w:val="000000"/>
        </w:rPr>
        <w:t xml:space="preserve">(the </w:t>
      </w:r>
      <w:r w:rsidRPr="00641354">
        <w:rPr>
          <w:b/>
          <w:i/>
          <w:color w:val="000000"/>
        </w:rPr>
        <w:t>approved form</w:t>
      </w:r>
      <w:r w:rsidRPr="00641354">
        <w:rPr>
          <w:color w:val="000000"/>
        </w:rPr>
        <w:t>)</w:t>
      </w:r>
      <w:r>
        <w:t>; and</w:t>
      </w:r>
    </w:p>
    <w:p w14:paraId="1ECBB493" w14:textId="25680DFF" w:rsidR="00596868" w:rsidRPr="00693A57" w:rsidRDefault="00596868" w:rsidP="00596868">
      <w:pPr>
        <w:pStyle w:val="paragraph"/>
        <w:rPr>
          <w:color w:val="0000FF"/>
        </w:rPr>
      </w:pPr>
      <w:r w:rsidRPr="00693A57">
        <w:rPr>
          <w:color w:val="0000FF"/>
        </w:rPr>
        <w:tab/>
        <w:t>(aa)</w:t>
      </w:r>
      <w:r w:rsidRPr="00693A57">
        <w:rPr>
          <w:color w:val="0000FF"/>
        </w:rPr>
        <w:tab/>
        <w:t>indicate the level of accreditation that is sought; and</w:t>
      </w:r>
    </w:p>
    <w:p w14:paraId="3AF60C0D" w14:textId="77777777" w:rsidR="00CF0E3D" w:rsidRDefault="00CF0E3D" w:rsidP="00CF0E3D">
      <w:pPr>
        <w:pStyle w:val="paragraph"/>
      </w:pPr>
      <w:r>
        <w:tab/>
        <w:t>(b)</w:t>
      </w:r>
      <w:r>
        <w:tab/>
        <w:t xml:space="preserve">include any documentation or other information required by the </w:t>
      </w:r>
      <w:r w:rsidRPr="00641354">
        <w:rPr>
          <w:color w:val="000000"/>
        </w:rPr>
        <w:t>approved form</w:t>
      </w:r>
      <w:r>
        <w:t>; and</w:t>
      </w:r>
    </w:p>
    <w:p w14:paraId="0C392E1C"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(c)</w:t>
      </w:r>
      <w:r w:rsidRPr="000C3240">
        <w:rPr>
          <w:color w:val="000000" w:themeColor="text1"/>
        </w:rPr>
        <w:tab/>
        <w:t>state:</w:t>
      </w:r>
    </w:p>
    <w:p w14:paraId="08AAA46B" w14:textId="77777777" w:rsidR="00CF0E3D" w:rsidRPr="000C3240" w:rsidRDefault="00CF0E3D" w:rsidP="00CF0E3D">
      <w:pPr>
        <w:pStyle w:val="paragraphsub"/>
        <w:rPr>
          <w:color w:val="000000" w:themeColor="text1"/>
        </w:rPr>
      </w:pPr>
      <w:r w:rsidRPr="000C3240">
        <w:rPr>
          <w:color w:val="000000" w:themeColor="text1"/>
        </w:rPr>
        <w:lastRenderedPageBreak/>
        <w:tab/>
      </w:r>
      <w:r>
        <w:rPr>
          <w:color w:val="000000" w:themeColor="text1"/>
        </w:rPr>
        <w:t>(i)</w:t>
      </w:r>
      <w:r w:rsidRPr="000C3240">
        <w:rPr>
          <w:color w:val="000000" w:themeColor="text1"/>
        </w:rPr>
        <w:tab/>
        <w:t>the applicant’s address</w:t>
      </w:r>
      <w:r>
        <w:rPr>
          <w:color w:val="000000" w:themeColor="text1"/>
        </w:rPr>
        <w:t>es</w:t>
      </w:r>
      <w:r w:rsidRPr="000C3240">
        <w:rPr>
          <w:color w:val="000000" w:themeColor="text1"/>
        </w:rPr>
        <w:t xml:space="preserve"> for service; or</w:t>
      </w:r>
    </w:p>
    <w:p w14:paraId="157251D9" w14:textId="77777777" w:rsidR="00CF0E3D" w:rsidRPr="000C3240" w:rsidRDefault="00CF0E3D" w:rsidP="00CF0E3D">
      <w:pPr>
        <w:pStyle w:val="paragraphsub"/>
        <w:rPr>
          <w:color w:val="000000" w:themeColor="text1"/>
        </w:rPr>
      </w:pPr>
      <w:r w:rsidRPr="000C3240">
        <w:rPr>
          <w:color w:val="000000" w:themeColor="text1"/>
        </w:rPr>
        <w:tab/>
      </w:r>
      <w:r>
        <w:rPr>
          <w:color w:val="000000" w:themeColor="text1"/>
        </w:rPr>
        <w:t>(ii)</w:t>
      </w:r>
      <w:r w:rsidRPr="000C3240">
        <w:rPr>
          <w:color w:val="000000" w:themeColor="text1"/>
        </w:rPr>
        <w:tab/>
        <w:t>if the applicant is a foreign entity:</w:t>
      </w:r>
    </w:p>
    <w:p w14:paraId="5DBAB56A" w14:textId="77777777" w:rsidR="00CF0E3D" w:rsidRPr="000C3240" w:rsidRDefault="00CF0E3D" w:rsidP="00CF0E3D">
      <w:pPr>
        <w:pStyle w:val="paragraphsub-sub"/>
        <w:rPr>
          <w:color w:val="000000" w:themeColor="text1"/>
        </w:rPr>
      </w:pPr>
      <w:r w:rsidRPr="000C3240">
        <w:rPr>
          <w:color w:val="000000" w:themeColor="text1"/>
        </w:rPr>
        <w:tab/>
      </w:r>
      <w:r>
        <w:rPr>
          <w:color w:val="000000" w:themeColor="text1"/>
        </w:rPr>
        <w:t>(A)</w:t>
      </w:r>
      <w:r w:rsidRPr="000C3240">
        <w:rPr>
          <w:color w:val="000000" w:themeColor="text1"/>
        </w:rPr>
        <w:tab/>
        <w:t>the applicant’s local agent; and</w:t>
      </w:r>
    </w:p>
    <w:p w14:paraId="5ECE9D90" w14:textId="77777777" w:rsidR="00CF0E3D" w:rsidRPr="000C3240" w:rsidRDefault="00CF0E3D" w:rsidP="00CF0E3D">
      <w:pPr>
        <w:pStyle w:val="paragraphsub-sub"/>
        <w:rPr>
          <w:color w:val="000000" w:themeColor="text1"/>
        </w:rPr>
      </w:pPr>
      <w:r w:rsidRPr="000C3240">
        <w:rPr>
          <w:color w:val="000000" w:themeColor="text1"/>
        </w:rPr>
        <w:tab/>
      </w:r>
      <w:r>
        <w:rPr>
          <w:color w:val="000000" w:themeColor="text1"/>
        </w:rPr>
        <w:t>(B)</w:t>
      </w:r>
      <w:r w:rsidRPr="000C3240">
        <w:rPr>
          <w:color w:val="000000" w:themeColor="text1"/>
        </w:rPr>
        <w:tab/>
        <w:t>the local agent’s address</w:t>
      </w:r>
      <w:r>
        <w:rPr>
          <w:color w:val="000000" w:themeColor="text1"/>
        </w:rPr>
        <w:t>es</w:t>
      </w:r>
      <w:r w:rsidRPr="000C3240">
        <w:rPr>
          <w:color w:val="000000" w:themeColor="text1"/>
        </w:rPr>
        <w:t xml:space="preserve"> for service; and</w:t>
      </w:r>
    </w:p>
    <w:p w14:paraId="377F9965" w14:textId="77777777" w:rsidR="00CF0E3D" w:rsidRDefault="00CF0E3D" w:rsidP="00CF0E3D">
      <w:pPr>
        <w:pStyle w:val="paragraph"/>
      </w:pPr>
      <w:r>
        <w:tab/>
        <w:t>(d)</w:t>
      </w:r>
      <w:r>
        <w:tab/>
        <w:t xml:space="preserve">describe the sorts of </w:t>
      </w:r>
      <w:r w:rsidRPr="00964EDA">
        <w:rPr>
          <w:color w:val="000000"/>
        </w:rPr>
        <w:t xml:space="preserve">goods </w:t>
      </w:r>
      <w:r>
        <w:t xml:space="preserve">or services </w:t>
      </w:r>
      <w:r w:rsidRPr="00EA6240">
        <w:t xml:space="preserve">using CDR data that </w:t>
      </w:r>
      <w:r>
        <w:t xml:space="preserve">the applicant intends </w:t>
      </w:r>
      <w:r w:rsidRPr="00EA6240">
        <w:t xml:space="preserve">to </w:t>
      </w:r>
      <w:r>
        <w:t>offer to CDR consumers if they are accredited; and</w:t>
      </w:r>
    </w:p>
    <w:p w14:paraId="352C89BD" w14:textId="77777777" w:rsidR="00CF0E3D" w:rsidRDefault="00CF0E3D" w:rsidP="00CF0E3D">
      <w:pPr>
        <w:pStyle w:val="paragraph"/>
        <w:rPr>
          <w:color w:val="000000" w:themeColor="text1"/>
        </w:rPr>
      </w:pPr>
      <w:r>
        <w:tab/>
        <w:t>(e)</w:t>
      </w:r>
      <w:r>
        <w:tab/>
        <w:t xml:space="preserve">if the applicant is not </w:t>
      </w:r>
      <w:r w:rsidRPr="000C3240">
        <w:rPr>
          <w:color w:val="000000" w:themeColor="text1"/>
        </w:rPr>
        <w:t>a person who was specified in a designation instrument (see paragraph 56AC(2)(b) of the Act)</w:t>
      </w:r>
      <w:r>
        <w:t>—</w:t>
      </w:r>
      <w:r w:rsidRPr="007E69B9">
        <w:t>indicate whether it is</w:t>
      </w:r>
      <w:r>
        <w:t xml:space="preserve"> </w:t>
      </w:r>
      <w:r w:rsidRPr="00BD2AB7">
        <w:t>or expects to be</w:t>
      </w:r>
      <w:r w:rsidRPr="007E69B9">
        <w:t xml:space="preserve"> the data holder of any CDR data that is specified in a designation instrument</w:t>
      </w:r>
      <w:r w:rsidRPr="000C3240">
        <w:rPr>
          <w:color w:val="000000" w:themeColor="text1"/>
        </w:rPr>
        <w:t>.</w:t>
      </w:r>
    </w:p>
    <w:p w14:paraId="08ACED88" w14:textId="77777777" w:rsidR="00CF0E3D" w:rsidRDefault="00CF0E3D" w:rsidP="00CF0E3D">
      <w:pPr>
        <w:pStyle w:val="notetext"/>
        <w:rPr>
          <w:color w:val="000000"/>
        </w:rPr>
      </w:pPr>
      <w:r w:rsidRPr="00641354">
        <w:rPr>
          <w:color w:val="000000"/>
        </w:rPr>
        <w:t xml:space="preserve">Note 1: </w:t>
      </w:r>
      <w:r w:rsidRPr="00641354">
        <w:rPr>
          <w:color w:val="000000"/>
        </w:rPr>
        <w:tab/>
        <w:t>For paragraph</w:t>
      </w:r>
      <w:r>
        <w:rPr>
          <w:color w:val="000000"/>
        </w:rPr>
        <w:t xml:space="preserve"> (c)</w:t>
      </w:r>
      <w:r w:rsidRPr="00641354">
        <w:rPr>
          <w:color w:val="000000"/>
        </w:rPr>
        <w:t xml:space="preserve">, </w:t>
      </w:r>
      <w:r w:rsidRPr="006F4A42">
        <w:t>see rule </w:t>
      </w:r>
      <w:r>
        <w:t>1.7</w:t>
      </w:r>
      <w:r w:rsidRPr="006F4A42">
        <w:t xml:space="preserve"> for the meaning of “addresses for service”. T</w:t>
      </w:r>
      <w:r w:rsidRPr="00641354">
        <w:rPr>
          <w:color w:val="000000"/>
        </w:rPr>
        <w:t xml:space="preserve">he </w:t>
      </w:r>
      <w:r w:rsidRPr="006F4A42">
        <w:t xml:space="preserve">physical </w:t>
      </w:r>
      <w:r w:rsidRPr="00641354">
        <w:rPr>
          <w:color w:val="000000"/>
        </w:rPr>
        <w:t xml:space="preserve">address for service could be a registered office (within the meaning of the </w:t>
      </w:r>
      <w:r w:rsidRPr="00641354">
        <w:rPr>
          <w:i/>
          <w:color w:val="000000"/>
        </w:rPr>
        <w:t>Corporations Act 2001</w:t>
      </w:r>
      <w:r w:rsidRPr="00641354">
        <w:rPr>
          <w:color w:val="000000"/>
        </w:rPr>
        <w:t>).</w:t>
      </w:r>
    </w:p>
    <w:p w14:paraId="6D213406" w14:textId="77777777" w:rsidR="00CF0E3D" w:rsidRPr="000C3240" w:rsidRDefault="00CF0E3D" w:rsidP="00CF0E3D">
      <w:pPr>
        <w:pStyle w:val="notetext"/>
      </w:pPr>
      <w:r w:rsidRPr="00B3173B">
        <w:t xml:space="preserve">Note 2: </w:t>
      </w:r>
      <w:r w:rsidRPr="00B3173B">
        <w:tab/>
        <w:t>For paragraph</w:t>
      </w:r>
      <w:r>
        <w:t> </w:t>
      </w:r>
      <w:r>
        <w:rPr>
          <w:color w:val="000000"/>
        </w:rPr>
        <w:t>(c)</w:t>
      </w:r>
      <w:r w:rsidRPr="00B3173B">
        <w:t>, changes to the address</w:t>
      </w:r>
      <w:r>
        <w:t>es</w:t>
      </w:r>
      <w:r w:rsidRPr="00B3173B">
        <w:t xml:space="preserve"> for service must be notified in accordance with paragraph </w:t>
      </w:r>
      <w:r>
        <w:t>5.14(c)</w:t>
      </w:r>
      <w:r w:rsidRPr="00B3173B">
        <w:t xml:space="preserve">. Documents may be served on an applicant in accordance with regulation 12 of the </w:t>
      </w:r>
      <w:r w:rsidRPr="00B3173B">
        <w:rPr>
          <w:i/>
        </w:rPr>
        <w:t>Competition and Consumer Regulations 2010</w:t>
      </w:r>
      <w:r w:rsidRPr="00B3173B">
        <w:t xml:space="preserve"> by the Commission, or in accordance with section 28A of the </w:t>
      </w:r>
      <w:r w:rsidRPr="00B3173B">
        <w:rPr>
          <w:i/>
        </w:rPr>
        <w:t xml:space="preserve">Acts Interpretation Act 1901 </w:t>
      </w:r>
      <w:r w:rsidRPr="00B3173B">
        <w:t xml:space="preserve">and section 9 of the </w:t>
      </w:r>
      <w:r w:rsidRPr="00B3173B">
        <w:rPr>
          <w:i/>
        </w:rPr>
        <w:t>Electronic Transactions Act 1999</w:t>
      </w:r>
      <w:r w:rsidRPr="00B3173B">
        <w:t>.</w:t>
      </w:r>
    </w:p>
    <w:p w14:paraId="2DD5BE2C" w14:textId="77777777" w:rsidR="00CF0E3D" w:rsidRDefault="00CF0E3D" w:rsidP="00CF0E3D">
      <w:pPr>
        <w:pStyle w:val="ActHead4"/>
        <w:pageBreakBefore/>
      </w:pPr>
      <w:bookmarkStart w:id="376" w:name="_Toc11771632"/>
      <w:bookmarkStart w:id="377" w:name="_Toc77064956"/>
      <w:r>
        <w:lastRenderedPageBreak/>
        <w:t>Subdivision 5.2.2—Consideration of application to be accredited person</w:t>
      </w:r>
      <w:bookmarkEnd w:id="376"/>
      <w:bookmarkEnd w:id="377"/>
    </w:p>
    <w:p w14:paraId="7BED585A" w14:textId="77777777" w:rsidR="00CF0E3D" w:rsidRDefault="00CF0E3D" w:rsidP="00CF0E3D">
      <w:pPr>
        <w:pStyle w:val="ActHead5"/>
      </w:pPr>
      <w:bookmarkStart w:id="378" w:name="_Toc11771633"/>
      <w:bookmarkStart w:id="379" w:name="_Toc77064957"/>
      <w:r>
        <w:t>5.3</w:t>
      </w:r>
      <w:r w:rsidRPr="00195BA6">
        <w:t xml:space="preserve">  </w:t>
      </w:r>
      <w:r>
        <w:t xml:space="preserve">Data Recipient </w:t>
      </w:r>
      <w:r w:rsidRPr="00195BA6">
        <w:t>Accreditor may request further information</w:t>
      </w:r>
      <w:bookmarkEnd w:id="378"/>
      <w:bookmarkEnd w:id="379"/>
    </w:p>
    <w:p w14:paraId="5B6361A4" w14:textId="77777777" w:rsidR="00CF0E3D" w:rsidRPr="00005026" w:rsidRDefault="00CF0E3D" w:rsidP="00CF0E3D">
      <w:pPr>
        <w:pStyle w:val="subsection"/>
      </w:pPr>
      <w:r w:rsidRPr="00005026">
        <w:tab/>
      </w:r>
      <w:r>
        <w:t>(1)</w:t>
      </w:r>
      <w:r w:rsidRPr="00005026">
        <w:tab/>
        <w:t xml:space="preserve">The Data Recipient Accreditor may request that the accreditation applicant provide further information to support the application. </w:t>
      </w:r>
    </w:p>
    <w:p w14:paraId="0EA5AE9E" w14:textId="77777777" w:rsidR="00CF0E3D" w:rsidRPr="00005026" w:rsidRDefault="00CF0E3D" w:rsidP="00CF0E3D">
      <w:pPr>
        <w:pStyle w:val="subsection"/>
      </w:pPr>
      <w:r w:rsidRPr="00005026">
        <w:tab/>
      </w:r>
      <w:r>
        <w:t>(2)</w:t>
      </w:r>
      <w:r w:rsidRPr="00005026">
        <w:tab/>
        <w:t xml:space="preserve">Without limiting subrule </w:t>
      </w:r>
      <w:r>
        <w:t>(1)</w:t>
      </w:r>
      <w:r w:rsidRPr="00005026">
        <w:t xml:space="preserve">, the Data Recipient Accreditor may request the further information:  </w:t>
      </w:r>
    </w:p>
    <w:p w14:paraId="0528954E" w14:textId="77777777" w:rsidR="00CF0E3D" w:rsidRPr="00005026" w:rsidRDefault="00CF0E3D" w:rsidP="00CF0E3D">
      <w:pPr>
        <w:pStyle w:val="paragraph"/>
      </w:pPr>
      <w:r w:rsidRPr="00005026">
        <w:tab/>
      </w:r>
      <w:r>
        <w:t>(a)</w:t>
      </w:r>
      <w:r w:rsidRPr="00005026">
        <w:tab/>
        <w:t>in writing; or</w:t>
      </w:r>
    </w:p>
    <w:p w14:paraId="00F483C4" w14:textId="77777777" w:rsidR="00CF0E3D" w:rsidRPr="00005026" w:rsidRDefault="00CF0E3D" w:rsidP="00CF0E3D">
      <w:pPr>
        <w:pStyle w:val="paragraph"/>
      </w:pPr>
      <w:r w:rsidRPr="00005026">
        <w:tab/>
      </w:r>
      <w:r>
        <w:t>(b)</w:t>
      </w:r>
      <w:r w:rsidRPr="00005026">
        <w:tab/>
        <w:t>in an interview with the Data Recipient Accreditor; or</w:t>
      </w:r>
    </w:p>
    <w:p w14:paraId="3F6FB30C" w14:textId="77777777" w:rsidR="00CF0E3D" w:rsidRPr="00005026" w:rsidRDefault="00CF0E3D" w:rsidP="00CF0E3D">
      <w:pPr>
        <w:pStyle w:val="paragraph"/>
      </w:pPr>
      <w:r w:rsidRPr="00005026">
        <w:tab/>
      </w:r>
      <w:r>
        <w:t>(c)</w:t>
      </w:r>
      <w:r w:rsidRPr="00005026">
        <w:tab/>
        <w:t>by phone, email, videoconferencing or any other form of electronic communication.</w:t>
      </w:r>
    </w:p>
    <w:p w14:paraId="3B3499B8" w14:textId="77777777" w:rsidR="00CF0E3D" w:rsidRDefault="00CF0E3D" w:rsidP="00CF0E3D">
      <w:pPr>
        <w:pStyle w:val="notetext"/>
      </w:pPr>
      <w:r w:rsidRPr="00005026">
        <w:t>Note:</w:t>
      </w:r>
      <w:r w:rsidRPr="00005026">
        <w:tab/>
        <w:t>If the accreditation applicant does not provide the further information as requested under this rule, the Data Recipient Accreditor might not be in a position to be satisfied, under section 56CA of the Act, that the applicant meets the criteria for accreditation.</w:t>
      </w:r>
    </w:p>
    <w:p w14:paraId="6BF9FC49" w14:textId="77777777" w:rsidR="00CF0E3D" w:rsidRDefault="00CF0E3D" w:rsidP="00CF0E3D">
      <w:pPr>
        <w:pStyle w:val="ActHead5"/>
      </w:pPr>
      <w:bookmarkStart w:id="380" w:name="_Toc11771634"/>
      <w:bookmarkStart w:id="381" w:name="_Toc77064958"/>
      <w:r>
        <w:t>5.4  Data Recipient Accreditor may consult</w:t>
      </w:r>
      <w:bookmarkEnd w:id="380"/>
      <w:bookmarkEnd w:id="381"/>
    </w:p>
    <w:p w14:paraId="7050718E" w14:textId="77777777" w:rsidR="00CF0E3D" w:rsidRDefault="00CF0E3D" w:rsidP="00CF0E3D">
      <w:pPr>
        <w:pStyle w:val="subsection"/>
      </w:pPr>
      <w:r>
        <w:tab/>
        <w:t>(1)</w:t>
      </w:r>
      <w:r>
        <w:tab/>
        <w:t>When making a decision under this Part, the Data Recipient Accreditor may consult with:</w:t>
      </w:r>
    </w:p>
    <w:p w14:paraId="59214A4C" w14:textId="77777777" w:rsidR="00CF0E3D" w:rsidRDefault="00CF0E3D" w:rsidP="00CF0E3D">
      <w:pPr>
        <w:pStyle w:val="paragraph"/>
      </w:pPr>
      <w:r>
        <w:tab/>
        <w:t>(a)</w:t>
      </w:r>
      <w:r>
        <w:tab/>
        <w:t xml:space="preserve">other </w:t>
      </w:r>
      <w:r w:rsidRPr="000C3240">
        <w:rPr>
          <w:color w:val="000000" w:themeColor="text1"/>
        </w:rPr>
        <w:t xml:space="preserve">Commonwealth, State or Territory authorities </w:t>
      </w:r>
      <w:r>
        <w:t>as relevant, including, but not limited to:</w:t>
      </w:r>
    </w:p>
    <w:p w14:paraId="6D2C2D3C" w14:textId="77777777" w:rsidR="00CF0E3D" w:rsidRDefault="00CF0E3D" w:rsidP="00CF0E3D">
      <w:pPr>
        <w:pStyle w:val="paragraphsub"/>
      </w:pPr>
      <w:r>
        <w:tab/>
        <w:t>(i)</w:t>
      </w:r>
      <w:r>
        <w:tab/>
        <w:t>the Information Commissioner; and</w:t>
      </w:r>
    </w:p>
    <w:p w14:paraId="52D038A7" w14:textId="77777777" w:rsidR="00CF0E3D" w:rsidRDefault="00CF0E3D" w:rsidP="00CF0E3D">
      <w:pPr>
        <w:pStyle w:val="paragraphsub"/>
      </w:pPr>
      <w:r>
        <w:tab/>
        <w:t>(ii)</w:t>
      </w:r>
      <w:r>
        <w:tab/>
        <w:t>the Australian Securities and Investments Commission; and</w:t>
      </w:r>
    </w:p>
    <w:p w14:paraId="191A4134" w14:textId="77777777" w:rsidR="00CF0E3D" w:rsidRDefault="00CF0E3D" w:rsidP="00CF0E3D">
      <w:pPr>
        <w:pStyle w:val="paragraphsub"/>
      </w:pPr>
      <w:r>
        <w:tab/>
        <w:t>(iii)</w:t>
      </w:r>
      <w:r>
        <w:tab/>
      </w:r>
      <w:r w:rsidRPr="00641354">
        <w:t>the Australian Prudential Regulation Authority</w:t>
      </w:r>
      <w:r>
        <w:t>; and</w:t>
      </w:r>
    </w:p>
    <w:p w14:paraId="1F4415E6" w14:textId="77777777" w:rsidR="00CF0E3D" w:rsidRDefault="00CF0E3D" w:rsidP="00CF0E3D">
      <w:pPr>
        <w:pStyle w:val="paragraphsub"/>
      </w:pPr>
      <w:r>
        <w:tab/>
        <w:t>(iv)</w:t>
      </w:r>
      <w:r>
        <w:tab/>
        <w:t>the Australian Financial Complaints Authority; and</w:t>
      </w:r>
    </w:p>
    <w:p w14:paraId="5959F94A" w14:textId="571B1609" w:rsidR="00363CDE" w:rsidRPr="00693A57" w:rsidRDefault="00CF0E3D" w:rsidP="00CF0E3D">
      <w:pPr>
        <w:pStyle w:val="paragraph"/>
        <w:rPr>
          <w:color w:val="FF0000"/>
        </w:rPr>
      </w:pPr>
      <w:r>
        <w:tab/>
        <w:t>(b)</w:t>
      </w:r>
      <w:r>
        <w:tab/>
        <w:t>similar aut</w:t>
      </w:r>
      <w:r w:rsidRPr="00363CDE">
        <w:t>horities of foreign jurisdictions</w:t>
      </w:r>
      <w:r w:rsidR="00363CDE" w:rsidRPr="00693A57">
        <w:rPr>
          <w:color w:val="FF0000"/>
        </w:rPr>
        <w:t>; and</w:t>
      </w:r>
    </w:p>
    <w:p w14:paraId="1208E044" w14:textId="070098A4" w:rsidR="00CF0E3D" w:rsidRPr="00210486" w:rsidRDefault="00363CDE" w:rsidP="00363CDE">
      <w:pPr>
        <w:pStyle w:val="paragraph"/>
      </w:pPr>
      <w:r w:rsidRPr="00693A57">
        <w:rPr>
          <w:color w:val="FF0000"/>
        </w:rPr>
        <w:tab/>
        <w:t>(c)</w:t>
      </w:r>
      <w:r w:rsidRPr="00693A57">
        <w:rPr>
          <w:color w:val="FF0000"/>
        </w:rPr>
        <w:tab/>
        <w:t>an authority specified for the purpose of this rule in a sector Schedule</w:t>
      </w:r>
      <w:r w:rsidRPr="00210486">
        <w:t>.</w:t>
      </w:r>
    </w:p>
    <w:p w14:paraId="79903DA8" w14:textId="77777777" w:rsidR="00CF0E3D" w:rsidRDefault="00CF0E3D" w:rsidP="00CF0E3D">
      <w:pPr>
        <w:pStyle w:val="subsection"/>
      </w:pPr>
      <w:r>
        <w:tab/>
        <w:t>(2)</w:t>
      </w:r>
      <w:r w:rsidRPr="007E69B9">
        <w:tab/>
        <w:t>The functions of the Australian Prudential Regulation Authority include providing the Data Recipient Accreditor with advice or assistance if consulted in accordance with this rule.</w:t>
      </w:r>
    </w:p>
    <w:p w14:paraId="2D9A55A3" w14:textId="77777777" w:rsidR="00CF0E3D" w:rsidRPr="007E69B9" w:rsidRDefault="00CF0E3D" w:rsidP="00CF0E3D">
      <w:pPr>
        <w:pStyle w:val="subsection"/>
      </w:pPr>
      <w:r>
        <w:tab/>
        <w:t>(3)</w:t>
      </w:r>
      <w:r>
        <w:tab/>
      </w:r>
      <w:r w:rsidRPr="007E69B9">
        <w:t xml:space="preserve">The </w:t>
      </w:r>
      <w:r w:rsidRPr="00222FCC">
        <w:t xml:space="preserve">Australian Securities and Investments Commission </w:t>
      </w:r>
      <w:r>
        <w:t xml:space="preserve">may disclose information as reasonably necessary in order to </w:t>
      </w:r>
      <w:r w:rsidRPr="007E69B9">
        <w:t>provid</w:t>
      </w:r>
      <w:r>
        <w:t>e</w:t>
      </w:r>
      <w:r w:rsidRPr="007E69B9">
        <w:t xml:space="preserve"> the Data Recipient Accreditor with advice or assistance if consulted in accordance with this rule.</w:t>
      </w:r>
    </w:p>
    <w:p w14:paraId="14D40E95" w14:textId="31211686" w:rsidR="00CF0E3D" w:rsidRDefault="00CF0E3D" w:rsidP="00CF0E3D">
      <w:pPr>
        <w:pStyle w:val="ActHead5"/>
      </w:pPr>
      <w:bookmarkStart w:id="382" w:name="_Toc11771636"/>
      <w:bookmarkStart w:id="383" w:name="_Toc77064959"/>
      <w:r>
        <w:t>5.5  Criteria for accreditation</w:t>
      </w:r>
      <w:r w:rsidRPr="00693A57">
        <w:rPr>
          <w:strike/>
          <w:color w:val="0000FF"/>
        </w:rPr>
        <w:t>—unrestricted level</w:t>
      </w:r>
      <w:bookmarkEnd w:id="382"/>
      <w:bookmarkEnd w:id="383"/>
    </w:p>
    <w:p w14:paraId="26401EBB" w14:textId="77777777" w:rsidR="00CF0E3D" w:rsidRDefault="00CF0E3D" w:rsidP="00CF0E3D">
      <w:pPr>
        <w:pStyle w:val="notemargin"/>
      </w:pPr>
      <w:r>
        <w:t>Note:</w:t>
      </w:r>
      <w:r>
        <w:tab/>
        <w:t>Under subsection 56CA(1) of the Act, the Data Recipient Accreditor may, in writing, accredit a person if the Data Recipient Accreditor is satisfied that the person meets the criteria for accreditation specified in the consumer data rules.</w:t>
      </w:r>
      <w:r w:rsidRPr="00693A57">
        <w:rPr>
          <w:strike/>
          <w:color w:val="0000FF"/>
        </w:rPr>
        <w:t xml:space="preserve"> This rule specifies those criteria for the “unrestricted” level of accreditation.</w:t>
      </w:r>
    </w:p>
    <w:p w14:paraId="04E7B30B" w14:textId="1FA7DE97" w:rsidR="00CF0E3D" w:rsidRPr="007C39E2" w:rsidRDefault="00CF0E3D" w:rsidP="00CF0E3D">
      <w:pPr>
        <w:pStyle w:val="subsection"/>
      </w:pPr>
      <w:r>
        <w:rPr>
          <w:color w:val="000000"/>
        </w:rPr>
        <w:tab/>
      </w:r>
      <w:r>
        <w:rPr>
          <w:color w:val="000000"/>
        </w:rPr>
        <w:tab/>
      </w:r>
      <w:r w:rsidRPr="00BD2AB7">
        <w:t>The criteri</w:t>
      </w:r>
      <w:r>
        <w:t>on</w:t>
      </w:r>
      <w:r w:rsidRPr="00BD2AB7">
        <w:t xml:space="preserve"> for accreditation </w:t>
      </w:r>
      <w:r w:rsidRPr="00693A57">
        <w:rPr>
          <w:strike/>
          <w:color w:val="0000FF"/>
        </w:rPr>
        <w:t>at the “unrestricted” level</w:t>
      </w:r>
      <w:r w:rsidRPr="00693A57">
        <w:rPr>
          <w:color w:val="0000FF"/>
        </w:rPr>
        <w:t xml:space="preserve"> </w:t>
      </w:r>
      <w:r>
        <w:t xml:space="preserve">is </w:t>
      </w:r>
      <w:r w:rsidRPr="00BD2AB7">
        <w:t>that</w:t>
      </w:r>
      <w:r>
        <w:t xml:space="preserve"> </w:t>
      </w:r>
      <w:r w:rsidRPr="00BD2AB7">
        <w:t>the accreditation applicant</w:t>
      </w:r>
      <w:r w:rsidRPr="007C39E2">
        <w:t>:</w:t>
      </w:r>
    </w:p>
    <w:p w14:paraId="47CC6EEF" w14:textId="77777777" w:rsidR="00CF0E3D" w:rsidRPr="00083B86" w:rsidRDefault="00CF0E3D" w:rsidP="00CF0E3D">
      <w:pPr>
        <w:pStyle w:val="paragraph"/>
      </w:pPr>
      <w:r>
        <w:tab/>
        <w:t>(a)</w:t>
      </w:r>
      <w:r>
        <w:tab/>
      </w:r>
      <w:r w:rsidRPr="00083B86">
        <w:t xml:space="preserve">would, if accredited, be able to comply with the obligations </w:t>
      </w:r>
      <w:r w:rsidRPr="00005026">
        <w:t>set out in</w:t>
      </w:r>
      <w:r w:rsidRPr="00083B86">
        <w:t xml:space="preserve"> rule </w:t>
      </w:r>
      <w:r>
        <w:t>5.12</w:t>
      </w:r>
      <w:r w:rsidRPr="00083B86">
        <w:t>; or</w:t>
      </w:r>
    </w:p>
    <w:p w14:paraId="08C89AAC" w14:textId="6D22DAB1" w:rsidR="00CF0E3D" w:rsidRPr="00083B86" w:rsidRDefault="00CF0E3D" w:rsidP="00CF0E3D">
      <w:pPr>
        <w:pStyle w:val="paragraph"/>
      </w:pPr>
      <w:r>
        <w:lastRenderedPageBreak/>
        <w:tab/>
        <w:t>(b)</w:t>
      </w:r>
      <w:r>
        <w:tab/>
      </w:r>
      <w:r w:rsidRPr="00083B86">
        <w:t>where a</w:t>
      </w:r>
      <w:r w:rsidRPr="00693A57">
        <w:rPr>
          <w:color w:val="FF0000"/>
        </w:rPr>
        <w:t xml:space="preserve"> </w:t>
      </w:r>
      <w:r w:rsidR="00324D67" w:rsidRPr="00693A57">
        <w:rPr>
          <w:color w:val="FF0000"/>
        </w:rPr>
        <w:t xml:space="preserve">sector </w:t>
      </w:r>
      <w:r w:rsidRPr="00693A57">
        <w:rPr>
          <w:color w:val="FF0000"/>
        </w:rPr>
        <w:t>Schedule</w:t>
      </w:r>
      <w:r w:rsidR="00D813F1" w:rsidRPr="00693A57">
        <w:rPr>
          <w:strike/>
          <w:color w:val="FF0000"/>
        </w:rPr>
        <w:t xml:space="preserve"> </w:t>
      </w:r>
      <w:r w:rsidR="005032E9" w:rsidRPr="00693A57">
        <w:rPr>
          <w:strike/>
          <w:color w:val="FF0000"/>
        </w:rPr>
        <w:t xml:space="preserve">Schedule </w:t>
      </w:r>
      <w:r w:rsidR="00D813F1" w:rsidRPr="00693A57">
        <w:rPr>
          <w:strike/>
          <w:color w:val="FF0000"/>
        </w:rPr>
        <w:t>to these rules</w:t>
      </w:r>
      <w:r w:rsidRPr="00F214C6">
        <w:t xml:space="preserve"> </w:t>
      </w:r>
      <w:r w:rsidRPr="00083B86">
        <w:t>sets out criteria for streamlined accreditation in relation to the relevant designa</w:t>
      </w:r>
      <w:r>
        <w:t>ted sector―meets those criteria</w:t>
      </w:r>
      <w:r w:rsidRPr="0025444A">
        <w:t>.</w:t>
      </w:r>
    </w:p>
    <w:p w14:paraId="14CD1D1A" w14:textId="77777777" w:rsidR="00CF0E3D" w:rsidRPr="00BD2AB7" w:rsidRDefault="00CF0E3D" w:rsidP="00CF0E3D">
      <w:pPr>
        <w:pStyle w:val="notetext"/>
      </w:pPr>
      <w:r w:rsidRPr="00BD2AB7">
        <w:t xml:space="preserve">Note </w:t>
      </w:r>
      <w:r>
        <w:t>2</w:t>
      </w:r>
      <w:r w:rsidRPr="00BD2AB7">
        <w:t>:</w:t>
      </w:r>
      <w:r w:rsidRPr="00BD2AB7">
        <w:tab/>
        <w:t xml:space="preserve">See Schedules to these rules for </w:t>
      </w:r>
      <w:r>
        <w:t xml:space="preserve">other circumstances in which </w:t>
      </w:r>
      <w:r w:rsidRPr="00BD2AB7">
        <w:t>this provision might operate differently for different designated sectors.</w:t>
      </w:r>
    </w:p>
    <w:p w14:paraId="1BE21EB4" w14:textId="77777777" w:rsidR="00CF0E3D" w:rsidRDefault="00CF0E3D" w:rsidP="00CF0E3D">
      <w:pPr>
        <w:pStyle w:val="notetext"/>
      </w:pPr>
      <w:r w:rsidRPr="00BD2AB7">
        <w:t xml:space="preserve">Note </w:t>
      </w:r>
      <w:r>
        <w:t>3</w:t>
      </w:r>
      <w:r w:rsidRPr="00BD2AB7">
        <w:t>:</w:t>
      </w:r>
      <w:r w:rsidRPr="00BD2AB7">
        <w:tab/>
        <w:t xml:space="preserve">For the banking sector, see clause </w:t>
      </w:r>
      <w:r>
        <w:t>7.3</w:t>
      </w:r>
      <w:r w:rsidRPr="00BD2AB7">
        <w:t xml:space="preserve"> of </w:t>
      </w:r>
      <w:r>
        <w:t>Schedule 3</w:t>
      </w:r>
      <w:r w:rsidRPr="00BD2AB7">
        <w:t>.</w:t>
      </w:r>
    </w:p>
    <w:p w14:paraId="4CC091F7" w14:textId="77777777" w:rsidR="00CF0E3D" w:rsidRPr="00E1300D" w:rsidRDefault="00CF0E3D" w:rsidP="00CF0E3D">
      <w:pPr>
        <w:pStyle w:val="ActHead5"/>
        <w:rPr>
          <w:color w:val="000000" w:themeColor="text1"/>
        </w:rPr>
      </w:pPr>
      <w:bookmarkStart w:id="384" w:name="_Toc77064960"/>
      <w:r>
        <w:rPr>
          <w:color w:val="000000" w:themeColor="text1"/>
        </w:rPr>
        <w:t>5.6</w:t>
      </w:r>
      <w:r w:rsidRPr="00E1300D">
        <w:rPr>
          <w:color w:val="000000" w:themeColor="text1"/>
        </w:rPr>
        <w:t xml:space="preserve">  Accreditation decision―accreditation number</w:t>
      </w:r>
      <w:bookmarkEnd w:id="384"/>
    </w:p>
    <w:p w14:paraId="12ACA1E0" w14:textId="77777777" w:rsidR="00CF0E3D" w:rsidRPr="00E1300D" w:rsidRDefault="00CF0E3D" w:rsidP="00CF0E3D">
      <w:pPr>
        <w:pStyle w:val="subsection"/>
        <w:rPr>
          <w:color w:val="000000" w:themeColor="text1"/>
        </w:rPr>
      </w:pPr>
      <w:r>
        <w:tab/>
      </w:r>
      <w:r w:rsidRPr="00E1300D">
        <w:rPr>
          <w:color w:val="000000" w:themeColor="text1"/>
        </w:rPr>
        <w:tab/>
        <w:t xml:space="preserve">The Data Recipient Accreditor must, if it accredits an accreditation applicant, give the applicant a unique number by which it may be identified as an accredited person (their </w:t>
      </w:r>
      <w:r w:rsidRPr="00E1300D">
        <w:rPr>
          <w:b/>
          <w:i/>
          <w:color w:val="000000" w:themeColor="text1"/>
        </w:rPr>
        <w:t>accreditation number</w:t>
      </w:r>
      <w:r w:rsidRPr="00E1300D">
        <w:rPr>
          <w:color w:val="000000" w:themeColor="text1"/>
        </w:rPr>
        <w:t>).</w:t>
      </w:r>
    </w:p>
    <w:p w14:paraId="03CACC7F" w14:textId="77777777" w:rsidR="00CF0E3D" w:rsidRPr="000C3240" w:rsidRDefault="00CF0E3D" w:rsidP="00CF0E3D">
      <w:pPr>
        <w:pStyle w:val="ActHead5"/>
        <w:rPr>
          <w:color w:val="000000" w:themeColor="text1"/>
        </w:rPr>
      </w:pPr>
      <w:bookmarkStart w:id="385" w:name="_Toc11771638"/>
      <w:bookmarkStart w:id="386" w:name="_Toc77064961"/>
      <w:r>
        <w:rPr>
          <w:color w:val="000000" w:themeColor="text1"/>
        </w:rPr>
        <w:t>5.7</w:t>
      </w:r>
      <w:r w:rsidRPr="000C3240">
        <w:rPr>
          <w:color w:val="000000" w:themeColor="text1"/>
        </w:rPr>
        <w:t xml:space="preserve">  Accreditation decision—notifying accreditation applicant</w:t>
      </w:r>
      <w:bookmarkEnd w:id="385"/>
      <w:bookmarkEnd w:id="386"/>
    </w:p>
    <w:p w14:paraId="1613C781" w14:textId="77777777" w:rsidR="00CF0E3D"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 xml:space="preserve">The Data Recipient Accreditor must notify an accreditation applicant, in writing, as soon as practicable after </w:t>
      </w:r>
      <w:r w:rsidRPr="00005026">
        <w:t>making a decision to accredit, or refuse</w:t>
      </w:r>
      <w:r w:rsidRPr="000C3240">
        <w:rPr>
          <w:color w:val="000000" w:themeColor="text1"/>
        </w:rPr>
        <w:t xml:space="preserve"> to accredit, the applicant under subsection 56CA(1) of the Act.</w:t>
      </w:r>
    </w:p>
    <w:p w14:paraId="0FD96F84"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(2)</w:t>
      </w:r>
      <w:r w:rsidRPr="000C3240">
        <w:rPr>
          <w:color w:val="000000" w:themeColor="text1"/>
        </w:rPr>
        <w:tab/>
        <w:t xml:space="preserve">If the Accreditor </w:t>
      </w:r>
      <w:r w:rsidRPr="003F3AC9">
        <w:t xml:space="preserve">decided to accredit </w:t>
      </w:r>
      <w:r w:rsidRPr="000C3240">
        <w:rPr>
          <w:color w:val="000000" w:themeColor="text1"/>
        </w:rPr>
        <w:t>the applicant, the notice must include the following:</w:t>
      </w:r>
    </w:p>
    <w:p w14:paraId="2397D1A7"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that fact;</w:t>
      </w:r>
    </w:p>
    <w:p w14:paraId="1252BE13" w14:textId="764F769F" w:rsidR="00CF0E3D" w:rsidRDefault="00CF0E3D" w:rsidP="00CF0E3D">
      <w:pPr>
        <w:pStyle w:val="paragraph"/>
      </w:pPr>
      <w:r>
        <w:tab/>
        <w:t>(b)</w:t>
      </w:r>
      <w:r>
        <w:tab/>
        <w:t>the level of accreditation;</w:t>
      </w:r>
    </w:p>
    <w:p w14:paraId="0B52A08B" w14:textId="77777777" w:rsidR="00CF0E3D" w:rsidRPr="00E1300D" w:rsidRDefault="00CF0E3D" w:rsidP="00CF0E3D">
      <w:pPr>
        <w:pStyle w:val="paragraph"/>
        <w:rPr>
          <w:color w:val="000000" w:themeColor="text1"/>
        </w:rPr>
      </w:pPr>
      <w:r>
        <w:tab/>
      </w:r>
      <w:r>
        <w:rPr>
          <w:color w:val="000000" w:themeColor="text1"/>
        </w:rPr>
        <w:t>(c)</w:t>
      </w:r>
      <w:r w:rsidRPr="000C3240">
        <w:rPr>
          <w:color w:val="000000" w:themeColor="text1"/>
        </w:rPr>
        <w:tab/>
        <w:t>any conditions that were imposed when the accreditation decision was made</w:t>
      </w:r>
      <w:r w:rsidRPr="00E1300D">
        <w:rPr>
          <w:color w:val="000000" w:themeColor="text1"/>
        </w:rPr>
        <w:t>;</w:t>
      </w:r>
    </w:p>
    <w:p w14:paraId="0AB9D625" w14:textId="5EA60687" w:rsidR="00A80174" w:rsidRDefault="00CF0E3D" w:rsidP="00A80174">
      <w:pPr>
        <w:pStyle w:val="paragraph"/>
      </w:pPr>
      <w:r>
        <w:tab/>
      </w:r>
      <w:r>
        <w:rPr>
          <w:color w:val="000000" w:themeColor="text1"/>
        </w:rPr>
        <w:t>(d)</w:t>
      </w:r>
      <w:r w:rsidRPr="00E1300D">
        <w:rPr>
          <w:color w:val="000000" w:themeColor="text1"/>
        </w:rPr>
        <w:tab/>
        <w:t>their accreditation number</w:t>
      </w:r>
    </w:p>
    <w:p w14:paraId="7BE5AC77" w14:textId="70BAC2F0" w:rsidR="00CF0E3D" w:rsidRPr="00693A57" w:rsidRDefault="00CF0E3D" w:rsidP="00CF0E3D">
      <w:pPr>
        <w:pStyle w:val="paragraph"/>
        <w:rPr>
          <w:color w:val="0000FF"/>
        </w:rPr>
      </w:pPr>
      <w:r>
        <w:t>.</w:t>
      </w:r>
    </w:p>
    <w:p w14:paraId="3516455F" w14:textId="77777777" w:rsidR="00CF0E3D" w:rsidRPr="000C3240" w:rsidRDefault="00CF0E3D" w:rsidP="00CF0E3D">
      <w:pPr>
        <w:pStyle w:val="notetext"/>
        <w:rPr>
          <w:color w:val="000000" w:themeColor="text1"/>
        </w:rPr>
      </w:pPr>
      <w:r w:rsidRPr="000C3240">
        <w:rPr>
          <w:color w:val="000000" w:themeColor="text1"/>
        </w:rPr>
        <w:t>Note:</w:t>
      </w:r>
      <w:r w:rsidRPr="000C3240">
        <w:rPr>
          <w:color w:val="000000" w:themeColor="text1"/>
        </w:rPr>
        <w:tab/>
        <w:t>For paragraph </w:t>
      </w:r>
      <w:r>
        <w:rPr>
          <w:color w:val="000000" w:themeColor="text1"/>
        </w:rPr>
        <w:t>(c)</w:t>
      </w:r>
      <w:r w:rsidRPr="000C3240">
        <w:rPr>
          <w:color w:val="000000" w:themeColor="text1"/>
        </w:rPr>
        <w:t xml:space="preserve">, for conditions on accreditations, see </w:t>
      </w:r>
      <w:r>
        <w:rPr>
          <w:color w:val="000000" w:themeColor="text1"/>
        </w:rPr>
        <w:t>rule</w:t>
      </w:r>
      <w:r w:rsidRPr="000C3240">
        <w:rPr>
          <w:color w:val="000000" w:themeColor="text1"/>
        </w:rPr>
        <w:t> </w:t>
      </w:r>
      <w:r>
        <w:rPr>
          <w:color w:val="000000" w:themeColor="text1"/>
        </w:rPr>
        <w:t>5.10</w:t>
      </w:r>
      <w:r w:rsidRPr="000C3240">
        <w:rPr>
          <w:color w:val="000000" w:themeColor="text1"/>
        </w:rPr>
        <w:t>.</w:t>
      </w:r>
    </w:p>
    <w:p w14:paraId="327015F8"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(3)</w:t>
      </w:r>
      <w:r w:rsidRPr="000C3240">
        <w:rPr>
          <w:color w:val="000000" w:themeColor="text1"/>
        </w:rPr>
        <w:tab/>
        <w:t xml:space="preserve">If the </w:t>
      </w:r>
      <w:r w:rsidRPr="003F3AC9">
        <w:t>Accreditor</w:t>
      </w:r>
      <w:r>
        <w:t xml:space="preserve"> </w:t>
      </w:r>
      <w:r w:rsidRPr="003F3AC9">
        <w:t>decided not to</w:t>
      </w:r>
      <w:r w:rsidRPr="000C3240">
        <w:rPr>
          <w:color w:val="000000" w:themeColor="text1"/>
        </w:rPr>
        <w:t xml:space="preserve"> accredit the applicant, the notice must include the following:</w:t>
      </w:r>
    </w:p>
    <w:p w14:paraId="11079760"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that fact;</w:t>
      </w:r>
    </w:p>
    <w:p w14:paraId="6B46EDE7" w14:textId="77777777" w:rsidR="00CF0E3D" w:rsidRDefault="00CF0E3D" w:rsidP="00CF0E3D">
      <w:pPr>
        <w:pStyle w:val="paragraph"/>
        <w:rPr>
          <w:color w:val="000000" w:themeColor="text1"/>
        </w:rPr>
      </w:pPr>
      <w:r>
        <w:tab/>
      </w:r>
      <w:r>
        <w:rPr>
          <w:color w:val="000000" w:themeColor="text1"/>
        </w:rPr>
        <w:t>(b)</w:t>
      </w:r>
      <w:r w:rsidRPr="000C3240">
        <w:rPr>
          <w:color w:val="000000" w:themeColor="text1"/>
        </w:rPr>
        <w:tab/>
        <w:t>the applicant’s rights to have the decision to refuse reviewed by the Administrative Appeals Tribunal.</w:t>
      </w:r>
    </w:p>
    <w:p w14:paraId="1B21A152" w14:textId="77777777" w:rsidR="00CF0E3D" w:rsidRPr="00005026" w:rsidRDefault="00CF0E3D" w:rsidP="00CF0E3D">
      <w:pPr>
        <w:pStyle w:val="ActHead5"/>
      </w:pPr>
      <w:bookmarkStart w:id="387" w:name="_Toc77064962"/>
      <w:r>
        <w:t>5.8</w:t>
      </w:r>
      <w:r w:rsidRPr="00005026">
        <w:t xml:space="preserve">  When accreditation takes effect</w:t>
      </w:r>
      <w:bookmarkEnd w:id="387"/>
    </w:p>
    <w:p w14:paraId="74367791" w14:textId="77777777" w:rsidR="00CF0E3D" w:rsidRPr="00005026" w:rsidRDefault="00CF0E3D" w:rsidP="00CF0E3D">
      <w:pPr>
        <w:pStyle w:val="subsection"/>
        <w:rPr>
          <w:sz w:val="24"/>
          <w:szCs w:val="24"/>
        </w:rPr>
      </w:pPr>
      <w:r w:rsidRPr="00005026">
        <w:tab/>
      </w:r>
      <w:r w:rsidRPr="00005026">
        <w:tab/>
        <w:t>An accreditation takes effect when the fact that the Data Recipient Accreditor has decided to accredit the person is included in the Register of Accredited Persons.</w:t>
      </w:r>
    </w:p>
    <w:p w14:paraId="6895D907" w14:textId="77777777" w:rsidR="00CF0E3D" w:rsidRPr="00956176" w:rsidRDefault="00CF0E3D" w:rsidP="00CF0E3D">
      <w:pPr>
        <w:pStyle w:val="ActHead5"/>
      </w:pPr>
      <w:bookmarkStart w:id="388" w:name="_Toc77064963"/>
      <w:r>
        <w:t>5.9</w:t>
      </w:r>
      <w:r w:rsidRPr="00956176">
        <w:t xml:space="preserve">  Default conditions on accreditation</w:t>
      </w:r>
      <w:bookmarkEnd w:id="388"/>
    </w:p>
    <w:p w14:paraId="57B3DC59" w14:textId="77777777" w:rsidR="00CF0E3D" w:rsidRPr="00956176" w:rsidRDefault="00CF0E3D" w:rsidP="00CF0E3D">
      <w:pPr>
        <w:pStyle w:val="subsection"/>
      </w:pPr>
      <w:r w:rsidRPr="00956176">
        <w:tab/>
      </w:r>
      <w:r w:rsidRPr="00956176">
        <w:tab/>
        <w:t xml:space="preserve">An accreditation is subject to the conditions set out in </w:t>
      </w:r>
      <w:r>
        <w:t>Schedule 1</w:t>
      </w:r>
      <w:r w:rsidRPr="00956176">
        <w:t>.</w:t>
      </w:r>
    </w:p>
    <w:p w14:paraId="2A19375F" w14:textId="77777777" w:rsidR="00CF0E3D" w:rsidRDefault="00CF0E3D" w:rsidP="00CF0E3D">
      <w:pPr>
        <w:pStyle w:val="ActHead5"/>
      </w:pPr>
      <w:bookmarkStart w:id="389" w:name="_Toc11771639"/>
      <w:bookmarkStart w:id="390" w:name="_Toc77064964"/>
      <w:r>
        <w:lastRenderedPageBreak/>
        <w:t>5.10</w:t>
      </w:r>
      <w:r w:rsidRPr="00956176">
        <w:t xml:space="preserve">  Other conditions on accreditation</w:t>
      </w:r>
      <w:bookmarkEnd w:id="389"/>
      <w:bookmarkEnd w:id="390"/>
    </w:p>
    <w:p w14:paraId="246E06B7" w14:textId="77777777" w:rsidR="00CF0E3D" w:rsidRPr="004E01F4" w:rsidRDefault="00CF0E3D" w:rsidP="00CF0E3D">
      <w:pPr>
        <w:pStyle w:val="subsection"/>
        <w:tabs>
          <w:tab w:val="left" w:pos="300"/>
        </w:tabs>
      </w:pPr>
      <w:r w:rsidRPr="004E01F4">
        <w:tab/>
      </w:r>
      <w:r>
        <w:tab/>
      </w:r>
      <w:r w:rsidRPr="004E01F4">
        <w:t>(1)</w:t>
      </w:r>
      <w:r w:rsidRPr="004E01F4">
        <w:tab/>
        <w:t>The Data Recipient Accreditor may, in writing:</w:t>
      </w:r>
    </w:p>
    <w:p w14:paraId="2C044DBC" w14:textId="77777777" w:rsidR="00CF0E3D" w:rsidRPr="004E01F4" w:rsidRDefault="00CF0E3D" w:rsidP="00CF0E3D">
      <w:pPr>
        <w:pStyle w:val="paragraph"/>
      </w:pPr>
      <w:r w:rsidRPr="004E01F4">
        <w:tab/>
        <w:t>(a)</w:t>
      </w:r>
      <w:r w:rsidRPr="004E01F4">
        <w:tab/>
        <w:t>impose any other condition on an accreditation; and</w:t>
      </w:r>
    </w:p>
    <w:p w14:paraId="3C26E210" w14:textId="77777777" w:rsidR="00CF0E3D" w:rsidRPr="004E01F4" w:rsidRDefault="00CF0E3D" w:rsidP="00CF0E3D">
      <w:pPr>
        <w:pStyle w:val="paragraph"/>
      </w:pPr>
      <w:r w:rsidRPr="004E01F4">
        <w:tab/>
        <w:t>(b)</w:t>
      </w:r>
      <w:r w:rsidRPr="004E01F4">
        <w:tab/>
        <w:t>vary or remove any conditions imposed under this rule or rule 5.9.</w:t>
      </w:r>
    </w:p>
    <w:p w14:paraId="3ABB6591" w14:textId="77777777" w:rsidR="00CF0E3D" w:rsidRPr="004E01F4" w:rsidRDefault="00CF0E3D" w:rsidP="00CF0E3D">
      <w:pPr>
        <w:pStyle w:val="subsection"/>
      </w:pPr>
      <w:r w:rsidRPr="004E01F4">
        <w:t xml:space="preserve"> </w:t>
      </w:r>
      <w:r w:rsidRPr="004E01F4">
        <w:tab/>
        <w:t>(1A)</w:t>
      </w:r>
      <w:r w:rsidRPr="004E01F4">
        <w:tab/>
        <w:t xml:space="preserve">The Data Recipient Accreditor may exercise a power under subrule (1): </w:t>
      </w:r>
    </w:p>
    <w:p w14:paraId="423438C7" w14:textId="77777777" w:rsidR="00CF0E3D" w:rsidRPr="004E01F4" w:rsidRDefault="00CF0E3D" w:rsidP="00CF0E3D">
      <w:pPr>
        <w:pStyle w:val="paragraph"/>
      </w:pPr>
      <w:r w:rsidRPr="004E01F4">
        <w:tab/>
        <w:t>(a)</w:t>
      </w:r>
      <w:r w:rsidRPr="004E01F4">
        <w:tab/>
        <w:t>at the time of accreditation under subsection 56CA(1) of the Act; or</w:t>
      </w:r>
    </w:p>
    <w:p w14:paraId="6873009C" w14:textId="77777777" w:rsidR="00CF0E3D" w:rsidRPr="004E01F4" w:rsidRDefault="00CF0E3D" w:rsidP="00CF0E3D">
      <w:pPr>
        <w:pStyle w:val="paragraph"/>
      </w:pPr>
      <w:r w:rsidRPr="004E01F4">
        <w:tab/>
        <w:t>(b)</w:t>
      </w:r>
      <w:r w:rsidRPr="004E01F4">
        <w:tab/>
        <w:t xml:space="preserve">at any time after accreditation. </w:t>
      </w:r>
    </w:p>
    <w:p w14:paraId="1EEB441B" w14:textId="77777777" w:rsidR="00CF0E3D" w:rsidRPr="00641354" w:rsidRDefault="00CF0E3D" w:rsidP="00CF0E3D">
      <w:pPr>
        <w:pStyle w:val="subsection"/>
        <w:rPr>
          <w:color w:val="000000"/>
        </w:rPr>
      </w:pPr>
      <w:r w:rsidRPr="00641354">
        <w:rPr>
          <w:color w:val="000000"/>
        </w:rPr>
        <w:tab/>
      </w:r>
      <w:r>
        <w:rPr>
          <w:color w:val="000000"/>
        </w:rPr>
        <w:t>(2)</w:t>
      </w:r>
      <w:r w:rsidRPr="00641354">
        <w:rPr>
          <w:color w:val="000000"/>
        </w:rPr>
        <w:tab/>
        <w:t xml:space="preserve">Before </w:t>
      </w:r>
      <w:r>
        <w:rPr>
          <w:color w:val="000000"/>
        </w:rPr>
        <w:t>exercising a power</w:t>
      </w:r>
      <w:r w:rsidRPr="00641354">
        <w:rPr>
          <w:color w:val="000000"/>
        </w:rPr>
        <w:t xml:space="preserve"> under this </w:t>
      </w:r>
      <w:r>
        <w:rPr>
          <w:color w:val="000000"/>
        </w:rPr>
        <w:t>rule</w:t>
      </w:r>
      <w:r w:rsidRPr="00641354">
        <w:rPr>
          <w:color w:val="000000"/>
        </w:rPr>
        <w:t>, the Accreditor must:</w:t>
      </w:r>
    </w:p>
    <w:p w14:paraId="42A074B5" w14:textId="77777777" w:rsidR="00CF0E3D" w:rsidRPr="00641354" w:rsidRDefault="00CF0E3D" w:rsidP="00CF0E3D">
      <w:pPr>
        <w:pStyle w:val="paragraph"/>
        <w:rPr>
          <w:color w:val="000000"/>
        </w:rPr>
      </w:pPr>
      <w:r w:rsidRPr="00641354">
        <w:rPr>
          <w:color w:val="000000"/>
        </w:rPr>
        <w:tab/>
      </w:r>
      <w:r>
        <w:rPr>
          <w:color w:val="000000"/>
        </w:rPr>
        <w:t>(a)</w:t>
      </w:r>
      <w:r w:rsidRPr="00641354">
        <w:rPr>
          <w:color w:val="000000"/>
        </w:rPr>
        <w:tab/>
        <w:t>inform the</w:t>
      </w:r>
      <w:r>
        <w:rPr>
          <w:color w:val="000000"/>
        </w:rPr>
        <w:t xml:space="preserve"> </w:t>
      </w:r>
      <w:r w:rsidRPr="000C3240">
        <w:rPr>
          <w:color w:val="000000" w:themeColor="text1"/>
        </w:rPr>
        <w:t>accreditation applicant or</w:t>
      </w:r>
      <w:r w:rsidRPr="00641354">
        <w:rPr>
          <w:color w:val="000000"/>
        </w:rPr>
        <w:t xml:space="preserve"> accredited person</w:t>
      </w:r>
      <w:r w:rsidRPr="000C3240">
        <w:rPr>
          <w:color w:val="000000" w:themeColor="text1"/>
        </w:rPr>
        <w:t>, as appropriate,</w:t>
      </w:r>
      <w:r w:rsidRPr="00641354">
        <w:rPr>
          <w:color w:val="000000"/>
        </w:rPr>
        <w:t xml:space="preserve"> of the proposed imposition or variation; and</w:t>
      </w:r>
    </w:p>
    <w:p w14:paraId="20AA26BD" w14:textId="77777777" w:rsidR="00CF0E3D" w:rsidRPr="00641354" w:rsidRDefault="00CF0E3D" w:rsidP="00CF0E3D">
      <w:pPr>
        <w:pStyle w:val="paragraph"/>
        <w:rPr>
          <w:color w:val="000000"/>
        </w:rPr>
      </w:pPr>
      <w:r w:rsidRPr="00641354">
        <w:rPr>
          <w:color w:val="000000"/>
        </w:rPr>
        <w:tab/>
      </w:r>
      <w:r>
        <w:rPr>
          <w:color w:val="000000"/>
        </w:rPr>
        <w:t>(b)</w:t>
      </w:r>
      <w:r w:rsidRPr="00641354">
        <w:rPr>
          <w:color w:val="000000"/>
        </w:rPr>
        <w:tab/>
        <w:t xml:space="preserve">give the </w:t>
      </w:r>
      <w:r w:rsidRPr="000C3240">
        <w:rPr>
          <w:color w:val="000000" w:themeColor="text1"/>
        </w:rPr>
        <w:t xml:space="preserve">accreditation applicant or </w:t>
      </w:r>
      <w:r w:rsidRPr="00641354">
        <w:rPr>
          <w:color w:val="000000"/>
        </w:rPr>
        <w:t>accredited person</w:t>
      </w:r>
      <w:r w:rsidRPr="000C3240">
        <w:rPr>
          <w:color w:val="000000" w:themeColor="text1"/>
        </w:rPr>
        <w:t>, as appropriate,</w:t>
      </w:r>
      <w:r w:rsidRPr="00641354">
        <w:rPr>
          <w:color w:val="000000"/>
        </w:rPr>
        <w:t xml:space="preserve"> a reasonable opportunity to be heard in relation to the proposal.</w:t>
      </w:r>
    </w:p>
    <w:p w14:paraId="3A9CD21D" w14:textId="77777777" w:rsidR="00CF0E3D" w:rsidRPr="000C3240" w:rsidRDefault="00CF0E3D" w:rsidP="00CF0E3D">
      <w:pPr>
        <w:pStyle w:val="notetext"/>
        <w:rPr>
          <w:color w:val="000000" w:themeColor="text1"/>
        </w:rPr>
      </w:pPr>
      <w:r w:rsidRPr="000C3240">
        <w:rPr>
          <w:color w:val="000000" w:themeColor="text1"/>
        </w:rPr>
        <w:t>Note 1:</w:t>
      </w:r>
      <w:r w:rsidRPr="000C3240">
        <w:rPr>
          <w:color w:val="000000" w:themeColor="text1"/>
        </w:rPr>
        <w:tab/>
        <w:t>Contravention of a condition could lead to suspension or revocation of accreditation</w:t>
      </w:r>
      <w:r>
        <w:rPr>
          <w:color w:val="000000" w:themeColor="text1"/>
        </w:rPr>
        <w:t>: s</w:t>
      </w:r>
      <w:r w:rsidRPr="000C3240">
        <w:rPr>
          <w:color w:val="000000" w:themeColor="text1"/>
        </w:rPr>
        <w:t xml:space="preserve">ee </w:t>
      </w:r>
      <w:r w:rsidRPr="0034500F">
        <w:rPr>
          <w:color w:val="000000" w:themeColor="text1"/>
        </w:rPr>
        <w:t>items</w:t>
      </w:r>
      <w:r>
        <w:t> </w:t>
      </w:r>
      <w:r w:rsidRPr="00CC5A54">
        <w:t xml:space="preserve">6 and 7 </w:t>
      </w:r>
      <w:r w:rsidRPr="000C3240">
        <w:rPr>
          <w:color w:val="000000" w:themeColor="text1"/>
        </w:rPr>
        <w:t xml:space="preserve">of the table to </w:t>
      </w:r>
      <w:r>
        <w:rPr>
          <w:color w:val="000000" w:themeColor="text1"/>
        </w:rPr>
        <w:t>rule</w:t>
      </w:r>
      <w:r w:rsidRPr="000C3240">
        <w:rPr>
          <w:color w:val="000000" w:themeColor="text1"/>
        </w:rPr>
        <w:t> </w:t>
      </w:r>
      <w:r>
        <w:rPr>
          <w:color w:val="000000" w:themeColor="text1"/>
        </w:rPr>
        <w:t>5.17</w:t>
      </w:r>
      <w:r w:rsidRPr="000C3240">
        <w:rPr>
          <w:color w:val="000000" w:themeColor="text1"/>
        </w:rPr>
        <w:t>.</w:t>
      </w:r>
    </w:p>
    <w:p w14:paraId="2D3577E1" w14:textId="77777777" w:rsidR="00CF0E3D" w:rsidRDefault="00CF0E3D" w:rsidP="00CF0E3D">
      <w:pPr>
        <w:pStyle w:val="notetext"/>
        <w:rPr>
          <w:color w:val="000000" w:themeColor="text1"/>
        </w:rPr>
      </w:pPr>
      <w:r w:rsidRPr="000C3240">
        <w:rPr>
          <w:color w:val="000000" w:themeColor="text1"/>
        </w:rPr>
        <w:t>Note 2:</w:t>
      </w:r>
      <w:r w:rsidRPr="000C3240">
        <w:rPr>
          <w:color w:val="000000" w:themeColor="text1"/>
        </w:rPr>
        <w:tab/>
        <w:t xml:space="preserve">Applications may be made to the Administrative Appeals Tribunal to review a decision under this </w:t>
      </w:r>
      <w:r>
        <w:rPr>
          <w:color w:val="000000" w:themeColor="text1"/>
        </w:rPr>
        <w:t>rule: see paragraph 9.2(a)</w:t>
      </w:r>
      <w:r w:rsidRPr="000C3240">
        <w:rPr>
          <w:color w:val="000000" w:themeColor="text1"/>
        </w:rPr>
        <w:t>.</w:t>
      </w:r>
    </w:p>
    <w:p w14:paraId="7744C84E" w14:textId="77777777" w:rsidR="00CF0E3D" w:rsidRDefault="00CF0E3D" w:rsidP="00CF0E3D">
      <w:pPr>
        <w:pStyle w:val="subsection"/>
      </w:pPr>
      <w:r w:rsidRPr="00005026">
        <w:tab/>
      </w:r>
      <w:r>
        <w:t>(3)</w:t>
      </w:r>
      <w:r w:rsidRPr="00005026">
        <w:tab/>
        <w:t>If the reasons for imposing or varying a condition on an existing accreditation are such that</w:t>
      </w:r>
      <w:r>
        <w:t>, in the opinion of the Data Recipient Accreditor,</w:t>
      </w:r>
      <w:r w:rsidRPr="00005026">
        <w:t xml:space="preserve"> complying with subrule </w:t>
      </w:r>
      <w:r>
        <w:t>(2)</w:t>
      </w:r>
      <w:r w:rsidRPr="00005026">
        <w:t xml:space="preserve"> would create a real risk of:</w:t>
      </w:r>
    </w:p>
    <w:p w14:paraId="24C542D0" w14:textId="77777777" w:rsidR="00CF0E3D" w:rsidRPr="00005026" w:rsidRDefault="00CF0E3D" w:rsidP="00CF0E3D">
      <w:pPr>
        <w:pStyle w:val="paragraph"/>
      </w:pPr>
      <w:r w:rsidRPr="00005026">
        <w:tab/>
      </w:r>
      <w:r>
        <w:t>(a)</w:t>
      </w:r>
      <w:r w:rsidRPr="00005026">
        <w:tab/>
        <w:t>harm or abuse to an individual; or</w:t>
      </w:r>
    </w:p>
    <w:p w14:paraId="3EA0DD62" w14:textId="77777777" w:rsidR="00CF0E3D" w:rsidRPr="00005026" w:rsidRDefault="00CF0E3D" w:rsidP="00CF0E3D">
      <w:pPr>
        <w:pStyle w:val="paragraph"/>
      </w:pPr>
      <w:r w:rsidRPr="00005026">
        <w:tab/>
      </w:r>
      <w:r>
        <w:t>(b)</w:t>
      </w:r>
      <w:r w:rsidRPr="00005026">
        <w:tab/>
        <w:t>adversely impacting the security, integrity or stability of:</w:t>
      </w:r>
    </w:p>
    <w:p w14:paraId="3C59DECE" w14:textId="77777777" w:rsidR="00CF0E3D" w:rsidRPr="00005026" w:rsidRDefault="00CF0E3D" w:rsidP="00CF0E3D">
      <w:pPr>
        <w:pStyle w:val="paragraphsub"/>
      </w:pPr>
      <w:r w:rsidRPr="00005026">
        <w:tab/>
      </w:r>
      <w:r>
        <w:t>(i)</w:t>
      </w:r>
      <w:r w:rsidRPr="00005026">
        <w:tab/>
        <w:t>the Register of Accredited Persons; or</w:t>
      </w:r>
    </w:p>
    <w:p w14:paraId="5EC55562" w14:textId="77777777" w:rsidR="00CF0E3D" w:rsidRPr="00005026" w:rsidRDefault="00CF0E3D" w:rsidP="00CF0E3D">
      <w:pPr>
        <w:pStyle w:val="paragraphsub"/>
      </w:pPr>
      <w:r w:rsidRPr="00005026">
        <w:tab/>
      </w:r>
      <w:r>
        <w:t>(ii)</w:t>
      </w:r>
      <w:r w:rsidRPr="00005026">
        <w:tab/>
        <w:t>information and communication technology systems that are used by CDR participants to disclose or collect CDR data;</w:t>
      </w:r>
    </w:p>
    <w:p w14:paraId="5369748E" w14:textId="77777777" w:rsidR="00CF0E3D" w:rsidRPr="00005026" w:rsidRDefault="00CF0E3D" w:rsidP="00CF0E3D">
      <w:pPr>
        <w:pStyle w:val="subsection"/>
        <w:spacing w:before="40"/>
      </w:pPr>
      <w:r w:rsidRPr="00005026">
        <w:tab/>
      </w:r>
      <w:r w:rsidRPr="00005026">
        <w:tab/>
        <w:t>the Accreditor may impose or vary the condition without complying with that subrule, but must, as soon as practicable, give the accredited person a reasonable opportunity to be heard in relation to the imposition or variation.</w:t>
      </w:r>
    </w:p>
    <w:p w14:paraId="0FA95144" w14:textId="77777777" w:rsidR="00CF0E3D" w:rsidRPr="000C3240" w:rsidRDefault="00CF0E3D" w:rsidP="00CF0E3D">
      <w:pPr>
        <w:pStyle w:val="subsection"/>
        <w:rPr>
          <w:color w:val="000000" w:themeColor="text1"/>
        </w:rPr>
      </w:pPr>
      <w:r>
        <w:tab/>
      </w:r>
      <w:r>
        <w:rPr>
          <w:color w:val="000000" w:themeColor="text1"/>
        </w:rPr>
        <w:t>(4)</w:t>
      </w:r>
      <w:r w:rsidRPr="000C3240">
        <w:rPr>
          <w:color w:val="000000" w:themeColor="text1"/>
        </w:rPr>
        <w:tab/>
        <w:t xml:space="preserve">A condition </w:t>
      </w:r>
      <w:r>
        <w:rPr>
          <w:color w:val="000000" w:themeColor="text1"/>
        </w:rPr>
        <w:t xml:space="preserve">imposed under this rule, </w:t>
      </w:r>
      <w:r w:rsidRPr="000C3240">
        <w:rPr>
          <w:color w:val="000000" w:themeColor="text1"/>
        </w:rPr>
        <w:t xml:space="preserve">or </w:t>
      </w:r>
      <w:r>
        <w:rPr>
          <w:color w:val="000000" w:themeColor="text1"/>
        </w:rPr>
        <w:t xml:space="preserve">a </w:t>
      </w:r>
      <w:r w:rsidRPr="000C3240">
        <w:rPr>
          <w:color w:val="000000" w:themeColor="text1"/>
        </w:rPr>
        <w:t xml:space="preserve">variation </w:t>
      </w:r>
      <w:r>
        <w:rPr>
          <w:color w:val="000000" w:themeColor="text1"/>
        </w:rPr>
        <w:t xml:space="preserve">of such a condition, </w:t>
      </w:r>
      <w:r w:rsidRPr="00B24FE2">
        <w:t>must</w:t>
      </w:r>
      <w:r w:rsidRPr="000C3240">
        <w:rPr>
          <w:color w:val="000000" w:themeColor="text1"/>
        </w:rPr>
        <w:t xml:space="preserve"> include the time or date on which it takes effect.</w:t>
      </w:r>
    </w:p>
    <w:p w14:paraId="6D9F63D5" w14:textId="77777777" w:rsidR="00CF0E3D" w:rsidRPr="000C3240" w:rsidRDefault="00CF0E3D" w:rsidP="00CF0E3D">
      <w:pPr>
        <w:pStyle w:val="notetext"/>
        <w:rPr>
          <w:color w:val="000000" w:themeColor="text1"/>
        </w:rPr>
      </w:pPr>
      <w:r w:rsidRPr="000C3240">
        <w:rPr>
          <w:color w:val="000000" w:themeColor="text1"/>
        </w:rPr>
        <w:t xml:space="preserve">Example: </w:t>
      </w:r>
      <w:r w:rsidRPr="000C3240">
        <w:rPr>
          <w:color w:val="000000" w:themeColor="text1"/>
        </w:rPr>
        <w:tab/>
        <w:t>A condition could take effect from when the accredited person receives notice of it.</w:t>
      </w:r>
    </w:p>
    <w:p w14:paraId="16C5E32F" w14:textId="77777777" w:rsidR="00CF0E3D" w:rsidRPr="000C3240" w:rsidRDefault="00CF0E3D" w:rsidP="00CF0E3D">
      <w:pPr>
        <w:pStyle w:val="subsection"/>
        <w:rPr>
          <w:color w:val="000000" w:themeColor="text1"/>
        </w:rPr>
      </w:pPr>
      <w:r>
        <w:tab/>
      </w:r>
      <w:r>
        <w:rPr>
          <w:color w:val="000000" w:themeColor="text1"/>
        </w:rPr>
        <w:t>(5)</w:t>
      </w:r>
      <w:r w:rsidRPr="000C3240">
        <w:rPr>
          <w:color w:val="000000" w:themeColor="text1"/>
        </w:rPr>
        <w:tab/>
        <w:t>The Accreditor:</w:t>
      </w:r>
    </w:p>
    <w:p w14:paraId="40A93ED7"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 xml:space="preserve">may, but need not, give public notice of </w:t>
      </w:r>
      <w:r w:rsidRPr="007554EF">
        <w:t xml:space="preserve">a condition or </w:t>
      </w:r>
      <w:r w:rsidRPr="000C3240">
        <w:rPr>
          <w:color w:val="000000" w:themeColor="text1"/>
        </w:rPr>
        <w:t>variation</w:t>
      </w:r>
      <w:r>
        <w:rPr>
          <w:color w:val="000000" w:themeColor="text1"/>
        </w:rPr>
        <w:t xml:space="preserve"> </w:t>
      </w:r>
      <w:r w:rsidRPr="007554EF">
        <w:t xml:space="preserve">imposed </w:t>
      </w:r>
      <w:r w:rsidRPr="00BD2AB7">
        <w:t xml:space="preserve">or removed </w:t>
      </w:r>
      <w:r w:rsidRPr="007554EF">
        <w:t>under this rule</w:t>
      </w:r>
      <w:r w:rsidRPr="000C3240">
        <w:rPr>
          <w:color w:val="000000" w:themeColor="text1"/>
        </w:rPr>
        <w:t>; and</w:t>
      </w:r>
    </w:p>
    <w:p w14:paraId="37DCA3DC" w14:textId="77777777" w:rsidR="00CF0E3D" w:rsidRDefault="00CF0E3D" w:rsidP="00CF0E3D">
      <w:pPr>
        <w:pStyle w:val="paragraph"/>
        <w:rPr>
          <w:color w:val="000000" w:themeColor="text1"/>
        </w:rPr>
      </w:pPr>
      <w:r w:rsidRPr="000C3240">
        <w:rPr>
          <w:color w:val="000000" w:themeColor="text1"/>
        </w:rPr>
        <w:tab/>
      </w:r>
      <w:r>
        <w:rPr>
          <w:color w:val="000000" w:themeColor="text1"/>
        </w:rPr>
        <w:t>(b)</w:t>
      </w:r>
      <w:r w:rsidRPr="000C3240">
        <w:rPr>
          <w:color w:val="000000" w:themeColor="text1"/>
        </w:rPr>
        <w:tab/>
        <w:t>may do so in any way that the Accreditor thinks fit.</w:t>
      </w:r>
    </w:p>
    <w:p w14:paraId="2686FC06" w14:textId="77777777" w:rsidR="00CF0E3D" w:rsidRPr="000C3240" w:rsidRDefault="00CF0E3D" w:rsidP="00CF0E3D">
      <w:pPr>
        <w:pStyle w:val="notetext"/>
      </w:pPr>
      <w:r>
        <w:t>Example:</w:t>
      </w:r>
      <w:r>
        <w:tab/>
        <w:t xml:space="preserve">The Accreditor could give public notice of </w:t>
      </w:r>
      <w:r w:rsidRPr="000C3240">
        <w:rPr>
          <w:color w:val="000000" w:themeColor="text1"/>
        </w:rPr>
        <w:t xml:space="preserve">a description of the effect of </w:t>
      </w:r>
      <w:r>
        <w:rPr>
          <w:color w:val="000000" w:themeColor="text1"/>
        </w:rPr>
        <w:t xml:space="preserve">the </w:t>
      </w:r>
      <w:r w:rsidRPr="000C3240">
        <w:rPr>
          <w:color w:val="000000" w:themeColor="text1"/>
        </w:rPr>
        <w:t>conditions</w:t>
      </w:r>
      <w:r>
        <w:rPr>
          <w:color w:val="000000" w:themeColor="text1"/>
        </w:rPr>
        <w:t>, rather than of the conditions themselves.</w:t>
      </w:r>
    </w:p>
    <w:p w14:paraId="237F4880" w14:textId="77777777" w:rsidR="00CF0E3D" w:rsidRDefault="00CF0E3D" w:rsidP="00CF0E3D">
      <w:pPr>
        <w:pStyle w:val="ActHead5"/>
        <w:rPr>
          <w:color w:val="000000" w:themeColor="text1"/>
        </w:rPr>
      </w:pPr>
      <w:bookmarkStart w:id="391" w:name="_Toc11771640"/>
      <w:bookmarkStart w:id="392" w:name="_Toc77064965"/>
      <w:r>
        <w:rPr>
          <w:color w:val="000000" w:themeColor="text1"/>
        </w:rPr>
        <w:lastRenderedPageBreak/>
        <w:t>5.11</w:t>
      </w:r>
      <w:r w:rsidRPr="000C3240">
        <w:rPr>
          <w:color w:val="000000" w:themeColor="text1"/>
        </w:rPr>
        <w:t xml:space="preserve">  Notification</w:t>
      </w:r>
      <w:r>
        <w:rPr>
          <w:color w:val="000000" w:themeColor="text1"/>
        </w:rPr>
        <w:t xml:space="preserve"> to accredited person</w:t>
      </w:r>
      <w:r w:rsidRPr="000C3240">
        <w:rPr>
          <w:color w:val="000000" w:themeColor="text1"/>
        </w:rPr>
        <w:t xml:space="preserve"> relating to conditions</w:t>
      </w:r>
      <w:bookmarkEnd w:id="391"/>
      <w:bookmarkEnd w:id="392"/>
    </w:p>
    <w:p w14:paraId="650D1391"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The Data Recipient Accreditor must notify the accredited person, in writing, as soon as practicable after the imposition</w:t>
      </w:r>
      <w:r>
        <w:rPr>
          <w:color w:val="000000" w:themeColor="text1"/>
        </w:rPr>
        <w:t>,</w:t>
      </w:r>
      <w:r w:rsidRPr="000C3240">
        <w:rPr>
          <w:color w:val="000000" w:themeColor="text1"/>
        </w:rPr>
        <w:t xml:space="preserve"> variation</w:t>
      </w:r>
      <w:r>
        <w:rPr>
          <w:color w:val="000000" w:themeColor="text1"/>
        </w:rPr>
        <w:t xml:space="preserve"> or removal </w:t>
      </w:r>
      <w:r w:rsidRPr="00BD2AB7">
        <w:t>of a condition on an accreditation</w:t>
      </w:r>
      <w:r w:rsidRPr="007C39E2">
        <w:t xml:space="preserve"> </w:t>
      </w:r>
      <w:r w:rsidRPr="00956176">
        <w:t xml:space="preserve">under rule </w:t>
      </w:r>
      <w:r>
        <w:t>5.10</w:t>
      </w:r>
      <w:r w:rsidRPr="000C3240">
        <w:rPr>
          <w:color w:val="000000" w:themeColor="text1"/>
        </w:rPr>
        <w:t>.</w:t>
      </w:r>
    </w:p>
    <w:p w14:paraId="41B47CF0" w14:textId="77777777" w:rsidR="00CF0E3D" w:rsidRDefault="00CF0E3D" w:rsidP="00CF0E3D">
      <w:pPr>
        <w:pStyle w:val="subsection"/>
        <w:rPr>
          <w:color w:val="000000" w:themeColor="text1"/>
        </w:rPr>
      </w:pPr>
      <w:r w:rsidRPr="000C3240">
        <w:rPr>
          <w:color w:val="000000" w:themeColor="text1"/>
        </w:rPr>
        <w:tab/>
      </w:r>
      <w:r>
        <w:rPr>
          <w:color w:val="000000" w:themeColor="text1"/>
        </w:rPr>
        <w:t>(2)</w:t>
      </w:r>
      <w:r w:rsidRPr="000C3240">
        <w:rPr>
          <w:color w:val="000000" w:themeColor="text1"/>
        </w:rPr>
        <w:tab/>
        <w:t>The notice must include the following:</w:t>
      </w:r>
    </w:p>
    <w:p w14:paraId="4429E62B" w14:textId="77777777" w:rsidR="00CF0E3D" w:rsidRPr="000C3240" w:rsidRDefault="00CF0E3D" w:rsidP="00CF0E3D">
      <w:pPr>
        <w:pStyle w:val="paragraph"/>
      </w:pPr>
      <w:r>
        <w:tab/>
        <w:t>(a)</w:t>
      </w:r>
      <w:r>
        <w:tab/>
        <w:t>if a condition is imposed or varied:</w:t>
      </w:r>
    </w:p>
    <w:p w14:paraId="166FD771" w14:textId="77777777" w:rsidR="00CF0E3D" w:rsidRPr="000C3240" w:rsidRDefault="00CF0E3D" w:rsidP="00CF0E3D">
      <w:pPr>
        <w:pStyle w:val="paragraphsub"/>
      </w:pPr>
      <w:r>
        <w:tab/>
        <w:t>(i)</w:t>
      </w:r>
      <w:r>
        <w:tab/>
      </w:r>
      <w:r w:rsidRPr="000C3240">
        <w:t>the condition or the condition as varied;</w:t>
      </w:r>
    </w:p>
    <w:p w14:paraId="5BA8B908" w14:textId="77777777" w:rsidR="00CF0E3D" w:rsidRDefault="00CF0E3D" w:rsidP="00CF0E3D">
      <w:pPr>
        <w:pStyle w:val="paragraphsub"/>
      </w:pPr>
      <w:r>
        <w:tab/>
        <w:t>(ii)</w:t>
      </w:r>
      <w:r>
        <w:tab/>
      </w:r>
      <w:r w:rsidRPr="00BD2AB7">
        <w:t>if applicable</w:t>
      </w:r>
      <w:r>
        <w:t>—</w:t>
      </w:r>
      <w:r w:rsidRPr="000C3240">
        <w:t xml:space="preserve">the applicant’s rights to have the decision reviewed by the </w:t>
      </w:r>
      <w:r>
        <w:t>Administrative Appeals Tribunal; and</w:t>
      </w:r>
    </w:p>
    <w:p w14:paraId="72CF3D79" w14:textId="77777777" w:rsidR="00CF0E3D" w:rsidRPr="000C3240" w:rsidRDefault="00CF0E3D" w:rsidP="00CF0E3D">
      <w:pPr>
        <w:pStyle w:val="paragraph"/>
      </w:pPr>
      <w:r>
        <w:tab/>
        <w:t>(b)</w:t>
      </w:r>
      <w:r>
        <w:tab/>
        <w:t>if a condition is removed—that fact.</w:t>
      </w:r>
    </w:p>
    <w:p w14:paraId="1376356F" w14:textId="77777777" w:rsidR="00CF0E3D" w:rsidRDefault="00CF0E3D" w:rsidP="00CF0E3D">
      <w:pPr>
        <w:pStyle w:val="ActHead4"/>
        <w:pageBreakBefore/>
      </w:pPr>
      <w:bookmarkStart w:id="393" w:name="_Toc11771641"/>
      <w:bookmarkStart w:id="394" w:name="_Toc77064966"/>
      <w:r>
        <w:lastRenderedPageBreak/>
        <w:t>Subdivision 5.2.3—Obligations of accredited person</w:t>
      </w:r>
      <w:bookmarkEnd w:id="393"/>
      <w:bookmarkEnd w:id="394"/>
    </w:p>
    <w:p w14:paraId="38EC9B26" w14:textId="77777777" w:rsidR="00CF0E3D" w:rsidRPr="00BD2AB7" w:rsidRDefault="00CF0E3D" w:rsidP="00CF0E3D">
      <w:pPr>
        <w:pStyle w:val="ActHead5"/>
      </w:pPr>
      <w:bookmarkStart w:id="395" w:name="_Toc11771642"/>
      <w:bookmarkStart w:id="396" w:name="_Toc77064967"/>
      <w:r>
        <w:t>5.12</w:t>
      </w:r>
      <w:r w:rsidRPr="00BD2AB7">
        <w:t xml:space="preserve">  Obligations of accredited person</w:t>
      </w:r>
      <w:r w:rsidRPr="00693A57">
        <w:rPr>
          <w:strike/>
          <w:color w:val="0000FF"/>
        </w:rPr>
        <w:t xml:space="preserve"> at the “unrestricted” level</w:t>
      </w:r>
      <w:bookmarkEnd w:id="395"/>
      <w:bookmarkEnd w:id="396"/>
    </w:p>
    <w:p w14:paraId="6808C0A4" w14:textId="55B3B6CA" w:rsidR="00CF0E3D" w:rsidRPr="00BD2AB7" w:rsidRDefault="00CF0E3D" w:rsidP="00CF0E3D">
      <w:pPr>
        <w:pStyle w:val="subsection"/>
      </w:pPr>
      <w:r>
        <w:tab/>
        <w:t>(1)</w:t>
      </w:r>
      <w:r>
        <w:tab/>
      </w:r>
      <w:r w:rsidR="00D1380B" w:rsidRPr="00693A57">
        <w:rPr>
          <w:strike/>
          <w:color w:val="0000FF"/>
        </w:rPr>
        <w:t xml:space="preserve">A </w:t>
      </w:r>
      <w:r w:rsidRPr="00693A57">
        <w:rPr>
          <w:strike/>
          <w:color w:val="0000FF"/>
        </w:rPr>
        <w:t>person who is accredited at the “unrestricted” level</w:t>
      </w:r>
      <w:r w:rsidR="00D1380B" w:rsidRPr="00693A57">
        <w:rPr>
          <w:strike/>
          <w:color w:val="0000FF"/>
        </w:rPr>
        <w:t xml:space="preserve"> </w:t>
      </w:r>
      <w:r w:rsidR="00D1380B" w:rsidRPr="00693A57">
        <w:rPr>
          <w:color w:val="0000FF"/>
        </w:rPr>
        <w:t>An accredited person</w:t>
      </w:r>
      <w:r w:rsidRPr="00BD2AB7">
        <w:t xml:space="preserve"> must:</w:t>
      </w:r>
    </w:p>
    <w:p w14:paraId="32D34A7E" w14:textId="77777777" w:rsidR="00CF0E3D" w:rsidRPr="006F4A42" w:rsidRDefault="00CF0E3D" w:rsidP="00CF0E3D">
      <w:pPr>
        <w:pStyle w:val="paragraph"/>
        <w:rPr>
          <w:szCs w:val="22"/>
        </w:rPr>
      </w:pPr>
      <w:r w:rsidRPr="006F4A42">
        <w:tab/>
      </w:r>
      <w:r>
        <w:t>(a)</w:t>
      </w:r>
      <w:r w:rsidRPr="006F4A42">
        <w:tab/>
        <w:t xml:space="preserve">take the steps outlined in </w:t>
      </w:r>
      <w:r>
        <w:t>Schedule 2</w:t>
      </w:r>
      <w:r w:rsidRPr="006F4A42">
        <w:t xml:space="preserve"> which relate to </w:t>
      </w:r>
      <w:r w:rsidRPr="006F4A42">
        <w:rPr>
          <w:szCs w:val="22"/>
        </w:rPr>
        <w:t>protecting CDR data from:</w:t>
      </w:r>
    </w:p>
    <w:p w14:paraId="6EDD815D" w14:textId="77777777" w:rsidR="00CF0E3D" w:rsidRPr="006F4A42" w:rsidRDefault="00CF0E3D" w:rsidP="00CF0E3D">
      <w:pPr>
        <w:pStyle w:val="paragraphsub"/>
      </w:pPr>
      <w:r w:rsidRPr="006F4A42">
        <w:tab/>
      </w:r>
      <w:r>
        <w:t>(i)</w:t>
      </w:r>
      <w:r w:rsidRPr="006F4A42">
        <w:tab/>
        <w:t>misuse, interference and loss; and</w:t>
      </w:r>
    </w:p>
    <w:p w14:paraId="42B8B277" w14:textId="77777777" w:rsidR="00CF0E3D" w:rsidRPr="006F4A42" w:rsidRDefault="00CF0E3D" w:rsidP="00CF0E3D">
      <w:pPr>
        <w:pStyle w:val="paragraphsub"/>
      </w:pPr>
      <w:r w:rsidRPr="006F4A42">
        <w:tab/>
      </w:r>
      <w:r>
        <w:t>(ii)</w:t>
      </w:r>
      <w:r w:rsidRPr="006F4A42">
        <w:tab/>
        <w:t>unauthorised access, modification or disclosure; and</w:t>
      </w:r>
    </w:p>
    <w:p w14:paraId="42A34570" w14:textId="77777777" w:rsidR="00CF0E3D" w:rsidRDefault="00CF0E3D" w:rsidP="00CF0E3D">
      <w:pPr>
        <w:pStyle w:val="paragraph"/>
      </w:pPr>
      <w:r w:rsidRPr="00BD2AB7">
        <w:tab/>
      </w:r>
      <w:r>
        <w:t>(b)</w:t>
      </w:r>
      <w:r w:rsidRPr="00BD2AB7">
        <w:tab/>
        <w:t xml:space="preserve">have internal dispute resolution processes that meet the </w:t>
      </w:r>
      <w:r w:rsidRPr="00E1300D">
        <w:rPr>
          <w:color w:val="000000" w:themeColor="text1"/>
        </w:rPr>
        <w:t>internal dispute resolution requirements in relation to one or more designated sectors</w:t>
      </w:r>
      <w:r w:rsidRPr="00BD2AB7">
        <w:t>; and</w:t>
      </w:r>
    </w:p>
    <w:p w14:paraId="0CABBB19" w14:textId="77777777" w:rsidR="00CF0E3D" w:rsidRPr="00BD2AB7" w:rsidRDefault="00CF0E3D" w:rsidP="00CF0E3D">
      <w:pPr>
        <w:pStyle w:val="paragraph"/>
      </w:pPr>
      <w:r w:rsidRPr="00BD2AB7">
        <w:tab/>
      </w:r>
      <w:r>
        <w:t>(c)</w:t>
      </w:r>
      <w:r w:rsidRPr="00BD2AB7">
        <w:tab/>
        <w:t xml:space="preserve">be a member of </w:t>
      </w:r>
      <w:r>
        <w:t>a</w:t>
      </w:r>
      <w:r w:rsidRPr="00BD2AB7">
        <w:t xml:space="preserve"> recognised external dispute resolution scheme in relation to</w:t>
      </w:r>
      <w:r>
        <w:t xml:space="preserve"> </w:t>
      </w:r>
      <w:r w:rsidRPr="00736B2E">
        <w:t>CDR consumer complaints</w:t>
      </w:r>
      <w:r w:rsidRPr="00BD2AB7">
        <w:t>; and</w:t>
      </w:r>
    </w:p>
    <w:p w14:paraId="333566A7" w14:textId="77777777" w:rsidR="00CF0E3D" w:rsidRDefault="00CF0E3D" w:rsidP="00CF0E3D">
      <w:pPr>
        <w:pStyle w:val="paragraph"/>
      </w:pPr>
      <w:r w:rsidRPr="00BD2AB7">
        <w:tab/>
      </w:r>
      <w:r>
        <w:t>(d)</w:t>
      </w:r>
      <w:r w:rsidRPr="00BD2AB7">
        <w:tab/>
        <w:t>have address</w:t>
      </w:r>
      <w:r>
        <w:t>es</w:t>
      </w:r>
      <w:r w:rsidRPr="00BD2AB7">
        <w:t xml:space="preserve"> for </w:t>
      </w:r>
      <w:r w:rsidRPr="00736B2E">
        <w:t>service</w:t>
      </w:r>
      <w:r w:rsidRPr="00BD2AB7">
        <w:t>; and</w:t>
      </w:r>
    </w:p>
    <w:p w14:paraId="22AFF3D4" w14:textId="77777777" w:rsidR="00CF0E3D" w:rsidRDefault="00CF0E3D" w:rsidP="00CF0E3D">
      <w:pPr>
        <w:pStyle w:val="paragraph"/>
      </w:pPr>
      <w:r w:rsidRPr="00BD2AB7">
        <w:tab/>
      </w:r>
      <w:r>
        <w:t>(e)</w:t>
      </w:r>
      <w:r w:rsidRPr="00BD2AB7">
        <w:tab/>
        <w:t>if the applicant is a foreign entity—have a local agent that has address</w:t>
      </w:r>
      <w:r>
        <w:t>es</w:t>
      </w:r>
      <w:r w:rsidRPr="00BD2AB7">
        <w:t xml:space="preserve"> for service</w:t>
      </w:r>
      <w:r>
        <w:t>; and</w:t>
      </w:r>
    </w:p>
    <w:p w14:paraId="5329D9B7" w14:textId="77777777" w:rsidR="00CF0E3D" w:rsidRPr="00BD2AB7" w:rsidRDefault="00CF0E3D" w:rsidP="00CF0E3D">
      <w:pPr>
        <w:pStyle w:val="paragraph"/>
      </w:pPr>
      <w:r>
        <w:tab/>
      </w:r>
      <w:r w:rsidRPr="009A6052">
        <w:t>(f)</w:t>
      </w:r>
      <w:r w:rsidRPr="009A6052">
        <w:tab/>
        <w:t>ensure that it is licensed or otherwise authorised to use any CDR logo</w:t>
      </w:r>
      <w:r>
        <w:t xml:space="preserve">, including </w:t>
      </w:r>
      <w:r w:rsidRPr="009A6052">
        <w:t xml:space="preserve">as required by the </w:t>
      </w:r>
      <w:r>
        <w:t xml:space="preserve">data </w:t>
      </w:r>
      <w:r w:rsidRPr="009A6052">
        <w:t>standards</w:t>
      </w:r>
      <w:r w:rsidRPr="00F07699">
        <w:t>.</w:t>
      </w:r>
    </w:p>
    <w:p w14:paraId="657F4607" w14:textId="629A11BE" w:rsidR="005032E9" w:rsidRPr="00BD2AB7" w:rsidRDefault="005032E9" w:rsidP="005032E9">
      <w:pPr>
        <w:pStyle w:val="notetext"/>
      </w:pPr>
      <w:r w:rsidRPr="00BD2AB7">
        <w:t>Note 1:</w:t>
      </w:r>
      <w:r w:rsidRPr="00BD2AB7">
        <w:tab/>
        <w:t>See</w:t>
      </w:r>
      <w:r w:rsidRPr="00693A57">
        <w:rPr>
          <w:color w:val="FF0000"/>
        </w:rPr>
        <w:t xml:space="preserve"> sector Schedules</w:t>
      </w:r>
      <w:r w:rsidRPr="00693A57">
        <w:rPr>
          <w:strike/>
          <w:color w:val="FF0000"/>
        </w:rPr>
        <w:t xml:space="preserve"> Schedules to these rules</w:t>
      </w:r>
      <w:r w:rsidRPr="00F214C6">
        <w:t xml:space="preserve"> </w:t>
      </w:r>
      <w:r w:rsidRPr="00BD2AB7">
        <w:t>for how this provision might operate differently for different designated sectors.</w:t>
      </w:r>
    </w:p>
    <w:p w14:paraId="0D42B28A" w14:textId="77777777" w:rsidR="00CF0E3D" w:rsidRDefault="00CF0E3D" w:rsidP="00CF0E3D">
      <w:pPr>
        <w:pStyle w:val="notetext"/>
      </w:pPr>
      <w:r w:rsidRPr="00BD2AB7">
        <w:t>Note 2:</w:t>
      </w:r>
      <w:r w:rsidRPr="00BD2AB7">
        <w:tab/>
        <w:t xml:space="preserve">For the banking sector, see clause </w:t>
      </w:r>
      <w:r>
        <w:t>7.4</w:t>
      </w:r>
      <w:r w:rsidRPr="00BD2AB7">
        <w:t xml:space="preserve"> of </w:t>
      </w:r>
      <w:r>
        <w:t>Schedule 3</w:t>
      </w:r>
      <w:r w:rsidRPr="00BD2AB7">
        <w:t>.</w:t>
      </w:r>
    </w:p>
    <w:p w14:paraId="52C81007" w14:textId="77777777" w:rsidR="00CF0E3D" w:rsidRDefault="00CF0E3D" w:rsidP="00CF0E3D">
      <w:pPr>
        <w:pStyle w:val="notetext"/>
      </w:pPr>
      <w:r w:rsidRPr="006F4A42">
        <w:t>Note 3:</w:t>
      </w:r>
      <w:r w:rsidRPr="006F4A42">
        <w:tab/>
        <w:t>For paragraph </w:t>
      </w:r>
      <w:r>
        <w:t>(a)</w:t>
      </w:r>
      <w:r w:rsidRPr="006F4A42">
        <w:t xml:space="preserve">, the steps outlined in </w:t>
      </w:r>
      <w:r>
        <w:t>Schedule 2</w:t>
      </w:r>
      <w:r w:rsidRPr="006F4A42">
        <w:t xml:space="preserve"> relate to privacy safeguard 12 (see subsection 56EO(1) of the Act and rule </w:t>
      </w:r>
      <w:r>
        <w:t>7.11</w:t>
      </w:r>
      <w:r w:rsidRPr="006F4A42">
        <w:t xml:space="preserve"> of these rules).</w:t>
      </w:r>
    </w:p>
    <w:p w14:paraId="52B2E697" w14:textId="1D4992FE" w:rsidR="00994C1B" w:rsidRPr="00693A57" w:rsidRDefault="00CF0E3D" w:rsidP="00994C1B">
      <w:pPr>
        <w:pStyle w:val="notetext"/>
        <w:rPr>
          <w:color w:val="FF0000"/>
        </w:rPr>
      </w:pPr>
      <w:r w:rsidRPr="00693A57">
        <w:rPr>
          <w:color w:val="FF0000"/>
        </w:rPr>
        <w:t>Note 4:</w:t>
      </w:r>
      <w:r w:rsidRPr="00693A57">
        <w:rPr>
          <w:color w:val="FF0000"/>
        </w:rPr>
        <w:tab/>
      </w:r>
      <w:r w:rsidR="00994C1B" w:rsidRPr="00693A57">
        <w:rPr>
          <w:color w:val="FF0000"/>
        </w:rPr>
        <w:t>For paragraph (b), see</w:t>
      </w:r>
      <w:r w:rsidR="00B00AE1" w:rsidRPr="00693A57">
        <w:rPr>
          <w:color w:val="FF0000"/>
        </w:rPr>
        <w:t xml:space="preserve"> </w:t>
      </w:r>
      <w:r w:rsidR="00994C1B" w:rsidRPr="00693A57">
        <w:rPr>
          <w:color w:val="FF0000"/>
        </w:rPr>
        <w:t>rule 1.7 for the meaning of “meets the internal dispute resolution requirements”.  See also:</w:t>
      </w:r>
    </w:p>
    <w:p w14:paraId="344510A3" w14:textId="77777777" w:rsidR="00994C1B" w:rsidRPr="00693A57" w:rsidRDefault="00994C1B" w:rsidP="007D5353">
      <w:pPr>
        <w:pStyle w:val="notepara"/>
        <w:numPr>
          <w:ilvl w:val="0"/>
          <w:numId w:val="11"/>
        </w:numPr>
        <w:rPr>
          <w:color w:val="FF0000"/>
        </w:rPr>
      </w:pPr>
      <w:r w:rsidRPr="00693A57">
        <w:rPr>
          <w:color w:val="FF0000"/>
        </w:rPr>
        <w:t>for the banking sector—clause 5.1 of Schedule 3;</w:t>
      </w:r>
    </w:p>
    <w:p w14:paraId="589C18A0" w14:textId="340E3D6C" w:rsidR="00994C1B" w:rsidRPr="00693A57" w:rsidRDefault="00994C1B" w:rsidP="007D5353">
      <w:pPr>
        <w:pStyle w:val="notepara"/>
        <w:numPr>
          <w:ilvl w:val="0"/>
          <w:numId w:val="11"/>
        </w:numPr>
        <w:rPr>
          <w:color w:val="FF0000"/>
        </w:rPr>
      </w:pPr>
      <w:r w:rsidRPr="00693A57">
        <w:rPr>
          <w:color w:val="FF0000"/>
        </w:rPr>
        <w:t>for the energy sector—clause </w:t>
      </w:r>
      <w:r w:rsidR="005E6980" w:rsidRPr="00693A57">
        <w:rPr>
          <w:color w:val="FF0000"/>
        </w:rPr>
        <w:fldChar w:fldCharType="begin" w:fldLock="1"/>
      </w:r>
      <w:r w:rsidR="005E6980" w:rsidRPr="00693A57">
        <w:rPr>
          <w:color w:val="FF0000"/>
        </w:rPr>
        <w:instrText xml:space="preserve"> REF _Ref62468104 \n </w:instrText>
      </w:r>
      <w:r w:rsidR="005E6980" w:rsidRPr="00693A57">
        <w:rPr>
          <w:color w:val="FF0000"/>
        </w:rPr>
        <w:fldChar w:fldCharType="separate"/>
      </w:r>
      <w:r w:rsidR="000F7228">
        <w:rPr>
          <w:color w:val="FF0000"/>
        </w:rPr>
        <w:t>5.1</w:t>
      </w:r>
      <w:r w:rsidR="005E6980" w:rsidRPr="00693A57">
        <w:rPr>
          <w:color w:val="FF0000"/>
        </w:rPr>
        <w:fldChar w:fldCharType="end"/>
      </w:r>
      <w:r w:rsidRPr="00693A57">
        <w:rPr>
          <w:color w:val="FF0000"/>
        </w:rPr>
        <w:t xml:space="preserve"> of Schedule 4.</w:t>
      </w:r>
    </w:p>
    <w:p w14:paraId="601BC9B6" w14:textId="4BA79D4F" w:rsidR="00CF0E3D" w:rsidRPr="00693A57" w:rsidRDefault="005032E9" w:rsidP="00CF0E3D">
      <w:pPr>
        <w:pStyle w:val="notetext"/>
        <w:rPr>
          <w:strike/>
          <w:color w:val="FF0000"/>
        </w:rPr>
      </w:pPr>
      <w:r w:rsidRPr="00693A57">
        <w:rPr>
          <w:strike/>
          <w:color w:val="FF0000"/>
        </w:rPr>
        <w:t>Note 4:</w:t>
      </w:r>
      <w:r w:rsidR="00994C1B" w:rsidRPr="00693A57">
        <w:rPr>
          <w:strike/>
          <w:color w:val="FF0000"/>
        </w:rPr>
        <w:tab/>
      </w:r>
      <w:r w:rsidR="00CF0E3D" w:rsidRPr="00693A57">
        <w:rPr>
          <w:strike/>
          <w:color w:val="FF0000"/>
        </w:rPr>
        <w:t>For paragraph (b), see the definition of “meets the internal dispute resolution requirements” in relation to the banking sector in subrule 1.7(1), and see clause 5.1 of Schedule 3.</w:t>
      </w:r>
    </w:p>
    <w:p w14:paraId="25163DE9" w14:textId="77777777" w:rsidR="00CF0E3D" w:rsidRDefault="00CF0E3D" w:rsidP="00CF0E3D">
      <w:pPr>
        <w:pStyle w:val="notetext"/>
      </w:pPr>
      <w:r w:rsidRPr="00E1300D">
        <w:rPr>
          <w:color w:val="000000" w:themeColor="text1"/>
        </w:rPr>
        <w:t>Note 5:</w:t>
      </w:r>
      <w:r w:rsidRPr="00E1300D">
        <w:rPr>
          <w:color w:val="000000" w:themeColor="text1"/>
        </w:rPr>
        <w:tab/>
      </w:r>
      <w:r w:rsidRPr="006F4A42">
        <w:t xml:space="preserve">For </w:t>
      </w:r>
      <w:r w:rsidRPr="00736B2E">
        <w:t xml:space="preserve">paragraphs </w:t>
      </w:r>
      <w:r>
        <w:t>(d)</w:t>
      </w:r>
      <w:r w:rsidRPr="00736B2E">
        <w:t xml:space="preserve"> and </w:t>
      </w:r>
      <w:r>
        <w:t>(e)</w:t>
      </w:r>
      <w:r w:rsidRPr="006F4A42">
        <w:t>, see rule </w:t>
      </w:r>
      <w:r>
        <w:t>1.7</w:t>
      </w:r>
      <w:r w:rsidRPr="006F4A42">
        <w:t xml:space="preserve"> for the meaning of “addresses for service”.</w:t>
      </w:r>
    </w:p>
    <w:p w14:paraId="6151D19C" w14:textId="77777777" w:rsidR="00CF0E3D" w:rsidRDefault="00CF0E3D" w:rsidP="00CF0E3D">
      <w:pPr>
        <w:pStyle w:val="notetext"/>
        <w:rPr>
          <w:color w:val="000000" w:themeColor="text1"/>
        </w:rPr>
      </w:pPr>
      <w:r w:rsidRPr="00E1300D">
        <w:rPr>
          <w:color w:val="000000" w:themeColor="text1"/>
        </w:rPr>
        <w:t>Note 6:</w:t>
      </w:r>
      <w:r w:rsidRPr="00E1300D">
        <w:rPr>
          <w:color w:val="000000" w:themeColor="text1"/>
        </w:rPr>
        <w:tab/>
        <w:t xml:space="preserve">This </w:t>
      </w:r>
      <w:r>
        <w:rPr>
          <w:color w:val="000000" w:themeColor="text1"/>
        </w:rPr>
        <w:t>sub</w:t>
      </w:r>
      <w:r w:rsidRPr="00E1300D">
        <w:rPr>
          <w:color w:val="000000" w:themeColor="text1"/>
        </w:rPr>
        <w:t>rule is a civil penalty provision (see rule </w:t>
      </w:r>
      <w:r>
        <w:rPr>
          <w:color w:val="000000" w:themeColor="text1"/>
        </w:rPr>
        <w:t>9.8</w:t>
      </w:r>
      <w:r w:rsidRPr="00E1300D">
        <w:rPr>
          <w:color w:val="000000" w:themeColor="text1"/>
        </w:rPr>
        <w:t>).</w:t>
      </w:r>
    </w:p>
    <w:p w14:paraId="1AE32FD5" w14:textId="172D7695" w:rsidR="00CF0E3D" w:rsidRPr="003F3AC9" w:rsidRDefault="00CF0E3D" w:rsidP="00CF0E3D">
      <w:pPr>
        <w:pStyle w:val="subsection"/>
      </w:pPr>
      <w:r w:rsidRPr="003F3AC9">
        <w:tab/>
      </w:r>
      <w:r>
        <w:t>(2)</w:t>
      </w:r>
      <w:r w:rsidRPr="003F3AC9">
        <w:tab/>
      </w:r>
      <w:r w:rsidR="00D1380B" w:rsidRPr="00693A57">
        <w:rPr>
          <w:strike/>
          <w:color w:val="0000FF"/>
        </w:rPr>
        <w:t xml:space="preserve">A person who is accredited at the “unrestricted” level </w:t>
      </w:r>
      <w:r w:rsidR="00D1380B" w:rsidRPr="00693A57">
        <w:rPr>
          <w:color w:val="0000FF"/>
        </w:rPr>
        <w:t>An accredited person</w:t>
      </w:r>
      <w:r w:rsidR="00D1380B" w:rsidRPr="00BD2AB7">
        <w:t xml:space="preserve"> </w:t>
      </w:r>
      <w:r w:rsidRPr="003F3AC9">
        <w:t>must:</w:t>
      </w:r>
    </w:p>
    <w:p w14:paraId="18AEAFE9" w14:textId="4BA8BABC" w:rsidR="00CF0E3D" w:rsidRPr="003F3AC9" w:rsidRDefault="00CF0E3D" w:rsidP="00CF0E3D">
      <w:pPr>
        <w:pStyle w:val="paragraph"/>
      </w:pPr>
      <w:r w:rsidRPr="003F3AC9">
        <w:tab/>
      </w:r>
      <w:r>
        <w:t>(a)</w:t>
      </w:r>
      <w:r w:rsidRPr="003F3AC9">
        <w:tab/>
        <w:t>be, having regard to the fit and proper person criteria, a fit and proper person</w:t>
      </w:r>
      <w:r>
        <w:t xml:space="preserve"> to </w:t>
      </w:r>
      <w:r w:rsidRPr="00EA67BC">
        <w:t>be accredited at that level</w:t>
      </w:r>
      <w:r w:rsidRPr="003F3AC9">
        <w:t>; and</w:t>
      </w:r>
    </w:p>
    <w:p w14:paraId="009F3399" w14:textId="07CABE08" w:rsidR="00CF0E3D" w:rsidRPr="006D5CA7" w:rsidRDefault="00CF0E3D" w:rsidP="00CF0E3D">
      <w:pPr>
        <w:pStyle w:val="paragraph"/>
        <w:rPr>
          <w:color w:val="000000" w:themeColor="text1"/>
        </w:rPr>
      </w:pPr>
      <w:r w:rsidRPr="003F3AC9">
        <w:tab/>
      </w:r>
      <w:r>
        <w:t>(b)</w:t>
      </w:r>
      <w:r w:rsidRPr="003F3AC9">
        <w:tab/>
        <w:t xml:space="preserve">have adequate insurance, or a comparable guarantee, </w:t>
      </w:r>
      <w:r w:rsidR="00D1380B" w:rsidRPr="00693A57">
        <w:rPr>
          <w:color w:val="0000FF"/>
        </w:rPr>
        <w:t xml:space="preserve">appropriate to the level of accreditation, </w:t>
      </w:r>
      <w:r w:rsidRPr="003F3AC9">
        <w:t xml:space="preserve">in light of the risk of CDR consumers not being properly compensated for any loss that might reasonably be expected to arise from a breach of obligations under </w:t>
      </w:r>
      <w:r w:rsidRPr="006D5CA7">
        <w:rPr>
          <w:color w:val="000000" w:themeColor="text1"/>
        </w:rPr>
        <w:t>any of the following to the extent that they are relevant to the management of CDR data:</w:t>
      </w:r>
    </w:p>
    <w:p w14:paraId="768B1FAA"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w:t>
      </w:r>
      <w:r w:rsidRPr="006D5CA7">
        <w:rPr>
          <w:color w:val="000000" w:themeColor="text1"/>
        </w:rPr>
        <w:tab/>
        <w:t>the Act;</w:t>
      </w:r>
    </w:p>
    <w:p w14:paraId="524AA79B"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(ii)</w:t>
      </w:r>
      <w:r w:rsidRPr="006D5CA7">
        <w:rPr>
          <w:color w:val="000000" w:themeColor="text1"/>
        </w:rPr>
        <w:tab/>
        <w:t>any regulation made for the purposes of the Act;</w:t>
      </w:r>
    </w:p>
    <w:p w14:paraId="150CCB70"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(iii)</w:t>
      </w:r>
      <w:r w:rsidRPr="006D5CA7">
        <w:rPr>
          <w:color w:val="000000" w:themeColor="text1"/>
        </w:rPr>
        <w:tab/>
        <w:t>these rules.</w:t>
      </w:r>
    </w:p>
    <w:p w14:paraId="26E55145" w14:textId="77777777" w:rsidR="00CF0E3D" w:rsidRPr="00A23141" w:rsidRDefault="00CF0E3D" w:rsidP="00CF0E3D">
      <w:pPr>
        <w:pStyle w:val="ActHead5"/>
      </w:pPr>
      <w:bookmarkStart w:id="397" w:name="_Toc77064968"/>
      <w:r>
        <w:lastRenderedPageBreak/>
        <w:t>5.13</w:t>
      </w:r>
      <w:r w:rsidRPr="00A23141">
        <w:t xml:space="preserve"> Accredited person must comply with conditions</w:t>
      </w:r>
      <w:bookmarkEnd w:id="397"/>
      <w:r w:rsidRPr="00A23141">
        <w:t xml:space="preserve"> </w:t>
      </w:r>
    </w:p>
    <w:p w14:paraId="466B85C7" w14:textId="77777777" w:rsidR="00CF0E3D" w:rsidRPr="00A23141" w:rsidRDefault="00CF0E3D" w:rsidP="00CF0E3D">
      <w:pPr>
        <w:pStyle w:val="subsection"/>
      </w:pPr>
      <w:r w:rsidRPr="00A23141">
        <w:tab/>
      </w:r>
      <w:r w:rsidRPr="00A23141">
        <w:tab/>
        <w:t xml:space="preserve">An accredited person must comply with the conditions of their accreditation. </w:t>
      </w:r>
    </w:p>
    <w:p w14:paraId="25F80899" w14:textId="77777777" w:rsidR="00CF0E3D" w:rsidRPr="00A23141" w:rsidRDefault="00CF0E3D" w:rsidP="00CF0E3D">
      <w:pPr>
        <w:pStyle w:val="notetext"/>
      </w:pPr>
      <w:r w:rsidRPr="00A23141">
        <w:t>Note 1:</w:t>
      </w:r>
      <w:r w:rsidRPr="00A23141">
        <w:tab/>
        <w:t xml:space="preserve">This rule applies to the default conditions set out in </w:t>
      </w:r>
      <w:r>
        <w:t>Schedule 1</w:t>
      </w:r>
      <w:r w:rsidRPr="00A23141">
        <w:t xml:space="preserve"> and any conditions imposed or varied under rule </w:t>
      </w:r>
      <w:r>
        <w:t>5.10</w:t>
      </w:r>
      <w:r w:rsidRPr="00A23141">
        <w:t>.</w:t>
      </w:r>
    </w:p>
    <w:p w14:paraId="376E9F3D" w14:textId="77777777" w:rsidR="00CF0E3D" w:rsidRPr="00A23141" w:rsidRDefault="00CF0E3D" w:rsidP="00CF0E3D">
      <w:pPr>
        <w:pStyle w:val="notetext"/>
      </w:pPr>
      <w:r w:rsidRPr="00A23141">
        <w:t>Note 2:</w:t>
      </w:r>
      <w:r w:rsidRPr="00A23141">
        <w:tab/>
        <w:t>This rule is a civil penalty provision (see rule </w:t>
      </w:r>
      <w:r>
        <w:t>9.8</w:t>
      </w:r>
      <w:r w:rsidRPr="00A23141">
        <w:t>).</w:t>
      </w:r>
    </w:p>
    <w:p w14:paraId="29DFAFD8" w14:textId="77777777" w:rsidR="00CF0E3D" w:rsidRPr="00BD2AB7" w:rsidRDefault="00CF0E3D" w:rsidP="00CF0E3D">
      <w:pPr>
        <w:pStyle w:val="ActHead5"/>
      </w:pPr>
      <w:bookmarkStart w:id="398" w:name="_Toc11771643"/>
      <w:bookmarkStart w:id="399" w:name="_Toc77064969"/>
      <w:r>
        <w:t xml:space="preserve">5.14  </w:t>
      </w:r>
      <w:r w:rsidRPr="00BD2AB7">
        <w:t>N</w:t>
      </w:r>
      <w:r w:rsidRPr="00D83E42">
        <w:t xml:space="preserve">otification </w:t>
      </w:r>
      <w:r>
        <w:t>requirement</w:t>
      </w:r>
      <w:r w:rsidRPr="00BD2AB7">
        <w:t>s</w:t>
      </w:r>
      <w:bookmarkEnd w:id="398"/>
      <w:bookmarkEnd w:id="399"/>
    </w:p>
    <w:p w14:paraId="0569AC4B" w14:textId="21A2B4D0" w:rsidR="00CF0E3D" w:rsidRDefault="00CF0E3D" w:rsidP="00CF0E3D">
      <w:pPr>
        <w:pStyle w:val="subsection"/>
      </w:pPr>
      <w:r>
        <w:tab/>
      </w:r>
      <w:r>
        <w:tab/>
        <w:t xml:space="preserve">An accredited person must notify the Data Recipient Accreditor </w:t>
      </w:r>
      <w:r w:rsidRPr="00005026">
        <w:t>within 5 business days if any of the following occurs</w:t>
      </w:r>
      <w:r>
        <w:t>:</w:t>
      </w:r>
    </w:p>
    <w:p w14:paraId="42035CEA" w14:textId="77777777" w:rsidR="00CF0E3D" w:rsidRDefault="00CF0E3D" w:rsidP="00CF0E3D">
      <w:pPr>
        <w:pStyle w:val="paragraph"/>
      </w:pPr>
      <w:r>
        <w:tab/>
        <w:t>(a)</w:t>
      </w:r>
      <w:r>
        <w:tab/>
        <w:t xml:space="preserve">any material change in its circumstances that might affect its ability to </w:t>
      </w:r>
      <w:r w:rsidRPr="000C3240">
        <w:rPr>
          <w:color w:val="000000" w:themeColor="text1"/>
        </w:rPr>
        <w:t xml:space="preserve">comply with </w:t>
      </w:r>
      <w:r w:rsidRPr="007E69B9">
        <w:t>its obligations under this Subdivision</w:t>
      </w:r>
      <w:r>
        <w:t>;</w:t>
      </w:r>
    </w:p>
    <w:p w14:paraId="1610422B" w14:textId="6FDDB1B1" w:rsidR="00CF0E3D" w:rsidRDefault="00CF0E3D" w:rsidP="00CF0E3D">
      <w:pPr>
        <w:pStyle w:val="paragraph"/>
      </w:pPr>
      <w:r>
        <w:tab/>
        <w:t>(b)</w:t>
      </w:r>
      <w:r>
        <w:tab/>
        <w:t xml:space="preserve">any matter that could be relevant to a decision as to whether the person </w:t>
      </w:r>
      <w:r w:rsidRPr="00B24FE2">
        <w:t xml:space="preserve">is, having regard to the </w:t>
      </w:r>
      <w:r>
        <w:t>fit and proper person criteria</w:t>
      </w:r>
      <w:r w:rsidRPr="00B24FE2">
        <w:t>, a fit and proper person</w:t>
      </w:r>
      <w:r>
        <w:t xml:space="preserve"> to</w:t>
      </w:r>
      <w:r w:rsidRPr="00CF0686">
        <w:t xml:space="preserve"> </w:t>
      </w:r>
      <w:r w:rsidRPr="00724397">
        <w:t>be accredited at the person’s level of accreditation</w:t>
      </w:r>
      <w:r>
        <w:t>;</w:t>
      </w:r>
    </w:p>
    <w:p w14:paraId="66B0A479" w14:textId="51397EBF" w:rsidR="00747BDB" w:rsidRPr="00693A57" w:rsidRDefault="00747BDB" w:rsidP="00747BDB">
      <w:pPr>
        <w:pStyle w:val="paragraph"/>
        <w:rPr>
          <w:color w:val="0000FF"/>
        </w:rPr>
      </w:pPr>
      <w:r w:rsidRPr="00693A57">
        <w:rPr>
          <w:color w:val="0000FF"/>
        </w:rPr>
        <w:tab/>
        <w:t>(ba)</w:t>
      </w:r>
      <w:r w:rsidRPr="00693A57">
        <w:rPr>
          <w:color w:val="0000FF"/>
        </w:rPr>
        <w:tab/>
        <w:t xml:space="preserve">the person becomes a sponsor of an affiliate; </w:t>
      </w:r>
    </w:p>
    <w:p w14:paraId="0F356256" w14:textId="438A6F53" w:rsidR="007A3BC8" w:rsidRPr="00693A57" w:rsidRDefault="00747BDB" w:rsidP="00142396">
      <w:pPr>
        <w:pStyle w:val="paragraph"/>
        <w:rPr>
          <w:color w:val="0000FF"/>
        </w:rPr>
      </w:pPr>
      <w:r w:rsidRPr="00693A57">
        <w:rPr>
          <w:color w:val="0000FF"/>
        </w:rPr>
        <w:tab/>
        <w:t>(bb</w:t>
      </w:r>
      <w:r w:rsidR="00142396" w:rsidRPr="00693A57">
        <w:rPr>
          <w:color w:val="0000FF"/>
        </w:rPr>
        <w:t>)</w:t>
      </w:r>
      <w:r w:rsidR="00142396" w:rsidRPr="00693A57">
        <w:rPr>
          <w:color w:val="0000FF"/>
        </w:rPr>
        <w:tab/>
        <w:t xml:space="preserve">where the accredited person is a sponsor of an affiliate―the sponsorship arrangement </w:t>
      </w:r>
      <w:r w:rsidR="00D3132F" w:rsidRPr="00693A57">
        <w:rPr>
          <w:color w:val="0000FF"/>
        </w:rPr>
        <w:t xml:space="preserve">is suspended, expires, or </w:t>
      </w:r>
      <w:r w:rsidR="00142396" w:rsidRPr="00693A57">
        <w:rPr>
          <w:color w:val="0000FF"/>
        </w:rPr>
        <w:t>is terminated;</w:t>
      </w:r>
    </w:p>
    <w:p w14:paraId="08C73834" w14:textId="77777777" w:rsidR="00CF0E3D" w:rsidRPr="007C39E2" w:rsidRDefault="00CF0E3D" w:rsidP="00CF0E3D">
      <w:pPr>
        <w:pStyle w:val="paragraph"/>
      </w:pPr>
      <w:r w:rsidRPr="00E71229">
        <w:tab/>
      </w:r>
      <w:r>
        <w:t>(c)</w:t>
      </w:r>
      <w:r w:rsidRPr="00E71229">
        <w:tab/>
        <w:t xml:space="preserve">there is a change to, or the accredited person becomes aware of an </w:t>
      </w:r>
      <w:r w:rsidRPr="00A804A8">
        <w:t>error</w:t>
      </w:r>
      <w:r w:rsidRPr="00E71229">
        <w:t xml:space="preserve"> in, any of the information provided to the Accreditor to be entered on the Register under rule </w:t>
      </w:r>
      <w:r>
        <w:t>5.24</w:t>
      </w:r>
      <w:r w:rsidRPr="00E71229">
        <w:t>.</w:t>
      </w:r>
    </w:p>
    <w:p w14:paraId="5DC3C86E" w14:textId="77777777" w:rsidR="00CF0E3D" w:rsidRPr="00E1300D" w:rsidRDefault="00CF0E3D" w:rsidP="00CF0E3D">
      <w:pPr>
        <w:pStyle w:val="notetext"/>
        <w:rPr>
          <w:color w:val="000000" w:themeColor="text1"/>
        </w:rPr>
      </w:pPr>
      <w:r>
        <w:rPr>
          <w:color w:val="000000" w:themeColor="text1"/>
        </w:rPr>
        <w:t>Note</w:t>
      </w:r>
      <w:r w:rsidRPr="00E1300D">
        <w:rPr>
          <w:color w:val="000000" w:themeColor="text1"/>
        </w:rPr>
        <w:t>:</w:t>
      </w:r>
      <w:r w:rsidRPr="00E1300D">
        <w:rPr>
          <w:color w:val="000000" w:themeColor="text1"/>
        </w:rPr>
        <w:tab/>
        <w:t>This rule is a civil penalty provision (see rule </w:t>
      </w:r>
      <w:r>
        <w:rPr>
          <w:color w:val="000000" w:themeColor="text1"/>
        </w:rPr>
        <w:t>9.8</w:t>
      </w:r>
      <w:r w:rsidRPr="00E1300D">
        <w:rPr>
          <w:color w:val="000000" w:themeColor="text1"/>
        </w:rPr>
        <w:t>).</w:t>
      </w:r>
    </w:p>
    <w:p w14:paraId="3AECFDE0" w14:textId="5FE9BE08" w:rsidR="00CF0E3D" w:rsidRPr="00E71229" w:rsidRDefault="00CF0E3D" w:rsidP="00CF0E3D">
      <w:pPr>
        <w:pStyle w:val="ActHead5"/>
      </w:pPr>
      <w:bookmarkStart w:id="400" w:name="_Toc77064970"/>
      <w:r>
        <w:t>5.15</w:t>
      </w:r>
      <w:r w:rsidRPr="00E71229">
        <w:t xml:space="preserve">  Provision of information to the Accreditation Registrar</w:t>
      </w:r>
      <w:bookmarkEnd w:id="400"/>
    </w:p>
    <w:p w14:paraId="30D45304" w14:textId="77777777" w:rsidR="00CF0E3D" w:rsidRPr="00E71229" w:rsidRDefault="00CF0E3D" w:rsidP="00CF0E3D">
      <w:pPr>
        <w:pStyle w:val="subsection"/>
      </w:pPr>
      <w:r w:rsidRPr="00E71229">
        <w:tab/>
      </w:r>
      <w:r w:rsidRPr="00E71229">
        <w:tab/>
        <w:t>The Data Recipient Accreditor must:</w:t>
      </w:r>
    </w:p>
    <w:p w14:paraId="5C8195B8" w14:textId="77777777" w:rsidR="00CF0E3D" w:rsidRPr="00E71229" w:rsidRDefault="00CF0E3D" w:rsidP="00CF0E3D">
      <w:pPr>
        <w:pStyle w:val="paragraph"/>
      </w:pPr>
      <w:r w:rsidRPr="00E71229">
        <w:tab/>
      </w:r>
      <w:r>
        <w:t>(a)</w:t>
      </w:r>
      <w:r w:rsidRPr="00E71229">
        <w:tab/>
        <w:t xml:space="preserve">notify the Accreditation Registrar, in writing, as soon as practicable after: </w:t>
      </w:r>
    </w:p>
    <w:p w14:paraId="0502AB1B" w14:textId="1011CDF7" w:rsidR="00390072" w:rsidRPr="00390072" w:rsidRDefault="00CF0E3D" w:rsidP="00CF0E3D">
      <w:pPr>
        <w:pStyle w:val="paragraphsub"/>
      </w:pPr>
      <w:r w:rsidRPr="00E71229">
        <w:tab/>
      </w:r>
      <w:r>
        <w:t>(i)</w:t>
      </w:r>
      <w:r w:rsidRPr="00E71229">
        <w:tab/>
        <w:t>an accreditation; or</w:t>
      </w:r>
    </w:p>
    <w:p w14:paraId="74ADD56D" w14:textId="77777777" w:rsidR="00CF0E3D" w:rsidRPr="00E71229" w:rsidRDefault="00CF0E3D" w:rsidP="00CF0E3D">
      <w:pPr>
        <w:pStyle w:val="paragraphsub"/>
      </w:pPr>
      <w:r w:rsidRPr="00E71229">
        <w:tab/>
      </w:r>
      <w:r>
        <w:t>(ii)</w:t>
      </w:r>
      <w:r w:rsidRPr="00E71229">
        <w:tab/>
        <w:t>the imposition, variation or removal of a condition on an accreditation; or</w:t>
      </w:r>
    </w:p>
    <w:p w14:paraId="4BE1BAB2" w14:textId="77777777" w:rsidR="00CF0E3D" w:rsidRPr="00E71229" w:rsidRDefault="00CF0E3D" w:rsidP="00CF0E3D">
      <w:pPr>
        <w:pStyle w:val="paragraphsub"/>
      </w:pPr>
      <w:r w:rsidRPr="00E71229">
        <w:tab/>
      </w:r>
      <w:r>
        <w:t>(iii)</w:t>
      </w:r>
      <w:r w:rsidRPr="00E71229">
        <w:tab/>
        <w:t>a surrender, suspension or an extension of a suspension</w:t>
      </w:r>
      <w:r>
        <w:t>;</w:t>
      </w:r>
      <w:r w:rsidRPr="00E71229">
        <w:t xml:space="preserve"> or </w:t>
      </w:r>
    </w:p>
    <w:p w14:paraId="2DC4217F" w14:textId="77777777" w:rsidR="00CF0E3D" w:rsidRPr="00E71229" w:rsidRDefault="00CF0E3D" w:rsidP="00CF0E3D">
      <w:pPr>
        <w:pStyle w:val="paragraphsub"/>
      </w:pPr>
      <w:r w:rsidRPr="00E71229">
        <w:tab/>
      </w:r>
      <w:r>
        <w:t>(iv)</w:t>
      </w:r>
      <w:r w:rsidRPr="00E71229">
        <w:tab/>
        <w:t xml:space="preserve">a suspension ceasing to have effect; or </w:t>
      </w:r>
    </w:p>
    <w:p w14:paraId="5845CF04" w14:textId="77777777" w:rsidR="00CF0E3D" w:rsidRPr="00E71229" w:rsidRDefault="00CF0E3D" w:rsidP="00CF0E3D">
      <w:pPr>
        <w:pStyle w:val="paragraphsub"/>
      </w:pPr>
      <w:r w:rsidRPr="00E71229">
        <w:tab/>
      </w:r>
      <w:r>
        <w:t>(v)</w:t>
      </w:r>
      <w:r w:rsidRPr="00E71229">
        <w:tab/>
        <w:t>a revocation of an accreditation; or</w:t>
      </w:r>
    </w:p>
    <w:p w14:paraId="0923AA0B" w14:textId="2F0CDFE6" w:rsidR="00CF0E3D" w:rsidRPr="00E71229" w:rsidRDefault="00CF0E3D" w:rsidP="00CF0E3D">
      <w:pPr>
        <w:pStyle w:val="paragraphsub"/>
      </w:pPr>
      <w:r w:rsidRPr="00E71229">
        <w:tab/>
      </w:r>
      <w:r>
        <w:t>(vi)</w:t>
      </w:r>
      <w:r w:rsidRPr="00E71229">
        <w:tab/>
        <w:t xml:space="preserve">a notification under paragraph </w:t>
      </w:r>
      <w:r w:rsidR="00390072" w:rsidRPr="00693A57">
        <w:rPr>
          <w:color w:val="0000FF"/>
        </w:rPr>
        <w:t>5.14(ba)</w:t>
      </w:r>
      <w:r w:rsidR="00747BDB" w:rsidRPr="00693A57">
        <w:rPr>
          <w:color w:val="0000FF"/>
        </w:rPr>
        <w:t>, (bb)</w:t>
      </w:r>
      <w:r w:rsidR="00390072" w:rsidRPr="00693A57">
        <w:rPr>
          <w:color w:val="0000FF"/>
        </w:rPr>
        <w:t xml:space="preserve"> or (c</w:t>
      </w:r>
      <w:r w:rsidR="00361AE4" w:rsidRPr="00693A57">
        <w:rPr>
          <w:color w:val="0000FF"/>
        </w:rPr>
        <w:t>), or subclause 2.3(3</w:t>
      </w:r>
      <w:r w:rsidR="009D005E" w:rsidRPr="00693A57">
        <w:rPr>
          <w:color w:val="0000FF"/>
        </w:rPr>
        <w:t>) of Schedule 1</w:t>
      </w:r>
      <w:r w:rsidR="00390072" w:rsidRPr="00693A57">
        <w:rPr>
          <w:strike/>
          <w:color w:val="0000FF"/>
        </w:rPr>
        <w:t xml:space="preserve"> </w:t>
      </w:r>
      <w:r w:rsidRPr="00693A57">
        <w:rPr>
          <w:strike/>
          <w:color w:val="0000FF"/>
        </w:rPr>
        <w:t>5.14(c)</w:t>
      </w:r>
      <w:r w:rsidRPr="00E71229">
        <w:t>; and</w:t>
      </w:r>
    </w:p>
    <w:p w14:paraId="383F1674" w14:textId="77777777" w:rsidR="00CF0E3D" w:rsidRPr="00E71229" w:rsidRDefault="00CF0E3D" w:rsidP="00CF0E3D">
      <w:pPr>
        <w:pStyle w:val="paragraph"/>
      </w:pPr>
      <w:r w:rsidRPr="00E71229">
        <w:tab/>
      </w:r>
      <w:r>
        <w:t>(b)</w:t>
      </w:r>
      <w:r w:rsidRPr="00E71229">
        <w:tab/>
        <w:t>include in the notice</w:t>
      </w:r>
      <w:r>
        <w:t>:</w:t>
      </w:r>
    </w:p>
    <w:p w14:paraId="674D2B4B" w14:textId="77777777" w:rsidR="00CF0E3D" w:rsidRPr="00E71229" w:rsidRDefault="00CF0E3D" w:rsidP="00CF0E3D">
      <w:pPr>
        <w:pStyle w:val="paragraphsub"/>
      </w:pPr>
      <w:r w:rsidRPr="00E71229">
        <w:tab/>
      </w:r>
      <w:r>
        <w:t>(i)</w:t>
      </w:r>
      <w:r w:rsidRPr="00E71229">
        <w:tab/>
        <w:t>any information the Registrar is required to enter into the Register</w:t>
      </w:r>
      <w:r>
        <w:t xml:space="preserve"> of Accredited Persons</w:t>
      </w:r>
      <w:r w:rsidRPr="00E71229">
        <w:t>; and</w:t>
      </w:r>
    </w:p>
    <w:p w14:paraId="1682BD35" w14:textId="77777777" w:rsidR="00CF0E3D" w:rsidRPr="00E71229" w:rsidRDefault="00CF0E3D" w:rsidP="00CF0E3D">
      <w:pPr>
        <w:pStyle w:val="paragraphsub"/>
      </w:pPr>
      <w:r w:rsidRPr="00E71229">
        <w:tab/>
      </w:r>
      <w:r>
        <w:t>(ii)</w:t>
      </w:r>
      <w:r w:rsidRPr="00E71229">
        <w:tab/>
        <w:t>any information the Registrar requires in order to amend an entry in the Register.</w:t>
      </w:r>
    </w:p>
    <w:p w14:paraId="30A14F61" w14:textId="77777777" w:rsidR="00CF0E3D" w:rsidRPr="00F6256A" w:rsidRDefault="00CF0E3D" w:rsidP="00CF0E3D">
      <w:pPr>
        <w:pStyle w:val="paragraphsub"/>
      </w:pPr>
    </w:p>
    <w:p w14:paraId="376F0DC3" w14:textId="77777777" w:rsidR="00CF0E3D" w:rsidRDefault="00CF0E3D" w:rsidP="00CF0E3D">
      <w:pPr>
        <w:pStyle w:val="ActHead4"/>
        <w:pageBreakBefore/>
      </w:pPr>
      <w:bookmarkStart w:id="401" w:name="_Toc11771644"/>
      <w:bookmarkStart w:id="402" w:name="_Toc77064971"/>
      <w:r>
        <w:lastRenderedPageBreak/>
        <w:t>Subdivision 5.2.4—Transfer, suspension</w:t>
      </w:r>
      <w:r w:rsidRPr="000C3240">
        <w:rPr>
          <w:color w:val="000000" w:themeColor="text1"/>
        </w:rPr>
        <w:t>, surrender</w:t>
      </w:r>
      <w:r>
        <w:t xml:space="preserve"> and revocation of accreditation</w:t>
      </w:r>
      <w:bookmarkEnd w:id="401"/>
      <w:bookmarkEnd w:id="402"/>
    </w:p>
    <w:p w14:paraId="3A6FBD4B" w14:textId="77777777" w:rsidR="00CF0E3D" w:rsidRDefault="00CF0E3D" w:rsidP="00CF0E3D">
      <w:pPr>
        <w:pStyle w:val="ActHead5"/>
      </w:pPr>
      <w:bookmarkStart w:id="403" w:name="_Toc11771645"/>
      <w:bookmarkStart w:id="404" w:name="_Toc77064972"/>
      <w:r>
        <w:t>5.16  Transfer of accreditation</w:t>
      </w:r>
      <w:bookmarkEnd w:id="403"/>
      <w:bookmarkEnd w:id="404"/>
    </w:p>
    <w:p w14:paraId="6BBDBCB6" w14:textId="77777777" w:rsidR="00CF0E3D" w:rsidRPr="001E3BC0" w:rsidRDefault="00CF0E3D" w:rsidP="00CF0E3D">
      <w:pPr>
        <w:pStyle w:val="subsection"/>
      </w:pPr>
      <w:r>
        <w:tab/>
      </w:r>
      <w:r>
        <w:tab/>
        <w:t>An accreditation cannot be transferred.</w:t>
      </w:r>
    </w:p>
    <w:p w14:paraId="68FD837B" w14:textId="77777777" w:rsidR="00CF0E3D" w:rsidRDefault="00CF0E3D" w:rsidP="00CF0E3D">
      <w:pPr>
        <w:pStyle w:val="ActHead5"/>
      </w:pPr>
      <w:bookmarkStart w:id="405" w:name="_Toc11771646"/>
      <w:bookmarkStart w:id="406" w:name="_Toc77064973"/>
      <w:r>
        <w:t>5.17  Revocation, suspension, or surrender of accreditation</w:t>
      </w:r>
      <w:bookmarkEnd w:id="405"/>
      <w:bookmarkEnd w:id="406"/>
    </w:p>
    <w:p w14:paraId="60A9FF24" w14:textId="77777777" w:rsidR="00CF0E3D" w:rsidRDefault="00CF0E3D" w:rsidP="00CF0E3D">
      <w:pPr>
        <w:pStyle w:val="subsection"/>
      </w:pPr>
      <w:r>
        <w:tab/>
      </w:r>
      <w:r>
        <w:rPr>
          <w:color w:val="000000" w:themeColor="text1"/>
        </w:rPr>
        <w:t>(1)</w:t>
      </w:r>
      <w:r>
        <w:tab/>
        <w:t>The table has effect:</w:t>
      </w:r>
    </w:p>
    <w:p w14:paraId="74ADF2C6" w14:textId="77777777" w:rsidR="00CF0E3D" w:rsidRDefault="00CF0E3D" w:rsidP="00CF0E3D">
      <w:pPr>
        <w:pStyle w:val="subsection"/>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CF0E3D" w14:paraId="14D89AB0" w14:textId="77777777" w:rsidTr="007941AE">
        <w:trPr>
          <w:cantSplit/>
          <w:tblHeader/>
        </w:trPr>
        <w:tc>
          <w:tcPr>
            <w:tcW w:w="601" w:type="dxa"/>
            <w:tcBorders>
              <w:top w:val="single" w:sz="12" w:space="0" w:color="auto"/>
              <w:bottom w:val="single" w:sz="2" w:space="0" w:color="auto"/>
              <w:right w:val="nil"/>
            </w:tcBorders>
          </w:tcPr>
          <w:p w14:paraId="504788F2" w14:textId="77777777" w:rsidR="00CF0E3D" w:rsidRDefault="00CF0E3D" w:rsidP="007941AE">
            <w:pPr>
              <w:pStyle w:val="TableHeading"/>
            </w:pPr>
          </w:p>
        </w:tc>
        <w:tc>
          <w:tcPr>
            <w:tcW w:w="7604" w:type="dxa"/>
            <w:gridSpan w:val="2"/>
            <w:tcBorders>
              <w:top w:val="single" w:sz="12" w:space="0" w:color="auto"/>
              <w:left w:val="nil"/>
              <w:bottom w:val="single" w:sz="2" w:space="0" w:color="auto"/>
            </w:tcBorders>
          </w:tcPr>
          <w:p w14:paraId="635D7EDC" w14:textId="77777777" w:rsidR="00CF0E3D" w:rsidRDefault="00CF0E3D" w:rsidP="007941AE">
            <w:pPr>
              <w:pStyle w:val="TableHeading"/>
            </w:pPr>
            <w:r>
              <w:t>Grounds for revocation</w:t>
            </w:r>
            <w:r w:rsidRPr="00CC5A54">
              <w:t xml:space="preserve">, suspension and surrender </w:t>
            </w:r>
            <w:r>
              <w:t>of accreditation as accredited person</w:t>
            </w:r>
          </w:p>
        </w:tc>
      </w:tr>
      <w:tr w:rsidR="00CF0E3D" w14:paraId="6E98795C" w14:textId="77777777" w:rsidTr="007941AE">
        <w:trPr>
          <w:cantSplit/>
          <w:tblHeader/>
        </w:trPr>
        <w:tc>
          <w:tcPr>
            <w:tcW w:w="601" w:type="dxa"/>
            <w:tcBorders>
              <w:top w:val="single" w:sz="2" w:space="0" w:color="auto"/>
              <w:bottom w:val="single" w:sz="12" w:space="0" w:color="auto"/>
              <w:right w:val="nil"/>
            </w:tcBorders>
          </w:tcPr>
          <w:p w14:paraId="54B30078" w14:textId="77777777" w:rsidR="00CF0E3D" w:rsidRDefault="00CF0E3D" w:rsidP="007941AE">
            <w:pPr>
              <w:pStyle w:val="TableHeading"/>
            </w:pPr>
          </w:p>
        </w:tc>
        <w:tc>
          <w:tcPr>
            <w:tcW w:w="4435" w:type="dxa"/>
            <w:tcBorders>
              <w:top w:val="single" w:sz="2" w:space="0" w:color="auto"/>
              <w:left w:val="nil"/>
              <w:bottom w:val="single" w:sz="12" w:space="0" w:color="auto"/>
              <w:right w:val="nil"/>
            </w:tcBorders>
          </w:tcPr>
          <w:p w14:paraId="7225CDB6" w14:textId="77777777" w:rsidR="00CF0E3D" w:rsidRDefault="00CF0E3D" w:rsidP="007941AE">
            <w:pPr>
              <w:pStyle w:val="TableHeading"/>
            </w:pPr>
            <w:r>
              <w:t>If:</w:t>
            </w:r>
          </w:p>
        </w:tc>
        <w:tc>
          <w:tcPr>
            <w:tcW w:w="3169" w:type="dxa"/>
            <w:tcBorders>
              <w:top w:val="single" w:sz="2" w:space="0" w:color="auto"/>
              <w:left w:val="nil"/>
              <w:bottom w:val="single" w:sz="12" w:space="0" w:color="auto"/>
            </w:tcBorders>
          </w:tcPr>
          <w:p w14:paraId="2F51C251" w14:textId="77777777" w:rsidR="00CF0E3D" w:rsidRDefault="00CF0E3D" w:rsidP="007941AE">
            <w:pPr>
              <w:pStyle w:val="TableHeading"/>
            </w:pPr>
            <w:r>
              <w:t>the Data Recipient Accreditor:</w:t>
            </w:r>
          </w:p>
        </w:tc>
      </w:tr>
      <w:tr w:rsidR="00CF0E3D" w14:paraId="7E1840D1" w14:textId="77777777" w:rsidTr="007941AE">
        <w:trPr>
          <w:cantSplit/>
        </w:trPr>
        <w:tc>
          <w:tcPr>
            <w:tcW w:w="601" w:type="dxa"/>
            <w:tcBorders>
              <w:top w:val="single" w:sz="12" w:space="0" w:color="auto"/>
              <w:bottom w:val="single" w:sz="2" w:space="0" w:color="auto"/>
              <w:right w:val="nil"/>
            </w:tcBorders>
          </w:tcPr>
          <w:p w14:paraId="6A74B9C0" w14:textId="77777777" w:rsidR="00CF0E3D" w:rsidRDefault="00CF0E3D" w:rsidP="007941AE">
            <w:pPr>
              <w:pStyle w:val="Tabletext"/>
            </w:pPr>
            <w:r>
              <w:t>1</w:t>
            </w:r>
          </w:p>
        </w:tc>
        <w:tc>
          <w:tcPr>
            <w:tcW w:w="4435" w:type="dxa"/>
            <w:tcBorders>
              <w:top w:val="single" w:sz="12" w:space="0" w:color="auto"/>
              <w:left w:val="nil"/>
              <w:bottom w:val="single" w:sz="2" w:space="0" w:color="auto"/>
              <w:right w:val="nil"/>
            </w:tcBorders>
          </w:tcPr>
          <w:p w14:paraId="1B06FA5B" w14:textId="77777777" w:rsidR="00CF0E3D" w:rsidRDefault="00CF0E3D" w:rsidP="007941AE">
            <w:pPr>
              <w:pStyle w:val="Tabletext"/>
            </w:pPr>
            <w:r>
              <w:t>an accredited person applies to the Data Recipient Accreditor, in writing, to surrender their accreditation;</w:t>
            </w:r>
          </w:p>
          <w:p w14:paraId="75BF3558" w14:textId="77777777" w:rsidR="00CF0E3D" w:rsidRDefault="00CF0E3D" w:rsidP="007941AE">
            <w:pPr>
              <w:pStyle w:val="Tabletext"/>
            </w:pPr>
          </w:p>
        </w:tc>
        <w:tc>
          <w:tcPr>
            <w:tcW w:w="3169" w:type="dxa"/>
            <w:tcBorders>
              <w:top w:val="single" w:sz="12" w:space="0" w:color="auto"/>
              <w:left w:val="nil"/>
              <w:bottom w:val="single" w:sz="2" w:space="0" w:color="auto"/>
            </w:tcBorders>
          </w:tcPr>
          <w:p w14:paraId="436E6B54" w14:textId="77777777" w:rsidR="00CF0E3D" w:rsidRDefault="00CF0E3D" w:rsidP="007941AE">
            <w:pPr>
              <w:pStyle w:val="Tabletext"/>
            </w:pPr>
            <w:r>
              <w:t>must</w:t>
            </w:r>
            <w:r w:rsidRPr="000C3240">
              <w:rPr>
                <w:color w:val="000000" w:themeColor="text1"/>
              </w:rPr>
              <w:t>, in writing,</w:t>
            </w:r>
            <w:r>
              <w:t xml:space="preserve"> accept that surrender.</w:t>
            </w:r>
          </w:p>
        </w:tc>
      </w:tr>
      <w:tr w:rsidR="00CF0E3D" w14:paraId="551909F8" w14:textId="77777777" w:rsidTr="007941AE">
        <w:trPr>
          <w:cantSplit/>
        </w:trPr>
        <w:tc>
          <w:tcPr>
            <w:tcW w:w="601" w:type="dxa"/>
            <w:tcBorders>
              <w:top w:val="single" w:sz="2" w:space="0" w:color="auto"/>
              <w:bottom w:val="single" w:sz="4" w:space="0" w:color="auto"/>
              <w:right w:val="nil"/>
            </w:tcBorders>
          </w:tcPr>
          <w:p w14:paraId="037B80D3" w14:textId="77777777" w:rsidR="00CF0E3D" w:rsidRDefault="00CF0E3D" w:rsidP="007941AE">
            <w:pPr>
              <w:pStyle w:val="Tabletext"/>
            </w:pPr>
            <w:r>
              <w:t>2</w:t>
            </w:r>
          </w:p>
        </w:tc>
        <w:tc>
          <w:tcPr>
            <w:tcW w:w="4435" w:type="dxa"/>
            <w:tcBorders>
              <w:top w:val="single" w:sz="2" w:space="0" w:color="auto"/>
              <w:left w:val="nil"/>
              <w:bottom w:val="single" w:sz="4" w:space="0" w:color="auto"/>
              <w:right w:val="nil"/>
            </w:tcBorders>
          </w:tcPr>
          <w:p w14:paraId="3409CB89" w14:textId="77777777" w:rsidR="00CF0E3D" w:rsidRDefault="00CF0E3D" w:rsidP="007941AE">
            <w:pPr>
              <w:pStyle w:val="Tabletext"/>
            </w:pPr>
            <w:r>
              <w:t xml:space="preserve">the Data Recipient Accreditor is satisfied that an accredited person’s accreditation was granted as the result of statements or other information, by the </w:t>
            </w:r>
            <w:r w:rsidRPr="000C3240">
              <w:rPr>
                <w:color w:val="000000" w:themeColor="text1"/>
              </w:rPr>
              <w:t xml:space="preserve">accreditation </w:t>
            </w:r>
            <w:r>
              <w:t>applicant or by any other person, that were false or misleading in a material particular;</w:t>
            </w:r>
          </w:p>
          <w:p w14:paraId="76D2190A" w14:textId="77777777" w:rsidR="00CF0E3D" w:rsidRDefault="00CF0E3D" w:rsidP="007941AE">
            <w:pPr>
              <w:pStyle w:val="Tabletext"/>
            </w:pPr>
          </w:p>
        </w:tc>
        <w:tc>
          <w:tcPr>
            <w:tcW w:w="3169" w:type="dxa"/>
            <w:tcBorders>
              <w:top w:val="single" w:sz="2" w:space="0" w:color="auto"/>
              <w:left w:val="nil"/>
              <w:bottom w:val="single" w:sz="4" w:space="0" w:color="auto"/>
            </w:tcBorders>
          </w:tcPr>
          <w:p w14:paraId="75177F67" w14:textId="77777777" w:rsidR="00CF0E3D" w:rsidRDefault="00CF0E3D" w:rsidP="007941AE">
            <w:pPr>
              <w:pStyle w:val="Tabletext"/>
            </w:pPr>
            <w:r>
              <w:t>may</w:t>
            </w:r>
            <w:r w:rsidRPr="000C3240">
              <w:rPr>
                <w:color w:val="000000" w:themeColor="text1"/>
              </w:rPr>
              <w:t>, in writing</w:t>
            </w:r>
            <w:r>
              <w:t>:</w:t>
            </w:r>
          </w:p>
          <w:p w14:paraId="217F8C7A" w14:textId="77777777" w:rsidR="00CF0E3D" w:rsidRDefault="00CF0E3D" w:rsidP="007941AE">
            <w:pPr>
              <w:pStyle w:val="Tablea"/>
            </w:pPr>
            <w:r>
              <w:t>(a)</w:t>
            </w:r>
            <w:r>
              <w:tab/>
              <w:t>suspend; or</w:t>
            </w:r>
          </w:p>
          <w:p w14:paraId="353CFA1D" w14:textId="77777777" w:rsidR="00CF0E3D" w:rsidRDefault="00CF0E3D" w:rsidP="007941AE">
            <w:pPr>
              <w:pStyle w:val="Tablea"/>
            </w:pPr>
            <w:r>
              <w:t>(b)</w:t>
            </w:r>
            <w:r>
              <w:tab/>
              <w:t>revoke;</w:t>
            </w:r>
          </w:p>
          <w:p w14:paraId="7F54038C" w14:textId="77777777" w:rsidR="00CF0E3D" w:rsidRDefault="00CF0E3D" w:rsidP="007941AE">
            <w:pPr>
              <w:pStyle w:val="Tabletext"/>
            </w:pPr>
            <w:r>
              <w:t>the person’s accreditation, as appropriate.</w:t>
            </w:r>
          </w:p>
        </w:tc>
      </w:tr>
      <w:tr w:rsidR="00CF0E3D" w14:paraId="40CE8BEC" w14:textId="77777777" w:rsidTr="007941AE">
        <w:trPr>
          <w:cantSplit/>
        </w:trPr>
        <w:tc>
          <w:tcPr>
            <w:tcW w:w="601" w:type="dxa"/>
            <w:tcBorders>
              <w:right w:val="nil"/>
            </w:tcBorders>
          </w:tcPr>
          <w:p w14:paraId="3CA04F87" w14:textId="77777777" w:rsidR="00CF0E3D" w:rsidRDefault="00CF0E3D" w:rsidP="007941AE">
            <w:pPr>
              <w:pStyle w:val="Tabletext"/>
            </w:pPr>
            <w:r>
              <w:t>3</w:t>
            </w:r>
          </w:p>
        </w:tc>
        <w:tc>
          <w:tcPr>
            <w:tcW w:w="4435" w:type="dxa"/>
            <w:tcBorders>
              <w:left w:val="nil"/>
              <w:right w:val="nil"/>
            </w:tcBorders>
          </w:tcPr>
          <w:p w14:paraId="6D17BF1D" w14:textId="77777777" w:rsidR="00CF0E3D" w:rsidRPr="003F3AC9" w:rsidRDefault="00CF0E3D" w:rsidP="007941AE">
            <w:pPr>
              <w:pStyle w:val="Tabletext"/>
            </w:pPr>
            <w:r>
              <w:t xml:space="preserve">subject to items 6 and 7, the Data Recipient Accreditor is satisfied that </w:t>
            </w:r>
            <w:r w:rsidRPr="003F3AC9">
              <w:t>the accredited person or an associated person of the accredited person has been found to have contravened a law relevant to the management of CDR data;</w:t>
            </w:r>
          </w:p>
          <w:p w14:paraId="430BA9E8" w14:textId="77777777" w:rsidR="00CF0E3D" w:rsidRDefault="00CF0E3D" w:rsidP="007941AE">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Pr>
                <w:color w:val="000000" w:themeColor="text1"/>
              </w:rPr>
              <w:t>1.7</w:t>
            </w:r>
            <w:r w:rsidRPr="000C3240">
              <w:rPr>
                <w:color w:val="000000" w:themeColor="text1"/>
              </w:rPr>
              <w:t xml:space="preserve"> for the meaning of “associated person” and “law relevant to the management of CDR data”.</w:t>
            </w:r>
          </w:p>
          <w:p w14:paraId="3181F230" w14:textId="77777777" w:rsidR="00CF0E3D" w:rsidRPr="00693A57" w:rsidRDefault="00CF0E3D" w:rsidP="007941AE">
            <w:pPr>
              <w:pStyle w:val="nDrafterComment"/>
              <w:rPr>
                <w:color w:val="0000FF"/>
              </w:rPr>
            </w:pPr>
          </w:p>
        </w:tc>
        <w:tc>
          <w:tcPr>
            <w:tcW w:w="3169" w:type="dxa"/>
            <w:tcBorders>
              <w:left w:val="nil"/>
            </w:tcBorders>
          </w:tcPr>
          <w:p w14:paraId="6134EB29" w14:textId="77777777" w:rsidR="00CF0E3D" w:rsidRDefault="00CF0E3D" w:rsidP="007941AE">
            <w:pPr>
              <w:pStyle w:val="Tabletext"/>
            </w:pPr>
            <w:r>
              <w:t>may</w:t>
            </w:r>
            <w:r w:rsidRPr="00BD2AB7">
              <w:t>, in writing</w:t>
            </w:r>
            <w:r>
              <w:t>:</w:t>
            </w:r>
          </w:p>
          <w:p w14:paraId="462E67EC" w14:textId="77777777" w:rsidR="00CF0E3D" w:rsidRDefault="00CF0E3D" w:rsidP="007941AE">
            <w:pPr>
              <w:pStyle w:val="Tablea"/>
            </w:pPr>
            <w:r>
              <w:t>(a)</w:t>
            </w:r>
            <w:r>
              <w:tab/>
              <w:t>suspend; or</w:t>
            </w:r>
          </w:p>
          <w:p w14:paraId="7D55B561" w14:textId="77777777" w:rsidR="00CF0E3D" w:rsidRDefault="00CF0E3D" w:rsidP="007941AE">
            <w:pPr>
              <w:pStyle w:val="Tablea"/>
            </w:pPr>
            <w:r>
              <w:t>(b)</w:t>
            </w:r>
            <w:r>
              <w:tab/>
              <w:t>revoke;</w:t>
            </w:r>
          </w:p>
          <w:p w14:paraId="5C1C329D" w14:textId="77777777" w:rsidR="00CF0E3D" w:rsidRDefault="00CF0E3D" w:rsidP="007941AE">
            <w:pPr>
              <w:pStyle w:val="Tabletext"/>
            </w:pPr>
            <w:r>
              <w:t xml:space="preserve">the </w:t>
            </w:r>
            <w:r w:rsidRPr="00005026">
              <w:t xml:space="preserve">accredited </w:t>
            </w:r>
            <w:r>
              <w:t>person’s accreditation, as appropriate.</w:t>
            </w:r>
          </w:p>
        </w:tc>
      </w:tr>
      <w:tr w:rsidR="00CF0E3D" w14:paraId="15612A7C" w14:textId="77777777" w:rsidTr="007941AE">
        <w:trPr>
          <w:cantSplit/>
        </w:trPr>
        <w:tc>
          <w:tcPr>
            <w:tcW w:w="601" w:type="dxa"/>
            <w:tcBorders>
              <w:right w:val="nil"/>
            </w:tcBorders>
          </w:tcPr>
          <w:p w14:paraId="4EDAC33C" w14:textId="77777777" w:rsidR="00CF0E3D" w:rsidRDefault="00CF0E3D" w:rsidP="007941AE">
            <w:pPr>
              <w:pStyle w:val="Tabletext"/>
            </w:pPr>
            <w:r>
              <w:lastRenderedPageBreak/>
              <w:t>4</w:t>
            </w:r>
          </w:p>
        </w:tc>
        <w:tc>
          <w:tcPr>
            <w:tcW w:w="4435" w:type="dxa"/>
            <w:tcBorders>
              <w:left w:val="nil"/>
              <w:right w:val="nil"/>
            </w:tcBorders>
          </w:tcPr>
          <w:p w14:paraId="3980C138" w14:textId="77777777" w:rsidR="00CF0E3D" w:rsidRDefault="00CF0E3D" w:rsidP="007941AE">
            <w:pPr>
              <w:pStyle w:val="Tabletext"/>
            </w:pPr>
            <w:r>
              <w:t xml:space="preserve">the Data Recipient Accreditor </w:t>
            </w:r>
            <w:r w:rsidRPr="000C3240">
              <w:rPr>
                <w:color w:val="000000" w:themeColor="text1"/>
              </w:rPr>
              <w:t xml:space="preserve">reasonably believes </w:t>
            </w:r>
            <w:r>
              <w:t>that revocation or suspension is necessary in order to:</w:t>
            </w:r>
          </w:p>
          <w:p w14:paraId="1B8154D1" w14:textId="77777777" w:rsidR="00CF0E3D" w:rsidRDefault="00CF0E3D" w:rsidP="007941AE">
            <w:pPr>
              <w:pStyle w:val="Tablea"/>
            </w:pPr>
            <w:r>
              <w:t>(a)</w:t>
            </w:r>
            <w:r>
              <w:tab/>
              <w:t>protect consumers; or</w:t>
            </w:r>
          </w:p>
          <w:p w14:paraId="4B9F96BD" w14:textId="77777777" w:rsidR="00CF0E3D" w:rsidRDefault="00CF0E3D" w:rsidP="007941AE">
            <w:pPr>
              <w:pStyle w:val="Tablea"/>
            </w:pPr>
            <w:r>
              <w:t>(b)</w:t>
            </w:r>
            <w:r>
              <w:tab/>
              <w:t>protect the security, integrity and stability of:</w:t>
            </w:r>
          </w:p>
          <w:p w14:paraId="4466AF12" w14:textId="77777777" w:rsidR="00CF0E3D" w:rsidRPr="000C3240" w:rsidRDefault="00CF0E3D" w:rsidP="007941AE">
            <w:pPr>
              <w:pStyle w:val="Tablei"/>
            </w:pPr>
            <w:r w:rsidRPr="000C3240">
              <w:tab/>
              <w:t>(i)</w:t>
            </w:r>
            <w:r w:rsidRPr="000C3240">
              <w:tab/>
              <w:t>the Register of Accredited Persons</w:t>
            </w:r>
            <w:r>
              <w:t xml:space="preserve"> or the associated database</w:t>
            </w:r>
            <w:r w:rsidRPr="000C3240">
              <w:t>; or</w:t>
            </w:r>
          </w:p>
          <w:p w14:paraId="32571A49" w14:textId="77777777" w:rsidR="00CF0E3D" w:rsidRPr="000C3240" w:rsidRDefault="00CF0E3D" w:rsidP="007941AE">
            <w:pPr>
              <w:pStyle w:val="Tablei"/>
            </w:pPr>
            <w:r w:rsidRPr="000C3240">
              <w:tab/>
              <w:t>(ii)</w:t>
            </w:r>
            <w:r w:rsidRPr="000C3240">
              <w:tab/>
              <w:t>information and communication technology systems that are used by CDR participants to disclose or collect CDR data;</w:t>
            </w:r>
          </w:p>
          <w:p w14:paraId="529826B4" w14:textId="77777777" w:rsidR="00CF0E3D" w:rsidRPr="000C3240" w:rsidRDefault="00CF0E3D" w:rsidP="007941AE">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Pr>
                <w:color w:val="000000" w:themeColor="text1"/>
              </w:rPr>
              <w:t>1.7</w:t>
            </w:r>
            <w:r w:rsidRPr="000C3240">
              <w:rPr>
                <w:color w:val="000000" w:themeColor="text1"/>
              </w:rPr>
              <w:t xml:space="preserve"> for the meaning of “law relevant to the management of CDR data”.</w:t>
            </w:r>
          </w:p>
          <w:p w14:paraId="3211AC78" w14:textId="77777777" w:rsidR="00CF0E3D" w:rsidRDefault="00CF0E3D" w:rsidP="007941AE">
            <w:pPr>
              <w:pStyle w:val="Tabletext"/>
            </w:pPr>
          </w:p>
        </w:tc>
        <w:tc>
          <w:tcPr>
            <w:tcW w:w="3169" w:type="dxa"/>
            <w:tcBorders>
              <w:left w:val="nil"/>
            </w:tcBorders>
          </w:tcPr>
          <w:p w14:paraId="6B1252B4" w14:textId="77777777" w:rsidR="00CF0E3D" w:rsidRDefault="00CF0E3D" w:rsidP="007941AE">
            <w:pPr>
              <w:pStyle w:val="Tabletext"/>
            </w:pPr>
            <w:r>
              <w:t>may</w:t>
            </w:r>
            <w:r w:rsidRPr="000C3240">
              <w:rPr>
                <w:color w:val="000000" w:themeColor="text1"/>
              </w:rPr>
              <w:t>, in writing</w:t>
            </w:r>
            <w:r>
              <w:t>:</w:t>
            </w:r>
          </w:p>
          <w:p w14:paraId="38FBBECC" w14:textId="77777777" w:rsidR="00CF0E3D" w:rsidRDefault="00CF0E3D" w:rsidP="007941AE">
            <w:pPr>
              <w:pStyle w:val="Tablea"/>
            </w:pPr>
            <w:r>
              <w:t>(a)</w:t>
            </w:r>
            <w:r>
              <w:tab/>
              <w:t>suspend; or</w:t>
            </w:r>
          </w:p>
          <w:p w14:paraId="2CD3783E" w14:textId="77777777" w:rsidR="00CF0E3D" w:rsidRDefault="00CF0E3D" w:rsidP="007941AE">
            <w:pPr>
              <w:pStyle w:val="Tablea"/>
            </w:pPr>
            <w:r>
              <w:t>(b)</w:t>
            </w:r>
            <w:r>
              <w:tab/>
              <w:t>revoke;</w:t>
            </w:r>
          </w:p>
          <w:p w14:paraId="47B8BE16" w14:textId="77777777" w:rsidR="00CF0E3D" w:rsidRDefault="00CF0E3D" w:rsidP="007941AE">
            <w:pPr>
              <w:pStyle w:val="Tabletext"/>
            </w:pPr>
            <w:r>
              <w:t>the person’s accreditation, as appropriate.</w:t>
            </w:r>
          </w:p>
        </w:tc>
      </w:tr>
      <w:tr w:rsidR="001C6090" w:rsidRPr="001C6090" w14:paraId="22BC8BE0" w14:textId="77777777" w:rsidTr="006D48AC">
        <w:trPr>
          <w:cantSplit/>
        </w:trPr>
        <w:tc>
          <w:tcPr>
            <w:tcW w:w="601" w:type="dxa"/>
            <w:tcBorders>
              <w:right w:val="nil"/>
            </w:tcBorders>
          </w:tcPr>
          <w:p w14:paraId="78240458" w14:textId="77777777" w:rsidR="001C6090" w:rsidRPr="001C6090" w:rsidRDefault="001C6090" w:rsidP="006D48AC">
            <w:pPr>
              <w:pStyle w:val="Tabletext"/>
              <w:rPr>
                <w:color w:val="0000FF"/>
              </w:rPr>
            </w:pPr>
            <w:r w:rsidRPr="00693A57">
              <w:rPr>
                <w:color w:val="FF0000"/>
              </w:rPr>
              <w:t>5</w:t>
            </w:r>
          </w:p>
        </w:tc>
        <w:tc>
          <w:tcPr>
            <w:tcW w:w="4435" w:type="dxa"/>
            <w:tcBorders>
              <w:left w:val="nil"/>
              <w:right w:val="nil"/>
            </w:tcBorders>
          </w:tcPr>
          <w:p w14:paraId="18C79EC7" w14:textId="77777777" w:rsidR="001C6090" w:rsidRPr="00693A57" w:rsidRDefault="001C6090" w:rsidP="006D48AC">
            <w:pPr>
              <w:pStyle w:val="Tabletext"/>
              <w:rPr>
                <w:color w:val="FF0000"/>
              </w:rPr>
            </w:pPr>
            <w:r w:rsidRPr="00693A57">
              <w:rPr>
                <w:color w:val="FF0000"/>
              </w:rPr>
              <w:t>the following are satisfied:</w:t>
            </w:r>
          </w:p>
          <w:p w14:paraId="3D23070B" w14:textId="77777777" w:rsidR="001C6090" w:rsidRPr="00693A57" w:rsidRDefault="001C6090" w:rsidP="006D48AC">
            <w:pPr>
              <w:pStyle w:val="Tablea"/>
              <w:rPr>
                <w:color w:val="FF0000"/>
              </w:rPr>
            </w:pPr>
            <w:r w:rsidRPr="00693A57">
              <w:rPr>
                <w:color w:val="FF0000"/>
              </w:rPr>
              <w:t>(a)</w:t>
            </w:r>
            <w:r w:rsidRPr="00693A57">
              <w:rPr>
                <w:color w:val="FF0000"/>
              </w:rPr>
              <w:tab/>
              <w:t>the accredited person, at the time of the accreditation, satisfied a condition that is relevant to a designated sector and is specified for this item in the sector Schedule;</w:t>
            </w:r>
          </w:p>
          <w:p w14:paraId="03D2072B" w14:textId="77777777" w:rsidR="001C6090" w:rsidRPr="00693A57" w:rsidRDefault="001C6090" w:rsidP="006D48AC">
            <w:pPr>
              <w:pStyle w:val="Tablea"/>
              <w:rPr>
                <w:color w:val="FF0000"/>
              </w:rPr>
            </w:pPr>
            <w:r w:rsidRPr="00693A57">
              <w:rPr>
                <w:color w:val="FF0000"/>
              </w:rPr>
              <w:t>(b)</w:t>
            </w:r>
            <w:r w:rsidRPr="00693A57">
              <w:rPr>
                <w:color w:val="FF0000"/>
              </w:rPr>
              <w:tab/>
              <w:t>the accredited person no longer satisfies the  condition;</w:t>
            </w:r>
          </w:p>
          <w:p w14:paraId="52220854" w14:textId="77777777" w:rsidR="001C6090" w:rsidRPr="001C6090" w:rsidRDefault="001C6090" w:rsidP="006D48AC">
            <w:pPr>
              <w:pStyle w:val="nDrafterComment"/>
              <w:rPr>
                <w:strike/>
                <w:color w:val="0000FF"/>
              </w:rPr>
            </w:pPr>
          </w:p>
        </w:tc>
        <w:tc>
          <w:tcPr>
            <w:tcW w:w="3169" w:type="dxa"/>
            <w:tcBorders>
              <w:left w:val="nil"/>
            </w:tcBorders>
          </w:tcPr>
          <w:p w14:paraId="7EA656B4" w14:textId="77777777" w:rsidR="001C6090" w:rsidRPr="00693A57" w:rsidRDefault="001C6090" w:rsidP="006D48AC">
            <w:pPr>
              <w:pStyle w:val="Tabletext"/>
              <w:rPr>
                <w:color w:val="FF0000"/>
              </w:rPr>
            </w:pPr>
            <w:r w:rsidRPr="00693A57">
              <w:rPr>
                <w:color w:val="FF0000"/>
              </w:rPr>
              <w:t>may, in writing:</w:t>
            </w:r>
          </w:p>
          <w:p w14:paraId="4E592F93" w14:textId="77777777" w:rsidR="001C6090" w:rsidRPr="00693A57" w:rsidRDefault="001C6090" w:rsidP="006D48AC">
            <w:pPr>
              <w:pStyle w:val="Tablea"/>
              <w:rPr>
                <w:color w:val="FF0000"/>
              </w:rPr>
            </w:pPr>
            <w:r w:rsidRPr="00693A57">
              <w:rPr>
                <w:color w:val="FF0000"/>
              </w:rPr>
              <w:t>(a)</w:t>
            </w:r>
            <w:r w:rsidRPr="00693A57">
              <w:rPr>
                <w:color w:val="FF0000"/>
              </w:rPr>
              <w:tab/>
              <w:t>suspend; or</w:t>
            </w:r>
          </w:p>
          <w:p w14:paraId="4E8301BA" w14:textId="77777777" w:rsidR="001C6090" w:rsidRPr="00693A57" w:rsidRDefault="001C6090" w:rsidP="006D48AC">
            <w:pPr>
              <w:pStyle w:val="Tablea"/>
              <w:rPr>
                <w:color w:val="FF0000"/>
              </w:rPr>
            </w:pPr>
            <w:r w:rsidRPr="00693A57">
              <w:rPr>
                <w:color w:val="FF0000"/>
              </w:rPr>
              <w:t>(b)</w:t>
            </w:r>
            <w:r w:rsidRPr="00693A57">
              <w:rPr>
                <w:color w:val="FF0000"/>
              </w:rPr>
              <w:tab/>
              <w:t>revoke;</w:t>
            </w:r>
          </w:p>
          <w:p w14:paraId="12E628EB" w14:textId="77777777" w:rsidR="001C6090" w:rsidRPr="00693A57" w:rsidRDefault="001C6090" w:rsidP="006D48AC">
            <w:pPr>
              <w:pStyle w:val="Tabletext"/>
              <w:rPr>
                <w:color w:val="FF0000"/>
              </w:rPr>
            </w:pPr>
            <w:r w:rsidRPr="00693A57">
              <w:rPr>
                <w:color w:val="FF0000"/>
              </w:rPr>
              <w:t>the person’s accreditation, as appropriate.</w:t>
            </w:r>
          </w:p>
        </w:tc>
      </w:tr>
      <w:tr w:rsidR="00CF0E3D" w:rsidRPr="001C6090" w14:paraId="5C1EB266" w14:textId="77777777" w:rsidTr="007941AE">
        <w:trPr>
          <w:cantSplit/>
        </w:trPr>
        <w:tc>
          <w:tcPr>
            <w:tcW w:w="601" w:type="dxa"/>
            <w:tcBorders>
              <w:right w:val="nil"/>
            </w:tcBorders>
          </w:tcPr>
          <w:p w14:paraId="4BA79E61" w14:textId="77777777" w:rsidR="00CF0E3D" w:rsidRPr="001C6090" w:rsidRDefault="00CF0E3D" w:rsidP="007941AE">
            <w:pPr>
              <w:pStyle w:val="Tabletext"/>
              <w:rPr>
                <w:strike/>
                <w:color w:val="0000FF"/>
              </w:rPr>
            </w:pPr>
            <w:r w:rsidRPr="00693A57">
              <w:rPr>
                <w:strike/>
                <w:color w:val="FF0000"/>
              </w:rPr>
              <w:t>5</w:t>
            </w:r>
          </w:p>
        </w:tc>
        <w:tc>
          <w:tcPr>
            <w:tcW w:w="4435" w:type="dxa"/>
            <w:tcBorders>
              <w:left w:val="nil"/>
              <w:right w:val="nil"/>
            </w:tcBorders>
          </w:tcPr>
          <w:p w14:paraId="7873C614" w14:textId="77777777" w:rsidR="00CF0E3D" w:rsidRPr="00693A57" w:rsidRDefault="00CF0E3D" w:rsidP="007941AE">
            <w:pPr>
              <w:pStyle w:val="Tabletext"/>
              <w:rPr>
                <w:strike/>
                <w:color w:val="FF0000"/>
              </w:rPr>
            </w:pPr>
            <w:r w:rsidRPr="00693A57">
              <w:rPr>
                <w:strike/>
                <w:color w:val="FF0000"/>
              </w:rPr>
              <w:t>the following are satisfied:</w:t>
            </w:r>
          </w:p>
          <w:p w14:paraId="0C82DB1D" w14:textId="77777777" w:rsidR="00CF0E3D" w:rsidRPr="00693A57" w:rsidRDefault="00CF0E3D" w:rsidP="007941AE">
            <w:pPr>
              <w:pStyle w:val="Tablea"/>
              <w:rPr>
                <w:strike/>
                <w:color w:val="FF0000"/>
              </w:rPr>
            </w:pPr>
            <w:r w:rsidRPr="00693A57">
              <w:rPr>
                <w:strike/>
                <w:color w:val="FF0000"/>
              </w:rPr>
              <w:t>(a)</w:t>
            </w:r>
            <w:r w:rsidRPr="00693A57">
              <w:rPr>
                <w:strike/>
                <w:color w:val="FF0000"/>
              </w:rPr>
              <w:tab/>
              <w:t>the accredited person was, at the time of the accreditation, an ADI;</w:t>
            </w:r>
          </w:p>
          <w:p w14:paraId="59839FED" w14:textId="77777777" w:rsidR="00CF0E3D" w:rsidRPr="00693A57" w:rsidRDefault="00CF0E3D" w:rsidP="00B00AE1">
            <w:pPr>
              <w:pStyle w:val="Tablea"/>
              <w:rPr>
                <w:strike/>
                <w:color w:val="FF0000"/>
              </w:rPr>
            </w:pPr>
            <w:r w:rsidRPr="00693A57">
              <w:rPr>
                <w:strike/>
                <w:color w:val="FF0000"/>
              </w:rPr>
              <w:t>(b)</w:t>
            </w:r>
            <w:r w:rsidRPr="00693A57">
              <w:rPr>
                <w:strike/>
                <w:color w:val="FF0000"/>
              </w:rPr>
              <w:tab/>
              <w:t xml:space="preserve">the accredited person is no longer an ADI for the reason that its authority to carry on banking business is no longer in </w:t>
            </w:r>
            <w:r w:rsidR="00B00AE1" w:rsidRPr="00693A57">
              <w:rPr>
                <w:strike/>
                <w:color w:val="FF0000"/>
              </w:rPr>
              <w:t>force;</w:t>
            </w:r>
          </w:p>
          <w:p w14:paraId="4D1D009F" w14:textId="1795FCE2" w:rsidR="00BB4D4F" w:rsidRPr="001C6090" w:rsidRDefault="00BB4D4F" w:rsidP="00B54E8C">
            <w:pPr>
              <w:pStyle w:val="nDrafterComment"/>
              <w:rPr>
                <w:strike/>
                <w:color w:val="0000FF"/>
              </w:rPr>
            </w:pPr>
          </w:p>
        </w:tc>
        <w:tc>
          <w:tcPr>
            <w:tcW w:w="3169" w:type="dxa"/>
            <w:tcBorders>
              <w:left w:val="nil"/>
            </w:tcBorders>
          </w:tcPr>
          <w:p w14:paraId="6CADB10C" w14:textId="77777777" w:rsidR="00CF0E3D" w:rsidRPr="00693A57" w:rsidRDefault="00CF0E3D" w:rsidP="007941AE">
            <w:pPr>
              <w:pStyle w:val="Tabletext"/>
              <w:rPr>
                <w:strike/>
                <w:color w:val="FF0000"/>
              </w:rPr>
            </w:pPr>
            <w:r w:rsidRPr="00693A57">
              <w:rPr>
                <w:strike/>
                <w:color w:val="FF0000"/>
              </w:rPr>
              <w:t>may, in writing:</w:t>
            </w:r>
          </w:p>
          <w:p w14:paraId="5E6DF8AB" w14:textId="77777777" w:rsidR="00CF0E3D" w:rsidRPr="00693A57" w:rsidRDefault="00CF0E3D" w:rsidP="007941AE">
            <w:pPr>
              <w:pStyle w:val="Tablea"/>
              <w:rPr>
                <w:strike/>
                <w:color w:val="FF0000"/>
              </w:rPr>
            </w:pPr>
            <w:r w:rsidRPr="00693A57">
              <w:rPr>
                <w:strike/>
                <w:color w:val="FF0000"/>
              </w:rPr>
              <w:t>(a)</w:t>
            </w:r>
            <w:r w:rsidRPr="00693A57">
              <w:rPr>
                <w:strike/>
                <w:color w:val="FF0000"/>
              </w:rPr>
              <w:tab/>
              <w:t>suspend; or</w:t>
            </w:r>
          </w:p>
          <w:p w14:paraId="3BE993C2" w14:textId="77777777" w:rsidR="00CF0E3D" w:rsidRPr="00693A57" w:rsidRDefault="00CF0E3D" w:rsidP="007941AE">
            <w:pPr>
              <w:pStyle w:val="Tablea"/>
              <w:rPr>
                <w:strike/>
                <w:color w:val="FF0000"/>
              </w:rPr>
            </w:pPr>
            <w:r w:rsidRPr="00693A57">
              <w:rPr>
                <w:strike/>
                <w:color w:val="FF0000"/>
              </w:rPr>
              <w:t>(b)</w:t>
            </w:r>
            <w:r w:rsidRPr="00693A57">
              <w:rPr>
                <w:strike/>
                <w:color w:val="FF0000"/>
              </w:rPr>
              <w:tab/>
              <w:t>revoke;</w:t>
            </w:r>
          </w:p>
          <w:p w14:paraId="0AD658F0" w14:textId="77777777" w:rsidR="00CF0E3D" w:rsidRPr="00693A57" w:rsidRDefault="00CF0E3D" w:rsidP="007941AE">
            <w:pPr>
              <w:pStyle w:val="Tabletext"/>
              <w:rPr>
                <w:strike/>
                <w:color w:val="FF0000"/>
              </w:rPr>
            </w:pPr>
            <w:r w:rsidRPr="00693A57">
              <w:rPr>
                <w:strike/>
                <w:color w:val="FF0000"/>
              </w:rPr>
              <w:t>the person’s accreditation, as appropriate.</w:t>
            </w:r>
          </w:p>
        </w:tc>
      </w:tr>
      <w:tr w:rsidR="00CF0E3D" w14:paraId="051A759D" w14:textId="77777777" w:rsidTr="007941AE">
        <w:trPr>
          <w:cantSplit/>
        </w:trPr>
        <w:tc>
          <w:tcPr>
            <w:tcW w:w="601" w:type="dxa"/>
            <w:tcBorders>
              <w:bottom w:val="single" w:sz="4" w:space="0" w:color="auto"/>
              <w:right w:val="nil"/>
            </w:tcBorders>
          </w:tcPr>
          <w:p w14:paraId="20AECA46" w14:textId="0DAB641A" w:rsidR="00CF0E3D" w:rsidRDefault="00CF0E3D" w:rsidP="007941AE">
            <w:pPr>
              <w:pStyle w:val="Tabletext"/>
            </w:pPr>
            <w:r>
              <w:t>6</w:t>
            </w:r>
          </w:p>
        </w:tc>
        <w:tc>
          <w:tcPr>
            <w:tcW w:w="4435" w:type="dxa"/>
            <w:tcBorders>
              <w:left w:val="nil"/>
              <w:bottom w:val="single" w:sz="4" w:space="0" w:color="auto"/>
              <w:right w:val="nil"/>
            </w:tcBorders>
          </w:tcPr>
          <w:p w14:paraId="6C92A363" w14:textId="77777777" w:rsidR="00CF0E3D" w:rsidRPr="00E53912" w:rsidRDefault="00CF0E3D" w:rsidP="007941AE">
            <w:pPr>
              <w:pStyle w:val="Tabletext"/>
            </w:pPr>
            <w:r w:rsidRPr="00E53912">
              <w:t xml:space="preserve">the Data Recipient Accreditor </w:t>
            </w:r>
            <w:r w:rsidRPr="00E53912">
              <w:rPr>
                <w:color w:val="000000" w:themeColor="text1"/>
              </w:rPr>
              <w:t xml:space="preserve">reasonably believes </w:t>
            </w:r>
            <w:r w:rsidRPr="00E53912">
              <w:t>that the accredited person has or may have contravened:</w:t>
            </w:r>
          </w:p>
          <w:p w14:paraId="50930380" w14:textId="77777777" w:rsidR="00CF0E3D" w:rsidRPr="00E53912" w:rsidRDefault="00CF0E3D" w:rsidP="007941AE">
            <w:pPr>
              <w:pStyle w:val="Tablea"/>
            </w:pPr>
            <w:r w:rsidRPr="00E53912">
              <w:t>(a)</w:t>
            </w:r>
            <w:r w:rsidRPr="00E53912">
              <w:tab/>
            </w:r>
            <w:r w:rsidRPr="00E53912">
              <w:rPr>
                <w:color w:val="000000" w:themeColor="text1"/>
              </w:rPr>
              <w:t xml:space="preserve">an offence provision of the Act or </w:t>
            </w:r>
            <w:r w:rsidRPr="00E53912">
              <w:t>a civil penalty provision of</w:t>
            </w:r>
            <w:r w:rsidRPr="00E53912">
              <w:rPr>
                <w:color w:val="000000" w:themeColor="text1"/>
              </w:rPr>
              <w:t xml:space="preserve"> the Act or</w:t>
            </w:r>
            <w:r w:rsidRPr="00E53912">
              <w:t xml:space="preserve"> these rules; or</w:t>
            </w:r>
          </w:p>
          <w:p w14:paraId="32FA2D20" w14:textId="77777777" w:rsidR="00CF0E3D" w:rsidRPr="00E53912" w:rsidRDefault="00CF0E3D" w:rsidP="007941AE">
            <w:pPr>
              <w:pStyle w:val="Tablea"/>
            </w:pPr>
            <w:r w:rsidRPr="00E53912">
              <w:t>(b)</w:t>
            </w:r>
            <w:r w:rsidRPr="00E53912">
              <w:tab/>
            </w:r>
            <w:r w:rsidRPr="00E53912">
              <w:rPr>
                <w:color w:val="000000" w:themeColor="text1"/>
              </w:rPr>
              <w:t>one or more data</w:t>
            </w:r>
            <w:r w:rsidRPr="00E53912">
              <w:t xml:space="preserve"> standards;</w:t>
            </w:r>
          </w:p>
          <w:p w14:paraId="42A2067B" w14:textId="77777777" w:rsidR="00CF0E3D" w:rsidRPr="00E53912" w:rsidRDefault="00CF0E3D" w:rsidP="007941AE">
            <w:pPr>
              <w:pStyle w:val="Tabletext"/>
            </w:pPr>
          </w:p>
        </w:tc>
        <w:tc>
          <w:tcPr>
            <w:tcW w:w="3169" w:type="dxa"/>
            <w:tcBorders>
              <w:left w:val="nil"/>
              <w:bottom w:val="single" w:sz="4" w:space="0" w:color="auto"/>
            </w:tcBorders>
          </w:tcPr>
          <w:p w14:paraId="5CDF7F10" w14:textId="77777777" w:rsidR="00CF0E3D" w:rsidRDefault="00CF0E3D" w:rsidP="007941AE">
            <w:pPr>
              <w:pStyle w:val="Tabletext"/>
            </w:pPr>
            <w:r>
              <w:t>may</w:t>
            </w:r>
            <w:r w:rsidRPr="000C3240">
              <w:rPr>
                <w:color w:val="000000" w:themeColor="text1"/>
              </w:rPr>
              <w:t>, in writing,</w:t>
            </w:r>
            <w:r>
              <w:t xml:space="preserve"> suspend the person’s accreditation.</w:t>
            </w:r>
          </w:p>
        </w:tc>
      </w:tr>
      <w:tr w:rsidR="00CF0E3D" w14:paraId="01CE365E" w14:textId="77777777" w:rsidTr="007941AE">
        <w:trPr>
          <w:cantSplit/>
        </w:trPr>
        <w:tc>
          <w:tcPr>
            <w:tcW w:w="601" w:type="dxa"/>
            <w:tcBorders>
              <w:top w:val="single" w:sz="4" w:space="0" w:color="auto"/>
              <w:bottom w:val="single" w:sz="4" w:space="0" w:color="auto"/>
              <w:right w:val="nil"/>
            </w:tcBorders>
          </w:tcPr>
          <w:p w14:paraId="631EB19E" w14:textId="77777777" w:rsidR="00CF0E3D" w:rsidRDefault="00CF0E3D" w:rsidP="007941AE">
            <w:pPr>
              <w:pStyle w:val="Tabletext"/>
            </w:pPr>
            <w:r>
              <w:t>7</w:t>
            </w:r>
          </w:p>
        </w:tc>
        <w:tc>
          <w:tcPr>
            <w:tcW w:w="4435" w:type="dxa"/>
            <w:tcBorders>
              <w:top w:val="single" w:sz="4" w:space="0" w:color="auto"/>
              <w:left w:val="nil"/>
              <w:bottom w:val="single" w:sz="4" w:space="0" w:color="auto"/>
              <w:right w:val="nil"/>
            </w:tcBorders>
          </w:tcPr>
          <w:p w14:paraId="2B90F356" w14:textId="77777777" w:rsidR="00CF0E3D" w:rsidRPr="00E53912" w:rsidRDefault="00CF0E3D" w:rsidP="007941AE">
            <w:pPr>
              <w:pStyle w:val="Tabletext"/>
            </w:pPr>
            <w:r w:rsidRPr="00E53912">
              <w:t>the accredited person has been found to have contravened:</w:t>
            </w:r>
          </w:p>
          <w:p w14:paraId="72D3E429" w14:textId="77777777" w:rsidR="00CF0E3D" w:rsidRPr="00E53912" w:rsidRDefault="00CF0E3D" w:rsidP="007941AE">
            <w:pPr>
              <w:pStyle w:val="Tablea"/>
            </w:pPr>
            <w:r w:rsidRPr="00E53912">
              <w:t>(a)</w:t>
            </w:r>
            <w:r w:rsidRPr="00E53912">
              <w:tab/>
            </w:r>
            <w:r w:rsidRPr="00E53912">
              <w:rPr>
                <w:color w:val="000000" w:themeColor="text1"/>
              </w:rPr>
              <w:t xml:space="preserve">an offence provision of the Act or </w:t>
            </w:r>
            <w:r w:rsidRPr="00E53912">
              <w:t xml:space="preserve">a civil penalty provision of </w:t>
            </w:r>
            <w:r w:rsidRPr="00E53912">
              <w:rPr>
                <w:color w:val="000000" w:themeColor="text1"/>
              </w:rPr>
              <w:t>the Act or</w:t>
            </w:r>
            <w:r w:rsidRPr="00E53912">
              <w:t xml:space="preserve"> these rules; or</w:t>
            </w:r>
          </w:p>
          <w:p w14:paraId="45E4E265" w14:textId="77777777" w:rsidR="00CF0E3D" w:rsidRPr="00E53912" w:rsidRDefault="00CF0E3D" w:rsidP="007941AE">
            <w:pPr>
              <w:pStyle w:val="Tablea"/>
            </w:pPr>
            <w:r w:rsidRPr="00E53912">
              <w:t>(b)</w:t>
            </w:r>
            <w:r w:rsidRPr="00E53912">
              <w:tab/>
            </w:r>
            <w:r w:rsidRPr="00E53912">
              <w:rPr>
                <w:color w:val="000000" w:themeColor="text1"/>
              </w:rPr>
              <w:t xml:space="preserve">one or more data </w:t>
            </w:r>
            <w:r w:rsidRPr="00E53912">
              <w:t>standards;</w:t>
            </w:r>
          </w:p>
          <w:p w14:paraId="78CE0CF0" w14:textId="77777777" w:rsidR="00CF0E3D" w:rsidRPr="00E53912" w:rsidRDefault="00CF0E3D" w:rsidP="007941AE">
            <w:pPr>
              <w:pStyle w:val="Tabletext"/>
            </w:pPr>
          </w:p>
        </w:tc>
        <w:tc>
          <w:tcPr>
            <w:tcW w:w="3169" w:type="dxa"/>
            <w:tcBorders>
              <w:top w:val="single" w:sz="4" w:space="0" w:color="auto"/>
              <w:left w:val="nil"/>
              <w:bottom w:val="single" w:sz="4" w:space="0" w:color="auto"/>
            </w:tcBorders>
          </w:tcPr>
          <w:p w14:paraId="13D341A3" w14:textId="77777777" w:rsidR="00CF0E3D" w:rsidRDefault="00CF0E3D" w:rsidP="007941AE">
            <w:pPr>
              <w:pStyle w:val="Tabletext"/>
            </w:pPr>
            <w:r>
              <w:t>may</w:t>
            </w:r>
            <w:r w:rsidRPr="000C3240">
              <w:rPr>
                <w:color w:val="000000" w:themeColor="text1"/>
              </w:rPr>
              <w:t>, in writing</w:t>
            </w:r>
            <w:r>
              <w:t>:</w:t>
            </w:r>
          </w:p>
          <w:p w14:paraId="2A89B3CD" w14:textId="77777777" w:rsidR="00CF0E3D" w:rsidRDefault="00CF0E3D" w:rsidP="007941AE">
            <w:pPr>
              <w:pStyle w:val="Tablea"/>
            </w:pPr>
            <w:r>
              <w:t>(a)</w:t>
            </w:r>
            <w:r>
              <w:tab/>
              <w:t>suspend; or</w:t>
            </w:r>
          </w:p>
          <w:p w14:paraId="7FC3920A" w14:textId="77777777" w:rsidR="00CF0E3D" w:rsidRDefault="00CF0E3D" w:rsidP="007941AE">
            <w:pPr>
              <w:pStyle w:val="Tablea"/>
            </w:pPr>
            <w:r>
              <w:t>(b)</w:t>
            </w:r>
            <w:r>
              <w:tab/>
              <w:t>revoke;</w:t>
            </w:r>
          </w:p>
          <w:p w14:paraId="0CC69048" w14:textId="77777777" w:rsidR="00CF0E3D" w:rsidRDefault="00CF0E3D" w:rsidP="007941AE">
            <w:pPr>
              <w:pStyle w:val="Tabletext"/>
            </w:pPr>
            <w:r>
              <w:t>the person’s accreditation, as appropriate.</w:t>
            </w:r>
          </w:p>
          <w:p w14:paraId="3899DD5E" w14:textId="77777777" w:rsidR="00CF0E3D" w:rsidRDefault="00CF0E3D" w:rsidP="007941AE">
            <w:pPr>
              <w:pStyle w:val="Tabletext"/>
            </w:pPr>
          </w:p>
        </w:tc>
      </w:tr>
      <w:tr w:rsidR="00CF0E3D" w14:paraId="3A1ADAFE" w14:textId="77777777" w:rsidTr="007941AE">
        <w:trPr>
          <w:cantSplit/>
        </w:trPr>
        <w:tc>
          <w:tcPr>
            <w:tcW w:w="601" w:type="dxa"/>
            <w:tcBorders>
              <w:top w:val="single" w:sz="4" w:space="0" w:color="auto"/>
              <w:bottom w:val="single" w:sz="4" w:space="0" w:color="auto"/>
              <w:right w:val="nil"/>
            </w:tcBorders>
          </w:tcPr>
          <w:p w14:paraId="5F08781B" w14:textId="77777777" w:rsidR="00CF0E3D" w:rsidRDefault="00CF0E3D" w:rsidP="007941AE">
            <w:pPr>
              <w:pStyle w:val="Tabletext"/>
            </w:pPr>
            <w:r>
              <w:lastRenderedPageBreak/>
              <w:t>8</w:t>
            </w:r>
          </w:p>
        </w:tc>
        <w:tc>
          <w:tcPr>
            <w:tcW w:w="4435" w:type="dxa"/>
            <w:tcBorders>
              <w:top w:val="single" w:sz="4" w:space="0" w:color="auto"/>
              <w:left w:val="nil"/>
              <w:bottom w:val="single" w:sz="4" w:space="0" w:color="auto"/>
              <w:right w:val="nil"/>
            </w:tcBorders>
          </w:tcPr>
          <w:p w14:paraId="62F49A58" w14:textId="07E8DCBA" w:rsidR="00CF0E3D" w:rsidRDefault="00CF0E3D" w:rsidP="007941AE">
            <w:pPr>
              <w:pStyle w:val="Tabletext"/>
            </w:pPr>
            <w:r>
              <w:t xml:space="preserve">the Data Recipient Accreditor is no longer satisfied that the accredited person </w:t>
            </w:r>
            <w:r w:rsidRPr="000C3240">
              <w:rPr>
                <w:color w:val="000000" w:themeColor="text1"/>
              </w:rPr>
              <w:t xml:space="preserve">is, having regard to </w:t>
            </w:r>
            <w:r>
              <w:t>the fit and proper person criteria</w:t>
            </w:r>
            <w:r w:rsidRPr="000C3240">
              <w:rPr>
                <w:color w:val="000000" w:themeColor="text1"/>
              </w:rPr>
              <w:t>, a fit and proper person</w:t>
            </w:r>
            <w:r>
              <w:rPr>
                <w:color w:val="000000" w:themeColor="text1"/>
              </w:rPr>
              <w:t xml:space="preserve"> </w:t>
            </w:r>
            <w:r w:rsidRPr="00724397">
              <w:t>to be accredited at the person’s level of accreditation</w:t>
            </w:r>
            <w:r>
              <w:t>;</w:t>
            </w:r>
          </w:p>
          <w:p w14:paraId="5CD22072" w14:textId="77777777" w:rsidR="00CF0E3D" w:rsidRDefault="00CF0E3D" w:rsidP="007941AE">
            <w:pPr>
              <w:pStyle w:val="Tabletext"/>
            </w:pPr>
          </w:p>
        </w:tc>
        <w:tc>
          <w:tcPr>
            <w:tcW w:w="3169" w:type="dxa"/>
            <w:tcBorders>
              <w:top w:val="single" w:sz="4" w:space="0" w:color="auto"/>
              <w:left w:val="nil"/>
              <w:bottom w:val="single" w:sz="4" w:space="0" w:color="auto"/>
            </w:tcBorders>
          </w:tcPr>
          <w:p w14:paraId="0433A6A2" w14:textId="77777777" w:rsidR="00CF0E3D" w:rsidRDefault="00CF0E3D" w:rsidP="007941AE">
            <w:pPr>
              <w:pStyle w:val="Tabletext"/>
            </w:pPr>
            <w:r>
              <w:t>may</w:t>
            </w:r>
            <w:r w:rsidRPr="000C3240">
              <w:rPr>
                <w:color w:val="000000" w:themeColor="text1"/>
              </w:rPr>
              <w:t>, in writing</w:t>
            </w:r>
            <w:r>
              <w:t>:</w:t>
            </w:r>
          </w:p>
          <w:p w14:paraId="4C8C59EF" w14:textId="77777777" w:rsidR="00CF0E3D" w:rsidRDefault="00CF0E3D" w:rsidP="007941AE">
            <w:pPr>
              <w:pStyle w:val="Tablea"/>
            </w:pPr>
            <w:r>
              <w:t>(a)</w:t>
            </w:r>
            <w:r>
              <w:tab/>
              <w:t>suspend; or</w:t>
            </w:r>
          </w:p>
          <w:p w14:paraId="3F6311CC" w14:textId="77777777" w:rsidR="00CF0E3D" w:rsidRDefault="00CF0E3D" w:rsidP="007941AE">
            <w:pPr>
              <w:pStyle w:val="Tablea"/>
            </w:pPr>
            <w:r>
              <w:t>(b)</w:t>
            </w:r>
            <w:r>
              <w:tab/>
              <w:t>revoke;</w:t>
            </w:r>
          </w:p>
          <w:p w14:paraId="56AE8F22" w14:textId="77777777" w:rsidR="00CF0E3D" w:rsidRDefault="00CF0E3D" w:rsidP="007941AE">
            <w:pPr>
              <w:pStyle w:val="Tabletext"/>
            </w:pPr>
            <w:r>
              <w:t>the person’s accreditation, as appropriate.</w:t>
            </w:r>
          </w:p>
          <w:p w14:paraId="01B5E4E5" w14:textId="77777777" w:rsidR="00CF0E3D" w:rsidRDefault="00CF0E3D" w:rsidP="007941AE">
            <w:pPr>
              <w:pStyle w:val="Tabletext"/>
            </w:pPr>
          </w:p>
        </w:tc>
      </w:tr>
      <w:tr w:rsidR="00CF0E3D" w14:paraId="4283A1D2" w14:textId="77777777" w:rsidTr="007941AE">
        <w:trPr>
          <w:cantSplit/>
        </w:trPr>
        <w:tc>
          <w:tcPr>
            <w:tcW w:w="601" w:type="dxa"/>
            <w:tcBorders>
              <w:top w:val="single" w:sz="4" w:space="0" w:color="auto"/>
              <w:bottom w:val="single" w:sz="4" w:space="0" w:color="auto"/>
              <w:right w:val="nil"/>
            </w:tcBorders>
          </w:tcPr>
          <w:p w14:paraId="335005CA" w14:textId="77777777" w:rsidR="00CF0E3D" w:rsidRPr="00E53912" w:rsidRDefault="00CF0E3D" w:rsidP="007941AE">
            <w:pPr>
              <w:pStyle w:val="Tabletext"/>
              <w:rPr>
                <w:color w:val="000000" w:themeColor="text1"/>
              </w:rPr>
            </w:pPr>
            <w:r w:rsidRPr="00E1300D">
              <w:rPr>
                <w:color w:val="000000" w:themeColor="text1"/>
              </w:rPr>
              <w:t>9</w:t>
            </w:r>
          </w:p>
        </w:tc>
        <w:tc>
          <w:tcPr>
            <w:tcW w:w="4435" w:type="dxa"/>
            <w:tcBorders>
              <w:top w:val="single" w:sz="4" w:space="0" w:color="auto"/>
              <w:left w:val="nil"/>
              <w:bottom w:val="single" w:sz="4" w:space="0" w:color="auto"/>
              <w:right w:val="nil"/>
            </w:tcBorders>
          </w:tcPr>
          <w:p w14:paraId="1FFAD3C0" w14:textId="77777777" w:rsidR="00CF0E3D" w:rsidRPr="00E1300D" w:rsidRDefault="00CF0E3D" w:rsidP="007941AE">
            <w:pPr>
              <w:pStyle w:val="Tabletext"/>
              <w:rPr>
                <w:color w:val="000000" w:themeColor="text1"/>
              </w:rPr>
            </w:pPr>
            <w:r w:rsidRPr="00E1300D">
              <w:rPr>
                <w:color w:val="000000" w:themeColor="text1"/>
              </w:rPr>
              <w:t>a relevant contract between the accredited person and a CDR consumer has been found to have a term that is unfair;</w:t>
            </w:r>
          </w:p>
          <w:p w14:paraId="749A3D85" w14:textId="77777777" w:rsidR="00CF0E3D" w:rsidRPr="00E53912" w:rsidRDefault="00CF0E3D" w:rsidP="007941AE">
            <w:pPr>
              <w:pStyle w:val="Tabletext"/>
              <w:rPr>
                <w:color w:val="000000" w:themeColor="text1"/>
              </w:rPr>
            </w:pPr>
          </w:p>
        </w:tc>
        <w:tc>
          <w:tcPr>
            <w:tcW w:w="3169" w:type="dxa"/>
            <w:tcBorders>
              <w:top w:val="single" w:sz="4" w:space="0" w:color="auto"/>
              <w:left w:val="nil"/>
              <w:bottom w:val="single" w:sz="4" w:space="0" w:color="auto"/>
            </w:tcBorders>
          </w:tcPr>
          <w:p w14:paraId="5C37102D" w14:textId="77777777" w:rsidR="00CF0E3D" w:rsidRPr="00E1300D" w:rsidRDefault="00CF0E3D" w:rsidP="007941AE">
            <w:pPr>
              <w:pStyle w:val="Tabletext"/>
              <w:rPr>
                <w:color w:val="000000" w:themeColor="text1"/>
              </w:rPr>
            </w:pPr>
            <w:r w:rsidRPr="00E1300D">
              <w:rPr>
                <w:color w:val="000000" w:themeColor="text1"/>
              </w:rPr>
              <w:t>may, in writing:</w:t>
            </w:r>
          </w:p>
          <w:p w14:paraId="477467BD" w14:textId="77777777" w:rsidR="00CF0E3D" w:rsidRPr="00E1300D" w:rsidRDefault="00CF0E3D" w:rsidP="007941AE">
            <w:pPr>
              <w:pStyle w:val="Tablea"/>
              <w:rPr>
                <w:color w:val="000000" w:themeColor="text1"/>
              </w:rPr>
            </w:pPr>
            <w:r w:rsidRPr="00E1300D">
              <w:rPr>
                <w:color w:val="000000" w:themeColor="text1"/>
              </w:rPr>
              <w:t>(a)</w:t>
            </w:r>
            <w:r w:rsidRPr="00E1300D">
              <w:rPr>
                <w:color w:val="000000" w:themeColor="text1"/>
              </w:rPr>
              <w:tab/>
              <w:t>suspend; or</w:t>
            </w:r>
          </w:p>
          <w:p w14:paraId="57BC8BE2" w14:textId="77777777" w:rsidR="00CF0E3D" w:rsidRPr="00E1300D" w:rsidRDefault="00CF0E3D" w:rsidP="007941AE">
            <w:pPr>
              <w:pStyle w:val="Tablea"/>
              <w:rPr>
                <w:color w:val="000000" w:themeColor="text1"/>
              </w:rPr>
            </w:pPr>
            <w:r w:rsidRPr="00E1300D">
              <w:rPr>
                <w:color w:val="000000" w:themeColor="text1"/>
              </w:rPr>
              <w:t>(b)</w:t>
            </w:r>
            <w:r w:rsidRPr="00E1300D">
              <w:rPr>
                <w:color w:val="000000" w:themeColor="text1"/>
              </w:rPr>
              <w:tab/>
              <w:t>revoke;</w:t>
            </w:r>
          </w:p>
          <w:p w14:paraId="774F4F37" w14:textId="77777777" w:rsidR="00CF0E3D" w:rsidRPr="00E1300D" w:rsidRDefault="00CF0E3D" w:rsidP="007941AE">
            <w:pPr>
              <w:pStyle w:val="Tabletext"/>
              <w:rPr>
                <w:color w:val="000000" w:themeColor="text1"/>
              </w:rPr>
            </w:pPr>
            <w:r w:rsidRPr="00E1300D">
              <w:rPr>
                <w:color w:val="000000" w:themeColor="text1"/>
              </w:rPr>
              <w:t>the person’s accreditation, as appropriate.</w:t>
            </w:r>
          </w:p>
          <w:p w14:paraId="389EE352" w14:textId="77777777" w:rsidR="00CF0E3D" w:rsidRPr="00E1300D" w:rsidRDefault="00CF0E3D" w:rsidP="007941AE">
            <w:pPr>
              <w:pStyle w:val="Tabletext"/>
              <w:rPr>
                <w:color w:val="000000" w:themeColor="text1"/>
              </w:rPr>
            </w:pPr>
          </w:p>
        </w:tc>
      </w:tr>
      <w:tr w:rsidR="00D1380B" w14:paraId="105438E2" w14:textId="77777777" w:rsidTr="007941AE">
        <w:trPr>
          <w:cantSplit/>
        </w:trPr>
        <w:tc>
          <w:tcPr>
            <w:tcW w:w="601" w:type="dxa"/>
            <w:tcBorders>
              <w:top w:val="single" w:sz="4" w:space="0" w:color="auto"/>
              <w:bottom w:val="single" w:sz="4" w:space="0" w:color="auto"/>
              <w:right w:val="nil"/>
            </w:tcBorders>
          </w:tcPr>
          <w:p w14:paraId="293D15A3" w14:textId="1E955075" w:rsidR="00D1380B" w:rsidRPr="00E1300D" w:rsidRDefault="00D1380B" w:rsidP="00D1380B">
            <w:pPr>
              <w:pStyle w:val="Tabletext"/>
              <w:rPr>
                <w:color w:val="000000" w:themeColor="text1"/>
              </w:rPr>
            </w:pPr>
            <w:r w:rsidRPr="00E1300D">
              <w:rPr>
                <w:color w:val="000000" w:themeColor="text1"/>
              </w:rPr>
              <w:t>10</w:t>
            </w:r>
          </w:p>
        </w:tc>
        <w:tc>
          <w:tcPr>
            <w:tcW w:w="4435" w:type="dxa"/>
            <w:tcBorders>
              <w:top w:val="single" w:sz="4" w:space="0" w:color="auto"/>
              <w:left w:val="nil"/>
              <w:bottom w:val="single" w:sz="4" w:space="0" w:color="auto"/>
              <w:right w:val="nil"/>
            </w:tcBorders>
          </w:tcPr>
          <w:p w14:paraId="613C4A7B" w14:textId="77777777" w:rsidR="00D1380B" w:rsidRPr="00E1300D" w:rsidRDefault="00D1380B" w:rsidP="00D1380B">
            <w:pPr>
              <w:pStyle w:val="Tabletext"/>
              <w:rPr>
                <w:color w:val="000000" w:themeColor="text1"/>
              </w:rPr>
            </w:pPr>
            <w:r w:rsidRPr="00E1300D">
              <w:rPr>
                <w:color w:val="000000" w:themeColor="text1"/>
              </w:rPr>
              <w:t>the Data Recipient Accreditor reasonably believes that a relevant contract between the accredited person and a CDR consumer has a term that is unfair;</w:t>
            </w:r>
          </w:p>
          <w:p w14:paraId="2773C7D6" w14:textId="77777777" w:rsidR="00D1380B" w:rsidRPr="00E1300D" w:rsidRDefault="00D1380B" w:rsidP="00D1380B">
            <w:pPr>
              <w:pStyle w:val="Tabletext"/>
              <w:rPr>
                <w:color w:val="000000" w:themeColor="text1"/>
              </w:rPr>
            </w:pPr>
          </w:p>
        </w:tc>
        <w:tc>
          <w:tcPr>
            <w:tcW w:w="3169" w:type="dxa"/>
            <w:tcBorders>
              <w:top w:val="single" w:sz="4" w:space="0" w:color="auto"/>
              <w:left w:val="nil"/>
              <w:bottom w:val="single" w:sz="4" w:space="0" w:color="auto"/>
            </w:tcBorders>
          </w:tcPr>
          <w:p w14:paraId="1FC62A5F" w14:textId="61023071" w:rsidR="00D1380B" w:rsidRPr="00E1300D" w:rsidRDefault="00D1380B" w:rsidP="00D1380B">
            <w:pPr>
              <w:pStyle w:val="Tabletext"/>
              <w:rPr>
                <w:color w:val="000000" w:themeColor="text1"/>
              </w:rPr>
            </w:pPr>
            <w:r w:rsidRPr="00E1300D">
              <w:rPr>
                <w:color w:val="000000" w:themeColor="text1"/>
              </w:rPr>
              <w:t>may, in writing, suspend the person’s accreditation.</w:t>
            </w:r>
          </w:p>
        </w:tc>
      </w:tr>
      <w:tr w:rsidR="00D1380B" w14:paraId="37876F13" w14:textId="77777777" w:rsidTr="007941AE">
        <w:trPr>
          <w:cantSplit/>
        </w:trPr>
        <w:tc>
          <w:tcPr>
            <w:tcW w:w="601" w:type="dxa"/>
            <w:tcBorders>
              <w:top w:val="single" w:sz="4" w:space="0" w:color="auto"/>
              <w:bottom w:val="single" w:sz="12" w:space="0" w:color="auto"/>
              <w:right w:val="nil"/>
            </w:tcBorders>
          </w:tcPr>
          <w:p w14:paraId="4EE3D7BF" w14:textId="5357A80B" w:rsidR="00D1380B" w:rsidRPr="00E53912" w:rsidRDefault="00D1380B" w:rsidP="00D1380B">
            <w:pPr>
              <w:pStyle w:val="Tabletext"/>
              <w:rPr>
                <w:color w:val="000000" w:themeColor="text1"/>
              </w:rPr>
            </w:pPr>
            <w:r w:rsidRPr="00693A57">
              <w:rPr>
                <w:color w:val="0000FF"/>
              </w:rPr>
              <w:t>11</w:t>
            </w:r>
          </w:p>
        </w:tc>
        <w:tc>
          <w:tcPr>
            <w:tcW w:w="4435" w:type="dxa"/>
            <w:tcBorders>
              <w:top w:val="single" w:sz="4" w:space="0" w:color="auto"/>
              <w:left w:val="nil"/>
              <w:bottom w:val="single" w:sz="12" w:space="0" w:color="auto"/>
              <w:right w:val="nil"/>
            </w:tcBorders>
          </w:tcPr>
          <w:p w14:paraId="47E8427E" w14:textId="0E6AB8B5" w:rsidR="00D1380B" w:rsidRPr="00693A57" w:rsidRDefault="00D1380B" w:rsidP="00D1380B">
            <w:pPr>
              <w:pStyle w:val="Tabletext"/>
              <w:rPr>
                <w:color w:val="0000FF"/>
              </w:rPr>
            </w:pPr>
            <w:r w:rsidRPr="00693A57">
              <w:rPr>
                <w:color w:val="0000FF"/>
              </w:rPr>
              <w:t xml:space="preserve">for a person with </w:t>
            </w:r>
            <w:r w:rsidR="00CF36F6" w:rsidRPr="00693A57">
              <w:rPr>
                <w:color w:val="0000FF"/>
              </w:rPr>
              <w:t xml:space="preserve">sponsored </w:t>
            </w:r>
            <w:r w:rsidR="00AD1C5D" w:rsidRPr="00693A57">
              <w:rPr>
                <w:color w:val="0000FF"/>
              </w:rPr>
              <w:t>accreditation</w:t>
            </w:r>
            <w:r w:rsidRPr="00693A57">
              <w:rPr>
                <w:color w:val="0000FF"/>
              </w:rPr>
              <w:t xml:space="preserve">—the accreditation of </w:t>
            </w:r>
            <w:r w:rsidR="00651859" w:rsidRPr="00693A57">
              <w:rPr>
                <w:color w:val="0000FF"/>
              </w:rPr>
              <w:t>one or more of the</w:t>
            </w:r>
            <w:r w:rsidRPr="00693A57">
              <w:rPr>
                <w:color w:val="0000FF"/>
              </w:rPr>
              <w:t xml:space="preserve"> person’s sponsor</w:t>
            </w:r>
            <w:r w:rsidR="00651859" w:rsidRPr="00693A57">
              <w:rPr>
                <w:color w:val="0000FF"/>
              </w:rPr>
              <w:t>s</w:t>
            </w:r>
            <w:r w:rsidRPr="00693A57">
              <w:rPr>
                <w:color w:val="0000FF"/>
              </w:rPr>
              <w:t xml:space="preserve"> is suspended or revoked;</w:t>
            </w:r>
          </w:p>
          <w:p w14:paraId="2EDE1C36" w14:textId="77777777" w:rsidR="00D1380B" w:rsidRPr="00E53912" w:rsidRDefault="00D1380B" w:rsidP="00D1380B">
            <w:pPr>
              <w:pStyle w:val="Tabletext"/>
              <w:rPr>
                <w:color w:val="000000" w:themeColor="text1"/>
              </w:rPr>
            </w:pPr>
          </w:p>
        </w:tc>
        <w:tc>
          <w:tcPr>
            <w:tcW w:w="3169" w:type="dxa"/>
            <w:tcBorders>
              <w:top w:val="single" w:sz="4" w:space="0" w:color="auto"/>
              <w:left w:val="nil"/>
              <w:bottom w:val="single" w:sz="12" w:space="0" w:color="auto"/>
            </w:tcBorders>
          </w:tcPr>
          <w:p w14:paraId="57DC35B2" w14:textId="77777777" w:rsidR="00D1380B" w:rsidRPr="00693A57" w:rsidRDefault="00D1380B" w:rsidP="00D1380B">
            <w:pPr>
              <w:pStyle w:val="Tabletext"/>
              <w:rPr>
                <w:color w:val="0000FF"/>
              </w:rPr>
            </w:pPr>
            <w:r w:rsidRPr="00693A57">
              <w:rPr>
                <w:color w:val="0000FF"/>
              </w:rPr>
              <w:t>may, in writing:</w:t>
            </w:r>
          </w:p>
          <w:p w14:paraId="3604E0C1" w14:textId="77777777" w:rsidR="00D1380B" w:rsidRPr="00693A57" w:rsidRDefault="00D1380B" w:rsidP="00D1380B">
            <w:pPr>
              <w:pStyle w:val="Tablea"/>
              <w:rPr>
                <w:color w:val="0000FF"/>
              </w:rPr>
            </w:pPr>
            <w:r w:rsidRPr="00693A57">
              <w:rPr>
                <w:color w:val="0000FF"/>
              </w:rPr>
              <w:t>(a)</w:t>
            </w:r>
            <w:r w:rsidRPr="00693A57">
              <w:rPr>
                <w:color w:val="0000FF"/>
              </w:rPr>
              <w:tab/>
              <w:t>suspend; or</w:t>
            </w:r>
          </w:p>
          <w:p w14:paraId="742F25F3" w14:textId="77777777" w:rsidR="00D1380B" w:rsidRPr="00693A57" w:rsidRDefault="00D1380B" w:rsidP="00D1380B">
            <w:pPr>
              <w:pStyle w:val="Tablea"/>
              <w:rPr>
                <w:color w:val="0000FF"/>
              </w:rPr>
            </w:pPr>
            <w:r w:rsidRPr="00693A57">
              <w:rPr>
                <w:color w:val="0000FF"/>
              </w:rPr>
              <w:t>(b)</w:t>
            </w:r>
            <w:r w:rsidRPr="00693A57">
              <w:rPr>
                <w:color w:val="0000FF"/>
              </w:rPr>
              <w:tab/>
              <w:t>revoke;</w:t>
            </w:r>
          </w:p>
          <w:p w14:paraId="19ED1691" w14:textId="4FCFD350" w:rsidR="00D1380B" w:rsidRPr="00E1300D" w:rsidRDefault="00D1380B" w:rsidP="00D1380B">
            <w:pPr>
              <w:pStyle w:val="Tabletext"/>
              <w:rPr>
                <w:color w:val="000000" w:themeColor="text1"/>
              </w:rPr>
            </w:pPr>
            <w:r w:rsidRPr="00693A57">
              <w:rPr>
                <w:color w:val="0000FF"/>
              </w:rPr>
              <w:t>the person’s accreditation, as appropriate.</w:t>
            </w:r>
          </w:p>
        </w:tc>
      </w:tr>
    </w:tbl>
    <w:p w14:paraId="61BD00CB" w14:textId="77777777" w:rsidR="00CF0E3D" w:rsidRPr="00E1300D" w:rsidRDefault="00CF0E3D" w:rsidP="00CF0E3D">
      <w:pPr>
        <w:pStyle w:val="subsection"/>
        <w:rPr>
          <w:color w:val="000000" w:themeColor="text1"/>
        </w:rPr>
      </w:pPr>
      <w:r>
        <w:tab/>
      </w:r>
      <w:r>
        <w:rPr>
          <w:color w:val="000000" w:themeColor="text1"/>
        </w:rPr>
        <w:t>(2)</w:t>
      </w:r>
      <w:r w:rsidRPr="00E1300D">
        <w:rPr>
          <w:color w:val="000000" w:themeColor="text1"/>
        </w:rPr>
        <w:tab/>
        <w:t>For items 9 and 10:</w:t>
      </w:r>
    </w:p>
    <w:p w14:paraId="2AD4643B" w14:textId="77777777" w:rsidR="00CF0E3D" w:rsidRDefault="00CF0E3D" w:rsidP="00CF0E3D">
      <w:pPr>
        <w:pStyle w:val="paragraph"/>
      </w:pPr>
      <w:r w:rsidRPr="00724397">
        <w:tab/>
      </w:r>
      <w:r>
        <w:t>(a)</w:t>
      </w:r>
      <w:r w:rsidRPr="00724397">
        <w:tab/>
      </w:r>
      <w:r w:rsidRPr="00E1300D">
        <w:rPr>
          <w:b/>
          <w:i/>
          <w:color w:val="000000" w:themeColor="text1"/>
        </w:rPr>
        <w:t xml:space="preserve">relevant contract </w:t>
      </w:r>
      <w:r w:rsidRPr="00E1300D">
        <w:rPr>
          <w:color w:val="000000" w:themeColor="text1"/>
        </w:rPr>
        <w:t>means a</w:t>
      </w:r>
      <w:r w:rsidRPr="005C2347">
        <w:rPr>
          <w:color w:val="000000" w:themeColor="text1"/>
        </w:rPr>
        <w:t xml:space="preserve"> </w:t>
      </w:r>
      <w:r>
        <w:rPr>
          <w:color w:val="000000" w:themeColor="text1"/>
        </w:rPr>
        <w:t>standard form contract that is a consumer contract or a small business contract within the meaning of section 23 of the Australian Consumer Law</w:t>
      </w:r>
      <w:r w:rsidRPr="00E1300D">
        <w:rPr>
          <w:color w:val="000000" w:themeColor="text1"/>
        </w:rPr>
        <w:t xml:space="preserve"> that arises from a request by a CDR consumer under subrule </w:t>
      </w:r>
      <w:r>
        <w:t>4.3(1)</w:t>
      </w:r>
      <w:r w:rsidRPr="00E1300D">
        <w:rPr>
          <w:color w:val="000000" w:themeColor="text1"/>
        </w:rPr>
        <w:t>; and</w:t>
      </w:r>
    </w:p>
    <w:p w14:paraId="31160845" w14:textId="77777777" w:rsidR="00CF0E3D" w:rsidRPr="00724397" w:rsidRDefault="00CF0E3D" w:rsidP="00CF0E3D">
      <w:pPr>
        <w:pStyle w:val="paragraph"/>
      </w:pPr>
      <w:r w:rsidRPr="00724397">
        <w:tab/>
      </w:r>
      <w:r>
        <w:t>(b)</w:t>
      </w:r>
      <w:r w:rsidRPr="00724397">
        <w:tab/>
      </w:r>
      <w:r w:rsidRPr="00724397">
        <w:rPr>
          <w:b/>
          <w:i/>
        </w:rPr>
        <w:t xml:space="preserve">unfair </w:t>
      </w:r>
      <w:r w:rsidRPr="00724397">
        <w:t>has the meaning</w:t>
      </w:r>
      <w:r>
        <w:t xml:space="preserve"> </w:t>
      </w:r>
      <w:r w:rsidRPr="00724397">
        <w:t>given by section 24 of the Australian Consumer Law; and</w:t>
      </w:r>
    </w:p>
    <w:p w14:paraId="35481AEE"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r>
      <w:r w:rsidRPr="00E1300D">
        <w:rPr>
          <w:b/>
          <w:i/>
          <w:color w:val="000000" w:themeColor="text1"/>
        </w:rPr>
        <w:t xml:space="preserve">Australian Consumer Law </w:t>
      </w:r>
      <w:r w:rsidRPr="00E1300D">
        <w:rPr>
          <w:color w:val="000000" w:themeColor="text1"/>
        </w:rPr>
        <w:t>has the meaning given by section 130 of the Act.</w:t>
      </w:r>
    </w:p>
    <w:p w14:paraId="2A3DEA77" w14:textId="77777777" w:rsidR="00CF0E3D" w:rsidRPr="00641354" w:rsidRDefault="00CF0E3D" w:rsidP="00CF0E3D">
      <w:pPr>
        <w:pStyle w:val="ActHead5"/>
        <w:rPr>
          <w:color w:val="000000"/>
        </w:rPr>
      </w:pPr>
      <w:bookmarkStart w:id="407" w:name="_Toc11771647"/>
      <w:bookmarkStart w:id="408" w:name="_Toc77064974"/>
      <w:r>
        <w:rPr>
          <w:color w:val="000000"/>
        </w:rPr>
        <w:t>5.18</w:t>
      </w:r>
      <w:r w:rsidRPr="00641354">
        <w:rPr>
          <w:color w:val="000000"/>
        </w:rPr>
        <w:t xml:space="preserve">  Revocation of accreditation—process</w:t>
      </w:r>
      <w:bookmarkEnd w:id="407"/>
      <w:bookmarkEnd w:id="408"/>
    </w:p>
    <w:p w14:paraId="24588E14" w14:textId="77777777" w:rsidR="00CF0E3D" w:rsidRPr="00641354" w:rsidRDefault="00CF0E3D" w:rsidP="00CF0E3D">
      <w:pPr>
        <w:pStyle w:val="subsection"/>
        <w:rPr>
          <w:color w:val="000000"/>
        </w:rPr>
      </w:pPr>
      <w:r w:rsidRPr="00641354">
        <w:rPr>
          <w:color w:val="000000"/>
        </w:rPr>
        <w:tab/>
      </w:r>
      <w:r>
        <w:rPr>
          <w:color w:val="000000"/>
        </w:rPr>
        <w:t>(1)</w:t>
      </w:r>
      <w:r w:rsidRPr="00641354">
        <w:rPr>
          <w:color w:val="000000"/>
        </w:rPr>
        <w:tab/>
        <w:t xml:space="preserve">Before revoking an accredited person’s </w:t>
      </w:r>
      <w:r>
        <w:rPr>
          <w:color w:val="000000"/>
        </w:rPr>
        <w:t>accreditation</w:t>
      </w:r>
      <w:r w:rsidRPr="00641354">
        <w:rPr>
          <w:color w:val="000000"/>
        </w:rPr>
        <w:t xml:space="preserve"> under </w:t>
      </w:r>
      <w:r>
        <w:rPr>
          <w:color w:val="000000"/>
        </w:rPr>
        <w:t>rule</w:t>
      </w:r>
      <w:r w:rsidRPr="00641354">
        <w:rPr>
          <w:color w:val="000000"/>
        </w:rPr>
        <w:t> </w:t>
      </w:r>
      <w:r>
        <w:rPr>
          <w:color w:val="000000"/>
        </w:rPr>
        <w:t>5.17</w:t>
      </w:r>
      <w:r w:rsidRPr="00641354">
        <w:rPr>
          <w:color w:val="000000"/>
        </w:rPr>
        <w:t>, the Data Recipient Accreditor must:</w:t>
      </w:r>
    </w:p>
    <w:p w14:paraId="744F6D9A" w14:textId="64D67F97" w:rsidR="00CF0E3D" w:rsidRDefault="00CF0E3D" w:rsidP="00CF0E3D">
      <w:pPr>
        <w:pStyle w:val="paragraph"/>
        <w:rPr>
          <w:color w:val="000000"/>
        </w:rPr>
      </w:pPr>
      <w:r w:rsidRPr="00641354">
        <w:rPr>
          <w:color w:val="000000"/>
        </w:rPr>
        <w:tab/>
      </w:r>
      <w:r>
        <w:rPr>
          <w:color w:val="000000"/>
        </w:rPr>
        <w:t>(a)</w:t>
      </w:r>
      <w:r w:rsidRPr="00641354">
        <w:rPr>
          <w:color w:val="000000"/>
        </w:rPr>
        <w:tab/>
        <w:t xml:space="preserve">inform the accredited person </w:t>
      </w:r>
      <w:r w:rsidR="00D1380B" w:rsidRPr="00693A57">
        <w:rPr>
          <w:color w:val="0000FF"/>
        </w:rPr>
        <w:t xml:space="preserve">and any associate </w:t>
      </w:r>
      <w:r w:rsidRPr="00641354">
        <w:rPr>
          <w:color w:val="000000"/>
        </w:rPr>
        <w:t>of</w:t>
      </w:r>
      <w:r>
        <w:rPr>
          <w:color w:val="000000"/>
        </w:rPr>
        <w:t>:</w:t>
      </w:r>
    </w:p>
    <w:p w14:paraId="262CB312" w14:textId="77777777" w:rsidR="00CF0E3D" w:rsidRDefault="00CF0E3D" w:rsidP="00CF0E3D">
      <w:pPr>
        <w:pStyle w:val="paragraphsub"/>
      </w:pPr>
      <w:r>
        <w:tab/>
        <w:t>(i)</w:t>
      </w:r>
      <w:r>
        <w:tab/>
      </w:r>
      <w:r w:rsidRPr="00641354">
        <w:t>the proposed revocation; and</w:t>
      </w:r>
    </w:p>
    <w:p w14:paraId="1BDE726A" w14:textId="77777777" w:rsidR="00CF0E3D" w:rsidRPr="007E69B9" w:rsidRDefault="00CF0E3D" w:rsidP="00CF0E3D">
      <w:pPr>
        <w:pStyle w:val="paragraphsub"/>
      </w:pPr>
      <w:r>
        <w:tab/>
        <w:t>(ii)</w:t>
      </w:r>
      <w:r w:rsidRPr="007E69B9">
        <w:tab/>
        <w:t>when it is proposed to take effect; and</w:t>
      </w:r>
    </w:p>
    <w:p w14:paraId="3FD7FAD0" w14:textId="08F6B1EE" w:rsidR="00CF0E3D" w:rsidRPr="00641354" w:rsidRDefault="00CF0E3D" w:rsidP="00CF0E3D">
      <w:pPr>
        <w:pStyle w:val="paragraph"/>
        <w:rPr>
          <w:color w:val="000000"/>
        </w:rPr>
      </w:pPr>
      <w:r w:rsidRPr="00641354">
        <w:rPr>
          <w:color w:val="000000"/>
        </w:rPr>
        <w:lastRenderedPageBreak/>
        <w:tab/>
      </w:r>
      <w:r>
        <w:rPr>
          <w:color w:val="000000"/>
        </w:rPr>
        <w:t>(b)</w:t>
      </w:r>
      <w:r w:rsidRPr="00641354">
        <w:rPr>
          <w:color w:val="000000"/>
        </w:rPr>
        <w:tab/>
        <w:t>give the accredited person</w:t>
      </w:r>
      <w:r w:rsidR="00D1380B">
        <w:rPr>
          <w:color w:val="000000"/>
        </w:rPr>
        <w:t xml:space="preserve"> </w:t>
      </w:r>
      <w:r w:rsidR="00D1380B" w:rsidRPr="00693A57">
        <w:rPr>
          <w:color w:val="0000FF"/>
        </w:rPr>
        <w:t>and any associate</w:t>
      </w:r>
      <w:r w:rsidRPr="00641354">
        <w:rPr>
          <w:color w:val="000000"/>
        </w:rPr>
        <w:t xml:space="preserve"> a reasonable opportunity to be heard in relation to the proposed revocation.</w:t>
      </w:r>
    </w:p>
    <w:p w14:paraId="5BBDE124" w14:textId="653A4AE5" w:rsidR="00CF0E3D" w:rsidRPr="00641354" w:rsidRDefault="00CF0E3D" w:rsidP="00CF0E3D">
      <w:pPr>
        <w:pStyle w:val="subsection"/>
        <w:rPr>
          <w:color w:val="000000"/>
        </w:rPr>
      </w:pPr>
      <w:r w:rsidRPr="00641354">
        <w:rPr>
          <w:color w:val="000000"/>
        </w:rPr>
        <w:tab/>
      </w:r>
      <w:r>
        <w:rPr>
          <w:color w:val="000000"/>
        </w:rPr>
        <w:t>(2)</w:t>
      </w:r>
      <w:r w:rsidRPr="00641354">
        <w:rPr>
          <w:color w:val="000000"/>
        </w:rPr>
        <w:tab/>
        <w:t xml:space="preserve">If the Accreditor revokes an accredited person’s accreditation under </w:t>
      </w:r>
      <w:r>
        <w:rPr>
          <w:color w:val="000000"/>
        </w:rPr>
        <w:t>rule</w:t>
      </w:r>
      <w:r w:rsidRPr="00641354">
        <w:rPr>
          <w:color w:val="000000"/>
        </w:rPr>
        <w:t> </w:t>
      </w:r>
      <w:r>
        <w:rPr>
          <w:color w:val="000000"/>
        </w:rPr>
        <w:t>5.17</w:t>
      </w:r>
      <w:r w:rsidRPr="00641354">
        <w:rPr>
          <w:color w:val="000000"/>
        </w:rPr>
        <w:t>, the Accreditor must notify the person</w:t>
      </w:r>
      <w:r w:rsidR="00D1380B">
        <w:rPr>
          <w:color w:val="000000"/>
        </w:rPr>
        <w:t xml:space="preserve"> </w:t>
      </w:r>
      <w:r w:rsidR="00D1380B" w:rsidRPr="00693A57">
        <w:rPr>
          <w:color w:val="0000FF"/>
        </w:rPr>
        <w:t>and any associate</w:t>
      </w:r>
      <w:r w:rsidRPr="00641354">
        <w:rPr>
          <w:color w:val="000000"/>
        </w:rPr>
        <w:t>, in writing, of the revocation.</w:t>
      </w:r>
    </w:p>
    <w:p w14:paraId="1E730B48" w14:textId="77777777" w:rsidR="00CF0E3D" w:rsidRPr="00641354" w:rsidRDefault="00CF0E3D" w:rsidP="00CF0E3D">
      <w:pPr>
        <w:pStyle w:val="notetext"/>
        <w:rPr>
          <w:color w:val="000000"/>
        </w:rPr>
      </w:pPr>
      <w:r w:rsidRPr="00641354">
        <w:rPr>
          <w:color w:val="000000"/>
        </w:rPr>
        <w:t>Note:</w:t>
      </w:r>
      <w:r w:rsidRPr="00641354">
        <w:rPr>
          <w:color w:val="000000"/>
        </w:rPr>
        <w:tab/>
        <w:t>The decision to revoke an accredited person’s accreditation can be reviewed by the Administrative Appeals Tribunal: see paragraph </w:t>
      </w:r>
      <w:r>
        <w:rPr>
          <w:color w:val="000000"/>
        </w:rPr>
        <w:t>9.2(b)</w:t>
      </w:r>
      <w:r w:rsidRPr="00641354">
        <w:rPr>
          <w:color w:val="000000"/>
        </w:rPr>
        <w:t>.</w:t>
      </w:r>
    </w:p>
    <w:p w14:paraId="1E4F6EA6" w14:textId="7B7E6E8D" w:rsidR="00D1380B" w:rsidRPr="00693A57" w:rsidRDefault="00D1380B" w:rsidP="00D1380B">
      <w:pPr>
        <w:pStyle w:val="subsection"/>
        <w:rPr>
          <w:color w:val="0000FF"/>
        </w:rPr>
      </w:pPr>
      <w:bookmarkStart w:id="409" w:name="_Toc11771648"/>
      <w:r w:rsidRPr="00693A57">
        <w:rPr>
          <w:color w:val="0000FF"/>
        </w:rPr>
        <w:tab/>
        <w:t>(3)</w:t>
      </w:r>
      <w:r w:rsidRPr="00693A57">
        <w:rPr>
          <w:color w:val="0000FF"/>
        </w:rPr>
        <w:tab/>
        <w:t xml:space="preserve">For this rule, each of the following is an </w:t>
      </w:r>
      <w:r w:rsidRPr="00693A57">
        <w:rPr>
          <w:b/>
          <w:i/>
          <w:color w:val="0000FF"/>
        </w:rPr>
        <w:t xml:space="preserve">associate </w:t>
      </w:r>
      <w:r w:rsidRPr="00693A57">
        <w:rPr>
          <w:color w:val="0000FF"/>
        </w:rPr>
        <w:t>of the accredited person:</w:t>
      </w:r>
    </w:p>
    <w:p w14:paraId="685490AC" w14:textId="3C640AFD" w:rsidR="00D1380B" w:rsidRPr="00693A57" w:rsidRDefault="00D1380B" w:rsidP="00D1380B">
      <w:pPr>
        <w:pStyle w:val="paragraph"/>
        <w:rPr>
          <w:color w:val="0000FF"/>
        </w:rPr>
      </w:pPr>
      <w:r w:rsidRPr="00693A57">
        <w:rPr>
          <w:color w:val="0000FF"/>
        </w:rPr>
        <w:tab/>
        <w:t>(a)</w:t>
      </w:r>
      <w:r w:rsidRPr="00693A57">
        <w:rPr>
          <w:color w:val="0000FF"/>
        </w:rPr>
        <w:tab/>
        <w:t>any sponsor;</w:t>
      </w:r>
    </w:p>
    <w:p w14:paraId="7F7370D8" w14:textId="08582F34" w:rsidR="00D1380B" w:rsidRPr="00693A57" w:rsidRDefault="00D1380B" w:rsidP="00D1380B">
      <w:pPr>
        <w:pStyle w:val="paragraph"/>
        <w:rPr>
          <w:color w:val="0000FF"/>
        </w:rPr>
      </w:pPr>
      <w:r w:rsidRPr="00693A57">
        <w:rPr>
          <w:color w:val="0000FF"/>
        </w:rPr>
        <w:tab/>
        <w:t>(b)</w:t>
      </w:r>
      <w:r w:rsidRPr="00693A57">
        <w:rPr>
          <w:color w:val="0000FF"/>
        </w:rPr>
        <w:tab/>
        <w:t>any affiliate.</w:t>
      </w:r>
    </w:p>
    <w:p w14:paraId="3E847D88" w14:textId="77777777" w:rsidR="00CF0E3D" w:rsidRPr="00641354" w:rsidRDefault="00CF0E3D" w:rsidP="00CF0E3D">
      <w:pPr>
        <w:pStyle w:val="ActHead5"/>
        <w:rPr>
          <w:color w:val="000000"/>
        </w:rPr>
      </w:pPr>
      <w:bookmarkStart w:id="410" w:name="_Toc77064975"/>
      <w:r>
        <w:t>5.19  Suspension of accreditation</w:t>
      </w:r>
      <w:r w:rsidRPr="00641354">
        <w:rPr>
          <w:color w:val="000000"/>
        </w:rPr>
        <w:t>—duration</w:t>
      </w:r>
      <w:bookmarkEnd w:id="409"/>
      <w:bookmarkEnd w:id="410"/>
    </w:p>
    <w:p w14:paraId="7BD0A2F8" w14:textId="77777777" w:rsidR="00CF0E3D" w:rsidRDefault="00CF0E3D" w:rsidP="00CF0E3D">
      <w:pPr>
        <w:pStyle w:val="subsection"/>
        <w:rPr>
          <w:color w:val="000000"/>
        </w:rPr>
      </w:pPr>
      <w:r w:rsidRPr="00641354">
        <w:rPr>
          <w:color w:val="000000"/>
        </w:rPr>
        <w:tab/>
      </w:r>
      <w:r>
        <w:rPr>
          <w:color w:val="000000"/>
        </w:rPr>
        <w:t>(1)</w:t>
      </w:r>
      <w:r>
        <w:rPr>
          <w:color w:val="000000"/>
        </w:rPr>
        <w:tab/>
        <w:t>Without limitation, t</w:t>
      </w:r>
      <w:r w:rsidRPr="00641354">
        <w:rPr>
          <w:color w:val="000000"/>
        </w:rPr>
        <w:t>he Data Recipient Accreditor</w:t>
      </w:r>
      <w:r>
        <w:rPr>
          <w:color w:val="000000"/>
        </w:rPr>
        <w:t xml:space="preserve">, </w:t>
      </w:r>
      <w:r w:rsidRPr="00641354">
        <w:rPr>
          <w:color w:val="000000"/>
        </w:rPr>
        <w:t xml:space="preserve">under </w:t>
      </w:r>
      <w:r>
        <w:rPr>
          <w:color w:val="000000"/>
        </w:rPr>
        <w:t>rule</w:t>
      </w:r>
      <w:r w:rsidRPr="00641354">
        <w:rPr>
          <w:color w:val="000000"/>
        </w:rPr>
        <w:t> </w:t>
      </w:r>
      <w:r>
        <w:rPr>
          <w:color w:val="000000"/>
        </w:rPr>
        <w:t>5.17:</w:t>
      </w:r>
    </w:p>
    <w:p w14:paraId="0E08F8C3" w14:textId="77777777" w:rsidR="00CF0E3D" w:rsidRPr="00641354" w:rsidRDefault="00CF0E3D" w:rsidP="00CF0E3D">
      <w:pPr>
        <w:pStyle w:val="paragraph"/>
      </w:pPr>
      <w:r>
        <w:tab/>
        <w:t>(a)</w:t>
      </w:r>
      <w:r>
        <w:tab/>
      </w:r>
      <w:r w:rsidRPr="00641354">
        <w:rPr>
          <w:color w:val="000000"/>
        </w:rPr>
        <w:t>may</w:t>
      </w:r>
      <w:r w:rsidRPr="00641354">
        <w:t xml:space="preserve"> suspend an accreditation:</w:t>
      </w:r>
    </w:p>
    <w:p w14:paraId="093BFD47" w14:textId="77777777" w:rsidR="00CF0E3D" w:rsidRPr="00641354" w:rsidRDefault="00CF0E3D" w:rsidP="00CF0E3D">
      <w:pPr>
        <w:pStyle w:val="paragraphsub"/>
      </w:pPr>
      <w:r>
        <w:tab/>
        <w:t>(i)</w:t>
      </w:r>
      <w:r>
        <w:tab/>
      </w:r>
      <w:r w:rsidRPr="00641354">
        <w:t>for a period of time that ends at a specified date; or</w:t>
      </w:r>
    </w:p>
    <w:p w14:paraId="5D703541" w14:textId="77777777" w:rsidR="00CF0E3D" w:rsidRDefault="00CF0E3D" w:rsidP="00CF0E3D">
      <w:pPr>
        <w:pStyle w:val="paragraphsub"/>
      </w:pPr>
      <w:r>
        <w:tab/>
        <w:t>(ii)</w:t>
      </w:r>
      <w:r>
        <w:tab/>
      </w:r>
      <w:r w:rsidRPr="00641354">
        <w:t>for a period of time that ends with the occurrence of a specified event</w:t>
      </w:r>
      <w:r>
        <w:t>; and</w:t>
      </w:r>
    </w:p>
    <w:p w14:paraId="34B7DBC0" w14:textId="77777777" w:rsidR="00CF0E3D" w:rsidRPr="00641354" w:rsidRDefault="00CF0E3D" w:rsidP="00CF0E3D">
      <w:pPr>
        <w:pStyle w:val="paragraph"/>
      </w:pPr>
      <w:r>
        <w:tab/>
        <w:t>(b)</w:t>
      </w:r>
      <w:r>
        <w:tab/>
      </w:r>
      <w:r w:rsidRPr="000374B5">
        <w:t>may, subject to the same conditions on which an accreditation was suspended, extend the suspension</w:t>
      </w:r>
      <w:r w:rsidRPr="000C3240">
        <w:rPr>
          <w:color w:val="000000" w:themeColor="text1"/>
        </w:rPr>
        <w:t>.</w:t>
      </w:r>
    </w:p>
    <w:p w14:paraId="0C762620" w14:textId="77777777" w:rsidR="00CF0E3D" w:rsidRDefault="00CF0E3D" w:rsidP="00CF0E3D">
      <w:pPr>
        <w:pStyle w:val="subsection"/>
      </w:pPr>
      <w:r>
        <w:tab/>
        <w:t>(2)</w:t>
      </w:r>
      <w:r>
        <w:tab/>
        <w:t xml:space="preserve">The Data Recipient Accreditor may, </w:t>
      </w:r>
      <w:r w:rsidRPr="000C3240">
        <w:rPr>
          <w:color w:val="000000" w:themeColor="text1"/>
        </w:rPr>
        <w:t xml:space="preserve">in writing, </w:t>
      </w:r>
      <w:r>
        <w:t>at any time, remove a suspension.</w:t>
      </w:r>
    </w:p>
    <w:p w14:paraId="2BA15725" w14:textId="77777777" w:rsidR="00CF0E3D" w:rsidRPr="00641354" w:rsidRDefault="00CF0E3D" w:rsidP="00CF0E3D">
      <w:pPr>
        <w:pStyle w:val="ActHead5"/>
        <w:rPr>
          <w:color w:val="000000"/>
        </w:rPr>
      </w:pPr>
      <w:bookmarkStart w:id="411" w:name="_Toc11771649"/>
      <w:bookmarkStart w:id="412" w:name="_Toc77064976"/>
      <w:r>
        <w:rPr>
          <w:color w:val="000000"/>
        </w:rPr>
        <w:t>5.20</w:t>
      </w:r>
      <w:r w:rsidRPr="00641354">
        <w:rPr>
          <w:color w:val="000000"/>
        </w:rPr>
        <w:t xml:space="preserve">  </w:t>
      </w:r>
      <w:r>
        <w:rPr>
          <w:color w:val="000000"/>
        </w:rPr>
        <w:t>General process for s</w:t>
      </w:r>
      <w:r w:rsidRPr="00641354">
        <w:rPr>
          <w:color w:val="000000"/>
        </w:rPr>
        <w:t>uspension of accreditation</w:t>
      </w:r>
      <w:r>
        <w:rPr>
          <w:color w:val="000000"/>
        </w:rPr>
        <w:t xml:space="preserve"> or extension of suspension</w:t>
      </w:r>
      <w:bookmarkEnd w:id="411"/>
      <w:bookmarkEnd w:id="412"/>
    </w:p>
    <w:p w14:paraId="6798DEC9" w14:textId="77777777" w:rsidR="00CF0E3D" w:rsidRDefault="00CF0E3D" w:rsidP="00CF0E3D">
      <w:pPr>
        <w:pStyle w:val="subsection"/>
      </w:pPr>
      <w:r>
        <w:tab/>
        <w:t>(1)</w:t>
      </w:r>
      <w:r>
        <w:tab/>
        <w:t>This rule applies subject to rule 5.21.</w:t>
      </w:r>
    </w:p>
    <w:p w14:paraId="6EA7B5A2" w14:textId="77777777" w:rsidR="00CF0E3D" w:rsidRDefault="00CF0E3D" w:rsidP="00CF0E3D">
      <w:pPr>
        <w:pStyle w:val="subsection"/>
      </w:pPr>
      <w:r w:rsidRPr="00641354">
        <w:rPr>
          <w:color w:val="000000"/>
        </w:rPr>
        <w:tab/>
      </w:r>
      <w:r>
        <w:rPr>
          <w:color w:val="000000"/>
        </w:rPr>
        <w:t>(2)</w:t>
      </w:r>
      <w:r w:rsidRPr="00641354">
        <w:rPr>
          <w:color w:val="000000"/>
        </w:rPr>
        <w:tab/>
      </w:r>
      <w:r>
        <w:rPr>
          <w:color w:val="000000" w:themeColor="text1"/>
        </w:rPr>
        <w:t>B</w:t>
      </w:r>
      <w:r w:rsidRPr="00641354">
        <w:rPr>
          <w:color w:val="000000"/>
        </w:rPr>
        <w:t xml:space="preserve">efore suspending an </w:t>
      </w:r>
      <w:r w:rsidRPr="000C3240">
        <w:rPr>
          <w:color w:val="000000" w:themeColor="text1"/>
        </w:rPr>
        <w:t xml:space="preserve">accreditation </w:t>
      </w:r>
      <w:r w:rsidRPr="00641354">
        <w:rPr>
          <w:color w:val="000000"/>
        </w:rPr>
        <w:t xml:space="preserve">under </w:t>
      </w:r>
      <w:r>
        <w:rPr>
          <w:color w:val="000000"/>
        </w:rPr>
        <w:t>rule</w:t>
      </w:r>
      <w:r w:rsidRPr="00641354">
        <w:rPr>
          <w:color w:val="000000"/>
        </w:rPr>
        <w:t> </w:t>
      </w:r>
      <w:r>
        <w:rPr>
          <w:color w:val="000000"/>
        </w:rPr>
        <w:t>5.17</w:t>
      </w:r>
      <w:r w:rsidRPr="00641354">
        <w:rPr>
          <w:color w:val="000000"/>
        </w:rPr>
        <w:t xml:space="preserve">, </w:t>
      </w:r>
      <w:r w:rsidRPr="000C3240">
        <w:rPr>
          <w:color w:val="000000" w:themeColor="text1"/>
        </w:rPr>
        <w:t xml:space="preserve">or extending a suspension, </w:t>
      </w:r>
      <w:r w:rsidRPr="00641354">
        <w:rPr>
          <w:color w:val="000000"/>
        </w:rPr>
        <w:t>the Data Recipient Accreditor must</w:t>
      </w:r>
      <w:r>
        <w:t>:</w:t>
      </w:r>
    </w:p>
    <w:p w14:paraId="32F00848" w14:textId="77777777" w:rsidR="00CF0E3D" w:rsidRDefault="00CF0E3D" w:rsidP="00CF0E3D">
      <w:pPr>
        <w:pStyle w:val="paragraph"/>
        <w:rPr>
          <w:color w:val="000000"/>
        </w:rPr>
      </w:pPr>
      <w:r w:rsidRPr="00641354">
        <w:rPr>
          <w:color w:val="000000"/>
        </w:rPr>
        <w:tab/>
      </w:r>
      <w:r>
        <w:rPr>
          <w:color w:val="000000"/>
        </w:rPr>
        <w:t>(a)</w:t>
      </w:r>
      <w:r w:rsidRPr="00641354">
        <w:rPr>
          <w:color w:val="000000"/>
        </w:rPr>
        <w:tab/>
        <w:t>inform the accredited person of</w:t>
      </w:r>
      <w:r>
        <w:rPr>
          <w:color w:val="000000"/>
        </w:rPr>
        <w:t>:</w:t>
      </w:r>
    </w:p>
    <w:p w14:paraId="3D7A7285" w14:textId="77777777" w:rsidR="00CF0E3D" w:rsidRDefault="00CF0E3D" w:rsidP="00CF0E3D">
      <w:pPr>
        <w:pStyle w:val="paragraphsub"/>
      </w:pPr>
      <w:r>
        <w:tab/>
        <w:t>(i)</w:t>
      </w:r>
      <w:r>
        <w:tab/>
      </w:r>
      <w:r w:rsidRPr="00641354">
        <w:t xml:space="preserve">the proposed suspension </w:t>
      </w:r>
      <w:r w:rsidRPr="000C3240">
        <w:rPr>
          <w:color w:val="000000" w:themeColor="text1"/>
        </w:rPr>
        <w:t xml:space="preserve">or extension </w:t>
      </w:r>
      <w:r w:rsidRPr="00641354">
        <w:t>(including the proposed duration); and</w:t>
      </w:r>
    </w:p>
    <w:p w14:paraId="1D883348" w14:textId="77777777" w:rsidR="00CF0E3D" w:rsidRPr="00641354" w:rsidRDefault="00CF0E3D" w:rsidP="00CF0E3D">
      <w:pPr>
        <w:pStyle w:val="paragraphsub"/>
      </w:pPr>
      <w:r>
        <w:tab/>
        <w:t>(ii)</w:t>
      </w:r>
      <w:r w:rsidRPr="007E69B9">
        <w:tab/>
        <w:t>in the case of a suspension—when it is proposed to take effect; and</w:t>
      </w:r>
    </w:p>
    <w:p w14:paraId="0D241844" w14:textId="77777777" w:rsidR="00CF0E3D" w:rsidRDefault="00CF0E3D" w:rsidP="00CF0E3D">
      <w:pPr>
        <w:pStyle w:val="paragraph"/>
        <w:rPr>
          <w:color w:val="000000"/>
        </w:rPr>
      </w:pPr>
      <w:r w:rsidRPr="00641354">
        <w:rPr>
          <w:color w:val="000000"/>
        </w:rPr>
        <w:tab/>
      </w:r>
      <w:r>
        <w:rPr>
          <w:color w:val="000000"/>
        </w:rPr>
        <w:t>(b)</w:t>
      </w:r>
      <w:r w:rsidRPr="00641354">
        <w:rPr>
          <w:color w:val="000000"/>
        </w:rPr>
        <w:tab/>
        <w:t>give the accredited person a reasonable opportunity to be heard in relation to the proposed suspension</w:t>
      </w:r>
      <w:r>
        <w:rPr>
          <w:color w:val="000000"/>
        </w:rPr>
        <w:t xml:space="preserve"> </w:t>
      </w:r>
      <w:r w:rsidRPr="000C3240">
        <w:rPr>
          <w:color w:val="000000" w:themeColor="text1"/>
        </w:rPr>
        <w:t>or extension</w:t>
      </w:r>
      <w:r w:rsidRPr="00641354">
        <w:rPr>
          <w:color w:val="000000"/>
        </w:rPr>
        <w:t>.</w:t>
      </w:r>
    </w:p>
    <w:p w14:paraId="3CC3AAA4" w14:textId="77777777" w:rsidR="00CF0E3D" w:rsidRDefault="00CF0E3D" w:rsidP="00CF0E3D">
      <w:pPr>
        <w:pStyle w:val="subsection"/>
        <w:rPr>
          <w:color w:val="000000"/>
        </w:rPr>
      </w:pPr>
      <w:r w:rsidRPr="00641354">
        <w:rPr>
          <w:color w:val="000000"/>
        </w:rPr>
        <w:tab/>
      </w:r>
      <w:r>
        <w:rPr>
          <w:color w:val="000000"/>
        </w:rPr>
        <w:t>(3)</w:t>
      </w:r>
      <w:r w:rsidRPr="00641354">
        <w:rPr>
          <w:color w:val="000000"/>
        </w:rPr>
        <w:tab/>
        <w:t xml:space="preserve">If the Accreditor suspends an accredited person’s accreditation under </w:t>
      </w:r>
      <w:r>
        <w:rPr>
          <w:color w:val="000000"/>
        </w:rPr>
        <w:t>rule</w:t>
      </w:r>
      <w:r w:rsidRPr="00641354">
        <w:rPr>
          <w:color w:val="000000"/>
        </w:rPr>
        <w:t> </w:t>
      </w:r>
      <w:r>
        <w:rPr>
          <w:color w:val="000000"/>
        </w:rPr>
        <w:t>5.17</w:t>
      </w:r>
      <w:r w:rsidRPr="00641354">
        <w:rPr>
          <w:color w:val="000000"/>
        </w:rPr>
        <w:t>, the Accreditor must notify the person, in writing, of the suspension and the period of the suspension.</w:t>
      </w:r>
    </w:p>
    <w:p w14:paraId="3976296C" w14:textId="77777777" w:rsidR="00CF0E3D" w:rsidRPr="00641354" w:rsidRDefault="00CF0E3D" w:rsidP="00CF0E3D">
      <w:pPr>
        <w:pStyle w:val="notetext"/>
        <w:rPr>
          <w:color w:val="000000"/>
        </w:rPr>
      </w:pPr>
      <w:r w:rsidRPr="00641354">
        <w:rPr>
          <w:color w:val="000000"/>
        </w:rPr>
        <w:t>Note:</w:t>
      </w:r>
      <w:r w:rsidRPr="00641354">
        <w:rPr>
          <w:color w:val="000000"/>
        </w:rPr>
        <w:tab/>
        <w:t xml:space="preserve">The decision to </w:t>
      </w:r>
      <w:r w:rsidRPr="000C3240">
        <w:rPr>
          <w:color w:val="000000" w:themeColor="text1"/>
        </w:rPr>
        <w:t xml:space="preserve">suspend </w:t>
      </w:r>
      <w:r w:rsidRPr="00641354">
        <w:rPr>
          <w:color w:val="000000"/>
        </w:rPr>
        <w:t>an accredited person’s accreditation can be reviewed by the Administrative Appeals Tribunal: see paragraph </w:t>
      </w:r>
      <w:r>
        <w:rPr>
          <w:color w:val="000000"/>
        </w:rPr>
        <w:t>9.2(b)</w:t>
      </w:r>
      <w:r w:rsidRPr="00641354">
        <w:rPr>
          <w:color w:val="000000"/>
        </w:rPr>
        <w:t>.</w:t>
      </w:r>
    </w:p>
    <w:p w14:paraId="051FF7E5"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(4)</w:t>
      </w:r>
      <w:r w:rsidRPr="000C3240">
        <w:rPr>
          <w:color w:val="000000" w:themeColor="text1"/>
        </w:rPr>
        <w:tab/>
        <w:t>If the Accreditor extends a suspension, the Accreditor must notify the person, in writing, of the extension and the period of the suspension as extended.</w:t>
      </w:r>
    </w:p>
    <w:p w14:paraId="3675AFA2" w14:textId="77777777" w:rsidR="00CF0E3D" w:rsidRDefault="00CF0E3D" w:rsidP="00CF0E3D">
      <w:pPr>
        <w:pStyle w:val="notetext"/>
        <w:rPr>
          <w:color w:val="000000" w:themeColor="text1"/>
        </w:rPr>
      </w:pPr>
      <w:r w:rsidRPr="000C3240">
        <w:rPr>
          <w:color w:val="000000" w:themeColor="text1"/>
        </w:rPr>
        <w:lastRenderedPageBreak/>
        <w:t>Note:</w:t>
      </w:r>
      <w:r w:rsidRPr="000C3240">
        <w:rPr>
          <w:color w:val="000000" w:themeColor="text1"/>
        </w:rPr>
        <w:tab/>
        <w:t>The decision to extend a suspension can be reviewed by the Administrative Appeals Tribunal: see paragraph </w:t>
      </w:r>
      <w:r>
        <w:rPr>
          <w:color w:val="000000" w:themeColor="text1"/>
        </w:rPr>
        <w:t>9.2(b)</w:t>
      </w:r>
      <w:r w:rsidRPr="000C3240">
        <w:rPr>
          <w:color w:val="000000" w:themeColor="text1"/>
        </w:rPr>
        <w:t>.</w:t>
      </w:r>
    </w:p>
    <w:p w14:paraId="5BDFB078" w14:textId="77777777" w:rsidR="00CF0E3D" w:rsidRDefault="00CF0E3D" w:rsidP="00CF0E3D">
      <w:pPr>
        <w:pStyle w:val="ActHead5"/>
      </w:pPr>
      <w:bookmarkStart w:id="413" w:name="_Toc11771650"/>
      <w:bookmarkStart w:id="414" w:name="_Toc77064977"/>
      <w:r>
        <w:t>5.21  P</w:t>
      </w:r>
      <w:r w:rsidRPr="00641354">
        <w:rPr>
          <w:color w:val="000000"/>
        </w:rPr>
        <w:t>rocess</w:t>
      </w:r>
      <w:r>
        <w:t xml:space="preserve"> for urgent suspensions or extensions</w:t>
      </w:r>
      <w:bookmarkEnd w:id="413"/>
      <w:bookmarkEnd w:id="414"/>
    </w:p>
    <w:p w14:paraId="2F81C489" w14:textId="77777777" w:rsidR="00CF0E3D" w:rsidRDefault="00CF0E3D" w:rsidP="00CF0E3D">
      <w:pPr>
        <w:pStyle w:val="subsection"/>
        <w:rPr>
          <w:color w:val="000000" w:themeColor="text1"/>
        </w:rPr>
      </w:pPr>
      <w:r w:rsidRPr="00595E3D">
        <w:rPr>
          <w:color w:val="000000" w:themeColor="text1"/>
        </w:rPr>
        <w:tab/>
      </w:r>
      <w:r>
        <w:rPr>
          <w:color w:val="000000" w:themeColor="text1"/>
        </w:rPr>
        <w:t>(1)</w:t>
      </w:r>
      <w:r w:rsidRPr="00595E3D">
        <w:rPr>
          <w:color w:val="000000" w:themeColor="text1"/>
        </w:rPr>
        <w:tab/>
      </w:r>
      <w:r>
        <w:rPr>
          <w:color w:val="000000" w:themeColor="text1"/>
        </w:rPr>
        <w:t>This rule applies if:</w:t>
      </w:r>
    </w:p>
    <w:p w14:paraId="205D868D" w14:textId="77777777" w:rsidR="00CF0E3D" w:rsidRDefault="00CF0E3D" w:rsidP="00CF0E3D">
      <w:pPr>
        <w:pStyle w:val="paragraph"/>
      </w:pPr>
      <w:r>
        <w:tab/>
        <w:t>(a)</w:t>
      </w:r>
      <w:r>
        <w:tab/>
        <w:t xml:space="preserve">the Data Recipient Accreditor proposes to </w:t>
      </w:r>
      <w:r w:rsidRPr="00595E3D">
        <w:t>suspen</w:t>
      </w:r>
      <w:r>
        <w:t>d an accreditation, or extend a suspension,</w:t>
      </w:r>
      <w:r w:rsidRPr="00595E3D">
        <w:t xml:space="preserve"> on urgent grounds</w:t>
      </w:r>
      <w:r>
        <w:t>; and</w:t>
      </w:r>
    </w:p>
    <w:p w14:paraId="3EFF8D57" w14:textId="77777777" w:rsidR="00CF0E3D" w:rsidRDefault="00CF0E3D" w:rsidP="00CF0E3D">
      <w:pPr>
        <w:pStyle w:val="paragraph"/>
      </w:pPr>
      <w:r>
        <w:tab/>
        <w:t>(b)</w:t>
      </w:r>
      <w:r>
        <w:tab/>
        <w:t>in the opinion of the Data Recipient Accreditor, because of the urgency, it is not possible to comply with rule 5.20 prior to the suspension or extension.</w:t>
      </w:r>
    </w:p>
    <w:p w14:paraId="6CDE0C55" w14:textId="77777777" w:rsidR="00CF0E3D" w:rsidRDefault="00CF0E3D" w:rsidP="00CF0E3D">
      <w:pPr>
        <w:pStyle w:val="subsection"/>
      </w:pPr>
      <w:r>
        <w:tab/>
        <w:t>(2)</w:t>
      </w:r>
      <w:r>
        <w:tab/>
        <w:t>The Accreditor may suspend the accreditation, or extend the suspension, without first complying with rule 5.20.</w:t>
      </w:r>
    </w:p>
    <w:p w14:paraId="1D8C0EE5" w14:textId="77777777" w:rsidR="00CF0E3D" w:rsidRPr="00595E3D" w:rsidRDefault="00CF0E3D" w:rsidP="00CF0E3D">
      <w:pPr>
        <w:pStyle w:val="subsection"/>
      </w:pPr>
      <w:r>
        <w:tab/>
        <w:t>(3)</w:t>
      </w:r>
      <w:r>
        <w:tab/>
        <w:t>However, as soon as practicable after suspending the accreditation or extending the suspension, the Accreditor must</w:t>
      </w:r>
      <w:r w:rsidRPr="00595E3D">
        <w:t>:</w:t>
      </w:r>
    </w:p>
    <w:p w14:paraId="21241DF7" w14:textId="77777777" w:rsidR="00CF0E3D" w:rsidRPr="00595E3D" w:rsidRDefault="00CF0E3D" w:rsidP="00CF0E3D">
      <w:pPr>
        <w:pStyle w:val="paragraph"/>
        <w:rPr>
          <w:color w:val="000000" w:themeColor="text1"/>
        </w:rPr>
      </w:pPr>
      <w:r w:rsidRPr="00595E3D">
        <w:rPr>
          <w:color w:val="000000" w:themeColor="text1"/>
        </w:rPr>
        <w:tab/>
      </w:r>
      <w:r>
        <w:rPr>
          <w:color w:val="000000" w:themeColor="text1"/>
        </w:rPr>
        <w:t>(a)</w:t>
      </w:r>
      <w:r w:rsidRPr="00595E3D">
        <w:rPr>
          <w:color w:val="000000" w:themeColor="text1"/>
        </w:rPr>
        <w:tab/>
      </w:r>
      <w:r>
        <w:rPr>
          <w:color w:val="000000" w:themeColor="text1"/>
        </w:rPr>
        <w:t>inform the accredited person of the suspension or extension</w:t>
      </w:r>
      <w:r w:rsidRPr="00595E3D">
        <w:rPr>
          <w:color w:val="000000" w:themeColor="text1"/>
        </w:rPr>
        <w:t xml:space="preserve">; </w:t>
      </w:r>
      <w:r>
        <w:rPr>
          <w:color w:val="000000" w:themeColor="text1"/>
        </w:rPr>
        <w:t>and</w:t>
      </w:r>
    </w:p>
    <w:p w14:paraId="019E5E1B" w14:textId="77777777" w:rsidR="00CF0E3D" w:rsidRPr="00B6392A" w:rsidRDefault="00CF0E3D" w:rsidP="00CF0E3D">
      <w:pPr>
        <w:pStyle w:val="paragraph"/>
      </w:pPr>
      <w:r w:rsidRPr="00595E3D">
        <w:rPr>
          <w:color w:val="000000" w:themeColor="text1"/>
        </w:rPr>
        <w:tab/>
      </w:r>
      <w:r>
        <w:rPr>
          <w:color w:val="000000" w:themeColor="text1"/>
        </w:rPr>
        <w:t>(b)</w:t>
      </w:r>
      <w:r w:rsidRPr="00595E3D">
        <w:rPr>
          <w:color w:val="000000" w:themeColor="text1"/>
        </w:rPr>
        <w:tab/>
      </w:r>
      <w:r>
        <w:rPr>
          <w:color w:val="000000" w:themeColor="text1"/>
        </w:rPr>
        <w:t>give the accredited person a reasonable opportunity to be heard in relation to whether the suspension should be removed</w:t>
      </w:r>
      <w:r w:rsidRPr="00595E3D">
        <w:rPr>
          <w:color w:val="000000" w:themeColor="text1"/>
        </w:rPr>
        <w:t>.</w:t>
      </w:r>
    </w:p>
    <w:p w14:paraId="338CEF53" w14:textId="77777777" w:rsidR="00CF0E3D" w:rsidRPr="007E69B9" w:rsidRDefault="00CF0E3D" w:rsidP="00CF0E3D">
      <w:pPr>
        <w:pStyle w:val="ActHead5"/>
      </w:pPr>
      <w:bookmarkStart w:id="415" w:name="_Toc11771651"/>
      <w:bookmarkStart w:id="416" w:name="_Toc77064978"/>
      <w:r>
        <w:t>5.22</w:t>
      </w:r>
      <w:r w:rsidRPr="007E69B9">
        <w:t xml:space="preserve">  When </w:t>
      </w:r>
      <w:r w:rsidRPr="00005026">
        <w:t xml:space="preserve">surrender, </w:t>
      </w:r>
      <w:r w:rsidRPr="007E69B9">
        <w:t>revocation or suspension takes effect</w:t>
      </w:r>
      <w:bookmarkEnd w:id="415"/>
      <w:bookmarkEnd w:id="416"/>
    </w:p>
    <w:p w14:paraId="40C621DD" w14:textId="77777777" w:rsidR="00CF0E3D" w:rsidRDefault="00CF0E3D" w:rsidP="00CF0E3D">
      <w:pPr>
        <w:pStyle w:val="subsection"/>
      </w:pPr>
      <w:r w:rsidRPr="00005026">
        <w:tab/>
      </w:r>
      <w:r w:rsidRPr="00005026">
        <w:tab/>
        <w:t>A surrender, revocation or suspension takes effect when the fact that the accreditation has been surrendered, revoked or suspended is included in the Register of Accredited Persons.</w:t>
      </w:r>
    </w:p>
    <w:p w14:paraId="0C0DF10B" w14:textId="77777777" w:rsidR="00CF0E3D" w:rsidRDefault="00CF0E3D" w:rsidP="00CF0E3D">
      <w:pPr>
        <w:pStyle w:val="ActHead5"/>
      </w:pPr>
      <w:bookmarkStart w:id="417" w:name="_Toc11771653"/>
      <w:bookmarkStart w:id="418" w:name="_Toc77064979"/>
      <w:r>
        <w:t>5.23</w:t>
      </w:r>
      <w:r w:rsidRPr="00A10C92">
        <w:t xml:space="preserve">  Consequences of surrender, suspension or revocation of accreditation</w:t>
      </w:r>
      <w:bookmarkEnd w:id="417"/>
      <w:bookmarkEnd w:id="418"/>
    </w:p>
    <w:p w14:paraId="0DE4F563" w14:textId="77777777" w:rsidR="00CF0E3D" w:rsidRPr="002C34FA" w:rsidRDefault="00CF0E3D" w:rsidP="00CF0E3D">
      <w:pPr>
        <w:pStyle w:val="SubsectionHead"/>
      </w:pPr>
      <w:r w:rsidRPr="002C34FA">
        <w:t>Application of rule</w:t>
      </w:r>
    </w:p>
    <w:p w14:paraId="23A687E5" w14:textId="77777777" w:rsidR="00CF0E3D" w:rsidRDefault="00CF0E3D" w:rsidP="00CF0E3D">
      <w:pPr>
        <w:pStyle w:val="subsection"/>
      </w:pPr>
      <w:r>
        <w:tab/>
        <w:t>(1)</w:t>
      </w:r>
      <w:r>
        <w:tab/>
        <w:t xml:space="preserve">This rule applies if an accredited person’s accreditation is </w:t>
      </w:r>
      <w:r w:rsidRPr="006F4A42">
        <w:t xml:space="preserve">surrendered, </w:t>
      </w:r>
      <w:r>
        <w:t>suspended or revoked.</w:t>
      </w:r>
    </w:p>
    <w:p w14:paraId="46B8271F" w14:textId="77777777" w:rsidR="00CF0E3D" w:rsidRPr="002C34FA" w:rsidRDefault="00CF0E3D" w:rsidP="00CF0E3D">
      <w:pPr>
        <w:pStyle w:val="SubsectionHead"/>
      </w:pPr>
      <w:r w:rsidRPr="002C34FA">
        <w:t>O</w:t>
      </w:r>
      <w:r w:rsidRPr="00005026">
        <w:t>ngoing o</w:t>
      </w:r>
      <w:r w:rsidRPr="002C34FA">
        <w:t xml:space="preserve">bligations </w:t>
      </w:r>
      <w:r w:rsidRPr="00005026">
        <w:t>following surrender, suspension or revocation of an accreditation</w:t>
      </w:r>
    </w:p>
    <w:p w14:paraId="21C19C51" w14:textId="77777777" w:rsidR="00CF0E3D" w:rsidRPr="00E1300D" w:rsidRDefault="00CF0E3D" w:rsidP="00CF0E3D">
      <w:pPr>
        <w:pStyle w:val="subsection"/>
        <w:rPr>
          <w:color w:val="000000" w:themeColor="text1"/>
        </w:rPr>
      </w:pPr>
      <w:r>
        <w:tab/>
        <w:t>(2)</w:t>
      </w:r>
      <w:r>
        <w:tab/>
      </w:r>
      <w:r w:rsidRPr="00E1300D">
        <w:rPr>
          <w:color w:val="000000" w:themeColor="text1"/>
        </w:rPr>
        <w:t>If the person’s accreditation has been surrendered or revoked, the person must comply with the following provisions as if the person still were an accredited data recipient:</w:t>
      </w:r>
    </w:p>
    <w:p w14:paraId="1B9690EA"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(a)</w:t>
      </w:r>
      <w:r w:rsidRPr="00E1300D">
        <w:rPr>
          <w:color w:val="000000" w:themeColor="text1"/>
        </w:rPr>
        <w:tab/>
        <w:t>section 56EI of the Act (privacy safeguard 6);</w:t>
      </w:r>
    </w:p>
    <w:p w14:paraId="7A423167"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(b)</w:t>
      </w:r>
      <w:r w:rsidRPr="00E1300D">
        <w:rPr>
          <w:color w:val="000000" w:themeColor="text1"/>
        </w:rPr>
        <w:tab/>
        <w:t>section 56EJ of the Act (privacy safeguard 7);</w:t>
      </w:r>
    </w:p>
    <w:p w14:paraId="586E38CC"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t>section 56EO of the Act (privacy safeguard 12).</w:t>
      </w:r>
    </w:p>
    <w:p w14:paraId="1785D808"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 xml:space="preserve">This subrule </w:t>
      </w:r>
      <w:r>
        <w:rPr>
          <w:color w:val="000000" w:themeColor="text1"/>
        </w:rPr>
        <w:t xml:space="preserve">is </w:t>
      </w:r>
      <w:r w:rsidRPr="00E1300D">
        <w:rPr>
          <w:color w:val="000000" w:themeColor="text1"/>
        </w:rPr>
        <w:t>a civil penalty provision (see rule </w:t>
      </w:r>
      <w:r>
        <w:rPr>
          <w:color w:val="000000" w:themeColor="text1"/>
        </w:rPr>
        <w:t>9.8</w:t>
      </w:r>
      <w:r w:rsidRPr="00E1300D">
        <w:rPr>
          <w:color w:val="000000" w:themeColor="text1"/>
        </w:rPr>
        <w:t>).</w:t>
      </w:r>
    </w:p>
    <w:p w14:paraId="04BD704B" w14:textId="77777777" w:rsidR="00CF0E3D" w:rsidRDefault="00CF0E3D" w:rsidP="00CF0E3D">
      <w:pPr>
        <w:pStyle w:val="subsection"/>
      </w:pPr>
      <w:r>
        <w:tab/>
        <w:t>(3)</w:t>
      </w:r>
      <w:r>
        <w:tab/>
        <w:t>The person:</w:t>
      </w:r>
    </w:p>
    <w:p w14:paraId="7289A85D" w14:textId="77777777" w:rsidR="00CF0E3D" w:rsidRDefault="00CF0E3D" w:rsidP="00CF0E3D">
      <w:pPr>
        <w:pStyle w:val="paragraph"/>
      </w:pPr>
      <w:r>
        <w:lastRenderedPageBreak/>
        <w:tab/>
        <w:t>(a)</w:t>
      </w:r>
      <w:r>
        <w:tab/>
        <w:t>must not</w:t>
      </w:r>
      <w:r w:rsidRPr="000C3240">
        <w:rPr>
          <w:color w:val="000000" w:themeColor="text1"/>
        </w:rPr>
        <w:t xml:space="preserve">, after the revocation </w:t>
      </w:r>
      <w:r>
        <w:rPr>
          <w:color w:val="000000" w:themeColor="text1"/>
        </w:rPr>
        <w:t xml:space="preserve">or surrender, </w:t>
      </w:r>
      <w:r w:rsidRPr="000C3240">
        <w:rPr>
          <w:color w:val="000000" w:themeColor="text1"/>
        </w:rPr>
        <w:t xml:space="preserve">or while the </w:t>
      </w:r>
      <w:r w:rsidRPr="006F4A42">
        <w:t>accreditation</w:t>
      </w:r>
      <w:r w:rsidRPr="000C3240">
        <w:rPr>
          <w:color w:val="000000" w:themeColor="text1"/>
        </w:rPr>
        <w:t xml:space="preserve"> is suspended,</w:t>
      </w:r>
      <w:r>
        <w:t xml:space="preserve"> </w:t>
      </w:r>
      <w:r w:rsidRPr="007E69B9">
        <w:t xml:space="preserve">seek to </w:t>
      </w:r>
      <w:r w:rsidRPr="000C3240">
        <w:rPr>
          <w:color w:val="000000" w:themeColor="text1"/>
        </w:rPr>
        <w:t xml:space="preserve">collect </w:t>
      </w:r>
      <w:r>
        <w:t>any, or any further, CDR data under these rules; and</w:t>
      </w:r>
    </w:p>
    <w:p w14:paraId="260CDDB1" w14:textId="77777777" w:rsidR="00CF0E3D" w:rsidRDefault="00CF0E3D" w:rsidP="00CF0E3D">
      <w:pPr>
        <w:pStyle w:val="paragraph"/>
      </w:pPr>
      <w:r>
        <w:tab/>
        <w:t>(b)</w:t>
      </w:r>
      <w:r>
        <w:tab/>
        <w:t xml:space="preserve">if the person has collected any CDR data under these rules—must notify </w:t>
      </w:r>
      <w:r w:rsidRPr="000C3240">
        <w:rPr>
          <w:color w:val="000000" w:themeColor="text1"/>
        </w:rPr>
        <w:t xml:space="preserve">each </w:t>
      </w:r>
      <w:r>
        <w:t>person who has consented to the accredited person collecting CDR data for which they are a CDR consumer:</w:t>
      </w:r>
    </w:p>
    <w:p w14:paraId="56A183F9" w14:textId="77777777" w:rsidR="00CF0E3D" w:rsidRDefault="00CF0E3D" w:rsidP="00CF0E3D">
      <w:pPr>
        <w:pStyle w:val="paragraphsub"/>
      </w:pPr>
      <w:r>
        <w:tab/>
        <w:t>(i)</w:t>
      </w:r>
      <w:r>
        <w:tab/>
        <w:t xml:space="preserve">that their accreditation has been </w:t>
      </w:r>
      <w:r w:rsidRPr="006F4A42">
        <w:t xml:space="preserve">surrendered, </w:t>
      </w:r>
      <w:r>
        <w:t>suspended or revoked, as the case may be; and</w:t>
      </w:r>
    </w:p>
    <w:p w14:paraId="0D50DBE6" w14:textId="77777777" w:rsidR="00CF0E3D" w:rsidRPr="003F3AC9" w:rsidRDefault="00CF0E3D" w:rsidP="00CF0E3D">
      <w:pPr>
        <w:pStyle w:val="paragraphsub"/>
      </w:pPr>
      <w:r>
        <w:tab/>
        <w:t>(ii)</w:t>
      </w:r>
      <w:r>
        <w:tab/>
        <w:t>in the case of a suspension—</w:t>
      </w:r>
      <w:r w:rsidRPr="003F3AC9">
        <w:t>of the following:</w:t>
      </w:r>
    </w:p>
    <w:p w14:paraId="7210C45E" w14:textId="77777777" w:rsidR="00CF0E3D" w:rsidRPr="003F3AC9" w:rsidRDefault="00CF0E3D" w:rsidP="00CF0E3D">
      <w:pPr>
        <w:pStyle w:val="paragraphsub-sub"/>
      </w:pPr>
      <w:r w:rsidRPr="003F3AC9">
        <w:tab/>
      </w:r>
      <w:r>
        <w:t>(A)</w:t>
      </w:r>
      <w:r w:rsidRPr="003F3AC9">
        <w:tab/>
        <w:t>that any consents to collect and to use CDR data may be withdrawn at any time; and</w:t>
      </w:r>
    </w:p>
    <w:p w14:paraId="084A44BC" w14:textId="77777777" w:rsidR="00CF0E3D" w:rsidRPr="003F3AC9" w:rsidRDefault="00CF0E3D" w:rsidP="00CF0E3D">
      <w:pPr>
        <w:pStyle w:val="paragraphsub-sub"/>
      </w:pPr>
      <w:r w:rsidRPr="003F3AC9">
        <w:tab/>
      </w:r>
      <w:r>
        <w:t>(B)</w:t>
      </w:r>
      <w:r w:rsidRPr="003F3AC9">
        <w:tab/>
        <w:t>the effect of any such withdrawal.</w:t>
      </w:r>
    </w:p>
    <w:p w14:paraId="243B9A12" w14:textId="77777777" w:rsidR="00CF0E3D" w:rsidRPr="003F3AC9" w:rsidRDefault="00CF0E3D" w:rsidP="00CF0E3D">
      <w:pPr>
        <w:pStyle w:val="notetext"/>
      </w:pPr>
      <w:r w:rsidRPr="003F3AC9">
        <w:t xml:space="preserve">Note 1: </w:t>
      </w:r>
      <w:r w:rsidRPr="003F3AC9">
        <w:tab/>
        <w:t>If an accredited person’s accreditation is suspended, they remain an accredited person, and continue to be subject to the obligations of an accredited person whose accreditation has not been suspended.</w:t>
      </w:r>
    </w:p>
    <w:p w14:paraId="1D9259BE" w14:textId="77777777" w:rsidR="00CF0E3D" w:rsidRPr="00E1300D" w:rsidRDefault="00CF0E3D" w:rsidP="00CF0E3D">
      <w:pPr>
        <w:pStyle w:val="notetext"/>
        <w:rPr>
          <w:color w:val="000000" w:themeColor="text1"/>
        </w:rPr>
      </w:pPr>
      <w:r w:rsidRPr="003F3AC9">
        <w:t>Note 2:</w:t>
      </w:r>
      <w:r w:rsidRPr="003F3AC9">
        <w:tab/>
        <w:t xml:space="preserve">This subrule </w:t>
      </w:r>
      <w:r>
        <w:t xml:space="preserve">is </w:t>
      </w:r>
      <w:r w:rsidRPr="003F3AC9">
        <w:t>a civil penalty provision (see rule </w:t>
      </w:r>
      <w:r>
        <w:t>9.8</w:t>
      </w:r>
      <w:r w:rsidRPr="00E1300D">
        <w:rPr>
          <w:color w:val="000000" w:themeColor="text1"/>
        </w:rPr>
        <w:t>).</w:t>
      </w:r>
    </w:p>
    <w:p w14:paraId="12898027" w14:textId="77777777" w:rsidR="00CF0E3D" w:rsidRDefault="00CF0E3D" w:rsidP="00CF0E3D">
      <w:pPr>
        <w:pStyle w:val="subsection"/>
      </w:pPr>
      <w:r>
        <w:tab/>
        <w:t>(4)</w:t>
      </w:r>
      <w:r>
        <w:tab/>
        <w:t>If:</w:t>
      </w:r>
    </w:p>
    <w:p w14:paraId="40061F80" w14:textId="77777777" w:rsidR="00CF0E3D" w:rsidRDefault="00CF0E3D" w:rsidP="00CF0E3D">
      <w:pPr>
        <w:pStyle w:val="paragraph"/>
      </w:pPr>
      <w:r>
        <w:tab/>
        <w:t>(a)</w:t>
      </w:r>
      <w:r>
        <w:tab/>
        <w:t xml:space="preserve">the person’s accreditation has been </w:t>
      </w:r>
      <w:r w:rsidRPr="006F4A42">
        <w:t xml:space="preserve">surrendered or </w:t>
      </w:r>
      <w:r>
        <w:t>revoked; and</w:t>
      </w:r>
    </w:p>
    <w:p w14:paraId="45F34858" w14:textId="77777777" w:rsidR="00CF0E3D" w:rsidRPr="00B24FE2" w:rsidRDefault="00CF0E3D" w:rsidP="00CF0E3D">
      <w:pPr>
        <w:pStyle w:val="paragraph"/>
      </w:pPr>
      <w:r>
        <w:tab/>
        <w:t>(b)</w:t>
      </w:r>
      <w:r>
        <w:tab/>
        <w:t xml:space="preserve">the person has </w:t>
      </w:r>
      <w:r w:rsidRPr="000C3240">
        <w:rPr>
          <w:color w:val="000000" w:themeColor="text1"/>
        </w:rPr>
        <w:t xml:space="preserve">collected </w:t>
      </w:r>
      <w:r>
        <w:t xml:space="preserve">CDR data under these rules; </w:t>
      </w:r>
      <w:r w:rsidRPr="00B24FE2">
        <w:t>and</w:t>
      </w:r>
    </w:p>
    <w:p w14:paraId="212B1F74" w14:textId="77777777" w:rsidR="00CF0E3D" w:rsidRPr="00005026" w:rsidRDefault="00CF0E3D" w:rsidP="00CF0E3D">
      <w:pPr>
        <w:pStyle w:val="paragraph"/>
      </w:pPr>
      <w:r>
        <w:tab/>
        <w:t>(c)</w:t>
      </w:r>
      <w:r w:rsidRPr="00B24FE2">
        <w:tab/>
        <w:t xml:space="preserve">the person is not required to </w:t>
      </w:r>
      <w:r w:rsidRPr="00B24FE2">
        <w:rPr>
          <w:szCs w:val="22"/>
          <w:shd w:val="clear" w:color="auto" w:fill="FFFFFF"/>
        </w:rPr>
        <w:t>retain that CDR data by or under an Australian law or a court/tribunal order;</w:t>
      </w:r>
      <w:r w:rsidRPr="00B24FE2">
        <w:t xml:space="preserve"> </w:t>
      </w:r>
      <w:r w:rsidRPr="00005026">
        <w:t>and</w:t>
      </w:r>
    </w:p>
    <w:p w14:paraId="0E62638F" w14:textId="77777777" w:rsidR="00CF0E3D" w:rsidRPr="00005026" w:rsidRDefault="00CF0E3D" w:rsidP="00CF0E3D">
      <w:pPr>
        <w:pStyle w:val="paragraph"/>
      </w:pPr>
      <w:r w:rsidRPr="00005026">
        <w:tab/>
      </w:r>
      <w:r>
        <w:t>(d)</w:t>
      </w:r>
      <w:r w:rsidRPr="00005026">
        <w:tab/>
        <w:t>the CDR data does not relate to any current or anticipated:</w:t>
      </w:r>
    </w:p>
    <w:p w14:paraId="6F922430" w14:textId="77777777" w:rsidR="00CF0E3D" w:rsidRPr="00005026" w:rsidRDefault="00CF0E3D" w:rsidP="00CF0E3D">
      <w:pPr>
        <w:pStyle w:val="paragraphsub"/>
      </w:pPr>
      <w:r w:rsidRPr="00005026">
        <w:tab/>
      </w:r>
      <w:r>
        <w:t>(i)</w:t>
      </w:r>
      <w:r w:rsidRPr="00005026">
        <w:tab/>
        <w:t>legal proceedings; or</w:t>
      </w:r>
    </w:p>
    <w:p w14:paraId="54832AF7" w14:textId="77777777" w:rsidR="00CF0E3D" w:rsidRPr="00005026" w:rsidRDefault="00CF0E3D" w:rsidP="00CF0E3D">
      <w:pPr>
        <w:pStyle w:val="paragraphsub"/>
      </w:pPr>
      <w:r w:rsidRPr="00005026">
        <w:tab/>
      </w:r>
      <w:r>
        <w:t>(ii)</w:t>
      </w:r>
      <w:r w:rsidRPr="00005026">
        <w:tab/>
        <w:t>dispute resolution proceedings;</w:t>
      </w:r>
    </w:p>
    <w:p w14:paraId="4714245D" w14:textId="77777777" w:rsidR="00CF0E3D" w:rsidRDefault="00CF0E3D" w:rsidP="00CF0E3D">
      <w:pPr>
        <w:pStyle w:val="paragraph"/>
      </w:pPr>
      <w:r w:rsidRPr="00005026">
        <w:tab/>
      </w:r>
      <w:r w:rsidRPr="00005026">
        <w:tab/>
        <w:t>to which the person is a party;</w:t>
      </w:r>
      <w:r>
        <w:t xml:space="preserve"> and</w:t>
      </w:r>
    </w:p>
    <w:p w14:paraId="6AC3ED6F" w14:textId="77777777" w:rsidR="00CF0E3D" w:rsidRDefault="00CF0E3D" w:rsidP="00CF0E3D">
      <w:pPr>
        <w:pStyle w:val="paragraph"/>
      </w:pPr>
      <w:r>
        <w:tab/>
        <w:t>(e)</w:t>
      </w:r>
      <w:r>
        <w:tab/>
        <w:t>where there is a CDR consumer for the CDR data, the CDR data does not relate to any current or anticipated:</w:t>
      </w:r>
    </w:p>
    <w:p w14:paraId="79789982" w14:textId="77777777" w:rsidR="00CF0E3D" w:rsidRDefault="00CF0E3D" w:rsidP="00CF0E3D">
      <w:pPr>
        <w:pStyle w:val="paragraphsub"/>
      </w:pPr>
      <w:r>
        <w:tab/>
        <w:t>(i)</w:t>
      </w:r>
      <w:r>
        <w:tab/>
        <w:t>legal proceedings; or</w:t>
      </w:r>
    </w:p>
    <w:p w14:paraId="22A5F66E" w14:textId="77777777" w:rsidR="00CF0E3D" w:rsidRDefault="00CF0E3D" w:rsidP="00CF0E3D">
      <w:pPr>
        <w:pStyle w:val="paragraphsub"/>
      </w:pPr>
      <w:r>
        <w:tab/>
        <w:t>(ii)</w:t>
      </w:r>
      <w:r>
        <w:tab/>
        <w:t>dispute resolution proceedings;</w:t>
      </w:r>
    </w:p>
    <w:p w14:paraId="53EBAA82" w14:textId="77777777" w:rsidR="00CF0E3D" w:rsidRPr="00005026" w:rsidRDefault="00CF0E3D" w:rsidP="00CF0E3D">
      <w:pPr>
        <w:pStyle w:val="paragraph"/>
      </w:pPr>
      <w:r>
        <w:tab/>
      </w:r>
      <w:r>
        <w:tab/>
      </w:r>
      <w:r w:rsidRPr="00357921">
        <w:t>to which the CDR consumer is a party;</w:t>
      </w:r>
    </w:p>
    <w:p w14:paraId="12F9212F" w14:textId="77777777" w:rsidR="00CF0E3D" w:rsidRDefault="00CF0E3D" w:rsidP="00CF0E3D">
      <w:pPr>
        <w:pStyle w:val="subsection"/>
        <w:spacing w:before="40"/>
      </w:pPr>
      <w:r w:rsidRPr="00005026">
        <w:tab/>
      </w:r>
      <w:r w:rsidRPr="00005026">
        <w:tab/>
        <w:t xml:space="preserve">the person must </w:t>
      </w:r>
      <w:r>
        <w:t>delete</w:t>
      </w:r>
      <w:r w:rsidRPr="00005026">
        <w:t xml:space="preserve"> or de</w:t>
      </w:r>
      <w:r w:rsidRPr="00005026">
        <w:noBreakHyphen/>
        <w:t xml:space="preserve">identify that data by taking the steps specified in </w:t>
      </w:r>
      <w:r w:rsidRPr="00086F26">
        <w:t>rule </w:t>
      </w:r>
      <w:r>
        <w:t>7.12 or 7.13</w:t>
      </w:r>
      <w:r w:rsidRPr="00086F26">
        <w:t>, as appropriate</w:t>
      </w:r>
      <w:r w:rsidRPr="00005026">
        <w:t>.</w:t>
      </w:r>
    </w:p>
    <w:p w14:paraId="7A7AC763" w14:textId="77777777" w:rsidR="00CF0E3D" w:rsidRPr="00DA031E" w:rsidRDefault="00CF0E3D" w:rsidP="00CF0E3D">
      <w:pPr>
        <w:pStyle w:val="notetext"/>
      </w:pPr>
      <w:r w:rsidRPr="00DA031E">
        <w:t>Note</w:t>
      </w:r>
      <w:r>
        <w:t xml:space="preserve"> 1</w:t>
      </w:r>
      <w:r w:rsidRPr="00DA031E">
        <w:t>:</w:t>
      </w:r>
      <w:r w:rsidRPr="00DA031E">
        <w:tab/>
        <w:t>In addition:</w:t>
      </w:r>
    </w:p>
    <w:p w14:paraId="53400D76" w14:textId="77777777" w:rsidR="00CF0E3D" w:rsidRDefault="00CF0E3D" w:rsidP="00CF0E3D">
      <w:pPr>
        <w:pStyle w:val="notepara"/>
      </w:pPr>
      <w:r w:rsidRPr="00DA031E">
        <w:sym w:font="Symbol" w:char="F0B7"/>
      </w:r>
      <w:r w:rsidRPr="00DA031E">
        <w:tab/>
        <w:t>if an accreditation is revoked</w:t>
      </w:r>
      <w:r>
        <w:t xml:space="preserve"> or surrendered:</w:t>
      </w:r>
    </w:p>
    <w:p w14:paraId="5B51424E" w14:textId="77777777" w:rsidR="00CF0E3D" w:rsidRDefault="00CF0E3D" w:rsidP="00CF0E3D">
      <w:pPr>
        <w:pStyle w:val="notepara"/>
        <w:ind w:left="2921"/>
      </w:pPr>
      <w:r>
        <w:t>–</w:t>
      </w:r>
      <w:r>
        <w:tab/>
      </w:r>
      <w:r w:rsidRPr="00DA031E">
        <w:t>any consents to collect</w:t>
      </w:r>
      <w:r>
        <w:t xml:space="preserve"> </w:t>
      </w:r>
      <w:r w:rsidRPr="00E1300D">
        <w:rPr>
          <w:color w:val="000000" w:themeColor="text1"/>
        </w:rPr>
        <w:t>and use</w:t>
      </w:r>
      <w:r w:rsidRPr="00DA031E">
        <w:t xml:space="preserve"> CDR data expire: see subrule </w:t>
      </w:r>
      <w:r>
        <w:t>4.14(2)</w:t>
      </w:r>
      <w:r w:rsidRPr="00DA031E">
        <w:t>; and</w:t>
      </w:r>
    </w:p>
    <w:p w14:paraId="57698D64" w14:textId="77777777" w:rsidR="00CF0E3D" w:rsidRDefault="00CF0E3D" w:rsidP="00CF0E3D">
      <w:pPr>
        <w:pStyle w:val="notepara"/>
        <w:ind w:left="2921"/>
      </w:pPr>
      <w:r>
        <w:t>–</w:t>
      </w:r>
      <w:r>
        <w:tab/>
        <w:t>any authorisations to disclose CDR data expire: see subrule 4.26(2); and</w:t>
      </w:r>
    </w:p>
    <w:p w14:paraId="0762141E" w14:textId="77777777" w:rsidR="00CF0E3D" w:rsidRDefault="00CF0E3D" w:rsidP="00CF0E3D">
      <w:pPr>
        <w:pStyle w:val="notepara"/>
      </w:pPr>
      <w:r w:rsidRPr="00712434">
        <w:sym w:font="Symbol" w:char="F0B7"/>
      </w:r>
      <w:r w:rsidRPr="00712434">
        <w:tab/>
        <w:t>if an accreditation is suspended, the accredited person is not able to collect data while the suspension is in effect.</w:t>
      </w:r>
    </w:p>
    <w:p w14:paraId="58AA6DC2" w14:textId="77777777" w:rsidR="00CF0E3D" w:rsidRDefault="00CF0E3D" w:rsidP="00CF0E3D">
      <w:pPr>
        <w:pStyle w:val="notetext"/>
        <w:rPr>
          <w:color w:val="000000" w:themeColor="text1"/>
        </w:rPr>
      </w:pPr>
      <w:r w:rsidRPr="003F3AC9">
        <w:t>Note 2:</w:t>
      </w:r>
      <w:r w:rsidRPr="003F3AC9">
        <w:tab/>
        <w:t xml:space="preserve">This subrule </w:t>
      </w:r>
      <w:r>
        <w:t xml:space="preserve">is </w:t>
      </w:r>
      <w:r w:rsidRPr="003F3AC9">
        <w:t>a civil penalty provision (see rule </w:t>
      </w:r>
      <w:r>
        <w:t>9.8</w:t>
      </w:r>
      <w:r w:rsidRPr="00E1300D">
        <w:rPr>
          <w:color w:val="000000" w:themeColor="text1"/>
        </w:rPr>
        <w:t>).</w:t>
      </w:r>
    </w:p>
    <w:p w14:paraId="1D41816C" w14:textId="77777777" w:rsidR="00CF0E3D" w:rsidRDefault="00CF0E3D" w:rsidP="00CF0E3D">
      <w:pPr>
        <w:pStyle w:val="subsection"/>
      </w:pPr>
      <w:r>
        <w:tab/>
        <w:t>(5)</w:t>
      </w:r>
      <w:r>
        <w:tab/>
        <w:t>For the purposes of paragraph (4)(e), if paragraphs (4)(a) to (d) apply in relation to the CDR data of the CDR consumer, the person may:</w:t>
      </w:r>
    </w:p>
    <w:p w14:paraId="750ECCD2" w14:textId="77777777" w:rsidR="00CF0E3D" w:rsidRDefault="00CF0E3D" w:rsidP="00CF0E3D">
      <w:pPr>
        <w:pStyle w:val="paragraph"/>
      </w:pPr>
      <w:r>
        <w:tab/>
        <w:t>(a)</w:t>
      </w:r>
      <w:r>
        <w:tab/>
        <w:t>request the CDR consumer to state whether or not such proceedings are current or anticipated; and</w:t>
      </w:r>
    </w:p>
    <w:p w14:paraId="53D48428" w14:textId="77777777" w:rsidR="00CF0E3D" w:rsidRPr="00E1300D" w:rsidRDefault="00CF0E3D" w:rsidP="00CF0E3D">
      <w:pPr>
        <w:pStyle w:val="paragraph"/>
        <w:rPr>
          <w:color w:val="000000" w:themeColor="text1"/>
        </w:rPr>
      </w:pPr>
      <w:r>
        <w:lastRenderedPageBreak/>
        <w:tab/>
        <w:t>(b)</w:t>
      </w:r>
      <w:r>
        <w:tab/>
        <w:t>rely on that statement.</w:t>
      </w:r>
    </w:p>
    <w:p w14:paraId="1ADED3B7" w14:textId="77777777" w:rsidR="00CF0E3D" w:rsidRDefault="00CF0E3D" w:rsidP="00CF0E3D">
      <w:pPr>
        <w:pStyle w:val="ActHead3"/>
        <w:pageBreakBefore/>
      </w:pPr>
      <w:bookmarkStart w:id="419" w:name="_Toc11771655"/>
      <w:bookmarkStart w:id="420" w:name="_Toc77064980"/>
      <w:r>
        <w:lastRenderedPageBreak/>
        <w:t>Division 5.3—Rules relating to Register of Accredited Persons</w:t>
      </w:r>
      <w:bookmarkEnd w:id="419"/>
      <w:bookmarkEnd w:id="420"/>
    </w:p>
    <w:p w14:paraId="716CDD82" w14:textId="77777777" w:rsidR="00CF0E3D" w:rsidRDefault="00CF0E3D" w:rsidP="00CF0E3D">
      <w:pPr>
        <w:pStyle w:val="ActHead5"/>
      </w:pPr>
      <w:bookmarkStart w:id="421" w:name="_Toc11771656"/>
      <w:bookmarkStart w:id="422" w:name="_Toc77064981"/>
      <w:r>
        <w:t>5.24  Maintaining the Register of Accredited Persons</w:t>
      </w:r>
      <w:bookmarkEnd w:id="421"/>
      <w:bookmarkEnd w:id="422"/>
    </w:p>
    <w:p w14:paraId="787AAFBF" w14:textId="77777777" w:rsidR="00CF0E3D" w:rsidRDefault="00CF0E3D" w:rsidP="00CF0E3D">
      <w:pPr>
        <w:pStyle w:val="subsection"/>
      </w:pPr>
      <w:r w:rsidRPr="001D69E9">
        <w:tab/>
      </w:r>
      <w:r w:rsidRPr="001D69E9">
        <w:tab/>
        <w:t xml:space="preserve">The </w:t>
      </w:r>
      <w:r>
        <w:t xml:space="preserve">Accreditation </w:t>
      </w:r>
      <w:r w:rsidRPr="001D69E9">
        <w:t>Registrar must enter the following details on the Register of Accredited Persons:</w:t>
      </w:r>
    </w:p>
    <w:p w14:paraId="15B52568" w14:textId="77777777" w:rsidR="00CF0E3D" w:rsidRPr="007E69B9" w:rsidRDefault="00CF0E3D" w:rsidP="00CF0E3D">
      <w:pPr>
        <w:pStyle w:val="paragraph"/>
      </w:pPr>
      <w:r w:rsidRPr="007E69B9">
        <w:tab/>
      </w:r>
      <w:r>
        <w:t>(a)</w:t>
      </w:r>
      <w:r w:rsidRPr="007E69B9">
        <w:tab/>
        <w:t>the following details about the accredited person:</w:t>
      </w:r>
    </w:p>
    <w:p w14:paraId="6168B35D" w14:textId="77777777" w:rsidR="00CF0E3D" w:rsidRDefault="00CF0E3D" w:rsidP="00CF0E3D">
      <w:pPr>
        <w:pStyle w:val="paragraphsub"/>
      </w:pPr>
      <w:r w:rsidRPr="007E69B9">
        <w:tab/>
      </w:r>
      <w:r>
        <w:t>(i)</w:t>
      </w:r>
      <w:r w:rsidRPr="007E69B9">
        <w:tab/>
        <w:t>the accredited person’s name;</w:t>
      </w:r>
    </w:p>
    <w:p w14:paraId="08B5D38D" w14:textId="77777777" w:rsidR="00CF0E3D" w:rsidRPr="00E1300D" w:rsidRDefault="00CF0E3D" w:rsidP="00CF0E3D">
      <w:pPr>
        <w:pStyle w:val="paragraphsub"/>
        <w:rPr>
          <w:color w:val="000000" w:themeColor="text1"/>
        </w:rPr>
      </w:pPr>
      <w:r>
        <w:tab/>
      </w:r>
      <w:r>
        <w:rPr>
          <w:color w:val="000000" w:themeColor="text1"/>
        </w:rPr>
        <w:t>(ii)</w:t>
      </w:r>
      <w:r w:rsidRPr="00E1300D">
        <w:rPr>
          <w:color w:val="000000" w:themeColor="text1"/>
        </w:rPr>
        <w:tab/>
        <w:t>the accredited person’s accreditation number;</w:t>
      </w:r>
    </w:p>
    <w:p w14:paraId="428176C1" w14:textId="77777777" w:rsidR="00CF0E3D" w:rsidRPr="007E69B9" w:rsidRDefault="00CF0E3D" w:rsidP="00CF0E3D">
      <w:pPr>
        <w:pStyle w:val="paragraphsub"/>
      </w:pPr>
      <w:r w:rsidRPr="007E69B9">
        <w:tab/>
      </w:r>
      <w:r>
        <w:t>(iii)</w:t>
      </w:r>
      <w:r w:rsidRPr="007E69B9">
        <w:tab/>
        <w:t>the accredited person’s address</w:t>
      </w:r>
      <w:r>
        <w:t>es</w:t>
      </w:r>
      <w:r w:rsidRPr="007E69B9">
        <w:t xml:space="preserve"> for service;</w:t>
      </w:r>
    </w:p>
    <w:p w14:paraId="7BB59C3B" w14:textId="77777777" w:rsidR="00CF0E3D" w:rsidRPr="007E69B9" w:rsidRDefault="00CF0E3D" w:rsidP="00CF0E3D">
      <w:pPr>
        <w:pStyle w:val="paragraphsub"/>
      </w:pPr>
      <w:r w:rsidRPr="007E69B9">
        <w:tab/>
      </w:r>
      <w:r>
        <w:t>(iv)</w:t>
      </w:r>
      <w:r w:rsidRPr="007E69B9">
        <w:tab/>
        <w:t>if the accredited person is a foreign entity—the name and address</w:t>
      </w:r>
      <w:r>
        <w:t>es</w:t>
      </w:r>
      <w:r w:rsidRPr="007E69B9">
        <w:t xml:space="preserve"> for service of the accredited person’s local agent;</w:t>
      </w:r>
    </w:p>
    <w:p w14:paraId="013786A3" w14:textId="6C769328" w:rsidR="00CF0E3D" w:rsidRDefault="00CF0E3D" w:rsidP="00CF0E3D">
      <w:pPr>
        <w:pStyle w:val="paragraph"/>
      </w:pPr>
      <w:r>
        <w:tab/>
        <w:t>(b)</w:t>
      </w:r>
      <w:r>
        <w:tab/>
        <w:t>the level of the person’s accreditation;</w:t>
      </w:r>
    </w:p>
    <w:p w14:paraId="067A400F" w14:textId="177961E1" w:rsidR="00D750E9" w:rsidRPr="00693A57" w:rsidRDefault="00390072" w:rsidP="00D750E9">
      <w:pPr>
        <w:pStyle w:val="paragraph"/>
        <w:rPr>
          <w:color w:val="0000FF"/>
        </w:rPr>
      </w:pPr>
      <w:r w:rsidRPr="00693A57">
        <w:rPr>
          <w:color w:val="0000FF"/>
        </w:rPr>
        <w:tab/>
        <w:t>(ba)</w:t>
      </w:r>
      <w:r w:rsidRPr="00693A57">
        <w:rPr>
          <w:color w:val="0000FF"/>
        </w:rPr>
        <w:tab/>
        <w:t>f</w:t>
      </w:r>
      <w:r w:rsidR="00D750E9" w:rsidRPr="00693A57">
        <w:rPr>
          <w:color w:val="0000FF"/>
        </w:rPr>
        <w:t>or</w:t>
      </w:r>
      <w:r w:rsidR="00F3080A" w:rsidRPr="00693A57">
        <w:rPr>
          <w:color w:val="0000FF"/>
        </w:rPr>
        <w:t xml:space="preserve"> a person with sponsored accreditation</w:t>
      </w:r>
      <w:r w:rsidR="00B96CC8" w:rsidRPr="00693A57">
        <w:rPr>
          <w:color w:val="0000FF"/>
        </w:rPr>
        <w:t>—any sponsor</w:t>
      </w:r>
      <w:r w:rsidR="00D750E9" w:rsidRPr="00693A57">
        <w:rPr>
          <w:color w:val="0000FF"/>
        </w:rPr>
        <w:t>;</w:t>
      </w:r>
    </w:p>
    <w:p w14:paraId="7D76717D" w14:textId="3473B956" w:rsidR="00390072" w:rsidRPr="00693A57" w:rsidRDefault="00390072" w:rsidP="00D750E9">
      <w:pPr>
        <w:pStyle w:val="paragraph"/>
        <w:rPr>
          <w:color w:val="0000FF"/>
        </w:rPr>
      </w:pPr>
      <w:r w:rsidRPr="00693A57">
        <w:rPr>
          <w:color w:val="0000FF"/>
        </w:rPr>
        <w:tab/>
        <w:t>(bb)</w:t>
      </w:r>
      <w:r w:rsidRPr="00693A57">
        <w:rPr>
          <w:color w:val="0000FF"/>
        </w:rPr>
        <w:tab/>
        <w:t>for a</w:t>
      </w:r>
      <w:r w:rsidR="00B96CC8" w:rsidRPr="00693A57">
        <w:rPr>
          <w:color w:val="0000FF"/>
        </w:rPr>
        <w:t xml:space="preserve"> sponsor</w:t>
      </w:r>
      <w:r w:rsidRPr="00693A57">
        <w:rPr>
          <w:color w:val="0000FF"/>
        </w:rPr>
        <w:t>—each affiliate;</w:t>
      </w:r>
    </w:p>
    <w:p w14:paraId="60ECD7B1" w14:textId="6FE6A4C8" w:rsidR="00657409" w:rsidRPr="00693A57" w:rsidRDefault="00657409" w:rsidP="00CF0E3D">
      <w:pPr>
        <w:pStyle w:val="paragraph"/>
        <w:rPr>
          <w:color w:val="0000FF"/>
        </w:rPr>
      </w:pPr>
      <w:r w:rsidRPr="00693A57">
        <w:rPr>
          <w:color w:val="0000FF"/>
        </w:rPr>
        <w:tab/>
        <w:t>(bc)</w:t>
      </w:r>
      <w:r w:rsidRPr="00693A57">
        <w:rPr>
          <w:color w:val="0000FF"/>
        </w:rPr>
        <w:tab/>
        <w:t>the name</w:t>
      </w:r>
      <w:r w:rsidR="00741024" w:rsidRPr="00693A57">
        <w:rPr>
          <w:color w:val="0000FF"/>
        </w:rPr>
        <w:t>,</w:t>
      </w:r>
      <w:r w:rsidR="00F54A8A" w:rsidRPr="00693A57">
        <w:rPr>
          <w:color w:val="0000FF"/>
        </w:rPr>
        <w:t xml:space="preserve"> ABN</w:t>
      </w:r>
      <w:r w:rsidR="00741024" w:rsidRPr="00693A57">
        <w:rPr>
          <w:color w:val="0000FF"/>
        </w:rPr>
        <w:t xml:space="preserve"> </w:t>
      </w:r>
      <w:r w:rsidRPr="00693A57">
        <w:rPr>
          <w:color w:val="0000FF"/>
        </w:rPr>
        <w:t xml:space="preserve">and business address of any </w:t>
      </w:r>
      <w:r w:rsidR="00182338" w:rsidRPr="00693A57">
        <w:rPr>
          <w:color w:val="0000FF"/>
        </w:rPr>
        <w:t>CDR representative</w:t>
      </w:r>
      <w:r w:rsidRPr="00693A57">
        <w:rPr>
          <w:color w:val="0000FF"/>
        </w:rPr>
        <w:t>;</w:t>
      </w:r>
      <w:r w:rsidR="00CF0E3D" w:rsidRPr="00693A57">
        <w:rPr>
          <w:color w:val="0000FF"/>
        </w:rPr>
        <w:tab/>
      </w:r>
    </w:p>
    <w:p w14:paraId="4A34D0CA" w14:textId="315802D5" w:rsidR="00CF0E3D" w:rsidRPr="001D69E9" w:rsidRDefault="00657409" w:rsidP="00CF0E3D">
      <w:pPr>
        <w:pStyle w:val="paragraph"/>
      </w:pPr>
      <w:r>
        <w:tab/>
      </w:r>
      <w:r w:rsidR="00CF0E3D">
        <w:t>(c)</w:t>
      </w:r>
      <w:r w:rsidR="00CF0E3D" w:rsidRPr="001D69E9">
        <w:tab/>
        <w:t xml:space="preserve">either: </w:t>
      </w:r>
    </w:p>
    <w:p w14:paraId="673AAA5A" w14:textId="77777777" w:rsidR="00CF0E3D" w:rsidRPr="001D69E9" w:rsidRDefault="00CF0E3D" w:rsidP="00CF0E3D">
      <w:pPr>
        <w:pStyle w:val="paragraphsub"/>
      </w:pPr>
      <w:r w:rsidRPr="001D69E9">
        <w:tab/>
      </w:r>
      <w:r>
        <w:t>(i)</w:t>
      </w:r>
      <w:r w:rsidRPr="001D69E9">
        <w:tab/>
        <w:t>any conditions on the accreditation; or</w:t>
      </w:r>
    </w:p>
    <w:p w14:paraId="50A62340" w14:textId="77777777" w:rsidR="00CF0E3D" w:rsidRPr="001D69E9" w:rsidRDefault="00CF0E3D" w:rsidP="00CF0E3D">
      <w:pPr>
        <w:pStyle w:val="paragraphsub"/>
      </w:pPr>
      <w:r w:rsidRPr="001D69E9">
        <w:tab/>
      </w:r>
      <w:r>
        <w:t>(ii)</w:t>
      </w:r>
      <w:r w:rsidRPr="001D69E9">
        <w:tab/>
      </w:r>
      <w:r w:rsidRPr="001151F8">
        <w:t>if the Data Recipient Accreditor so directs—</w:t>
      </w:r>
      <w:r w:rsidRPr="001D69E9">
        <w:t>a description of the effect of any such conditions;</w:t>
      </w:r>
    </w:p>
    <w:p w14:paraId="10A31EF3" w14:textId="77777777" w:rsidR="00CF0E3D" w:rsidRDefault="00CF0E3D" w:rsidP="00CF0E3D">
      <w:pPr>
        <w:pStyle w:val="paragraph"/>
      </w:pPr>
      <w:r>
        <w:tab/>
        <w:t>(d)</w:t>
      </w:r>
      <w:r>
        <w:tab/>
        <w:t>if the accreditation has been revoked—</w:t>
      </w:r>
      <w:r w:rsidRPr="000C3240">
        <w:rPr>
          <w:color w:val="000000" w:themeColor="text1"/>
        </w:rPr>
        <w:t>that fact</w:t>
      </w:r>
      <w:r>
        <w:rPr>
          <w:color w:val="000000" w:themeColor="text1"/>
        </w:rPr>
        <w:t xml:space="preserve"> </w:t>
      </w:r>
      <w:r w:rsidRPr="000C3240">
        <w:rPr>
          <w:color w:val="000000" w:themeColor="text1"/>
        </w:rPr>
        <w:t>and the date of the revocation</w:t>
      </w:r>
      <w:r>
        <w:rPr>
          <w:color w:val="000000" w:themeColor="text1"/>
        </w:rPr>
        <w:t>;</w:t>
      </w:r>
    </w:p>
    <w:p w14:paraId="5CE71BCE" w14:textId="77777777" w:rsidR="00CF0E3D" w:rsidRPr="000C3240" w:rsidRDefault="00CF0E3D" w:rsidP="00CF0E3D">
      <w:pPr>
        <w:pStyle w:val="paragraph"/>
        <w:rPr>
          <w:color w:val="000000" w:themeColor="text1"/>
        </w:rPr>
      </w:pPr>
      <w:r>
        <w:tab/>
        <w:t>(e)</w:t>
      </w:r>
      <w:r>
        <w:tab/>
        <w:t>if the accreditation has been suspended—</w:t>
      </w:r>
      <w:r>
        <w:rPr>
          <w:color w:val="000000" w:themeColor="text1"/>
        </w:rPr>
        <w:t>that fact and</w:t>
      </w:r>
      <w:r w:rsidRPr="000C3240">
        <w:rPr>
          <w:color w:val="000000" w:themeColor="text1"/>
        </w:rPr>
        <w:t xml:space="preserve"> the </w:t>
      </w:r>
      <w:r>
        <w:rPr>
          <w:color w:val="000000" w:themeColor="text1"/>
        </w:rPr>
        <w:t>period of the suspension;</w:t>
      </w:r>
    </w:p>
    <w:p w14:paraId="29228B46"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(f)</w:t>
      </w:r>
      <w:r w:rsidRPr="000C3240">
        <w:rPr>
          <w:color w:val="000000" w:themeColor="text1"/>
        </w:rPr>
        <w:tab/>
        <w:t>if a decision to suspend an accreditation has been revoked, or the suspension otherwise is no longer in effect:</w:t>
      </w:r>
    </w:p>
    <w:p w14:paraId="2D45C350" w14:textId="77777777" w:rsidR="00CF0E3D" w:rsidRPr="000C3240" w:rsidRDefault="00CF0E3D" w:rsidP="00CF0E3D">
      <w:pPr>
        <w:pStyle w:val="paragraphsub"/>
        <w:rPr>
          <w:color w:val="000000" w:themeColor="text1"/>
        </w:rPr>
      </w:pPr>
      <w:r w:rsidRPr="000C3240">
        <w:rPr>
          <w:color w:val="000000" w:themeColor="text1"/>
        </w:rPr>
        <w:tab/>
      </w:r>
      <w:r>
        <w:rPr>
          <w:color w:val="000000" w:themeColor="text1"/>
        </w:rPr>
        <w:t>(i)</w:t>
      </w:r>
      <w:r w:rsidRPr="000C3240">
        <w:rPr>
          <w:color w:val="000000" w:themeColor="text1"/>
        </w:rPr>
        <w:tab/>
        <w:t>that fact; and</w:t>
      </w:r>
    </w:p>
    <w:p w14:paraId="6862A775" w14:textId="77777777" w:rsidR="00CF0E3D" w:rsidRDefault="00CF0E3D" w:rsidP="00CF0E3D">
      <w:pPr>
        <w:pStyle w:val="paragraphsub"/>
        <w:rPr>
          <w:color w:val="000000" w:themeColor="text1"/>
        </w:rPr>
      </w:pPr>
      <w:r w:rsidRPr="000C3240">
        <w:rPr>
          <w:color w:val="000000" w:themeColor="text1"/>
        </w:rPr>
        <w:tab/>
      </w:r>
      <w:r>
        <w:rPr>
          <w:color w:val="000000" w:themeColor="text1"/>
        </w:rPr>
        <w:t>(ii)</w:t>
      </w:r>
      <w:r w:rsidRPr="000C3240">
        <w:rPr>
          <w:color w:val="000000" w:themeColor="text1"/>
        </w:rPr>
        <w:tab/>
        <w:t>the date from which the accreditation is once more in effect</w:t>
      </w:r>
      <w:r>
        <w:rPr>
          <w:color w:val="000000" w:themeColor="text1"/>
        </w:rPr>
        <w:t>;</w:t>
      </w:r>
    </w:p>
    <w:p w14:paraId="2BBF13B7" w14:textId="77777777" w:rsidR="00CF0E3D" w:rsidRPr="001D69E9" w:rsidRDefault="00CF0E3D" w:rsidP="00CF0E3D">
      <w:pPr>
        <w:pStyle w:val="paragraph"/>
      </w:pPr>
      <w:r w:rsidRPr="001D69E9">
        <w:tab/>
      </w:r>
      <w:r>
        <w:t>(g)</w:t>
      </w:r>
      <w:r w:rsidRPr="001D69E9">
        <w:tab/>
        <w:t xml:space="preserve">if the accreditation is surrendered—that fact and the date of the surrender; </w:t>
      </w:r>
    </w:p>
    <w:p w14:paraId="5C640FA5" w14:textId="77777777" w:rsidR="00CF0E3D" w:rsidRPr="001D69E9" w:rsidRDefault="00CF0E3D" w:rsidP="00CF0E3D">
      <w:pPr>
        <w:pStyle w:val="paragraph"/>
      </w:pPr>
      <w:r w:rsidRPr="001D69E9">
        <w:tab/>
      </w:r>
      <w:r>
        <w:t>(h)</w:t>
      </w:r>
      <w:r w:rsidRPr="001D69E9">
        <w:tab/>
        <w:t xml:space="preserve">each brand name under which the accredited person provides goods or services where, in order to provide the good or service, the accredited person needs to access a CDR consumer’s CDR data; </w:t>
      </w:r>
    </w:p>
    <w:p w14:paraId="05B927AE" w14:textId="77777777" w:rsidR="00CF0E3D" w:rsidRPr="001D08C5" w:rsidRDefault="00CF0E3D" w:rsidP="00CF0E3D">
      <w:pPr>
        <w:pStyle w:val="paragraph"/>
      </w:pPr>
      <w:r w:rsidRPr="001D08C5">
        <w:tab/>
      </w:r>
      <w:r>
        <w:t>(i)</w:t>
      </w:r>
      <w:r w:rsidRPr="001D08C5">
        <w:tab/>
        <w:t>a hyperlink to each of the following:</w:t>
      </w:r>
    </w:p>
    <w:p w14:paraId="2B33DF8E" w14:textId="77777777" w:rsidR="00CF0E3D" w:rsidRPr="001D08C5" w:rsidRDefault="00CF0E3D" w:rsidP="00CF0E3D">
      <w:pPr>
        <w:pStyle w:val="paragraphsub"/>
      </w:pPr>
      <w:r w:rsidRPr="001D08C5">
        <w:tab/>
      </w:r>
      <w:r>
        <w:t>(i)</w:t>
      </w:r>
      <w:r w:rsidRPr="001D08C5">
        <w:tab/>
        <w:t xml:space="preserve">the relevant web site address of the accredited person; </w:t>
      </w:r>
    </w:p>
    <w:p w14:paraId="00141DE9" w14:textId="77777777" w:rsidR="00CF0E3D" w:rsidRPr="001D08C5" w:rsidRDefault="00CF0E3D" w:rsidP="00CF0E3D">
      <w:pPr>
        <w:pStyle w:val="paragraphsub"/>
      </w:pPr>
      <w:r w:rsidRPr="001D08C5">
        <w:tab/>
      </w:r>
      <w:r>
        <w:t>(ii)</w:t>
      </w:r>
      <w:r w:rsidRPr="001D08C5">
        <w:tab/>
        <w:t xml:space="preserve">the accredited person’s CDR policy; </w:t>
      </w:r>
    </w:p>
    <w:p w14:paraId="1ECC2686" w14:textId="77777777" w:rsidR="00CF0E3D" w:rsidRPr="001D08C5" w:rsidRDefault="00CF0E3D" w:rsidP="00CF0E3D">
      <w:pPr>
        <w:pStyle w:val="paragraphsub"/>
      </w:pPr>
      <w:r w:rsidRPr="001D08C5">
        <w:tab/>
      </w:r>
      <w:r>
        <w:t>(iii)</w:t>
      </w:r>
      <w:r w:rsidRPr="001D08C5">
        <w:tab/>
        <w:t>if the accredited person has a CDR policy for a brand name under which the accredited person provides goods or services where, in order to provide the good or service, the accredited person needs to access a CDR consumer’s CDR data―that policy.</w:t>
      </w:r>
    </w:p>
    <w:p w14:paraId="18EEA2F9" w14:textId="77777777" w:rsidR="00CF0E3D" w:rsidRPr="000C3240" w:rsidRDefault="00CF0E3D" w:rsidP="00CF0E3D">
      <w:pPr>
        <w:pStyle w:val="notetext"/>
        <w:rPr>
          <w:color w:val="000000" w:themeColor="text1"/>
        </w:rPr>
      </w:pPr>
      <w:r w:rsidRPr="006F4A42">
        <w:t>Note 1:</w:t>
      </w:r>
      <w:r w:rsidRPr="006F4A42">
        <w:tab/>
        <w:t>For paragraphs </w:t>
      </w:r>
      <w:r>
        <w:t>(a)</w:t>
      </w:r>
      <w:r w:rsidRPr="006F4A42">
        <w:t>, see rule </w:t>
      </w:r>
      <w:r>
        <w:t>1.7</w:t>
      </w:r>
      <w:r w:rsidRPr="006F4A42">
        <w:t xml:space="preserve"> for the meaning of “addresses for service”.</w:t>
      </w:r>
    </w:p>
    <w:p w14:paraId="15EEE5BA" w14:textId="77777777" w:rsidR="00CF0E3D" w:rsidRPr="00693A57" w:rsidRDefault="00CF0E3D" w:rsidP="00CF0E3D">
      <w:pPr>
        <w:pStyle w:val="notetext"/>
        <w:rPr>
          <w:strike/>
          <w:color w:val="0000FF"/>
        </w:rPr>
      </w:pPr>
      <w:r w:rsidRPr="00693A57">
        <w:rPr>
          <w:strike/>
          <w:color w:val="0000FF"/>
        </w:rPr>
        <w:t>Note 2:</w:t>
      </w:r>
      <w:r w:rsidRPr="00693A57">
        <w:rPr>
          <w:strike/>
          <w:color w:val="0000FF"/>
        </w:rPr>
        <w:tab/>
        <w:t>For paragraph (b), the only level of accreditation is the “unrestricted” level.</w:t>
      </w:r>
    </w:p>
    <w:p w14:paraId="08EFDE0D" w14:textId="77777777" w:rsidR="00CF0E3D" w:rsidRPr="00956176" w:rsidRDefault="00CF0E3D" w:rsidP="00CF0E3D">
      <w:pPr>
        <w:pStyle w:val="notetext"/>
      </w:pPr>
      <w:r w:rsidRPr="00E53912">
        <w:rPr>
          <w:color w:val="000000" w:themeColor="text1"/>
        </w:rPr>
        <w:t>Note 3:</w:t>
      </w:r>
      <w:r w:rsidRPr="00E53912">
        <w:rPr>
          <w:color w:val="000000" w:themeColor="text1"/>
        </w:rPr>
        <w:tab/>
        <w:t xml:space="preserve">For paragraphs </w:t>
      </w:r>
      <w:r>
        <w:rPr>
          <w:color w:val="000000" w:themeColor="text1"/>
        </w:rPr>
        <w:t>(a)</w:t>
      </w:r>
      <w:r w:rsidRPr="00E53912">
        <w:rPr>
          <w:color w:val="000000" w:themeColor="text1"/>
        </w:rPr>
        <w:t xml:space="preserve"> to </w:t>
      </w:r>
      <w:r>
        <w:rPr>
          <w:color w:val="000000" w:themeColor="text1"/>
        </w:rPr>
        <w:t>(g),</w:t>
      </w:r>
      <w:r w:rsidRPr="00E53912">
        <w:rPr>
          <w:color w:val="000000" w:themeColor="text1"/>
        </w:rPr>
        <w:t xml:space="preserve"> see rule </w:t>
      </w:r>
      <w:r>
        <w:rPr>
          <w:color w:val="000000" w:themeColor="text1"/>
        </w:rPr>
        <w:t>5.15</w:t>
      </w:r>
      <w:r w:rsidRPr="00E53912">
        <w:rPr>
          <w:color w:val="000000" w:themeColor="text1"/>
        </w:rPr>
        <w:t>.</w:t>
      </w:r>
    </w:p>
    <w:p w14:paraId="75264527" w14:textId="77777777" w:rsidR="00CF0E3D" w:rsidRPr="0013792B" w:rsidRDefault="00CF0E3D" w:rsidP="00CF0E3D">
      <w:pPr>
        <w:pStyle w:val="ActHead5"/>
      </w:pPr>
      <w:bookmarkStart w:id="423" w:name="_Toc17199933"/>
      <w:bookmarkStart w:id="424" w:name="_Toc77064982"/>
      <w:r>
        <w:lastRenderedPageBreak/>
        <w:t>5.25</w:t>
      </w:r>
      <w:r w:rsidRPr="0013792B">
        <w:t xml:space="preserve">  Other information to be kept in association with Register of Accredited Persons</w:t>
      </w:r>
      <w:bookmarkEnd w:id="423"/>
      <w:bookmarkEnd w:id="424"/>
    </w:p>
    <w:p w14:paraId="5D85A5AE" w14:textId="77777777" w:rsidR="005032E9" w:rsidRPr="00693A57" w:rsidRDefault="005032E9" w:rsidP="005032E9">
      <w:pPr>
        <w:pStyle w:val="subsection"/>
        <w:rPr>
          <w:color w:val="FF0000"/>
        </w:rPr>
      </w:pPr>
      <w:r w:rsidRPr="00693A57">
        <w:rPr>
          <w:color w:val="FF0000"/>
        </w:rPr>
        <w:tab/>
        <w:t>(1)</w:t>
      </w:r>
      <w:r w:rsidRPr="00693A57">
        <w:rPr>
          <w:color w:val="FF0000"/>
        </w:rPr>
        <w:tab/>
        <w:t>The Accreditation Registrar must create and maintain, in association with the Register of Accredited Persons, a database that includes such information as the Accreditation Registrar considers is required in order for requests under these rules to be processed in accordance with these rules and the data standards, including:</w:t>
      </w:r>
    </w:p>
    <w:p w14:paraId="6B31EBAF" w14:textId="77777777" w:rsidR="005032E9" w:rsidRPr="00693A57" w:rsidRDefault="005032E9" w:rsidP="005032E9">
      <w:pPr>
        <w:pStyle w:val="paragraph"/>
        <w:rPr>
          <w:color w:val="FF0000"/>
        </w:rPr>
      </w:pPr>
      <w:r w:rsidRPr="00693A57">
        <w:rPr>
          <w:color w:val="FF0000"/>
        </w:rPr>
        <w:tab/>
        <w:t>(a)</w:t>
      </w:r>
      <w:r w:rsidRPr="00693A57">
        <w:rPr>
          <w:color w:val="FF0000"/>
        </w:rPr>
        <w:tab/>
        <w:t>a list of data holders; and</w:t>
      </w:r>
    </w:p>
    <w:p w14:paraId="752B92DB" w14:textId="77777777" w:rsidR="005032E9" w:rsidRPr="00693A57" w:rsidRDefault="005032E9" w:rsidP="005032E9">
      <w:pPr>
        <w:pStyle w:val="paragraph"/>
        <w:rPr>
          <w:color w:val="FF0000"/>
        </w:rPr>
      </w:pPr>
      <w:r w:rsidRPr="00693A57">
        <w:rPr>
          <w:color w:val="FF0000"/>
        </w:rPr>
        <w:tab/>
        <w:t>(b)</w:t>
      </w:r>
      <w:r w:rsidRPr="00693A57">
        <w:rPr>
          <w:color w:val="FF0000"/>
        </w:rPr>
        <w:tab/>
        <w:t>for each data holder, where relevant:</w:t>
      </w:r>
    </w:p>
    <w:p w14:paraId="23ADC62F" w14:textId="77777777" w:rsidR="005032E9" w:rsidRPr="00693A57" w:rsidRDefault="005032E9" w:rsidP="005032E9">
      <w:pPr>
        <w:pStyle w:val="paragraphsub"/>
        <w:rPr>
          <w:color w:val="FF0000"/>
        </w:rPr>
      </w:pPr>
      <w:r w:rsidRPr="00693A57">
        <w:rPr>
          <w:color w:val="FF0000"/>
        </w:rPr>
        <w:tab/>
        <w:t>(i)</w:t>
      </w:r>
      <w:r w:rsidRPr="00693A57">
        <w:rPr>
          <w:color w:val="FF0000"/>
        </w:rPr>
        <w:tab/>
        <w:t>each brand name under which the data holder offers products in relation to which consumer data requests may be made under these rules; and</w:t>
      </w:r>
    </w:p>
    <w:p w14:paraId="5C98BED5" w14:textId="77777777" w:rsidR="005032E9" w:rsidRPr="00693A57" w:rsidRDefault="005032E9" w:rsidP="005032E9">
      <w:pPr>
        <w:pStyle w:val="paragraphsub"/>
        <w:rPr>
          <w:color w:val="FF0000"/>
        </w:rPr>
      </w:pPr>
      <w:r w:rsidRPr="00693A57">
        <w:rPr>
          <w:color w:val="FF0000"/>
        </w:rPr>
        <w:tab/>
        <w:t>(ii)</w:t>
      </w:r>
      <w:r w:rsidRPr="00693A57">
        <w:rPr>
          <w:color w:val="FF0000"/>
        </w:rPr>
        <w:tab/>
        <w:t>a hyperlink to:</w:t>
      </w:r>
    </w:p>
    <w:p w14:paraId="6ADDCF56" w14:textId="77777777" w:rsidR="005032E9" w:rsidRPr="00693A57" w:rsidRDefault="005032E9" w:rsidP="005032E9">
      <w:pPr>
        <w:pStyle w:val="paragraphsub-sub"/>
        <w:rPr>
          <w:color w:val="FF0000"/>
        </w:rPr>
      </w:pPr>
      <w:r w:rsidRPr="00693A57">
        <w:rPr>
          <w:color w:val="FF0000"/>
        </w:rPr>
        <w:tab/>
        <w:t>(A)</w:t>
      </w:r>
      <w:r w:rsidRPr="00693A57">
        <w:rPr>
          <w:color w:val="FF0000"/>
        </w:rPr>
        <w:tab/>
        <w:t>the relevant web site address of the data holder; and</w:t>
      </w:r>
    </w:p>
    <w:p w14:paraId="5A680DE7" w14:textId="77777777" w:rsidR="005032E9" w:rsidRPr="00693A57" w:rsidRDefault="005032E9" w:rsidP="005032E9">
      <w:pPr>
        <w:pStyle w:val="paragraphsub-sub"/>
        <w:rPr>
          <w:color w:val="FF0000"/>
        </w:rPr>
      </w:pPr>
      <w:r w:rsidRPr="00693A57">
        <w:rPr>
          <w:color w:val="FF0000"/>
        </w:rPr>
        <w:tab/>
        <w:t>(B)</w:t>
      </w:r>
      <w:r w:rsidRPr="00693A57">
        <w:rPr>
          <w:color w:val="FF0000"/>
        </w:rPr>
        <w:tab/>
        <w:t>the data holder’s CDR policy; and</w:t>
      </w:r>
    </w:p>
    <w:p w14:paraId="64EA33E7" w14:textId="77777777" w:rsidR="005032E9" w:rsidRPr="00693A57" w:rsidRDefault="005032E9" w:rsidP="005032E9">
      <w:pPr>
        <w:pStyle w:val="paragraphsub-sub"/>
        <w:rPr>
          <w:color w:val="FF0000"/>
        </w:rPr>
      </w:pPr>
      <w:r w:rsidRPr="00693A57">
        <w:rPr>
          <w:color w:val="FF0000"/>
        </w:rPr>
        <w:tab/>
        <w:t>(C)</w:t>
      </w:r>
      <w:r w:rsidRPr="00693A57">
        <w:rPr>
          <w:color w:val="FF0000"/>
        </w:rPr>
        <w:tab/>
        <w:t>if the data holder has a CDR policy for a brand name under which the data holder offers products in relation to which consumer data requests may be made under these rules―that policy; and</w:t>
      </w:r>
    </w:p>
    <w:p w14:paraId="39FF6E9A" w14:textId="0C9C8AAE" w:rsidR="005032E9" w:rsidRPr="00693A57" w:rsidRDefault="005032E9" w:rsidP="005032E9">
      <w:pPr>
        <w:pStyle w:val="paragraphsub"/>
        <w:rPr>
          <w:strike/>
          <w:color w:val="FF0000"/>
        </w:rPr>
      </w:pPr>
      <w:r w:rsidRPr="00693A57">
        <w:rPr>
          <w:color w:val="FF0000"/>
        </w:rPr>
        <w:tab/>
        <w:t>(iii)</w:t>
      </w:r>
      <w:r w:rsidRPr="00693A57">
        <w:rPr>
          <w:color w:val="FF0000"/>
        </w:rPr>
        <w:tab/>
        <w:t>the universal resource identifier for the data holder’s product data request service.</w:t>
      </w:r>
    </w:p>
    <w:p w14:paraId="1742E7E8" w14:textId="6F26D217" w:rsidR="005032E9" w:rsidRPr="00693A57" w:rsidRDefault="005032E9" w:rsidP="005032E9">
      <w:pPr>
        <w:pStyle w:val="notetext"/>
        <w:rPr>
          <w:color w:val="FF0000"/>
        </w:rPr>
      </w:pPr>
      <w:r w:rsidRPr="00693A57">
        <w:rPr>
          <w:color w:val="FF0000"/>
        </w:rPr>
        <w:t>Note:</w:t>
      </w:r>
      <w:r w:rsidRPr="00693A57">
        <w:rPr>
          <w:color w:val="FF0000"/>
        </w:rPr>
        <w:tab/>
        <w:t xml:space="preserve">For subparagraph (b)(i), for the banking sector, see </w:t>
      </w:r>
      <w:r w:rsidRPr="00693A57">
        <w:rPr>
          <w:bCs/>
          <w:color w:val="FF0000"/>
          <w:lang w:val="en-US"/>
        </w:rPr>
        <w:t>Part 6</w:t>
      </w:r>
      <w:r w:rsidRPr="00693A57">
        <w:rPr>
          <w:color w:val="FF0000"/>
        </w:rPr>
        <w:t xml:space="preserve"> of </w:t>
      </w:r>
      <w:r w:rsidRPr="00693A57">
        <w:rPr>
          <w:bCs/>
          <w:color w:val="FF0000"/>
          <w:lang w:val="en-US"/>
        </w:rPr>
        <w:t>Schedule 3</w:t>
      </w:r>
      <w:r w:rsidRPr="00693A57">
        <w:rPr>
          <w:color w:val="FF0000"/>
        </w:rPr>
        <w:t xml:space="preserve"> for the staged application of these rules.</w:t>
      </w:r>
    </w:p>
    <w:p w14:paraId="651AC8B3" w14:textId="3F569F1D" w:rsidR="002F128A" w:rsidRPr="00693A57" w:rsidRDefault="002F128A" w:rsidP="002F128A">
      <w:pPr>
        <w:pStyle w:val="subsection"/>
        <w:rPr>
          <w:strike/>
          <w:color w:val="FF0000"/>
        </w:rPr>
      </w:pPr>
      <w:r w:rsidRPr="00693A57">
        <w:rPr>
          <w:strike/>
          <w:color w:val="FF0000"/>
        </w:rPr>
        <w:tab/>
        <w:t>(1)</w:t>
      </w:r>
      <w:r w:rsidRPr="00693A57">
        <w:rPr>
          <w:strike/>
          <w:color w:val="FF0000"/>
        </w:rPr>
        <w:tab/>
        <w:t>The Accreditation Registrar must create and maintain, in association with the Register of Accredited Persons, a database that includes:</w:t>
      </w:r>
    </w:p>
    <w:p w14:paraId="4F926619" w14:textId="3213ACEA" w:rsidR="002F128A" w:rsidRPr="00693A57" w:rsidRDefault="002F128A" w:rsidP="002F128A">
      <w:pPr>
        <w:pStyle w:val="paragraph"/>
        <w:rPr>
          <w:strike/>
          <w:color w:val="FF0000"/>
        </w:rPr>
      </w:pPr>
      <w:r w:rsidRPr="00693A57">
        <w:rPr>
          <w:strike/>
          <w:color w:val="FF0000"/>
        </w:rPr>
        <w:tab/>
        <w:t>(a)</w:t>
      </w:r>
      <w:r w:rsidRPr="00693A57">
        <w:rPr>
          <w:strike/>
          <w:color w:val="FF0000"/>
        </w:rPr>
        <w:tab/>
        <w:t>a list of data holders; and</w:t>
      </w:r>
    </w:p>
    <w:p w14:paraId="3E63BC93" w14:textId="49C25CDD" w:rsidR="002F128A" w:rsidRPr="00693A57" w:rsidRDefault="002F128A" w:rsidP="002F128A">
      <w:pPr>
        <w:pStyle w:val="paragraph"/>
        <w:rPr>
          <w:strike/>
          <w:color w:val="FF0000"/>
        </w:rPr>
      </w:pPr>
      <w:r w:rsidRPr="00693A57">
        <w:rPr>
          <w:strike/>
          <w:color w:val="FF0000"/>
        </w:rPr>
        <w:tab/>
        <w:t>(b)</w:t>
      </w:r>
      <w:r w:rsidRPr="00693A57">
        <w:rPr>
          <w:strike/>
          <w:color w:val="FF0000"/>
        </w:rPr>
        <w:tab/>
        <w:t>for each data holder:</w:t>
      </w:r>
    </w:p>
    <w:p w14:paraId="13463809" w14:textId="77777777" w:rsidR="002F128A" w:rsidRPr="00693A57" w:rsidRDefault="002F128A" w:rsidP="002F128A">
      <w:pPr>
        <w:pStyle w:val="paragraphsub"/>
        <w:rPr>
          <w:strike/>
          <w:color w:val="FF0000"/>
        </w:rPr>
      </w:pPr>
      <w:r w:rsidRPr="00693A57">
        <w:rPr>
          <w:strike/>
          <w:color w:val="FF0000"/>
        </w:rPr>
        <w:tab/>
        <w:t>(i)</w:t>
      </w:r>
      <w:r w:rsidRPr="00693A57">
        <w:rPr>
          <w:strike/>
          <w:color w:val="FF0000"/>
        </w:rPr>
        <w:tab/>
        <w:t>each brand name under which the data holder offers products in relation to which consumer data requests may be made under these rules; and</w:t>
      </w:r>
    </w:p>
    <w:p w14:paraId="07E06293" w14:textId="77777777" w:rsidR="002F128A" w:rsidRPr="00693A57" w:rsidRDefault="002F128A" w:rsidP="002F128A">
      <w:pPr>
        <w:pStyle w:val="paragraphsub"/>
        <w:rPr>
          <w:strike/>
          <w:color w:val="FF0000"/>
        </w:rPr>
      </w:pPr>
      <w:r w:rsidRPr="00693A57">
        <w:rPr>
          <w:strike/>
          <w:color w:val="FF0000"/>
        </w:rPr>
        <w:tab/>
        <w:t>(ii)</w:t>
      </w:r>
      <w:r w:rsidRPr="00693A57">
        <w:rPr>
          <w:strike/>
          <w:color w:val="FF0000"/>
        </w:rPr>
        <w:tab/>
        <w:t>a hyperlink to:</w:t>
      </w:r>
    </w:p>
    <w:p w14:paraId="463268CF" w14:textId="77777777" w:rsidR="002F128A" w:rsidRPr="00693A57" w:rsidRDefault="002F128A" w:rsidP="002F128A">
      <w:pPr>
        <w:pStyle w:val="paragraphsub-sub"/>
        <w:rPr>
          <w:strike/>
          <w:color w:val="FF0000"/>
        </w:rPr>
      </w:pPr>
      <w:r w:rsidRPr="00693A57">
        <w:rPr>
          <w:strike/>
          <w:color w:val="FF0000"/>
        </w:rPr>
        <w:tab/>
        <w:t>(A)</w:t>
      </w:r>
      <w:r w:rsidRPr="00693A57">
        <w:rPr>
          <w:strike/>
          <w:color w:val="FF0000"/>
        </w:rPr>
        <w:tab/>
        <w:t>the relevant web site address of the data holder; and</w:t>
      </w:r>
    </w:p>
    <w:p w14:paraId="16EBAB03" w14:textId="71B5AD2F" w:rsidR="002F128A" w:rsidRPr="00693A57" w:rsidRDefault="002F128A" w:rsidP="002F128A">
      <w:pPr>
        <w:pStyle w:val="paragraphsub-sub"/>
        <w:rPr>
          <w:strike/>
          <w:color w:val="FF0000"/>
        </w:rPr>
      </w:pPr>
      <w:r w:rsidRPr="00693A57">
        <w:rPr>
          <w:strike/>
          <w:color w:val="FF0000"/>
        </w:rPr>
        <w:tab/>
        <w:t>(B)</w:t>
      </w:r>
      <w:r w:rsidRPr="00693A57">
        <w:rPr>
          <w:strike/>
          <w:color w:val="FF0000"/>
        </w:rPr>
        <w:tab/>
        <w:t>the data holder’s CDR p</w:t>
      </w:r>
      <w:r w:rsidR="00F52EEB" w:rsidRPr="00693A57">
        <w:rPr>
          <w:strike/>
          <w:color w:val="FF0000"/>
        </w:rPr>
        <w:t>olicy</w:t>
      </w:r>
      <w:r w:rsidRPr="00693A57">
        <w:rPr>
          <w:strike/>
          <w:color w:val="FF0000"/>
        </w:rPr>
        <w:t>; and</w:t>
      </w:r>
    </w:p>
    <w:p w14:paraId="286CE4A2" w14:textId="407156A3" w:rsidR="00417701" w:rsidRPr="00693A57" w:rsidRDefault="00417701" w:rsidP="00417701">
      <w:pPr>
        <w:pStyle w:val="paragraphsub-sub"/>
        <w:rPr>
          <w:strike/>
          <w:color w:val="FF0000"/>
        </w:rPr>
      </w:pPr>
      <w:r w:rsidRPr="00693A57">
        <w:rPr>
          <w:strike/>
          <w:color w:val="FF0000"/>
        </w:rPr>
        <w:tab/>
        <w:t>(C)</w:t>
      </w:r>
      <w:r w:rsidRPr="00693A57">
        <w:rPr>
          <w:strike/>
          <w:color w:val="FF0000"/>
        </w:rPr>
        <w:tab/>
        <w:t>if the data holder has a CDR policy for a brand name under which the data holder offers products in relation which consumer data requests may be made under these rules―that policy; and</w:t>
      </w:r>
    </w:p>
    <w:p w14:paraId="748BDD9C" w14:textId="35116897" w:rsidR="00417701" w:rsidRPr="00693A57" w:rsidRDefault="002F128A" w:rsidP="00417701">
      <w:pPr>
        <w:pStyle w:val="paragraphsub"/>
        <w:rPr>
          <w:strike/>
          <w:color w:val="FF0000"/>
        </w:rPr>
      </w:pPr>
      <w:r w:rsidRPr="00693A57">
        <w:rPr>
          <w:strike/>
          <w:color w:val="FF0000"/>
        </w:rPr>
        <w:tab/>
        <w:t>(iii)</w:t>
      </w:r>
      <w:r w:rsidRPr="00693A57">
        <w:rPr>
          <w:strike/>
          <w:color w:val="FF0000"/>
        </w:rPr>
        <w:tab/>
        <w:t>the universal resource identifier for the data holder’s product data request service</w:t>
      </w:r>
      <w:r w:rsidR="00045173" w:rsidRPr="00693A57">
        <w:rPr>
          <w:strike/>
          <w:color w:val="FF0000"/>
        </w:rPr>
        <w:t>.</w:t>
      </w:r>
      <w:r w:rsidRPr="00693A57">
        <w:rPr>
          <w:strike/>
          <w:color w:val="FF0000"/>
        </w:rPr>
        <w:t>; and</w:t>
      </w:r>
    </w:p>
    <w:p w14:paraId="763701ED" w14:textId="39CB598E" w:rsidR="002F128A" w:rsidRPr="00693A57" w:rsidRDefault="002F128A" w:rsidP="002F128A">
      <w:pPr>
        <w:pStyle w:val="paragraph"/>
        <w:rPr>
          <w:strike/>
          <w:color w:val="FF0000"/>
        </w:rPr>
      </w:pPr>
      <w:r w:rsidRPr="00693A57">
        <w:rPr>
          <w:strike/>
          <w:color w:val="FF0000"/>
        </w:rPr>
        <w:tab/>
        <w:t>(c)</w:t>
      </w:r>
      <w:r w:rsidRPr="00693A57">
        <w:rPr>
          <w:strike/>
          <w:color w:val="FF0000"/>
        </w:rPr>
        <w:tab/>
        <w:t>such other information relating to each data holder and each accredited person as the Accreditation Registrar considers is required in order for requests under these rules to be processed in accordance with these rules and the data standards.</w:t>
      </w:r>
    </w:p>
    <w:p w14:paraId="5C794A7E" w14:textId="77777777" w:rsidR="002F128A" w:rsidRPr="00693A57" w:rsidRDefault="002F128A" w:rsidP="002F128A">
      <w:pPr>
        <w:pStyle w:val="notetext"/>
        <w:rPr>
          <w:strike/>
          <w:color w:val="FF0000"/>
        </w:rPr>
      </w:pPr>
      <w:r w:rsidRPr="00693A57">
        <w:rPr>
          <w:strike/>
          <w:color w:val="FF0000"/>
        </w:rPr>
        <w:lastRenderedPageBreak/>
        <w:t>Note 1:</w:t>
      </w:r>
      <w:r w:rsidRPr="00693A57">
        <w:rPr>
          <w:strike/>
          <w:color w:val="FF0000"/>
        </w:rPr>
        <w:tab/>
        <w:t xml:space="preserve">For subparagraph (b)(i), for the banking sector, see </w:t>
      </w:r>
      <w:r w:rsidRPr="00693A57">
        <w:rPr>
          <w:bCs/>
          <w:strike/>
          <w:color w:val="FF0000"/>
          <w:lang w:val="en-US"/>
        </w:rPr>
        <w:t>Part 6</w:t>
      </w:r>
      <w:r w:rsidRPr="00693A57">
        <w:rPr>
          <w:strike/>
          <w:color w:val="FF0000"/>
        </w:rPr>
        <w:t xml:space="preserve"> of </w:t>
      </w:r>
      <w:r w:rsidRPr="00693A57">
        <w:rPr>
          <w:bCs/>
          <w:strike/>
          <w:color w:val="FF0000"/>
          <w:lang w:val="en-US"/>
        </w:rPr>
        <w:t>Schedule 3</w:t>
      </w:r>
      <w:r w:rsidRPr="00693A57">
        <w:rPr>
          <w:strike/>
          <w:color w:val="FF0000"/>
        </w:rPr>
        <w:t xml:space="preserve"> for the staged application of these rules.</w:t>
      </w:r>
    </w:p>
    <w:p w14:paraId="63B8DE9D" w14:textId="77777777" w:rsidR="00060A81" w:rsidRPr="00693A57" w:rsidRDefault="00060A81" w:rsidP="00060A81">
      <w:pPr>
        <w:pStyle w:val="notetext"/>
        <w:rPr>
          <w:strike/>
          <w:color w:val="FF0000"/>
        </w:rPr>
      </w:pPr>
      <w:r w:rsidRPr="00693A57">
        <w:rPr>
          <w:strike/>
          <w:color w:val="FF0000"/>
        </w:rPr>
        <w:t>Note 2:</w:t>
      </w:r>
      <w:r w:rsidRPr="00693A57">
        <w:rPr>
          <w:strike/>
          <w:color w:val="FF0000"/>
        </w:rPr>
        <w:tab/>
        <w:t>For the banking sector, see subclause </w:t>
      </w:r>
      <w:r w:rsidRPr="00693A57">
        <w:rPr>
          <w:bCs/>
          <w:strike/>
          <w:color w:val="FF0000"/>
          <w:lang w:val="en-US"/>
        </w:rPr>
        <w:t>6.3(2)</w:t>
      </w:r>
      <w:r w:rsidRPr="00693A57">
        <w:rPr>
          <w:strike/>
          <w:color w:val="FF0000"/>
        </w:rPr>
        <w:t xml:space="preserve"> of </w:t>
      </w:r>
      <w:r w:rsidRPr="00693A57">
        <w:rPr>
          <w:bCs/>
          <w:strike/>
          <w:color w:val="FF0000"/>
          <w:lang w:val="en-US"/>
        </w:rPr>
        <w:t>Schedule 3</w:t>
      </w:r>
      <w:r w:rsidRPr="00693A57">
        <w:rPr>
          <w:strike/>
          <w:color w:val="FF0000"/>
        </w:rPr>
        <w:t xml:space="preserve"> for additional information to be included.</w:t>
      </w:r>
    </w:p>
    <w:p w14:paraId="2F2751C1" w14:textId="77777777" w:rsidR="00CF0E3D" w:rsidRPr="0013792B" w:rsidRDefault="00CF0E3D" w:rsidP="00CF0E3D">
      <w:pPr>
        <w:pStyle w:val="SubsectionHead"/>
      </w:pPr>
      <w:r w:rsidRPr="0013792B">
        <w:t>Accreditation Registrar may request further information</w:t>
      </w:r>
    </w:p>
    <w:p w14:paraId="127827F1" w14:textId="77777777" w:rsidR="00CF0E3D" w:rsidRPr="0020066B" w:rsidRDefault="00CF0E3D" w:rsidP="00CF0E3D">
      <w:pPr>
        <w:pStyle w:val="subsection"/>
      </w:pPr>
      <w:r w:rsidRPr="0020066B">
        <w:tab/>
      </w:r>
      <w:r>
        <w:t>(2)</w:t>
      </w:r>
      <w:r w:rsidRPr="0020066B">
        <w:tab/>
        <w:t>The Accreditation Registrar may:</w:t>
      </w:r>
    </w:p>
    <w:p w14:paraId="26A0FF53" w14:textId="4EB0C0F5" w:rsidR="00CF0E3D" w:rsidRPr="0020066B" w:rsidRDefault="00CF0E3D" w:rsidP="00CF0E3D">
      <w:pPr>
        <w:pStyle w:val="paragraph"/>
      </w:pPr>
      <w:r w:rsidRPr="0020066B">
        <w:tab/>
      </w:r>
      <w:r>
        <w:t>(a)</w:t>
      </w:r>
      <w:r w:rsidRPr="0020066B">
        <w:tab/>
        <w:t xml:space="preserve">request a data </w:t>
      </w:r>
      <w:r w:rsidRPr="0054321A">
        <w:t>holder</w:t>
      </w:r>
      <w:r w:rsidR="00617CBE" w:rsidRPr="0054321A">
        <w:t xml:space="preserve"> </w:t>
      </w:r>
      <w:r w:rsidRPr="0054321A">
        <w:t>or</w:t>
      </w:r>
      <w:r w:rsidRPr="0020066B">
        <w:t xml:space="preserve"> accredited person to provide the information referred to in subrule </w:t>
      </w:r>
      <w:r>
        <w:t>(1)</w:t>
      </w:r>
      <w:r w:rsidRPr="0020066B">
        <w:t>, or updates to that information; and</w:t>
      </w:r>
    </w:p>
    <w:p w14:paraId="096FE487" w14:textId="77777777" w:rsidR="00CF0E3D" w:rsidRPr="0020066B" w:rsidRDefault="00CF0E3D" w:rsidP="00CF0E3D">
      <w:pPr>
        <w:pStyle w:val="paragraph"/>
      </w:pPr>
      <w:r w:rsidRPr="0020066B">
        <w:tab/>
      </w:r>
      <w:r>
        <w:t>(b)</w:t>
      </w:r>
      <w:r w:rsidRPr="0020066B">
        <w:tab/>
        <w:t>specify the form in which the information or updates are to be provided.</w:t>
      </w:r>
    </w:p>
    <w:p w14:paraId="249ECC90" w14:textId="6DE755B6" w:rsidR="00CF0E3D" w:rsidRPr="00C02000" w:rsidRDefault="00CF0E3D" w:rsidP="00CF0E3D">
      <w:pPr>
        <w:pStyle w:val="subsection"/>
      </w:pPr>
      <w:r w:rsidRPr="00C02000">
        <w:tab/>
      </w:r>
      <w:r>
        <w:t>(3)</w:t>
      </w:r>
      <w:r w:rsidRPr="00C02000">
        <w:tab/>
      </w:r>
      <w:r w:rsidRPr="00EF1C66">
        <w:t xml:space="preserve">The data holder or </w:t>
      </w:r>
      <w:r w:rsidRPr="00C02000">
        <w:t xml:space="preserve">accredited person must comply with a request under subrule </w:t>
      </w:r>
      <w:r>
        <w:t>(2)</w:t>
      </w:r>
      <w:r w:rsidRPr="00C02000">
        <w:t>.</w:t>
      </w:r>
    </w:p>
    <w:p w14:paraId="7B1A68A8" w14:textId="77777777" w:rsidR="00CF0E3D" w:rsidRPr="00C02000" w:rsidRDefault="00CF0E3D" w:rsidP="00CF0E3D">
      <w:pPr>
        <w:pStyle w:val="subsection"/>
      </w:pPr>
      <w:r w:rsidRPr="00C02000">
        <w:tab/>
      </w:r>
      <w:r w:rsidRPr="00C02000">
        <w:tab/>
        <w:t>Civil penalty:</w:t>
      </w:r>
    </w:p>
    <w:p w14:paraId="3F2DE5A6" w14:textId="77777777" w:rsidR="00CF0E3D" w:rsidRPr="00C02000" w:rsidRDefault="00CF0E3D" w:rsidP="00CF0E3D">
      <w:pPr>
        <w:pStyle w:val="paragraph"/>
      </w:pPr>
      <w:r w:rsidRPr="00C02000">
        <w:tab/>
        <w:t>(a)</w:t>
      </w:r>
      <w:r w:rsidRPr="00C02000">
        <w:tab/>
        <w:t>for an individual―$50,000; and</w:t>
      </w:r>
    </w:p>
    <w:p w14:paraId="5ECFEB71" w14:textId="77777777" w:rsidR="00CF0E3D" w:rsidRPr="00C02000" w:rsidRDefault="00CF0E3D" w:rsidP="00CF0E3D">
      <w:pPr>
        <w:pStyle w:val="paragraph"/>
      </w:pPr>
      <w:r w:rsidRPr="00C02000">
        <w:tab/>
        <w:t>(b)</w:t>
      </w:r>
      <w:r w:rsidRPr="00C02000">
        <w:tab/>
        <w:t>for a body corporate―$250,000.</w:t>
      </w:r>
    </w:p>
    <w:p w14:paraId="69883B98" w14:textId="77777777" w:rsidR="00CF0E3D" w:rsidRPr="00956176" w:rsidRDefault="00CF0E3D" w:rsidP="00CF0E3D">
      <w:pPr>
        <w:pStyle w:val="SubsectionHead"/>
      </w:pPr>
      <w:r w:rsidRPr="00956176">
        <w:t>Obligation to inform Accreditation Registrar to keep information up</w:t>
      </w:r>
      <w:r w:rsidRPr="00956176">
        <w:noBreakHyphen/>
        <w:t>to</w:t>
      </w:r>
      <w:r w:rsidRPr="00956176">
        <w:noBreakHyphen/>
        <w:t>date</w:t>
      </w:r>
    </w:p>
    <w:p w14:paraId="2A63257D" w14:textId="77777777" w:rsidR="00CF0E3D" w:rsidRPr="007C39E2" w:rsidRDefault="00CF0E3D" w:rsidP="00CF0E3D">
      <w:pPr>
        <w:pStyle w:val="subsection"/>
      </w:pPr>
      <w:r w:rsidRPr="00956176">
        <w:tab/>
      </w:r>
      <w:r>
        <w:t>(4)</w:t>
      </w:r>
      <w:r w:rsidRPr="00956176">
        <w:tab/>
        <w:t>Subrule </w:t>
      </w:r>
      <w:r>
        <w:t>(5)</w:t>
      </w:r>
      <w:r w:rsidRPr="00956176">
        <w:t xml:space="preserve"> applies if</w:t>
      </w:r>
      <w:r>
        <w:t xml:space="preserve"> </w:t>
      </w:r>
      <w:r w:rsidRPr="007C39E2">
        <w:t>a data holder or an accredited person:</w:t>
      </w:r>
    </w:p>
    <w:p w14:paraId="38A1FC22" w14:textId="77777777" w:rsidR="00CF0E3D" w:rsidRPr="007C39E2" w:rsidRDefault="00CF0E3D" w:rsidP="00CF0E3D">
      <w:pPr>
        <w:pStyle w:val="paragraph"/>
      </w:pPr>
      <w:r w:rsidRPr="007C39E2">
        <w:tab/>
      </w:r>
      <w:r>
        <w:t>(a)</w:t>
      </w:r>
      <w:r w:rsidRPr="007C39E2">
        <w:tab/>
        <w:t>has provided information to the Accreditation Registrar in accordance with this rule; and</w:t>
      </w:r>
    </w:p>
    <w:p w14:paraId="39528862" w14:textId="77777777" w:rsidR="00CF0E3D" w:rsidRPr="007C39E2" w:rsidRDefault="00CF0E3D" w:rsidP="00CF0E3D">
      <w:pPr>
        <w:pStyle w:val="paragraph"/>
      </w:pPr>
      <w:r w:rsidRPr="007C39E2">
        <w:tab/>
      </w:r>
      <w:r>
        <w:t>(b)</w:t>
      </w:r>
      <w:r w:rsidRPr="007C39E2">
        <w:tab/>
        <w:t>becomes aware that the information:</w:t>
      </w:r>
    </w:p>
    <w:p w14:paraId="2E46DDE3" w14:textId="77777777" w:rsidR="00CF0E3D" w:rsidRPr="007C39E2" w:rsidRDefault="00CF0E3D" w:rsidP="00CF0E3D">
      <w:pPr>
        <w:pStyle w:val="paragraphsub"/>
      </w:pPr>
      <w:r w:rsidRPr="007C39E2">
        <w:tab/>
      </w:r>
      <w:r>
        <w:t>(i)</w:t>
      </w:r>
      <w:r w:rsidRPr="007C39E2">
        <w:tab/>
        <w:t>is out of date; or</w:t>
      </w:r>
    </w:p>
    <w:p w14:paraId="6FBB0F79" w14:textId="77777777" w:rsidR="00CF0E3D" w:rsidRPr="007C39E2" w:rsidRDefault="00CF0E3D" w:rsidP="00CF0E3D">
      <w:pPr>
        <w:pStyle w:val="paragraphsub"/>
      </w:pPr>
      <w:r w:rsidRPr="007C39E2">
        <w:tab/>
      </w:r>
      <w:r>
        <w:t>(ii)</w:t>
      </w:r>
      <w:r w:rsidRPr="007C39E2">
        <w:tab/>
        <w:t>needs to be amended in order for product data requests and consumer data requests made under these rules to be processed in accordance with these rules and the data standards.</w:t>
      </w:r>
    </w:p>
    <w:p w14:paraId="764D9621" w14:textId="77777777" w:rsidR="00CF0E3D" w:rsidRDefault="00CF0E3D" w:rsidP="00CF0E3D">
      <w:pPr>
        <w:pStyle w:val="subsection"/>
      </w:pPr>
      <w:r w:rsidRPr="007C39E2">
        <w:tab/>
      </w:r>
      <w:r>
        <w:t>(5)</w:t>
      </w:r>
      <w:r w:rsidRPr="007C39E2">
        <w:tab/>
        <w:t>The data holder or accredited person, as appropriate, must inform the Accreditation Registrar of the amendment that should be made to the database</w:t>
      </w:r>
      <w:r w:rsidRPr="00AF356E">
        <w:t xml:space="preserve"> </w:t>
      </w:r>
      <w:r w:rsidRPr="007C39E2">
        <w:t xml:space="preserve">in the form approved by the Registrar for the purposes of this </w:t>
      </w:r>
      <w:r>
        <w:t>subrule and as soon as practicable after the data holder or accredited person becomes aware of either of the matters mentioned in paragraph (4)(b)</w:t>
      </w:r>
      <w:r w:rsidRPr="007C39E2">
        <w:t>.</w:t>
      </w:r>
    </w:p>
    <w:p w14:paraId="198575E3"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30084FB8"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49E71FE8"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42BFEDDC" w14:textId="77777777" w:rsidR="00CF0E3D" w:rsidRPr="0070205C" w:rsidRDefault="00CF0E3D" w:rsidP="00CF0E3D">
      <w:pPr>
        <w:pStyle w:val="ActHead5"/>
      </w:pPr>
      <w:bookmarkStart w:id="425" w:name="_Toc11771657"/>
      <w:bookmarkStart w:id="426" w:name="_Toc77064983"/>
      <w:r>
        <w:t>5.26</w:t>
      </w:r>
      <w:r w:rsidRPr="007C39E2">
        <w:t xml:space="preserve">  Amendment and correction of entries in Register of Accredited Persons</w:t>
      </w:r>
      <w:bookmarkEnd w:id="425"/>
      <w:r w:rsidRPr="007C39E2">
        <w:t xml:space="preserve"> </w:t>
      </w:r>
      <w:r w:rsidRPr="0070205C">
        <w:t>and database</w:t>
      </w:r>
      <w:bookmarkEnd w:id="426"/>
    </w:p>
    <w:p w14:paraId="5814DDF2" w14:textId="77777777" w:rsidR="00CF0E3D" w:rsidRPr="0070205C" w:rsidRDefault="00CF0E3D" w:rsidP="00CF0E3D">
      <w:pPr>
        <w:pStyle w:val="subsection"/>
      </w:pPr>
      <w:r w:rsidRPr="0070205C">
        <w:tab/>
      </w:r>
      <w:r w:rsidRPr="0070205C">
        <w:tab/>
        <w:t>The Accreditation Registrar:</w:t>
      </w:r>
    </w:p>
    <w:p w14:paraId="339382A1" w14:textId="77777777" w:rsidR="00CF0E3D" w:rsidRPr="001D08C5" w:rsidRDefault="00CF0E3D" w:rsidP="00CF0E3D">
      <w:pPr>
        <w:pStyle w:val="paragraph"/>
      </w:pPr>
      <w:r w:rsidRPr="001D08C5">
        <w:tab/>
      </w:r>
      <w:r>
        <w:t>(a)</w:t>
      </w:r>
      <w:r w:rsidRPr="001D08C5">
        <w:tab/>
        <w:t>must, as soon as practicable after receiving information from the Data Recipient Accreditor that must be entered on the Register, enter that information on the Register;</w:t>
      </w:r>
      <w:r>
        <w:t xml:space="preserve"> and</w:t>
      </w:r>
    </w:p>
    <w:p w14:paraId="3D071BAD" w14:textId="77777777" w:rsidR="00CF0E3D" w:rsidRPr="001D08C5" w:rsidRDefault="00CF0E3D" w:rsidP="00CF0E3D">
      <w:pPr>
        <w:pStyle w:val="paragraph"/>
      </w:pPr>
      <w:r w:rsidRPr="001D08C5">
        <w:lastRenderedPageBreak/>
        <w:tab/>
      </w:r>
      <w:r>
        <w:t>(b)</w:t>
      </w:r>
      <w:r w:rsidRPr="001D08C5">
        <w:tab/>
        <w:t>must, as soon as practicable after receiving information from the Data Recipient Accreditor that requires the Registrar to update information on the Register, update the Register;</w:t>
      </w:r>
      <w:r>
        <w:t xml:space="preserve"> and</w:t>
      </w:r>
    </w:p>
    <w:p w14:paraId="54BD96BC" w14:textId="77777777" w:rsidR="00CF0E3D" w:rsidRPr="0070205C" w:rsidRDefault="00CF0E3D" w:rsidP="00CF0E3D">
      <w:pPr>
        <w:pStyle w:val="paragraph"/>
      </w:pPr>
      <w:r w:rsidRPr="0070205C">
        <w:tab/>
      </w:r>
      <w:r>
        <w:t>(c)</w:t>
      </w:r>
      <w:r w:rsidRPr="0070205C">
        <w:tab/>
        <w:t xml:space="preserve">may, to the extent the Accreditation Registrar considers necessary, amend the database referred to in subrule </w:t>
      </w:r>
      <w:r w:rsidRPr="0018423B">
        <w:rPr>
          <w:bCs/>
          <w:lang w:val="en-US"/>
        </w:rPr>
        <w:t>5.25(1)</w:t>
      </w:r>
      <w:r w:rsidRPr="0070205C">
        <w:t xml:space="preserve"> to reflect any amendment the Registrar has been informed of in accordance with rule </w:t>
      </w:r>
      <w:r w:rsidRPr="0018423B">
        <w:rPr>
          <w:bCs/>
          <w:lang w:val="en-US"/>
        </w:rPr>
        <w:t>5.25</w:t>
      </w:r>
      <w:r w:rsidRPr="0070205C">
        <w:t>; and</w:t>
      </w:r>
    </w:p>
    <w:p w14:paraId="084C90CD" w14:textId="77777777" w:rsidR="00CF0E3D" w:rsidRPr="007C39E2" w:rsidRDefault="00CF0E3D" w:rsidP="00CF0E3D">
      <w:pPr>
        <w:pStyle w:val="paragraph"/>
      </w:pPr>
      <w:r w:rsidRPr="0070205C">
        <w:tab/>
      </w:r>
      <w:r>
        <w:t>(d)</w:t>
      </w:r>
      <w:r w:rsidRPr="0070205C">
        <w:tab/>
        <w:t xml:space="preserve">may </w:t>
      </w:r>
      <w:r w:rsidRPr="0070205C">
        <w:rPr>
          <w:color w:val="000000" w:themeColor="text1"/>
        </w:rPr>
        <w:t xml:space="preserve">make clerical </w:t>
      </w:r>
      <w:r w:rsidRPr="0070205C">
        <w:t>amend</w:t>
      </w:r>
      <w:r w:rsidRPr="0070205C">
        <w:rPr>
          <w:color w:val="000000" w:themeColor="text1"/>
        </w:rPr>
        <w:t>ments to</w:t>
      </w:r>
      <w:r w:rsidRPr="0070205C">
        <w:t xml:space="preserve"> entries in the Register or database as appropriate to ensure the accuracy of the Register or database.</w:t>
      </w:r>
    </w:p>
    <w:p w14:paraId="7C5BCE87" w14:textId="77777777" w:rsidR="00CF0E3D" w:rsidRPr="0020066B" w:rsidRDefault="00CF0E3D" w:rsidP="00CF0E3D">
      <w:pPr>
        <w:pStyle w:val="ActHead5"/>
      </w:pPr>
      <w:bookmarkStart w:id="427" w:name="_Toc77064984"/>
      <w:r>
        <w:t>5.27</w:t>
      </w:r>
      <w:r w:rsidRPr="0020066B">
        <w:t xml:space="preserve">  Publication or availability of specified information in the Register of Accredited Persons</w:t>
      </w:r>
      <w:bookmarkEnd w:id="427"/>
    </w:p>
    <w:p w14:paraId="690F0AE0" w14:textId="77777777" w:rsidR="00CF0E3D" w:rsidRPr="0020066B" w:rsidRDefault="00CF0E3D" w:rsidP="00CF0E3D">
      <w:pPr>
        <w:pStyle w:val="subsection"/>
      </w:pPr>
      <w:r w:rsidRPr="0020066B">
        <w:tab/>
      </w:r>
      <w:r w:rsidRPr="0020066B">
        <w:tab/>
        <w:t>For paragraph 56CE(4)(c) of the Act, the Accreditation Registrar must, in the manner the Registrar thinks fit, make the following information publicly available:</w:t>
      </w:r>
    </w:p>
    <w:p w14:paraId="01211AB5" w14:textId="77777777" w:rsidR="00CF0E3D" w:rsidRPr="0020066B" w:rsidRDefault="00CF0E3D" w:rsidP="00CF0E3D">
      <w:pPr>
        <w:pStyle w:val="paragraph"/>
      </w:pPr>
      <w:r w:rsidRPr="0020066B">
        <w:tab/>
      </w:r>
      <w:r>
        <w:t>(a)</w:t>
      </w:r>
      <w:r w:rsidRPr="0020066B">
        <w:tab/>
        <w:t>the information referred to in rule </w:t>
      </w:r>
      <w:r>
        <w:t>5.24</w:t>
      </w:r>
      <w:r w:rsidRPr="0020066B">
        <w:t>;</w:t>
      </w:r>
    </w:p>
    <w:p w14:paraId="6E0A315F" w14:textId="77777777" w:rsidR="00CF0E3D" w:rsidRPr="0020066B" w:rsidRDefault="00CF0E3D" w:rsidP="00CF0E3D">
      <w:pPr>
        <w:pStyle w:val="paragraph"/>
      </w:pPr>
      <w:r w:rsidRPr="0020066B">
        <w:tab/>
      </w:r>
      <w:r>
        <w:t>(b)</w:t>
      </w:r>
      <w:r w:rsidRPr="0020066B">
        <w:tab/>
        <w:t>the information referred to in paragraphs </w:t>
      </w:r>
      <w:r>
        <w:t>5.25(1)(a) and</w:t>
      </w:r>
      <w:r w:rsidRPr="0020066B">
        <w:t xml:space="preserve"> </w:t>
      </w:r>
      <w:r>
        <w:t>(b)</w:t>
      </w:r>
      <w:r w:rsidRPr="0020066B">
        <w:t>.</w:t>
      </w:r>
    </w:p>
    <w:p w14:paraId="1814FC61" w14:textId="77777777" w:rsidR="00CF0E3D" w:rsidRPr="0020066B" w:rsidRDefault="00CF0E3D" w:rsidP="00CF0E3D">
      <w:pPr>
        <w:pStyle w:val="notetext"/>
      </w:pPr>
      <w:r w:rsidRPr="0020066B">
        <w:t>Note:</w:t>
      </w:r>
      <w:r w:rsidRPr="0020066B">
        <w:tab/>
        <w:t>For the banking sector, see subclause </w:t>
      </w:r>
      <w:r>
        <w:t>6.3(3)</w:t>
      </w:r>
      <w:r w:rsidRPr="0020066B">
        <w:t xml:space="preserve"> of </w:t>
      </w:r>
      <w:r>
        <w:t>Schedule 3</w:t>
      </w:r>
      <w:r w:rsidRPr="0020066B">
        <w:t xml:space="preserve"> for other information the Accreditation Registrar must make publicly available.</w:t>
      </w:r>
    </w:p>
    <w:p w14:paraId="7822E5C8" w14:textId="77777777" w:rsidR="00CF0E3D" w:rsidRPr="001D08C5" w:rsidRDefault="00CF0E3D" w:rsidP="00CF0E3D">
      <w:pPr>
        <w:pStyle w:val="ActHead5"/>
      </w:pPr>
      <w:bookmarkStart w:id="428" w:name="_Toc77064985"/>
      <w:r>
        <w:t>5.28</w:t>
      </w:r>
      <w:r w:rsidRPr="001D08C5">
        <w:t xml:space="preserve">  Making information available to the Commission, the Information Commissioner and the Data Recipient Accreditor</w:t>
      </w:r>
      <w:bookmarkEnd w:id="428"/>
    </w:p>
    <w:p w14:paraId="6DD633F9" w14:textId="77777777" w:rsidR="00CF0E3D" w:rsidRPr="001D08C5" w:rsidRDefault="00CF0E3D" w:rsidP="00CF0E3D">
      <w:pPr>
        <w:pStyle w:val="subsection"/>
      </w:pPr>
      <w:r w:rsidRPr="001D08C5">
        <w:tab/>
      </w:r>
      <w:r w:rsidRPr="001D08C5">
        <w:tab/>
        <w:t>The Accreditation Registrar must make available to the Commission, the Information Commissioner and the Data Recipient Accreditor, on request:</w:t>
      </w:r>
    </w:p>
    <w:p w14:paraId="4D94BD49" w14:textId="77777777" w:rsidR="00CF0E3D" w:rsidRPr="001D08C5" w:rsidRDefault="00CF0E3D" w:rsidP="00CF0E3D">
      <w:pPr>
        <w:pStyle w:val="paragraph"/>
      </w:pPr>
      <w:r w:rsidRPr="001D08C5">
        <w:tab/>
      </w:r>
      <w:r>
        <w:t>(a)</w:t>
      </w:r>
      <w:r w:rsidRPr="001D08C5">
        <w:tab/>
        <w:t xml:space="preserve">all or part of the Register </w:t>
      </w:r>
      <w:r>
        <w:t xml:space="preserve">of Accredited Persons </w:t>
      </w:r>
      <w:r w:rsidRPr="001D08C5">
        <w:t>or the associated database; or</w:t>
      </w:r>
    </w:p>
    <w:p w14:paraId="5E2E6DAA" w14:textId="77777777" w:rsidR="00CF0E3D" w:rsidRPr="001D08C5" w:rsidRDefault="00CF0E3D" w:rsidP="00CF0E3D">
      <w:pPr>
        <w:pStyle w:val="paragraph"/>
      </w:pPr>
      <w:r w:rsidRPr="001D08C5">
        <w:tab/>
      </w:r>
      <w:r>
        <w:t>(b)</w:t>
      </w:r>
      <w:r w:rsidRPr="001D08C5">
        <w:tab/>
        <w:t>specified information in the Register or the associated database; or</w:t>
      </w:r>
    </w:p>
    <w:p w14:paraId="3631EBEC" w14:textId="77777777" w:rsidR="00CF0E3D" w:rsidRPr="001D08C5" w:rsidRDefault="00CF0E3D" w:rsidP="00CF0E3D">
      <w:pPr>
        <w:pStyle w:val="paragraph"/>
      </w:pPr>
      <w:r w:rsidRPr="001D08C5">
        <w:tab/>
      </w:r>
      <w:r>
        <w:t>(c)</w:t>
      </w:r>
      <w:r w:rsidRPr="001D08C5">
        <w:tab/>
        <w:t>any information held by the Registrar in relation to the Register or the associated database.</w:t>
      </w:r>
    </w:p>
    <w:p w14:paraId="34349C6B" w14:textId="77777777" w:rsidR="00CF0E3D" w:rsidRPr="001D08C5" w:rsidRDefault="00CF0E3D" w:rsidP="00CF0E3D">
      <w:pPr>
        <w:pStyle w:val="ActHead5"/>
      </w:pPr>
      <w:bookmarkStart w:id="429" w:name="_Toc77064986"/>
      <w:r>
        <w:t>5.29</w:t>
      </w:r>
      <w:r w:rsidRPr="001D08C5">
        <w:t xml:space="preserve">  Publication of specified information by the Commission</w:t>
      </w:r>
      <w:bookmarkEnd w:id="429"/>
    </w:p>
    <w:p w14:paraId="61618CFC" w14:textId="77777777" w:rsidR="00CF0E3D" w:rsidRPr="001D08C5" w:rsidRDefault="00CF0E3D" w:rsidP="00CF0E3D">
      <w:pPr>
        <w:pStyle w:val="subsection"/>
      </w:pPr>
      <w:r w:rsidRPr="001D08C5">
        <w:tab/>
      </w:r>
      <w:r w:rsidRPr="001D08C5">
        <w:tab/>
        <w:t>The Commission may publish information made available to it by the Accreditation Registrar relating to the performance and availability of systems to respon</w:t>
      </w:r>
      <w:r>
        <w:t>d to requests under these rules.</w:t>
      </w:r>
    </w:p>
    <w:p w14:paraId="766A90C3" w14:textId="77777777" w:rsidR="00CF0E3D" w:rsidRPr="00646E04" w:rsidRDefault="00CF0E3D" w:rsidP="00CF0E3D">
      <w:pPr>
        <w:pStyle w:val="ActHead5"/>
      </w:pPr>
      <w:bookmarkStart w:id="430" w:name="_Toc77064987"/>
      <w:r>
        <w:t xml:space="preserve">5.30  </w:t>
      </w:r>
      <w:r w:rsidRPr="00646E04">
        <w:t>Other functions of Accreditation Registrar</w:t>
      </w:r>
      <w:bookmarkEnd w:id="430"/>
    </w:p>
    <w:p w14:paraId="71407449" w14:textId="77777777" w:rsidR="00CF0E3D" w:rsidRDefault="00CF0E3D" w:rsidP="00CF0E3D">
      <w:pPr>
        <w:pStyle w:val="subsection"/>
      </w:pPr>
      <w:r>
        <w:tab/>
      </w:r>
      <w:r>
        <w:tab/>
      </w:r>
      <w:r w:rsidRPr="00646E04">
        <w:t>For paragraph 56CL(1)(b) of the Act, the other functions of the Accreditation Registrar include the following:</w:t>
      </w:r>
    </w:p>
    <w:p w14:paraId="50BA00A4" w14:textId="77974F62" w:rsidR="00CF0E3D" w:rsidRPr="0020066B" w:rsidRDefault="00CF0E3D" w:rsidP="00CF0E3D">
      <w:pPr>
        <w:pStyle w:val="paragraph"/>
      </w:pPr>
      <w:r w:rsidRPr="0020066B">
        <w:tab/>
      </w:r>
      <w:r>
        <w:t>(a)</w:t>
      </w:r>
      <w:r w:rsidRPr="0020066B">
        <w:tab/>
        <w:t xml:space="preserve">enabling information included in the Register of Accredited Persons </w:t>
      </w:r>
      <w:r w:rsidRPr="007C39E2">
        <w:t xml:space="preserve">and associated database </w:t>
      </w:r>
      <w:r w:rsidRPr="0020066B">
        <w:t xml:space="preserve">to be communicated to data holders and accredited persons to facilitate </w:t>
      </w:r>
      <w:r w:rsidRPr="00086F26">
        <w:t xml:space="preserve">the making and </w:t>
      </w:r>
      <w:r w:rsidRPr="0020066B">
        <w:t>processing of requests under these rules in accordance with these rules and the data standards;</w:t>
      </w:r>
    </w:p>
    <w:p w14:paraId="0AB7719E" w14:textId="02CD5818" w:rsidR="00CF0E3D" w:rsidRPr="003F3AC9" w:rsidRDefault="00CF0E3D" w:rsidP="00CF0E3D">
      <w:pPr>
        <w:pStyle w:val="paragraph"/>
      </w:pPr>
      <w:r w:rsidRPr="003F3AC9">
        <w:lastRenderedPageBreak/>
        <w:tab/>
      </w:r>
      <w:r>
        <w:t>(b)</w:t>
      </w:r>
      <w:r w:rsidRPr="003F3AC9">
        <w:tab/>
        <w:t>maintaining the security, integrity and stability of the Register and associated database</w:t>
      </w:r>
      <w:r w:rsidRPr="00086F26">
        <w:t xml:space="preserve">, including undertaking or facilitating any testing </w:t>
      </w:r>
      <w:r>
        <w:t>by CDR participants</w:t>
      </w:r>
      <w:r w:rsidR="004676DA" w:rsidRPr="00693A57">
        <w:rPr>
          <w:color w:val="FF0000"/>
        </w:rPr>
        <w:t xml:space="preserve"> </w:t>
      </w:r>
      <w:r w:rsidRPr="00086F26">
        <w:t>for that purpose</w:t>
      </w:r>
      <w:r w:rsidRPr="003F3AC9">
        <w:t>;</w:t>
      </w:r>
    </w:p>
    <w:p w14:paraId="3A8E6C4D" w14:textId="1AB93D01" w:rsidR="00CF0E3D" w:rsidRDefault="00CF0E3D" w:rsidP="00CF0E3D">
      <w:pPr>
        <w:pStyle w:val="paragraph"/>
      </w:pPr>
      <w:r w:rsidRPr="003F3AC9">
        <w:tab/>
      </w:r>
      <w:r>
        <w:t>(c)</w:t>
      </w:r>
      <w:r w:rsidRPr="003F3AC9">
        <w:tab/>
        <w:t>requesting a data holder or an accredited person to do specified things where that is necessary or convenient in order for the Accreditation Registrar to perform its functions or exercise its powers;</w:t>
      </w:r>
    </w:p>
    <w:p w14:paraId="04DD9EC4" w14:textId="77777777" w:rsidR="00CF0E3D" w:rsidRPr="00BF7C0A" w:rsidRDefault="00CF0E3D" w:rsidP="00CF0E3D">
      <w:pPr>
        <w:pStyle w:val="notetext"/>
      </w:pPr>
      <w:r w:rsidRPr="00623150">
        <w:t>Example:</w:t>
      </w:r>
      <w:r w:rsidRPr="00623150">
        <w:tab/>
        <w:t>The Accreditation Registrar could request data holders or accredited persons to undertake and complete testing where it is necessary or convenient for the Registrar to perform its</w:t>
      </w:r>
      <w:r>
        <w:t xml:space="preserve"> functions under paragraph (b).</w:t>
      </w:r>
    </w:p>
    <w:p w14:paraId="4520820B" w14:textId="77777777" w:rsidR="00CF0E3D" w:rsidRDefault="00CF0E3D" w:rsidP="00CF0E3D">
      <w:pPr>
        <w:pStyle w:val="paragraph"/>
      </w:pPr>
      <w:r w:rsidRPr="00005026">
        <w:tab/>
      </w:r>
      <w:r>
        <w:t>(d)</w:t>
      </w:r>
      <w:r w:rsidRPr="00005026">
        <w:tab/>
        <w:t>informing the Data Recipient Accreditor of any failure of an accredited person to comply with a condition of its accreditation or to do things requested by the Registrar in the performance of its functions or the exercise of its powers</w:t>
      </w:r>
      <w:r>
        <w:t>.</w:t>
      </w:r>
    </w:p>
    <w:p w14:paraId="0B29CCB8" w14:textId="77777777" w:rsidR="00CF0E3D" w:rsidRDefault="00CF0E3D" w:rsidP="00CF0E3D">
      <w:pPr>
        <w:pStyle w:val="notetext"/>
      </w:pPr>
      <w:r>
        <w:t>Note:</w:t>
      </w:r>
      <w:r>
        <w:tab/>
      </w:r>
      <w:r w:rsidRPr="00646E04">
        <w:t>The Accreditation Registrar has the power to do all things necessary or convenient to be done for or in connection with the performance of its functions. See subsection 56CL(2) of the Act.</w:t>
      </w:r>
    </w:p>
    <w:p w14:paraId="5D9F77D3" w14:textId="77777777" w:rsidR="00CF0E3D" w:rsidRPr="0020066B" w:rsidRDefault="00CF0E3D" w:rsidP="00CF0E3D">
      <w:pPr>
        <w:pStyle w:val="ActHead5"/>
      </w:pPr>
      <w:bookmarkStart w:id="431" w:name="_Toc77064988"/>
      <w:r>
        <w:t>5.31</w:t>
      </w:r>
      <w:r w:rsidRPr="0020066B">
        <w:t xml:space="preserve">  Obligation to comply with Accreditation Registrar’s request</w:t>
      </w:r>
      <w:bookmarkEnd w:id="431"/>
    </w:p>
    <w:p w14:paraId="49C4B058" w14:textId="4F661041" w:rsidR="00CF0E3D" w:rsidRPr="00540804" w:rsidRDefault="00CF0E3D" w:rsidP="00CF0E3D">
      <w:pPr>
        <w:pStyle w:val="subsection"/>
      </w:pPr>
      <w:r w:rsidRPr="0020066B">
        <w:tab/>
      </w:r>
      <w:r>
        <w:t>(1)</w:t>
      </w:r>
      <w:r w:rsidRPr="0020066B">
        <w:tab/>
        <w:t>The Accreditation Registrar may request a data holder</w:t>
      </w:r>
      <w:r>
        <w:t xml:space="preserve"> </w:t>
      </w:r>
      <w:r w:rsidRPr="00540804">
        <w:t>or an accredited person to do a specified thing in order to ensure the security, integrity and stability of the Register of Accredited Persons or associated database.</w:t>
      </w:r>
    </w:p>
    <w:p w14:paraId="19ADFFE1" w14:textId="198A63A2" w:rsidR="00CF0E3D" w:rsidRPr="00540804" w:rsidRDefault="00CF0E3D" w:rsidP="00CF0E3D">
      <w:pPr>
        <w:pStyle w:val="subsection"/>
      </w:pPr>
      <w:r w:rsidRPr="00540804">
        <w:tab/>
      </w:r>
      <w:r>
        <w:t>(2)</w:t>
      </w:r>
      <w:r w:rsidRPr="00540804">
        <w:tab/>
        <w:t>The data holder or accredited person must comply with such a request.</w:t>
      </w:r>
    </w:p>
    <w:p w14:paraId="433E2165" w14:textId="77777777" w:rsidR="00CF0E3D" w:rsidRPr="00540804" w:rsidRDefault="00CF0E3D" w:rsidP="00CF0E3D">
      <w:pPr>
        <w:pStyle w:val="notetext"/>
      </w:pPr>
      <w:r w:rsidRPr="00540804">
        <w:t>Note:</w:t>
      </w:r>
      <w:r w:rsidRPr="00540804">
        <w:tab/>
        <w:t>This subrule is a civil penalty provision (see rule </w:t>
      </w:r>
      <w:r>
        <w:t>9.8</w:t>
      </w:r>
      <w:r w:rsidRPr="00540804">
        <w:t xml:space="preserve">). </w:t>
      </w:r>
    </w:p>
    <w:p w14:paraId="4194048C" w14:textId="77777777" w:rsidR="00CF0E3D" w:rsidRPr="0097565F" w:rsidRDefault="00CF0E3D" w:rsidP="00CF0E3D">
      <w:pPr>
        <w:pStyle w:val="ActHead5"/>
      </w:pPr>
      <w:bookmarkStart w:id="432" w:name="_Toc11771658"/>
      <w:bookmarkStart w:id="433" w:name="_Toc77064989"/>
      <w:r>
        <w:t>5.32</w:t>
      </w:r>
      <w:r w:rsidRPr="0097565F">
        <w:t xml:space="preserve">  Automated decision</w:t>
      </w:r>
      <w:r w:rsidRPr="0097565F">
        <w:noBreakHyphen/>
        <w:t>making</w:t>
      </w:r>
      <w:r>
        <w:t>—Accreditation Registrar</w:t>
      </w:r>
      <w:bookmarkEnd w:id="432"/>
      <w:bookmarkEnd w:id="433"/>
    </w:p>
    <w:p w14:paraId="667F3511" w14:textId="77777777" w:rsidR="00CF0E3D" w:rsidRDefault="00CF0E3D" w:rsidP="00CF0E3D">
      <w:pPr>
        <w:pStyle w:val="subsection"/>
      </w:pPr>
      <w:r w:rsidRPr="0097565F">
        <w:tab/>
      </w:r>
      <w:r w:rsidRPr="0097565F">
        <w:tab/>
      </w:r>
      <w:r>
        <w:t xml:space="preserve">The Accreditation Registrar may </w:t>
      </w:r>
      <w:r w:rsidRPr="0097565F">
        <w:t>automate processes (including decision</w:t>
      </w:r>
      <w:r w:rsidRPr="0097565F">
        <w:noBreakHyphen/>
        <w:t>making) under these rules.</w:t>
      </w:r>
    </w:p>
    <w:p w14:paraId="3923AE95" w14:textId="77777777" w:rsidR="00CF0E3D" w:rsidRPr="00CE5ECF" w:rsidRDefault="00CF0E3D" w:rsidP="00CF0E3D">
      <w:pPr>
        <w:pStyle w:val="ActHead5"/>
      </w:pPr>
      <w:bookmarkStart w:id="434" w:name="_Toc36136024"/>
      <w:bookmarkStart w:id="435" w:name="_Toc57219101"/>
      <w:bookmarkStart w:id="436" w:name="_Toc59549173"/>
      <w:bookmarkStart w:id="437" w:name="_Toc77064990"/>
      <w:r w:rsidRPr="00CE5ECF">
        <w:t>5.33  Temporary restriction on use of the Register in relation to data holder</w:t>
      </w:r>
      <w:bookmarkEnd w:id="434"/>
      <w:bookmarkEnd w:id="435"/>
      <w:bookmarkEnd w:id="436"/>
      <w:bookmarkEnd w:id="437"/>
    </w:p>
    <w:p w14:paraId="28ED6911" w14:textId="77777777" w:rsidR="00CF0E3D" w:rsidRPr="00CE5ECF" w:rsidRDefault="00CF0E3D" w:rsidP="00CF0E3D">
      <w:pPr>
        <w:pStyle w:val="subsection"/>
      </w:pPr>
      <w:r w:rsidRPr="00CE5ECF">
        <w:tab/>
        <w:t>(1)</w:t>
      </w:r>
      <w:r w:rsidRPr="00CE5ECF">
        <w:tab/>
        <w:t>The Accreditation Registrar may take steps to prevent the Register of Accredited Persons and associated database from being used to make consumer data requests to a data holder, 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14:paraId="36E469F9" w14:textId="77777777" w:rsidR="00CF0E3D" w:rsidRPr="00CE5ECF" w:rsidRDefault="00CF0E3D" w:rsidP="00CF0E3D">
      <w:pPr>
        <w:pStyle w:val="subsection"/>
      </w:pPr>
      <w:r w:rsidRPr="00CE5ECF">
        <w:tab/>
        <w:t>(2)</w:t>
      </w:r>
      <w:r w:rsidRPr="00CE5ECF">
        <w:tab/>
        <w:t>The steps taken by the Accreditation Registrar may include amending the information in the associated database relating to a data holder that is used to facilitate the making and processing of requests.</w:t>
      </w:r>
    </w:p>
    <w:p w14:paraId="73C24328" w14:textId="77777777" w:rsidR="00CF0E3D" w:rsidRPr="00CE5ECF" w:rsidRDefault="00CF0E3D" w:rsidP="00CF0E3D">
      <w:pPr>
        <w:pStyle w:val="subsection"/>
      </w:pPr>
      <w:r w:rsidRPr="00CE5ECF">
        <w:tab/>
        <w:t>(3)</w:t>
      </w:r>
      <w:r w:rsidRPr="00CE5ECF">
        <w:tab/>
        <w:t>Before, or as soon as practicable after, taking steps under subrule (1), the Accreditation Registrar must:</w:t>
      </w:r>
    </w:p>
    <w:p w14:paraId="7E973D3A" w14:textId="77777777" w:rsidR="00CF0E3D" w:rsidRPr="00CE5ECF" w:rsidRDefault="00CF0E3D" w:rsidP="00CF0E3D">
      <w:pPr>
        <w:pStyle w:val="paragraph"/>
      </w:pPr>
      <w:r w:rsidRPr="00CE5ECF">
        <w:tab/>
        <w:t>(a)</w:t>
      </w:r>
      <w:r w:rsidRPr="00CE5ECF">
        <w:tab/>
        <w:t>inform the data holder of the steps to be taken, or that have been taken; and</w:t>
      </w:r>
    </w:p>
    <w:p w14:paraId="0B14E943" w14:textId="77777777" w:rsidR="00CF0E3D" w:rsidRPr="00CE5ECF" w:rsidRDefault="00CF0E3D" w:rsidP="00CF0E3D">
      <w:pPr>
        <w:pStyle w:val="paragraph"/>
      </w:pPr>
      <w:r w:rsidRPr="00CE5ECF">
        <w:tab/>
        <w:t>(b)</w:t>
      </w:r>
      <w:r w:rsidRPr="00CE5ECF">
        <w:tab/>
        <w:t>give the data holder a reasonable opportunity to be heard in relation to the matter.</w:t>
      </w:r>
    </w:p>
    <w:p w14:paraId="3C456750" w14:textId="77777777" w:rsidR="00CF0E3D" w:rsidRPr="00CE5ECF" w:rsidRDefault="00CF0E3D" w:rsidP="00CF0E3D">
      <w:pPr>
        <w:pStyle w:val="subsection"/>
      </w:pPr>
      <w:r w:rsidRPr="00CE5ECF">
        <w:lastRenderedPageBreak/>
        <w:tab/>
        <w:t>(4)</w:t>
      </w:r>
      <w:r w:rsidRPr="00CE5ECF">
        <w:tab/>
        <w:t>Despite anything else in these rules, a data holder is not required to disclose CDR data in response to a request, where responding to the request would require the data holder to use the Register of Accredited Persons or associated database in a way that is not available to the data holder at that time by reason of steps taken under this rule.</w:t>
      </w:r>
    </w:p>
    <w:p w14:paraId="4D9935D6" w14:textId="77777777" w:rsidR="00CF0E3D" w:rsidRPr="00CE5ECF" w:rsidRDefault="00CF0E3D" w:rsidP="00CF0E3D">
      <w:pPr>
        <w:pStyle w:val="ActHead5"/>
      </w:pPr>
      <w:bookmarkStart w:id="438" w:name="_Toc36136025"/>
      <w:bookmarkStart w:id="439" w:name="_Toc57219102"/>
      <w:bookmarkStart w:id="440" w:name="_Toc59549174"/>
      <w:bookmarkStart w:id="441" w:name="_Toc77064991"/>
      <w:r w:rsidRPr="00CE5ECF">
        <w:t>5.34  Temporary direction to refrain from processing consumer data requests</w:t>
      </w:r>
      <w:bookmarkEnd w:id="438"/>
      <w:bookmarkEnd w:id="439"/>
      <w:bookmarkEnd w:id="440"/>
      <w:bookmarkEnd w:id="441"/>
    </w:p>
    <w:p w14:paraId="09B3416A" w14:textId="77777777" w:rsidR="00CF0E3D" w:rsidRPr="00CE5ECF" w:rsidRDefault="00CF0E3D" w:rsidP="00CF0E3D">
      <w:pPr>
        <w:pStyle w:val="subsection"/>
      </w:pPr>
      <w:r w:rsidRPr="00CE5ECF">
        <w:tab/>
        <w:t>(1)</w:t>
      </w:r>
      <w:r w:rsidRPr="00CE5ECF">
        <w:tab/>
        <w:t>The Accreditation Registrar may, by written notice:</w:t>
      </w:r>
    </w:p>
    <w:p w14:paraId="3CE13DD9" w14:textId="77777777" w:rsidR="00CF0E3D" w:rsidRPr="00CE5ECF" w:rsidRDefault="00CF0E3D" w:rsidP="00CF0E3D">
      <w:pPr>
        <w:pStyle w:val="paragraph"/>
      </w:pPr>
      <w:r w:rsidRPr="00CE5ECF">
        <w:tab/>
        <w:t>(a)</w:t>
      </w:r>
      <w:r w:rsidRPr="00CE5ECF">
        <w:tab/>
        <w:t>direct an accredited person not to make consumer data requests; or</w:t>
      </w:r>
    </w:p>
    <w:p w14:paraId="280E8C78" w14:textId="77777777" w:rsidR="00CF0E3D" w:rsidRPr="00CE5ECF" w:rsidRDefault="00CF0E3D" w:rsidP="00CF0E3D">
      <w:pPr>
        <w:pStyle w:val="paragraph"/>
        <w:keepNext/>
      </w:pPr>
      <w:r w:rsidRPr="00CE5ECF">
        <w:tab/>
        <w:t>(b)</w:t>
      </w:r>
      <w:r w:rsidRPr="00CE5ECF">
        <w:tab/>
        <w:t>direct a data holder not to respond to consumer data requests;</w:t>
      </w:r>
    </w:p>
    <w:p w14:paraId="512F9AE1" w14:textId="77777777" w:rsidR="00CF0E3D" w:rsidRPr="00CE5ECF" w:rsidRDefault="00CF0E3D" w:rsidP="00CF0E3D">
      <w:pPr>
        <w:pStyle w:val="subsection"/>
        <w:spacing w:before="100"/>
      </w:pPr>
      <w:r w:rsidRPr="00CE5ECF">
        <w:tab/>
      </w:r>
      <w:r w:rsidRPr="00CE5ECF">
        <w:tab/>
        <w:t>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14:paraId="2A5587ED" w14:textId="77777777" w:rsidR="00CF0E3D" w:rsidRPr="00CE5ECF" w:rsidRDefault="00CF0E3D" w:rsidP="00CF0E3D">
      <w:pPr>
        <w:pStyle w:val="subsection"/>
      </w:pPr>
      <w:r w:rsidRPr="00CE5ECF">
        <w:tab/>
        <w:t>(2)</w:t>
      </w:r>
      <w:r w:rsidRPr="00CE5ECF">
        <w:tab/>
        <w:t>The notice must specify:</w:t>
      </w:r>
    </w:p>
    <w:p w14:paraId="2E4C4EF0" w14:textId="77777777" w:rsidR="00CF0E3D" w:rsidRPr="00CE5ECF" w:rsidRDefault="00CF0E3D" w:rsidP="00CF0E3D">
      <w:pPr>
        <w:pStyle w:val="paragraph"/>
      </w:pPr>
      <w:r w:rsidRPr="00CE5ECF">
        <w:tab/>
        <w:t>(a)</w:t>
      </w:r>
      <w:r w:rsidRPr="00CE5ECF">
        <w:tab/>
        <w:t>whether the direction applies to all consumer data requests or to requests made to a particular data holder or by a particular accredited person; and</w:t>
      </w:r>
    </w:p>
    <w:p w14:paraId="407D1DBC" w14:textId="77777777" w:rsidR="00CF0E3D" w:rsidRPr="00CE5ECF" w:rsidRDefault="00CF0E3D" w:rsidP="00CF0E3D">
      <w:pPr>
        <w:pStyle w:val="paragraph"/>
      </w:pPr>
      <w:r w:rsidRPr="00CE5ECF">
        <w:tab/>
        <w:t>(b)</w:t>
      </w:r>
      <w:r w:rsidRPr="00CE5ECF">
        <w:tab/>
        <w:t>the period of application.</w:t>
      </w:r>
    </w:p>
    <w:p w14:paraId="1AEA9941" w14:textId="77777777" w:rsidR="00CF0E3D" w:rsidRPr="00CE5ECF" w:rsidRDefault="00CF0E3D" w:rsidP="00CF0E3D">
      <w:pPr>
        <w:pStyle w:val="subsection"/>
      </w:pPr>
      <w:r w:rsidRPr="00CE5ECF">
        <w:tab/>
        <w:t>(3)</w:t>
      </w:r>
      <w:r w:rsidRPr="00CE5ECF">
        <w:tab/>
        <w:t>Before, or as soon as practicable after, giving a direction, the Accreditation Registrar must give the accredited person or data holder a reasonable opportunity to be heard in relation to the matter.</w:t>
      </w:r>
    </w:p>
    <w:p w14:paraId="350611EE" w14:textId="77777777" w:rsidR="00CF0E3D" w:rsidRPr="00CE5ECF" w:rsidRDefault="00CF0E3D" w:rsidP="00CF0E3D">
      <w:pPr>
        <w:pStyle w:val="subsection"/>
      </w:pPr>
      <w:r w:rsidRPr="00CE5ECF">
        <w:tab/>
        <w:t>(4)</w:t>
      </w:r>
      <w:r w:rsidRPr="00CE5ECF">
        <w:tab/>
        <w:t>Despite anything else in these rules:</w:t>
      </w:r>
    </w:p>
    <w:p w14:paraId="44EA9D98" w14:textId="77777777" w:rsidR="00CF0E3D" w:rsidRPr="00CE5ECF" w:rsidRDefault="00CF0E3D" w:rsidP="00CF0E3D">
      <w:pPr>
        <w:pStyle w:val="paragraph"/>
      </w:pPr>
      <w:r w:rsidRPr="00CE5ECF">
        <w:tab/>
        <w:t>(a)</w:t>
      </w:r>
      <w:r w:rsidRPr="00CE5ECF">
        <w:tab/>
        <w:t>an accredited person must not make a consumer data request contrary to a direction it has received under this rule; and</w:t>
      </w:r>
    </w:p>
    <w:p w14:paraId="77ACAAA7" w14:textId="77777777" w:rsidR="00CF0E3D" w:rsidRPr="00CE5ECF" w:rsidRDefault="00CF0E3D" w:rsidP="00CF0E3D">
      <w:pPr>
        <w:pStyle w:val="paragraph"/>
      </w:pPr>
      <w:r w:rsidRPr="00CE5ECF">
        <w:tab/>
        <w:t>(b)</w:t>
      </w:r>
      <w:r w:rsidRPr="00CE5ECF">
        <w:tab/>
        <w:t>a data holder must not disclose CDR data in response to a consumer data request contrary to a direction it has received under this rule.</w:t>
      </w:r>
    </w:p>
    <w:p w14:paraId="361BD216" w14:textId="77777777" w:rsidR="00CF0E3D" w:rsidRPr="00CE5ECF" w:rsidRDefault="00CF0E3D" w:rsidP="00CF0E3D">
      <w:pPr>
        <w:pStyle w:val="subsection"/>
      </w:pPr>
      <w:r w:rsidRPr="00CE5ECF">
        <w:tab/>
      </w:r>
      <w:r w:rsidRPr="00CE5ECF">
        <w:tab/>
        <w:t>Civil penalty:</w:t>
      </w:r>
    </w:p>
    <w:p w14:paraId="645774ED" w14:textId="77777777" w:rsidR="00CF0E3D" w:rsidRPr="00CE5ECF" w:rsidRDefault="00CF0E3D" w:rsidP="00CF0E3D">
      <w:pPr>
        <w:pStyle w:val="paragraph"/>
      </w:pPr>
      <w:r w:rsidRPr="00CE5ECF">
        <w:tab/>
        <w:t>(a)</w:t>
      </w:r>
      <w:r w:rsidRPr="00CE5ECF">
        <w:tab/>
        <w:t>for an individual―$50,000; and</w:t>
      </w:r>
    </w:p>
    <w:p w14:paraId="0A2D8743" w14:textId="77777777" w:rsidR="00CF0E3D" w:rsidRDefault="00CF0E3D" w:rsidP="00CF0E3D">
      <w:pPr>
        <w:pStyle w:val="paragraph"/>
      </w:pPr>
      <w:r w:rsidRPr="00CE5ECF">
        <w:tab/>
        <w:t>(b)</w:t>
      </w:r>
      <w:r>
        <w:tab/>
        <w:t>for a body corporate―$250,000.</w:t>
      </w:r>
    </w:p>
    <w:p w14:paraId="0FAABCAE" w14:textId="77777777" w:rsidR="00CF0E3D" w:rsidRPr="00E64A41" w:rsidRDefault="00CF0E3D" w:rsidP="00CF0E3D">
      <w:pPr>
        <w:pStyle w:val="subsection"/>
        <w:sectPr w:rsidR="00CF0E3D" w:rsidRPr="00E64A41" w:rsidSect="00C81B0F">
          <w:headerReference w:type="even" r:id="rId13"/>
          <w:headerReference w:type="default" r:id="rId14"/>
          <w:footerReference w:type="even" r:id="rId15"/>
          <w:pgSz w:w="11907" w:h="16839" w:code="9"/>
          <w:pgMar w:top="2234" w:right="1797" w:bottom="1440" w:left="1797" w:header="720" w:footer="709" w:gutter="0"/>
          <w:cols w:space="708"/>
          <w:docGrid w:linePitch="360"/>
        </w:sectPr>
      </w:pPr>
    </w:p>
    <w:p w14:paraId="2415208D" w14:textId="77777777" w:rsidR="00CF0E3D" w:rsidRDefault="00CF0E3D" w:rsidP="00CF0E3D">
      <w:pPr>
        <w:pStyle w:val="ActHead2"/>
      </w:pPr>
      <w:bookmarkStart w:id="442" w:name="_Toc11771659"/>
      <w:bookmarkStart w:id="443" w:name="_Toc77064992"/>
      <w:r>
        <w:lastRenderedPageBreak/>
        <w:t>Part 6—Rules relating to dispute resolution</w:t>
      </w:r>
      <w:bookmarkEnd w:id="442"/>
      <w:bookmarkEnd w:id="443"/>
    </w:p>
    <w:p w14:paraId="598E83AF" w14:textId="77777777" w:rsidR="00CF0E3D" w:rsidRPr="00E1300D" w:rsidRDefault="00CF0E3D" w:rsidP="00CF0E3D">
      <w:pPr>
        <w:pStyle w:val="ActHead5"/>
        <w:rPr>
          <w:color w:val="000000" w:themeColor="text1"/>
        </w:rPr>
      </w:pPr>
      <w:bookmarkStart w:id="444" w:name="_Toc77064993"/>
      <w:bookmarkStart w:id="445" w:name="_Toc11771660"/>
      <w:r>
        <w:rPr>
          <w:color w:val="000000" w:themeColor="text1"/>
        </w:rPr>
        <w:t>6.1</w:t>
      </w:r>
      <w:r w:rsidRPr="00E1300D">
        <w:rPr>
          <w:color w:val="000000" w:themeColor="text1"/>
        </w:rPr>
        <w:t xml:space="preserve">  Requirement for data holders―internal dispute resolution</w:t>
      </w:r>
      <w:bookmarkEnd w:id="444"/>
    </w:p>
    <w:p w14:paraId="4B5EAED5" w14:textId="77777777" w:rsidR="00CF0E3D" w:rsidRPr="00E1300D" w:rsidRDefault="00CF0E3D" w:rsidP="00CF0E3D">
      <w:pPr>
        <w:pStyle w:val="subsection"/>
        <w:rPr>
          <w:color w:val="000000" w:themeColor="text1"/>
        </w:rPr>
      </w:pPr>
      <w:r w:rsidRPr="00E1300D">
        <w:rPr>
          <w:color w:val="000000" w:themeColor="text1"/>
        </w:rPr>
        <w:tab/>
      </w:r>
      <w:r w:rsidRPr="00E1300D">
        <w:rPr>
          <w:color w:val="000000" w:themeColor="text1"/>
        </w:rPr>
        <w:tab/>
        <w:t xml:space="preserve">A data holder in relation to a particular designated sector must have internal dispute resolution </w:t>
      </w:r>
      <w:r w:rsidRPr="00814B1D">
        <w:t xml:space="preserve">processes </w:t>
      </w:r>
      <w:r w:rsidRPr="00E1300D">
        <w:rPr>
          <w:color w:val="000000" w:themeColor="text1"/>
        </w:rPr>
        <w:t>that meet the internal dispute resolution requirements in relation to that sector.</w:t>
      </w:r>
    </w:p>
    <w:p w14:paraId="0D3FE5EF" w14:textId="64A554B8" w:rsidR="00994C1B" w:rsidRPr="00693A57" w:rsidRDefault="00CF0E3D" w:rsidP="00994C1B">
      <w:pPr>
        <w:pStyle w:val="notetext"/>
        <w:rPr>
          <w:color w:val="FF0000"/>
        </w:rPr>
      </w:pPr>
      <w:r w:rsidRPr="00693A57">
        <w:rPr>
          <w:color w:val="FF0000"/>
        </w:rPr>
        <w:t>Note 1:</w:t>
      </w:r>
      <w:r w:rsidRPr="00693A57">
        <w:rPr>
          <w:color w:val="FF0000"/>
        </w:rPr>
        <w:tab/>
      </w:r>
      <w:r w:rsidR="00994C1B" w:rsidRPr="00693A57">
        <w:rPr>
          <w:color w:val="FF0000"/>
        </w:rPr>
        <w:t>See rule 1.7 for the meaning of “meets the internal dispute resolution requirements”.  See also:</w:t>
      </w:r>
    </w:p>
    <w:p w14:paraId="6764CC00" w14:textId="77777777" w:rsidR="00994C1B" w:rsidRPr="00693A57" w:rsidRDefault="00994C1B" w:rsidP="007D5353">
      <w:pPr>
        <w:pStyle w:val="notepara"/>
        <w:numPr>
          <w:ilvl w:val="0"/>
          <w:numId w:val="11"/>
        </w:numPr>
        <w:rPr>
          <w:color w:val="FF0000"/>
        </w:rPr>
      </w:pPr>
      <w:r w:rsidRPr="00693A57">
        <w:rPr>
          <w:color w:val="FF0000"/>
        </w:rPr>
        <w:t>for the banking sector—clause 5.1 of Schedule 3;</w:t>
      </w:r>
    </w:p>
    <w:p w14:paraId="20F31576" w14:textId="7CF837C0" w:rsidR="00994C1B" w:rsidRPr="00693A57" w:rsidRDefault="00994C1B" w:rsidP="007D5353">
      <w:pPr>
        <w:pStyle w:val="notepara"/>
        <w:numPr>
          <w:ilvl w:val="0"/>
          <w:numId w:val="11"/>
        </w:numPr>
        <w:rPr>
          <w:color w:val="FF0000"/>
        </w:rPr>
      </w:pPr>
      <w:r w:rsidRPr="00693A57">
        <w:rPr>
          <w:color w:val="FF0000"/>
        </w:rPr>
        <w:t>for the energy sector—clause </w:t>
      </w:r>
      <w:r w:rsidR="00D848A0" w:rsidRPr="00693A57">
        <w:rPr>
          <w:color w:val="FF0000"/>
        </w:rPr>
        <w:fldChar w:fldCharType="begin" w:fldLock="1"/>
      </w:r>
      <w:r w:rsidR="00D848A0" w:rsidRPr="00693A57">
        <w:rPr>
          <w:color w:val="FF0000"/>
        </w:rPr>
        <w:instrText xml:space="preserve"> REF _Ref62468104 \n </w:instrText>
      </w:r>
      <w:r w:rsidR="00D848A0" w:rsidRPr="00693A57">
        <w:rPr>
          <w:color w:val="FF0000"/>
        </w:rPr>
        <w:fldChar w:fldCharType="separate"/>
      </w:r>
      <w:r w:rsidR="000F7228">
        <w:rPr>
          <w:color w:val="FF0000"/>
        </w:rPr>
        <w:t>5.1</w:t>
      </w:r>
      <w:r w:rsidR="00D848A0" w:rsidRPr="00693A57">
        <w:rPr>
          <w:color w:val="FF0000"/>
        </w:rPr>
        <w:fldChar w:fldCharType="end"/>
      </w:r>
      <w:r w:rsidR="00D848A0" w:rsidRPr="00693A57">
        <w:rPr>
          <w:color w:val="FF0000"/>
        </w:rPr>
        <w:t xml:space="preserve"> </w:t>
      </w:r>
      <w:r w:rsidRPr="00693A57">
        <w:rPr>
          <w:color w:val="FF0000"/>
        </w:rPr>
        <w:t>of Schedule 4.</w:t>
      </w:r>
    </w:p>
    <w:p w14:paraId="0A660E8E" w14:textId="11B61B79" w:rsidR="00CF0E3D" w:rsidRPr="00693A57" w:rsidRDefault="005032E9" w:rsidP="00CF0E3D">
      <w:pPr>
        <w:pStyle w:val="notetext"/>
        <w:rPr>
          <w:strike/>
          <w:color w:val="FF0000"/>
        </w:rPr>
      </w:pPr>
      <w:r w:rsidRPr="00693A57">
        <w:rPr>
          <w:strike/>
          <w:color w:val="FF0000"/>
        </w:rPr>
        <w:t>Note 1:</w:t>
      </w:r>
      <w:r w:rsidR="00994C1B" w:rsidRPr="00693A57">
        <w:rPr>
          <w:strike/>
          <w:color w:val="FF0000"/>
        </w:rPr>
        <w:tab/>
      </w:r>
      <w:r w:rsidR="00CF0E3D" w:rsidRPr="00693A57">
        <w:rPr>
          <w:strike/>
          <w:color w:val="FF0000"/>
        </w:rPr>
        <w:t>See the definition of “meets the internal dispute resolution requirements</w:t>
      </w:r>
      <w:r w:rsidR="00994C1B" w:rsidRPr="00693A57">
        <w:rPr>
          <w:strike/>
          <w:color w:val="FF0000"/>
        </w:rPr>
        <w:t>”</w:t>
      </w:r>
      <w:r w:rsidR="00CF0E3D" w:rsidRPr="00693A57">
        <w:rPr>
          <w:strike/>
          <w:color w:val="FF0000"/>
        </w:rPr>
        <w:t>in relation to the banking sector in subrule 1.7(1), see and clause 5.1 of Schedule 3.</w:t>
      </w:r>
    </w:p>
    <w:p w14:paraId="084903A7" w14:textId="77777777" w:rsidR="00CF0E3D" w:rsidRPr="00814B1D" w:rsidRDefault="00CF0E3D" w:rsidP="00CF0E3D">
      <w:pPr>
        <w:pStyle w:val="notetext"/>
      </w:pPr>
      <w:r w:rsidRPr="00E1300D">
        <w:rPr>
          <w:color w:val="000000" w:themeColor="text1"/>
        </w:rPr>
        <w:t>Note 2:</w:t>
      </w:r>
      <w:r w:rsidRPr="00E1300D">
        <w:rPr>
          <w:color w:val="000000" w:themeColor="text1"/>
        </w:rPr>
        <w:tab/>
      </w:r>
      <w:r w:rsidRPr="00814B1D">
        <w:t>An accredited person must also have internal dispute resolution processes that meet those internal dispute resolution requirements: see paragraph </w:t>
      </w:r>
      <w:r>
        <w:t>5.12(1)(b)</w:t>
      </w:r>
      <w:r w:rsidRPr="00814B1D">
        <w:t>.</w:t>
      </w:r>
    </w:p>
    <w:p w14:paraId="741DDBA1" w14:textId="68001165" w:rsidR="00CF0E3D" w:rsidRDefault="00CF0E3D" w:rsidP="00CF0E3D">
      <w:pPr>
        <w:pStyle w:val="notetext"/>
        <w:rPr>
          <w:color w:val="000000" w:themeColor="text1"/>
        </w:rPr>
      </w:pPr>
      <w:r w:rsidRPr="00814B1D">
        <w:t>Note 3:</w:t>
      </w:r>
      <w:r w:rsidRPr="00814B1D">
        <w:tab/>
      </w:r>
      <w:r w:rsidRPr="00E1300D">
        <w:rPr>
          <w:color w:val="000000" w:themeColor="text1"/>
        </w:rPr>
        <w:t>This rule is a civil penalty provision (see rule </w:t>
      </w:r>
      <w:r>
        <w:rPr>
          <w:color w:val="000000" w:themeColor="text1"/>
        </w:rPr>
        <w:t>9.8</w:t>
      </w:r>
      <w:r w:rsidRPr="00E1300D">
        <w:rPr>
          <w:color w:val="000000" w:themeColor="text1"/>
        </w:rPr>
        <w:t>).</w:t>
      </w:r>
      <w:bookmarkEnd w:id="445"/>
    </w:p>
    <w:p w14:paraId="387FB802" w14:textId="77777777" w:rsidR="00CF0E3D" w:rsidRPr="001151F8" w:rsidRDefault="00CF0E3D" w:rsidP="00CF0E3D">
      <w:pPr>
        <w:pStyle w:val="ActHead5"/>
      </w:pPr>
      <w:bookmarkStart w:id="446" w:name="_Toc77064994"/>
      <w:r>
        <w:t>6.2</w:t>
      </w:r>
      <w:r w:rsidRPr="001151F8">
        <w:t xml:space="preserve">  Requirement for data holders―external dispute resolution</w:t>
      </w:r>
      <w:bookmarkEnd w:id="446"/>
    </w:p>
    <w:p w14:paraId="16C2FCC5" w14:textId="77777777" w:rsidR="00CF0E3D" w:rsidRPr="001151F8" w:rsidRDefault="00CF0E3D" w:rsidP="00CF0E3D">
      <w:pPr>
        <w:pStyle w:val="subsection"/>
      </w:pPr>
      <w:r w:rsidRPr="001151F8">
        <w:tab/>
      </w:r>
      <w:r w:rsidRPr="001151F8">
        <w:tab/>
        <w:t>A data holder must be a member of a recognised external dispute resolution scheme in relation to CDR consumer complaints.</w:t>
      </w:r>
    </w:p>
    <w:p w14:paraId="5167D573" w14:textId="77777777" w:rsidR="00CF0E3D" w:rsidRPr="001151F8" w:rsidRDefault="00CF0E3D" w:rsidP="00CF0E3D">
      <w:pPr>
        <w:pStyle w:val="notetext"/>
      </w:pPr>
      <w:r w:rsidRPr="001151F8">
        <w:t>Note 1:</w:t>
      </w:r>
      <w:r w:rsidRPr="001151F8">
        <w:tab/>
        <w:t>See the definition of “recognised external dispute resolution scheme” in subrule </w:t>
      </w:r>
      <w:r>
        <w:t>1.7(1)</w:t>
      </w:r>
      <w:r w:rsidRPr="001151F8">
        <w:t>, and see subrule </w:t>
      </w:r>
      <w:r>
        <w:t>1.7(3)</w:t>
      </w:r>
      <w:r w:rsidRPr="001151F8">
        <w:t xml:space="preserve"> for the interpretation of references to “data holder”.</w:t>
      </w:r>
    </w:p>
    <w:p w14:paraId="17748C59" w14:textId="73664612" w:rsidR="00CF0E3D" w:rsidRPr="00693A57" w:rsidRDefault="00CF0E3D" w:rsidP="00CF0E3D">
      <w:pPr>
        <w:pStyle w:val="notetext"/>
        <w:rPr>
          <w:color w:val="FF0000"/>
        </w:rPr>
      </w:pPr>
      <w:r w:rsidRPr="001151F8">
        <w:t>Note 2:</w:t>
      </w:r>
      <w:r w:rsidRPr="001151F8">
        <w:tab/>
      </w:r>
      <w:r w:rsidRPr="00814B1D">
        <w:t>An accredited person must also be a member of such a recognised external dispute resolution scheme: see paragraph </w:t>
      </w:r>
      <w:r>
        <w:t>5.12(1)(c)</w:t>
      </w:r>
      <w:r w:rsidRPr="00814B1D">
        <w:t>.</w:t>
      </w:r>
      <w:r w:rsidR="00D848A0">
        <w:t xml:space="preserve">  </w:t>
      </w:r>
      <w:r w:rsidR="00D848A0" w:rsidRPr="00693A57">
        <w:rPr>
          <w:color w:val="FF0000"/>
        </w:rPr>
        <w:t xml:space="preserve">See also clause </w:t>
      </w:r>
      <w:r w:rsidR="00D848A0" w:rsidRPr="00693A57">
        <w:rPr>
          <w:color w:val="FF0000"/>
        </w:rPr>
        <w:fldChar w:fldCharType="begin" w:fldLock="1"/>
      </w:r>
      <w:r w:rsidR="00D848A0" w:rsidRPr="00693A57">
        <w:rPr>
          <w:color w:val="FF0000"/>
        </w:rPr>
        <w:instrText xml:space="preserve"> REF _Ref76052277 \n </w:instrText>
      </w:r>
      <w:r w:rsidR="00D848A0" w:rsidRPr="00693A57">
        <w:rPr>
          <w:color w:val="FF0000"/>
        </w:rPr>
        <w:fldChar w:fldCharType="separate"/>
      </w:r>
      <w:r w:rsidR="000F7228">
        <w:rPr>
          <w:color w:val="FF0000"/>
        </w:rPr>
        <w:t>5.2</w:t>
      </w:r>
      <w:r w:rsidR="00D848A0" w:rsidRPr="00693A57">
        <w:rPr>
          <w:color w:val="FF0000"/>
        </w:rPr>
        <w:fldChar w:fldCharType="end"/>
      </w:r>
      <w:r w:rsidR="00D848A0" w:rsidRPr="00693A57">
        <w:rPr>
          <w:color w:val="FF0000"/>
        </w:rPr>
        <w:t xml:space="preserve"> of Schedule 4.</w:t>
      </w:r>
    </w:p>
    <w:p w14:paraId="6D38F790" w14:textId="10E357BF" w:rsidR="00CF0E3D" w:rsidRPr="00930BF8" w:rsidRDefault="00CF0E3D" w:rsidP="00CF0E3D">
      <w:pPr>
        <w:pStyle w:val="notetext"/>
      </w:pPr>
      <w:r w:rsidRPr="00930BF8">
        <w:t>Note 3:</w:t>
      </w:r>
      <w:r w:rsidRPr="00930BF8">
        <w:tab/>
        <w:t>This rule is a civil penalty provision (see rule 9.8).</w:t>
      </w:r>
      <w:r w:rsidR="00D848A0" w:rsidRPr="00930BF8">
        <w:t xml:space="preserve"> </w:t>
      </w:r>
    </w:p>
    <w:p w14:paraId="3D7E4939" w14:textId="77777777" w:rsidR="00CF0E3D" w:rsidRPr="00E1300D" w:rsidRDefault="00CF0E3D" w:rsidP="00CF0E3D">
      <w:pPr>
        <w:pStyle w:val="notetext"/>
        <w:rPr>
          <w:color w:val="000000" w:themeColor="text1"/>
        </w:rPr>
      </w:pPr>
    </w:p>
    <w:p w14:paraId="30CBD791" w14:textId="77777777" w:rsidR="00CF0E3D" w:rsidRPr="00E64A41" w:rsidRDefault="00CF0E3D" w:rsidP="00CF0E3D">
      <w:pPr>
        <w:pStyle w:val="subsection"/>
        <w:sectPr w:rsidR="00CF0E3D" w:rsidRPr="00E64A41" w:rsidSect="00C81B0F">
          <w:headerReference w:type="even" r:id="rId16"/>
          <w:headerReference w:type="default" r:id="rId17"/>
          <w:footerReference w:type="even" r:id="rId18"/>
          <w:pgSz w:w="11907" w:h="16839" w:code="9"/>
          <w:pgMar w:top="2234" w:right="1797" w:bottom="1440" w:left="1797" w:header="720" w:footer="709" w:gutter="0"/>
          <w:cols w:space="708"/>
          <w:docGrid w:linePitch="360"/>
        </w:sectPr>
      </w:pPr>
    </w:p>
    <w:p w14:paraId="17199092" w14:textId="77777777" w:rsidR="00CF0E3D" w:rsidRDefault="00CF0E3D" w:rsidP="00CF0E3D">
      <w:pPr>
        <w:pStyle w:val="ActHead2"/>
      </w:pPr>
      <w:bookmarkStart w:id="447" w:name="_Toc11771663"/>
      <w:bookmarkStart w:id="448" w:name="_Toc77064995"/>
      <w:r>
        <w:lastRenderedPageBreak/>
        <w:t>Part 7—Rules relating to privacy safeguards</w:t>
      </w:r>
      <w:bookmarkEnd w:id="447"/>
      <w:bookmarkEnd w:id="448"/>
    </w:p>
    <w:p w14:paraId="4ACC0209" w14:textId="77777777" w:rsidR="00CF0E3D" w:rsidRPr="00B3173B" w:rsidRDefault="00CF0E3D" w:rsidP="00CF0E3D">
      <w:pPr>
        <w:pStyle w:val="ActHead3"/>
      </w:pPr>
      <w:bookmarkStart w:id="449" w:name="_Toc11771664"/>
      <w:bookmarkStart w:id="450" w:name="_Toc77064996"/>
      <w:r>
        <w:t>Division 7.1</w:t>
      </w:r>
      <w:r w:rsidRPr="00B3173B">
        <w:t>—Preliminary</w:t>
      </w:r>
      <w:bookmarkEnd w:id="449"/>
      <w:bookmarkEnd w:id="450"/>
    </w:p>
    <w:p w14:paraId="0F76FAAD" w14:textId="77777777" w:rsidR="00CF0E3D" w:rsidRPr="00B3173B" w:rsidRDefault="00CF0E3D" w:rsidP="00CF0E3D">
      <w:pPr>
        <w:pStyle w:val="ActHead5"/>
      </w:pPr>
      <w:bookmarkStart w:id="451" w:name="_Toc11771665"/>
      <w:bookmarkStart w:id="452" w:name="_Toc77064997"/>
      <w:r>
        <w:t>7.1</w:t>
      </w:r>
      <w:r w:rsidRPr="00B3173B">
        <w:t xml:space="preserve">  Simplified outline of this Part</w:t>
      </w:r>
      <w:bookmarkEnd w:id="451"/>
      <w:bookmarkEnd w:id="452"/>
    </w:p>
    <w:p w14:paraId="627B656F" w14:textId="77777777" w:rsidR="00CF0E3D" w:rsidRPr="003F3AC9" w:rsidRDefault="00CF0E3D" w:rsidP="00CF0E3D">
      <w:pPr>
        <w:pStyle w:val="SOText"/>
      </w:pPr>
      <w:r>
        <w:rPr>
          <w:color w:val="000000"/>
        </w:rPr>
        <w:t xml:space="preserve">The privacy safeguards are an additional protection given to CDR data under Part IV of the Act. The privacy safeguards </w:t>
      </w:r>
      <w:r>
        <w:rPr>
          <w:color w:val="000000"/>
          <w:szCs w:val="22"/>
          <w:shd w:val="clear" w:color="auto" w:fill="FFFFFF"/>
        </w:rPr>
        <w:t>apply only to CDR data for which there are one or more CDR consumers (</w:t>
      </w:r>
      <w:r w:rsidRPr="001A26F9">
        <w:rPr>
          <w:szCs w:val="22"/>
          <w:shd w:val="clear" w:color="auto" w:fill="FFFFFF"/>
        </w:rPr>
        <w:t xml:space="preserve">such as </w:t>
      </w:r>
      <w:r>
        <w:rPr>
          <w:color w:val="000000"/>
          <w:szCs w:val="22"/>
          <w:shd w:val="clear" w:color="auto" w:fill="FFFFFF"/>
        </w:rPr>
        <w:t xml:space="preserve">required consumer </w:t>
      </w:r>
      <w:r w:rsidRPr="003F3AC9">
        <w:rPr>
          <w:szCs w:val="22"/>
          <w:shd w:val="clear" w:color="auto" w:fill="FFFFFF"/>
        </w:rPr>
        <w:t>data and voluntary consumer data); they do not apply to CDR data for which there are no CDR consumers (such as required product data and voluntary product data).</w:t>
      </w:r>
    </w:p>
    <w:p w14:paraId="32EF4212" w14:textId="77777777" w:rsidR="00CF0E3D" w:rsidRPr="003F3AC9" w:rsidRDefault="00CF0E3D" w:rsidP="00CF0E3D">
      <w:pPr>
        <w:pStyle w:val="SOText"/>
      </w:pPr>
      <w:r w:rsidRPr="003F3AC9">
        <w:t>Several of the privacy safeguards depend on matters specified in these rules for their operation. This Part sets out the rules that relate to the privacy safeguards.</w:t>
      </w:r>
    </w:p>
    <w:p w14:paraId="1FC671DA" w14:textId="77777777" w:rsidR="00CF0E3D" w:rsidRPr="003F3AC9" w:rsidRDefault="00CF0E3D" w:rsidP="00CF0E3D">
      <w:pPr>
        <w:pStyle w:val="SOText"/>
      </w:pPr>
      <w:r w:rsidRPr="003F3AC9">
        <w:t xml:space="preserve">This Part also sets out some additional civil penalty provisions </w:t>
      </w:r>
      <w:r w:rsidRPr="003F3AC9">
        <w:rPr>
          <w:szCs w:val="22"/>
          <w:shd w:val="clear" w:color="auto" w:fill="FFFFFF"/>
        </w:rPr>
        <w:t>that protect the privacy or confidentiality of CDR consumers’ CDR data</w:t>
      </w:r>
      <w:r w:rsidRPr="003F3AC9">
        <w:t>.</w:t>
      </w:r>
    </w:p>
    <w:p w14:paraId="1B0A6C59" w14:textId="77777777" w:rsidR="00CF0E3D" w:rsidRDefault="00CF0E3D" w:rsidP="00CF0E3D">
      <w:pPr>
        <w:pStyle w:val="ActHead3"/>
        <w:pageBreakBefore/>
      </w:pPr>
      <w:bookmarkStart w:id="453" w:name="_Toc11771666"/>
      <w:bookmarkStart w:id="454" w:name="_Toc77064998"/>
      <w:r>
        <w:lastRenderedPageBreak/>
        <w:t>Division 7.2—Rules relating to privacy safeguards</w:t>
      </w:r>
      <w:bookmarkEnd w:id="453"/>
      <w:bookmarkEnd w:id="454"/>
    </w:p>
    <w:p w14:paraId="79EB55FD" w14:textId="77777777" w:rsidR="00CF0E3D" w:rsidRPr="00865C66" w:rsidRDefault="00CF0E3D" w:rsidP="00CF0E3D">
      <w:pPr>
        <w:pStyle w:val="ActHead4"/>
      </w:pPr>
      <w:bookmarkStart w:id="455" w:name="_Toc11771667"/>
      <w:bookmarkStart w:id="456" w:name="_Toc77064999"/>
      <w:r>
        <w:t>Subdivision 7.2.1—Rules relating to consideration of CDR data privacy</w:t>
      </w:r>
      <w:bookmarkEnd w:id="455"/>
      <w:bookmarkEnd w:id="456"/>
    </w:p>
    <w:p w14:paraId="239BCA4C" w14:textId="7A76EBE8" w:rsidR="000A0BC8" w:rsidRPr="00693A57" w:rsidRDefault="000A0BC8" w:rsidP="000A0BC8">
      <w:pPr>
        <w:pStyle w:val="ActHead5"/>
        <w:rPr>
          <w:color w:val="FF0000"/>
        </w:rPr>
      </w:pPr>
      <w:bookmarkStart w:id="457" w:name="_Toc77065000"/>
      <w:bookmarkStart w:id="458" w:name="_Toc11771669"/>
      <w:r w:rsidRPr="00693A57">
        <w:rPr>
          <w:color w:val="FF0000"/>
        </w:rPr>
        <w:t>7.2  Rule relating to privacy safeguard 1—open and transparent management of CDR data</w:t>
      </w:r>
      <w:bookmarkEnd w:id="457"/>
    </w:p>
    <w:p w14:paraId="2AAC8932" w14:textId="77777777" w:rsidR="000A0BC8" w:rsidRPr="00693A57" w:rsidRDefault="000A0BC8" w:rsidP="000A0BC8">
      <w:pPr>
        <w:pStyle w:val="SubsectionHead"/>
        <w:rPr>
          <w:color w:val="FF0000"/>
        </w:rPr>
      </w:pPr>
      <w:r w:rsidRPr="00693A57">
        <w:rPr>
          <w:color w:val="FF0000"/>
        </w:rPr>
        <w:t>Policy about the management of CDR data</w:t>
      </w:r>
    </w:p>
    <w:p w14:paraId="381816DC" w14:textId="77777777" w:rsidR="000A0BC8" w:rsidRPr="00693A57" w:rsidRDefault="000A0BC8" w:rsidP="000A0BC8">
      <w:pPr>
        <w:pStyle w:val="subsection"/>
        <w:rPr>
          <w:color w:val="FF0000"/>
        </w:rPr>
      </w:pPr>
      <w:r w:rsidRPr="00693A57">
        <w:rPr>
          <w:color w:val="FF0000"/>
        </w:rPr>
        <w:tab/>
        <w:t>(1)</w:t>
      </w:r>
      <w:r w:rsidRPr="00693A57">
        <w:rPr>
          <w:color w:val="FF0000"/>
        </w:rPr>
        <w:tab/>
        <w:t>For paragraph 56ED(3)(b) of the Act, the Information Commissioner may approve a form for a CDR policy.</w:t>
      </w:r>
    </w:p>
    <w:p w14:paraId="0F31CBA5" w14:textId="6CF10FB0" w:rsidR="000A0BC8" w:rsidRPr="00693A57" w:rsidRDefault="000A0BC8" w:rsidP="000A0BC8">
      <w:pPr>
        <w:pStyle w:val="subsection"/>
        <w:rPr>
          <w:color w:val="FF0000"/>
        </w:rPr>
      </w:pPr>
      <w:r w:rsidRPr="00693A57">
        <w:rPr>
          <w:color w:val="FF0000"/>
        </w:rPr>
        <w:tab/>
        <w:t>(2)</w:t>
      </w:r>
      <w:r w:rsidRPr="00693A57">
        <w:rPr>
          <w:color w:val="FF0000"/>
        </w:rPr>
        <w:tab/>
        <w:t>For pa</w:t>
      </w:r>
      <w:r w:rsidR="001B6D39" w:rsidRPr="00693A57">
        <w:rPr>
          <w:color w:val="FF0000"/>
        </w:rPr>
        <w:t>ragraph 56ED(3)(b) of the Act, the</w:t>
      </w:r>
      <w:r w:rsidRPr="00693A57">
        <w:rPr>
          <w:color w:val="FF0000"/>
        </w:rPr>
        <w:t xml:space="preserve"> CDR entity’s CDR policy must be in the form of a document that is distinct from any of the CDR entity’s privacy policies.</w:t>
      </w:r>
    </w:p>
    <w:p w14:paraId="045E24A1" w14:textId="77777777" w:rsidR="000A0BC8" w:rsidRPr="00693A57" w:rsidRDefault="000A0BC8" w:rsidP="000A0BC8">
      <w:pPr>
        <w:pStyle w:val="SubsectionHead"/>
        <w:rPr>
          <w:color w:val="FF0000"/>
        </w:rPr>
      </w:pPr>
      <w:r w:rsidRPr="00693A57">
        <w:rPr>
          <w:color w:val="FF0000"/>
        </w:rPr>
        <w:t>Additional information for CDR policy</w:t>
      </w:r>
    </w:p>
    <w:p w14:paraId="2AAFE3FF" w14:textId="23E84F24" w:rsidR="000A0BC8" w:rsidRPr="00693A57" w:rsidRDefault="000A0BC8" w:rsidP="000A0BC8">
      <w:pPr>
        <w:pStyle w:val="subsection"/>
        <w:rPr>
          <w:color w:val="FF0000"/>
        </w:rPr>
      </w:pPr>
      <w:r w:rsidRPr="00693A57">
        <w:rPr>
          <w:color w:val="FF0000"/>
        </w:rPr>
        <w:tab/>
        <w:t>(3)</w:t>
      </w:r>
      <w:r w:rsidRPr="00693A57">
        <w:rPr>
          <w:color w:val="FF0000"/>
        </w:rPr>
        <w:tab/>
        <w:t xml:space="preserve">In addition to the information referred to in subsection 56ED(4) of the Act, </w:t>
      </w:r>
      <w:r w:rsidR="001B6D39" w:rsidRPr="00693A57">
        <w:rPr>
          <w:color w:val="FF0000"/>
        </w:rPr>
        <w:t>the</w:t>
      </w:r>
      <w:r w:rsidRPr="00693A57">
        <w:rPr>
          <w:color w:val="FF0000"/>
        </w:rPr>
        <w:t xml:space="preserve"> data holder’s CDR policy must indicate:</w:t>
      </w:r>
    </w:p>
    <w:p w14:paraId="38CA6742" w14:textId="77777777" w:rsidR="000A0BC8" w:rsidRPr="00693A57" w:rsidRDefault="000A0BC8" w:rsidP="000A0BC8">
      <w:pPr>
        <w:pStyle w:val="paragraph"/>
        <w:rPr>
          <w:color w:val="FF0000"/>
        </w:rPr>
      </w:pPr>
      <w:r w:rsidRPr="00693A57">
        <w:rPr>
          <w:color w:val="FF0000"/>
        </w:rPr>
        <w:tab/>
        <w:t>(a)</w:t>
      </w:r>
      <w:r w:rsidRPr="00693A57">
        <w:rPr>
          <w:color w:val="FF0000"/>
        </w:rPr>
        <w:tab/>
        <w:t>whether it accepts requests for:</w:t>
      </w:r>
    </w:p>
    <w:p w14:paraId="47E81C9A" w14:textId="77777777" w:rsidR="000A0BC8" w:rsidRPr="00693A57" w:rsidRDefault="000A0BC8" w:rsidP="000A0BC8">
      <w:pPr>
        <w:pStyle w:val="paragraphsub"/>
        <w:rPr>
          <w:color w:val="FF0000"/>
        </w:rPr>
      </w:pPr>
      <w:r w:rsidRPr="00693A57">
        <w:rPr>
          <w:color w:val="FF0000"/>
        </w:rPr>
        <w:tab/>
        <w:t>(i)</w:t>
      </w:r>
      <w:r w:rsidRPr="00693A57">
        <w:rPr>
          <w:color w:val="FF0000"/>
        </w:rPr>
        <w:tab/>
        <w:t>voluntary product data; or</w:t>
      </w:r>
    </w:p>
    <w:p w14:paraId="2E9E20AE" w14:textId="77777777" w:rsidR="000A0BC8" w:rsidRPr="00693A57" w:rsidRDefault="000A0BC8" w:rsidP="000A0BC8">
      <w:pPr>
        <w:pStyle w:val="paragraphsub"/>
        <w:rPr>
          <w:color w:val="FF0000"/>
        </w:rPr>
      </w:pPr>
      <w:r w:rsidRPr="00693A57">
        <w:rPr>
          <w:color w:val="FF0000"/>
        </w:rPr>
        <w:tab/>
        <w:t>(ii)</w:t>
      </w:r>
      <w:r w:rsidRPr="00693A57">
        <w:rPr>
          <w:color w:val="FF0000"/>
        </w:rPr>
        <w:tab/>
        <w:t>voluntary consumer data; and</w:t>
      </w:r>
    </w:p>
    <w:p w14:paraId="035879CC" w14:textId="77777777" w:rsidR="000A0BC8" w:rsidRPr="00693A57" w:rsidRDefault="000A0BC8" w:rsidP="000A0BC8">
      <w:pPr>
        <w:pStyle w:val="paragraph"/>
        <w:rPr>
          <w:color w:val="FF0000"/>
        </w:rPr>
      </w:pPr>
      <w:r w:rsidRPr="00693A57">
        <w:rPr>
          <w:color w:val="FF0000"/>
        </w:rPr>
        <w:tab/>
        <w:t>(b)</w:t>
      </w:r>
      <w:r w:rsidRPr="00693A57">
        <w:rPr>
          <w:color w:val="FF0000"/>
        </w:rPr>
        <w:tab/>
        <w:t>if so:</w:t>
      </w:r>
    </w:p>
    <w:p w14:paraId="74453EA1" w14:textId="77777777" w:rsidR="000A0BC8" w:rsidRPr="00693A57" w:rsidRDefault="000A0BC8" w:rsidP="000A0BC8">
      <w:pPr>
        <w:pStyle w:val="paragraphsub"/>
        <w:rPr>
          <w:color w:val="FF0000"/>
        </w:rPr>
      </w:pPr>
      <w:r w:rsidRPr="00693A57">
        <w:rPr>
          <w:color w:val="FF0000"/>
        </w:rPr>
        <w:tab/>
        <w:t>(i)</w:t>
      </w:r>
      <w:r w:rsidRPr="00693A57">
        <w:rPr>
          <w:color w:val="FF0000"/>
        </w:rPr>
        <w:tab/>
        <w:t>whether it charges fees for disclosure of such data; and</w:t>
      </w:r>
    </w:p>
    <w:p w14:paraId="1F80972F" w14:textId="77777777" w:rsidR="000A0BC8" w:rsidRPr="00693A57" w:rsidRDefault="000A0BC8" w:rsidP="000A0BC8">
      <w:pPr>
        <w:pStyle w:val="paragraphsub"/>
        <w:rPr>
          <w:color w:val="FF0000"/>
        </w:rPr>
      </w:pPr>
      <w:r w:rsidRPr="00693A57">
        <w:rPr>
          <w:color w:val="FF0000"/>
        </w:rPr>
        <w:tab/>
        <w:t>(ii)</w:t>
      </w:r>
      <w:r w:rsidRPr="00693A57">
        <w:rPr>
          <w:color w:val="FF0000"/>
        </w:rPr>
        <w:tab/>
        <w:t>if it does―how information about those fees can be obtained.</w:t>
      </w:r>
    </w:p>
    <w:p w14:paraId="2334A0BF" w14:textId="6E5F8BAD" w:rsidR="000A0BC8" w:rsidRPr="00693A57" w:rsidRDefault="000A0BC8" w:rsidP="000A0BC8">
      <w:pPr>
        <w:pStyle w:val="subsection"/>
        <w:rPr>
          <w:color w:val="FF0000"/>
        </w:rPr>
      </w:pPr>
      <w:r w:rsidRPr="00693A57">
        <w:rPr>
          <w:color w:val="FF0000"/>
        </w:rPr>
        <w:tab/>
        <w:t>(4)</w:t>
      </w:r>
      <w:r w:rsidRPr="00693A57">
        <w:rPr>
          <w:color w:val="FF0000"/>
        </w:rPr>
        <w:tab/>
        <w:t>In addition to the information referred to in subsection 56ED(5) of the Act, the CDR policy of an accredited person who is or who may become an accredited data recipient of CDR data must</w:t>
      </w:r>
      <w:r w:rsidR="001B6D39" w:rsidRPr="00693A57">
        <w:rPr>
          <w:color w:val="FF0000"/>
        </w:rPr>
        <w:t xml:space="preserve"> include the following</w:t>
      </w:r>
      <w:r w:rsidRPr="00693A57">
        <w:rPr>
          <w:color w:val="FF0000"/>
        </w:rPr>
        <w:t>:</w:t>
      </w:r>
    </w:p>
    <w:p w14:paraId="35077B7B" w14:textId="10D898BB" w:rsidR="000A0BC8" w:rsidRPr="00913BA7" w:rsidRDefault="000A0BC8" w:rsidP="000A0BC8">
      <w:pPr>
        <w:pStyle w:val="paragraph"/>
        <w:rPr>
          <w:color w:val="FF0000"/>
        </w:rPr>
      </w:pPr>
      <w:r w:rsidRPr="00693A57">
        <w:rPr>
          <w:color w:val="FF0000"/>
        </w:rPr>
        <w:tab/>
        <w:t>(a)</w:t>
      </w:r>
      <w:r w:rsidRPr="00693A57">
        <w:rPr>
          <w:color w:val="FF0000"/>
        </w:rPr>
        <w:tab/>
        <w:t xml:space="preserve">a statement indicating the </w:t>
      </w:r>
      <w:r w:rsidRPr="00913BA7">
        <w:rPr>
          <w:color w:val="FF0000"/>
        </w:rPr>
        <w:t>consequences to the CDR consumer if they withdraw a consent to collect and</w:t>
      </w:r>
      <w:r w:rsidR="001B6D39" w:rsidRPr="00913BA7">
        <w:rPr>
          <w:color w:val="FF0000"/>
        </w:rPr>
        <w:t xml:space="preserve"> use CDR data;</w:t>
      </w:r>
    </w:p>
    <w:p w14:paraId="7B18EB15" w14:textId="6ADE85B3" w:rsidR="000A0BC8" w:rsidRPr="00913BA7" w:rsidRDefault="000A0BC8" w:rsidP="000A0BC8">
      <w:pPr>
        <w:pStyle w:val="paragraph"/>
        <w:rPr>
          <w:color w:val="FF0000"/>
        </w:rPr>
      </w:pPr>
      <w:r w:rsidRPr="00913BA7">
        <w:rPr>
          <w:color w:val="FF0000"/>
        </w:rPr>
        <w:tab/>
        <w:t>(</w:t>
      </w:r>
      <w:r w:rsidR="00B078EB" w:rsidRPr="00913BA7">
        <w:rPr>
          <w:color w:val="FF0000"/>
        </w:rPr>
        <w:t>b</w:t>
      </w:r>
      <w:r w:rsidRPr="00913BA7">
        <w:rPr>
          <w:color w:val="FF0000"/>
        </w:rPr>
        <w:t>)</w:t>
      </w:r>
      <w:r w:rsidRPr="00913BA7">
        <w:rPr>
          <w:color w:val="FF0000"/>
        </w:rPr>
        <w:tab/>
        <w:t xml:space="preserve">a list of </w:t>
      </w:r>
      <w:r w:rsidR="00F156D3" w:rsidRPr="00913BA7">
        <w:rPr>
          <w:color w:val="FF0000"/>
        </w:rPr>
        <w:t xml:space="preserve">any other </w:t>
      </w:r>
      <w:r w:rsidRPr="00913BA7">
        <w:rPr>
          <w:color w:val="FF0000"/>
        </w:rPr>
        <w:t xml:space="preserve">accredited persons with whom the </w:t>
      </w:r>
      <w:r w:rsidR="00F156D3" w:rsidRPr="00913BA7">
        <w:rPr>
          <w:color w:val="FF0000"/>
        </w:rPr>
        <w:t>accredited person</w:t>
      </w:r>
      <w:r w:rsidRPr="00913BA7">
        <w:rPr>
          <w:color w:val="FF0000"/>
        </w:rPr>
        <w:t xml:space="preserve"> has a sponsorship arrangement; </w:t>
      </w:r>
    </w:p>
    <w:p w14:paraId="05FF76D3" w14:textId="4BCD183F" w:rsidR="000A0BC8" w:rsidRPr="00913BA7" w:rsidRDefault="000A0BC8" w:rsidP="000A0BC8">
      <w:pPr>
        <w:pStyle w:val="paragraph"/>
        <w:rPr>
          <w:color w:val="FF0000"/>
        </w:rPr>
      </w:pPr>
      <w:r w:rsidRPr="00913BA7">
        <w:rPr>
          <w:color w:val="FF0000"/>
        </w:rPr>
        <w:tab/>
        <w:t>(</w:t>
      </w:r>
      <w:r w:rsidR="00B078EB" w:rsidRPr="00913BA7">
        <w:rPr>
          <w:color w:val="FF0000"/>
        </w:rPr>
        <w:t>c</w:t>
      </w:r>
      <w:r w:rsidRPr="00913BA7">
        <w:rPr>
          <w:color w:val="FF0000"/>
        </w:rPr>
        <w:t>)</w:t>
      </w:r>
      <w:r w:rsidRPr="00913BA7">
        <w:rPr>
          <w:color w:val="FF0000"/>
        </w:rPr>
        <w:tab/>
        <w:t>for each such arrangement—the nature of the services one par</w:t>
      </w:r>
      <w:r w:rsidR="001B6D39" w:rsidRPr="00913BA7">
        <w:rPr>
          <w:color w:val="FF0000"/>
        </w:rPr>
        <w:t>ty provides to the other party;</w:t>
      </w:r>
    </w:p>
    <w:p w14:paraId="347E293C" w14:textId="1D08918A" w:rsidR="000A0BC8" w:rsidRPr="00693A57" w:rsidRDefault="000A0BC8" w:rsidP="000A0BC8">
      <w:pPr>
        <w:pStyle w:val="paragraph"/>
        <w:rPr>
          <w:color w:val="0000FF"/>
        </w:rPr>
      </w:pPr>
      <w:r w:rsidRPr="00913BA7">
        <w:rPr>
          <w:color w:val="FF0000"/>
        </w:rPr>
        <w:tab/>
        <w:t>(</w:t>
      </w:r>
      <w:r w:rsidR="00B078EB" w:rsidRPr="00913BA7">
        <w:rPr>
          <w:color w:val="FF0000"/>
        </w:rPr>
        <w:t>d</w:t>
      </w:r>
      <w:r w:rsidRPr="00913BA7">
        <w:rPr>
          <w:color w:val="FF0000"/>
        </w:rPr>
        <w:t>)</w:t>
      </w:r>
      <w:r w:rsidRPr="00913BA7">
        <w:rPr>
          <w:color w:val="FF0000"/>
        </w:rPr>
        <w:tab/>
        <w:t xml:space="preserve">a list of the CDR representatives of the </w:t>
      </w:r>
      <w:r w:rsidR="00F156D3" w:rsidRPr="00913BA7">
        <w:rPr>
          <w:color w:val="FF0000"/>
        </w:rPr>
        <w:t>accredited person</w:t>
      </w:r>
      <w:r w:rsidR="001B6D39" w:rsidRPr="00693A57">
        <w:rPr>
          <w:color w:val="0000FF"/>
        </w:rPr>
        <w:t>;</w:t>
      </w:r>
    </w:p>
    <w:p w14:paraId="6700BF8E" w14:textId="3AE9ABE5" w:rsidR="000A0BC8" w:rsidRPr="00693A57" w:rsidRDefault="000A0BC8" w:rsidP="000A0BC8">
      <w:pPr>
        <w:pStyle w:val="paragraph"/>
        <w:rPr>
          <w:color w:val="FF0000"/>
        </w:rPr>
      </w:pPr>
      <w:r w:rsidRPr="00693A57">
        <w:rPr>
          <w:color w:val="FF0000"/>
        </w:rPr>
        <w:tab/>
        <w:t>(</w:t>
      </w:r>
      <w:r w:rsidR="00B078EB" w:rsidRPr="00693A57">
        <w:rPr>
          <w:color w:val="FF0000"/>
        </w:rPr>
        <w:t>e</w:t>
      </w:r>
      <w:r w:rsidRPr="00693A57">
        <w:rPr>
          <w:color w:val="FF0000"/>
        </w:rPr>
        <w:t>)</w:t>
      </w:r>
      <w:r w:rsidRPr="00693A57">
        <w:rPr>
          <w:color w:val="FF0000"/>
        </w:rPr>
        <w:tab/>
        <w:t xml:space="preserve">a list of the outsourced service providers of the </w:t>
      </w:r>
      <w:r w:rsidR="00F156D3" w:rsidRPr="00693A57">
        <w:rPr>
          <w:color w:val="FF0000"/>
        </w:rPr>
        <w:t>accredited person</w:t>
      </w:r>
      <w:r w:rsidRPr="00693A57">
        <w:rPr>
          <w:color w:val="FF0000"/>
        </w:rPr>
        <w:t xml:space="preserve"> (whether based in Australia or based overseas, and whether or no</w:t>
      </w:r>
      <w:r w:rsidR="001B6D39" w:rsidRPr="00693A57">
        <w:rPr>
          <w:color w:val="FF0000"/>
        </w:rPr>
        <w:t>t any is an accredited person);</w:t>
      </w:r>
    </w:p>
    <w:p w14:paraId="22C1A5D8" w14:textId="69FF9EB5" w:rsidR="000A0BC8" w:rsidRPr="00693A57" w:rsidRDefault="000A0BC8" w:rsidP="000A0BC8">
      <w:pPr>
        <w:pStyle w:val="paragraph"/>
        <w:rPr>
          <w:color w:val="FF0000"/>
        </w:rPr>
      </w:pPr>
      <w:r w:rsidRPr="00693A57">
        <w:rPr>
          <w:color w:val="FF0000"/>
        </w:rPr>
        <w:tab/>
        <w:t>(</w:t>
      </w:r>
      <w:r w:rsidR="00B078EB" w:rsidRPr="00693A57">
        <w:rPr>
          <w:color w:val="FF0000"/>
        </w:rPr>
        <w:t>f</w:t>
      </w:r>
      <w:r w:rsidRPr="00693A57">
        <w:rPr>
          <w:color w:val="FF0000"/>
        </w:rPr>
        <w:t>)</w:t>
      </w:r>
      <w:r w:rsidR="001B6D39" w:rsidRPr="00693A57">
        <w:rPr>
          <w:color w:val="FF0000"/>
        </w:rPr>
        <w:tab/>
        <w:t>for each such service provider</w:t>
      </w:r>
      <w:r w:rsidRPr="00693A57">
        <w:rPr>
          <w:color w:val="FF0000"/>
        </w:rPr>
        <w:t>:</w:t>
      </w:r>
    </w:p>
    <w:p w14:paraId="7A042196" w14:textId="2C904C0E" w:rsidR="000A0BC8" w:rsidRPr="00693A57" w:rsidRDefault="000A0BC8" w:rsidP="000A0BC8">
      <w:pPr>
        <w:pStyle w:val="paragraphsub"/>
        <w:rPr>
          <w:color w:val="FF0000"/>
        </w:rPr>
      </w:pPr>
      <w:r w:rsidRPr="00693A57">
        <w:rPr>
          <w:color w:val="FF0000"/>
        </w:rPr>
        <w:tab/>
        <w:t>(i)</w:t>
      </w:r>
      <w:r w:rsidRPr="00693A57">
        <w:rPr>
          <w:color w:val="FF0000"/>
        </w:rPr>
        <w:tab/>
        <w:t>the natu</w:t>
      </w:r>
      <w:r w:rsidR="001B6D39" w:rsidRPr="00693A57">
        <w:rPr>
          <w:color w:val="FF0000"/>
        </w:rPr>
        <w:t>re of the services it provides;</w:t>
      </w:r>
    </w:p>
    <w:p w14:paraId="0B897AB2" w14:textId="446419F6" w:rsidR="000A0BC8" w:rsidRPr="00693A57" w:rsidRDefault="000A0BC8" w:rsidP="000A0BC8">
      <w:pPr>
        <w:pStyle w:val="paragraphsub"/>
        <w:rPr>
          <w:color w:val="FF0000"/>
        </w:rPr>
      </w:pPr>
      <w:r w:rsidRPr="00693A57">
        <w:rPr>
          <w:color w:val="FF0000"/>
        </w:rPr>
        <w:tab/>
        <w:t>(ii)</w:t>
      </w:r>
      <w:r w:rsidRPr="00693A57">
        <w:rPr>
          <w:color w:val="FF0000"/>
        </w:rPr>
        <w:tab/>
        <w:t>the CDR data or classes of CDR data that may be disclos</w:t>
      </w:r>
      <w:r w:rsidR="001B6D39" w:rsidRPr="00693A57">
        <w:rPr>
          <w:color w:val="FF0000"/>
        </w:rPr>
        <w:t>ed to it;</w:t>
      </w:r>
    </w:p>
    <w:p w14:paraId="3434B43D" w14:textId="519A10FF" w:rsidR="000A0BC8" w:rsidRPr="00693A57" w:rsidRDefault="000A0BC8" w:rsidP="000A0BC8">
      <w:pPr>
        <w:pStyle w:val="paragraph"/>
        <w:rPr>
          <w:color w:val="FF0000"/>
        </w:rPr>
      </w:pPr>
      <w:r w:rsidRPr="00693A57">
        <w:rPr>
          <w:color w:val="FF0000"/>
        </w:rPr>
        <w:tab/>
        <w:t>(</w:t>
      </w:r>
      <w:r w:rsidR="00B078EB" w:rsidRPr="00693A57">
        <w:rPr>
          <w:color w:val="FF0000"/>
        </w:rPr>
        <w:t>g</w:t>
      </w:r>
      <w:r w:rsidRPr="00693A57">
        <w:rPr>
          <w:color w:val="FF0000"/>
        </w:rPr>
        <w:t>)</w:t>
      </w:r>
      <w:r w:rsidRPr="00693A57">
        <w:rPr>
          <w:color w:val="FF0000"/>
        </w:rPr>
        <w:tab/>
        <w:t xml:space="preserve">if the </w:t>
      </w:r>
      <w:r w:rsidR="00F156D3" w:rsidRPr="00693A57">
        <w:rPr>
          <w:color w:val="FF0000"/>
          <w:szCs w:val="22"/>
          <w:shd w:val="clear" w:color="auto" w:fill="FFFFFF"/>
        </w:rPr>
        <w:t>accredited person</w:t>
      </w:r>
      <w:r w:rsidRPr="00693A57">
        <w:rPr>
          <w:color w:val="FF0000"/>
        </w:rPr>
        <w:t xml:space="preserve"> wishes to undertake general research using the CDR data:</w:t>
      </w:r>
    </w:p>
    <w:p w14:paraId="64F35D20" w14:textId="1D75F6C4" w:rsidR="000A0BC8" w:rsidRPr="00693A57" w:rsidRDefault="000A0BC8" w:rsidP="000A0BC8">
      <w:pPr>
        <w:pStyle w:val="paragraphsub"/>
        <w:rPr>
          <w:color w:val="FF0000"/>
        </w:rPr>
      </w:pPr>
      <w:r w:rsidRPr="00693A57">
        <w:rPr>
          <w:color w:val="FF0000"/>
        </w:rPr>
        <w:tab/>
        <w:t>(i)</w:t>
      </w:r>
      <w:r w:rsidRPr="00693A57">
        <w:rPr>
          <w:color w:val="FF0000"/>
        </w:rPr>
        <w:tab/>
        <w:t>a description o</w:t>
      </w:r>
      <w:r w:rsidR="001B6D39" w:rsidRPr="00693A57">
        <w:rPr>
          <w:color w:val="FF0000"/>
        </w:rPr>
        <w:t>f the research to be conducted;</w:t>
      </w:r>
    </w:p>
    <w:p w14:paraId="67489413" w14:textId="2871C023" w:rsidR="000A0BC8" w:rsidRPr="00693A57" w:rsidRDefault="000A0BC8" w:rsidP="000A0BC8">
      <w:pPr>
        <w:pStyle w:val="paragraphsub"/>
        <w:rPr>
          <w:color w:val="FF0000"/>
        </w:rPr>
      </w:pPr>
      <w:r w:rsidRPr="00693A57">
        <w:rPr>
          <w:color w:val="FF0000"/>
        </w:rPr>
        <w:lastRenderedPageBreak/>
        <w:tab/>
        <w:t>(iii)</w:t>
      </w:r>
      <w:r w:rsidRPr="00693A57">
        <w:rPr>
          <w:color w:val="FF0000"/>
        </w:rPr>
        <w:tab/>
        <w:t>a description of any additional benefit to be provided to the CDR consumer for cons</w:t>
      </w:r>
      <w:r w:rsidR="001B6D39" w:rsidRPr="00693A57">
        <w:rPr>
          <w:color w:val="FF0000"/>
        </w:rPr>
        <w:t>enting to the use;</w:t>
      </w:r>
    </w:p>
    <w:p w14:paraId="66659BFB" w14:textId="521A2B40" w:rsidR="000A0BC8" w:rsidRPr="00693A57" w:rsidRDefault="000A0BC8" w:rsidP="000A0BC8">
      <w:pPr>
        <w:pStyle w:val="paragraph"/>
        <w:rPr>
          <w:color w:val="FF0000"/>
          <w:szCs w:val="22"/>
          <w:shd w:val="clear" w:color="auto" w:fill="FFFFFF"/>
        </w:rPr>
      </w:pPr>
      <w:r w:rsidRPr="00693A57">
        <w:rPr>
          <w:color w:val="FF0000"/>
        </w:rPr>
        <w:tab/>
        <w:t>(</w:t>
      </w:r>
      <w:r w:rsidR="00B078EB" w:rsidRPr="00693A57">
        <w:rPr>
          <w:color w:val="FF0000"/>
        </w:rPr>
        <w:t>h</w:t>
      </w:r>
      <w:r w:rsidRPr="00693A57">
        <w:rPr>
          <w:color w:val="FF0000"/>
        </w:rPr>
        <w:t>)</w:t>
      </w:r>
      <w:r w:rsidRPr="00693A57">
        <w:rPr>
          <w:color w:val="FF0000"/>
        </w:rPr>
        <w:tab/>
      </w:r>
      <w:r w:rsidRPr="00693A57">
        <w:rPr>
          <w:color w:val="FF0000"/>
          <w:szCs w:val="22"/>
          <w:shd w:val="clear" w:color="auto" w:fill="FFFFFF"/>
        </w:rPr>
        <w:t xml:space="preserve">if the </w:t>
      </w:r>
      <w:r w:rsidR="00F156D3" w:rsidRPr="00693A57">
        <w:rPr>
          <w:color w:val="FF0000"/>
          <w:szCs w:val="22"/>
          <w:shd w:val="clear" w:color="auto" w:fill="FFFFFF"/>
        </w:rPr>
        <w:t>accredited person</w:t>
      </w:r>
      <w:r w:rsidRPr="00693A57">
        <w:rPr>
          <w:color w:val="FF0000"/>
          <w:szCs w:val="22"/>
          <w:shd w:val="clear" w:color="auto" w:fill="FFFFFF"/>
        </w:rPr>
        <w:t xml:space="preserve"> is likely to disclose CDR data of a kind referred to in </w:t>
      </w:r>
      <w:r w:rsidRPr="00693A57">
        <w:rPr>
          <w:color w:val="FF0000"/>
        </w:rPr>
        <w:t>subsection 56ED(5) of the Act</w:t>
      </w:r>
      <w:r w:rsidRPr="00693A57">
        <w:rPr>
          <w:color w:val="FF0000"/>
          <w:szCs w:val="22"/>
          <w:shd w:val="clear" w:color="auto" w:fill="FFFFFF"/>
        </w:rPr>
        <w:t xml:space="preserve"> to such a service provider that:</w:t>
      </w:r>
    </w:p>
    <w:p w14:paraId="631DC86B" w14:textId="77777777" w:rsidR="000A0BC8" w:rsidRPr="00693A57" w:rsidRDefault="000A0BC8" w:rsidP="000A0BC8">
      <w:pPr>
        <w:pStyle w:val="paragraphsub"/>
        <w:rPr>
          <w:color w:val="FF0000"/>
          <w:shd w:val="clear" w:color="auto" w:fill="FFFFFF"/>
        </w:rPr>
      </w:pPr>
      <w:r w:rsidRPr="00693A57">
        <w:rPr>
          <w:color w:val="FF0000"/>
          <w:shd w:val="clear" w:color="auto" w:fill="FFFFFF"/>
        </w:rPr>
        <w:tab/>
        <w:t>(i)</w:t>
      </w:r>
      <w:r w:rsidRPr="00693A57">
        <w:rPr>
          <w:color w:val="FF0000"/>
          <w:shd w:val="clear" w:color="auto" w:fill="FFFFFF"/>
        </w:rPr>
        <w:tab/>
        <w:t>is based overseas; and</w:t>
      </w:r>
    </w:p>
    <w:p w14:paraId="089EA1B8" w14:textId="77777777" w:rsidR="000A0BC8" w:rsidRPr="00693A57" w:rsidRDefault="000A0BC8" w:rsidP="000A0BC8">
      <w:pPr>
        <w:pStyle w:val="paragraphsub"/>
        <w:rPr>
          <w:color w:val="FF0000"/>
          <w:shd w:val="clear" w:color="auto" w:fill="FFFFFF"/>
        </w:rPr>
      </w:pPr>
      <w:r w:rsidRPr="00693A57">
        <w:rPr>
          <w:color w:val="FF0000"/>
          <w:shd w:val="clear" w:color="auto" w:fill="FFFFFF"/>
        </w:rPr>
        <w:tab/>
        <w:t>(ii)</w:t>
      </w:r>
      <w:r w:rsidRPr="00693A57">
        <w:rPr>
          <w:color w:val="FF0000"/>
          <w:shd w:val="clear" w:color="auto" w:fill="FFFFFF"/>
        </w:rPr>
        <w:tab/>
        <w:t>is not an accredited person;</w:t>
      </w:r>
    </w:p>
    <w:p w14:paraId="48AEB216" w14:textId="6BDA4D3D" w:rsidR="000A0BC8" w:rsidRPr="00693A57" w:rsidRDefault="000A0BC8" w:rsidP="000A0BC8">
      <w:pPr>
        <w:pStyle w:val="paragraph"/>
        <w:rPr>
          <w:color w:val="FF0000"/>
          <w:shd w:val="clear" w:color="auto" w:fill="FFFFFF"/>
        </w:rPr>
      </w:pPr>
      <w:r w:rsidRPr="00693A57">
        <w:rPr>
          <w:color w:val="FF0000"/>
          <w:shd w:val="clear" w:color="auto" w:fill="FFFFFF"/>
        </w:rPr>
        <w:tab/>
      </w:r>
      <w:r w:rsidRPr="00693A57">
        <w:rPr>
          <w:color w:val="FF0000"/>
          <w:shd w:val="clear" w:color="auto" w:fill="FFFFFF"/>
        </w:rPr>
        <w:tab/>
      </w:r>
      <w:r w:rsidR="001B6D39" w:rsidRPr="00693A57">
        <w:rPr>
          <w:color w:val="FF0000"/>
          <w:shd w:val="clear" w:color="auto" w:fill="FFFFFF"/>
        </w:rPr>
        <w:t>—</w:t>
      </w:r>
      <w:r w:rsidRPr="00693A57">
        <w:rPr>
          <w:color w:val="FF0000"/>
          <w:shd w:val="clear" w:color="auto" w:fill="FFFFFF"/>
        </w:rPr>
        <w:t>the countries in which such persons are likely to be based if it is practicable to specify those countries in the policy</w:t>
      </w:r>
      <w:r w:rsidR="001B6D39" w:rsidRPr="00693A57">
        <w:rPr>
          <w:color w:val="FF0000"/>
          <w:shd w:val="clear" w:color="auto" w:fill="FFFFFF"/>
        </w:rPr>
        <w:t>;</w:t>
      </w:r>
    </w:p>
    <w:p w14:paraId="70F2D034" w14:textId="162AA577" w:rsidR="000A0BC8" w:rsidRPr="00693A57" w:rsidRDefault="000A0BC8" w:rsidP="000A0BC8">
      <w:pPr>
        <w:pStyle w:val="paragraph"/>
        <w:rPr>
          <w:color w:val="FF0000"/>
          <w:shd w:val="clear" w:color="auto" w:fill="FFFFFF"/>
        </w:rPr>
      </w:pPr>
      <w:r w:rsidRPr="00693A57">
        <w:rPr>
          <w:color w:val="FF0000"/>
          <w:shd w:val="clear" w:color="auto" w:fill="FFFFFF"/>
        </w:rPr>
        <w:tab/>
        <w:t>(</w:t>
      </w:r>
      <w:r w:rsidR="00B078EB" w:rsidRPr="00693A57">
        <w:rPr>
          <w:color w:val="FF0000"/>
          <w:shd w:val="clear" w:color="auto" w:fill="FFFFFF"/>
        </w:rPr>
        <w:t>i</w:t>
      </w:r>
      <w:r w:rsidRPr="00693A57">
        <w:rPr>
          <w:color w:val="FF0000"/>
          <w:shd w:val="clear" w:color="auto" w:fill="FFFFFF"/>
        </w:rPr>
        <w:t>)</w:t>
      </w:r>
      <w:r w:rsidRPr="00693A57">
        <w:rPr>
          <w:color w:val="FF0000"/>
          <w:shd w:val="clear" w:color="auto" w:fill="FFFFFF"/>
        </w:rPr>
        <w:tab/>
        <w:t>if applicable—the following information about de</w:t>
      </w:r>
      <w:r w:rsidRPr="00693A57">
        <w:rPr>
          <w:color w:val="FF0000"/>
          <w:shd w:val="clear" w:color="auto" w:fill="FFFFFF"/>
        </w:rPr>
        <w:noBreakHyphen/>
        <w:t>identification of CDR data that is not redundant data:</w:t>
      </w:r>
    </w:p>
    <w:p w14:paraId="2E2A4F68" w14:textId="22CCA51A" w:rsidR="000A0BC8" w:rsidRPr="00693A57" w:rsidRDefault="000A0BC8" w:rsidP="000A0BC8">
      <w:pPr>
        <w:pStyle w:val="paragraphsub"/>
        <w:rPr>
          <w:color w:val="FF0000"/>
          <w:shd w:val="clear" w:color="auto" w:fill="FFFFFF"/>
        </w:rPr>
      </w:pPr>
      <w:r w:rsidRPr="00693A57">
        <w:rPr>
          <w:color w:val="FF0000"/>
          <w:shd w:val="clear" w:color="auto" w:fill="FFFFFF"/>
        </w:rPr>
        <w:tab/>
        <w:t>(i)</w:t>
      </w:r>
      <w:r w:rsidRPr="00693A57">
        <w:rPr>
          <w:color w:val="FF0000"/>
          <w:shd w:val="clear" w:color="auto" w:fill="FFFFFF"/>
        </w:rPr>
        <w:tab/>
        <w:t xml:space="preserve">how the </w:t>
      </w:r>
      <w:r w:rsidR="00F156D3" w:rsidRPr="00693A57">
        <w:rPr>
          <w:color w:val="FF0000"/>
          <w:shd w:val="clear" w:color="auto" w:fill="FFFFFF"/>
        </w:rPr>
        <w:t>accredited person</w:t>
      </w:r>
      <w:r w:rsidRPr="00693A57">
        <w:rPr>
          <w:color w:val="FF0000"/>
          <w:shd w:val="clear" w:color="auto" w:fill="FFFFFF"/>
        </w:rPr>
        <w:t xml:space="preserve"> uses CDR data that has been de</w:t>
      </w:r>
      <w:r w:rsidRPr="00693A57">
        <w:rPr>
          <w:color w:val="FF0000"/>
          <w:shd w:val="clear" w:color="auto" w:fill="FFFFFF"/>
        </w:rPr>
        <w:noBreakHyphen/>
        <w:t>identified in accordance with the CDR data de</w:t>
      </w:r>
      <w:r w:rsidRPr="00693A57">
        <w:rPr>
          <w:color w:val="FF0000"/>
          <w:shd w:val="clear" w:color="auto" w:fill="FFFFFF"/>
        </w:rPr>
        <w:noBreakHyphen/>
        <w:t>identification process to provide goods or services to CDR consumers;</w:t>
      </w:r>
    </w:p>
    <w:p w14:paraId="28350DA4" w14:textId="1820E081" w:rsidR="000A0BC8" w:rsidRPr="00693A57" w:rsidRDefault="000A0BC8" w:rsidP="000A0BC8">
      <w:pPr>
        <w:pStyle w:val="paragraphsub"/>
        <w:rPr>
          <w:color w:val="FF0000"/>
          <w:shd w:val="clear" w:color="auto" w:fill="FFFFFF"/>
        </w:rPr>
      </w:pPr>
      <w:r w:rsidRPr="00693A57">
        <w:rPr>
          <w:color w:val="FF0000"/>
          <w:shd w:val="clear" w:color="auto" w:fill="FFFFFF"/>
        </w:rPr>
        <w:tab/>
        <w:t>(ii)</w:t>
      </w:r>
      <w:r w:rsidRPr="00693A57">
        <w:rPr>
          <w:color w:val="FF0000"/>
          <w:shd w:val="clear" w:color="auto" w:fill="FFFFFF"/>
        </w:rPr>
        <w:tab/>
        <w:t>the further information specified in subrule (5)</w:t>
      </w:r>
      <w:r w:rsidR="001B6D39" w:rsidRPr="00693A57">
        <w:rPr>
          <w:color w:val="FF0000"/>
          <w:shd w:val="clear" w:color="auto" w:fill="FFFFFF"/>
        </w:rPr>
        <w:t>;</w:t>
      </w:r>
    </w:p>
    <w:p w14:paraId="165923A6" w14:textId="7DD84E1C" w:rsidR="000A0BC8" w:rsidRPr="00693A57" w:rsidRDefault="000A0BC8" w:rsidP="000A0BC8">
      <w:pPr>
        <w:pStyle w:val="paragraph"/>
        <w:rPr>
          <w:color w:val="FF0000"/>
        </w:rPr>
      </w:pPr>
      <w:r w:rsidRPr="00693A57">
        <w:rPr>
          <w:color w:val="FF0000"/>
        </w:rPr>
        <w:tab/>
        <w:t>(</w:t>
      </w:r>
      <w:r w:rsidR="00B078EB" w:rsidRPr="00693A57">
        <w:rPr>
          <w:color w:val="FF0000"/>
        </w:rPr>
        <w:t>j</w:t>
      </w:r>
      <w:r w:rsidRPr="00693A57">
        <w:rPr>
          <w:color w:val="FF0000"/>
        </w:rPr>
        <w:t>)</w:t>
      </w:r>
      <w:r w:rsidRPr="00693A57">
        <w:rPr>
          <w:color w:val="FF0000"/>
        </w:rPr>
        <w:tab/>
        <w:t>the following information about deletion of redundant CDR data:</w:t>
      </w:r>
    </w:p>
    <w:p w14:paraId="74B94D53" w14:textId="77777777" w:rsidR="000A0BC8" w:rsidRPr="00693A57" w:rsidRDefault="000A0BC8" w:rsidP="000A0BC8">
      <w:pPr>
        <w:pStyle w:val="paragraphsub"/>
        <w:rPr>
          <w:color w:val="FF0000"/>
        </w:rPr>
      </w:pPr>
      <w:r w:rsidRPr="00693A57">
        <w:rPr>
          <w:color w:val="FF0000"/>
        </w:rPr>
        <w:tab/>
        <w:t>(i)</w:t>
      </w:r>
      <w:r w:rsidRPr="00693A57">
        <w:rPr>
          <w:color w:val="FF0000"/>
        </w:rPr>
        <w:tab/>
        <w:t>when it deletes redundant data;</w:t>
      </w:r>
    </w:p>
    <w:p w14:paraId="03D867EF" w14:textId="77777777" w:rsidR="000A0BC8" w:rsidRPr="00693A57" w:rsidRDefault="000A0BC8" w:rsidP="000A0BC8">
      <w:pPr>
        <w:pStyle w:val="paragraphsub"/>
        <w:rPr>
          <w:color w:val="FF0000"/>
        </w:rPr>
      </w:pPr>
      <w:r w:rsidRPr="00693A57">
        <w:rPr>
          <w:color w:val="FF0000"/>
        </w:rPr>
        <w:tab/>
        <w:t>(ii)</w:t>
      </w:r>
      <w:r w:rsidRPr="00693A57">
        <w:rPr>
          <w:color w:val="FF0000"/>
        </w:rPr>
        <w:tab/>
        <w:t>how a CDR consumer may elect for this to happen;</w:t>
      </w:r>
    </w:p>
    <w:p w14:paraId="2017FC31" w14:textId="7495489D" w:rsidR="000A0BC8" w:rsidRPr="00693A57" w:rsidRDefault="000A0BC8" w:rsidP="000A0BC8">
      <w:pPr>
        <w:pStyle w:val="paragraphsub"/>
        <w:rPr>
          <w:color w:val="FF0000"/>
        </w:rPr>
      </w:pPr>
      <w:r w:rsidRPr="00693A57">
        <w:rPr>
          <w:color w:val="FF0000"/>
        </w:rPr>
        <w:tab/>
        <w:t>(iii)</w:t>
      </w:r>
      <w:r w:rsidRPr="00693A57">
        <w:rPr>
          <w:color w:val="FF0000"/>
        </w:rPr>
        <w:tab/>
        <w:t xml:space="preserve">how it deletes </w:t>
      </w:r>
      <w:r w:rsidR="001B6D39" w:rsidRPr="00693A57">
        <w:rPr>
          <w:color w:val="FF0000"/>
        </w:rPr>
        <w:t>redundant data;</w:t>
      </w:r>
    </w:p>
    <w:p w14:paraId="53329866" w14:textId="2F06AA13" w:rsidR="000A0BC8" w:rsidRPr="00693A57" w:rsidRDefault="000A0BC8" w:rsidP="000A0BC8">
      <w:pPr>
        <w:pStyle w:val="paragraph"/>
        <w:rPr>
          <w:color w:val="FF0000"/>
        </w:rPr>
      </w:pPr>
      <w:r w:rsidRPr="00693A57">
        <w:rPr>
          <w:color w:val="FF0000"/>
        </w:rPr>
        <w:tab/>
        <w:t>(</w:t>
      </w:r>
      <w:r w:rsidR="00B078EB" w:rsidRPr="00693A57">
        <w:rPr>
          <w:color w:val="FF0000"/>
        </w:rPr>
        <w:t>k</w:t>
      </w:r>
      <w:r w:rsidRPr="00693A57">
        <w:rPr>
          <w:color w:val="FF0000"/>
        </w:rPr>
        <w:t>)</w:t>
      </w:r>
      <w:r w:rsidRPr="00693A57">
        <w:rPr>
          <w:color w:val="FF0000"/>
        </w:rPr>
        <w:tab/>
      </w:r>
      <w:r w:rsidRPr="00693A57">
        <w:rPr>
          <w:color w:val="FF0000"/>
          <w:shd w:val="clear" w:color="auto" w:fill="FFFFFF"/>
        </w:rPr>
        <w:t>if applicable—</w:t>
      </w:r>
      <w:r w:rsidRPr="00693A57">
        <w:rPr>
          <w:color w:val="FF0000"/>
        </w:rPr>
        <w:t>the following information about de</w:t>
      </w:r>
      <w:r w:rsidRPr="00693A57">
        <w:rPr>
          <w:color w:val="FF0000"/>
        </w:rPr>
        <w:noBreakHyphen/>
        <w:t>identification of redundant CDR data:</w:t>
      </w:r>
    </w:p>
    <w:p w14:paraId="570D6E86" w14:textId="6A953EB8" w:rsidR="000A0BC8" w:rsidRPr="00693A57" w:rsidRDefault="000A0BC8" w:rsidP="000A0BC8">
      <w:pPr>
        <w:pStyle w:val="paragraphsub"/>
        <w:rPr>
          <w:color w:val="FF0000"/>
        </w:rPr>
      </w:pPr>
      <w:r w:rsidRPr="00693A57">
        <w:rPr>
          <w:color w:val="FF0000"/>
        </w:rPr>
        <w:tab/>
        <w:t>(i)</w:t>
      </w:r>
      <w:r w:rsidRPr="00693A57">
        <w:rPr>
          <w:color w:val="FF0000"/>
        </w:rPr>
        <w:tab/>
        <w:t>if the de</w:t>
      </w:r>
      <w:r w:rsidRPr="00693A57">
        <w:rPr>
          <w:color w:val="FF0000"/>
        </w:rPr>
        <w:noBreakHyphen/>
        <w:t xml:space="preserve">identified data is used by the </w:t>
      </w:r>
      <w:r w:rsidR="00F156D3" w:rsidRPr="00693A57">
        <w:rPr>
          <w:color w:val="FF0000"/>
        </w:rPr>
        <w:t>accredited person</w:t>
      </w:r>
      <w:r w:rsidRPr="00693A57">
        <w:rPr>
          <w:color w:val="FF0000"/>
        </w:rPr>
        <w:t xml:space="preserve">—examples of how the </w:t>
      </w:r>
      <w:r w:rsidR="00F156D3" w:rsidRPr="00693A57">
        <w:rPr>
          <w:color w:val="FF0000"/>
        </w:rPr>
        <w:t>accredited person</w:t>
      </w:r>
      <w:r w:rsidRPr="00693A57">
        <w:rPr>
          <w:color w:val="FF0000"/>
        </w:rPr>
        <w:t xml:space="preserve"> ordinarily uses de</w:t>
      </w:r>
      <w:r w:rsidRPr="00693A57">
        <w:rPr>
          <w:color w:val="FF0000"/>
        </w:rPr>
        <w:noBreakHyphen/>
        <w:t>identified data; and</w:t>
      </w:r>
    </w:p>
    <w:p w14:paraId="3955F2FB" w14:textId="60581946" w:rsidR="000A0BC8" w:rsidRPr="00693A57" w:rsidRDefault="000A0BC8" w:rsidP="000A0BC8">
      <w:pPr>
        <w:pStyle w:val="paragraphsub"/>
        <w:rPr>
          <w:color w:val="FF0000"/>
          <w:shd w:val="clear" w:color="auto" w:fill="FFFFFF"/>
        </w:rPr>
      </w:pPr>
      <w:r w:rsidRPr="00693A57">
        <w:rPr>
          <w:color w:val="FF0000"/>
          <w:shd w:val="clear" w:color="auto" w:fill="FFFFFF"/>
        </w:rPr>
        <w:tab/>
        <w:t>(ii)</w:t>
      </w:r>
      <w:r w:rsidRPr="00693A57">
        <w:rPr>
          <w:color w:val="FF0000"/>
          <w:shd w:val="clear" w:color="auto" w:fill="FFFFFF"/>
        </w:rPr>
        <w:tab/>
        <w:t>the further information specified in subrule </w:t>
      </w:r>
      <w:r w:rsidR="001B6D39" w:rsidRPr="00693A57">
        <w:rPr>
          <w:color w:val="FF0000"/>
          <w:shd w:val="clear" w:color="auto" w:fill="FFFFFF"/>
        </w:rPr>
        <w:t>(5);</w:t>
      </w:r>
    </w:p>
    <w:p w14:paraId="31575B08" w14:textId="5A67AF41" w:rsidR="000A0BC8" w:rsidRPr="00693A57" w:rsidRDefault="000A0BC8" w:rsidP="000A0BC8">
      <w:pPr>
        <w:pStyle w:val="paragraph"/>
        <w:rPr>
          <w:color w:val="FF0000"/>
          <w:shd w:val="clear" w:color="auto" w:fill="FFFFFF"/>
        </w:rPr>
      </w:pPr>
      <w:r w:rsidRPr="00693A57">
        <w:rPr>
          <w:color w:val="FF0000"/>
          <w:shd w:val="clear" w:color="auto" w:fill="FFFFFF"/>
        </w:rPr>
        <w:tab/>
        <w:t>(</w:t>
      </w:r>
      <w:r w:rsidR="00B078EB" w:rsidRPr="00693A57">
        <w:rPr>
          <w:color w:val="FF0000"/>
          <w:shd w:val="clear" w:color="auto" w:fill="FFFFFF"/>
        </w:rPr>
        <w:t>l</w:t>
      </w:r>
      <w:r w:rsidRPr="00693A57">
        <w:rPr>
          <w:color w:val="FF0000"/>
          <w:shd w:val="clear" w:color="auto" w:fill="FFFFFF"/>
        </w:rPr>
        <w:t>)</w:t>
      </w:r>
      <w:r w:rsidRPr="00693A57">
        <w:rPr>
          <w:color w:val="FF0000"/>
          <w:shd w:val="clear" w:color="auto" w:fill="FFFFFF"/>
        </w:rPr>
        <w:tab/>
        <w:t>the following information about the CDR consumer’s election to delete their CDR data:</w:t>
      </w:r>
    </w:p>
    <w:p w14:paraId="7F4BFF32" w14:textId="77777777" w:rsidR="000A0BC8" w:rsidRPr="00693A57" w:rsidRDefault="000A0BC8" w:rsidP="000A0BC8">
      <w:pPr>
        <w:pStyle w:val="paragraphsub"/>
        <w:rPr>
          <w:color w:val="FF0000"/>
          <w:shd w:val="clear" w:color="auto" w:fill="FFFFFF"/>
        </w:rPr>
      </w:pPr>
      <w:r w:rsidRPr="00693A57">
        <w:rPr>
          <w:color w:val="FF0000"/>
          <w:shd w:val="clear" w:color="auto" w:fill="FFFFFF"/>
        </w:rPr>
        <w:tab/>
        <w:t>(i)</w:t>
      </w:r>
      <w:r w:rsidRPr="00693A57">
        <w:rPr>
          <w:color w:val="FF0000"/>
          <w:shd w:val="clear" w:color="auto" w:fill="FFFFFF"/>
        </w:rPr>
        <w:tab/>
        <w:t>information about how the election operates and its effect;</w:t>
      </w:r>
    </w:p>
    <w:p w14:paraId="218A1155" w14:textId="77777777" w:rsidR="000A0BC8" w:rsidRPr="00693A57" w:rsidRDefault="000A0BC8" w:rsidP="000A0BC8">
      <w:pPr>
        <w:pStyle w:val="paragraphsub"/>
        <w:rPr>
          <w:color w:val="FF0000"/>
          <w:shd w:val="clear" w:color="auto" w:fill="FFFFFF"/>
        </w:rPr>
      </w:pPr>
      <w:r w:rsidRPr="00693A57">
        <w:rPr>
          <w:color w:val="FF0000"/>
          <w:shd w:val="clear" w:color="auto" w:fill="FFFFFF"/>
        </w:rPr>
        <w:tab/>
        <w:t>(ii)</w:t>
      </w:r>
      <w:r w:rsidRPr="00693A57">
        <w:rPr>
          <w:color w:val="FF0000"/>
          <w:shd w:val="clear" w:color="auto" w:fill="FFFFFF"/>
        </w:rPr>
        <w:tab/>
        <w:t>information about how CDR consumers can exercise the election.</w:t>
      </w:r>
    </w:p>
    <w:p w14:paraId="48C7C092" w14:textId="1E1BD856" w:rsidR="000A0BC8" w:rsidRPr="00693A57" w:rsidRDefault="000A0BC8" w:rsidP="000A0BC8">
      <w:pPr>
        <w:pStyle w:val="notetext"/>
        <w:rPr>
          <w:color w:val="FF0000"/>
        </w:rPr>
      </w:pPr>
      <w:r w:rsidRPr="00693A57">
        <w:rPr>
          <w:color w:val="FF0000"/>
        </w:rPr>
        <w:t>Note 1:</w:t>
      </w:r>
      <w:r w:rsidRPr="00693A57">
        <w:rPr>
          <w:color w:val="FF0000"/>
        </w:rPr>
        <w:tab/>
        <w:t xml:space="preserve">The specified service providers are the </w:t>
      </w:r>
      <w:r w:rsidR="00F156D3" w:rsidRPr="00693A57">
        <w:rPr>
          <w:color w:val="FF0000"/>
        </w:rPr>
        <w:t>accredited person</w:t>
      </w:r>
      <w:r w:rsidRPr="00693A57">
        <w:rPr>
          <w:color w:val="FF0000"/>
        </w:rPr>
        <w:t>’s “outsourced service providers”.</w:t>
      </w:r>
    </w:p>
    <w:p w14:paraId="323380F3" w14:textId="1C512065" w:rsidR="000A0BC8" w:rsidRPr="00693A57" w:rsidRDefault="000A0BC8" w:rsidP="000A0BC8">
      <w:pPr>
        <w:pStyle w:val="notetext"/>
        <w:rPr>
          <w:color w:val="FF0000"/>
        </w:rPr>
      </w:pPr>
      <w:r w:rsidRPr="00693A57">
        <w:rPr>
          <w:color w:val="FF0000"/>
        </w:rPr>
        <w:t>Note 2:</w:t>
      </w:r>
      <w:r w:rsidRPr="00693A57">
        <w:rPr>
          <w:color w:val="FF0000"/>
        </w:rPr>
        <w:tab/>
        <w:t xml:space="preserve">For paragraph (d), if the service provider is an accredited person who is based overseas, paragraph 56ED(5)(f) of the Act requires similar information to be contained in the </w:t>
      </w:r>
      <w:r w:rsidR="00F156D3" w:rsidRPr="00693A57">
        <w:rPr>
          <w:color w:val="FF0000"/>
        </w:rPr>
        <w:t>accredited person</w:t>
      </w:r>
      <w:r w:rsidRPr="00693A57">
        <w:rPr>
          <w:color w:val="FF0000"/>
        </w:rPr>
        <w:t>’s CDR policy.</w:t>
      </w:r>
    </w:p>
    <w:p w14:paraId="7CE6B0EE" w14:textId="77777777" w:rsidR="000A0BC8" w:rsidRPr="00693A57" w:rsidRDefault="000A0BC8" w:rsidP="000A0BC8">
      <w:pPr>
        <w:pStyle w:val="notetext"/>
        <w:rPr>
          <w:color w:val="FF0000"/>
        </w:rPr>
      </w:pPr>
      <w:r w:rsidRPr="00693A57">
        <w:rPr>
          <w:color w:val="FF0000"/>
        </w:rPr>
        <w:t xml:space="preserve">Note 3: </w:t>
      </w:r>
      <w:r w:rsidRPr="00693A57">
        <w:rPr>
          <w:color w:val="FF0000"/>
        </w:rPr>
        <w:tab/>
        <w:t>This subrule is a civil penalty provision (see rule 9.8).</w:t>
      </w:r>
    </w:p>
    <w:p w14:paraId="391EA5AE" w14:textId="77777777" w:rsidR="000A0BC8" w:rsidRPr="00693A57" w:rsidRDefault="000A0BC8" w:rsidP="000A0BC8">
      <w:pPr>
        <w:pStyle w:val="subsection"/>
        <w:rPr>
          <w:color w:val="FF0000"/>
        </w:rPr>
      </w:pPr>
      <w:r w:rsidRPr="00693A57">
        <w:rPr>
          <w:color w:val="FF0000"/>
        </w:rPr>
        <w:tab/>
        <w:t>(5)</w:t>
      </w:r>
      <w:r w:rsidRPr="00693A57">
        <w:rPr>
          <w:color w:val="FF0000"/>
        </w:rPr>
        <w:tab/>
        <w:t>For subparagraphs (4)(e)(ii) and (g)(ii), the further information is:</w:t>
      </w:r>
    </w:p>
    <w:p w14:paraId="67C6CA91" w14:textId="35A0A17A" w:rsidR="000A0BC8" w:rsidRPr="00693A57" w:rsidRDefault="000A0BC8" w:rsidP="000A0BC8">
      <w:pPr>
        <w:pStyle w:val="paragraph"/>
        <w:rPr>
          <w:color w:val="FF0000"/>
          <w:shd w:val="clear" w:color="auto" w:fill="FFFFFF"/>
        </w:rPr>
      </w:pPr>
      <w:r w:rsidRPr="00693A57">
        <w:rPr>
          <w:color w:val="FF0000"/>
          <w:shd w:val="clear" w:color="auto" w:fill="FFFFFF"/>
        </w:rPr>
        <w:tab/>
        <w:t>(a)</w:t>
      </w:r>
      <w:r w:rsidRPr="00693A57">
        <w:rPr>
          <w:color w:val="FF0000"/>
          <w:shd w:val="clear" w:color="auto" w:fill="FFFFFF"/>
        </w:rPr>
        <w:tab/>
        <w:t xml:space="preserve">how the </w:t>
      </w:r>
      <w:r w:rsidR="00F156D3" w:rsidRPr="00693A57">
        <w:rPr>
          <w:color w:val="FF0000"/>
        </w:rPr>
        <w:t>accredited person who is or who may become an accredited data recipient of CDR data</w:t>
      </w:r>
      <w:r w:rsidRPr="00693A57">
        <w:rPr>
          <w:color w:val="FF0000"/>
          <w:shd w:val="clear" w:color="auto" w:fill="FFFFFF"/>
        </w:rPr>
        <w:t xml:space="preserve"> de</w:t>
      </w:r>
      <w:r w:rsidRPr="00693A57">
        <w:rPr>
          <w:color w:val="FF0000"/>
          <w:shd w:val="clear" w:color="auto" w:fill="FFFFFF"/>
        </w:rPr>
        <w:noBreakHyphen/>
        <w:t>identifies CDR data, including a description of techniques that it uses to de</w:t>
      </w:r>
      <w:r w:rsidRPr="00693A57">
        <w:rPr>
          <w:color w:val="FF0000"/>
          <w:shd w:val="clear" w:color="auto" w:fill="FFFFFF"/>
        </w:rPr>
        <w:noBreakHyphen/>
        <w:t>identify data; and</w:t>
      </w:r>
    </w:p>
    <w:p w14:paraId="50560C05" w14:textId="68B55CA2" w:rsidR="000A0BC8" w:rsidRPr="00693A57" w:rsidRDefault="000A0BC8" w:rsidP="000A0BC8">
      <w:pPr>
        <w:pStyle w:val="paragraph"/>
        <w:rPr>
          <w:color w:val="FF0000"/>
        </w:rPr>
      </w:pPr>
      <w:r w:rsidRPr="00693A57">
        <w:rPr>
          <w:color w:val="FF0000"/>
        </w:rPr>
        <w:tab/>
        <w:t>(b)</w:t>
      </w:r>
      <w:r w:rsidRPr="00693A57">
        <w:rPr>
          <w:color w:val="FF0000"/>
        </w:rPr>
        <w:tab/>
        <w:t xml:space="preserve">if the </w:t>
      </w:r>
      <w:r w:rsidR="00F156D3" w:rsidRPr="00693A57">
        <w:rPr>
          <w:color w:val="FF0000"/>
        </w:rPr>
        <w:t>accredited person</w:t>
      </w:r>
      <w:r w:rsidRPr="00693A57">
        <w:rPr>
          <w:color w:val="FF0000"/>
        </w:rPr>
        <w:t xml:space="preserve"> ordinarily discloses (by sale or otherwise) de</w:t>
      </w:r>
      <w:r w:rsidRPr="00693A57">
        <w:rPr>
          <w:color w:val="FF0000"/>
        </w:rPr>
        <w:noBreakHyphen/>
        <w:t>identified data to one or more other persons:</w:t>
      </w:r>
    </w:p>
    <w:p w14:paraId="1017F283" w14:textId="77777777" w:rsidR="000A0BC8" w:rsidRPr="00693A57" w:rsidRDefault="000A0BC8" w:rsidP="000A0BC8">
      <w:pPr>
        <w:pStyle w:val="paragraphsub"/>
        <w:rPr>
          <w:color w:val="FF0000"/>
        </w:rPr>
      </w:pPr>
      <w:r w:rsidRPr="00693A57">
        <w:rPr>
          <w:color w:val="FF0000"/>
        </w:rPr>
        <w:tab/>
        <w:t>(i)</w:t>
      </w:r>
      <w:r w:rsidRPr="00693A57">
        <w:rPr>
          <w:color w:val="FF0000"/>
        </w:rPr>
        <w:tab/>
        <w:t>that fact; and</w:t>
      </w:r>
    </w:p>
    <w:p w14:paraId="01BF4524" w14:textId="77777777" w:rsidR="000A0BC8" w:rsidRPr="00693A57" w:rsidRDefault="000A0BC8" w:rsidP="000A0BC8">
      <w:pPr>
        <w:pStyle w:val="paragraphsub"/>
        <w:rPr>
          <w:color w:val="FF0000"/>
        </w:rPr>
      </w:pPr>
      <w:r w:rsidRPr="00693A57">
        <w:rPr>
          <w:color w:val="FF0000"/>
        </w:rPr>
        <w:tab/>
        <w:t>(ii)</w:t>
      </w:r>
      <w:r w:rsidRPr="00693A57">
        <w:rPr>
          <w:color w:val="FF0000"/>
        </w:rPr>
        <w:tab/>
        <w:t>to what classes of person it ordinarily discloses such data; and</w:t>
      </w:r>
    </w:p>
    <w:p w14:paraId="21CC1660" w14:textId="77777777" w:rsidR="000A0BC8" w:rsidRPr="00693A57" w:rsidRDefault="000A0BC8" w:rsidP="000A0BC8">
      <w:pPr>
        <w:pStyle w:val="paragraphsub"/>
        <w:rPr>
          <w:color w:val="FF0000"/>
          <w:shd w:val="clear" w:color="auto" w:fill="FFFFFF"/>
        </w:rPr>
      </w:pPr>
      <w:r w:rsidRPr="00693A57">
        <w:rPr>
          <w:color w:val="FF0000"/>
        </w:rPr>
        <w:tab/>
        <w:t>(iii)</w:t>
      </w:r>
      <w:r w:rsidRPr="00693A57">
        <w:rPr>
          <w:color w:val="FF0000"/>
        </w:rPr>
        <w:tab/>
        <w:t>why it so discloses such data</w:t>
      </w:r>
      <w:r w:rsidRPr="00693A57">
        <w:rPr>
          <w:color w:val="FF0000"/>
          <w:shd w:val="clear" w:color="auto" w:fill="FFFFFF"/>
        </w:rPr>
        <w:t>.</w:t>
      </w:r>
    </w:p>
    <w:p w14:paraId="2D831F5E" w14:textId="1583936E" w:rsidR="000A0BC8" w:rsidRPr="00693A57" w:rsidRDefault="000A0BC8" w:rsidP="000A0BC8">
      <w:pPr>
        <w:pStyle w:val="subsection"/>
        <w:rPr>
          <w:color w:val="FF0000"/>
        </w:rPr>
      </w:pPr>
      <w:r w:rsidRPr="00693A57">
        <w:rPr>
          <w:color w:val="FF0000"/>
        </w:rPr>
        <w:lastRenderedPageBreak/>
        <w:tab/>
        <w:t>(6)</w:t>
      </w:r>
      <w:r w:rsidRPr="00693A57">
        <w:rPr>
          <w:color w:val="FF0000"/>
        </w:rPr>
        <w:tab/>
        <w:t>In addition to the information referred to in paragraphs 56ED(4)(b) and (5)(d) of the Act, the CDR policy of</w:t>
      </w:r>
      <w:r w:rsidR="001B6D39" w:rsidRPr="00693A57">
        <w:rPr>
          <w:color w:val="FF0000"/>
        </w:rPr>
        <w:t xml:space="preserve"> the </w:t>
      </w:r>
      <w:r w:rsidR="00F01871" w:rsidRPr="00693A57">
        <w:rPr>
          <w:color w:val="FF0000"/>
          <w:shd w:val="clear" w:color="auto" w:fill="FFFFFF"/>
        </w:rPr>
        <w:t xml:space="preserve">CDR entity (the </w:t>
      </w:r>
      <w:r w:rsidR="00F01871" w:rsidRPr="00693A57">
        <w:rPr>
          <w:color w:val="FF0000"/>
        </w:rPr>
        <w:t xml:space="preserve">data holder or </w:t>
      </w:r>
      <w:r w:rsidR="00F156D3" w:rsidRPr="00693A57">
        <w:rPr>
          <w:color w:val="FF0000"/>
        </w:rPr>
        <w:t>accredited person who is or who may become an accredited data recipient of CDR data</w:t>
      </w:r>
      <w:r w:rsidR="00F01871" w:rsidRPr="00693A57">
        <w:rPr>
          <w:color w:val="FF0000"/>
        </w:rPr>
        <w:t>)</w:t>
      </w:r>
      <w:r w:rsidR="00F01871" w:rsidRPr="00693A57">
        <w:rPr>
          <w:color w:val="FF0000"/>
          <w:shd w:val="clear" w:color="auto" w:fill="FFFFFF"/>
        </w:rPr>
        <w:t xml:space="preserve"> </w:t>
      </w:r>
      <w:r w:rsidRPr="00693A57">
        <w:rPr>
          <w:color w:val="FF0000"/>
        </w:rPr>
        <w:t xml:space="preserve">must include the following information in relation to the </w:t>
      </w:r>
      <w:r w:rsidR="00F01871" w:rsidRPr="00693A57">
        <w:rPr>
          <w:color w:val="FF0000"/>
        </w:rPr>
        <w:t>CDR entity</w:t>
      </w:r>
      <w:r w:rsidRPr="00693A57">
        <w:rPr>
          <w:color w:val="FF0000"/>
        </w:rPr>
        <w:t>'s internal dispute resolution processes:</w:t>
      </w:r>
    </w:p>
    <w:p w14:paraId="1A57365D" w14:textId="77777777" w:rsidR="000A0BC8" w:rsidRPr="00693A57" w:rsidRDefault="000A0BC8" w:rsidP="000A0BC8">
      <w:pPr>
        <w:pStyle w:val="paragraph"/>
        <w:rPr>
          <w:color w:val="FF0000"/>
        </w:rPr>
      </w:pPr>
      <w:r w:rsidRPr="00693A57">
        <w:rPr>
          <w:color w:val="FF0000"/>
        </w:rPr>
        <w:tab/>
        <w:t>(a)</w:t>
      </w:r>
      <w:r w:rsidRPr="00693A57">
        <w:rPr>
          <w:color w:val="FF0000"/>
        </w:rPr>
        <w:tab/>
        <w:t>where a CDR consumer complaint can be made;</w:t>
      </w:r>
    </w:p>
    <w:p w14:paraId="1ECD3FC4" w14:textId="77777777" w:rsidR="000A0BC8" w:rsidRPr="00693A57" w:rsidRDefault="000A0BC8" w:rsidP="000A0BC8">
      <w:pPr>
        <w:pStyle w:val="paragraph"/>
        <w:rPr>
          <w:color w:val="FF0000"/>
        </w:rPr>
      </w:pPr>
      <w:r w:rsidRPr="00693A57">
        <w:rPr>
          <w:color w:val="FF0000"/>
        </w:rPr>
        <w:tab/>
        <w:t>(b)</w:t>
      </w:r>
      <w:r w:rsidRPr="00693A57">
        <w:rPr>
          <w:color w:val="FF0000"/>
        </w:rPr>
        <w:tab/>
        <w:t>how a CDR consumer complaint can be made;</w:t>
      </w:r>
    </w:p>
    <w:p w14:paraId="4313FB99" w14:textId="77777777" w:rsidR="000A0BC8" w:rsidRPr="00693A57" w:rsidRDefault="000A0BC8" w:rsidP="000A0BC8">
      <w:pPr>
        <w:pStyle w:val="paragraph"/>
        <w:rPr>
          <w:color w:val="FF0000"/>
        </w:rPr>
      </w:pPr>
      <w:r w:rsidRPr="00693A57">
        <w:rPr>
          <w:color w:val="FF0000"/>
        </w:rPr>
        <w:tab/>
        <w:t>(c)</w:t>
      </w:r>
      <w:r w:rsidRPr="00693A57">
        <w:rPr>
          <w:color w:val="FF0000"/>
        </w:rPr>
        <w:tab/>
        <w:t>when a CDR consumer complaint can be made;</w:t>
      </w:r>
    </w:p>
    <w:p w14:paraId="70A7FBAA" w14:textId="77777777" w:rsidR="000A0BC8" w:rsidRPr="00693A57" w:rsidRDefault="000A0BC8" w:rsidP="000A0BC8">
      <w:pPr>
        <w:pStyle w:val="paragraph"/>
        <w:rPr>
          <w:color w:val="FF0000"/>
        </w:rPr>
      </w:pPr>
      <w:r w:rsidRPr="00693A57">
        <w:rPr>
          <w:color w:val="FF0000"/>
        </w:rPr>
        <w:tab/>
        <w:t>(d)</w:t>
      </w:r>
      <w:r w:rsidRPr="00693A57">
        <w:rPr>
          <w:color w:val="FF0000"/>
        </w:rPr>
        <w:tab/>
        <w:t>when acknowledgement of a CDR consumer complaint can be expected;</w:t>
      </w:r>
    </w:p>
    <w:p w14:paraId="776E95DA" w14:textId="77777777" w:rsidR="000A0BC8" w:rsidRPr="00693A57" w:rsidRDefault="000A0BC8" w:rsidP="000A0BC8">
      <w:pPr>
        <w:pStyle w:val="paragraph"/>
        <w:rPr>
          <w:color w:val="FF0000"/>
        </w:rPr>
      </w:pPr>
      <w:r w:rsidRPr="00693A57">
        <w:rPr>
          <w:color w:val="FF0000"/>
        </w:rPr>
        <w:tab/>
        <w:t>(e)</w:t>
      </w:r>
      <w:r w:rsidRPr="00693A57">
        <w:rPr>
          <w:color w:val="FF0000"/>
        </w:rPr>
        <w:tab/>
        <w:t>what information is required to be provided by the complainant;</w:t>
      </w:r>
    </w:p>
    <w:p w14:paraId="6877B804" w14:textId="47B0D1DC" w:rsidR="000A0BC8" w:rsidRPr="00693A57" w:rsidRDefault="000A0BC8" w:rsidP="000A0BC8">
      <w:pPr>
        <w:pStyle w:val="paragraph"/>
        <w:rPr>
          <w:color w:val="FF0000"/>
        </w:rPr>
      </w:pPr>
      <w:r w:rsidRPr="00693A57">
        <w:rPr>
          <w:color w:val="FF0000"/>
        </w:rPr>
        <w:tab/>
        <w:t>(f)</w:t>
      </w:r>
      <w:r w:rsidRPr="00693A57">
        <w:rPr>
          <w:color w:val="FF0000"/>
        </w:rPr>
        <w:tab/>
        <w:t xml:space="preserve">the </w:t>
      </w:r>
      <w:r w:rsidR="00F01871" w:rsidRPr="00693A57">
        <w:rPr>
          <w:color w:val="FF0000"/>
        </w:rPr>
        <w:t>CDR entity</w:t>
      </w:r>
      <w:r w:rsidRPr="00693A57">
        <w:rPr>
          <w:color w:val="FF0000"/>
        </w:rPr>
        <w:t>’s process for handling CDR consumer complaints;</w:t>
      </w:r>
    </w:p>
    <w:p w14:paraId="53DB59FA" w14:textId="77777777" w:rsidR="000A0BC8" w:rsidRPr="00693A57" w:rsidRDefault="000A0BC8" w:rsidP="000A0BC8">
      <w:pPr>
        <w:pStyle w:val="paragraph"/>
        <w:rPr>
          <w:color w:val="FF0000"/>
        </w:rPr>
      </w:pPr>
      <w:r w:rsidRPr="00693A57">
        <w:rPr>
          <w:color w:val="FF0000"/>
        </w:rPr>
        <w:tab/>
        <w:t>(g)</w:t>
      </w:r>
      <w:r w:rsidRPr="00693A57">
        <w:rPr>
          <w:color w:val="FF0000"/>
        </w:rPr>
        <w:tab/>
        <w:t>time periods associated with various stages in the CDR consumer complaint process;</w:t>
      </w:r>
    </w:p>
    <w:p w14:paraId="2117B493" w14:textId="77777777" w:rsidR="000A0BC8" w:rsidRPr="00693A57" w:rsidRDefault="000A0BC8" w:rsidP="000A0BC8">
      <w:pPr>
        <w:pStyle w:val="paragraph"/>
        <w:rPr>
          <w:color w:val="FF0000"/>
        </w:rPr>
      </w:pPr>
      <w:r w:rsidRPr="00693A57">
        <w:rPr>
          <w:color w:val="FF0000"/>
        </w:rPr>
        <w:tab/>
        <w:t>(h)</w:t>
      </w:r>
      <w:r w:rsidRPr="00693A57">
        <w:rPr>
          <w:color w:val="FF0000"/>
        </w:rPr>
        <w:tab/>
        <w:t>options for redress;</w:t>
      </w:r>
    </w:p>
    <w:p w14:paraId="25771C55" w14:textId="77777777" w:rsidR="000A0BC8" w:rsidRPr="00693A57" w:rsidRDefault="000A0BC8" w:rsidP="000A0BC8">
      <w:pPr>
        <w:pStyle w:val="paragraph"/>
        <w:rPr>
          <w:color w:val="FF0000"/>
        </w:rPr>
      </w:pPr>
      <w:r w:rsidRPr="00693A57">
        <w:rPr>
          <w:color w:val="FF0000"/>
        </w:rPr>
        <w:tab/>
        <w:t>(i)</w:t>
      </w:r>
      <w:r w:rsidRPr="00693A57">
        <w:rPr>
          <w:color w:val="FF0000"/>
        </w:rPr>
        <w:tab/>
        <w:t>options for review, both internally (if available) and externally.</w:t>
      </w:r>
    </w:p>
    <w:p w14:paraId="6586B3CE" w14:textId="77777777" w:rsidR="000A0BC8" w:rsidRPr="00693A57" w:rsidRDefault="000A0BC8" w:rsidP="000A0BC8">
      <w:pPr>
        <w:pStyle w:val="notetext"/>
        <w:rPr>
          <w:color w:val="FF0000"/>
        </w:rPr>
      </w:pPr>
      <w:r w:rsidRPr="00693A57">
        <w:rPr>
          <w:color w:val="FF0000"/>
        </w:rPr>
        <w:t>Note:</w:t>
      </w:r>
      <w:r w:rsidRPr="00693A57">
        <w:rPr>
          <w:color w:val="FF0000"/>
        </w:rPr>
        <w:tab/>
        <w:t>This subrule is a civil penalty provision (see rule 9.8).</w:t>
      </w:r>
    </w:p>
    <w:p w14:paraId="7BACD840" w14:textId="18B12C80" w:rsidR="000A0BC8" w:rsidRPr="00693A57" w:rsidRDefault="000A0BC8" w:rsidP="000A0BC8">
      <w:pPr>
        <w:pStyle w:val="subsection"/>
        <w:rPr>
          <w:color w:val="FF0000"/>
        </w:rPr>
      </w:pPr>
      <w:r w:rsidRPr="00693A57">
        <w:rPr>
          <w:color w:val="FF0000"/>
        </w:rPr>
        <w:tab/>
        <w:t>(7)</w:t>
      </w:r>
      <w:r w:rsidRPr="00693A57">
        <w:rPr>
          <w:color w:val="FF0000"/>
        </w:rPr>
        <w:tab/>
        <w:t>If an accredited person is who is or who may become an accredited data recipient</w:t>
      </w:r>
      <w:r w:rsidR="001B6D39" w:rsidRPr="00693A57">
        <w:rPr>
          <w:color w:val="FF0000"/>
        </w:rPr>
        <w:t xml:space="preserve"> </w:t>
      </w:r>
      <w:r w:rsidR="00237311" w:rsidRPr="00693A57">
        <w:rPr>
          <w:color w:val="FF0000"/>
        </w:rPr>
        <w:t>of CDR data</w:t>
      </w:r>
      <w:r w:rsidRPr="00693A57">
        <w:rPr>
          <w:color w:val="FF0000"/>
        </w:rPr>
        <w:t xml:space="preserve"> proposes to store CDR data other than in Australia or an external territory, its CDR policy must specify any country in which they propose to store CDR data.</w:t>
      </w:r>
    </w:p>
    <w:p w14:paraId="30F0F71A" w14:textId="77777777" w:rsidR="000A0BC8" w:rsidRPr="00693A57" w:rsidRDefault="000A0BC8" w:rsidP="000A0BC8">
      <w:pPr>
        <w:pStyle w:val="notetext"/>
        <w:rPr>
          <w:color w:val="FF0000"/>
        </w:rPr>
      </w:pPr>
      <w:r w:rsidRPr="00693A57">
        <w:rPr>
          <w:color w:val="FF0000"/>
        </w:rPr>
        <w:t>Note:</w:t>
      </w:r>
      <w:r w:rsidRPr="00693A57">
        <w:rPr>
          <w:color w:val="FF0000"/>
        </w:rPr>
        <w:tab/>
        <w:t>This subrule is a civil penalty provision (see rule 9.8).</w:t>
      </w:r>
    </w:p>
    <w:p w14:paraId="274470FF" w14:textId="77777777" w:rsidR="000A0BC8" w:rsidRPr="00693A57" w:rsidRDefault="000A0BC8" w:rsidP="000A0BC8">
      <w:pPr>
        <w:pStyle w:val="SubsectionHead"/>
        <w:rPr>
          <w:color w:val="FF0000"/>
        </w:rPr>
      </w:pPr>
      <w:r w:rsidRPr="00693A57">
        <w:rPr>
          <w:color w:val="FF0000"/>
        </w:rPr>
        <w:t>Availability of policy</w:t>
      </w:r>
    </w:p>
    <w:p w14:paraId="07AFA43B" w14:textId="6338AC5C" w:rsidR="000A0BC8" w:rsidRPr="00913BA7" w:rsidRDefault="000A0BC8" w:rsidP="000A0BC8">
      <w:pPr>
        <w:pStyle w:val="subsection"/>
        <w:rPr>
          <w:color w:val="FF0000"/>
        </w:rPr>
      </w:pPr>
      <w:r w:rsidRPr="00693A57">
        <w:rPr>
          <w:color w:val="FF0000"/>
        </w:rPr>
        <w:tab/>
        <w:t>(8)</w:t>
      </w:r>
      <w:r w:rsidRPr="00693A57">
        <w:rPr>
          <w:color w:val="FF0000"/>
        </w:rPr>
        <w:tab/>
        <w:t>For paragraph 56ED(7)(b) of the Act</w:t>
      </w:r>
      <w:r w:rsidRPr="00913BA7">
        <w:rPr>
          <w:color w:val="FF0000"/>
        </w:rPr>
        <w:t xml:space="preserve">, </w:t>
      </w:r>
      <w:r w:rsidR="001B6D39" w:rsidRPr="00913BA7">
        <w:rPr>
          <w:color w:val="FF0000"/>
        </w:rPr>
        <w:t xml:space="preserve">the </w:t>
      </w:r>
      <w:r w:rsidRPr="00913BA7">
        <w:rPr>
          <w:color w:val="FF0000"/>
        </w:rPr>
        <w:t>CDR entity must make its CDR policy readily available through each online service by means of which the CDR entity, or a CDR representative of the CDR entity, ordinarily deals with CDR consumers.</w:t>
      </w:r>
    </w:p>
    <w:p w14:paraId="783C2ABF" w14:textId="77777777" w:rsidR="000A0BC8" w:rsidRPr="00693A57" w:rsidRDefault="000A0BC8" w:rsidP="000A0BC8">
      <w:pPr>
        <w:pStyle w:val="notetext"/>
        <w:rPr>
          <w:color w:val="FF0000"/>
        </w:rPr>
      </w:pPr>
      <w:r w:rsidRPr="00693A57">
        <w:rPr>
          <w:color w:val="FF0000"/>
        </w:rPr>
        <w:t>Note:</w:t>
      </w:r>
      <w:r w:rsidRPr="00693A57">
        <w:rPr>
          <w:color w:val="FF0000"/>
        </w:rPr>
        <w:tab/>
        <w:t>This subrule is a civil penalty provision (see rule 9.8).</w:t>
      </w:r>
    </w:p>
    <w:p w14:paraId="3740CDE2" w14:textId="7D2A8AA1" w:rsidR="000A0BC8" w:rsidRPr="00693A57" w:rsidRDefault="000A0BC8" w:rsidP="000A0BC8">
      <w:pPr>
        <w:pStyle w:val="subsection"/>
        <w:rPr>
          <w:color w:val="FF0000"/>
        </w:rPr>
      </w:pPr>
      <w:r w:rsidRPr="00693A57">
        <w:rPr>
          <w:color w:val="FF0000"/>
        </w:rPr>
        <w:tab/>
        <w:t>(9)</w:t>
      </w:r>
      <w:r w:rsidRPr="00693A57">
        <w:rPr>
          <w:color w:val="FF0000"/>
        </w:rPr>
        <w:tab/>
        <w:t>For subsection 56ED(8) of the Act, if a copy of the CDR entity’s policy is requested by a CDR consumer, the CDR entity</w:t>
      </w:r>
      <w:r w:rsidRPr="00E1300D">
        <w:rPr>
          <w:color w:val="000000" w:themeColor="text1"/>
        </w:rPr>
        <w:t xml:space="preserve"> </w:t>
      </w:r>
      <w:r w:rsidRPr="00693A57">
        <w:rPr>
          <w:color w:val="FF0000"/>
        </w:rPr>
        <w:t>must give the CDR consumer a copy:</w:t>
      </w:r>
    </w:p>
    <w:p w14:paraId="4C27318A" w14:textId="77777777" w:rsidR="000A0BC8" w:rsidRPr="00693A57" w:rsidRDefault="000A0BC8" w:rsidP="000A0BC8">
      <w:pPr>
        <w:pStyle w:val="paragraph"/>
        <w:rPr>
          <w:color w:val="FF0000"/>
        </w:rPr>
      </w:pPr>
      <w:r w:rsidRPr="00693A57">
        <w:rPr>
          <w:color w:val="FF0000"/>
        </w:rPr>
        <w:tab/>
        <w:t>(a)</w:t>
      </w:r>
      <w:r w:rsidRPr="00693A57">
        <w:rPr>
          <w:color w:val="FF0000"/>
        </w:rPr>
        <w:tab/>
        <w:t>electronically; or</w:t>
      </w:r>
    </w:p>
    <w:p w14:paraId="16A45E31" w14:textId="77777777" w:rsidR="000A0BC8" w:rsidRPr="00693A57" w:rsidRDefault="000A0BC8" w:rsidP="000A0BC8">
      <w:pPr>
        <w:pStyle w:val="paragraph"/>
        <w:rPr>
          <w:color w:val="FF0000"/>
        </w:rPr>
      </w:pPr>
      <w:r w:rsidRPr="00693A57">
        <w:rPr>
          <w:color w:val="FF0000"/>
        </w:rPr>
        <w:tab/>
        <w:t>(b)</w:t>
      </w:r>
      <w:r w:rsidRPr="00693A57">
        <w:rPr>
          <w:color w:val="FF0000"/>
        </w:rPr>
        <w:tab/>
        <w:t>in hard copy;</w:t>
      </w:r>
    </w:p>
    <w:p w14:paraId="3ABE3639" w14:textId="77777777" w:rsidR="000A0BC8" w:rsidRPr="00693A57" w:rsidRDefault="000A0BC8" w:rsidP="000A0BC8">
      <w:pPr>
        <w:pStyle w:val="subsection20"/>
        <w:rPr>
          <w:color w:val="FF0000"/>
        </w:rPr>
      </w:pPr>
      <w:r w:rsidRPr="00693A57">
        <w:rPr>
          <w:color w:val="FF0000"/>
        </w:rPr>
        <w:tab/>
      </w:r>
      <w:r w:rsidRPr="00693A57">
        <w:rPr>
          <w:color w:val="FF0000"/>
        </w:rPr>
        <w:tab/>
        <w:t>as directed by the consumer.</w:t>
      </w:r>
    </w:p>
    <w:p w14:paraId="2E32F9EE" w14:textId="77777777" w:rsidR="000A0BC8" w:rsidRPr="00693A57" w:rsidRDefault="000A0BC8" w:rsidP="000A0BC8">
      <w:pPr>
        <w:pStyle w:val="notetext"/>
        <w:rPr>
          <w:color w:val="FF0000"/>
        </w:rPr>
      </w:pPr>
      <w:r w:rsidRPr="00693A57">
        <w:rPr>
          <w:color w:val="FF0000"/>
        </w:rPr>
        <w:t>Note:</w:t>
      </w:r>
      <w:r w:rsidRPr="00693A57">
        <w:rPr>
          <w:color w:val="FF0000"/>
        </w:rPr>
        <w:tab/>
        <w:t>This subrule is a civil penalty provision (see rule 9.8).</w:t>
      </w:r>
    </w:p>
    <w:p w14:paraId="71A8BFB0" w14:textId="77777777" w:rsidR="00C24890" w:rsidRPr="00913BA7" w:rsidRDefault="00C24890" w:rsidP="00C24890">
      <w:pPr>
        <w:pStyle w:val="ActHead5"/>
        <w:rPr>
          <w:strike/>
          <w:color w:val="FF0000"/>
        </w:rPr>
      </w:pPr>
      <w:bookmarkStart w:id="459" w:name="_Toc11771668"/>
      <w:bookmarkStart w:id="460" w:name="_Toc77065001"/>
      <w:r w:rsidRPr="00913BA7">
        <w:rPr>
          <w:strike/>
          <w:color w:val="FF0000"/>
        </w:rPr>
        <w:t>7.2  Rule relating to privacy safeguard 1—open and transparent management of CDR data</w:t>
      </w:r>
      <w:bookmarkEnd w:id="459"/>
      <w:bookmarkEnd w:id="460"/>
    </w:p>
    <w:p w14:paraId="71CEB0B4" w14:textId="77777777" w:rsidR="00C24890" w:rsidRPr="00913BA7" w:rsidRDefault="00C24890" w:rsidP="00C24890">
      <w:pPr>
        <w:pStyle w:val="SubsectionHead"/>
        <w:rPr>
          <w:strike/>
          <w:color w:val="FF0000"/>
        </w:rPr>
      </w:pPr>
      <w:r w:rsidRPr="00913BA7">
        <w:rPr>
          <w:strike/>
          <w:color w:val="FF0000"/>
        </w:rPr>
        <w:t>Policy about the management of CDR data</w:t>
      </w:r>
    </w:p>
    <w:p w14:paraId="215DEDA4" w14:textId="77777777" w:rsidR="00C24890" w:rsidRPr="00913BA7" w:rsidRDefault="00C24890" w:rsidP="00C24890">
      <w:pPr>
        <w:pStyle w:val="subsection"/>
        <w:rPr>
          <w:strike/>
          <w:color w:val="FF0000"/>
        </w:rPr>
      </w:pPr>
      <w:r w:rsidRPr="00913BA7">
        <w:rPr>
          <w:strike/>
          <w:color w:val="FF0000"/>
        </w:rPr>
        <w:tab/>
        <w:t>(1)</w:t>
      </w:r>
      <w:r w:rsidRPr="00913BA7">
        <w:rPr>
          <w:strike/>
          <w:color w:val="FF0000"/>
        </w:rPr>
        <w:tab/>
        <w:t>For paragraph 56ED(3)(b) of the Act, the Information Commissioner may approve a form for a CDR policy.</w:t>
      </w:r>
    </w:p>
    <w:p w14:paraId="2B7276FC" w14:textId="77777777" w:rsidR="00C24890" w:rsidRPr="00913BA7" w:rsidRDefault="00C24890" w:rsidP="00C24890">
      <w:pPr>
        <w:pStyle w:val="subsection"/>
        <w:rPr>
          <w:strike/>
          <w:color w:val="FF0000"/>
        </w:rPr>
      </w:pPr>
      <w:r w:rsidRPr="00913BA7">
        <w:rPr>
          <w:strike/>
          <w:color w:val="FF0000"/>
        </w:rPr>
        <w:lastRenderedPageBreak/>
        <w:tab/>
        <w:t>(2)</w:t>
      </w:r>
      <w:r w:rsidRPr="00913BA7">
        <w:rPr>
          <w:strike/>
          <w:color w:val="FF0000"/>
        </w:rPr>
        <w:tab/>
        <w:t>For paragraph 56ED(3)(b) of the Act, a CDR entity’s CDR policy must be in the form of a document that is distinct from any of the CDR entity’s privacy policies.</w:t>
      </w:r>
    </w:p>
    <w:p w14:paraId="614B632F" w14:textId="77777777" w:rsidR="00C24890" w:rsidRPr="00913BA7" w:rsidRDefault="00C24890" w:rsidP="00C24890">
      <w:pPr>
        <w:pStyle w:val="SubsectionHead"/>
        <w:rPr>
          <w:strike/>
          <w:color w:val="FF0000"/>
        </w:rPr>
      </w:pPr>
      <w:r w:rsidRPr="00913BA7">
        <w:rPr>
          <w:strike/>
          <w:color w:val="FF0000"/>
        </w:rPr>
        <w:t>Additional information for CDR policy</w:t>
      </w:r>
    </w:p>
    <w:p w14:paraId="2428E069" w14:textId="77777777" w:rsidR="00C24890" w:rsidRPr="00913BA7" w:rsidRDefault="00C24890" w:rsidP="00C24890">
      <w:pPr>
        <w:pStyle w:val="subsection"/>
        <w:rPr>
          <w:strike/>
          <w:color w:val="FF0000"/>
        </w:rPr>
      </w:pPr>
      <w:r w:rsidRPr="00913BA7">
        <w:rPr>
          <w:strike/>
          <w:color w:val="FF0000"/>
        </w:rPr>
        <w:tab/>
        <w:t>(3)</w:t>
      </w:r>
      <w:r w:rsidRPr="00913BA7">
        <w:rPr>
          <w:strike/>
          <w:color w:val="FF0000"/>
        </w:rPr>
        <w:tab/>
        <w:t>In addition to the information referred to in subsection 56ED(4) of the Act, a data holder’s CDR policy must indicate:</w:t>
      </w:r>
    </w:p>
    <w:p w14:paraId="4F35E9EB" w14:textId="77777777" w:rsidR="00C24890" w:rsidRPr="00913BA7" w:rsidRDefault="00C24890" w:rsidP="00C24890">
      <w:pPr>
        <w:pStyle w:val="paragraph"/>
        <w:rPr>
          <w:strike/>
          <w:color w:val="FF0000"/>
        </w:rPr>
      </w:pPr>
      <w:r w:rsidRPr="00913BA7">
        <w:rPr>
          <w:strike/>
          <w:color w:val="FF0000"/>
        </w:rPr>
        <w:tab/>
        <w:t>(a)</w:t>
      </w:r>
      <w:r w:rsidRPr="00913BA7">
        <w:rPr>
          <w:strike/>
          <w:color w:val="FF0000"/>
        </w:rPr>
        <w:tab/>
        <w:t>whether it accepts requests for:</w:t>
      </w:r>
    </w:p>
    <w:p w14:paraId="625BCB0A"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voluntary product data; or</w:t>
      </w:r>
    </w:p>
    <w:p w14:paraId="76892355" w14:textId="77777777" w:rsidR="00C24890" w:rsidRPr="00913BA7" w:rsidRDefault="00C24890" w:rsidP="00C24890">
      <w:pPr>
        <w:pStyle w:val="paragraphsub"/>
        <w:rPr>
          <w:strike/>
          <w:color w:val="FF0000"/>
        </w:rPr>
      </w:pPr>
      <w:r w:rsidRPr="00913BA7">
        <w:rPr>
          <w:strike/>
          <w:color w:val="FF0000"/>
        </w:rPr>
        <w:tab/>
        <w:t>(ii)</w:t>
      </w:r>
      <w:r w:rsidRPr="00913BA7">
        <w:rPr>
          <w:strike/>
          <w:color w:val="FF0000"/>
        </w:rPr>
        <w:tab/>
        <w:t>voluntary consumer data; and</w:t>
      </w:r>
    </w:p>
    <w:p w14:paraId="061D78E1" w14:textId="77777777" w:rsidR="00C24890" w:rsidRPr="00913BA7" w:rsidRDefault="00C24890" w:rsidP="00C24890">
      <w:pPr>
        <w:pStyle w:val="paragraph"/>
        <w:rPr>
          <w:strike/>
          <w:color w:val="FF0000"/>
        </w:rPr>
      </w:pPr>
      <w:r w:rsidRPr="00913BA7">
        <w:rPr>
          <w:strike/>
          <w:color w:val="FF0000"/>
        </w:rPr>
        <w:tab/>
        <w:t>(b)</w:t>
      </w:r>
      <w:r w:rsidRPr="00913BA7">
        <w:rPr>
          <w:strike/>
          <w:color w:val="FF0000"/>
        </w:rPr>
        <w:tab/>
        <w:t>if so:</w:t>
      </w:r>
    </w:p>
    <w:p w14:paraId="33B3131A"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whether it charges fees for disclosure of such data; and</w:t>
      </w:r>
    </w:p>
    <w:p w14:paraId="77F08B3B" w14:textId="77777777" w:rsidR="00C24890" w:rsidRPr="00913BA7" w:rsidRDefault="00C24890" w:rsidP="00C24890">
      <w:pPr>
        <w:pStyle w:val="paragraphsub"/>
        <w:rPr>
          <w:strike/>
          <w:color w:val="FF0000"/>
        </w:rPr>
      </w:pPr>
      <w:r w:rsidRPr="00913BA7">
        <w:rPr>
          <w:strike/>
          <w:color w:val="FF0000"/>
        </w:rPr>
        <w:tab/>
        <w:t>(ii)</w:t>
      </w:r>
      <w:r w:rsidRPr="00913BA7">
        <w:rPr>
          <w:strike/>
          <w:color w:val="FF0000"/>
        </w:rPr>
        <w:tab/>
        <w:t>if it does―how information about those fees can be obtained.</w:t>
      </w:r>
    </w:p>
    <w:p w14:paraId="621A5EE0" w14:textId="77777777" w:rsidR="00C24890" w:rsidRPr="00913BA7" w:rsidRDefault="00C24890" w:rsidP="00C24890">
      <w:pPr>
        <w:pStyle w:val="subsection"/>
        <w:rPr>
          <w:strike/>
          <w:color w:val="FF0000"/>
        </w:rPr>
      </w:pPr>
      <w:r w:rsidRPr="00913BA7">
        <w:rPr>
          <w:strike/>
          <w:color w:val="FF0000"/>
        </w:rPr>
        <w:tab/>
        <w:t>(4)</w:t>
      </w:r>
      <w:r w:rsidRPr="00913BA7">
        <w:rPr>
          <w:strike/>
          <w:color w:val="FF0000"/>
        </w:rPr>
        <w:tab/>
        <w:t>In addition to the information referred to in subsection 56ED(5) of the Act, an accredited data recipient’s CDR policy must:</w:t>
      </w:r>
    </w:p>
    <w:p w14:paraId="28B6AEBD" w14:textId="77777777" w:rsidR="00C24890" w:rsidRPr="00913BA7" w:rsidRDefault="00C24890" w:rsidP="00C24890">
      <w:pPr>
        <w:pStyle w:val="paragraph"/>
        <w:rPr>
          <w:strike/>
          <w:color w:val="FF0000"/>
        </w:rPr>
      </w:pPr>
      <w:r w:rsidRPr="00913BA7">
        <w:rPr>
          <w:strike/>
          <w:color w:val="FF0000"/>
        </w:rPr>
        <w:tab/>
        <w:t>(a)</w:t>
      </w:r>
      <w:r w:rsidRPr="00913BA7">
        <w:rPr>
          <w:strike/>
          <w:color w:val="FF0000"/>
        </w:rPr>
        <w:tab/>
        <w:t>include a statement indicating the consequences to the CDR consumer if they withdraw a consent to collect and use CDR data; and</w:t>
      </w:r>
    </w:p>
    <w:p w14:paraId="035A49B4" w14:textId="77777777" w:rsidR="00C24890" w:rsidRPr="00913BA7" w:rsidRDefault="00C24890" w:rsidP="00C24890">
      <w:pPr>
        <w:pStyle w:val="paragraph"/>
        <w:rPr>
          <w:strike/>
          <w:color w:val="FF0000"/>
        </w:rPr>
      </w:pPr>
      <w:r w:rsidRPr="00913BA7">
        <w:rPr>
          <w:strike/>
          <w:color w:val="FF0000"/>
        </w:rPr>
        <w:tab/>
        <w:t>(aa)</w:t>
      </w:r>
      <w:r w:rsidRPr="00913BA7">
        <w:rPr>
          <w:strike/>
          <w:color w:val="FF0000"/>
        </w:rPr>
        <w:tab/>
        <w:t>include a list of the accredited persons with whom the accredited data recipient has a sponsorship arrangement; and</w:t>
      </w:r>
    </w:p>
    <w:p w14:paraId="39CA24FB" w14:textId="77777777" w:rsidR="00C24890" w:rsidRPr="00913BA7" w:rsidRDefault="00C24890" w:rsidP="00C24890">
      <w:pPr>
        <w:pStyle w:val="paragraph"/>
        <w:rPr>
          <w:strike/>
          <w:color w:val="FF0000"/>
        </w:rPr>
      </w:pPr>
      <w:r w:rsidRPr="00913BA7">
        <w:rPr>
          <w:strike/>
          <w:color w:val="FF0000"/>
        </w:rPr>
        <w:tab/>
        <w:t>(ab)</w:t>
      </w:r>
      <w:r w:rsidRPr="00913BA7">
        <w:rPr>
          <w:strike/>
          <w:color w:val="FF0000"/>
        </w:rPr>
        <w:tab/>
        <w:t>for each such arrangement—include the nature of the services one party provides to the other party; and</w:t>
      </w:r>
    </w:p>
    <w:p w14:paraId="1AF97991" w14:textId="77777777" w:rsidR="00C24890" w:rsidRPr="00913BA7" w:rsidRDefault="00C24890" w:rsidP="00C24890">
      <w:pPr>
        <w:pStyle w:val="paragraph"/>
        <w:rPr>
          <w:strike/>
          <w:color w:val="FF0000"/>
        </w:rPr>
      </w:pPr>
      <w:r w:rsidRPr="00913BA7">
        <w:rPr>
          <w:strike/>
          <w:color w:val="FF0000"/>
        </w:rPr>
        <w:tab/>
        <w:t>(ac)</w:t>
      </w:r>
      <w:r w:rsidRPr="00913BA7">
        <w:rPr>
          <w:strike/>
          <w:color w:val="FF0000"/>
        </w:rPr>
        <w:tab/>
        <w:t>include a list of the CDR representatives of the accredited data recipient; and</w:t>
      </w:r>
    </w:p>
    <w:p w14:paraId="6FB974FB" w14:textId="77777777" w:rsidR="00C24890" w:rsidRPr="00913BA7" w:rsidRDefault="00C24890" w:rsidP="00C24890">
      <w:pPr>
        <w:pStyle w:val="paragraph"/>
        <w:rPr>
          <w:strike/>
          <w:color w:val="FF0000"/>
        </w:rPr>
      </w:pPr>
      <w:r w:rsidRPr="00913BA7">
        <w:rPr>
          <w:strike/>
          <w:color w:val="FF0000"/>
        </w:rPr>
        <w:tab/>
        <w:t>(b)</w:t>
      </w:r>
      <w:r w:rsidRPr="00913BA7">
        <w:rPr>
          <w:strike/>
          <w:color w:val="FF0000"/>
        </w:rPr>
        <w:tab/>
        <w:t>include a list of the outsourced service providers of the accredited data recipient (whether based in Australia or based overseas, and whether or not any is an accredited person); and</w:t>
      </w:r>
    </w:p>
    <w:p w14:paraId="38C9C210" w14:textId="77777777" w:rsidR="00C24890" w:rsidRPr="00913BA7" w:rsidRDefault="00C24890" w:rsidP="00C24890">
      <w:pPr>
        <w:pStyle w:val="paragraph"/>
        <w:rPr>
          <w:strike/>
          <w:color w:val="FF0000"/>
        </w:rPr>
      </w:pPr>
      <w:r w:rsidRPr="00913BA7">
        <w:rPr>
          <w:strike/>
          <w:color w:val="FF0000"/>
        </w:rPr>
        <w:tab/>
        <w:t>(c)</w:t>
      </w:r>
      <w:r w:rsidRPr="00913BA7">
        <w:rPr>
          <w:strike/>
          <w:color w:val="FF0000"/>
        </w:rPr>
        <w:tab/>
        <w:t>for each such service provider—include:</w:t>
      </w:r>
    </w:p>
    <w:p w14:paraId="2F26A379"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the nature of the services it provides; and</w:t>
      </w:r>
    </w:p>
    <w:p w14:paraId="785A339E" w14:textId="77777777" w:rsidR="00C24890" w:rsidRPr="00913BA7" w:rsidRDefault="00C24890" w:rsidP="00C24890">
      <w:pPr>
        <w:pStyle w:val="paragraphsub"/>
        <w:rPr>
          <w:strike/>
          <w:color w:val="FF0000"/>
        </w:rPr>
      </w:pPr>
      <w:r w:rsidRPr="00913BA7">
        <w:rPr>
          <w:strike/>
          <w:color w:val="FF0000"/>
        </w:rPr>
        <w:tab/>
        <w:t>(ii)</w:t>
      </w:r>
      <w:r w:rsidRPr="00913BA7">
        <w:rPr>
          <w:strike/>
          <w:color w:val="FF0000"/>
        </w:rPr>
        <w:tab/>
        <w:t>the CDR data or classes of CDR data that may be disclosed to it; and</w:t>
      </w:r>
    </w:p>
    <w:p w14:paraId="377B2C5C" w14:textId="77777777" w:rsidR="00C24890" w:rsidRPr="00913BA7" w:rsidRDefault="00C24890" w:rsidP="00C24890">
      <w:pPr>
        <w:pStyle w:val="paragraph"/>
        <w:rPr>
          <w:strike/>
          <w:color w:val="FF0000"/>
        </w:rPr>
      </w:pPr>
      <w:r w:rsidRPr="00913BA7">
        <w:rPr>
          <w:strike/>
          <w:color w:val="FF0000"/>
        </w:rPr>
        <w:tab/>
        <w:t>(ca)</w:t>
      </w:r>
      <w:r w:rsidRPr="00913BA7">
        <w:rPr>
          <w:strike/>
          <w:color w:val="FF0000"/>
        </w:rPr>
        <w:tab/>
        <w:t xml:space="preserve">if the </w:t>
      </w:r>
      <w:r w:rsidRPr="00913BA7">
        <w:rPr>
          <w:strike/>
          <w:color w:val="FF0000"/>
          <w:szCs w:val="22"/>
          <w:shd w:val="clear" w:color="auto" w:fill="FFFFFF"/>
        </w:rPr>
        <w:t>accredited person</w:t>
      </w:r>
      <w:r w:rsidRPr="00913BA7">
        <w:rPr>
          <w:strike/>
          <w:color w:val="FF0000"/>
        </w:rPr>
        <w:t xml:space="preserve"> wishes to undertake general research using the CDR data:</w:t>
      </w:r>
    </w:p>
    <w:p w14:paraId="0B6197EC"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a description of the research to be conducted; and</w:t>
      </w:r>
    </w:p>
    <w:p w14:paraId="3A0DEBB0" w14:textId="77777777" w:rsidR="00C24890" w:rsidRPr="00913BA7" w:rsidRDefault="00C24890" w:rsidP="00C24890">
      <w:pPr>
        <w:pStyle w:val="paragraphsub"/>
        <w:rPr>
          <w:strike/>
          <w:color w:val="FF0000"/>
        </w:rPr>
      </w:pPr>
      <w:r w:rsidRPr="00913BA7">
        <w:rPr>
          <w:strike/>
          <w:color w:val="FF0000"/>
        </w:rPr>
        <w:tab/>
        <w:t>(iii)</w:t>
      </w:r>
      <w:r w:rsidRPr="00913BA7">
        <w:rPr>
          <w:strike/>
          <w:color w:val="FF0000"/>
        </w:rPr>
        <w:tab/>
        <w:t>a description of any additional benefit to be provided to the CDR consumer for consenting to the use; and</w:t>
      </w:r>
    </w:p>
    <w:p w14:paraId="43178632" w14:textId="77777777" w:rsidR="00C24890" w:rsidRPr="00913BA7" w:rsidRDefault="00C24890" w:rsidP="00C24890">
      <w:pPr>
        <w:pStyle w:val="paragraph"/>
        <w:rPr>
          <w:strike/>
          <w:color w:val="FF0000"/>
          <w:szCs w:val="22"/>
          <w:shd w:val="clear" w:color="auto" w:fill="FFFFFF"/>
        </w:rPr>
      </w:pPr>
      <w:r w:rsidRPr="00913BA7">
        <w:rPr>
          <w:strike/>
          <w:color w:val="FF0000"/>
        </w:rPr>
        <w:tab/>
        <w:t>(d)</w:t>
      </w:r>
      <w:r w:rsidRPr="00913BA7">
        <w:rPr>
          <w:strike/>
          <w:color w:val="FF0000"/>
        </w:rPr>
        <w:tab/>
      </w:r>
      <w:r w:rsidRPr="00913BA7">
        <w:rPr>
          <w:strike/>
          <w:color w:val="FF0000"/>
          <w:szCs w:val="22"/>
          <w:shd w:val="clear" w:color="auto" w:fill="FFFFFF"/>
        </w:rPr>
        <w:t xml:space="preserve">if the accredited data recipient is likely to disclose CDR data of a kind referred to in </w:t>
      </w:r>
      <w:r w:rsidRPr="00913BA7">
        <w:rPr>
          <w:strike/>
          <w:color w:val="FF0000"/>
        </w:rPr>
        <w:t>subsection 56ED(5) of the Act</w:t>
      </w:r>
      <w:r w:rsidRPr="00913BA7">
        <w:rPr>
          <w:strike/>
          <w:color w:val="FF0000"/>
          <w:szCs w:val="22"/>
          <w:shd w:val="clear" w:color="auto" w:fill="FFFFFF"/>
        </w:rPr>
        <w:t xml:space="preserve"> to such a service provider that:</w:t>
      </w:r>
    </w:p>
    <w:p w14:paraId="7883FC09"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w:t>
      </w:r>
      <w:r w:rsidRPr="00913BA7">
        <w:rPr>
          <w:strike/>
          <w:color w:val="FF0000"/>
          <w:shd w:val="clear" w:color="auto" w:fill="FFFFFF"/>
        </w:rPr>
        <w:tab/>
        <w:t>is based overseas; and</w:t>
      </w:r>
    </w:p>
    <w:p w14:paraId="7A68D73B"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(ii)</w:t>
      </w:r>
      <w:r w:rsidRPr="00913BA7">
        <w:rPr>
          <w:strike/>
          <w:color w:val="FF0000"/>
          <w:shd w:val="clear" w:color="auto" w:fill="FFFFFF"/>
        </w:rPr>
        <w:tab/>
        <w:t>is not an accredited person;</w:t>
      </w:r>
    </w:p>
    <w:p w14:paraId="2315FD47" w14:textId="77777777" w:rsidR="00C24890" w:rsidRPr="00913BA7" w:rsidRDefault="00C24890" w:rsidP="00C24890">
      <w:pPr>
        <w:pStyle w:val="paragraph"/>
        <w:rPr>
          <w:strike/>
          <w:color w:val="FF0000"/>
          <w:shd w:val="clear" w:color="auto" w:fill="FFFFFF"/>
        </w:rPr>
      </w:pPr>
      <w:r w:rsidRPr="00913BA7">
        <w:rPr>
          <w:strike/>
          <w:color w:val="FF0000"/>
          <w:shd w:val="clear" w:color="auto" w:fill="FFFFFF"/>
        </w:rPr>
        <w:tab/>
      </w:r>
      <w:r w:rsidRPr="00913BA7">
        <w:rPr>
          <w:strike/>
          <w:color w:val="FF0000"/>
          <w:shd w:val="clear" w:color="auto" w:fill="FFFFFF"/>
        </w:rPr>
        <w:tab/>
      </w:r>
      <w:r w:rsidRPr="00913BA7">
        <w:rPr>
          <w:strike/>
          <w:color w:val="FF0000"/>
        </w:rPr>
        <w:t>include</w:t>
      </w:r>
      <w:r w:rsidRPr="00913BA7">
        <w:rPr>
          <w:strike/>
          <w:color w:val="FF0000"/>
          <w:shd w:val="clear" w:color="auto" w:fill="FFFFFF"/>
        </w:rPr>
        <w:t xml:space="preserve"> the countries in which such persons are likely to be based if it is practicable to specify those countries in the policy; and</w:t>
      </w:r>
    </w:p>
    <w:p w14:paraId="1DA2569A" w14:textId="77777777" w:rsidR="00C24890" w:rsidRPr="00913BA7" w:rsidRDefault="00C24890" w:rsidP="00C24890">
      <w:pPr>
        <w:pStyle w:val="paragraph"/>
        <w:rPr>
          <w:strike/>
          <w:color w:val="FF0000"/>
          <w:shd w:val="clear" w:color="auto" w:fill="FFFFFF"/>
        </w:rPr>
      </w:pPr>
      <w:r w:rsidRPr="00913BA7">
        <w:rPr>
          <w:strike/>
          <w:color w:val="FF0000"/>
          <w:shd w:val="clear" w:color="auto" w:fill="FFFFFF"/>
        </w:rPr>
        <w:tab/>
        <w:t>(e)</w:t>
      </w:r>
      <w:r w:rsidRPr="00913BA7">
        <w:rPr>
          <w:strike/>
          <w:color w:val="FF0000"/>
          <w:shd w:val="clear" w:color="auto" w:fill="FFFFFF"/>
        </w:rPr>
        <w:tab/>
        <w:t>if applicable—include the following information about de</w:t>
      </w:r>
      <w:r w:rsidRPr="00913BA7">
        <w:rPr>
          <w:strike/>
          <w:color w:val="FF0000"/>
          <w:shd w:val="clear" w:color="auto" w:fill="FFFFFF"/>
        </w:rPr>
        <w:noBreakHyphen/>
        <w:t>identification of CDR data that is not redundant data:</w:t>
      </w:r>
    </w:p>
    <w:p w14:paraId="77E10232"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lastRenderedPageBreak/>
        <w:tab/>
        <w:t>(i)</w:t>
      </w:r>
      <w:r w:rsidRPr="00913BA7">
        <w:rPr>
          <w:strike/>
          <w:color w:val="FF0000"/>
          <w:shd w:val="clear" w:color="auto" w:fill="FFFFFF"/>
        </w:rPr>
        <w:tab/>
        <w:t>how the accredited data recipient uses CDR data that has been de</w:t>
      </w:r>
      <w:r w:rsidRPr="00913BA7">
        <w:rPr>
          <w:strike/>
          <w:color w:val="FF0000"/>
          <w:shd w:val="clear" w:color="auto" w:fill="FFFFFF"/>
        </w:rPr>
        <w:noBreakHyphen/>
        <w:t>identified in accordance with the CDR data de</w:t>
      </w:r>
      <w:r w:rsidRPr="00913BA7">
        <w:rPr>
          <w:strike/>
          <w:color w:val="FF0000"/>
          <w:shd w:val="clear" w:color="auto" w:fill="FFFFFF"/>
        </w:rPr>
        <w:noBreakHyphen/>
        <w:t>identification process to provide goods or services to CDR consumers;</w:t>
      </w:r>
    </w:p>
    <w:p w14:paraId="0E1E3778"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(ii)</w:t>
      </w:r>
      <w:r w:rsidRPr="00913BA7">
        <w:rPr>
          <w:strike/>
          <w:color w:val="FF0000"/>
          <w:shd w:val="clear" w:color="auto" w:fill="FFFFFF"/>
        </w:rPr>
        <w:tab/>
        <w:t>the further information specified in subrule (5); and</w:t>
      </w:r>
    </w:p>
    <w:p w14:paraId="3842C173" w14:textId="77777777" w:rsidR="00C24890" w:rsidRPr="00913BA7" w:rsidRDefault="00C24890" w:rsidP="00C24890">
      <w:pPr>
        <w:pStyle w:val="paragraph"/>
        <w:rPr>
          <w:strike/>
          <w:color w:val="FF0000"/>
        </w:rPr>
      </w:pPr>
      <w:r w:rsidRPr="00913BA7">
        <w:rPr>
          <w:strike/>
          <w:color w:val="FF0000"/>
        </w:rPr>
        <w:tab/>
        <w:t>(f)</w:t>
      </w:r>
      <w:r w:rsidRPr="00913BA7">
        <w:rPr>
          <w:strike/>
          <w:color w:val="FF0000"/>
        </w:rPr>
        <w:tab/>
      </w:r>
      <w:r w:rsidRPr="00913BA7">
        <w:rPr>
          <w:strike/>
          <w:color w:val="FF0000"/>
          <w:shd w:val="clear" w:color="auto" w:fill="FFFFFF"/>
        </w:rPr>
        <w:t xml:space="preserve">include </w:t>
      </w:r>
      <w:r w:rsidRPr="00913BA7">
        <w:rPr>
          <w:strike/>
          <w:color w:val="FF0000"/>
        </w:rPr>
        <w:t>the following information about deletion of redundant CDR data:</w:t>
      </w:r>
    </w:p>
    <w:p w14:paraId="74041DDC"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when it deletes redundant data;</w:t>
      </w:r>
    </w:p>
    <w:p w14:paraId="5CFA6CE4" w14:textId="77777777" w:rsidR="00C24890" w:rsidRPr="00913BA7" w:rsidRDefault="00C24890" w:rsidP="00C24890">
      <w:pPr>
        <w:pStyle w:val="paragraphsub"/>
        <w:rPr>
          <w:strike/>
          <w:color w:val="FF0000"/>
        </w:rPr>
      </w:pPr>
      <w:r w:rsidRPr="00913BA7">
        <w:rPr>
          <w:strike/>
          <w:color w:val="FF0000"/>
        </w:rPr>
        <w:tab/>
        <w:t>(ii)</w:t>
      </w:r>
      <w:r w:rsidRPr="00913BA7">
        <w:rPr>
          <w:strike/>
          <w:color w:val="FF0000"/>
        </w:rPr>
        <w:tab/>
        <w:t>how a CDR consumer may elect for this to happen;</w:t>
      </w:r>
    </w:p>
    <w:p w14:paraId="0E305D4B" w14:textId="77777777" w:rsidR="00C24890" w:rsidRPr="00913BA7" w:rsidRDefault="00C24890" w:rsidP="00C24890">
      <w:pPr>
        <w:pStyle w:val="paragraphsub"/>
        <w:rPr>
          <w:strike/>
          <w:color w:val="FF0000"/>
        </w:rPr>
      </w:pPr>
      <w:r w:rsidRPr="00913BA7">
        <w:rPr>
          <w:strike/>
          <w:color w:val="FF0000"/>
        </w:rPr>
        <w:tab/>
        <w:t>(iii)</w:t>
      </w:r>
      <w:r w:rsidRPr="00913BA7">
        <w:rPr>
          <w:strike/>
          <w:color w:val="FF0000"/>
        </w:rPr>
        <w:tab/>
        <w:t>how it deletes redundant data; and</w:t>
      </w:r>
    </w:p>
    <w:p w14:paraId="7077C063" w14:textId="77777777" w:rsidR="00C24890" w:rsidRPr="00913BA7" w:rsidRDefault="00C24890" w:rsidP="00C24890">
      <w:pPr>
        <w:pStyle w:val="paragraph"/>
        <w:rPr>
          <w:strike/>
          <w:color w:val="FF0000"/>
        </w:rPr>
      </w:pPr>
      <w:r w:rsidRPr="00913BA7">
        <w:rPr>
          <w:strike/>
          <w:color w:val="FF0000"/>
        </w:rPr>
        <w:tab/>
        <w:t>(g)</w:t>
      </w:r>
      <w:r w:rsidRPr="00913BA7">
        <w:rPr>
          <w:strike/>
          <w:color w:val="FF0000"/>
        </w:rPr>
        <w:tab/>
      </w:r>
      <w:r w:rsidRPr="00913BA7">
        <w:rPr>
          <w:strike/>
          <w:color w:val="FF0000"/>
          <w:shd w:val="clear" w:color="auto" w:fill="FFFFFF"/>
        </w:rPr>
        <w:t xml:space="preserve">if applicable—include </w:t>
      </w:r>
      <w:r w:rsidRPr="00913BA7">
        <w:rPr>
          <w:strike/>
          <w:color w:val="FF0000"/>
        </w:rPr>
        <w:t>the following information about de</w:t>
      </w:r>
      <w:r w:rsidRPr="00913BA7">
        <w:rPr>
          <w:strike/>
          <w:color w:val="FF0000"/>
        </w:rPr>
        <w:noBreakHyphen/>
        <w:t>identification of redundant CDR data:</w:t>
      </w:r>
    </w:p>
    <w:p w14:paraId="3D1C945F"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if the de</w:t>
      </w:r>
      <w:r w:rsidRPr="00913BA7">
        <w:rPr>
          <w:strike/>
          <w:color w:val="FF0000"/>
        </w:rPr>
        <w:noBreakHyphen/>
        <w:t>identified data is used by the accredited data recipient—examples of how the accredited data recipient ordinarily uses de</w:t>
      </w:r>
      <w:r w:rsidRPr="00913BA7">
        <w:rPr>
          <w:strike/>
          <w:color w:val="FF0000"/>
        </w:rPr>
        <w:noBreakHyphen/>
        <w:t>identified data; and</w:t>
      </w:r>
    </w:p>
    <w:p w14:paraId="0C74C47A"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(ii)</w:t>
      </w:r>
      <w:r w:rsidRPr="00913BA7">
        <w:rPr>
          <w:strike/>
          <w:color w:val="FF0000"/>
          <w:shd w:val="clear" w:color="auto" w:fill="FFFFFF"/>
        </w:rPr>
        <w:tab/>
        <w:t>the further information specified in subrule (5); and</w:t>
      </w:r>
    </w:p>
    <w:p w14:paraId="76A22621" w14:textId="77777777" w:rsidR="00C24890" w:rsidRPr="00913BA7" w:rsidRDefault="00C24890" w:rsidP="00C24890">
      <w:pPr>
        <w:pStyle w:val="paragraph"/>
        <w:rPr>
          <w:strike/>
          <w:color w:val="FF0000"/>
          <w:shd w:val="clear" w:color="auto" w:fill="FFFFFF"/>
        </w:rPr>
      </w:pPr>
      <w:r w:rsidRPr="00913BA7">
        <w:rPr>
          <w:strike/>
          <w:color w:val="FF0000"/>
          <w:shd w:val="clear" w:color="auto" w:fill="FFFFFF"/>
        </w:rPr>
        <w:tab/>
        <w:t>(h)</w:t>
      </w:r>
      <w:r w:rsidRPr="00913BA7">
        <w:rPr>
          <w:strike/>
          <w:color w:val="FF0000"/>
          <w:shd w:val="clear" w:color="auto" w:fill="FFFFFF"/>
        </w:rPr>
        <w:tab/>
        <w:t>include the following information about the CDR consumer’s election to delete their CDR data:</w:t>
      </w:r>
    </w:p>
    <w:p w14:paraId="459DA777"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w:t>
      </w:r>
      <w:r w:rsidRPr="00913BA7">
        <w:rPr>
          <w:strike/>
          <w:color w:val="FF0000"/>
          <w:shd w:val="clear" w:color="auto" w:fill="FFFFFF"/>
        </w:rPr>
        <w:tab/>
        <w:t>information about how the election operates and its effect;</w:t>
      </w:r>
    </w:p>
    <w:p w14:paraId="4C2E543A" w14:textId="77777777" w:rsidR="00C24890" w:rsidRPr="00913BA7" w:rsidRDefault="00C24890" w:rsidP="00C24890">
      <w:pPr>
        <w:pStyle w:val="paragraphsub"/>
        <w:rPr>
          <w:strike/>
          <w:color w:val="FF0000"/>
          <w:shd w:val="clear" w:color="auto" w:fill="FFFFFF"/>
        </w:rPr>
      </w:pPr>
      <w:r w:rsidRPr="00913BA7">
        <w:rPr>
          <w:strike/>
          <w:color w:val="FF0000"/>
          <w:shd w:val="clear" w:color="auto" w:fill="FFFFFF"/>
        </w:rPr>
        <w:tab/>
        <w:t>(ii)</w:t>
      </w:r>
      <w:r w:rsidRPr="00913BA7">
        <w:rPr>
          <w:strike/>
          <w:color w:val="FF0000"/>
          <w:shd w:val="clear" w:color="auto" w:fill="FFFFFF"/>
        </w:rPr>
        <w:tab/>
        <w:t>information about how CDR consumers can exercise the election.</w:t>
      </w:r>
    </w:p>
    <w:p w14:paraId="2862004D" w14:textId="77777777" w:rsidR="00C24890" w:rsidRPr="00913BA7" w:rsidRDefault="00C24890" w:rsidP="00C24890">
      <w:pPr>
        <w:pStyle w:val="notetext"/>
        <w:rPr>
          <w:strike/>
          <w:color w:val="FF0000"/>
        </w:rPr>
      </w:pPr>
      <w:r w:rsidRPr="00913BA7">
        <w:rPr>
          <w:strike/>
          <w:color w:val="FF0000"/>
        </w:rPr>
        <w:t>Note 1:</w:t>
      </w:r>
      <w:r w:rsidRPr="00913BA7">
        <w:rPr>
          <w:strike/>
          <w:color w:val="FF0000"/>
        </w:rPr>
        <w:tab/>
        <w:t>The specified service providers are the accredited data recipient’s “outsourced service providers”.</w:t>
      </w:r>
    </w:p>
    <w:p w14:paraId="52B24B89" w14:textId="77777777" w:rsidR="00C24890" w:rsidRPr="00913BA7" w:rsidRDefault="00C24890" w:rsidP="00C24890">
      <w:pPr>
        <w:pStyle w:val="notetext"/>
        <w:rPr>
          <w:strike/>
          <w:color w:val="FF0000"/>
        </w:rPr>
      </w:pPr>
      <w:r w:rsidRPr="00913BA7">
        <w:rPr>
          <w:strike/>
          <w:color w:val="FF0000"/>
        </w:rPr>
        <w:t>Note 2:</w:t>
      </w:r>
      <w:r w:rsidRPr="00913BA7">
        <w:rPr>
          <w:strike/>
          <w:color w:val="FF0000"/>
        </w:rPr>
        <w:tab/>
        <w:t>For paragraph (d), if the service provider is an accredited person who is based overseas, paragraph 56ED(5)(f) of the Act requires similar information to be contained in the accredited data recipient’s CDR policy.</w:t>
      </w:r>
    </w:p>
    <w:p w14:paraId="1D089E23" w14:textId="77777777" w:rsidR="00C24890" w:rsidRPr="00913BA7" w:rsidRDefault="00C24890" w:rsidP="00C24890">
      <w:pPr>
        <w:pStyle w:val="notetext"/>
        <w:rPr>
          <w:strike/>
          <w:color w:val="FF0000"/>
        </w:rPr>
      </w:pPr>
      <w:r w:rsidRPr="00913BA7">
        <w:rPr>
          <w:strike/>
          <w:color w:val="FF0000"/>
        </w:rPr>
        <w:t xml:space="preserve">Note 3: </w:t>
      </w:r>
      <w:r w:rsidRPr="00913BA7">
        <w:rPr>
          <w:strike/>
          <w:color w:val="FF0000"/>
        </w:rPr>
        <w:tab/>
        <w:t>This subrule is a civil penalty provision (see rule 9.8).</w:t>
      </w:r>
    </w:p>
    <w:p w14:paraId="6EA7769C" w14:textId="77777777" w:rsidR="00C24890" w:rsidRPr="00913BA7" w:rsidRDefault="00C24890" w:rsidP="00C24890">
      <w:pPr>
        <w:pStyle w:val="subsection"/>
        <w:rPr>
          <w:strike/>
          <w:color w:val="FF0000"/>
        </w:rPr>
      </w:pPr>
      <w:r w:rsidRPr="00913BA7">
        <w:rPr>
          <w:strike/>
          <w:color w:val="FF0000"/>
        </w:rPr>
        <w:tab/>
        <w:t>(5)</w:t>
      </w:r>
      <w:r w:rsidRPr="00913BA7">
        <w:rPr>
          <w:strike/>
          <w:color w:val="FF0000"/>
        </w:rPr>
        <w:tab/>
        <w:t>For subparagraphs (4)(e)(ii) and (g)(ii), the further information is:</w:t>
      </w:r>
    </w:p>
    <w:p w14:paraId="297E2CF8" w14:textId="77777777" w:rsidR="00C24890" w:rsidRPr="00913BA7" w:rsidRDefault="00C24890" w:rsidP="00C24890">
      <w:pPr>
        <w:pStyle w:val="paragraph"/>
        <w:rPr>
          <w:strike/>
          <w:color w:val="FF0000"/>
          <w:shd w:val="clear" w:color="auto" w:fill="FFFFFF"/>
        </w:rPr>
      </w:pPr>
      <w:r w:rsidRPr="00913BA7">
        <w:rPr>
          <w:strike/>
          <w:color w:val="FF0000"/>
          <w:shd w:val="clear" w:color="auto" w:fill="FFFFFF"/>
        </w:rPr>
        <w:tab/>
        <w:t>(a)</w:t>
      </w:r>
      <w:r w:rsidRPr="00913BA7">
        <w:rPr>
          <w:strike/>
          <w:color w:val="FF0000"/>
          <w:shd w:val="clear" w:color="auto" w:fill="FFFFFF"/>
        </w:rPr>
        <w:tab/>
        <w:t>how the accredited data recipient de</w:t>
      </w:r>
      <w:r w:rsidRPr="00913BA7">
        <w:rPr>
          <w:strike/>
          <w:color w:val="FF0000"/>
          <w:shd w:val="clear" w:color="auto" w:fill="FFFFFF"/>
        </w:rPr>
        <w:noBreakHyphen/>
        <w:t>identifies CDR data, including a description of techniques that it uses to de</w:t>
      </w:r>
      <w:r w:rsidRPr="00913BA7">
        <w:rPr>
          <w:strike/>
          <w:color w:val="FF0000"/>
          <w:shd w:val="clear" w:color="auto" w:fill="FFFFFF"/>
        </w:rPr>
        <w:noBreakHyphen/>
        <w:t>identify data; and</w:t>
      </w:r>
    </w:p>
    <w:p w14:paraId="688FE7F4" w14:textId="77777777" w:rsidR="00C24890" w:rsidRPr="00913BA7" w:rsidRDefault="00C24890" w:rsidP="00C24890">
      <w:pPr>
        <w:pStyle w:val="paragraph"/>
        <w:rPr>
          <w:strike/>
          <w:color w:val="FF0000"/>
        </w:rPr>
      </w:pPr>
      <w:r w:rsidRPr="00913BA7">
        <w:rPr>
          <w:strike/>
          <w:color w:val="FF0000"/>
        </w:rPr>
        <w:tab/>
        <w:t>(b)</w:t>
      </w:r>
      <w:r w:rsidRPr="00913BA7">
        <w:rPr>
          <w:strike/>
          <w:color w:val="FF0000"/>
        </w:rPr>
        <w:tab/>
        <w:t>if the accredited data recipient ordinarily discloses (by sale or otherwise) de</w:t>
      </w:r>
      <w:r w:rsidRPr="00913BA7">
        <w:rPr>
          <w:strike/>
          <w:color w:val="FF0000"/>
        </w:rPr>
        <w:noBreakHyphen/>
        <w:t>identified data to one or more other persons:</w:t>
      </w:r>
    </w:p>
    <w:p w14:paraId="73C26EE1" w14:textId="77777777" w:rsidR="00C24890" w:rsidRPr="00913BA7" w:rsidRDefault="00C24890" w:rsidP="00C24890">
      <w:pPr>
        <w:pStyle w:val="paragraphsub"/>
        <w:rPr>
          <w:strike/>
          <w:color w:val="FF0000"/>
        </w:rPr>
      </w:pPr>
      <w:r w:rsidRPr="00913BA7">
        <w:rPr>
          <w:strike/>
          <w:color w:val="FF0000"/>
        </w:rPr>
        <w:tab/>
        <w:t>(i)</w:t>
      </w:r>
      <w:r w:rsidRPr="00913BA7">
        <w:rPr>
          <w:strike/>
          <w:color w:val="FF0000"/>
        </w:rPr>
        <w:tab/>
        <w:t>that fact; and</w:t>
      </w:r>
    </w:p>
    <w:p w14:paraId="05249585" w14:textId="77777777" w:rsidR="00C24890" w:rsidRPr="00913BA7" w:rsidRDefault="00C24890" w:rsidP="00C24890">
      <w:pPr>
        <w:pStyle w:val="paragraphsub"/>
        <w:rPr>
          <w:strike/>
          <w:color w:val="FF0000"/>
        </w:rPr>
      </w:pPr>
      <w:r w:rsidRPr="00913BA7">
        <w:rPr>
          <w:strike/>
          <w:color w:val="FF0000"/>
        </w:rPr>
        <w:tab/>
        <w:t>(ii)</w:t>
      </w:r>
      <w:r w:rsidRPr="00913BA7">
        <w:rPr>
          <w:strike/>
          <w:color w:val="FF0000"/>
        </w:rPr>
        <w:tab/>
        <w:t>to what classes of person it ordinarily discloses such data; and</w:t>
      </w:r>
    </w:p>
    <w:p w14:paraId="6788B275" w14:textId="77777777" w:rsidR="00C24890" w:rsidRPr="00913BA7" w:rsidRDefault="00C24890" w:rsidP="00C24890">
      <w:pPr>
        <w:pStyle w:val="paragraphsub"/>
        <w:rPr>
          <w:strike/>
          <w:color w:val="FF0000"/>
          <w:shd w:val="clear" w:color="auto" w:fill="FFFFFF"/>
        </w:rPr>
      </w:pPr>
      <w:r w:rsidRPr="00913BA7">
        <w:rPr>
          <w:strike/>
          <w:color w:val="FF0000"/>
        </w:rPr>
        <w:tab/>
        <w:t>(iii)</w:t>
      </w:r>
      <w:r w:rsidRPr="00913BA7">
        <w:rPr>
          <w:strike/>
          <w:color w:val="FF0000"/>
        </w:rPr>
        <w:tab/>
        <w:t>why it so discloses such data</w:t>
      </w:r>
      <w:r w:rsidRPr="00913BA7">
        <w:rPr>
          <w:strike/>
          <w:color w:val="FF0000"/>
          <w:shd w:val="clear" w:color="auto" w:fill="FFFFFF"/>
        </w:rPr>
        <w:t>.</w:t>
      </w:r>
    </w:p>
    <w:p w14:paraId="0233139D" w14:textId="77777777" w:rsidR="00C24890" w:rsidRPr="00913BA7" w:rsidRDefault="00C24890" w:rsidP="00C24890">
      <w:pPr>
        <w:pStyle w:val="subsection"/>
        <w:rPr>
          <w:strike/>
          <w:color w:val="FF0000"/>
        </w:rPr>
      </w:pPr>
      <w:r w:rsidRPr="00913BA7">
        <w:rPr>
          <w:strike/>
          <w:color w:val="FF0000"/>
        </w:rPr>
        <w:tab/>
        <w:t>(6)</w:t>
      </w:r>
      <w:r w:rsidRPr="00913BA7">
        <w:rPr>
          <w:strike/>
          <w:color w:val="FF0000"/>
        </w:rPr>
        <w:tab/>
        <w:t>In addition to the information referred to in paragraphs 56ED(4)(b) and (5)(d) of the Act, a CDR participant’s CDR policy must include the following information in relation to the participant’s internal dispute resolution processes:</w:t>
      </w:r>
    </w:p>
    <w:p w14:paraId="7C843118" w14:textId="77777777" w:rsidR="00C24890" w:rsidRPr="00913BA7" w:rsidRDefault="00C24890" w:rsidP="00C24890">
      <w:pPr>
        <w:pStyle w:val="paragraph"/>
        <w:rPr>
          <w:strike/>
          <w:color w:val="FF0000"/>
        </w:rPr>
      </w:pPr>
      <w:r w:rsidRPr="00913BA7">
        <w:rPr>
          <w:strike/>
          <w:color w:val="FF0000"/>
        </w:rPr>
        <w:tab/>
        <w:t>(a)</w:t>
      </w:r>
      <w:r w:rsidRPr="00913BA7">
        <w:rPr>
          <w:strike/>
          <w:color w:val="FF0000"/>
        </w:rPr>
        <w:tab/>
        <w:t>where a CDR consumer complaint can be made;</w:t>
      </w:r>
    </w:p>
    <w:p w14:paraId="765C555C" w14:textId="77777777" w:rsidR="00C24890" w:rsidRPr="00913BA7" w:rsidRDefault="00C24890" w:rsidP="00C24890">
      <w:pPr>
        <w:pStyle w:val="paragraph"/>
        <w:rPr>
          <w:strike/>
          <w:color w:val="FF0000"/>
        </w:rPr>
      </w:pPr>
      <w:r w:rsidRPr="00913BA7">
        <w:rPr>
          <w:strike/>
          <w:color w:val="FF0000"/>
        </w:rPr>
        <w:tab/>
        <w:t>(b)</w:t>
      </w:r>
      <w:r w:rsidRPr="00913BA7">
        <w:rPr>
          <w:strike/>
          <w:color w:val="FF0000"/>
        </w:rPr>
        <w:tab/>
        <w:t>how a CDR consumer complaint can be made;</w:t>
      </w:r>
    </w:p>
    <w:p w14:paraId="4F43B411" w14:textId="77777777" w:rsidR="00C24890" w:rsidRPr="00913BA7" w:rsidRDefault="00C24890" w:rsidP="00C24890">
      <w:pPr>
        <w:pStyle w:val="paragraph"/>
        <w:rPr>
          <w:strike/>
          <w:color w:val="FF0000"/>
        </w:rPr>
      </w:pPr>
      <w:r w:rsidRPr="00913BA7">
        <w:rPr>
          <w:strike/>
          <w:color w:val="FF0000"/>
        </w:rPr>
        <w:tab/>
        <w:t>(c)</w:t>
      </w:r>
      <w:r w:rsidRPr="00913BA7">
        <w:rPr>
          <w:strike/>
          <w:color w:val="FF0000"/>
        </w:rPr>
        <w:tab/>
        <w:t>when a CDR consumer complaint can be made;</w:t>
      </w:r>
    </w:p>
    <w:p w14:paraId="735FBD93" w14:textId="77777777" w:rsidR="00C24890" w:rsidRPr="00913BA7" w:rsidRDefault="00C24890" w:rsidP="00C24890">
      <w:pPr>
        <w:pStyle w:val="paragraph"/>
        <w:rPr>
          <w:strike/>
          <w:color w:val="FF0000"/>
        </w:rPr>
      </w:pPr>
      <w:r w:rsidRPr="00913BA7">
        <w:rPr>
          <w:strike/>
          <w:color w:val="FF0000"/>
        </w:rPr>
        <w:tab/>
        <w:t>(d)</w:t>
      </w:r>
      <w:r w:rsidRPr="00913BA7">
        <w:rPr>
          <w:strike/>
          <w:color w:val="FF0000"/>
        </w:rPr>
        <w:tab/>
        <w:t>when acknowledgement of a CDR consumer complaint can be expected;</w:t>
      </w:r>
    </w:p>
    <w:p w14:paraId="3AF8A298" w14:textId="77777777" w:rsidR="00C24890" w:rsidRPr="00913BA7" w:rsidRDefault="00C24890" w:rsidP="00C24890">
      <w:pPr>
        <w:pStyle w:val="paragraph"/>
        <w:rPr>
          <w:strike/>
          <w:color w:val="FF0000"/>
        </w:rPr>
      </w:pPr>
      <w:r w:rsidRPr="00913BA7">
        <w:rPr>
          <w:strike/>
          <w:color w:val="FF0000"/>
        </w:rPr>
        <w:tab/>
        <w:t>(e)</w:t>
      </w:r>
      <w:r w:rsidRPr="00913BA7">
        <w:rPr>
          <w:strike/>
          <w:color w:val="FF0000"/>
        </w:rPr>
        <w:tab/>
        <w:t>what information is required to be provided by the complainant;</w:t>
      </w:r>
    </w:p>
    <w:p w14:paraId="6F827429" w14:textId="77777777" w:rsidR="00C24890" w:rsidRPr="00913BA7" w:rsidRDefault="00C24890" w:rsidP="00C24890">
      <w:pPr>
        <w:pStyle w:val="paragraph"/>
        <w:rPr>
          <w:strike/>
          <w:color w:val="FF0000"/>
        </w:rPr>
      </w:pPr>
      <w:r w:rsidRPr="00913BA7">
        <w:rPr>
          <w:strike/>
          <w:color w:val="FF0000"/>
        </w:rPr>
        <w:tab/>
        <w:t>(f)</w:t>
      </w:r>
      <w:r w:rsidRPr="00913BA7">
        <w:rPr>
          <w:strike/>
          <w:color w:val="FF0000"/>
        </w:rPr>
        <w:tab/>
        <w:t>the participant’s process for handling CDR consumer complaints;</w:t>
      </w:r>
    </w:p>
    <w:p w14:paraId="7AAF4C04" w14:textId="77777777" w:rsidR="00C24890" w:rsidRPr="00913BA7" w:rsidRDefault="00C24890" w:rsidP="00C24890">
      <w:pPr>
        <w:pStyle w:val="paragraph"/>
        <w:rPr>
          <w:strike/>
          <w:color w:val="FF0000"/>
        </w:rPr>
      </w:pPr>
      <w:r w:rsidRPr="00913BA7">
        <w:rPr>
          <w:strike/>
          <w:color w:val="FF0000"/>
        </w:rPr>
        <w:tab/>
        <w:t>(g)</w:t>
      </w:r>
      <w:r w:rsidRPr="00913BA7">
        <w:rPr>
          <w:strike/>
          <w:color w:val="FF0000"/>
        </w:rPr>
        <w:tab/>
        <w:t>time periods associated with various stages in the CDR consumer complaint process;</w:t>
      </w:r>
    </w:p>
    <w:p w14:paraId="320430DC" w14:textId="77777777" w:rsidR="00C24890" w:rsidRPr="00913BA7" w:rsidRDefault="00C24890" w:rsidP="00C24890">
      <w:pPr>
        <w:pStyle w:val="paragraph"/>
        <w:rPr>
          <w:strike/>
          <w:color w:val="FF0000"/>
        </w:rPr>
      </w:pPr>
      <w:r w:rsidRPr="00913BA7">
        <w:rPr>
          <w:strike/>
          <w:color w:val="FF0000"/>
        </w:rPr>
        <w:lastRenderedPageBreak/>
        <w:tab/>
        <w:t>(h)</w:t>
      </w:r>
      <w:r w:rsidRPr="00913BA7">
        <w:rPr>
          <w:strike/>
          <w:color w:val="FF0000"/>
        </w:rPr>
        <w:tab/>
        <w:t>options for redress;</w:t>
      </w:r>
    </w:p>
    <w:p w14:paraId="65D3480E" w14:textId="77777777" w:rsidR="00C24890" w:rsidRPr="00913BA7" w:rsidRDefault="00C24890" w:rsidP="00C24890">
      <w:pPr>
        <w:pStyle w:val="paragraph"/>
        <w:rPr>
          <w:strike/>
          <w:color w:val="FF0000"/>
        </w:rPr>
      </w:pPr>
      <w:r w:rsidRPr="00913BA7">
        <w:rPr>
          <w:strike/>
          <w:color w:val="FF0000"/>
        </w:rPr>
        <w:tab/>
        <w:t>(i)</w:t>
      </w:r>
      <w:r w:rsidRPr="00913BA7">
        <w:rPr>
          <w:strike/>
          <w:color w:val="FF0000"/>
        </w:rPr>
        <w:tab/>
        <w:t>options for review, both internally (if available) and externally.</w:t>
      </w:r>
    </w:p>
    <w:p w14:paraId="75801CA5" w14:textId="77777777" w:rsidR="00C24890" w:rsidRPr="00913BA7" w:rsidRDefault="00C24890" w:rsidP="00C24890">
      <w:pPr>
        <w:pStyle w:val="notetext"/>
        <w:rPr>
          <w:strike/>
          <w:color w:val="FF0000"/>
        </w:rPr>
      </w:pPr>
      <w:r w:rsidRPr="00913BA7">
        <w:rPr>
          <w:strike/>
          <w:color w:val="FF0000"/>
        </w:rPr>
        <w:t>Note:</w:t>
      </w:r>
      <w:r w:rsidRPr="00913BA7">
        <w:rPr>
          <w:strike/>
          <w:color w:val="FF0000"/>
        </w:rPr>
        <w:tab/>
        <w:t>This subrule is a civil penalty provision (see rule 9.8).</w:t>
      </w:r>
    </w:p>
    <w:p w14:paraId="4ED7E4CB" w14:textId="77777777" w:rsidR="00C24890" w:rsidRPr="00913BA7" w:rsidRDefault="00C24890" w:rsidP="00C24890">
      <w:pPr>
        <w:pStyle w:val="subsection"/>
        <w:rPr>
          <w:strike/>
          <w:color w:val="FF0000"/>
        </w:rPr>
      </w:pPr>
      <w:r w:rsidRPr="00913BA7">
        <w:rPr>
          <w:strike/>
          <w:color w:val="FF0000"/>
        </w:rPr>
        <w:tab/>
        <w:t>(7)</w:t>
      </w:r>
      <w:r w:rsidRPr="00913BA7">
        <w:rPr>
          <w:strike/>
          <w:color w:val="FF0000"/>
        </w:rPr>
        <w:tab/>
        <w:t>If an accredited data recipient proposes to store CDR data other than in Australia or an external territory, its CDR policy must specify any country in which they propose to store CDR data.</w:t>
      </w:r>
    </w:p>
    <w:p w14:paraId="4B712D84" w14:textId="77777777" w:rsidR="00C24890" w:rsidRPr="00913BA7" w:rsidRDefault="00C24890" w:rsidP="00C24890">
      <w:pPr>
        <w:pStyle w:val="notetext"/>
        <w:rPr>
          <w:strike/>
          <w:color w:val="FF0000"/>
        </w:rPr>
      </w:pPr>
      <w:r w:rsidRPr="00913BA7">
        <w:rPr>
          <w:strike/>
          <w:color w:val="FF0000"/>
        </w:rPr>
        <w:t>Note:</w:t>
      </w:r>
      <w:r w:rsidRPr="00913BA7">
        <w:rPr>
          <w:strike/>
          <w:color w:val="FF0000"/>
        </w:rPr>
        <w:tab/>
        <w:t>This subrule is a civil penalty provision (see rule 9.8).</w:t>
      </w:r>
    </w:p>
    <w:p w14:paraId="4FEBFEC3" w14:textId="77777777" w:rsidR="00C24890" w:rsidRPr="00913BA7" w:rsidRDefault="00C24890" w:rsidP="00C24890">
      <w:pPr>
        <w:pStyle w:val="SubsectionHead"/>
        <w:rPr>
          <w:strike/>
          <w:color w:val="FF0000"/>
        </w:rPr>
      </w:pPr>
      <w:r w:rsidRPr="00913BA7">
        <w:rPr>
          <w:strike/>
          <w:color w:val="FF0000"/>
        </w:rPr>
        <w:t>Availability of policy</w:t>
      </w:r>
    </w:p>
    <w:p w14:paraId="2B996891" w14:textId="77777777" w:rsidR="00C24890" w:rsidRPr="00913BA7" w:rsidRDefault="00C24890" w:rsidP="00C24890">
      <w:pPr>
        <w:pStyle w:val="subsection"/>
        <w:rPr>
          <w:strike/>
          <w:color w:val="FF0000"/>
        </w:rPr>
      </w:pPr>
      <w:r w:rsidRPr="00913BA7">
        <w:rPr>
          <w:strike/>
          <w:color w:val="FF0000"/>
        </w:rPr>
        <w:tab/>
        <w:t>(8)</w:t>
      </w:r>
      <w:r w:rsidRPr="00913BA7">
        <w:rPr>
          <w:strike/>
          <w:color w:val="FF0000"/>
        </w:rPr>
        <w:tab/>
        <w:t>For paragraph 56ED(7)(b) of the Act, a CDR participant must make its CDR policy readily available through each online service by means of which the CDR participant, or a CDR representative of the CDR participant, ordinarily deals with CDR consumers.</w:t>
      </w:r>
    </w:p>
    <w:p w14:paraId="374D4177" w14:textId="77777777" w:rsidR="00C24890" w:rsidRPr="00913BA7" w:rsidRDefault="00C24890" w:rsidP="00C24890">
      <w:pPr>
        <w:pStyle w:val="notetext"/>
        <w:rPr>
          <w:strike/>
          <w:color w:val="FF0000"/>
        </w:rPr>
      </w:pPr>
      <w:r w:rsidRPr="00913BA7">
        <w:rPr>
          <w:strike/>
          <w:color w:val="FF0000"/>
        </w:rPr>
        <w:t>Note:</w:t>
      </w:r>
      <w:r w:rsidRPr="00913BA7">
        <w:rPr>
          <w:strike/>
          <w:color w:val="FF0000"/>
        </w:rPr>
        <w:tab/>
        <w:t>This subrule is a civil penalty provision (see rule 9.8).</w:t>
      </w:r>
    </w:p>
    <w:p w14:paraId="29D55450" w14:textId="77777777" w:rsidR="00C24890" w:rsidRPr="00913BA7" w:rsidRDefault="00C24890" w:rsidP="00C24890">
      <w:pPr>
        <w:pStyle w:val="subsection"/>
        <w:rPr>
          <w:strike/>
          <w:color w:val="FF0000"/>
        </w:rPr>
      </w:pPr>
      <w:r w:rsidRPr="00913BA7">
        <w:rPr>
          <w:strike/>
          <w:color w:val="FF0000"/>
        </w:rPr>
        <w:tab/>
        <w:t>(9)</w:t>
      </w:r>
      <w:r w:rsidRPr="00913BA7">
        <w:rPr>
          <w:strike/>
          <w:color w:val="FF0000"/>
        </w:rPr>
        <w:tab/>
        <w:t>For subsection 56ED(8) of the Act, if a copy of a the CDR participant’s policy is requested by a CDR consumer, the participant must give the CDR consumer a copy:</w:t>
      </w:r>
    </w:p>
    <w:p w14:paraId="781051FB" w14:textId="77777777" w:rsidR="00C24890" w:rsidRPr="00913BA7" w:rsidRDefault="00C24890" w:rsidP="00C24890">
      <w:pPr>
        <w:pStyle w:val="paragraph"/>
        <w:rPr>
          <w:strike/>
          <w:color w:val="FF0000"/>
        </w:rPr>
      </w:pPr>
      <w:r w:rsidRPr="00913BA7">
        <w:rPr>
          <w:strike/>
          <w:color w:val="FF0000"/>
        </w:rPr>
        <w:tab/>
        <w:t>(a)</w:t>
      </w:r>
      <w:r w:rsidRPr="00913BA7">
        <w:rPr>
          <w:strike/>
          <w:color w:val="FF0000"/>
        </w:rPr>
        <w:tab/>
        <w:t>electronically; or</w:t>
      </w:r>
    </w:p>
    <w:p w14:paraId="252610FB" w14:textId="77777777" w:rsidR="00C24890" w:rsidRPr="00913BA7" w:rsidRDefault="00C24890" w:rsidP="00C24890">
      <w:pPr>
        <w:pStyle w:val="paragraph"/>
        <w:rPr>
          <w:strike/>
          <w:color w:val="FF0000"/>
        </w:rPr>
      </w:pPr>
      <w:r w:rsidRPr="00913BA7">
        <w:rPr>
          <w:strike/>
          <w:color w:val="FF0000"/>
        </w:rPr>
        <w:tab/>
        <w:t>(b)</w:t>
      </w:r>
      <w:r w:rsidRPr="00913BA7">
        <w:rPr>
          <w:strike/>
          <w:color w:val="FF0000"/>
        </w:rPr>
        <w:tab/>
        <w:t>in hard copy;</w:t>
      </w:r>
    </w:p>
    <w:p w14:paraId="40663E55" w14:textId="77777777" w:rsidR="00C24890" w:rsidRPr="00913BA7" w:rsidRDefault="00C24890" w:rsidP="00C24890">
      <w:pPr>
        <w:pStyle w:val="subsection20"/>
        <w:rPr>
          <w:strike/>
          <w:color w:val="FF0000"/>
        </w:rPr>
      </w:pPr>
      <w:r w:rsidRPr="00913BA7">
        <w:rPr>
          <w:strike/>
          <w:color w:val="FF0000"/>
        </w:rPr>
        <w:tab/>
      </w:r>
      <w:r w:rsidRPr="00913BA7">
        <w:rPr>
          <w:strike/>
          <w:color w:val="FF0000"/>
        </w:rPr>
        <w:tab/>
        <w:t>as directed by the consumer.</w:t>
      </w:r>
    </w:p>
    <w:p w14:paraId="2D7211DB" w14:textId="77777777" w:rsidR="00C24890" w:rsidRPr="00913BA7" w:rsidRDefault="00C24890" w:rsidP="00C24890">
      <w:pPr>
        <w:pStyle w:val="notetext"/>
        <w:rPr>
          <w:strike/>
          <w:color w:val="FF0000"/>
        </w:rPr>
      </w:pPr>
      <w:r w:rsidRPr="00913BA7">
        <w:rPr>
          <w:strike/>
          <w:color w:val="FF0000"/>
        </w:rPr>
        <w:t>Note:</w:t>
      </w:r>
      <w:r w:rsidRPr="00913BA7">
        <w:rPr>
          <w:strike/>
          <w:color w:val="FF0000"/>
        </w:rPr>
        <w:tab/>
        <w:t>This subrule is a civil penalty provision (see rule 9.8).</w:t>
      </w:r>
    </w:p>
    <w:p w14:paraId="2B173BAE" w14:textId="0CA2ABA7" w:rsidR="00CF0E3D" w:rsidRDefault="00CF0E3D" w:rsidP="00CF0E3D">
      <w:pPr>
        <w:pStyle w:val="ActHead5"/>
      </w:pPr>
      <w:bookmarkStart w:id="461" w:name="_Toc77065002"/>
      <w:r>
        <w:t>7.3  Rule</w:t>
      </w:r>
      <w:r w:rsidRPr="005C145A">
        <w:t xml:space="preserve"> relating to privacy safeguard 2—anonymity and pseudonymity</w:t>
      </w:r>
      <w:bookmarkEnd w:id="458"/>
      <w:bookmarkEnd w:id="461"/>
    </w:p>
    <w:p w14:paraId="4DEE5D6C" w14:textId="32C0A70A" w:rsidR="001C1D68" w:rsidRPr="00693A57" w:rsidRDefault="001C1D68" w:rsidP="001C1D68">
      <w:pPr>
        <w:pStyle w:val="subsection"/>
        <w:rPr>
          <w:color w:val="0000FF"/>
        </w:rPr>
      </w:pPr>
      <w:r>
        <w:tab/>
      </w:r>
      <w:r w:rsidR="00CE3CCF" w:rsidRPr="00693A57">
        <w:rPr>
          <w:color w:val="0000FF"/>
        </w:rPr>
        <w:t>(1)</w:t>
      </w:r>
      <w:r w:rsidRPr="00693A57">
        <w:rPr>
          <w:color w:val="0000FF"/>
        </w:rPr>
        <w:tab/>
      </w:r>
      <w:r w:rsidR="00CF0E3D" w:rsidRPr="00086F26">
        <w:t>For subsection 56EE(3) of the Act, subsection 56EE(1) of the Act does not apply if:</w:t>
      </w:r>
      <w:r w:rsidRPr="00693A57">
        <w:rPr>
          <w:color w:val="0000FF"/>
        </w:rPr>
        <w:t xml:space="preserve"> </w:t>
      </w:r>
    </w:p>
    <w:p w14:paraId="3F2A7C09" w14:textId="2B223835" w:rsidR="00CF0E3D" w:rsidRPr="00086F26" w:rsidRDefault="00CF0E3D" w:rsidP="00CF0E3D">
      <w:pPr>
        <w:pStyle w:val="paragraph"/>
      </w:pPr>
      <w:r w:rsidRPr="00086F26">
        <w:tab/>
      </w:r>
      <w:r>
        <w:t>(a)</w:t>
      </w:r>
      <w:r w:rsidRPr="00086F26">
        <w:tab/>
        <w:t xml:space="preserve">the </w:t>
      </w:r>
      <w:r w:rsidR="001C1D68" w:rsidRPr="00693A57">
        <w:rPr>
          <w:color w:val="FF0000"/>
        </w:rPr>
        <w:t xml:space="preserve">accredited person who is or may become an </w:t>
      </w:r>
      <w:r w:rsidRPr="00693A57">
        <w:rPr>
          <w:color w:val="FF0000"/>
        </w:rPr>
        <w:t>accredited data recipient</w:t>
      </w:r>
      <w:r w:rsidR="001C1D68" w:rsidRPr="00693A57">
        <w:rPr>
          <w:color w:val="FF0000"/>
        </w:rPr>
        <w:t xml:space="preserve"> of CDR data</w:t>
      </w:r>
      <w:r w:rsidRPr="00086F26">
        <w:t xml:space="preserve"> </w:t>
      </w:r>
      <w:r w:rsidR="001B6D39" w:rsidRPr="00693A57">
        <w:rPr>
          <w:strike/>
          <w:color w:val="FF0000"/>
        </w:rPr>
        <w:t xml:space="preserve">accredited data recipient </w:t>
      </w:r>
      <w:r w:rsidRPr="00086F26">
        <w:t>is required or authorised by law or by a court/tribunal order to deal with an identified CDR consumer in relation to particular CDR data; or</w:t>
      </w:r>
    </w:p>
    <w:p w14:paraId="5BE531EB" w14:textId="77777777" w:rsidR="00CF0E3D" w:rsidRDefault="00CF0E3D" w:rsidP="00CF0E3D">
      <w:pPr>
        <w:pStyle w:val="paragraph"/>
      </w:pPr>
      <w:r w:rsidRPr="00086F26">
        <w:tab/>
      </w:r>
      <w:r>
        <w:t>(b)</w:t>
      </w:r>
      <w:r w:rsidRPr="00086F26">
        <w:tab/>
        <w:t>in relation to particular CDR data, it is impracticable for the accredited data recipient to deal with a CDR consumer that has not been identified.</w:t>
      </w:r>
    </w:p>
    <w:p w14:paraId="0800E8FE" w14:textId="184D9DCA" w:rsidR="001F103A" w:rsidRPr="00693A57" w:rsidRDefault="00CE3CCF" w:rsidP="001F103A">
      <w:pPr>
        <w:pStyle w:val="subsection"/>
        <w:rPr>
          <w:color w:val="0000FF"/>
        </w:rPr>
      </w:pPr>
      <w:r w:rsidRPr="00693A57">
        <w:rPr>
          <w:color w:val="0000FF"/>
        </w:rPr>
        <w:tab/>
        <w:t>(2)</w:t>
      </w:r>
      <w:r w:rsidRPr="00693A57">
        <w:rPr>
          <w:color w:val="0000FF"/>
        </w:rPr>
        <w:tab/>
      </w:r>
      <w:r w:rsidR="001F103A" w:rsidRPr="00693A57">
        <w:rPr>
          <w:color w:val="0000FF"/>
        </w:rPr>
        <w:t xml:space="preserve">A CDR principal breaches this subrule if its </w:t>
      </w:r>
      <w:r w:rsidR="00182338" w:rsidRPr="00693A57">
        <w:rPr>
          <w:color w:val="0000FF"/>
        </w:rPr>
        <w:t>CDR representative</w:t>
      </w:r>
      <w:r w:rsidR="001F103A" w:rsidRPr="00693A57">
        <w:rPr>
          <w:color w:val="0000FF"/>
        </w:rPr>
        <w:t xml:space="preserve"> fails to </w:t>
      </w:r>
      <w:r w:rsidRPr="00693A57">
        <w:rPr>
          <w:color w:val="0000FF"/>
        </w:rPr>
        <w:t xml:space="preserve">comply with section 56EE of the Act in relation to </w:t>
      </w:r>
      <w:r w:rsidR="001F103A" w:rsidRPr="00693A57">
        <w:rPr>
          <w:color w:val="0000FF"/>
        </w:rPr>
        <w:t xml:space="preserve">service </w:t>
      </w:r>
      <w:r w:rsidRPr="00693A57">
        <w:rPr>
          <w:color w:val="0000FF"/>
        </w:rPr>
        <w:t>data of a CDR consumer as if it were an accredited person</w:t>
      </w:r>
      <w:r w:rsidR="001F103A" w:rsidRPr="00693A57">
        <w:rPr>
          <w:color w:val="0000FF"/>
        </w:rPr>
        <w:t>.</w:t>
      </w:r>
    </w:p>
    <w:p w14:paraId="071E9D8F" w14:textId="5EC6AE5A" w:rsidR="00CE3CCF" w:rsidRPr="00693A57" w:rsidRDefault="00CE3CCF" w:rsidP="00CE3CCF">
      <w:pPr>
        <w:pStyle w:val="notetext"/>
        <w:rPr>
          <w:color w:val="0000FF"/>
        </w:rPr>
      </w:pPr>
      <w:r w:rsidRPr="00693A57">
        <w:rPr>
          <w:color w:val="0000FF"/>
        </w:rPr>
        <w:t>Note</w:t>
      </w:r>
      <w:r w:rsidR="001F103A" w:rsidRPr="00693A57">
        <w:rPr>
          <w:color w:val="0000FF"/>
        </w:rPr>
        <w:t xml:space="preserve"> 1</w:t>
      </w:r>
      <w:r w:rsidRPr="00693A57">
        <w:rPr>
          <w:color w:val="0000FF"/>
        </w:rPr>
        <w:t>:</w:t>
      </w:r>
      <w:r w:rsidRPr="00693A57">
        <w:rPr>
          <w:color w:val="0000FF"/>
        </w:rPr>
        <w:tab/>
        <w:t xml:space="preserve">See rule 1.10 for the definition of “service data” in relation to a </w:t>
      </w:r>
      <w:r w:rsidR="00182338" w:rsidRPr="00693A57">
        <w:rPr>
          <w:color w:val="0000FF"/>
        </w:rPr>
        <w:t>CDR representative</w:t>
      </w:r>
      <w:r w:rsidRPr="00693A57">
        <w:rPr>
          <w:color w:val="0000FF"/>
        </w:rPr>
        <w:t xml:space="preserve"> arrangement.</w:t>
      </w:r>
    </w:p>
    <w:p w14:paraId="596741B4" w14:textId="4EA930B3" w:rsidR="001F103A" w:rsidRPr="00693A57" w:rsidRDefault="001F103A" w:rsidP="001F103A">
      <w:pPr>
        <w:pStyle w:val="notetext"/>
        <w:rPr>
          <w:color w:val="0000FF"/>
        </w:rPr>
      </w:pPr>
      <w:r w:rsidRPr="00693A57">
        <w:rPr>
          <w:color w:val="0000FF"/>
        </w:rPr>
        <w:t>Note 2:</w:t>
      </w:r>
      <w:r w:rsidRPr="00693A57">
        <w:rPr>
          <w:color w:val="0000FF"/>
        </w:rPr>
        <w:tab/>
        <w:t>This subrule is a civil penalty provision (see rule 9.8).</w:t>
      </w:r>
    </w:p>
    <w:p w14:paraId="0EEDF1F0" w14:textId="23332FB3" w:rsidR="001F103A" w:rsidRPr="00693A57" w:rsidRDefault="001F103A" w:rsidP="001F103A">
      <w:pPr>
        <w:pStyle w:val="subsection"/>
        <w:rPr>
          <w:color w:val="0000FF"/>
        </w:rPr>
      </w:pPr>
      <w:r w:rsidRPr="00693A57">
        <w:rPr>
          <w:color w:val="0000FF"/>
        </w:rPr>
        <w:tab/>
        <w:t>(3)</w:t>
      </w:r>
      <w:r w:rsidRPr="00693A57">
        <w:rPr>
          <w:color w:val="0000FF"/>
        </w:rPr>
        <w:tab/>
        <w:t xml:space="preserve">For subrule (2), it is irrelevant whether the action of the </w:t>
      </w:r>
      <w:r w:rsidR="00182338" w:rsidRPr="00693A57">
        <w:rPr>
          <w:color w:val="0000FF"/>
        </w:rPr>
        <w:t>CDR representative</w:t>
      </w:r>
      <w:r w:rsidRPr="00693A57">
        <w:rPr>
          <w:color w:val="0000FF"/>
        </w:rPr>
        <w:t xml:space="preserve"> in relation to the service data is in accordance with the </w:t>
      </w:r>
      <w:r w:rsidR="00182338" w:rsidRPr="00693A57">
        <w:rPr>
          <w:color w:val="0000FF"/>
        </w:rPr>
        <w:t>CDR representative</w:t>
      </w:r>
      <w:r w:rsidRPr="00693A57">
        <w:rPr>
          <w:color w:val="0000FF"/>
        </w:rPr>
        <w:t xml:space="preserve"> arrangement.</w:t>
      </w:r>
    </w:p>
    <w:p w14:paraId="477B76CA" w14:textId="54AA36E1" w:rsidR="0084143B" w:rsidRPr="00693A57" w:rsidRDefault="0084143B" w:rsidP="0084143B">
      <w:pPr>
        <w:pStyle w:val="ActHead5"/>
        <w:rPr>
          <w:color w:val="0000FF"/>
        </w:rPr>
      </w:pPr>
      <w:bookmarkStart w:id="462" w:name="_Toc77065003"/>
      <w:bookmarkStart w:id="463" w:name="_Toc11771670"/>
      <w:r w:rsidRPr="00693A57">
        <w:rPr>
          <w:color w:val="0000FF"/>
        </w:rPr>
        <w:lastRenderedPageBreak/>
        <w:t>7.3A  Rule relating to privacy safeguard 4—destruction of unsolicited data</w:t>
      </w:r>
      <w:r w:rsidR="00333BC6" w:rsidRPr="00693A57">
        <w:rPr>
          <w:color w:val="0000FF"/>
        </w:rPr>
        <w:t>—</w:t>
      </w:r>
      <w:r w:rsidR="00182338" w:rsidRPr="00693A57">
        <w:rPr>
          <w:color w:val="0000FF"/>
        </w:rPr>
        <w:t>CDR representative</w:t>
      </w:r>
      <w:bookmarkEnd w:id="462"/>
    </w:p>
    <w:p w14:paraId="004E916F" w14:textId="52CE0A29" w:rsidR="0084143B" w:rsidRPr="00693A57" w:rsidRDefault="0084143B" w:rsidP="0084143B">
      <w:pPr>
        <w:pStyle w:val="subsection"/>
        <w:rPr>
          <w:color w:val="0000FF"/>
        </w:rPr>
      </w:pPr>
      <w:r w:rsidRPr="00693A57">
        <w:rPr>
          <w:color w:val="0000FF"/>
        </w:rPr>
        <w:tab/>
        <w:t>(1)</w:t>
      </w:r>
      <w:r w:rsidRPr="00693A57">
        <w:rPr>
          <w:color w:val="0000FF"/>
        </w:rPr>
        <w:tab/>
        <w:t xml:space="preserve">A CDR principal breaches this subrule if its </w:t>
      </w:r>
      <w:r w:rsidR="00182338" w:rsidRPr="00693A57">
        <w:rPr>
          <w:color w:val="0000FF"/>
        </w:rPr>
        <w:t>CDR representative</w:t>
      </w:r>
      <w:r w:rsidRPr="00693A57">
        <w:rPr>
          <w:color w:val="0000FF"/>
        </w:rPr>
        <w:t xml:space="preserve"> fails to comply with section 56EG of the Act in relation to service data of a CDR consumer as if;</w:t>
      </w:r>
    </w:p>
    <w:p w14:paraId="7BE80115" w14:textId="4C235B4E" w:rsidR="0084143B" w:rsidRPr="00693A57" w:rsidRDefault="0084143B" w:rsidP="0084143B">
      <w:pPr>
        <w:pStyle w:val="paragraph"/>
        <w:rPr>
          <w:color w:val="0000FF"/>
        </w:rPr>
      </w:pPr>
      <w:r w:rsidRPr="00693A57">
        <w:rPr>
          <w:color w:val="0000FF"/>
        </w:rPr>
        <w:tab/>
        <w:t>(a)</w:t>
      </w:r>
      <w:r w:rsidRPr="00693A57">
        <w:rPr>
          <w:color w:val="0000FF"/>
        </w:rPr>
        <w:tab/>
        <w:t>it were an accredited person; and</w:t>
      </w:r>
    </w:p>
    <w:p w14:paraId="6B69926D" w14:textId="29ADCD0C" w:rsidR="0084143B" w:rsidRPr="00693A57" w:rsidRDefault="0084143B" w:rsidP="0084143B">
      <w:pPr>
        <w:pStyle w:val="paragraph"/>
        <w:rPr>
          <w:color w:val="0000FF"/>
        </w:rPr>
      </w:pPr>
      <w:r w:rsidRPr="00693A57">
        <w:rPr>
          <w:color w:val="0000FF"/>
        </w:rPr>
        <w:tab/>
        <w:t>(b)</w:t>
      </w:r>
      <w:r w:rsidRPr="00693A57">
        <w:rPr>
          <w:color w:val="0000FF"/>
        </w:rPr>
        <w:tab/>
        <w:t xml:space="preserve">it had collected the service data. </w:t>
      </w:r>
    </w:p>
    <w:p w14:paraId="0E7E8C0D" w14:textId="5A91D677" w:rsidR="0084143B" w:rsidRPr="00693A57" w:rsidRDefault="0084143B" w:rsidP="0084143B">
      <w:pPr>
        <w:pStyle w:val="notetext"/>
        <w:rPr>
          <w:color w:val="0000FF"/>
        </w:rPr>
      </w:pPr>
      <w:r w:rsidRPr="00693A57">
        <w:rPr>
          <w:color w:val="0000FF"/>
        </w:rPr>
        <w:t>Note 1:</w:t>
      </w:r>
      <w:r w:rsidRPr="00693A57">
        <w:rPr>
          <w:color w:val="0000FF"/>
        </w:rPr>
        <w:tab/>
        <w:t xml:space="preserve">See rule 1.10 for the definition of “service data” in relation to a </w:t>
      </w:r>
      <w:r w:rsidR="00182338" w:rsidRPr="00693A57">
        <w:rPr>
          <w:color w:val="0000FF"/>
        </w:rPr>
        <w:t>CDR representative</w:t>
      </w:r>
      <w:r w:rsidRPr="00693A57">
        <w:rPr>
          <w:color w:val="0000FF"/>
        </w:rPr>
        <w:t xml:space="preserve"> arrangement.</w:t>
      </w:r>
    </w:p>
    <w:p w14:paraId="27CF874C" w14:textId="77777777" w:rsidR="0084143B" w:rsidRPr="00693A57" w:rsidRDefault="0084143B" w:rsidP="0084143B">
      <w:pPr>
        <w:pStyle w:val="notetext"/>
        <w:rPr>
          <w:color w:val="0000FF"/>
        </w:rPr>
      </w:pPr>
      <w:r w:rsidRPr="00693A57">
        <w:rPr>
          <w:color w:val="0000FF"/>
        </w:rPr>
        <w:t>Note 2:</w:t>
      </w:r>
      <w:r w:rsidRPr="00693A57">
        <w:rPr>
          <w:color w:val="0000FF"/>
        </w:rPr>
        <w:tab/>
        <w:t>This subrule is a civil penalty provision (see rule 9.8).</w:t>
      </w:r>
    </w:p>
    <w:p w14:paraId="5F862767" w14:textId="5835FBB3" w:rsidR="0084143B" w:rsidRPr="00693A57" w:rsidRDefault="0084143B" w:rsidP="0084143B">
      <w:pPr>
        <w:pStyle w:val="subsection"/>
        <w:rPr>
          <w:color w:val="0000FF"/>
        </w:rPr>
      </w:pPr>
      <w:r w:rsidRPr="00693A57">
        <w:rPr>
          <w:color w:val="0000FF"/>
        </w:rPr>
        <w:tab/>
        <w:t>(2)</w:t>
      </w:r>
      <w:r w:rsidRPr="00693A57">
        <w:rPr>
          <w:color w:val="0000FF"/>
        </w:rPr>
        <w:tab/>
        <w:t xml:space="preserve">For subrule (2), it is irrelevant whether the action of the </w:t>
      </w:r>
      <w:r w:rsidR="00182338" w:rsidRPr="00693A57">
        <w:rPr>
          <w:color w:val="0000FF"/>
        </w:rPr>
        <w:t>CDR representative</w:t>
      </w:r>
      <w:r w:rsidRPr="00693A57">
        <w:rPr>
          <w:color w:val="0000FF"/>
        </w:rPr>
        <w:t xml:space="preserve"> in relation to the service data is in accordance with the </w:t>
      </w:r>
      <w:r w:rsidR="00182338" w:rsidRPr="00693A57">
        <w:rPr>
          <w:color w:val="0000FF"/>
        </w:rPr>
        <w:t>CDR representative</w:t>
      </w:r>
      <w:r w:rsidRPr="00693A57">
        <w:rPr>
          <w:color w:val="0000FF"/>
        </w:rPr>
        <w:t xml:space="preserve"> arrangement.</w:t>
      </w:r>
    </w:p>
    <w:p w14:paraId="54F86FED" w14:textId="59EACB63" w:rsidR="00AB5A16" w:rsidRPr="00693A57" w:rsidRDefault="007B1637" w:rsidP="00AB5A16">
      <w:pPr>
        <w:pStyle w:val="ActHead5"/>
        <w:rPr>
          <w:color w:val="FF0000"/>
        </w:rPr>
      </w:pPr>
      <w:bookmarkStart w:id="464" w:name="_Toc77065004"/>
      <w:r w:rsidRPr="00693A57">
        <w:rPr>
          <w:color w:val="FF0000"/>
        </w:rPr>
        <w:t>7.3B  Rule relating to privacy safeguard 4—destruction of unsolicited data—primary data holder</w:t>
      </w:r>
      <w:bookmarkEnd w:id="464"/>
    </w:p>
    <w:p w14:paraId="03E7E39F" w14:textId="500E7056" w:rsidR="007B1637" w:rsidRPr="00693A57" w:rsidRDefault="007B1637" w:rsidP="007B1637">
      <w:pPr>
        <w:pStyle w:val="subsection"/>
        <w:rPr>
          <w:color w:val="FF0000"/>
        </w:rPr>
      </w:pPr>
      <w:r w:rsidRPr="00693A57">
        <w:rPr>
          <w:color w:val="FF0000"/>
        </w:rPr>
        <w:tab/>
      </w:r>
      <w:r w:rsidRPr="00693A57">
        <w:rPr>
          <w:color w:val="FF0000"/>
        </w:rPr>
        <w:tab/>
        <w:t>A primary data holder breaches this subrule if it fails to comply with section 56EG of the Act in relation to SR data of a CDR consumer as if;</w:t>
      </w:r>
    </w:p>
    <w:p w14:paraId="7213F2D8" w14:textId="0BBF183B" w:rsidR="007B1637" w:rsidRPr="00693A57" w:rsidRDefault="007B1637" w:rsidP="007B1637">
      <w:pPr>
        <w:pStyle w:val="paragraph"/>
        <w:rPr>
          <w:color w:val="FF0000"/>
        </w:rPr>
      </w:pPr>
      <w:r w:rsidRPr="00693A57">
        <w:rPr>
          <w:color w:val="FF0000"/>
        </w:rPr>
        <w:tab/>
        <w:t>(a)</w:t>
      </w:r>
      <w:r w:rsidRPr="00693A57">
        <w:rPr>
          <w:color w:val="FF0000"/>
        </w:rPr>
        <w:tab/>
        <w:t xml:space="preserve">it were an </w:t>
      </w:r>
      <w:r w:rsidR="00930BF8" w:rsidRPr="00693A57">
        <w:rPr>
          <w:color w:val="FF0000"/>
        </w:rPr>
        <w:t>an accredited data recipient of the SR data</w:t>
      </w:r>
      <w:r w:rsidRPr="00693A57">
        <w:rPr>
          <w:color w:val="FF0000"/>
        </w:rPr>
        <w:t>; and</w:t>
      </w:r>
    </w:p>
    <w:p w14:paraId="02584F7E" w14:textId="3D2503C5" w:rsidR="007B1637" w:rsidRPr="00693A57" w:rsidRDefault="007B1637" w:rsidP="007B1637">
      <w:pPr>
        <w:pStyle w:val="paragraph"/>
        <w:rPr>
          <w:color w:val="FF0000"/>
        </w:rPr>
      </w:pPr>
      <w:r w:rsidRPr="00693A57">
        <w:rPr>
          <w:color w:val="FF0000"/>
        </w:rPr>
        <w:tab/>
        <w:t>(b)</w:t>
      </w:r>
      <w:r w:rsidRPr="00693A57">
        <w:rPr>
          <w:color w:val="FF0000"/>
        </w:rPr>
        <w:tab/>
        <w:t>it had collected the SR data from the secondary data holder</w:t>
      </w:r>
      <w:r w:rsidR="00AB5A16" w:rsidRPr="00693A57">
        <w:rPr>
          <w:color w:val="FF0000"/>
        </w:rPr>
        <w:t>.</w:t>
      </w:r>
      <w:r w:rsidRPr="00693A57">
        <w:rPr>
          <w:color w:val="FF0000"/>
        </w:rPr>
        <w:t xml:space="preserve">. </w:t>
      </w:r>
    </w:p>
    <w:p w14:paraId="1CCEE2B1" w14:textId="0FDBC368" w:rsidR="00AB5A16" w:rsidRPr="00693A57" w:rsidRDefault="007B1637" w:rsidP="007B1637">
      <w:pPr>
        <w:pStyle w:val="notetext"/>
        <w:rPr>
          <w:color w:val="FF0000"/>
        </w:rPr>
      </w:pPr>
      <w:r w:rsidRPr="00693A57">
        <w:rPr>
          <w:color w:val="FF0000"/>
        </w:rPr>
        <w:t>Note 1:</w:t>
      </w:r>
      <w:r w:rsidRPr="00693A57">
        <w:rPr>
          <w:color w:val="FF0000"/>
        </w:rPr>
        <w:tab/>
      </w:r>
      <w:r w:rsidR="00AB5A16" w:rsidRPr="00693A57">
        <w:rPr>
          <w:color w:val="FF0000"/>
        </w:rPr>
        <w:t xml:space="preserve">This rule is relevant for a primary data holder that is not large enough to be subject to the Australian Privacy Principles under the </w:t>
      </w:r>
      <w:r w:rsidR="00AB5A16" w:rsidRPr="00693A57">
        <w:rPr>
          <w:i/>
          <w:color w:val="FF0000"/>
        </w:rPr>
        <w:t>Privacy Act 1988</w:t>
      </w:r>
      <w:r w:rsidR="00AB5A16" w:rsidRPr="00693A57">
        <w:rPr>
          <w:color w:val="FF0000"/>
        </w:rPr>
        <w:t>.  A larger data holder will already be subject to Australian Privacy Principle 4, which has the same effect as section 56EG of the Act.</w:t>
      </w:r>
    </w:p>
    <w:p w14:paraId="222DFBB8" w14:textId="77777777" w:rsidR="007B1637" w:rsidRPr="00693A57" w:rsidRDefault="007B1637" w:rsidP="007B1637">
      <w:pPr>
        <w:pStyle w:val="notetext"/>
        <w:rPr>
          <w:color w:val="FF0000"/>
        </w:rPr>
      </w:pPr>
      <w:r w:rsidRPr="00693A57">
        <w:rPr>
          <w:color w:val="FF0000"/>
        </w:rPr>
        <w:t>Note 2:</w:t>
      </w:r>
      <w:r w:rsidRPr="00693A57">
        <w:rPr>
          <w:color w:val="FF0000"/>
        </w:rPr>
        <w:tab/>
        <w:t>This subrule is a civil penalty provision (see rule 9.8).</w:t>
      </w:r>
    </w:p>
    <w:p w14:paraId="02B8FD9C" w14:textId="523CFC12" w:rsidR="00CF0E3D" w:rsidRDefault="00CF0E3D" w:rsidP="00CF0E3D">
      <w:pPr>
        <w:pStyle w:val="ActHead4"/>
        <w:pageBreakBefore/>
      </w:pPr>
      <w:bookmarkStart w:id="465" w:name="_Toc77065005"/>
      <w:r>
        <w:lastRenderedPageBreak/>
        <w:t>Subdivision 7.2.2—Rules relating to collecting CDR data</w:t>
      </w:r>
      <w:bookmarkEnd w:id="463"/>
      <w:bookmarkEnd w:id="465"/>
    </w:p>
    <w:p w14:paraId="0DE5F91B" w14:textId="67CE355D" w:rsidR="00CF0E3D" w:rsidRDefault="00CF0E3D" w:rsidP="00CF0E3D">
      <w:pPr>
        <w:pStyle w:val="ActHead5"/>
      </w:pPr>
      <w:bookmarkStart w:id="466" w:name="_Toc11771671"/>
      <w:bookmarkStart w:id="467" w:name="_Toc77065006"/>
      <w:r>
        <w:t>7.4  Rule relating to privacy safeguard 5—notifying of the collection of CDR data</w:t>
      </w:r>
      <w:bookmarkEnd w:id="466"/>
      <w:bookmarkEnd w:id="467"/>
    </w:p>
    <w:p w14:paraId="4A923376" w14:textId="6947C07F" w:rsidR="00CF0E3D" w:rsidRDefault="00CF0E3D" w:rsidP="00CF0E3D">
      <w:pPr>
        <w:pStyle w:val="subsection"/>
      </w:pPr>
      <w:r>
        <w:tab/>
      </w:r>
      <w:r>
        <w:tab/>
        <w:t xml:space="preserve">For section 56EH of the Act, an </w:t>
      </w:r>
      <w:r w:rsidRPr="00693A57">
        <w:rPr>
          <w:color w:val="FF0000"/>
        </w:rPr>
        <w:t xml:space="preserve">accredited </w:t>
      </w:r>
      <w:r w:rsidR="00BC7A28" w:rsidRPr="00693A57">
        <w:rPr>
          <w:color w:val="FF0000"/>
        </w:rPr>
        <w:t>data recipient that collected the</w:t>
      </w:r>
      <w:r w:rsidR="00BC7A28" w:rsidRPr="00693A57">
        <w:rPr>
          <w:strike/>
          <w:color w:val="FF0000"/>
        </w:rPr>
        <w:t xml:space="preserve"> </w:t>
      </w:r>
      <w:r w:rsidR="008D47AA" w:rsidRPr="00693A57">
        <w:rPr>
          <w:strike/>
          <w:color w:val="FF0000"/>
        </w:rPr>
        <w:t xml:space="preserve">accredited </w:t>
      </w:r>
      <w:r w:rsidRPr="00693A57">
        <w:rPr>
          <w:strike/>
          <w:color w:val="FF0000"/>
        </w:rPr>
        <w:t>person that collects</w:t>
      </w:r>
      <w:r>
        <w:t xml:space="preserve"> CDR data in accordance with section 56EF of the Act </w:t>
      </w:r>
      <w:r w:rsidRPr="00C560DF">
        <w:t xml:space="preserve">as a result of a </w:t>
      </w:r>
      <w:r>
        <w:t xml:space="preserve">collection consent must update the person’s consumer dashboard </w:t>
      </w:r>
      <w:r w:rsidRPr="000C3240">
        <w:rPr>
          <w:color w:val="000000" w:themeColor="text1"/>
        </w:rPr>
        <w:t xml:space="preserve">as soon as practicable </w:t>
      </w:r>
      <w:r>
        <w:t>to indicate:</w:t>
      </w:r>
    </w:p>
    <w:p w14:paraId="65CD1E9D" w14:textId="77777777" w:rsidR="00CF0E3D" w:rsidRDefault="00CF0E3D" w:rsidP="00CF0E3D">
      <w:pPr>
        <w:pStyle w:val="paragraph"/>
      </w:pPr>
      <w:r>
        <w:tab/>
        <w:t>(a)</w:t>
      </w:r>
      <w:r>
        <w:tab/>
        <w:t xml:space="preserve">what CDR data </w:t>
      </w:r>
      <w:r w:rsidRPr="000C3240">
        <w:rPr>
          <w:color w:val="000000" w:themeColor="text1"/>
        </w:rPr>
        <w:t xml:space="preserve">was </w:t>
      </w:r>
      <w:r>
        <w:t>collected; and</w:t>
      </w:r>
    </w:p>
    <w:p w14:paraId="091C6AB2" w14:textId="77777777" w:rsidR="00CF0E3D" w:rsidRDefault="00CF0E3D" w:rsidP="00CF0E3D">
      <w:pPr>
        <w:pStyle w:val="paragraph"/>
      </w:pPr>
      <w:r>
        <w:tab/>
        <w:t>(b)</w:t>
      </w:r>
      <w:r>
        <w:tab/>
        <w:t>when the CDR data was collected; and</w:t>
      </w:r>
    </w:p>
    <w:p w14:paraId="30DFC02D" w14:textId="77777777" w:rsidR="00587084" w:rsidRPr="00693A57" w:rsidRDefault="00CF0E3D" w:rsidP="00587084">
      <w:pPr>
        <w:pStyle w:val="paragraph"/>
        <w:rPr>
          <w:color w:val="0000FF"/>
        </w:rPr>
      </w:pPr>
      <w:r w:rsidRPr="00CE5ECF">
        <w:tab/>
        <w:t>(c)</w:t>
      </w:r>
      <w:r w:rsidRPr="00CE5ECF">
        <w:tab/>
        <w:t>the CDR participant for the CDR data from which the CDR data was collected</w:t>
      </w:r>
      <w:r w:rsidR="00587084" w:rsidRPr="00693A57">
        <w:rPr>
          <w:color w:val="0000FF"/>
        </w:rPr>
        <w:t>; and</w:t>
      </w:r>
    </w:p>
    <w:p w14:paraId="2235D33B" w14:textId="495A9577" w:rsidR="00CF0E3D" w:rsidRPr="00693A57" w:rsidRDefault="00587084" w:rsidP="00587084">
      <w:pPr>
        <w:pStyle w:val="paragraph"/>
        <w:rPr>
          <w:color w:val="0000FF"/>
        </w:rPr>
      </w:pPr>
      <w:r w:rsidRPr="00693A57">
        <w:rPr>
          <w:color w:val="0000FF"/>
        </w:rPr>
        <w:tab/>
        <w:t>(d)</w:t>
      </w:r>
      <w:r w:rsidRPr="00693A57">
        <w:rPr>
          <w:color w:val="0000FF"/>
        </w:rPr>
        <w:tab/>
        <w:t xml:space="preserve">if </w:t>
      </w:r>
      <w:r w:rsidR="00FD1804" w:rsidRPr="00693A57">
        <w:rPr>
          <w:color w:val="0000FF"/>
        </w:rPr>
        <w:t xml:space="preserve">the </w:t>
      </w:r>
      <w:r w:rsidR="00FD1804" w:rsidRPr="00693A57">
        <w:rPr>
          <w:strike/>
          <w:color w:val="FF0000"/>
        </w:rPr>
        <w:t>accredited</w:t>
      </w:r>
      <w:r w:rsidR="008D47AA" w:rsidRPr="00693A57">
        <w:rPr>
          <w:strike/>
          <w:color w:val="FF0000"/>
        </w:rPr>
        <w:t xml:space="preserve"> person</w:t>
      </w:r>
      <w:r w:rsidR="00FD1804" w:rsidRPr="00693A57">
        <w:rPr>
          <w:color w:val="0000FF"/>
        </w:rPr>
        <w:t xml:space="preserve"> </w:t>
      </w:r>
      <w:r w:rsidR="008D47AA" w:rsidRPr="00693A57">
        <w:rPr>
          <w:color w:val="FF0000"/>
        </w:rPr>
        <w:t>accredited</w:t>
      </w:r>
      <w:r w:rsidR="008D47AA" w:rsidRPr="00693A57">
        <w:rPr>
          <w:color w:val="0000FF"/>
        </w:rPr>
        <w:t xml:space="preserve"> </w:t>
      </w:r>
      <w:r w:rsidR="00BC7A28" w:rsidRPr="00693A57">
        <w:rPr>
          <w:color w:val="FF0000"/>
        </w:rPr>
        <w:t>data recipient</w:t>
      </w:r>
      <w:r w:rsidR="008D47AA" w:rsidRPr="00693A57">
        <w:rPr>
          <w:color w:val="FF0000"/>
        </w:rPr>
        <w:t xml:space="preserve"> </w:t>
      </w:r>
      <w:r w:rsidR="00FD1804" w:rsidRPr="00693A57">
        <w:rPr>
          <w:color w:val="0000FF"/>
        </w:rPr>
        <w:t xml:space="preserve">is an affiliate and </w:t>
      </w:r>
      <w:r w:rsidRPr="00693A57">
        <w:rPr>
          <w:color w:val="0000FF"/>
        </w:rPr>
        <w:t>the CDR data was collected by</w:t>
      </w:r>
      <w:r w:rsidR="008605D9" w:rsidRPr="00693A57">
        <w:rPr>
          <w:color w:val="0000FF"/>
        </w:rPr>
        <w:t xml:space="preserve"> </w:t>
      </w:r>
      <w:r w:rsidR="00FD1804" w:rsidRPr="00693A57">
        <w:rPr>
          <w:color w:val="0000FF"/>
        </w:rPr>
        <w:t>a sponsor</w:t>
      </w:r>
      <w:r w:rsidRPr="00693A57">
        <w:rPr>
          <w:color w:val="0000FF"/>
        </w:rPr>
        <w:t>—that fact</w:t>
      </w:r>
      <w:r w:rsidR="00CF0E3D" w:rsidRPr="00693A57">
        <w:rPr>
          <w:color w:val="0000FF"/>
        </w:rPr>
        <w:t>.</w:t>
      </w:r>
    </w:p>
    <w:p w14:paraId="05F54A7D" w14:textId="77777777" w:rsidR="00CF0E3D" w:rsidRPr="00EC7544" w:rsidRDefault="00CF0E3D" w:rsidP="00CF0E3D">
      <w:pPr>
        <w:pStyle w:val="notetext"/>
      </w:pPr>
      <w:r w:rsidRPr="00EC7544">
        <w:t>Note 1:</w:t>
      </w:r>
      <w:r w:rsidRPr="00EC7544">
        <w:tab/>
        <w:t>See paragraph 1.14(3)(h).</w:t>
      </w:r>
    </w:p>
    <w:p w14:paraId="2E375EE6" w14:textId="77777777" w:rsidR="00CF0E3D" w:rsidRPr="00EC7544" w:rsidRDefault="00CF0E3D" w:rsidP="00CF0E3D">
      <w:pPr>
        <w:pStyle w:val="notetext"/>
      </w:pPr>
      <w:r w:rsidRPr="00EC7544">
        <w:t>Note 2:</w:t>
      </w:r>
      <w:r w:rsidRPr="00EC7544">
        <w:tab/>
        <w:t>See rule 1.16 for how this rule applies in the case of a CDR outsourcing arrangement in which a provider collects CDR data on behalf of a principal.</w:t>
      </w:r>
    </w:p>
    <w:p w14:paraId="1D406DF5" w14:textId="77777777" w:rsidR="00CF0E3D" w:rsidRPr="00EC7544" w:rsidRDefault="00CF0E3D" w:rsidP="00CF0E3D">
      <w:pPr>
        <w:pStyle w:val="notetext"/>
        <w:rPr>
          <w:strike/>
        </w:rPr>
      </w:pPr>
    </w:p>
    <w:p w14:paraId="4BC6FFA8" w14:textId="7CBC9A62" w:rsidR="00CF0E3D" w:rsidRDefault="00CF0E3D" w:rsidP="00CF0E3D">
      <w:pPr>
        <w:pStyle w:val="ActHead4"/>
        <w:pageBreakBefore/>
      </w:pPr>
      <w:bookmarkStart w:id="468" w:name="_Toc11771672"/>
      <w:bookmarkStart w:id="469" w:name="_Toc77065007"/>
      <w:r>
        <w:lastRenderedPageBreak/>
        <w:t>Subdivision 7.2.3—Rules relating to dealing with CDR data</w:t>
      </w:r>
      <w:bookmarkEnd w:id="468"/>
      <w:bookmarkEnd w:id="469"/>
    </w:p>
    <w:p w14:paraId="2C4ABDF4" w14:textId="691F9778" w:rsidR="00CF0E3D" w:rsidRPr="00724397" w:rsidRDefault="00CF0E3D" w:rsidP="00CF0E3D">
      <w:pPr>
        <w:pStyle w:val="ActHead5"/>
        <w:rPr>
          <w:i/>
        </w:rPr>
      </w:pPr>
      <w:bookmarkStart w:id="470" w:name="_Toc77065008"/>
      <w:r>
        <w:rPr>
          <w:color w:val="000000" w:themeColor="text1"/>
        </w:rPr>
        <w:t>7.5</w:t>
      </w:r>
      <w:r w:rsidRPr="005F3D40">
        <w:rPr>
          <w:color w:val="000000" w:themeColor="text1"/>
        </w:rPr>
        <w:t xml:space="preserve">  Meaning of </w:t>
      </w:r>
      <w:r w:rsidRPr="005F3D40">
        <w:rPr>
          <w:i/>
          <w:color w:val="000000" w:themeColor="text1"/>
        </w:rPr>
        <w:t xml:space="preserve">permitted use or </w:t>
      </w:r>
      <w:r w:rsidRPr="00C02086">
        <w:rPr>
          <w:i/>
        </w:rPr>
        <w:t xml:space="preserve">disclosure </w:t>
      </w:r>
      <w:r w:rsidRPr="00724397">
        <w:t>and</w:t>
      </w:r>
      <w:r w:rsidRPr="00724397">
        <w:rPr>
          <w:b w:val="0"/>
        </w:rPr>
        <w:t xml:space="preserve"> </w:t>
      </w:r>
      <w:r w:rsidRPr="00724397">
        <w:rPr>
          <w:i/>
        </w:rPr>
        <w:t>relates to direct marketing</w:t>
      </w:r>
      <w:bookmarkEnd w:id="470"/>
    </w:p>
    <w:p w14:paraId="4A65FF06" w14:textId="77777777" w:rsidR="00CF0E3D" w:rsidRPr="00C02086" w:rsidRDefault="00CF0E3D" w:rsidP="00CF0E3D">
      <w:pPr>
        <w:pStyle w:val="SubsectionHead"/>
      </w:pPr>
      <w:r w:rsidRPr="00C02086">
        <w:rPr>
          <w:b/>
        </w:rPr>
        <w:t>Permitted uses or disclosures</w:t>
      </w:r>
      <w:r w:rsidRPr="00C02086">
        <w:t xml:space="preserve"> that do not relate to direct marketing</w:t>
      </w:r>
    </w:p>
    <w:p w14:paraId="45F56AA9" w14:textId="77777777" w:rsidR="00CF0E3D" w:rsidRDefault="00CF0E3D" w:rsidP="00CF0E3D">
      <w:pPr>
        <w:pStyle w:val="subsection"/>
      </w:pPr>
      <w:r w:rsidRPr="00C02086">
        <w:tab/>
      </w:r>
      <w:r>
        <w:t>(1)</w:t>
      </w:r>
      <w:r w:rsidRPr="00C02086">
        <w:tab/>
        <w:t xml:space="preserve">For this Subdivision, for an accredited data recipient that has collected CDR data under a consumer data request under </w:t>
      </w:r>
      <w:r>
        <w:t>Part 4</w:t>
      </w:r>
      <w:r w:rsidRPr="00C02086">
        <w:t xml:space="preserve"> on behalf of a CDR consumer, each of the following is a </w:t>
      </w:r>
      <w:r w:rsidRPr="00C02086">
        <w:rPr>
          <w:b/>
          <w:i/>
        </w:rPr>
        <w:t>permitted use or disclosure</w:t>
      </w:r>
      <w:r w:rsidRPr="00C02086">
        <w:t>:</w:t>
      </w:r>
    </w:p>
    <w:p w14:paraId="7309BB4B" w14:textId="77777777" w:rsidR="00CF0E3D" w:rsidRPr="00F07699" w:rsidRDefault="00CF0E3D" w:rsidP="00CF0E3D">
      <w:pPr>
        <w:pStyle w:val="paragraph"/>
      </w:pPr>
      <w:r w:rsidRPr="00F07699">
        <w:tab/>
        <w:t>(a)</w:t>
      </w:r>
      <w:r w:rsidRPr="00F07699">
        <w:tab/>
        <w:t xml:space="preserve">using the CDR consumer’s CDR data to provide goods or services requested by the CDR consumer (the </w:t>
      </w:r>
      <w:r w:rsidRPr="00F07699">
        <w:rPr>
          <w:b/>
          <w:i/>
        </w:rPr>
        <w:t>existing goods or services</w:t>
      </w:r>
      <w:r w:rsidRPr="00F07699">
        <w:t>):</w:t>
      </w:r>
    </w:p>
    <w:p w14:paraId="57632DA5" w14:textId="77777777" w:rsidR="00CF0E3D" w:rsidRPr="00F07699" w:rsidRDefault="00CF0E3D" w:rsidP="00CF0E3D">
      <w:pPr>
        <w:pStyle w:val="paragraphsub"/>
      </w:pPr>
      <w:r w:rsidRPr="00F07699">
        <w:tab/>
        <w:t>(i)</w:t>
      </w:r>
      <w:r w:rsidRPr="00F07699">
        <w:tab/>
        <w:t>in compliance with the data minimisation principle; and</w:t>
      </w:r>
    </w:p>
    <w:p w14:paraId="12DB0775" w14:textId="77777777" w:rsidR="00CF0E3D" w:rsidRPr="00F07699" w:rsidRDefault="00CF0E3D" w:rsidP="00CF0E3D">
      <w:pPr>
        <w:pStyle w:val="paragraphsub"/>
      </w:pPr>
      <w:r w:rsidRPr="00F07699">
        <w:tab/>
        <w:t>(ii)</w:t>
      </w:r>
      <w:r w:rsidRPr="00F07699">
        <w:tab/>
        <w:t xml:space="preserve">in accordance with a current </w:t>
      </w:r>
      <w:r w:rsidRPr="00CE5ECF">
        <w:t xml:space="preserve">use </w:t>
      </w:r>
      <w:r w:rsidRPr="00F07699">
        <w:t>consent from the CDR consumer, other than a direct marketing consent;</w:t>
      </w:r>
    </w:p>
    <w:p w14:paraId="77B9D849" w14:textId="77777777" w:rsidR="00CF0E3D" w:rsidRPr="00880559" w:rsidRDefault="00CF0E3D" w:rsidP="00CF0E3D">
      <w:pPr>
        <w:pStyle w:val="paragraph"/>
      </w:pPr>
      <w:r w:rsidRPr="00880559">
        <w:tab/>
        <w:t>(aa)</w:t>
      </w:r>
      <w:r w:rsidRPr="00880559">
        <w:tab/>
        <w:t>in accordance with a current use consent, de</w:t>
      </w:r>
      <w:r w:rsidRPr="00880559">
        <w:noBreakHyphen/>
        <w:t>identifying the CDR consumer’s CDR data in accordance with the CDR data de</w:t>
      </w:r>
      <w:r w:rsidRPr="00880559">
        <w:noBreakHyphen/>
        <w:t>identification process and:</w:t>
      </w:r>
    </w:p>
    <w:p w14:paraId="2FAB5EFC" w14:textId="77777777" w:rsidR="00CF0E3D" w:rsidRPr="00880559" w:rsidRDefault="00CF0E3D" w:rsidP="00CF0E3D">
      <w:pPr>
        <w:pStyle w:val="paragraphsub"/>
      </w:pPr>
      <w:r w:rsidRPr="00880559">
        <w:tab/>
        <w:t>(i)</w:t>
      </w:r>
      <w:r w:rsidRPr="00880559">
        <w:tab/>
        <w:t>using the de</w:t>
      </w:r>
      <w:r w:rsidRPr="00880559">
        <w:noBreakHyphen/>
        <w:t>identified data for general research; or</w:t>
      </w:r>
    </w:p>
    <w:p w14:paraId="5C67A3C4" w14:textId="77777777" w:rsidR="00CF0E3D" w:rsidRPr="00880559" w:rsidRDefault="00CF0E3D" w:rsidP="00CF0E3D">
      <w:pPr>
        <w:pStyle w:val="paragraphsub"/>
      </w:pPr>
      <w:r w:rsidRPr="00880559">
        <w:tab/>
        <w:t>(ii)</w:t>
      </w:r>
      <w:r w:rsidRPr="00880559">
        <w:tab/>
        <w:t>disclosing (including by selling) the de</w:t>
      </w:r>
      <w:r w:rsidRPr="00880559">
        <w:noBreakHyphen/>
        <w:t>identified data;</w:t>
      </w:r>
    </w:p>
    <w:p w14:paraId="0F027537" w14:textId="719DC1C0" w:rsidR="00CF0E3D" w:rsidRPr="00CE5ECF" w:rsidRDefault="00CF0E3D" w:rsidP="00CF0E3D">
      <w:pPr>
        <w:pStyle w:val="paragraph"/>
      </w:pPr>
      <w:r w:rsidRPr="00CE5ECF">
        <w:tab/>
        <w:t>(b)</w:t>
      </w:r>
      <w:r w:rsidRPr="00CE5ECF">
        <w:tab/>
        <w:t xml:space="preserve">directly or indirectly deriving CDR data from the collected CDR data in order to use the data in accordance with paragraph (a) </w:t>
      </w:r>
      <w:r w:rsidRPr="00442213">
        <w:t>or</w:t>
      </w:r>
      <w:r w:rsidR="00864537" w:rsidRPr="00693A57">
        <w:rPr>
          <w:color w:val="0000FF"/>
        </w:rPr>
        <w:t xml:space="preserve"> </w:t>
      </w:r>
      <w:r w:rsidRPr="00CE5ECF">
        <w:t xml:space="preserve">(aa); </w:t>
      </w:r>
    </w:p>
    <w:p w14:paraId="6C577EBE" w14:textId="77777777" w:rsidR="00CF0E3D" w:rsidRPr="00CE5ECF" w:rsidRDefault="00CF0E3D" w:rsidP="00CF0E3D">
      <w:pPr>
        <w:pStyle w:val="paragraph"/>
      </w:pPr>
      <w:r w:rsidRPr="00CE5ECF">
        <w:tab/>
        <w:t>(c)</w:t>
      </w:r>
      <w:r w:rsidRPr="00CE5ECF">
        <w:tab/>
        <w:t>for the purpose of providing the existing goods or services—disclosing, to the CDR consumer, any of their CDR data;</w:t>
      </w:r>
    </w:p>
    <w:p w14:paraId="73A62EF7" w14:textId="77777777" w:rsidR="00CF0E3D" w:rsidRPr="00CE5ECF" w:rsidRDefault="00CF0E3D" w:rsidP="00CF0E3D">
      <w:pPr>
        <w:pStyle w:val="paragraph"/>
      </w:pPr>
      <w:r w:rsidRPr="00CE5ECF">
        <w:tab/>
        <w:t>(ca)</w:t>
      </w:r>
      <w:r w:rsidRPr="00CE5ECF">
        <w:tab/>
        <w:t>subject to rule 7.5A, disclosing the CDR consumer’s CDR data in accordance with a current disclosure consent;</w:t>
      </w:r>
    </w:p>
    <w:p w14:paraId="4964A1F5" w14:textId="63B8A746" w:rsidR="00CF0E3D" w:rsidRDefault="00CF0E3D" w:rsidP="00CF0E3D">
      <w:pPr>
        <w:pStyle w:val="paragraph"/>
      </w:pPr>
      <w:r w:rsidRPr="00C02086">
        <w:tab/>
      </w:r>
      <w:r>
        <w:t>(d)</w:t>
      </w:r>
      <w:r w:rsidRPr="00C02086">
        <w:tab/>
        <w:t>disclosing the CDR consumer’s CDR data to an outsourced service provider</w:t>
      </w:r>
      <w:r w:rsidRPr="00C316B9">
        <w:t xml:space="preserve"> </w:t>
      </w:r>
      <w:r w:rsidRPr="00EC7544">
        <w:t>of the accredited data recipient under a CDR outsourcing arrangement</w:t>
      </w:r>
      <w:r w:rsidR="00587084" w:rsidRPr="00693A57">
        <w:rPr>
          <w:color w:val="0000FF"/>
        </w:rPr>
        <w:t xml:space="preserve">, or to the other party </w:t>
      </w:r>
      <w:r w:rsidR="00FD1804" w:rsidRPr="00693A57">
        <w:rPr>
          <w:color w:val="0000FF"/>
        </w:rPr>
        <w:t xml:space="preserve">in a sponsorship </w:t>
      </w:r>
      <w:r w:rsidR="00587084" w:rsidRPr="00693A57">
        <w:rPr>
          <w:color w:val="0000FF"/>
        </w:rPr>
        <w:t>arrangement</w:t>
      </w:r>
      <w:r w:rsidRPr="00C02086">
        <w:t>:</w:t>
      </w:r>
    </w:p>
    <w:p w14:paraId="34A600F5" w14:textId="77777777" w:rsidR="00CF0E3D" w:rsidRPr="00C02086" w:rsidRDefault="00CF0E3D" w:rsidP="00CF0E3D">
      <w:pPr>
        <w:pStyle w:val="paragraphsub"/>
      </w:pPr>
      <w:r w:rsidRPr="00C02086">
        <w:tab/>
      </w:r>
      <w:r>
        <w:t>(i)</w:t>
      </w:r>
      <w:r w:rsidRPr="00C02086">
        <w:tab/>
        <w:t>for the purpose of doing the things referred to in paragraphs </w:t>
      </w:r>
      <w:r>
        <w:t>(a)</w:t>
      </w:r>
      <w:r w:rsidRPr="00C02086">
        <w:t xml:space="preserve"> to </w:t>
      </w:r>
      <w:r>
        <w:t>(c)</w:t>
      </w:r>
      <w:r w:rsidRPr="00C02086">
        <w:t>; and</w:t>
      </w:r>
    </w:p>
    <w:p w14:paraId="0301DAEE" w14:textId="407A9825" w:rsidR="003E400D" w:rsidRPr="00C02086" w:rsidRDefault="00CF0E3D" w:rsidP="00CF0E3D">
      <w:pPr>
        <w:pStyle w:val="paragraphsub"/>
      </w:pPr>
      <w:r w:rsidRPr="00C02086">
        <w:tab/>
      </w:r>
      <w:r>
        <w:t>(ii)</w:t>
      </w:r>
      <w:r w:rsidRPr="00C02086">
        <w:tab/>
        <w:t>to the extent reasonably needed to do those things;</w:t>
      </w:r>
    </w:p>
    <w:p w14:paraId="3946BE46" w14:textId="77777777" w:rsidR="00CF0E3D" w:rsidRPr="00EC7544" w:rsidRDefault="00CF0E3D" w:rsidP="00CF0E3D">
      <w:pPr>
        <w:pStyle w:val="paragraph"/>
      </w:pPr>
      <w:r w:rsidRPr="00C02086">
        <w:tab/>
      </w:r>
      <w:r>
        <w:t>(e)</w:t>
      </w:r>
      <w:r w:rsidRPr="00C02086">
        <w:tab/>
        <w:t>disclosing (by sale or otherwise), to any person, CDR data that has been de</w:t>
      </w:r>
      <w:r w:rsidRPr="00C02086">
        <w:noBreakHyphen/>
        <w:t>identified in accordance with the CDR data de</w:t>
      </w:r>
      <w:r w:rsidRPr="00C02086">
        <w:noBreakHyphen/>
        <w:t>identification process</w:t>
      </w:r>
      <w:r w:rsidRPr="00EC7544">
        <w:t>;</w:t>
      </w:r>
    </w:p>
    <w:p w14:paraId="69FE5DF1" w14:textId="77777777" w:rsidR="00CF0E3D" w:rsidRDefault="00CF0E3D" w:rsidP="00CF0E3D">
      <w:pPr>
        <w:pStyle w:val="paragraph"/>
      </w:pPr>
      <w:r w:rsidRPr="00EC7544">
        <w:tab/>
        <w:t>(f)</w:t>
      </w:r>
      <w:r w:rsidRPr="00EC7544">
        <w:tab/>
        <w:t>where the accredited data recipient collected the CDR data as a provider in a CDR outsourcing arrangement—disclosing service data to the principal under the arrangement</w:t>
      </w:r>
      <w:r>
        <w:t>;</w:t>
      </w:r>
    </w:p>
    <w:p w14:paraId="5E66D093" w14:textId="77777777" w:rsidR="00CF0E3D" w:rsidRPr="00CE5ECF" w:rsidRDefault="00CF0E3D" w:rsidP="00CF0E3D">
      <w:pPr>
        <w:pStyle w:val="paragraph"/>
      </w:pPr>
      <w:r>
        <w:tab/>
      </w:r>
      <w:r w:rsidRPr="00CE5ECF">
        <w:t>(g)</w:t>
      </w:r>
      <w:r w:rsidRPr="00CE5ECF">
        <w:tab/>
        <w:t>disclosing CDR data to an accredited person if the CDR consumer has:</w:t>
      </w:r>
    </w:p>
    <w:p w14:paraId="295C7211" w14:textId="77777777" w:rsidR="00CF0E3D" w:rsidRPr="00CE5ECF" w:rsidRDefault="00CF0E3D" w:rsidP="00CF0E3D">
      <w:pPr>
        <w:pStyle w:val="paragraphsub"/>
      </w:pPr>
      <w:r w:rsidRPr="00CE5ECF">
        <w:tab/>
        <w:t>(i)</w:t>
      </w:r>
      <w:r w:rsidRPr="00CE5ECF">
        <w:tab/>
        <w:t>given the accredited person:</w:t>
      </w:r>
    </w:p>
    <w:p w14:paraId="5A90C7C5" w14:textId="77777777" w:rsidR="00CF0E3D" w:rsidRPr="00CE5ECF" w:rsidRDefault="00CF0E3D" w:rsidP="00CF0E3D">
      <w:pPr>
        <w:pStyle w:val="paragraphsub-sub"/>
      </w:pPr>
      <w:r w:rsidRPr="00CE5ECF">
        <w:tab/>
        <w:t>(A)</w:t>
      </w:r>
      <w:r w:rsidRPr="00CE5ECF">
        <w:tab/>
        <w:t>a collection consent to collect the CDR data from the accredited data recipient; and</w:t>
      </w:r>
    </w:p>
    <w:p w14:paraId="7F4CC959" w14:textId="77777777" w:rsidR="00CF0E3D" w:rsidRPr="00CE5ECF" w:rsidRDefault="00CF0E3D" w:rsidP="00CF0E3D">
      <w:pPr>
        <w:pStyle w:val="paragraphsub-sub"/>
      </w:pPr>
      <w:r w:rsidRPr="00CE5ECF">
        <w:tab/>
        <w:t>(B)</w:t>
      </w:r>
      <w:r w:rsidRPr="00CE5ECF">
        <w:tab/>
        <w:t>a use consent; and</w:t>
      </w:r>
    </w:p>
    <w:p w14:paraId="3FD5540B" w14:textId="0020EF8B" w:rsidR="00CF0E3D" w:rsidRPr="00693A57" w:rsidRDefault="00CF0E3D" w:rsidP="00CF0E3D">
      <w:pPr>
        <w:pStyle w:val="paragraphsub"/>
        <w:rPr>
          <w:color w:val="0000FF"/>
        </w:rPr>
      </w:pPr>
      <w:r w:rsidRPr="00CE5ECF">
        <w:tab/>
        <w:t>(ii)</w:t>
      </w:r>
      <w:r w:rsidRPr="00CE5ECF">
        <w:tab/>
        <w:t>given the accredited data recipient an AP disclosure consent to disclose the CDR</w:t>
      </w:r>
      <w:r>
        <w:t xml:space="preserve"> data </w:t>
      </w:r>
      <w:r w:rsidR="003E400D">
        <w:t>to the accredited person</w:t>
      </w:r>
      <w:r w:rsidR="003E400D" w:rsidRPr="00693A57">
        <w:rPr>
          <w:color w:val="0000FF"/>
        </w:rPr>
        <w:t>;</w:t>
      </w:r>
    </w:p>
    <w:p w14:paraId="0A9250A3" w14:textId="39E7F1BA" w:rsidR="003E400D" w:rsidRPr="00693A57" w:rsidRDefault="003E400D" w:rsidP="003E400D">
      <w:pPr>
        <w:pStyle w:val="paragraph"/>
        <w:rPr>
          <w:color w:val="0000FF"/>
        </w:rPr>
      </w:pPr>
      <w:r w:rsidRPr="00693A57">
        <w:rPr>
          <w:color w:val="0000FF"/>
        </w:rPr>
        <w:tab/>
        <w:t>(h)</w:t>
      </w:r>
      <w:r w:rsidRPr="00693A57">
        <w:rPr>
          <w:color w:val="0000FF"/>
        </w:rPr>
        <w:tab/>
        <w:t xml:space="preserve">where the accredited person is a CDR principal—disclosing the CDR data to a </w:t>
      </w:r>
      <w:r w:rsidR="00182338" w:rsidRPr="00693A57">
        <w:rPr>
          <w:color w:val="0000FF"/>
        </w:rPr>
        <w:t>CDR representative</w:t>
      </w:r>
      <w:r w:rsidRPr="00693A57">
        <w:rPr>
          <w:color w:val="0000FF"/>
        </w:rPr>
        <w:t xml:space="preserve"> for the purposes of a use or disclosure by the the </w:t>
      </w:r>
      <w:r w:rsidR="00182338" w:rsidRPr="00693A57">
        <w:rPr>
          <w:color w:val="0000FF"/>
        </w:rPr>
        <w:lastRenderedPageBreak/>
        <w:t>CDR representative</w:t>
      </w:r>
      <w:r w:rsidRPr="00693A57">
        <w:rPr>
          <w:color w:val="0000FF"/>
        </w:rPr>
        <w:t xml:space="preserve"> that would be a permitted use or disclosure under paragraphs (a) to (g) if the </w:t>
      </w:r>
      <w:r w:rsidR="00182338" w:rsidRPr="00693A57">
        <w:rPr>
          <w:color w:val="0000FF"/>
        </w:rPr>
        <w:t>CDR representative</w:t>
      </w:r>
      <w:r w:rsidRPr="00693A57">
        <w:rPr>
          <w:color w:val="0000FF"/>
        </w:rPr>
        <w:t xml:space="preserve"> were an accredited person that had collected the CDR data under the consumer data request.</w:t>
      </w:r>
    </w:p>
    <w:p w14:paraId="7605F572" w14:textId="77777777" w:rsidR="00CF0E3D" w:rsidRPr="00C02086" w:rsidRDefault="00CF0E3D" w:rsidP="00CF0E3D">
      <w:pPr>
        <w:pStyle w:val="subsection"/>
      </w:pPr>
      <w:r w:rsidRPr="00C02086">
        <w:tab/>
      </w:r>
      <w:r>
        <w:t>(2)</w:t>
      </w:r>
      <w:r w:rsidRPr="00C02086">
        <w:tab/>
        <w:t>However, none of the uses or disclosures of CDR data referred to in subrule </w:t>
      </w:r>
      <w:r>
        <w:t>4.12(3)</w:t>
      </w:r>
      <w:r w:rsidRPr="00C02086">
        <w:t xml:space="preserve"> is a </w:t>
      </w:r>
      <w:r w:rsidRPr="00C02086">
        <w:rPr>
          <w:b/>
          <w:i/>
        </w:rPr>
        <w:t>permitted use or disclosure</w:t>
      </w:r>
      <w:r w:rsidRPr="00C02086">
        <w:t>.</w:t>
      </w:r>
    </w:p>
    <w:p w14:paraId="5DA6133E" w14:textId="77777777" w:rsidR="00CF0E3D" w:rsidRPr="00C02086" w:rsidRDefault="00CF0E3D" w:rsidP="00CF0E3D">
      <w:pPr>
        <w:pStyle w:val="SubsectionHead"/>
      </w:pPr>
      <w:r w:rsidRPr="00C02086">
        <w:rPr>
          <w:b/>
        </w:rPr>
        <w:t>Permitted uses or disclosures</w:t>
      </w:r>
      <w:r w:rsidRPr="00C02086">
        <w:t xml:space="preserve"> that </w:t>
      </w:r>
      <w:r w:rsidRPr="00C02086">
        <w:rPr>
          <w:b/>
        </w:rPr>
        <w:t>relate to direct marketing</w:t>
      </w:r>
    </w:p>
    <w:p w14:paraId="473D230A" w14:textId="77777777" w:rsidR="00CF0E3D" w:rsidRPr="00724397" w:rsidRDefault="00CF0E3D" w:rsidP="00CF0E3D">
      <w:pPr>
        <w:pStyle w:val="subsection"/>
      </w:pPr>
      <w:r w:rsidRPr="00724397">
        <w:tab/>
      </w:r>
      <w:r>
        <w:t>(3)</w:t>
      </w:r>
      <w:r w:rsidRPr="00724397">
        <w:tab/>
        <w:t xml:space="preserve">For this Subdivision, a use or disclosure of the CDR consumer’s CDR data that is not itself a permitted use or disclosure under subrule (1) is nevertheless a </w:t>
      </w:r>
      <w:r w:rsidRPr="00724397">
        <w:rPr>
          <w:b/>
          <w:i/>
        </w:rPr>
        <w:t xml:space="preserve">permitted use or disclosure </w:t>
      </w:r>
      <w:r w:rsidRPr="00724397">
        <w:t xml:space="preserve">that </w:t>
      </w:r>
      <w:r w:rsidRPr="00724397">
        <w:rPr>
          <w:b/>
          <w:i/>
        </w:rPr>
        <w:t xml:space="preserve">relates to direct marketing </w:t>
      </w:r>
      <w:r w:rsidRPr="00724397">
        <w:t>if it consists of one of the following:</w:t>
      </w:r>
    </w:p>
    <w:p w14:paraId="0F761798" w14:textId="77777777" w:rsidR="00CF0E3D" w:rsidRPr="00724397" w:rsidRDefault="00CF0E3D" w:rsidP="00CF0E3D">
      <w:pPr>
        <w:pStyle w:val="paragraph"/>
      </w:pPr>
      <w:r w:rsidRPr="00724397">
        <w:tab/>
      </w:r>
      <w:r>
        <w:t>(a)</w:t>
      </w:r>
      <w:r w:rsidRPr="00724397">
        <w:tab/>
        <w:t>in accordance with a direct marketing consent from the CDR consumer—sending to the CDR consumer:</w:t>
      </w:r>
    </w:p>
    <w:p w14:paraId="4073D758" w14:textId="77777777" w:rsidR="00CF0E3D" w:rsidRPr="00724397" w:rsidRDefault="00CF0E3D" w:rsidP="00CF0E3D">
      <w:pPr>
        <w:pStyle w:val="paragraphsub"/>
      </w:pPr>
      <w:r w:rsidRPr="00724397">
        <w:tab/>
      </w:r>
      <w:r>
        <w:t>(i)</w:t>
      </w:r>
      <w:r w:rsidRPr="00724397">
        <w:tab/>
        <w:t>information about upgraded or alternative goods or services to existing goods or services; or</w:t>
      </w:r>
    </w:p>
    <w:p w14:paraId="37191C7E" w14:textId="77777777" w:rsidR="00CF0E3D" w:rsidRPr="00724397" w:rsidRDefault="00CF0E3D" w:rsidP="00CF0E3D">
      <w:pPr>
        <w:pStyle w:val="paragraphsub"/>
      </w:pPr>
      <w:r w:rsidRPr="00724397">
        <w:tab/>
      </w:r>
      <w:r>
        <w:t>(ii)</w:t>
      </w:r>
      <w:r w:rsidRPr="00724397">
        <w:tab/>
        <w:t>an offer to renew existing goods or services when they expire; or</w:t>
      </w:r>
    </w:p>
    <w:p w14:paraId="5966D93A" w14:textId="77777777" w:rsidR="00CF0E3D" w:rsidRDefault="00CF0E3D" w:rsidP="00CF0E3D">
      <w:pPr>
        <w:pStyle w:val="paragraphsub"/>
      </w:pPr>
      <w:r w:rsidRPr="00724397">
        <w:tab/>
      </w:r>
      <w:r>
        <w:t>(iii)</w:t>
      </w:r>
      <w:r w:rsidRPr="00724397">
        <w:tab/>
        <w:t>information about the benefits of existing goods or services;</w:t>
      </w:r>
      <w:r>
        <w:t xml:space="preserve"> </w:t>
      </w:r>
      <w:r w:rsidRPr="00CE5ECF">
        <w:t>; or</w:t>
      </w:r>
      <w:r>
        <w:t xml:space="preserve">   </w:t>
      </w:r>
    </w:p>
    <w:p w14:paraId="59A85C89" w14:textId="77777777" w:rsidR="00CF0E3D" w:rsidRPr="00CE5ECF" w:rsidRDefault="00CF0E3D" w:rsidP="00CF0E3D">
      <w:pPr>
        <w:pStyle w:val="paragraphsub"/>
      </w:pPr>
      <w:r>
        <w:tab/>
      </w:r>
      <w:r w:rsidRPr="00CE5ECF">
        <w:t>(iv)</w:t>
      </w:r>
      <w:r w:rsidRPr="00CE5ECF">
        <w:tab/>
        <w:t>information about other goods or services provided by another accredited person, if the accredited data recipient:</w:t>
      </w:r>
    </w:p>
    <w:p w14:paraId="2AF2E523" w14:textId="77777777" w:rsidR="00CF0E3D" w:rsidRPr="00CE5ECF" w:rsidRDefault="00CF0E3D" w:rsidP="00CF0E3D">
      <w:pPr>
        <w:pStyle w:val="paragraphsub-sub"/>
      </w:pPr>
      <w:r w:rsidRPr="00CE5ECF">
        <w:tab/>
        <w:t>(A)</w:t>
      </w:r>
      <w:r w:rsidRPr="00CE5ECF">
        <w:tab/>
        <w:t>reasonably believes that the CDR consumer might benefit from those other goods or services; and</w:t>
      </w:r>
    </w:p>
    <w:p w14:paraId="434D42BC" w14:textId="77777777" w:rsidR="00CF0E3D" w:rsidRPr="00724397" w:rsidRDefault="00CF0E3D" w:rsidP="00CF0E3D">
      <w:pPr>
        <w:pStyle w:val="paragraphsub-sub"/>
      </w:pPr>
      <w:r w:rsidRPr="00CE5ECF">
        <w:tab/>
        <w:t xml:space="preserve">(B) </w:t>
      </w:r>
      <w:r w:rsidRPr="00CE5ECF">
        <w:tab/>
        <w:t>sends such information to the CDR consumer on no more than a reasonable number of occasions;</w:t>
      </w:r>
    </w:p>
    <w:p w14:paraId="06060A08" w14:textId="77777777" w:rsidR="00CF0E3D" w:rsidRPr="00CE5ECF" w:rsidRDefault="00CF0E3D" w:rsidP="00CF0E3D">
      <w:pPr>
        <w:pStyle w:val="paragraph"/>
      </w:pPr>
      <w:r w:rsidRPr="00CE5ECF">
        <w:tab/>
        <w:t>(aa)</w:t>
      </w:r>
      <w:r w:rsidRPr="00CE5ECF">
        <w:tab/>
        <w:t>in accordance with a direct marketing consent from the CDR consumer—disclosing CDR data to an accredited person to enable the accredited person to provide the goods or services referred to in subparagraph (a)(iv), if the CDR consumer has:</w:t>
      </w:r>
    </w:p>
    <w:p w14:paraId="30BB7F51" w14:textId="77777777" w:rsidR="00CF0E3D" w:rsidRPr="00CE5ECF" w:rsidRDefault="00CF0E3D" w:rsidP="00CF0E3D">
      <w:pPr>
        <w:pStyle w:val="paragraphsub"/>
      </w:pPr>
      <w:r w:rsidRPr="00CE5ECF">
        <w:tab/>
        <w:t>(i)</w:t>
      </w:r>
      <w:r w:rsidRPr="00CE5ECF">
        <w:tab/>
        <w:t>given the accredited person:</w:t>
      </w:r>
    </w:p>
    <w:p w14:paraId="241018ED" w14:textId="77777777" w:rsidR="00CF0E3D" w:rsidRPr="00CE5ECF" w:rsidRDefault="00CF0E3D" w:rsidP="00CF0E3D">
      <w:pPr>
        <w:pStyle w:val="paragraphsub-sub"/>
      </w:pPr>
      <w:r w:rsidRPr="00CE5ECF">
        <w:tab/>
        <w:t>(A)</w:t>
      </w:r>
      <w:r w:rsidRPr="00CE5ECF">
        <w:tab/>
        <w:t>a collection consent to collect the CDR data from the accredited data recipient; and</w:t>
      </w:r>
    </w:p>
    <w:p w14:paraId="1898EF0D" w14:textId="77777777" w:rsidR="00CF0E3D" w:rsidRPr="00CE5ECF" w:rsidRDefault="00CF0E3D" w:rsidP="00CF0E3D">
      <w:pPr>
        <w:pStyle w:val="paragraphsub-sub"/>
      </w:pPr>
      <w:r w:rsidRPr="00CE5ECF">
        <w:tab/>
        <w:t>(B)</w:t>
      </w:r>
      <w:r w:rsidRPr="00CE5ECF">
        <w:tab/>
        <w:t>a use consent; and</w:t>
      </w:r>
    </w:p>
    <w:p w14:paraId="3E178CFB" w14:textId="77777777" w:rsidR="00CF0E3D" w:rsidRPr="00CE5ECF" w:rsidRDefault="00CF0E3D" w:rsidP="00CF0E3D">
      <w:pPr>
        <w:pStyle w:val="paragraphsub"/>
      </w:pPr>
      <w:r w:rsidRPr="00CE5ECF">
        <w:tab/>
        <w:t>(ii)</w:t>
      </w:r>
      <w:r w:rsidRPr="00CE5ECF">
        <w:tab/>
        <w:t>given the accredited data recipient a disclosure consent to disclose the CDR data to the accredited person;</w:t>
      </w:r>
    </w:p>
    <w:p w14:paraId="2888490F" w14:textId="77777777" w:rsidR="00CF0E3D" w:rsidRPr="00EA6240" w:rsidRDefault="00CF0E3D" w:rsidP="00CF0E3D">
      <w:pPr>
        <w:pStyle w:val="paragraph"/>
      </w:pPr>
      <w:r w:rsidRPr="00724397">
        <w:tab/>
      </w:r>
      <w:r>
        <w:t>(b)</w:t>
      </w:r>
      <w:r w:rsidRPr="00724397">
        <w:tab/>
        <w:t xml:space="preserve">using the CDR data in a way </w:t>
      </w:r>
      <w:r w:rsidRPr="00EA6240">
        <w:t xml:space="preserve">and to the extent </w:t>
      </w:r>
      <w:r w:rsidRPr="00724397">
        <w:t>that is reasonably needed in order to send to the CDR consumer something permitted under paragraph </w:t>
      </w:r>
      <w:r>
        <w:t>(a) or paragraph (aa)</w:t>
      </w:r>
      <w:r w:rsidRPr="00EA6240">
        <w:t xml:space="preserve"> (including by analysing the CDR data to identify the appropriate information to send);</w:t>
      </w:r>
    </w:p>
    <w:p w14:paraId="0F67900E" w14:textId="77777777" w:rsidR="00CF0E3D" w:rsidRPr="00724397" w:rsidRDefault="00CF0E3D" w:rsidP="00CF0E3D">
      <w:pPr>
        <w:pStyle w:val="paragraph"/>
      </w:pPr>
      <w:r w:rsidRPr="00724397">
        <w:tab/>
      </w:r>
      <w:r>
        <w:t>(c)</w:t>
      </w:r>
      <w:r w:rsidRPr="00724397">
        <w:tab/>
        <w:t>disclosing the CDR consumer’s CDR data to an outsourced service provider</w:t>
      </w:r>
      <w:r w:rsidRPr="00EC7544">
        <w:t xml:space="preserve"> of the accredited data recipient</w:t>
      </w:r>
      <w:r w:rsidRPr="00724397">
        <w:t>:</w:t>
      </w:r>
    </w:p>
    <w:p w14:paraId="130E2721" w14:textId="77777777" w:rsidR="00CF0E3D" w:rsidRPr="00724397" w:rsidRDefault="00CF0E3D" w:rsidP="00CF0E3D">
      <w:pPr>
        <w:pStyle w:val="paragraphsub"/>
      </w:pPr>
      <w:r w:rsidRPr="00724397">
        <w:tab/>
      </w:r>
      <w:r>
        <w:t>(i)</w:t>
      </w:r>
      <w:r w:rsidRPr="00724397">
        <w:tab/>
        <w:t>for the purpose of doing the things referred to in paragraphs </w:t>
      </w:r>
      <w:r>
        <w:t>(a), (aa)</w:t>
      </w:r>
      <w:r w:rsidRPr="00724397">
        <w:t xml:space="preserve"> or </w:t>
      </w:r>
      <w:r>
        <w:t>(b)</w:t>
      </w:r>
      <w:r w:rsidRPr="00724397">
        <w:t>; and</w:t>
      </w:r>
    </w:p>
    <w:p w14:paraId="20FFDFC0" w14:textId="77777777" w:rsidR="00CF0E3D" w:rsidRPr="00C41AF8" w:rsidRDefault="00CF0E3D" w:rsidP="00CF0E3D">
      <w:pPr>
        <w:pStyle w:val="paragraphsub"/>
      </w:pPr>
      <w:r w:rsidRPr="00724397">
        <w:tab/>
      </w:r>
      <w:r>
        <w:t>(ii)</w:t>
      </w:r>
      <w:r w:rsidRPr="00724397">
        <w:tab/>
        <w:t>to the extent reason</w:t>
      </w:r>
      <w:r>
        <w:t>ably needed to do those things.</w:t>
      </w:r>
    </w:p>
    <w:p w14:paraId="54FD77D1" w14:textId="07219088" w:rsidR="00D34637" w:rsidRDefault="00CF0E3D" w:rsidP="00D34637">
      <w:pPr>
        <w:pStyle w:val="ActHead5"/>
      </w:pPr>
      <w:bookmarkStart w:id="471" w:name="_Toc57219117"/>
      <w:bookmarkStart w:id="472" w:name="_Toc59549175"/>
      <w:bookmarkStart w:id="473" w:name="_Toc77065009"/>
      <w:r w:rsidRPr="00CE5ECF">
        <w:lastRenderedPageBreak/>
        <w:t>7.5A  Limitation to disclosures of CDR data under a disclosure consent</w:t>
      </w:r>
      <w:bookmarkEnd w:id="471"/>
      <w:bookmarkEnd w:id="472"/>
      <w:bookmarkEnd w:id="473"/>
    </w:p>
    <w:p w14:paraId="577C7700" w14:textId="4AE866A6" w:rsidR="00CF0E3D" w:rsidRPr="00E2289C" w:rsidRDefault="00D34637" w:rsidP="00CF0E3D">
      <w:pPr>
        <w:pStyle w:val="subsection"/>
      </w:pPr>
      <w:r w:rsidRPr="00693A57">
        <w:rPr>
          <w:color w:val="0000FF"/>
        </w:rPr>
        <w:tab/>
        <w:t>(1)</w:t>
      </w:r>
      <w:r w:rsidRPr="00693A57">
        <w:rPr>
          <w:color w:val="0000FF"/>
        </w:rPr>
        <w:tab/>
      </w:r>
      <w:r w:rsidR="00CF0E3D" w:rsidRPr="00E2289C">
        <w:t>Despite paragraph 7.5(1)</w:t>
      </w:r>
      <w:r w:rsidR="00CF0E3D">
        <w:t>(ca), disclosure of CDR data to</w:t>
      </w:r>
      <w:r w:rsidR="00CF0E3D" w:rsidRPr="004E3E9C">
        <w:t xml:space="preserve"> a</w:t>
      </w:r>
      <w:r w:rsidR="00CF0E3D" w:rsidRPr="00E2289C">
        <w:t xml:space="preserve">n accredited person </w:t>
      </w:r>
      <w:r w:rsidR="00CF0E3D" w:rsidRPr="00450982">
        <w:t>under a</w:t>
      </w:r>
      <w:r w:rsidR="00CF0E3D">
        <w:t>n</w:t>
      </w:r>
      <w:r w:rsidR="00CF0E3D" w:rsidRPr="00450982">
        <w:t xml:space="preserve"> </w:t>
      </w:r>
      <w:r w:rsidR="00CF0E3D">
        <w:t>AP</w:t>
      </w:r>
      <w:r w:rsidR="00CF0E3D" w:rsidRPr="00450982">
        <w:t xml:space="preserve"> disclosure</w:t>
      </w:r>
      <w:r w:rsidR="00CF0E3D" w:rsidRPr="00E2289C">
        <w:t xml:space="preserve"> consent is not a </w:t>
      </w:r>
      <w:r w:rsidR="00CF0E3D" w:rsidRPr="00E2289C">
        <w:rPr>
          <w:b/>
          <w:i/>
        </w:rPr>
        <w:t xml:space="preserve">permitted use or disclosure </w:t>
      </w:r>
      <w:r w:rsidR="00CF0E3D" w:rsidRPr="00E2289C">
        <w:t>until the earlier of the following:</w:t>
      </w:r>
    </w:p>
    <w:p w14:paraId="5CEE2F4A" w14:textId="2BC8E4C7" w:rsidR="00CF0E3D" w:rsidRPr="00D34637" w:rsidRDefault="00CF0E3D" w:rsidP="00CF0E3D">
      <w:pPr>
        <w:pStyle w:val="paragraph"/>
      </w:pPr>
      <w:r w:rsidRPr="00D34637">
        <w:tab/>
        <w:t>(a)</w:t>
      </w:r>
      <w:r w:rsidRPr="00D34637">
        <w:tab/>
        <w:t>1 July 2021;</w:t>
      </w:r>
    </w:p>
    <w:p w14:paraId="38990020" w14:textId="77777777" w:rsidR="00CF0E3D" w:rsidRPr="00E2289C" w:rsidRDefault="00CF0E3D" w:rsidP="00CF0E3D">
      <w:pPr>
        <w:pStyle w:val="paragraph"/>
      </w:pPr>
      <w:r w:rsidRPr="00E2289C">
        <w:tab/>
        <w:t>(b)</w:t>
      </w:r>
      <w:r w:rsidRPr="00E2289C">
        <w:tab/>
        <w:t>the day the Data Standards Chair makes the data standard about the matter referred to in subparagraph 8.11(1)(c)(iii).</w:t>
      </w:r>
    </w:p>
    <w:p w14:paraId="14BB8EC7" w14:textId="0AA57D85" w:rsidR="00D34637" w:rsidRPr="00693A57" w:rsidRDefault="00D34637" w:rsidP="007A5F06">
      <w:pPr>
        <w:pStyle w:val="subsection"/>
        <w:rPr>
          <w:color w:val="0000FF"/>
        </w:rPr>
      </w:pPr>
      <w:r w:rsidRPr="00693A57">
        <w:rPr>
          <w:color w:val="0000FF"/>
        </w:rPr>
        <w:tab/>
        <w:t>(2)</w:t>
      </w:r>
      <w:r w:rsidRPr="00693A57">
        <w:rPr>
          <w:color w:val="0000FF"/>
        </w:rPr>
        <w:tab/>
        <w:t>Despite paragraph 7.5(1)(ca), disclosure of CDR data to a</w:t>
      </w:r>
      <w:r w:rsidR="007F731E" w:rsidRPr="00693A57">
        <w:rPr>
          <w:color w:val="0000FF"/>
        </w:rPr>
        <w:t xml:space="preserve"> trusted adviser</w:t>
      </w:r>
      <w:r w:rsidR="00C31386" w:rsidRPr="00693A57">
        <w:rPr>
          <w:color w:val="0000FF"/>
        </w:rPr>
        <w:t xml:space="preserve"> under a</w:t>
      </w:r>
      <w:r w:rsidRPr="00693A57">
        <w:rPr>
          <w:color w:val="0000FF"/>
        </w:rPr>
        <w:t xml:space="preserve"> TA disclosure consent is not a </w:t>
      </w:r>
      <w:r w:rsidR="007F731E" w:rsidRPr="00693A57">
        <w:rPr>
          <w:b/>
          <w:i/>
          <w:color w:val="0000FF"/>
        </w:rPr>
        <w:t>permitted use or disclosure</w:t>
      </w:r>
      <w:r w:rsidR="007A5F06" w:rsidRPr="00693A57">
        <w:rPr>
          <w:b/>
          <w:i/>
          <w:color w:val="0000FF"/>
        </w:rPr>
        <w:t xml:space="preserve"> </w:t>
      </w:r>
      <w:r w:rsidR="007F731E" w:rsidRPr="00693A57">
        <w:rPr>
          <w:color w:val="0000FF"/>
        </w:rPr>
        <w:t>u</w:t>
      </w:r>
      <w:r w:rsidRPr="00693A57">
        <w:rPr>
          <w:color w:val="0000FF"/>
        </w:rPr>
        <w:t>ntil the earlier of the following:</w:t>
      </w:r>
    </w:p>
    <w:p w14:paraId="7A61267B" w14:textId="0D9E71E5" w:rsidR="00D34637" w:rsidRPr="00693A57" w:rsidRDefault="007A5F06" w:rsidP="007A5F06">
      <w:pPr>
        <w:pStyle w:val="paragraph"/>
        <w:rPr>
          <w:color w:val="0000FF"/>
        </w:rPr>
      </w:pPr>
      <w:r w:rsidRPr="00693A57">
        <w:rPr>
          <w:color w:val="0000FF"/>
        </w:rPr>
        <w:tab/>
        <w:t>(a)</w:t>
      </w:r>
      <w:r w:rsidRPr="00693A57">
        <w:rPr>
          <w:color w:val="0000FF"/>
        </w:rPr>
        <w:tab/>
        <w:t>[</w:t>
      </w:r>
      <w:r w:rsidR="00D34637" w:rsidRPr="00693A57">
        <w:rPr>
          <w:color w:val="0000FF"/>
        </w:rPr>
        <w:t>date tba];</w:t>
      </w:r>
    </w:p>
    <w:p w14:paraId="7C0E33BE" w14:textId="730AB7BC" w:rsidR="00D34637" w:rsidRPr="00693A57" w:rsidRDefault="007A5F06" w:rsidP="007A5F06">
      <w:pPr>
        <w:pStyle w:val="paragraph"/>
        <w:rPr>
          <w:color w:val="0000FF"/>
        </w:rPr>
      </w:pPr>
      <w:r w:rsidRPr="00693A57">
        <w:rPr>
          <w:color w:val="0000FF"/>
        </w:rPr>
        <w:tab/>
        <w:t>(b)</w:t>
      </w:r>
      <w:r w:rsidRPr="00693A57">
        <w:rPr>
          <w:color w:val="0000FF"/>
        </w:rPr>
        <w:tab/>
      </w:r>
      <w:r w:rsidR="00D34637" w:rsidRPr="00693A57">
        <w:rPr>
          <w:color w:val="0000FF"/>
        </w:rPr>
        <w:t>the day the Data Standards Chair makes the data standard about the matter referred to in subparagraph 8.11(1)(c)(iv</w:t>
      </w:r>
      <w:r w:rsidRPr="00693A57">
        <w:rPr>
          <w:color w:val="0000FF"/>
        </w:rPr>
        <w:t>).</w:t>
      </w:r>
    </w:p>
    <w:p w14:paraId="2010BB19" w14:textId="4977B7E2" w:rsidR="00A46C18" w:rsidRPr="00693A57" w:rsidRDefault="007A5F06" w:rsidP="007A5F06">
      <w:pPr>
        <w:pStyle w:val="subsection"/>
        <w:rPr>
          <w:color w:val="0000FF"/>
        </w:rPr>
      </w:pPr>
      <w:r w:rsidRPr="00693A57">
        <w:rPr>
          <w:color w:val="0000FF"/>
        </w:rPr>
        <w:tab/>
        <w:t>(3)</w:t>
      </w:r>
      <w:r w:rsidRPr="00693A57">
        <w:rPr>
          <w:color w:val="0000FF"/>
        </w:rPr>
        <w:tab/>
        <w:t xml:space="preserve">Despite paragraph 7.5(1)(ca), disclosure of CDR data to a trusted adviser under a TA disclosure consent is not a </w:t>
      </w:r>
      <w:r w:rsidRPr="00693A57">
        <w:rPr>
          <w:b/>
          <w:i/>
          <w:color w:val="0000FF"/>
        </w:rPr>
        <w:t xml:space="preserve">permitted use or disclosure </w:t>
      </w:r>
      <w:r w:rsidR="007F731E" w:rsidRPr="00693A57">
        <w:rPr>
          <w:color w:val="0000FF"/>
        </w:rPr>
        <w:t xml:space="preserve">unless the accredited data recipient has taken reasonable steps to </w:t>
      </w:r>
      <w:r w:rsidR="000E44B7" w:rsidRPr="00693A57">
        <w:rPr>
          <w:color w:val="0000FF"/>
        </w:rPr>
        <w:t xml:space="preserve">confirm that </w:t>
      </w:r>
      <w:r w:rsidR="00C31386" w:rsidRPr="00693A57">
        <w:rPr>
          <w:color w:val="0000FF"/>
        </w:rPr>
        <w:t>the trusted advise</w:t>
      </w:r>
      <w:r w:rsidR="007F731E" w:rsidRPr="00693A57">
        <w:rPr>
          <w:color w:val="0000FF"/>
        </w:rPr>
        <w:t xml:space="preserve">r </w:t>
      </w:r>
      <w:r w:rsidR="000E44B7" w:rsidRPr="00693A57">
        <w:rPr>
          <w:color w:val="0000FF"/>
        </w:rPr>
        <w:t>is currently a member of a class of trusted advis</w:t>
      </w:r>
      <w:r w:rsidR="001F5289" w:rsidRPr="00693A57">
        <w:rPr>
          <w:color w:val="0000FF"/>
        </w:rPr>
        <w:t>e</w:t>
      </w:r>
      <w:r w:rsidR="000E44B7" w:rsidRPr="00693A57">
        <w:rPr>
          <w:color w:val="0000FF"/>
        </w:rPr>
        <w:t xml:space="preserve">rs mentioned in subrule </w:t>
      </w:r>
      <w:r w:rsidR="007F731E" w:rsidRPr="00693A57">
        <w:rPr>
          <w:color w:val="0000FF"/>
        </w:rPr>
        <w:t>1.10C</w:t>
      </w:r>
      <w:r w:rsidR="000E44B7" w:rsidRPr="00693A57">
        <w:rPr>
          <w:color w:val="0000FF"/>
        </w:rPr>
        <w:t>(2)</w:t>
      </w:r>
      <w:r w:rsidR="007F731E" w:rsidRPr="00693A57">
        <w:rPr>
          <w:color w:val="0000FF"/>
        </w:rPr>
        <w:t>.</w:t>
      </w:r>
    </w:p>
    <w:p w14:paraId="14D7F2A5" w14:textId="1EF3DBA0" w:rsidR="00870D71" w:rsidRPr="00693A57" w:rsidRDefault="00D16D85" w:rsidP="001E3245">
      <w:pPr>
        <w:pStyle w:val="subsection"/>
        <w:rPr>
          <w:color w:val="0000FF"/>
        </w:rPr>
      </w:pPr>
      <w:r w:rsidRPr="00693A57">
        <w:rPr>
          <w:color w:val="0000FF"/>
        </w:rPr>
        <w:tab/>
      </w:r>
      <w:r w:rsidR="001E3245" w:rsidRPr="00693A57">
        <w:rPr>
          <w:color w:val="0000FF"/>
        </w:rPr>
        <w:t>(4</w:t>
      </w:r>
      <w:r w:rsidRPr="00693A57">
        <w:rPr>
          <w:color w:val="0000FF"/>
        </w:rPr>
        <w:t>)</w:t>
      </w:r>
      <w:r w:rsidRPr="00693A57">
        <w:rPr>
          <w:color w:val="0000FF"/>
        </w:rPr>
        <w:tab/>
      </w:r>
      <w:r w:rsidR="00A46C18" w:rsidRPr="00693A57">
        <w:rPr>
          <w:color w:val="0000FF"/>
        </w:rPr>
        <w:t xml:space="preserve">Despite paragraph 7.5(1)(ca), disclosure of a CDR insight under an insight disclosure consent is not a </w:t>
      </w:r>
      <w:r w:rsidR="00A46C18" w:rsidRPr="00693A57">
        <w:rPr>
          <w:b/>
          <w:i/>
          <w:color w:val="0000FF"/>
        </w:rPr>
        <w:t>permitted use or disclosure</w:t>
      </w:r>
      <w:r w:rsidR="001E3245" w:rsidRPr="00693A57">
        <w:rPr>
          <w:b/>
          <w:i/>
          <w:color w:val="0000FF"/>
        </w:rPr>
        <w:t xml:space="preserve"> </w:t>
      </w:r>
      <w:r w:rsidR="00870D71" w:rsidRPr="00693A57">
        <w:rPr>
          <w:color w:val="0000FF"/>
        </w:rPr>
        <w:t>until the earlier of the following:</w:t>
      </w:r>
    </w:p>
    <w:p w14:paraId="3B845FA9" w14:textId="740C6678" w:rsidR="00870D71" w:rsidRPr="00693A57" w:rsidRDefault="001E3245" w:rsidP="001E3245">
      <w:pPr>
        <w:pStyle w:val="paragraph"/>
        <w:rPr>
          <w:color w:val="0000FF"/>
        </w:rPr>
      </w:pPr>
      <w:r w:rsidRPr="00693A57">
        <w:rPr>
          <w:color w:val="0000FF"/>
        </w:rPr>
        <w:tab/>
        <w:t>(a)</w:t>
      </w:r>
      <w:r w:rsidRPr="00693A57">
        <w:rPr>
          <w:color w:val="0000FF"/>
        </w:rPr>
        <w:tab/>
        <w:t>[</w:t>
      </w:r>
      <w:r w:rsidR="00870D71" w:rsidRPr="00693A57">
        <w:rPr>
          <w:color w:val="0000FF"/>
        </w:rPr>
        <w:t>date tba];</w:t>
      </w:r>
    </w:p>
    <w:p w14:paraId="278D3E0F" w14:textId="2FAF52E8" w:rsidR="001E3245" w:rsidRPr="00693A57" w:rsidRDefault="001E3245" w:rsidP="001E3245">
      <w:pPr>
        <w:pStyle w:val="paragraph"/>
        <w:rPr>
          <w:color w:val="0000FF"/>
        </w:rPr>
      </w:pPr>
      <w:r w:rsidRPr="00693A57">
        <w:rPr>
          <w:color w:val="0000FF"/>
        </w:rPr>
        <w:tab/>
        <w:t>(b)</w:t>
      </w:r>
      <w:r w:rsidRPr="00693A57">
        <w:rPr>
          <w:color w:val="0000FF"/>
        </w:rPr>
        <w:tab/>
      </w:r>
      <w:r w:rsidR="00870D71" w:rsidRPr="00693A57">
        <w:rPr>
          <w:color w:val="0000FF"/>
        </w:rPr>
        <w:t xml:space="preserve">the day the Data Standards Chair makes the data standard about the matters </w:t>
      </w:r>
      <w:r w:rsidRPr="00693A57">
        <w:rPr>
          <w:color w:val="0000FF"/>
        </w:rPr>
        <w:t>referred to in subrule 8.11(1A).</w:t>
      </w:r>
    </w:p>
    <w:p w14:paraId="287B817F" w14:textId="3E4F0E17" w:rsidR="0075578A" w:rsidRPr="00693A57" w:rsidRDefault="001E3245" w:rsidP="001E3245">
      <w:pPr>
        <w:pStyle w:val="subsection"/>
        <w:rPr>
          <w:color w:val="0000FF"/>
        </w:rPr>
      </w:pPr>
      <w:r w:rsidRPr="00693A57">
        <w:rPr>
          <w:color w:val="0000FF"/>
        </w:rPr>
        <w:tab/>
        <w:t>(5)</w:t>
      </w:r>
      <w:r w:rsidRPr="00693A57">
        <w:rPr>
          <w:color w:val="0000FF"/>
        </w:rPr>
        <w:tab/>
        <w:t xml:space="preserve">Despite paragraph 7.5(1)(ca), disclosure of a CDR insight under an insight disclosure consent is not a </w:t>
      </w:r>
      <w:r w:rsidRPr="00693A57">
        <w:rPr>
          <w:b/>
          <w:i/>
          <w:color w:val="0000FF"/>
        </w:rPr>
        <w:t>permitted use or disclosure</w:t>
      </w:r>
      <w:r w:rsidRPr="00693A57">
        <w:rPr>
          <w:color w:val="0000FF"/>
        </w:rPr>
        <w:t xml:space="preserve"> </w:t>
      </w:r>
      <w:r w:rsidR="00A46C18" w:rsidRPr="00693A57">
        <w:rPr>
          <w:color w:val="0000FF"/>
        </w:rPr>
        <w:t xml:space="preserve">if the CDR insight includes </w:t>
      </w:r>
      <w:r w:rsidR="009C404C" w:rsidRPr="00693A57">
        <w:rPr>
          <w:color w:val="0000FF"/>
        </w:rPr>
        <w:t xml:space="preserve">or reveals </w:t>
      </w:r>
      <w:r w:rsidR="00A46C18" w:rsidRPr="00693A57">
        <w:rPr>
          <w:color w:val="0000FF"/>
        </w:rPr>
        <w:t xml:space="preserve">sensitive information within the meaning of the </w:t>
      </w:r>
      <w:r w:rsidR="00A46C18" w:rsidRPr="00693A57">
        <w:rPr>
          <w:i/>
          <w:color w:val="0000FF"/>
        </w:rPr>
        <w:t>Privacy Act 1988</w:t>
      </w:r>
      <w:r w:rsidR="0075578A" w:rsidRPr="00693A57">
        <w:rPr>
          <w:color w:val="0000FF"/>
        </w:rPr>
        <w:t>.</w:t>
      </w:r>
    </w:p>
    <w:p w14:paraId="60A6A816" w14:textId="4C6E3991" w:rsidR="00CF0E3D" w:rsidRPr="005F3D40" w:rsidRDefault="00CF0E3D" w:rsidP="00CF0E3D">
      <w:pPr>
        <w:pStyle w:val="ActHead5"/>
        <w:rPr>
          <w:color w:val="000000" w:themeColor="text1"/>
        </w:rPr>
      </w:pPr>
      <w:bookmarkStart w:id="474" w:name="_Toc77065010"/>
      <w:r>
        <w:t>7.6  U</w:t>
      </w:r>
      <w:r w:rsidRPr="00EA1E07">
        <w:t>se or disclosure of CDR data by accredited data recipients</w:t>
      </w:r>
      <w:r w:rsidRPr="005F3D40">
        <w:rPr>
          <w:color w:val="000000" w:themeColor="text1"/>
        </w:rPr>
        <w:t>,</w:t>
      </w:r>
      <w:r>
        <w:t xml:space="preserve"> outsourced service providers </w:t>
      </w:r>
      <w:r w:rsidRPr="005F3D40">
        <w:rPr>
          <w:color w:val="000000" w:themeColor="text1"/>
        </w:rPr>
        <w:t>and others</w:t>
      </w:r>
      <w:bookmarkEnd w:id="474"/>
    </w:p>
    <w:p w14:paraId="748B335F" w14:textId="77777777" w:rsidR="00CF0E3D" w:rsidRPr="005F3D40" w:rsidRDefault="00CF0E3D" w:rsidP="00CF0E3D">
      <w:pPr>
        <w:pStyle w:val="subsection"/>
        <w:rPr>
          <w:color w:val="000000" w:themeColor="text1"/>
        </w:rPr>
      </w:pPr>
      <w:r w:rsidRPr="005F3D40">
        <w:rPr>
          <w:color w:val="000000" w:themeColor="text1"/>
        </w:rPr>
        <w:tab/>
      </w:r>
      <w:r>
        <w:rPr>
          <w:color w:val="000000" w:themeColor="text1"/>
        </w:rPr>
        <w:t>(1)</w:t>
      </w:r>
      <w:r w:rsidRPr="005F3D40">
        <w:rPr>
          <w:color w:val="000000" w:themeColor="text1"/>
        </w:rPr>
        <w:tab/>
        <w:t xml:space="preserve">Subject to the Act and these rules, an accredited data recipient that has collected CDR data under a consumer data request under </w:t>
      </w:r>
      <w:r>
        <w:rPr>
          <w:color w:val="000000" w:themeColor="text1"/>
        </w:rPr>
        <w:t>Part 4</w:t>
      </w:r>
      <w:r w:rsidRPr="005F3D40">
        <w:rPr>
          <w:color w:val="000000" w:themeColor="text1"/>
        </w:rPr>
        <w:t xml:space="preserve"> made on behalf of a CDR consumer must not use or disclose it, or CDR data directly or indirectly derived from it, other than for a permitted use or disclosure</w:t>
      </w:r>
      <w:r w:rsidRPr="0023590D">
        <w:t xml:space="preserve"> (whether or not one that relates to direct marketing)</w:t>
      </w:r>
      <w:r w:rsidRPr="005F3D40">
        <w:rPr>
          <w:color w:val="000000" w:themeColor="text1"/>
        </w:rPr>
        <w:t>.</w:t>
      </w:r>
    </w:p>
    <w:p w14:paraId="1B3ECC7C" w14:textId="77777777" w:rsidR="00CF0E3D" w:rsidRDefault="00CF0E3D" w:rsidP="00CF0E3D">
      <w:pPr>
        <w:pStyle w:val="notetext"/>
      </w:pPr>
      <w:r w:rsidRPr="00E1300D">
        <w:t>Note:</w:t>
      </w:r>
      <w:r w:rsidRPr="00E1300D">
        <w:tab/>
        <w:t>This subrule is a civil penalty provision (see rule </w:t>
      </w:r>
      <w:r>
        <w:t>9.8</w:t>
      </w:r>
      <w:r w:rsidRPr="00E1300D">
        <w:t>).</w:t>
      </w:r>
    </w:p>
    <w:p w14:paraId="53376605" w14:textId="77777777" w:rsidR="00CF0E3D" w:rsidRPr="00EC7544" w:rsidRDefault="00CF0E3D" w:rsidP="00CF0E3D">
      <w:pPr>
        <w:pStyle w:val="subsection"/>
      </w:pPr>
      <w:bookmarkStart w:id="475" w:name="_Toc11771673"/>
      <w:r w:rsidRPr="00EC7544">
        <w:tab/>
        <w:t>(2)</w:t>
      </w:r>
      <w:r w:rsidRPr="00EC7544">
        <w:tab/>
        <w:t>For this rule:</w:t>
      </w:r>
    </w:p>
    <w:p w14:paraId="0F51B7C5" w14:textId="77777777" w:rsidR="00CF0E3D" w:rsidRPr="00EC7544" w:rsidRDefault="00CF0E3D" w:rsidP="00CF0E3D">
      <w:pPr>
        <w:pStyle w:val="paragraph"/>
      </w:pPr>
      <w:r w:rsidRPr="00EC7544">
        <w:tab/>
        <w:t>(a)</w:t>
      </w:r>
      <w:r w:rsidRPr="00EC7544">
        <w:tab/>
        <w:t>any use or disclosure of service data by the provider under a CDR outsourcing arrangement is taken to have been by the principal under the arrangement; and</w:t>
      </w:r>
    </w:p>
    <w:p w14:paraId="4D03ADE6" w14:textId="77777777" w:rsidR="00CF0E3D" w:rsidRPr="00EC7544" w:rsidRDefault="00CF0E3D" w:rsidP="00CF0E3D">
      <w:pPr>
        <w:pStyle w:val="paragraph"/>
      </w:pPr>
      <w:r w:rsidRPr="00EC7544">
        <w:tab/>
        <w:t>(b)</w:t>
      </w:r>
      <w:r w:rsidRPr="00EC7544">
        <w:tab/>
        <w:t>it is irrelevant whether the use or disclosure:</w:t>
      </w:r>
    </w:p>
    <w:p w14:paraId="21332646" w14:textId="77777777" w:rsidR="00CF0E3D" w:rsidRPr="00EC7544" w:rsidRDefault="00CF0E3D" w:rsidP="00CF0E3D">
      <w:pPr>
        <w:pStyle w:val="paragraphsub"/>
      </w:pPr>
      <w:r w:rsidRPr="00EC7544">
        <w:lastRenderedPageBreak/>
        <w:tab/>
        <w:t>(i)</w:t>
      </w:r>
      <w:r w:rsidRPr="00EC7544">
        <w:tab/>
        <w:t>is in accordance with the arrangement; or</w:t>
      </w:r>
    </w:p>
    <w:p w14:paraId="42501D7A" w14:textId="77777777" w:rsidR="00CF0E3D" w:rsidRPr="00EC7544" w:rsidRDefault="00CF0E3D" w:rsidP="00CF0E3D">
      <w:pPr>
        <w:pStyle w:val="paragraphsub"/>
      </w:pPr>
      <w:r w:rsidRPr="00EC7544">
        <w:tab/>
        <w:t>(ii)</w:t>
      </w:r>
      <w:r w:rsidRPr="00EC7544">
        <w:tab/>
        <w:t>is taken to have been by the provider by an application of this subrule to another CDR outsourcing arrangement in which it is the principal.</w:t>
      </w:r>
    </w:p>
    <w:p w14:paraId="1687A731" w14:textId="5A725056" w:rsidR="00CF0E3D" w:rsidRDefault="00CF0E3D" w:rsidP="00CF0E3D">
      <w:pPr>
        <w:pStyle w:val="notetext"/>
      </w:pPr>
      <w:r w:rsidRPr="00EC7544">
        <w:t>Note:</w:t>
      </w:r>
      <w:r w:rsidRPr="00EC7544">
        <w:tab/>
        <w:t>See rule 1.10 for the definition of “service data”</w:t>
      </w:r>
      <w:r w:rsidR="007E05DB" w:rsidRPr="00693A57">
        <w:rPr>
          <w:color w:val="0000FF"/>
        </w:rPr>
        <w:t xml:space="preserve"> in</w:t>
      </w:r>
      <w:r w:rsidR="007A3BC8" w:rsidRPr="00693A57">
        <w:rPr>
          <w:color w:val="0000FF"/>
        </w:rPr>
        <w:t xml:space="preserve"> relation to</w:t>
      </w:r>
      <w:r w:rsidR="007E05DB" w:rsidRPr="00693A57">
        <w:rPr>
          <w:color w:val="0000FF"/>
        </w:rPr>
        <w:t xml:space="preserve"> a CDR outsourcing arrangement</w:t>
      </w:r>
      <w:r w:rsidRPr="00EC7544">
        <w:t>.</w:t>
      </w:r>
    </w:p>
    <w:p w14:paraId="066F2FF7" w14:textId="1E1772AE" w:rsidR="00EE6EEA" w:rsidRPr="00693A57" w:rsidRDefault="00EE6EEA" w:rsidP="00EE6EEA">
      <w:pPr>
        <w:pStyle w:val="subsection"/>
        <w:rPr>
          <w:color w:val="0000FF"/>
        </w:rPr>
      </w:pPr>
      <w:r w:rsidRPr="00693A57">
        <w:rPr>
          <w:color w:val="0000FF"/>
        </w:rPr>
        <w:tab/>
        <w:t>(3)</w:t>
      </w:r>
      <w:r w:rsidRPr="00693A57">
        <w:rPr>
          <w:color w:val="0000FF"/>
        </w:rPr>
        <w:tab/>
        <w:t>For this rule any CDR data collected by an accredited person at the request of an affiliate is taken also to have been collected by the affiliate.</w:t>
      </w:r>
    </w:p>
    <w:p w14:paraId="58A36F20" w14:textId="3D4C4741" w:rsidR="007E05DB" w:rsidRPr="00693A57" w:rsidRDefault="00EE6EEA" w:rsidP="007E05DB">
      <w:pPr>
        <w:pStyle w:val="subsection"/>
        <w:rPr>
          <w:color w:val="0000FF"/>
        </w:rPr>
      </w:pPr>
      <w:r w:rsidRPr="00693A57">
        <w:rPr>
          <w:color w:val="0000FF"/>
        </w:rPr>
        <w:tab/>
        <w:t>(4</w:t>
      </w:r>
      <w:r w:rsidR="007E05DB" w:rsidRPr="00693A57">
        <w:rPr>
          <w:color w:val="0000FF"/>
        </w:rPr>
        <w:t>)</w:t>
      </w:r>
      <w:r w:rsidR="007E05DB" w:rsidRPr="00693A57">
        <w:rPr>
          <w:color w:val="0000FF"/>
        </w:rPr>
        <w:tab/>
        <w:t>For this rule:</w:t>
      </w:r>
    </w:p>
    <w:p w14:paraId="10EAF339" w14:textId="071C3F2F" w:rsidR="007E05DB" w:rsidRPr="00693A57" w:rsidRDefault="007E05DB" w:rsidP="007E05DB">
      <w:pPr>
        <w:pStyle w:val="paragraph"/>
        <w:rPr>
          <w:color w:val="0000FF"/>
        </w:rPr>
      </w:pPr>
      <w:r w:rsidRPr="00693A57">
        <w:rPr>
          <w:color w:val="0000FF"/>
        </w:rPr>
        <w:tab/>
        <w:t>(a)</w:t>
      </w:r>
      <w:r w:rsidRPr="00693A57">
        <w:rPr>
          <w:color w:val="0000FF"/>
        </w:rPr>
        <w:tab/>
        <w:t xml:space="preserve">any use or disclosure of service data by </w:t>
      </w:r>
      <w:r w:rsidR="00834A6D" w:rsidRPr="00693A57">
        <w:rPr>
          <w:color w:val="0000FF"/>
        </w:rPr>
        <w:t>a</w:t>
      </w:r>
      <w:r w:rsidRPr="00693A57">
        <w:rPr>
          <w:color w:val="0000FF"/>
        </w:rPr>
        <w:t xml:space="preserve"> </w:t>
      </w:r>
      <w:r w:rsidR="00182338" w:rsidRPr="00693A57">
        <w:rPr>
          <w:color w:val="0000FF"/>
        </w:rPr>
        <w:t>CDR representative</w:t>
      </w:r>
      <w:r w:rsidR="00834A6D" w:rsidRPr="00693A57">
        <w:rPr>
          <w:color w:val="0000FF"/>
        </w:rPr>
        <w:t xml:space="preserve"> </w:t>
      </w:r>
      <w:r w:rsidRPr="00693A57">
        <w:rPr>
          <w:color w:val="0000FF"/>
        </w:rPr>
        <w:t xml:space="preserve">is taken to have been by the </w:t>
      </w:r>
      <w:r w:rsidR="00EC1939" w:rsidRPr="00693A57">
        <w:rPr>
          <w:color w:val="0000FF"/>
        </w:rPr>
        <w:t xml:space="preserve">CDR </w:t>
      </w:r>
      <w:r w:rsidRPr="00693A57">
        <w:rPr>
          <w:color w:val="0000FF"/>
        </w:rPr>
        <w:t>principal; and</w:t>
      </w:r>
    </w:p>
    <w:p w14:paraId="34181FBB" w14:textId="4EF07E61" w:rsidR="007E05DB" w:rsidRPr="00693A57" w:rsidRDefault="007E05DB" w:rsidP="007E05DB">
      <w:pPr>
        <w:pStyle w:val="paragraph"/>
        <w:rPr>
          <w:color w:val="0000FF"/>
        </w:rPr>
      </w:pPr>
      <w:r w:rsidRPr="00693A57">
        <w:rPr>
          <w:color w:val="0000FF"/>
        </w:rPr>
        <w:tab/>
        <w:t>(b)</w:t>
      </w:r>
      <w:r w:rsidRPr="00693A57">
        <w:rPr>
          <w:color w:val="0000FF"/>
        </w:rPr>
        <w:tab/>
        <w:t xml:space="preserve">it is irrelevant whether the use or disclosure is in accordance with the </w:t>
      </w:r>
      <w:r w:rsidR="00182338" w:rsidRPr="00693A57">
        <w:rPr>
          <w:color w:val="0000FF"/>
        </w:rPr>
        <w:t>CDR representative</w:t>
      </w:r>
      <w:r w:rsidR="00834A6D" w:rsidRPr="00693A57">
        <w:rPr>
          <w:color w:val="0000FF"/>
        </w:rPr>
        <w:t xml:space="preserve"> </w:t>
      </w:r>
      <w:r w:rsidRPr="00693A57">
        <w:rPr>
          <w:color w:val="0000FF"/>
        </w:rPr>
        <w:t>arrangement.</w:t>
      </w:r>
    </w:p>
    <w:p w14:paraId="651F8E9B" w14:textId="0EAA74A6" w:rsidR="003B4F1E" w:rsidRPr="00693A57" w:rsidRDefault="007E05DB" w:rsidP="003B4F1E">
      <w:pPr>
        <w:pStyle w:val="notetext"/>
        <w:rPr>
          <w:color w:val="0000FF"/>
        </w:rPr>
      </w:pPr>
      <w:r w:rsidRPr="00693A57">
        <w:rPr>
          <w:color w:val="0000FF"/>
        </w:rPr>
        <w:t>Note:</w:t>
      </w:r>
      <w:r w:rsidRPr="00693A57">
        <w:rPr>
          <w:color w:val="0000FF"/>
        </w:rPr>
        <w:tab/>
        <w:t xml:space="preserve">See rule 1.10 for the definition of “service data” in </w:t>
      </w:r>
      <w:r w:rsidR="007A3BC8" w:rsidRPr="00693A57">
        <w:rPr>
          <w:color w:val="0000FF"/>
        </w:rPr>
        <w:t xml:space="preserve">relation to </w:t>
      </w:r>
      <w:r w:rsidRPr="00693A57">
        <w:rPr>
          <w:color w:val="0000FF"/>
        </w:rPr>
        <w:t xml:space="preserve">a </w:t>
      </w:r>
      <w:r w:rsidR="00182338" w:rsidRPr="00693A57">
        <w:rPr>
          <w:color w:val="0000FF"/>
        </w:rPr>
        <w:t>CDR representative</w:t>
      </w:r>
      <w:r w:rsidR="00EC1939" w:rsidRPr="00693A57">
        <w:rPr>
          <w:color w:val="0000FF"/>
        </w:rPr>
        <w:t xml:space="preserve"> arrangement.</w:t>
      </w:r>
    </w:p>
    <w:p w14:paraId="6D25BC6B" w14:textId="5B0473A8" w:rsidR="00CF0E3D" w:rsidRDefault="00CF0E3D" w:rsidP="00CF0E3D">
      <w:pPr>
        <w:pStyle w:val="ActHead5"/>
      </w:pPr>
      <w:bookmarkStart w:id="476" w:name="_Toc77065011"/>
      <w:r>
        <w:t>7.7</w:t>
      </w:r>
      <w:r w:rsidRPr="00EA1E07">
        <w:t xml:space="preserve">  Rule relating to privacy safeguard 6—use or disclosure of CDR data by accredited data recipients</w:t>
      </w:r>
      <w:bookmarkEnd w:id="475"/>
      <w:bookmarkEnd w:id="476"/>
    </w:p>
    <w:p w14:paraId="5BBA48DC" w14:textId="77777777" w:rsidR="00CF0E3D" w:rsidRPr="005F3D40" w:rsidRDefault="00CF0E3D" w:rsidP="00CF0E3D">
      <w:pPr>
        <w:pStyle w:val="notemargin"/>
        <w:rPr>
          <w:color w:val="000000" w:themeColor="text1"/>
        </w:rPr>
      </w:pPr>
      <w:r w:rsidRPr="005F3D40">
        <w:rPr>
          <w:color w:val="000000" w:themeColor="text1"/>
        </w:rPr>
        <w:t>Note:</w:t>
      </w:r>
      <w:r w:rsidRPr="005F3D40">
        <w:rPr>
          <w:color w:val="000000" w:themeColor="text1"/>
        </w:rPr>
        <w:tab/>
        <w:t>Paragraph 56EI(1)(b) of the Act provides that a</w:t>
      </w:r>
      <w:r w:rsidRPr="005F3D40">
        <w:rPr>
          <w:color w:val="000000" w:themeColor="text1"/>
          <w:szCs w:val="22"/>
        </w:rPr>
        <w:t xml:space="preserve">n accredited data recipient of CDR data must not use or disclose it unless the use or disclosure is otherwise required, or authorised, under the consumer data rules. </w:t>
      </w:r>
      <w:r w:rsidRPr="005F3D40">
        <w:rPr>
          <w:color w:val="000000" w:themeColor="text1"/>
        </w:rPr>
        <w:t>This rule provides an authorisation for that paragraph.</w:t>
      </w:r>
    </w:p>
    <w:p w14:paraId="148A00A8" w14:textId="77777777" w:rsidR="00CF0E3D" w:rsidRPr="005F3D40" w:rsidRDefault="00CF0E3D" w:rsidP="00CF0E3D">
      <w:pPr>
        <w:pStyle w:val="notemargin"/>
        <w:rPr>
          <w:color w:val="000000" w:themeColor="text1"/>
        </w:rPr>
      </w:pPr>
      <w:r w:rsidRPr="005F3D40">
        <w:rPr>
          <w:color w:val="000000" w:themeColor="text1"/>
        </w:rPr>
        <w:tab/>
        <w:t>Section 56EI of the Act applies only in relation to CDR data for which there are one or more CDR consumers: subsection 56EB(1) of the Act.</w:t>
      </w:r>
    </w:p>
    <w:p w14:paraId="0D47F39E" w14:textId="77777777" w:rsidR="00CF0E3D" w:rsidRDefault="00CF0E3D" w:rsidP="00CF0E3D">
      <w:pPr>
        <w:pStyle w:val="subsection"/>
      </w:pPr>
      <w:r>
        <w:tab/>
      </w:r>
      <w:r>
        <w:tab/>
      </w:r>
      <w:r w:rsidRPr="000F7E54">
        <w:t>For paragraph 56EI(1)(b) of the Act, the use or disclosure of CDR data for which there is a CDR consumer by an accredited data recipient of the CDR data is authorised under these rules if it is a</w:t>
      </w:r>
      <w:r>
        <w:t xml:space="preserve"> permitted</w:t>
      </w:r>
      <w:r w:rsidRPr="000F7E54">
        <w:t xml:space="preserve"> use or disclosure</w:t>
      </w:r>
      <w:r w:rsidRPr="0023590D">
        <w:t>, other than one t</w:t>
      </w:r>
      <w:r>
        <w:t>hat relates to direct marketing</w:t>
      </w:r>
      <w:r w:rsidRPr="000F7E54">
        <w:t>.</w:t>
      </w:r>
    </w:p>
    <w:p w14:paraId="1C59ABEC" w14:textId="4E2974EE" w:rsidR="00CF0E3D" w:rsidRPr="0023590D" w:rsidRDefault="00CF0E3D" w:rsidP="00CF0E3D">
      <w:pPr>
        <w:pStyle w:val="ActHead5"/>
      </w:pPr>
      <w:bookmarkStart w:id="477" w:name="_Toc77065012"/>
      <w:r>
        <w:t>7.8</w:t>
      </w:r>
      <w:r w:rsidRPr="0023590D">
        <w:t xml:space="preserve">  Rule relating to privacy safeguard 7—use or disclosure of CDR data for direct marketing by accredited data recipients</w:t>
      </w:r>
      <w:bookmarkEnd w:id="477"/>
    </w:p>
    <w:p w14:paraId="37254710" w14:textId="77777777" w:rsidR="00CF0E3D" w:rsidRPr="0023590D" w:rsidRDefault="00CF0E3D" w:rsidP="00CF0E3D">
      <w:pPr>
        <w:pStyle w:val="notemargin"/>
      </w:pPr>
      <w:r w:rsidRPr="0023590D">
        <w:t>Note:</w:t>
      </w:r>
      <w:r w:rsidRPr="0023590D">
        <w:tab/>
        <w:t>Paragraph 56EJ(1)(b) of the Act provides that a</w:t>
      </w:r>
      <w:r w:rsidRPr="0023590D">
        <w:rPr>
          <w:szCs w:val="22"/>
        </w:rPr>
        <w:t xml:space="preserve">n accredited data recipient of CDR data must not use or disclose it for direct marketing unless the use or disclosure is authorised under the consumer data rules in accordance with a valid consent of a CDR consumer for the CDR data. </w:t>
      </w:r>
      <w:r w:rsidRPr="0023590D">
        <w:t>This rule provides an authorisation for that paragraph.</w:t>
      </w:r>
    </w:p>
    <w:p w14:paraId="2C2411D9" w14:textId="77777777" w:rsidR="00CF0E3D" w:rsidRPr="0023590D" w:rsidRDefault="00CF0E3D" w:rsidP="00CF0E3D">
      <w:pPr>
        <w:pStyle w:val="notemargin"/>
      </w:pPr>
      <w:r w:rsidRPr="0023590D">
        <w:tab/>
        <w:t>Section 56EJ of the Act applies only in relation to CDR data for which there are one or more CDR consumers: subsection 56EB(1) of the Act.</w:t>
      </w:r>
    </w:p>
    <w:p w14:paraId="7ECD6DEC" w14:textId="77777777" w:rsidR="00CF0E3D" w:rsidRPr="0023590D" w:rsidRDefault="00CF0E3D" w:rsidP="00CF0E3D">
      <w:pPr>
        <w:pStyle w:val="subsection"/>
      </w:pPr>
      <w:r w:rsidRPr="0023590D">
        <w:tab/>
      </w:r>
      <w:r w:rsidRPr="0023590D">
        <w:tab/>
        <w:t>For paragraph 56EJ(1)(b) of the Act, the use or disclosure of CDR data for which there is a CDR consumer by an accredited data recipient of the CDR data for direct marketing is authorised under these rules if it is a permitted use or disclosure that relates to direct marketing.</w:t>
      </w:r>
    </w:p>
    <w:p w14:paraId="29FEEA80" w14:textId="2C6CF129" w:rsidR="00CF0E3D" w:rsidRDefault="00CF0E3D" w:rsidP="00CF0E3D">
      <w:pPr>
        <w:pStyle w:val="ActHead5"/>
      </w:pPr>
      <w:bookmarkStart w:id="478" w:name="_Toc11771674"/>
      <w:bookmarkStart w:id="479" w:name="_Toc77065013"/>
      <w:r>
        <w:lastRenderedPageBreak/>
        <w:t>7.9  Rule relating to privacy safeguard 10—notifying of the disclosure of CDR data</w:t>
      </w:r>
      <w:bookmarkEnd w:id="478"/>
      <w:bookmarkEnd w:id="479"/>
    </w:p>
    <w:p w14:paraId="3376FC67" w14:textId="77777777" w:rsidR="00CF0E3D" w:rsidRDefault="00CF0E3D" w:rsidP="00CF0E3D">
      <w:pPr>
        <w:pStyle w:val="subsection"/>
      </w:pPr>
      <w:r>
        <w:tab/>
        <w:t>(1)</w:t>
      </w:r>
      <w:r>
        <w:tab/>
        <w:t>For subsection 56EM(1) of the Act, a data holder that discloses CDR data to an accredited person as a result of</w:t>
      </w:r>
      <w:r w:rsidRPr="0020066B">
        <w:t xml:space="preserve"> </w:t>
      </w:r>
      <w:r>
        <w:t>a consumer data request must</w:t>
      </w:r>
      <w:r w:rsidRPr="00B1412F">
        <w:t>, as soon as practicable,</w:t>
      </w:r>
      <w:r>
        <w:t xml:space="preserve"> update each consumer dashboard that relates to the request to indicate:</w:t>
      </w:r>
    </w:p>
    <w:p w14:paraId="76BDD554" w14:textId="77777777" w:rsidR="00CF0E3D" w:rsidRDefault="00CF0E3D" w:rsidP="00CF0E3D">
      <w:pPr>
        <w:pStyle w:val="paragraph"/>
      </w:pPr>
      <w:r>
        <w:tab/>
        <w:t>(a)</w:t>
      </w:r>
      <w:r>
        <w:tab/>
        <w:t xml:space="preserve">what CDR data </w:t>
      </w:r>
      <w:r w:rsidRPr="00B3173B">
        <w:t>was</w:t>
      </w:r>
      <w:r>
        <w:t xml:space="preserve"> disclosed; and</w:t>
      </w:r>
    </w:p>
    <w:p w14:paraId="6BADF684" w14:textId="77777777" w:rsidR="00CF0E3D" w:rsidRDefault="00CF0E3D" w:rsidP="00CF0E3D">
      <w:pPr>
        <w:pStyle w:val="paragraph"/>
      </w:pPr>
      <w:r>
        <w:tab/>
        <w:t>(b)</w:t>
      </w:r>
      <w:r>
        <w:tab/>
      </w:r>
      <w:r w:rsidRPr="000C3240">
        <w:rPr>
          <w:color w:val="000000" w:themeColor="text1"/>
        </w:rPr>
        <w:t>when the CDR data was disclosed</w:t>
      </w:r>
      <w:r>
        <w:t>; and</w:t>
      </w:r>
    </w:p>
    <w:p w14:paraId="0BD721AA" w14:textId="77777777" w:rsidR="00CF0E3D" w:rsidRDefault="00CF0E3D" w:rsidP="00CF0E3D">
      <w:pPr>
        <w:pStyle w:val="paragraph"/>
      </w:pPr>
      <w:r>
        <w:tab/>
        <w:t>(c)</w:t>
      </w:r>
      <w:r>
        <w:tab/>
        <w:t>the accredited data recipient, identified in accordance with any entry on the Register of Accredited Persons specified as being for that purpose.</w:t>
      </w:r>
    </w:p>
    <w:p w14:paraId="57332609" w14:textId="77777777" w:rsidR="00CF0E3D" w:rsidRDefault="00CF0E3D" w:rsidP="00CF0E3D">
      <w:pPr>
        <w:pStyle w:val="notetext"/>
      </w:pPr>
      <w:r w:rsidRPr="007E69B9">
        <w:t>Note 1:</w:t>
      </w:r>
      <w:r w:rsidRPr="007E69B9">
        <w:tab/>
        <w:t xml:space="preserve">For correction requests, see section 56EP of the Act (privacy safeguard 13) and </w:t>
      </w:r>
      <w:r>
        <w:t>Subdivision 7.2.5 of these rules.</w:t>
      </w:r>
    </w:p>
    <w:p w14:paraId="15622E5D" w14:textId="55928B64" w:rsidR="00F976E0" w:rsidRPr="00693A57" w:rsidRDefault="00F976E0" w:rsidP="00F976E0">
      <w:pPr>
        <w:pStyle w:val="notetext"/>
        <w:rPr>
          <w:color w:val="0000FF"/>
        </w:rPr>
      </w:pPr>
      <w:r w:rsidRPr="00693A57">
        <w:rPr>
          <w:color w:val="0000FF"/>
        </w:rPr>
        <w:t>Note 2:</w:t>
      </w:r>
      <w:r w:rsidRPr="00693A57">
        <w:rPr>
          <w:color w:val="0000FF"/>
        </w:rPr>
        <w:tab/>
        <w:t>If a consumer data request is made that relates to a joint account, the other joint account holder’s consumer dashboard may not be required to be similarly updated. See clause 4A.15.</w:t>
      </w:r>
    </w:p>
    <w:p w14:paraId="604718B6" w14:textId="77777777" w:rsidR="00CF0E3D" w:rsidRPr="00693A57" w:rsidRDefault="00CF0E3D" w:rsidP="00CF0E3D">
      <w:pPr>
        <w:pStyle w:val="notetext"/>
        <w:rPr>
          <w:strike/>
          <w:color w:val="0000FF"/>
        </w:rPr>
      </w:pPr>
      <w:r w:rsidRPr="00693A57">
        <w:rPr>
          <w:strike/>
          <w:color w:val="0000FF"/>
        </w:rPr>
        <w:t>Note 2:</w:t>
      </w:r>
      <w:r w:rsidRPr="00693A57">
        <w:rPr>
          <w:strike/>
          <w:color w:val="0000FF"/>
        </w:rPr>
        <w:tab/>
        <w:t>For the banking sector, if a consumer data request is made that relates to a joint account, the other joint account holder’s consumer dashboard may not be required to be similarly updated. See clause 4.6 of Schedule 3.</w:t>
      </w:r>
    </w:p>
    <w:p w14:paraId="228BD81C" w14:textId="3C58D05E" w:rsidR="00CF0E3D" w:rsidRPr="006F4A42" w:rsidRDefault="00CF0E3D" w:rsidP="00F976E0">
      <w:pPr>
        <w:pStyle w:val="notetext"/>
        <w:tabs>
          <w:tab w:val="left" w:pos="720"/>
          <w:tab w:val="left" w:pos="1440"/>
          <w:tab w:val="left" w:pos="2160"/>
          <w:tab w:val="left" w:pos="2880"/>
          <w:tab w:val="left" w:pos="3600"/>
          <w:tab w:val="left" w:pos="4184"/>
        </w:tabs>
      </w:pPr>
      <w:r w:rsidRPr="006F4A42">
        <w:t xml:space="preserve">Note 3: </w:t>
      </w:r>
      <w:r w:rsidRPr="006F4A42">
        <w:tab/>
        <w:t>See</w:t>
      </w:r>
      <w:r>
        <w:t xml:space="preserve"> </w:t>
      </w:r>
      <w:r w:rsidRPr="006F4A42">
        <w:t>paragraph </w:t>
      </w:r>
      <w:r>
        <w:t>1.15(3)(f)</w:t>
      </w:r>
      <w:r w:rsidRPr="006F4A42">
        <w:t>.</w:t>
      </w:r>
      <w:r w:rsidR="00F976E0">
        <w:tab/>
      </w:r>
    </w:p>
    <w:p w14:paraId="69EE636A" w14:textId="77777777" w:rsidR="00CF0E3D" w:rsidRDefault="00CF0E3D" w:rsidP="00CF0E3D">
      <w:pPr>
        <w:pStyle w:val="notetext"/>
      </w:pPr>
      <w:bookmarkStart w:id="480" w:name="_Toc11771675"/>
      <w:r w:rsidRPr="00EC7544">
        <w:t>Note 4:</w:t>
      </w:r>
      <w:r w:rsidRPr="00EC7544">
        <w:tab/>
        <w:t>See rule 1.16 for how this rule applies in the case of a CDR outsourcing arrangement in which a provider collects CDR data on behalf of a principal.</w:t>
      </w:r>
    </w:p>
    <w:p w14:paraId="7968D104" w14:textId="77777777" w:rsidR="00CF0E3D" w:rsidRPr="00CE5ECF" w:rsidRDefault="00CF0E3D" w:rsidP="00CF0E3D">
      <w:pPr>
        <w:pStyle w:val="subsection"/>
      </w:pPr>
      <w:r w:rsidRPr="00CE5ECF">
        <w:tab/>
        <w:t>(2)</w:t>
      </w:r>
      <w:r w:rsidRPr="00CE5ECF">
        <w:tab/>
        <w:t>For subsection 56EM(2) of the Act, an accredited data recipient that discloses CDR data to an accredited person must, as soon as practicable, update each consumer dashboard that relates to the request to indicate:</w:t>
      </w:r>
    </w:p>
    <w:p w14:paraId="45277BCA" w14:textId="77777777" w:rsidR="00CF0E3D" w:rsidRPr="00CE5ECF" w:rsidRDefault="00CF0E3D" w:rsidP="00CF0E3D">
      <w:pPr>
        <w:pStyle w:val="paragraph"/>
      </w:pPr>
      <w:r w:rsidRPr="00CE5ECF">
        <w:tab/>
        <w:t>(a)</w:t>
      </w:r>
      <w:r w:rsidRPr="00CE5ECF">
        <w:tab/>
        <w:t>what CDR data was disclosed; and</w:t>
      </w:r>
    </w:p>
    <w:p w14:paraId="16C4DF9C" w14:textId="77777777" w:rsidR="00CF0E3D" w:rsidRPr="00CE5ECF" w:rsidRDefault="00CF0E3D" w:rsidP="00CF0E3D">
      <w:pPr>
        <w:pStyle w:val="paragraph"/>
      </w:pPr>
      <w:r w:rsidRPr="00CE5ECF">
        <w:tab/>
        <w:t>(b)</w:t>
      </w:r>
      <w:r w:rsidRPr="00CE5ECF">
        <w:tab/>
        <w:t>when the CDR data was disclosed; and</w:t>
      </w:r>
    </w:p>
    <w:p w14:paraId="1DD0EC65" w14:textId="49A381A6" w:rsidR="00F67401" w:rsidRDefault="00CF0E3D" w:rsidP="00CF0E3D">
      <w:pPr>
        <w:pStyle w:val="paragraph"/>
      </w:pPr>
      <w:r w:rsidRPr="00CE5ECF">
        <w:tab/>
        <w:t>(c)</w:t>
      </w:r>
      <w:r w:rsidRPr="00CE5ECF">
        <w:tab/>
        <w:t>the accredited person, identified in accordance with any entry on the Register of Accredited Persons specified as being for that purpose</w:t>
      </w:r>
      <w:r w:rsidRPr="00450982">
        <w:t>.</w:t>
      </w:r>
    </w:p>
    <w:p w14:paraId="354F33D6" w14:textId="5B421B0B" w:rsidR="000E44B7" w:rsidRPr="00693A57" w:rsidRDefault="000E44B7" w:rsidP="000E44B7">
      <w:pPr>
        <w:pStyle w:val="subsection"/>
        <w:rPr>
          <w:color w:val="0000FF"/>
        </w:rPr>
      </w:pPr>
      <w:r w:rsidRPr="00693A57">
        <w:rPr>
          <w:color w:val="0000FF"/>
        </w:rPr>
        <w:tab/>
        <w:t>(3)</w:t>
      </w:r>
      <w:r w:rsidRPr="00693A57">
        <w:rPr>
          <w:color w:val="0000FF"/>
        </w:rPr>
        <w:tab/>
        <w:t>For subsection 56EM(2) of the Act, an accredited data recipient that discloses CDR data to a</w:t>
      </w:r>
      <w:r w:rsidR="00C31386" w:rsidRPr="00693A57">
        <w:rPr>
          <w:color w:val="0000FF"/>
        </w:rPr>
        <w:t xml:space="preserve"> trust</w:t>
      </w:r>
      <w:r w:rsidRPr="00693A57">
        <w:rPr>
          <w:color w:val="0000FF"/>
        </w:rPr>
        <w:t>ed adviser must, as soon as practicable, update each consumer dashboard that relates to the request to indicate:</w:t>
      </w:r>
    </w:p>
    <w:p w14:paraId="3A845A4E" w14:textId="77777777" w:rsidR="000E44B7" w:rsidRPr="00693A57" w:rsidRDefault="000E44B7" w:rsidP="000E44B7">
      <w:pPr>
        <w:pStyle w:val="paragraph"/>
        <w:rPr>
          <w:color w:val="0000FF"/>
        </w:rPr>
      </w:pPr>
      <w:r w:rsidRPr="00693A57">
        <w:rPr>
          <w:color w:val="0000FF"/>
        </w:rPr>
        <w:tab/>
        <w:t>(a)</w:t>
      </w:r>
      <w:r w:rsidRPr="00693A57">
        <w:rPr>
          <w:color w:val="0000FF"/>
        </w:rPr>
        <w:tab/>
        <w:t>what CDR data was disclosed; and</w:t>
      </w:r>
    </w:p>
    <w:p w14:paraId="028939B5" w14:textId="77777777" w:rsidR="000E44B7" w:rsidRPr="00693A57" w:rsidRDefault="000E44B7" w:rsidP="000E44B7">
      <w:pPr>
        <w:pStyle w:val="paragraph"/>
        <w:rPr>
          <w:color w:val="0000FF"/>
        </w:rPr>
      </w:pPr>
      <w:r w:rsidRPr="00693A57">
        <w:rPr>
          <w:color w:val="0000FF"/>
        </w:rPr>
        <w:tab/>
        <w:t>(b)</w:t>
      </w:r>
      <w:r w:rsidRPr="00693A57">
        <w:rPr>
          <w:color w:val="0000FF"/>
        </w:rPr>
        <w:tab/>
        <w:t>when the CDR data was disclosed; and</w:t>
      </w:r>
    </w:p>
    <w:p w14:paraId="65778049" w14:textId="63C30820" w:rsidR="000E44B7" w:rsidRPr="00693A57" w:rsidRDefault="00C31386" w:rsidP="000E44B7">
      <w:pPr>
        <w:pStyle w:val="paragraph"/>
        <w:rPr>
          <w:color w:val="0000FF"/>
        </w:rPr>
      </w:pPr>
      <w:r w:rsidRPr="00693A57">
        <w:rPr>
          <w:color w:val="0000FF"/>
        </w:rPr>
        <w:tab/>
        <w:t>(c)</w:t>
      </w:r>
      <w:r w:rsidRPr="00693A57">
        <w:rPr>
          <w:color w:val="0000FF"/>
        </w:rPr>
        <w:tab/>
        <w:t>the trusted advise</w:t>
      </w:r>
      <w:r w:rsidR="000E44B7" w:rsidRPr="00693A57">
        <w:rPr>
          <w:color w:val="0000FF"/>
        </w:rPr>
        <w:t>r.</w:t>
      </w:r>
    </w:p>
    <w:p w14:paraId="797C35DB" w14:textId="023AE354" w:rsidR="00244AF6" w:rsidRPr="00693A57" w:rsidRDefault="00244AF6" w:rsidP="00244AF6">
      <w:pPr>
        <w:pStyle w:val="subsection"/>
        <w:rPr>
          <w:color w:val="0000FF"/>
        </w:rPr>
      </w:pPr>
      <w:r w:rsidRPr="00693A57">
        <w:rPr>
          <w:color w:val="0000FF"/>
        </w:rPr>
        <w:tab/>
        <w:t>(4)</w:t>
      </w:r>
      <w:r w:rsidRPr="00693A57">
        <w:rPr>
          <w:color w:val="0000FF"/>
        </w:rPr>
        <w:tab/>
        <w:t>For subsection 56EM(2) of the Act, an accredited data recipient that discloses a CDR insight must, as soon as practicable, update each consumer dashboard that relates to the request to indicate:</w:t>
      </w:r>
    </w:p>
    <w:p w14:paraId="2D2B1203" w14:textId="77777777" w:rsidR="00244AF6" w:rsidRPr="00693A57" w:rsidRDefault="00244AF6" w:rsidP="00244AF6">
      <w:pPr>
        <w:pStyle w:val="paragraph"/>
        <w:rPr>
          <w:color w:val="0000FF"/>
        </w:rPr>
      </w:pPr>
      <w:r w:rsidRPr="00693A57">
        <w:rPr>
          <w:color w:val="0000FF"/>
        </w:rPr>
        <w:tab/>
        <w:t>(a)</w:t>
      </w:r>
      <w:r w:rsidRPr="00693A57">
        <w:rPr>
          <w:color w:val="0000FF"/>
        </w:rPr>
        <w:tab/>
        <w:t>what CDR data was disclosed; and</w:t>
      </w:r>
    </w:p>
    <w:p w14:paraId="685ED5E1" w14:textId="77777777" w:rsidR="00244AF6" w:rsidRPr="00693A57" w:rsidRDefault="00244AF6" w:rsidP="00244AF6">
      <w:pPr>
        <w:pStyle w:val="paragraph"/>
        <w:rPr>
          <w:color w:val="0000FF"/>
        </w:rPr>
      </w:pPr>
      <w:r w:rsidRPr="00693A57">
        <w:rPr>
          <w:color w:val="0000FF"/>
        </w:rPr>
        <w:tab/>
        <w:t>(b)</w:t>
      </w:r>
      <w:r w:rsidRPr="00693A57">
        <w:rPr>
          <w:color w:val="0000FF"/>
        </w:rPr>
        <w:tab/>
        <w:t>when the CDR data was disclosed; and</w:t>
      </w:r>
    </w:p>
    <w:p w14:paraId="193FFBF2" w14:textId="6D79AE20" w:rsidR="00244AF6" w:rsidRPr="00693A57" w:rsidRDefault="00244AF6" w:rsidP="00244AF6">
      <w:pPr>
        <w:pStyle w:val="paragraph"/>
        <w:rPr>
          <w:color w:val="0000FF"/>
        </w:rPr>
      </w:pPr>
      <w:r w:rsidRPr="00693A57">
        <w:rPr>
          <w:color w:val="0000FF"/>
        </w:rPr>
        <w:tab/>
        <w:t>(c)</w:t>
      </w:r>
      <w:r w:rsidRPr="00693A57">
        <w:rPr>
          <w:color w:val="0000FF"/>
        </w:rPr>
        <w:tab/>
        <w:t>the person to whom it was disclosed.</w:t>
      </w:r>
    </w:p>
    <w:p w14:paraId="562E57ED" w14:textId="729DCB04" w:rsidR="006269DD" w:rsidRPr="00693A57" w:rsidRDefault="006269DD" w:rsidP="006269DD">
      <w:pPr>
        <w:pStyle w:val="subsection"/>
        <w:rPr>
          <w:color w:val="0000FF"/>
        </w:rPr>
      </w:pPr>
      <w:r w:rsidRPr="00693A57">
        <w:rPr>
          <w:color w:val="0000FF"/>
        </w:rPr>
        <w:lastRenderedPageBreak/>
        <w:tab/>
        <w:t>(5)</w:t>
      </w:r>
      <w:r w:rsidRPr="00693A57">
        <w:rPr>
          <w:color w:val="0000FF"/>
        </w:rPr>
        <w:tab/>
        <w:t>For this rule, where an accredited data recipient is a CDR principal, a disclosure</w:t>
      </w:r>
      <w:r w:rsidR="00333BC6" w:rsidRPr="00693A57">
        <w:rPr>
          <w:color w:val="0000FF"/>
        </w:rPr>
        <w:t xml:space="preserve"> </w:t>
      </w:r>
      <w:r w:rsidRPr="00693A57">
        <w:rPr>
          <w:color w:val="0000FF"/>
        </w:rPr>
        <w:t xml:space="preserve">of </w:t>
      </w:r>
      <w:r w:rsidR="00333BC6" w:rsidRPr="00693A57">
        <w:rPr>
          <w:color w:val="0000FF"/>
        </w:rPr>
        <w:t xml:space="preserve">service </w:t>
      </w:r>
      <w:r w:rsidRPr="00693A57">
        <w:rPr>
          <w:color w:val="0000FF"/>
        </w:rPr>
        <w:t xml:space="preserve">data by a </w:t>
      </w:r>
      <w:r w:rsidR="00182338" w:rsidRPr="00693A57">
        <w:rPr>
          <w:color w:val="0000FF"/>
        </w:rPr>
        <w:t>CDR representative</w:t>
      </w:r>
      <w:r w:rsidRPr="00693A57">
        <w:rPr>
          <w:color w:val="0000FF"/>
        </w:rPr>
        <w:t xml:space="preserve"> is taken to be a disclosure by the CDR principal.</w:t>
      </w:r>
    </w:p>
    <w:p w14:paraId="6BF18342" w14:textId="764FE239" w:rsidR="00CF0E3D" w:rsidRDefault="00CF0E3D" w:rsidP="00CF0E3D">
      <w:pPr>
        <w:pStyle w:val="ActHead4"/>
        <w:pageBreakBefore/>
      </w:pPr>
      <w:bookmarkStart w:id="481" w:name="_Toc77065014"/>
      <w:r>
        <w:lastRenderedPageBreak/>
        <w:t>Subdivision 7.2.4—Rules relating to integrity and security of CDR data</w:t>
      </w:r>
      <w:bookmarkEnd w:id="480"/>
      <w:bookmarkEnd w:id="481"/>
    </w:p>
    <w:p w14:paraId="2B4579C2" w14:textId="0F9E2792" w:rsidR="00CF0E3D" w:rsidRDefault="00CF0E3D" w:rsidP="00CF0E3D">
      <w:pPr>
        <w:pStyle w:val="ActHead5"/>
      </w:pPr>
      <w:bookmarkStart w:id="482" w:name="_Toc11771676"/>
      <w:bookmarkStart w:id="483" w:name="_Toc77065015"/>
      <w:r>
        <w:t>7.10</w:t>
      </w:r>
      <w:r w:rsidRPr="00EB4377">
        <w:t xml:space="preserve">  Rule relating to privacy safeguard 11—quality of CDR data</w:t>
      </w:r>
      <w:bookmarkEnd w:id="482"/>
      <w:bookmarkEnd w:id="483"/>
    </w:p>
    <w:p w14:paraId="235CC7D8" w14:textId="77777777" w:rsidR="00CF0E3D" w:rsidRPr="00EB4377" w:rsidRDefault="00CF0E3D" w:rsidP="00CF0E3D">
      <w:pPr>
        <w:pStyle w:val="subsection"/>
        <w:rPr>
          <w:color w:val="000000" w:themeColor="text1"/>
        </w:rPr>
      </w:pPr>
      <w:r w:rsidRPr="00EB4377">
        <w:tab/>
      </w:r>
      <w:r>
        <w:t>(1)</w:t>
      </w:r>
      <w:r w:rsidRPr="00EB4377">
        <w:tab/>
      </w:r>
      <w:r>
        <w:t xml:space="preserve">If a CDR participant makes a </w:t>
      </w:r>
      <w:r w:rsidRPr="00EB4377">
        <w:rPr>
          <w:color w:val="000000" w:themeColor="text1"/>
        </w:rPr>
        <w:t>disclosure of a kind referred to in paragraphs 56EN(3)(a) and (b)</w:t>
      </w:r>
      <w:r w:rsidRPr="00EB4377">
        <w:t xml:space="preserve"> of the Act</w:t>
      </w:r>
      <w:r>
        <w:t xml:space="preserve"> to an accredited person</w:t>
      </w:r>
      <w:r w:rsidRPr="00EB4377">
        <w:t xml:space="preserve">, the </w:t>
      </w:r>
      <w:r>
        <w:t>CDR participant</w:t>
      </w:r>
      <w:r w:rsidRPr="00EB4377">
        <w:t xml:space="preserve"> must </w:t>
      </w:r>
      <w:r w:rsidRPr="00EB4377">
        <w:rPr>
          <w:color w:val="000000" w:themeColor="text1"/>
        </w:rPr>
        <w:t>provide the CDR consumer</w:t>
      </w:r>
      <w:r>
        <w:rPr>
          <w:color w:val="000000" w:themeColor="text1"/>
        </w:rPr>
        <w:t xml:space="preserve"> on whose behalf the disclosure was made</w:t>
      </w:r>
      <w:r w:rsidRPr="00EB4377">
        <w:rPr>
          <w:color w:val="000000" w:themeColor="text1"/>
        </w:rPr>
        <w:t>, by electronic means, with a written notice that:</w:t>
      </w:r>
    </w:p>
    <w:p w14:paraId="396B5E12"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(a)</w:t>
      </w:r>
      <w:r w:rsidRPr="00EB4377">
        <w:rPr>
          <w:color w:val="000000" w:themeColor="text1"/>
        </w:rPr>
        <w:tab/>
      </w:r>
      <w:r>
        <w:rPr>
          <w:color w:val="000000" w:themeColor="text1"/>
        </w:rPr>
        <w:t xml:space="preserve">identifies </w:t>
      </w:r>
      <w:r w:rsidRPr="00EB4377">
        <w:rPr>
          <w:color w:val="000000" w:themeColor="text1"/>
        </w:rPr>
        <w:t xml:space="preserve">the </w:t>
      </w:r>
      <w:r>
        <w:rPr>
          <w:color w:val="000000" w:themeColor="text1"/>
        </w:rPr>
        <w:t xml:space="preserve">accredited person </w:t>
      </w:r>
      <w:r w:rsidRPr="00EB4377">
        <w:rPr>
          <w:color w:val="000000" w:themeColor="text1"/>
        </w:rPr>
        <w:t xml:space="preserve">to whom the </w:t>
      </w:r>
      <w:r>
        <w:rPr>
          <w:color w:val="000000" w:themeColor="text1"/>
        </w:rPr>
        <w:t xml:space="preserve">CDR </w:t>
      </w:r>
      <w:r w:rsidRPr="00EB4377">
        <w:rPr>
          <w:color w:val="000000" w:themeColor="text1"/>
        </w:rPr>
        <w:t>data was disclosed;</w:t>
      </w:r>
      <w:r>
        <w:rPr>
          <w:color w:val="000000" w:themeColor="text1"/>
        </w:rPr>
        <w:t xml:space="preserve"> and</w:t>
      </w:r>
    </w:p>
    <w:p w14:paraId="67049FA5"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(b)</w:t>
      </w:r>
      <w:r w:rsidRPr="00EB4377">
        <w:rPr>
          <w:color w:val="000000" w:themeColor="text1"/>
        </w:rPr>
        <w:tab/>
      </w:r>
      <w:r>
        <w:rPr>
          <w:color w:val="000000" w:themeColor="text1"/>
        </w:rPr>
        <w:t xml:space="preserve">states </w:t>
      </w:r>
      <w:r w:rsidRPr="00EB4377">
        <w:rPr>
          <w:color w:val="000000" w:themeColor="text1"/>
        </w:rPr>
        <w:t>the date of the disclosure;</w:t>
      </w:r>
      <w:r>
        <w:rPr>
          <w:color w:val="000000" w:themeColor="text1"/>
        </w:rPr>
        <w:t xml:space="preserve"> and</w:t>
      </w:r>
    </w:p>
    <w:p w14:paraId="376D653E"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(c)</w:t>
      </w:r>
      <w:r w:rsidRPr="00EB4377">
        <w:rPr>
          <w:color w:val="000000" w:themeColor="text1"/>
        </w:rPr>
        <w:tab/>
      </w:r>
      <w:r>
        <w:rPr>
          <w:color w:val="000000" w:themeColor="text1"/>
        </w:rPr>
        <w:t xml:space="preserve">identifies the CDR </w:t>
      </w:r>
      <w:r w:rsidRPr="00EB4377">
        <w:rPr>
          <w:color w:val="000000" w:themeColor="text1"/>
        </w:rPr>
        <w:t>data that was incorrect in the sense referred to in paragraph 56EN(3)(b) of the Act; and</w:t>
      </w:r>
    </w:p>
    <w:p w14:paraId="7AD1CF5D"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(d)</w:t>
      </w:r>
      <w:r w:rsidRPr="00EB4377">
        <w:rPr>
          <w:color w:val="000000" w:themeColor="text1"/>
        </w:rPr>
        <w:tab/>
      </w:r>
      <w:r>
        <w:rPr>
          <w:color w:val="000000" w:themeColor="text1"/>
        </w:rPr>
        <w:t>states that</w:t>
      </w:r>
      <w:r w:rsidRPr="00EB4377">
        <w:rPr>
          <w:color w:val="000000" w:themeColor="text1"/>
        </w:rPr>
        <w:t>:</w:t>
      </w:r>
    </w:p>
    <w:p w14:paraId="5E0D2CCD" w14:textId="77777777" w:rsidR="00CF0E3D" w:rsidRPr="00EB4377" w:rsidRDefault="00CF0E3D" w:rsidP="00CF0E3D">
      <w:pPr>
        <w:pStyle w:val="paragraphsub"/>
        <w:rPr>
          <w:color w:val="000000" w:themeColor="text1"/>
        </w:rPr>
      </w:pPr>
      <w:r w:rsidRPr="00EB4377">
        <w:rPr>
          <w:color w:val="000000" w:themeColor="text1"/>
        </w:rPr>
        <w:tab/>
      </w:r>
      <w:r>
        <w:rPr>
          <w:color w:val="000000" w:themeColor="text1"/>
        </w:rPr>
        <w:t>(i)</w:t>
      </w:r>
      <w:r w:rsidRPr="00EB4377">
        <w:rPr>
          <w:color w:val="000000" w:themeColor="text1"/>
        </w:rPr>
        <w:tab/>
        <w:t xml:space="preserve">the CDR consumer can request the </w:t>
      </w:r>
      <w:r>
        <w:rPr>
          <w:color w:val="000000" w:themeColor="text1"/>
        </w:rPr>
        <w:t xml:space="preserve">CDR participant </w:t>
      </w:r>
      <w:r w:rsidRPr="00EB4377">
        <w:rPr>
          <w:color w:val="000000" w:themeColor="text1"/>
        </w:rPr>
        <w:t xml:space="preserve">to disclose the corrected </w:t>
      </w:r>
      <w:r>
        <w:rPr>
          <w:color w:val="000000" w:themeColor="text1"/>
        </w:rPr>
        <w:t xml:space="preserve">CDR </w:t>
      </w:r>
      <w:r w:rsidRPr="00EB4377">
        <w:rPr>
          <w:color w:val="000000" w:themeColor="text1"/>
        </w:rPr>
        <w:t xml:space="preserve">data to the </w:t>
      </w:r>
      <w:r>
        <w:rPr>
          <w:color w:val="000000" w:themeColor="text1"/>
        </w:rPr>
        <w:t xml:space="preserve">accredited </w:t>
      </w:r>
      <w:r w:rsidRPr="00EB4377">
        <w:rPr>
          <w:color w:val="000000" w:themeColor="text1"/>
        </w:rPr>
        <w:t>person; and</w:t>
      </w:r>
    </w:p>
    <w:p w14:paraId="3A7CA4CA" w14:textId="77777777" w:rsidR="00CF0E3D" w:rsidRDefault="00CF0E3D" w:rsidP="00CF0E3D">
      <w:pPr>
        <w:pStyle w:val="paragraphsub"/>
        <w:rPr>
          <w:color w:val="000000" w:themeColor="text1"/>
        </w:rPr>
      </w:pPr>
      <w:r w:rsidRPr="00EB4377">
        <w:rPr>
          <w:color w:val="000000" w:themeColor="text1"/>
        </w:rPr>
        <w:tab/>
      </w:r>
      <w:r>
        <w:rPr>
          <w:color w:val="000000" w:themeColor="text1"/>
        </w:rPr>
        <w:t>(ii)</w:t>
      </w:r>
      <w:r w:rsidRPr="00EB4377">
        <w:rPr>
          <w:color w:val="000000" w:themeColor="text1"/>
        </w:rPr>
        <w:tab/>
        <w:t xml:space="preserve">if such a request is made, the corrected </w:t>
      </w:r>
      <w:r>
        <w:rPr>
          <w:color w:val="000000" w:themeColor="text1"/>
        </w:rPr>
        <w:t xml:space="preserve">CDR </w:t>
      </w:r>
      <w:r w:rsidRPr="00EB4377">
        <w:rPr>
          <w:color w:val="000000" w:themeColor="text1"/>
        </w:rPr>
        <w:t>data will be so disclosed.</w:t>
      </w:r>
    </w:p>
    <w:p w14:paraId="5ACABDEF" w14:textId="77777777" w:rsidR="00CF0E3D" w:rsidRPr="009E5F63" w:rsidRDefault="00CF0E3D" w:rsidP="00CF0E3D">
      <w:pPr>
        <w:pStyle w:val="notetext"/>
      </w:pPr>
      <w:r w:rsidRPr="009E5F63">
        <w:t>Note 1:</w:t>
      </w:r>
      <w:r w:rsidRPr="009E5F63">
        <w:tab/>
        <w:t>For paragraph (d), see subsection 56EN(4) of the Act.</w:t>
      </w:r>
    </w:p>
    <w:p w14:paraId="2EE570E3" w14:textId="77777777" w:rsidR="00CF0E3D" w:rsidRPr="009E5F63" w:rsidRDefault="00CF0E3D" w:rsidP="00CF0E3D">
      <w:pPr>
        <w:pStyle w:val="notetext"/>
      </w:pPr>
      <w:r w:rsidRPr="009E5F63">
        <w:t>Note 2:</w:t>
      </w:r>
      <w:r w:rsidRPr="009E5F63">
        <w:tab/>
        <w:t>The written notice could be given through the</w:t>
      </w:r>
      <w:r>
        <w:t xml:space="preserve"> CDR participant’s</w:t>
      </w:r>
      <w:r w:rsidRPr="009E5F63">
        <w:t xml:space="preserve"> consumer dashboard (see </w:t>
      </w:r>
      <w:r>
        <w:t xml:space="preserve">rule 1.14 and </w:t>
      </w:r>
      <w:r w:rsidRPr="009E5F63">
        <w:t>rule </w:t>
      </w:r>
      <w:r>
        <w:t>1.15</w:t>
      </w:r>
      <w:r w:rsidRPr="009E5F63">
        <w:t>).</w:t>
      </w:r>
    </w:p>
    <w:p w14:paraId="33287FFE" w14:textId="77777777" w:rsidR="00CF0E3D" w:rsidRPr="00EC7544" w:rsidRDefault="00CF0E3D" w:rsidP="00CF0E3D">
      <w:pPr>
        <w:pStyle w:val="notetext"/>
      </w:pPr>
      <w:r w:rsidRPr="00EC7544">
        <w:t>Note 3:</w:t>
      </w:r>
      <w:r w:rsidRPr="00EC7544">
        <w:tab/>
        <w:t>See rule 1.16 for how this rule applies in the case of a CDR outsourcing arrangement in which a provider collects CDR data on behalf of a principal.</w:t>
      </w:r>
    </w:p>
    <w:p w14:paraId="33C310B6" w14:textId="77777777" w:rsidR="00CF0E3D" w:rsidRPr="00EB4377" w:rsidRDefault="00CF0E3D" w:rsidP="00CF0E3D">
      <w:pPr>
        <w:pStyle w:val="subsection"/>
        <w:rPr>
          <w:color w:val="000000" w:themeColor="text1"/>
        </w:rPr>
      </w:pPr>
      <w:r w:rsidRPr="00EB4377">
        <w:rPr>
          <w:color w:val="000000" w:themeColor="text1"/>
        </w:rPr>
        <w:tab/>
      </w:r>
      <w:r>
        <w:rPr>
          <w:color w:val="000000" w:themeColor="text1"/>
        </w:rPr>
        <w:t>(2)</w:t>
      </w:r>
      <w:r w:rsidRPr="00EB4377">
        <w:rPr>
          <w:color w:val="000000" w:themeColor="text1"/>
        </w:rPr>
        <w:tab/>
        <w:t>A single notice may deal with one or more such disclosures.</w:t>
      </w:r>
    </w:p>
    <w:p w14:paraId="5D64DCFF" w14:textId="77777777" w:rsidR="00CF0E3D" w:rsidRPr="00EB4377" w:rsidRDefault="00CF0E3D" w:rsidP="00CF0E3D">
      <w:pPr>
        <w:pStyle w:val="subsection"/>
        <w:rPr>
          <w:color w:val="000000" w:themeColor="text1"/>
        </w:rPr>
      </w:pPr>
      <w:r w:rsidRPr="00EB4377">
        <w:tab/>
      </w:r>
      <w:r>
        <w:rPr>
          <w:color w:val="000000" w:themeColor="text1"/>
        </w:rPr>
        <w:t>(3)</w:t>
      </w:r>
      <w:r w:rsidRPr="00EB4377">
        <w:rPr>
          <w:color w:val="000000" w:themeColor="text1"/>
        </w:rPr>
        <w:tab/>
        <w:t>The notice must be provided:</w:t>
      </w:r>
    </w:p>
    <w:p w14:paraId="017F1C66" w14:textId="77777777" w:rsidR="00CF0E3D" w:rsidRPr="00EB4377" w:rsidRDefault="00CF0E3D" w:rsidP="00CF0E3D">
      <w:pPr>
        <w:pStyle w:val="paragraph"/>
      </w:pPr>
      <w:r w:rsidRPr="00EB4377">
        <w:tab/>
      </w:r>
      <w:r>
        <w:t>(a)</w:t>
      </w:r>
      <w:r w:rsidRPr="00EB4377">
        <w:tab/>
        <w:t>as soon as practicable; and</w:t>
      </w:r>
    </w:p>
    <w:p w14:paraId="04712EE7" w14:textId="77777777" w:rsidR="00CF0E3D" w:rsidRPr="00EB4377" w:rsidRDefault="00CF0E3D" w:rsidP="00CF0E3D">
      <w:pPr>
        <w:pStyle w:val="paragraph"/>
      </w:pPr>
      <w:r w:rsidRPr="00EB4377">
        <w:tab/>
      </w:r>
      <w:r>
        <w:t>(b)</w:t>
      </w:r>
      <w:r w:rsidRPr="00EB4377">
        <w:tab/>
        <w:t xml:space="preserve">in any event—within </w:t>
      </w:r>
      <w:r w:rsidRPr="00E1300D">
        <w:rPr>
          <w:color w:val="000000" w:themeColor="text1"/>
        </w:rPr>
        <w:t>5 business days</w:t>
      </w:r>
      <w:r w:rsidRPr="00EB4377">
        <w:t>;</w:t>
      </w:r>
    </w:p>
    <w:p w14:paraId="0A2C3FD1" w14:textId="4397D067" w:rsidR="00333BC6" w:rsidRDefault="00CF0E3D" w:rsidP="00CF0E3D">
      <w:pPr>
        <w:pStyle w:val="subsection"/>
        <w:spacing w:before="40"/>
      </w:pPr>
      <w:r w:rsidRPr="00EB4377">
        <w:tab/>
      </w:r>
      <w:r w:rsidRPr="00EB4377">
        <w:tab/>
        <w:t>after the CDR participant becomes aware of the matter referred to in paragraph 56EN(3)(b) of the Act.</w:t>
      </w:r>
    </w:p>
    <w:p w14:paraId="259B79C5" w14:textId="63EC49A8" w:rsidR="00E35C24" w:rsidRPr="00693A57" w:rsidRDefault="00E35C24" w:rsidP="00E35C24">
      <w:pPr>
        <w:pStyle w:val="ActHead5"/>
        <w:rPr>
          <w:color w:val="0000FF"/>
        </w:rPr>
      </w:pPr>
      <w:bookmarkStart w:id="484" w:name="_Toc77065016"/>
      <w:bookmarkStart w:id="485" w:name="_Toc11771677"/>
      <w:r w:rsidRPr="00693A57">
        <w:rPr>
          <w:color w:val="0000FF"/>
        </w:rPr>
        <w:t>7.10A  Rule relating to privacy safeguard 11—</w:t>
      </w:r>
      <w:r w:rsidR="00BE6864" w:rsidRPr="00693A57">
        <w:rPr>
          <w:color w:val="0000FF"/>
        </w:rPr>
        <w:t>quality of data—</w:t>
      </w:r>
      <w:r w:rsidR="00182338" w:rsidRPr="00693A57">
        <w:rPr>
          <w:color w:val="0000FF"/>
        </w:rPr>
        <w:t>CDR representative</w:t>
      </w:r>
      <w:bookmarkEnd w:id="484"/>
    </w:p>
    <w:p w14:paraId="589B3DED" w14:textId="7F34E32A" w:rsidR="00E35C24" w:rsidRPr="00693A57" w:rsidRDefault="00E35C24" w:rsidP="00E35C24">
      <w:pPr>
        <w:pStyle w:val="subsection"/>
        <w:rPr>
          <w:color w:val="0000FF"/>
        </w:rPr>
      </w:pPr>
      <w:r w:rsidRPr="00693A57">
        <w:rPr>
          <w:color w:val="0000FF"/>
        </w:rPr>
        <w:tab/>
        <w:t>(1)</w:t>
      </w:r>
      <w:r w:rsidRPr="00693A57">
        <w:rPr>
          <w:color w:val="0000FF"/>
        </w:rPr>
        <w:tab/>
        <w:t xml:space="preserve">A CDR principal breaches this subrule if its </w:t>
      </w:r>
      <w:r w:rsidR="00182338" w:rsidRPr="00693A57">
        <w:rPr>
          <w:color w:val="0000FF"/>
        </w:rPr>
        <w:t>CDR representative</w:t>
      </w:r>
      <w:r w:rsidRPr="00693A57">
        <w:rPr>
          <w:color w:val="0000FF"/>
        </w:rPr>
        <w:t xml:space="preserve"> fails to comply with subsection 56EN(2) of the Act in relation to service data of a CDR consumer as if it were an accredited person.</w:t>
      </w:r>
    </w:p>
    <w:p w14:paraId="56A39240" w14:textId="17A4F783" w:rsidR="00E35C24" w:rsidRPr="00693A57" w:rsidRDefault="00E35C24" w:rsidP="00E35C24">
      <w:pPr>
        <w:pStyle w:val="notetext"/>
        <w:rPr>
          <w:color w:val="0000FF"/>
        </w:rPr>
      </w:pPr>
      <w:r w:rsidRPr="00693A57">
        <w:rPr>
          <w:color w:val="0000FF"/>
        </w:rPr>
        <w:t>Note 1:</w:t>
      </w:r>
      <w:r w:rsidRPr="00693A57">
        <w:rPr>
          <w:color w:val="0000FF"/>
        </w:rPr>
        <w:tab/>
        <w:t xml:space="preserve">See rule 1.10 for the definition of “service data” in relation to a </w:t>
      </w:r>
      <w:r w:rsidR="00182338" w:rsidRPr="00693A57">
        <w:rPr>
          <w:color w:val="0000FF"/>
        </w:rPr>
        <w:t>CDR representative</w:t>
      </w:r>
      <w:r w:rsidRPr="00693A57">
        <w:rPr>
          <w:color w:val="0000FF"/>
        </w:rPr>
        <w:t xml:space="preserve"> arrangement.</w:t>
      </w:r>
    </w:p>
    <w:p w14:paraId="5C2E8354" w14:textId="77777777" w:rsidR="00E35C24" w:rsidRPr="00693A57" w:rsidRDefault="00E35C24" w:rsidP="00E35C24">
      <w:pPr>
        <w:pStyle w:val="notetext"/>
        <w:rPr>
          <w:color w:val="0000FF"/>
        </w:rPr>
      </w:pPr>
      <w:r w:rsidRPr="00693A57">
        <w:rPr>
          <w:color w:val="0000FF"/>
        </w:rPr>
        <w:t>Note 2:</w:t>
      </w:r>
      <w:r w:rsidRPr="00693A57">
        <w:rPr>
          <w:color w:val="0000FF"/>
        </w:rPr>
        <w:tab/>
        <w:t>This subrule is a civil penalty provision (see rule 9.8).</w:t>
      </w:r>
    </w:p>
    <w:p w14:paraId="7F7124CC" w14:textId="7DA8C15E" w:rsidR="00E35C24" w:rsidRPr="00693A57" w:rsidRDefault="00E35C24" w:rsidP="00E35C24">
      <w:pPr>
        <w:pStyle w:val="subsection"/>
        <w:rPr>
          <w:color w:val="0000FF"/>
        </w:rPr>
      </w:pPr>
      <w:r w:rsidRPr="00693A57">
        <w:rPr>
          <w:color w:val="0000FF"/>
        </w:rPr>
        <w:tab/>
        <w:t>(2)</w:t>
      </w:r>
      <w:r w:rsidRPr="00693A57">
        <w:rPr>
          <w:color w:val="0000FF"/>
        </w:rPr>
        <w:tab/>
        <w:t xml:space="preserve">For subrule (2), it is irrelevant whether the action of the </w:t>
      </w:r>
      <w:r w:rsidR="00182338" w:rsidRPr="00693A57">
        <w:rPr>
          <w:color w:val="0000FF"/>
        </w:rPr>
        <w:t>CDR representative</w:t>
      </w:r>
      <w:r w:rsidRPr="00693A57">
        <w:rPr>
          <w:color w:val="0000FF"/>
        </w:rPr>
        <w:t xml:space="preserve"> in relation to the service data is in accordance with the </w:t>
      </w:r>
      <w:r w:rsidR="00182338" w:rsidRPr="00693A57">
        <w:rPr>
          <w:color w:val="0000FF"/>
        </w:rPr>
        <w:t>CDR representative</w:t>
      </w:r>
      <w:r w:rsidRPr="00693A57">
        <w:rPr>
          <w:color w:val="0000FF"/>
        </w:rPr>
        <w:t xml:space="preserve"> arrangement.</w:t>
      </w:r>
    </w:p>
    <w:p w14:paraId="6072FBDB" w14:textId="170D002A" w:rsidR="00CF0E3D" w:rsidRDefault="00CF0E3D" w:rsidP="00CF0E3D">
      <w:pPr>
        <w:pStyle w:val="ActHead5"/>
      </w:pPr>
      <w:bookmarkStart w:id="486" w:name="_Toc77065017"/>
      <w:r>
        <w:t>7.11  Rule relating to privacy safeguard 12—</w:t>
      </w:r>
      <w:r w:rsidRPr="008D2414">
        <w:t>security of CDR data</w:t>
      </w:r>
      <w:bookmarkEnd w:id="485"/>
      <w:bookmarkEnd w:id="486"/>
    </w:p>
    <w:p w14:paraId="3634F5A6" w14:textId="15F1E130" w:rsidR="00CF0E3D" w:rsidRDefault="00CF0E3D" w:rsidP="00CF0E3D">
      <w:pPr>
        <w:pStyle w:val="subsection"/>
      </w:pPr>
      <w:r>
        <w:tab/>
      </w:r>
      <w:r w:rsidR="00BE6864" w:rsidRPr="00693A57">
        <w:rPr>
          <w:color w:val="0000FF"/>
        </w:rPr>
        <w:t>(1)</w:t>
      </w:r>
      <w:r>
        <w:tab/>
        <w:t>For subsection 56EO(1) of the Act, the steps are set out in Schedule 2.</w:t>
      </w:r>
    </w:p>
    <w:p w14:paraId="28C0B7B3" w14:textId="77777777" w:rsidR="00CF0E3D" w:rsidRDefault="00CF0E3D" w:rsidP="00CF0E3D">
      <w:pPr>
        <w:pStyle w:val="notetext"/>
      </w:pPr>
      <w:r>
        <w:lastRenderedPageBreak/>
        <w:t>Note:</w:t>
      </w:r>
      <w:r>
        <w:tab/>
        <w:t>Broadly speaking, the steps are for an accredited data recipient of CDR data to:</w:t>
      </w:r>
    </w:p>
    <w:p w14:paraId="04541211" w14:textId="77777777" w:rsidR="00CF0E3D" w:rsidRDefault="00CF0E3D" w:rsidP="00CF0E3D">
      <w:pPr>
        <w:pStyle w:val="notepara"/>
      </w:pPr>
      <w:r>
        <w:sym w:font="Symbol" w:char="F0B7"/>
      </w:r>
      <w:r w:rsidRPr="009C2562">
        <w:tab/>
      </w:r>
      <w:r>
        <w:t>define and implement security governance in relation to CDR data; and</w:t>
      </w:r>
    </w:p>
    <w:p w14:paraId="2845C6F5" w14:textId="77777777" w:rsidR="00CF0E3D" w:rsidRDefault="00CF0E3D" w:rsidP="00CF0E3D">
      <w:pPr>
        <w:pStyle w:val="notepara"/>
      </w:pPr>
      <w:r>
        <w:sym w:font="Symbol" w:char="F0B7"/>
      </w:r>
      <w:r w:rsidRPr="009C2562">
        <w:tab/>
      </w:r>
      <w:r>
        <w:t>define the boundaries of the CDR data environment; and</w:t>
      </w:r>
    </w:p>
    <w:p w14:paraId="17EE6200" w14:textId="77777777" w:rsidR="00CF0E3D" w:rsidRDefault="00CF0E3D" w:rsidP="00CF0E3D">
      <w:pPr>
        <w:pStyle w:val="notepara"/>
      </w:pPr>
      <w:r>
        <w:sym w:font="Symbol" w:char="F0B7"/>
      </w:r>
      <w:r w:rsidRPr="009C2562">
        <w:tab/>
      </w:r>
      <w:r>
        <w:t>have and maintain an i</w:t>
      </w:r>
      <w:r w:rsidRPr="00CD6E65">
        <w:t>nformation security capability</w:t>
      </w:r>
      <w:r>
        <w:t>; and</w:t>
      </w:r>
    </w:p>
    <w:p w14:paraId="2F3247EF" w14:textId="77777777" w:rsidR="00CF0E3D" w:rsidRDefault="00CF0E3D" w:rsidP="00CF0E3D">
      <w:pPr>
        <w:pStyle w:val="notepara"/>
      </w:pPr>
      <w:r>
        <w:sym w:font="Symbol" w:char="F0B7"/>
      </w:r>
      <w:r w:rsidRPr="009C2562">
        <w:tab/>
      </w:r>
      <w:r>
        <w:t>implement a formal controls assessment program; and</w:t>
      </w:r>
    </w:p>
    <w:p w14:paraId="36FE5C90" w14:textId="77777777" w:rsidR="00CF0E3D" w:rsidRDefault="00CF0E3D" w:rsidP="00CF0E3D">
      <w:pPr>
        <w:pStyle w:val="notepara"/>
      </w:pPr>
      <w:r>
        <w:sym w:font="Symbol" w:char="F0B7"/>
      </w:r>
      <w:r w:rsidRPr="009C2562">
        <w:tab/>
      </w:r>
      <w:r>
        <w:t>m</w:t>
      </w:r>
      <w:r w:rsidRPr="00B04F55">
        <w:t>ana</w:t>
      </w:r>
      <w:r>
        <w:t>ge and report security incidents.</w:t>
      </w:r>
    </w:p>
    <w:p w14:paraId="15E0364C" w14:textId="3726818C" w:rsidR="00BE6864" w:rsidRPr="00693A57" w:rsidRDefault="00BE6864" w:rsidP="00BE6864">
      <w:pPr>
        <w:pStyle w:val="subsection"/>
        <w:rPr>
          <w:color w:val="0000FF"/>
        </w:rPr>
      </w:pPr>
      <w:r w:rsidRPr="00693A57">
        <w:rPr>
          <w:color w:val="0000FF"/>
        </w:rPr>
        <w:tab/>
        <w:t>(</w:t>
      </w:r>
      <w:r w:rsidR="000B109D" w:rsidRPr="00693A57">
        <w:rPr>
          <w:color w:val="0000FF"/>
        </w:rPr>
        <w:t>2</w:t>
      </w:r>
      <w:r w:rsidRPr="00693A57">
        <w:rPr>
          <w:color w:val="0000FF"/>
        </w:rPr>
        <w:t>)</w:t>
      </w:r>
      <w:r w:rsidRPr="00693A57">
        <w:rPr>
          <w:color w:val="0000FF"/>
        </w:rPr>
        <w:tab/>
        <w:t xml:space="preserve">For this rule, where an accredited data recipient is a CDR principal, a failure by a </w:t>
      </w:r>
      <w:r w:rsidR="00182338" w:rsidRPr="00693A57">
        <w:rPr>
          <w:color w:val="0000FF"/>
        </w:rPr>
        <w:t>CDR representative</w:t>
      </w:r>
      <w:r w:rsidRPr="00693A57">
        <w:rPr>
          <w:color w:val="0000FF"/>
        </w:rPr>
        <w:t xml:space="preserve"> </w:t>
      </w:r>
      <w:r w:rsidR="000B109D" w:rsidRPr="00693A57">
        <w:rPr>
          <w:color w:val="0000FF"/>
        </w:rPr>
        <w:t xml:space="preserve">to comply with Schedule 2 in relation to service data </w:t>
      </w:r>
      <w:r w:rsidRPr="00693A57">
        <w:rPr>
          <w:color w:val="0000FF"/>
        </w:rPr>
        <w:t xml:space="preserve">is taken to be a </w:t>
      </w:r>
      <w:r w:rsidR="000B109D" w:rsidRPr="00693A57">
        <w:rPr>
          <w:color w:val="0000FF"/>
        </w:rPr>
        <w:t xml:space="preserve">failure </w:t>
      </w:r>
      <w:r w:rsidRPr="00693A57">
        <w:rPr>
          <w:color w:val="0000FF"/>
        </w:rPr>
        <w:t>by the CDR principal.</w:t>
      </w:r>
    </w:p>
    <w:p w14:paraId="5731D7C1" w14:textId="5D1E2A4F" w:rsidR="00CF0E3D" w:rsidRDefault="00CF0E3D" w:rsidP="00CF0E3D">
      <w:pPr>
        <w:pStyle w:val="ActHead5"/>
      </w:pPr>
      <w:bookmarkStart w:id="487" w:name="_Toc77065018"/>
      <w:r>
        <w:t>7.12  Rule</w:t>
      </w:r>
      <w:r w:rsidRPr="00005026">
        <w:t xml:space="preserve"> relating to privacy safeguard 12—de</w:t>
      </w:r>
      <w:r w:rsidRPr="00005026">
        <w:noBreakHyphen/>
        <w:t>identification of redundant data</w:t>
      </w:r>
      <w:bookmarkEnd w:id="487"/>
    </w:p>
    <w:p w14:paraId="2E2EDFFB" w14:textId="77777777" w:rsidR="00CF0E3D" w:rsidRPr="00005026" w:rsidRDefault="00CF0E3D" w:rsidP="00CF0E3D">
      <w:pPr>
        <w:pStyle w:val="subsection"/>
      </w:pPr>
      <w:r w:rsidRPr="00005026">
        <w:tab/>
      </w:r>
      <w:r>
        <w:t>(1)</w:t>
      </w:r>
      <w:r w:rsidRPr="00005026">
        <w:tab/>
        <w:t>For subsection 56EO(2) of the Act, this rule applies if:</w:t>
      </w:r>
    </w:p>
    <w:p w14:paraId="575363FE" w14:textId="77777777" w:rsidR="00CF0E3D" w:rsidRDefault="00CF0E3D" w:rsidP="00CF0E3D">
      <w:pPr>
        <w:pStyle w:val="paragraph"/>
      </w:pPr>
      <w:r w:rsidRPr="00005026">
        <w:tab/>
      </w:r>
      <w:r>
        <w:t>(a)</w:t>
      </w:r>
      <w:r w:rsidRPr="00005026">
        <w:tab/>
        <w:t xml:space="preserve">the accredited </w:t>
      </w:r>
      <w:r w:rsidRPr="00B30263">
        <w:t>data recipient</w:t>
      </w:r>
      <w:r>
        <w:t>, when it</w:t>
      </w:r>
      <w:r w:rsidRPr="00005026">
        <w:t xml:space="preserve"> asked for consent to collect and use the CDR data, gave the CDR consumer the statement referred to in paragraph </w:t>
      </w:r>
      <w:r>
        <w:t>4.17(1)(b) or (c)</w:t>
      </w:r>
      <w:r w:rsidRPr="00005026">
        <w:t>; and</w:t>
      </w:r>
    </w:p>
    <w:p w14:paraId="352FEFE0" w14:textId="77777777" w:rsidR="00CF0E3D" w:rsidRPr="00005026" w:rsidRDefault="00CF0E3D" w:rsidP="00CF0E3D">
      <w:pPr>
        <w:pStyle w:val="paragraph"/>
      </w:pPr>
      <w:r w:rsidRPr="00005026">
        <w:tab/>
      </w:r>
      <w:r>
        <w:t>(b)</w:t>
      </w:r>
      <w:r w:rsidRPr="00005026">
        <w:tab/>
        <w:t xml:space="preserve">the CDR consumer </w:t>
      </w:r>
      <w:r w:rsidRPr="006D5CA7">
        <w:rPr>
          <w:color w:val="000000" w:themeColor="text1"/>
        </w:rPr>
        <w:t>has not elected</w:t>
      </w:r>
      <w:r w:rsidRPr="00005026">
        <w:t xml:space="preserve">, in accordance with </w:t>
      </w:r>
      <w:r>
        <w:t>rule 4.16</w:t>
      </w:r>
      <w:r w:rsidRPr="00005026">
        <w:t xml:space="preserve">, that their redundant data should be </w:t>
      </w:r>
      <w:r>
        <w:t>delet</w:t>
      </w:r>
      <w:r w:rsidRPr="00005026">
        <w:t>ed; and</w:t>
      </w:r>
    </w:p>
    <w:p w14:paraId="0B122DBC" w14:textId="77777777" w:rsidR="00CF0E3D" w:rsidRDefault="00CF0E3D" w:rsidP="00CF0E3D">
      <w:pPr>
        <w:pStyle w:val="paragraph"/>
      </w:pPr>
      <w:r w:rsidRPr="0041531E">
        <w:tab/>
      </w:r>
      <w:r>
        <w:t>(c)</w:t>
      </w:r>
      <w:r w:rsidRPr="0041531E">
        <w:tab/>
        <w:t>in the case of a statement referred to in paragraph </w:t>
      </w:r>
      <w:r>
        <w:t>4.17(1)(c)</w:t>
      </w:r>
      <w:r w:rsidRPr="0041531E">
        <w:t>―the accredited person thinks it appropriate in the circumstances to de</w:t>
      </w:r>
      <w:r w:rsidRPr="0041531E">
        <w:noBreakHyphen/>
        <w:t xml:space="preserve">identify rather than </w:t>
      </w:r>
      <w:r>
        <w:t>delete</w:t>
      </w:r>
      <w:r w:rsidRPr="0041531E">
        <w:t xml:space="preserve"> the redundant data.</w:t>
      </w:r>
    </w:p>
    <w:p w14:paraId="5371321A" w14:textId="77777777" w:rsidR="00CF0E3D" w:rsidRDefault="00CF0E3D" w:rsidP="00CF0E3D">
      <w:pPr>
        <w:pStyle w:val="notetext"/>
      </w:pPr>
      <w:r w:rsidRPr="00876012">
        <w:t>Note</w:t>
      </w:r>
      <w:r>
        <w:t xml:space="preserve"> </w:t>
      </w:r>
      <w:r w:rsidRPr="00814B1D">
        <w:t>1</w:t>
      </w:r>
      <w:r w:rsidRPr="00876012">
        <w:t>:</w:t>
      </w:r>
      <w:r w:rsidRPr="00876012">
        <w:tab/>
        <w:t xml:space="preserve">The CDR </w:t>
      </w:r>
      <w:r w:rsidRPr="00E53912">
        <w:rPr>
          <w:color w:val="000000" w:themeColor="text1"/>
        </w:rPr>
        <w:t>data</w:t>
      </w:r>
      <w:r w:rsidRPr="00876012">
        <w:t xml:space="preserve"> de</w:t>
      </w:r>
      <w:r w:rsidRPr="00876012">
        <w:noBreakHyphen/>
        <w:t xml:space="preserve">identification process is set out in rule </w:t>
      </w:r>
      <w:r>
        <w:t>1.17</w:t>
      </w:r>
      <w:r w:rsidRPr="00876012">
        <w:t>.</w:t>
      </w:r>
    </w:p>
    <w:p w14:paraId="389C011D" w14:textId="77777777" w:rsidR="00CF0E3D" w:rsidRDefault="00CF0E3D" w:rsidP="00CF0E3D">
      <w:pPr>
        <w:pStyle w:val="notetext"/>
      </w:pPr>
      <w:r w:rsidRPr="00814B1D">
        <w:t>Note 2:</w:t>
      </w:r>
      <w:r w:rsidRPr="00814B1D">
        <w:tab/>
        <w:t xml:space="preserve">If this rule does not apply, rule </w:t>
      </w:r>
      <w:r>
        <w:t>7.13</w:t>
      </w:r>
      <w:r w:rsidRPr="00814B1D">
        <w:t xml:space="preserve"> applies: see subrule </w:t>
      </w:r>
      <w:r>
        <w:t>7.13(1)</w:t>
      </w:r>
      <w:r w:rsidRPr="00814B1D">
        <w:t>.</w:t>
      </w:r>
    </w:p>
    <w:p w14:paraId="53E37E11" w14:textId="77777777" w:rsidR="00CF0E3D" w:rsidRPr="00C02086" w:rsidRDefault="00CF0E3D" w:rsidP="00CF0E3D">
      <w:pPr>
        <w:pStyle w:val="subsection"/>
        <w:rPr>
          <w:color w:val="000000" w:themeColor="text1"/>
        </w:rPr>
      </w:pPr>
      <w:r w:rsidRPr="00D476C3">
        <w:tab/>
      </w:r>
      <w:r>
        <w:t>(2)</w:t>
      </w:r>
      <w:r w:rsidRPr="00D476C3">
        <w:tab/>
        <w:t>The steps are:</w:t>
      </w:r>
    </w:p>
    <w:p w14:paraId="5968256B" w14:textId="77777777" w:rsidR="00CF0E3D" w:rsidRPr="00D476C3" w:rsidRDefault="00CF0E3D" w:rsidP="00CF0E3D">
      <w:pPr>
        <w:pStyle w:val="paragraph"/>
      </w:pPr>
      <w:r w:rsidRPr="00D476C3">
        <w:tab/>
      </w:r>
      <w:r>
        <w:t>(a)</w:t>
      </w:r>
      <w:r w:rsidRPr="00D476C3">
        <w:tab/>
        <w:t>to apply the CDR data de</w:t>
      </w:r>
      <w:r w:rsidRPr="00D476C3">
        <w:noBreakHyphen/>
        <w:t>identification process to the redundant data; and</w:t>
      </w:r>
    </w:p>
    <w:p w14:paraId="0B707282" w14:textId="71993D48" w:rsidR="00CF0E3D" w:rsidRPr="00D476C3" w:rsidRDefault="00CF0E3D" w:rsidP="00CF0E3D">
      <w:pPr>
        <w:pStyle w:val="paragraph"/>
      </w:pPr>
      <w:r w:rsidRPr="00D476C3">
        <w:tab/>
      </w:r>
      <w:r>
        <w:t>(b)</w:t>
      </w:r>
      <w:r w:rsidRPr="00D476C3">
        <w:tab/>
        <w:t>direct any outsourced service provider</w:t>
      </w:r>
      <w:r w:rsidR="00323042" w:rsidRPr="00693A57">
        <w:rPr>
          <w:color w:val="0000FF"/>
        </w:rPr>
        <w:t xml:space="preserve">, </w:t>
      </w:r>
      <w:r w:rsidR="00182338" w:rsidRPr="00693A57">
        <w:rPr>
          <w:color w:val="0000FF"/>
        </w:rPr>
        <w:t>CDR representative</w:t>
      </w:r>
      <w:r w:rsidR="0076441D" w:rsidRPr="00693A57">
        <w:rPr>
          <w:color w:val="0000FF"/>
        </w:rPr>
        <w:t xml:space="preserve"> </w:t>
      </w:r>
      <w:r w:rsidR="00323042" w:rsidRPr="00693A57">
        <w:rPr>
          <w:color w:val="0000FF"/>
        </w:rPr>
        <w:t xml:space="preserve">or </w:t>
      </w:r>
      <w:r w:rsidR="0082342F" w:rsidRPr="00693A57">
        <w:rPr>
          <w:color w:val="0000FF"/>
        </w:rPr>
        <w:t>sponsor</w:t>
      </w:r>
      <w:r w:rsidRPr="00693A57">
        <w:rPr>
          <w:color w:val="0000FF"/>
        </w:rPr>
        <w:t xml:space="preserve"> </w:t>
      </w:r>
      <w:r w:rsidRPr="00EC7544">
        <w:t xml:space="preserve">of the accredited data recipient </w:t>
      </w:r>
      <w:r w:rsidRPr="00D476C3">
        <w:t>that had been provided with a copy of the redundant data:</w:t>
      </w:r>
    </w:p>
    <w:p w14:paraId="73E5A9A2" w14:textId="77777777" w:rsidR="00CF0E3D" w:rsidRPr="00D476C3" w:rsidRDefault="00CF0E3D" w:rsidP="00CF0E3D">
      <w:pPr>
        <w:pStyle w:val="paragraphsub"/>
      </w:pPr>
      <w:r w:rsidRPr="00D476C3">
        <w:tab/>
      </w:r>
      <w:r>
        <w:t>(i)</w:t>
      </w:r>
      <w:r w:rsidRPr="00D476C3">
        <w:tab/>
        <w:t>either to:</w:t>
      </w:r>
    </w:p>
    <w:p w14:paraId="4CA9A5D6" w14:textId="77777777" w:rsidR="00CF0E3D" w:rsidRPr="00D476C3" w:rsidRDefault="00CF0E3D" w:rsidP="00CF0E3D">
      <w:pPr>
        <w:pStyle w:val="paragraphsub-sub"/>
      </w:pPr>
      <w:r w:rsidRPr="00D476C3">
        <w:tab/>
      </w:r>
      <w:r>
        <w:t>(A)</w:t>
      </w:r>
      <w:r w:rsidRPr="00D476C3">
        <w:tab/>
        <w:t>return the redundant data to the accredited data recipient; or</w:t>
      </w:r>
    </w:p>
    <w:p w14:paraId="234BD17E" w14:textId="77777777" w:rsidR="00CF0E3D" w:rsidRPr="00D476C3" w:rsidRDefault="00CF0E3D" w:rsidP="00CF0E3D">
      <w:pPr>
        <w:pStyle w:val="paragraphsub-sub"/>
      </w:pPr>
      <w:r w:rsidRPr="00D476C3">
        <w:tab/>
      </w:r>
      <w:r>
        <w:t>(B)</w:t>
      </w:r>
      <w:r w:rsidRPr="00D476C3">
        <w:tab/>
        <w:t>delete the redundant data, as well as any CDR data that has been directly or indirectly derived from it, and notify the accredited data recipient of the deletion; and</w:t>
      </w:r>
    </w:p>
    <w:p w14:paraId="2EB0A4F1" w14:textId="77777777" w:rsidR="00CF0E3D" w:rsidRPr="00D476C3" w:rsidRDefault="00CF0E3D" w:rsidP="00CF0E3D">
      <w:pPr>
        <w:pStyle w:val="paragraphsub"/>
      </w:pPr>
      <w:r w:rsidRPr="00D476C3">
        <w:tab/>
      </w:r>
      <w:r>
        <w:t>(ii)</w:t>
      </w:r>
      <w:r w:rsidRPr="00D476C3">
        <w:tab/>
        <w:t>if the outsourced service provider has provided any such data to another person―to:</w:t>
      </w:r>
    </w:p>
    <w:p w14:paraId="49B4870B" w14:textId="77777777" w:rsidR="00CF0E3D" w:rsidRPr="00D476C3" w:rsidRDefault="00CF0E3D" w:rsidP="00CF0E3D">
      <w:pPr>
        <w:pStyle w:val="paragraphsub-sub"/>
      </w:pPr>
      <w:r w:rsidRPr="00D476C3">
        <w:tab/>
      </w:r>
      <w:r>
        <w:t>(A)</w:t>
      </w:r>
      <w:r w:rsidRPr="00D476C3">
        <w:tab/>
        <w:t>direct the person to take either of the steps referred to in subparagraph </w:t>
      </w:r>
      <w:r>
        <w:t>(i)</w:t>
      </w:r>
      <w:r w:rsidRPr="00D476C3">
        <w:t xml:space="preserve"> in relation to that data; and</w:t>
      </w:r>
    </w:p>
    <w:p w14:paraId="2DAD9481" w14:textId="77777777" w:rsidR="00CF0E3D" w:rsidRPr="00D476C3" w:rsidRDefault="00CF0E3D" w:rsidP="00CF0E3D">
      <w:pPr>
        <w:pStyle w:val="paragraphsub-sub"/>
      </w:pPr>
      <w:r w:rsidRPr="00D476C3">
        <w:tab/>
      </w:r>
      <w:r>
        <w:t>(B)</w:t>
      </w:r>
      <w:r w:rsidRPr="00D476C3">
        <w:tab/>
        <w:t>cause similar directions to be made to any person to whom such data has been further disclosed.</w:t>
      </w:r>
    </w:p>
    <w:p w14:paraId="7726D4BA" w14:textId="77777777" w:rsidR="00CF0E3D" w:rsidRDefault="00CF0E3D" w:rsidP="00CF0E3D">
      <w:pPr>
        <w:pStyle w:val="notetext"/>
      </w:pPr>
      <w:r w:rsidRPr="00D476C3">
        <w:t>Note:</w:t>
      </w:r>
      <w:r w:rsidRPr="00D476C3">
        <w:tab/>
        <w:t>If the redundant data cannot be de</w:t>
      </w:r>
      <w:r w:rsidRPr="00D476C3">
        <w:noBreakHyphen/>
        <w:t>identified in accordance with the CDR data de</w:t>
      </w:r>
      <w:r w:rsidRPr="00D476C3">
        <w:noBreakHyphen/>
        <w:t>identification process, it must be deleted in accordance with the CDR data deletion process: see subrule </w:t>
      </w:r>
      <w:r>
        <w:t>1.17(4)</w:t>
      </w:r>
      <w:r w:rsidRPr="00D476C3">
        <w:t>.</w:t>
      </w:r>
    </w:p>
    <w:p w14:paraId="7BC856AE" w14:textId="4C6BF7C3" w:rsidR="00110ECD" w:rsidRPr="00693A57" w:rsidRDefault="00110ECD" w:rsidP="00110ECD">
      <w:pPr>
        <w:pStyle w:val="subsection"/>
        <w:rPr>
          <w:color w:val="0000FF"/>
        </w:rPr>
      </w:pPr>
      <w:r w:rsidRPr="00693A57">
        <w:rPr>
          <w:color w:val="0000FF"/>
        </w:rPr>
        <w:tab/>
        <w:t>(3)</w:t>
      </w:r>
      <w:r w:rsidRPr="00693A57">
        <w:rPr>
          <w:color w:val="0000FF"/>
        </w:rPr>
        <w:tab/>
        <w:t xml:space="preserve">For this rule, where an accredited data recipient is a CDR principal, a failure by a </w:t>
      </w:r>
      <w:r w:rsidR="00182338" w:rsidRPr="00693A57">
        <w:rPr>
          <w:color w:val="0000FF"/>
        </w:rPr>
        <w:t>CDR representative</w:t>
      </w:r>
      <w:r w:rsidRPr="00693A57">
        <w:rPr>
          <w:color w:val="0000FF"/>
        </w:rPr>
        <w:t xml:space="preserve"> to comply with subsection 56EO(2) of the Act in relation to </w:t>
      </w:r>
      <w:r w:rsidRPr="00693A57">
        <w:rPr>
          <w:color w:val="0000FF"/>
        </w:rPr>
        <w:lastRenderedPageBreak/>
        <w:t>service data as if it were a CDR entity is taken to be a failure by the CDR principal.</w:t>
      </w:r>
    </w:p>
    <w:p w14:paraId="27BBE8CB" w14:textId="425F1AFD" w:rsidR="00CF0E3D" w:rsidRPr="00005026" w:rsidRDefault="00CF0E3D" w:rsidP="00CF0E3D">
      <w:pPr>
        <w:pStyle w:val="ActHead5"/>
      </w:pPr>
      <w:bookmarkStart w:id="488" w:name="_Toc77065019"/>
      <w:r>
        <w:t>7.13  Rule</w:t>
      </w:r>
      <w:r w:rsidRPr="00005026">
        <w:t xml:space="preserve"> relating to privacy safeguard 12—</w:t>
      </w:r>
      <w:r>
        <w:t>deletion</w:t>
      </w:r>
      <w:r w:rsidRPr="00005026">
        <w:t xml:space="preserve"> of redundant data</w:t>
      </w:r>
      <w:bookmarkEnd w:id="488"/>
    </w:p>
    <w:p w14:paraId="6EDE8C16" w14:textId="77777777" w:rsidR="00CF0E3D" w:rsidRPr="00005026" w:rsidRDefault="00CF0E3D" w:rsidP="00CF0E3D">
      <w:pPr>
        <w:pStyle w:val="subsection"/>
      </w:pPr>
      <w:r w:rsidRPr="00005026">
        <w:tab/>
      </w:r>
      <w:r>
        <w:t>(1)</w:t>
      </w:r>
      <w:r w:rsidRPr="00005026">
        <w:tab/>
        <w:t>For subsection 56EO(2) of the Act, this rule applies if rule </w:t>
      </w:r>
      <w:r>
        <w:t>7.12</w:t>
      </w:r>
      <w:r w:rsidRPr="00005026">
        <w:t xml:space="preserve"> does not apply.</w:t>
      </w:r>
    </w:p>
    <w:p w14:paraId="6AB107C0" w14:textId="77777777" w:rsidR="00CF0E3D" w:rsidRDefault="00CF0E3D" w:rsidP="00CF0E3D">
      <w:pPr>
        <w:pStyle w:val="subsection"/>
      </w:pPr>
      <w:r w:rsidRPr="00005026">
        <w:tab/>
      </w:r>
      <w:r>
        <w:t>(2)</w:t>
      </w:r>
      <w:r w:rsidRPr="00005026">
        <w:tab/>
        <w:t xml:space="preserve">The </w:t>
      </w:r>
      <w:r w:rsidRPr="00A40A96">
        <w:t>step is to apply the CDR data deletion process to the redundant data</w:t>
      </w:r>
      <w:r>
        <w:t>.</w:t>
      </w:r>
    </w:p>
    <w:p w14:paraId="24832FFC" w14:textId="77777777" w:rsidR="00CF0E3D" w:rsidRPr="00E53912" w:rsidRDefault="00CF0E3D" w:rsidP="00CF0E3D">
      <w:pPr>
        <w:pStyle w:val="notetext"/>
        <w:rPr>
          <w:color w:val="000000" w:themeColor="text1"/>
        </w:rPr>
      </w:pPr>
      <w:r w:rsidRPr="00E53912">
        <w:rPr>
          <w:color w:val="000000" w:themeColor="text1"/>
        </w:rPr>
        <w:t>Note:</w:t>
      </w:r>
      <w:r w:rsidRPr="00E53912">
        <w:rPr>
          <w:color w:val="000000" w:themeColor="text1"/>
        </w:rPr>
        <w:tab/>
        <w:t>See rule </w:t>
      </w:r>
      <w:r>
        <w:rPr>
          <w:color w:val="000000" w:themeColor="text1"/>
        </w:rPr>
        <w:t>1.18</w:t>
      </w:r>
      <w:r w:rsidRPr="00E53912">
        <w:rPr>
          <w:color w:val="000000" w:themeColor="text1"/>
        </w:rPr>
        <w:t xml:space="preserve"> for the CDR data deletion process.</w:t>
      </w:r>
    </w:p>
    <w:p w14:paraId="57D4AB37" w14:textId="01C127E9" w:rsidR="00CF0E3D" w:rsidRPr="00964EDA" w:rsidRDefault="00CF0E3D" w:rsidP="00CF0E3D">
      <w:pPr>
        <w:pStyle w:val="ActHead4"/>
        <w:pageBreakBefore/>
        <w:rPr>
          <w:color w:val="000000"/>
        </w:rPr>
      </w:pPr>
      <w:bookmarkStart w:id="489" w:name="_Toc11771678"/>
      <w:bookmarkStart w:id="490" w:name="_Toc77065020"/>
      <w:r>
        <w:rPr>
          <w:color w:val="000000"/>
        </w:rPr>
        <w:lastRenderedPageBreak/>
        <w:t>Subdivision 7.2.5</w:t>
      </w:r>
      <w:r w:rsidRPr="00964EDA">
        <w:rPr>
          <w:color w:val="000000"/>
        </w:rPr>
        <w:t>—Rules relating to correction of CDR data</w:t>
      </w:r>
      <w:bookmarkEnd w:id="489"/>
      <w:bookmarkEnd w:id="490"/>
    </w:p>
    <w:p w14:paraId="14B94090" w14:textId="7EE83AC1" w:rsidR="00CF0E3D" w:rsidRPr="00964EDA" w:rsidRDefault="00CF0E3D" w:rsidP="00CF0E3D">
      <w:pPr>
        <w:pStyle w:val="ActHead5"/>
        <w:rPr>
          <w:color w:val="000000"/>
        </w:rPr>
      </w:pPr>
      <w:bookmarkStart w:id="491" w:name="_Toc11771679"/>
      <w:bookmarkStart w:id="492" w:name="_Toc77065021"/>
      <w:r>
        <w:rPr>
          <w:color w:val="000000"/>
        </w:rPr>
        <w:t>7.14</w:t>
      </w:r>
      <w:r w:rsidRPr="00964EDA">
        <w:rPr>
          <w:color w:val="000000"/>
        </w:rPr>
        <w:t xml:space="preserve">  No fee for responding to or actioning correction request</w:t>
      </w:r>
      <w:bookmarkEnd w:id="491"/>
      <w:bookmarkEnd w:id="492"/>
    </w:p>
    <w:p w14:paraId="21EE9727" w14:textId="77777777" w:rsidR="00CF0E3D" w:rsidRDefault="00CF0E3D" w:rsidP="00CF0E3D">
      <w:pPr>
        <w:pStyle w:val="subsection"/>
      </w:pPr>
      <w:r>
        <w:tab/>
        <w:t>(1)</w:t>
      </w:r>
      <w:r>
        <w:tab/>
      </w:r>
      <w:r w:rsidRPr="00964EDA">
        <w:t xml:space="preserve">A </w:t>
      </w:r>
      <w:r w:rsidRPr="00E1300D">
        <w:rPr>
          <w:color w:val="000000" w:themeColor="text1"/>
        </w:rPr>
        <w:t xml:space="preserve">data holder must not charge a </w:t>
      </w:r>
      <w:r w:rsidRPr="00964EDA">
        <w:t>fee for responding to or actioning a request</w:t>
      </w:r>
      <w:r>
        <w:t xml:space="preserve"> </w:t>
      </w:r>
      <w:r w:rsidRPr="00E1300D">
        <w:rPr>
          <w:color w:val="000000" w:themeColor="text1"/>
        </w:rPr>
        <w:t>under subsection 56EP(1) of the Act</w:t>
      </w:r>
      <w:r w:rsidRPr="00964EDA">
        <w:t>.</w:t>
      </w:r>
    </w:p>
    <w:p w14:paraId="5929678B"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24761810"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t>An accredited data recipient must not charge a fee for responding to or actioning a request under subsection 56EP(2) of the Act.</w:t>
      </w:r>
    </w:p>
    <w:p w14:paraId="6185EC1C"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69BFE741" w14:textId="34BF1566" w:rsidR="00CF0E3D" w:rsidRPr="00EF3347" w:rsidRDefault="00CF0E3D" w:rsidP="00CF0E3D">
      <w:pPr>
        <w:pStyle w:val="ActHead5"/>
        <w:rPr>
          <w:color w:val="000000"/>
        </w:rPr>
      </w:pPr>
      <w:bookmarkStart w:id="493" w:name="_Toc11771680"/>
      <w:bookmarkStart w:id="494" w:name="_Toc77065022"/>
      <w:r>
        <w:rPr>
          <w:color w:val="000000"/>
        </w:rPr>
        <w:t>7.15</w:t>
      </w:r>
      <w:r w:rsidRPr="00EF3347">
        <w:rPr>
          <w:color w:val="000000"/>
        </w:rPr>
        <w:t xml:space="preserve">  Rule relating to privacy safeguard 13—steps to be taken when responding to correction request</w:t>
      </w:r>
      <w:bookmarkEnd w:id="493"/>
      <w:bookmarkEnd w:id="494"/>
    </w:p>
    <w:p w14:paraId="021796D6" w14:textId="77777777" w:rsidR="00CF0E3D" w:rsidRPr="00EF3347" w:rsidRDefault="00CF0E3D" w:rsidP="00CF0E3D">
      <w:pPr>
        <w:pStyle w:val="subsection"/>
        <w:rPr>
          <w:color w:val="000000"/>
        </w:rPr>
      </w:pPr>
      <w:r w:rsidRPr="00EF3347">
        <w:rPr>
          <w:color w:val="000000"/>
        </w:rPr>
        <w:tab/>
      </w:r>
      <w:r w:rsidRPr="00EF3347">
        <w:rPr>
          <w:color w:val="000000"/>
        </w:rPr>
        <w:tab/>
        <w:t xml:space="preserve">The recipient </w:t>
      </w:r>
      <w:r>
        <w:rPr>
          <w:color w:val="000000"/>
        </w:rPr>
        <w:t xml:space="preserve">of a request under </w:t>
      </w:r>
      <w:r w:rsidRPr="00EF3347">
        <w:rPr>
          <w:color w:val="000000"/>
        </w:rPr>
        <w:t xml:space="preserve">subsection 56EP(1) </w:t>
      </w:r>
      <w:r>
        <w:rPr>
          <w:color w:val="000000"/>
        </w:rPr>
        <w:t xml:space="preserve">or </w:t>
      </w:r>
      <w:r w:rsidRPr="00EF3347">
        <w:rPr>
          <w:color w:val="000000"/>
        </w:rPr>
        <w:t>(2) of the Act must:</w:t>
      </w:r>
    </w:p>
    <w:p w14:paraId="5E024AA2" w14:textId="77777777" w:rsidR="00CF0E3D" w:rsidRPr="00EF3347" w:rsidRDefault="00CF0E3D" w:rsidP="00CF0E3D">
      <w:pPr>
        <w:pStyle w:val="paragraph"/>
        <w:rPr>
          <w:color w:val="000000"/>
        </w:rPr>
      </w:pPr>
      <w:r w:rsidRPr="00EF3347">
        <w:rPr>
          <w:color w:val="000000"/>
        </w:rPr>
        <w:tab/>
      </w:r>
      <w:r>
        <w:rPr>
          <w:color w:val="000000"/>
        </w:rPr>
        <w:t>(a)</w:t>
      </w:r>
      <w:r w:rsidRPr="00EF3347">
        <w:rPr>
          <w:color w:val="000000"/>
        </w:rPr>
        <w:tab/>
        <w:t>acknowledge receipt of the request as soon as practicable; and</w:t>
      </w:r>
    </w:p>
    <w:p w14:paraId="18F62038" w14:textId="77777777" w:rsidR="00CF0E3D" w:rsidRDefault="00CF0E3D" w:rsidP="00CF0E3D">
      <w:pPr>
        <w:pStyle w:val="paragraph"/>
        <w:rPr>
          <w:color w:val="000000"/>
        </w:rPr>
      </w:pPr>
      <w:r w:rsidRPr="00EF3347">
        <w:rPr>
          <w:color w:val="000000"/>
        </w:rPr>
        <w:tab/>
      </w:r>
      <w:r>
        <w:rPr>
          <w:color w:val="000000"/>
        </w:rPr>
        <w:t>(b)</w:t>
      </w:r>
      <w:r w:rsidRPr="00EF3347">
        <w:rPr>
          <w:color w:val="000000"/>
        </w:rPr>
        <w:tab/>
        <w:t>within 10 business days after receipt of the request</w:t>
      </w:r>
      <w:r>
        <w:rPr>
          <w:color w:val="000000"/>
        </w:rPr>
        <w:t>, and to the extent that the recipient considers appropriate in relation to the CDR data that was the subject of the request:</w:t>
      </w:r>
    </w:p>
    <w:p w14:paraId="353EB606" w14:textId="77777777" w:rsidR="00CF0E3D" w:rsidRDefault="00CF0E3D" w:rsidP="00CF0E3D">
      <w:pPr>
        <w:pStyle w:val="paragraphsub"/>
        <w:rPr>
          <w:color w:val="000000"/>
        </w:rPr>
      </w:pPr>
      <w:r w:rsidRPr="00EF3347">
        <w:rPr>
          <w:color w:val="000000"/>
        </w:rPr>
        <w:tab/>
      </w:r>
      <w:r>
        <w:rPr>
          <w:color w:val="000000"/>
        </w:rPr>
        <w:t>(i)</w:t>
      </w:r>
      <w:r w:rsidRPr="00EF3347">
        <w:rPr>
          <w:color w:val="000000"/>
        </w:rPr>
        <w:tab/>
      </w:r>
      <w:r w:rsidRPr="00E1300D">
        <w:rPr>
          <w:color w:val="000000" w:themeColor="text1"/>
        </w:rPr>
        <w:t xml:space="preserve">correct </w:t>
      </w:r>
      <w:r w:rsidRPr="00EF3347">
        <w:rPr>
          <w:color w:val="000000"/>
        </w:rPr>
        <w:t>the data;</w:t>
      </w:r>
      <w:r>
        <w:rPr>
          <w:color w:val="000000"/>
        </w:rPr>
        <w:t xml:space="preserve"> or</w:t>
      </w:r>
    </w:p>
    <w:p w14:paraId="41D9C811" w14:textId="77777777" w:rsidR="00CF0E3D" w:rsidRDefault="00CF0E3D" w:rsidP="00CF0E3D">
      <w:pPr>
        <w:pStyle w:val="paragraphsub"/>
        <w:rPr>
          <w:color w:val="000000"/>
        </w:rPr>
      </w:pPr>
      <w:r w:rsidRPr="00EF3347">
        <w:rPr>
          <w:color w:val="000000"/>
        </w:rPr>
        <w:tab/>
      </w:r>
      <w:r>
        <w:rPr>
          <w:color w:val="000000"/>
        </w:rPr>
        <w:t>(ii)</w:t>
      </w:r>
      <w:r w:rsidRPr="00EF3347">
        <w:rPr>
          <w:color w:val="000000"/>
        </w:rPr>
        <w:tab/>
      </w:r>
      <w:r>
        <w:rPr>
          <w:color w:val="000000"/>
        </w:rPr>
        <w:t>do both of the following:</w:t>
      </w:r>
    </w:p>
    <w:p w14:paraId="5ADCFD61" w14:textId="77777777" w:rsidR="00CF0E3D" w:rsidRDefault="00CF0E3D" w:rsidP="00CF0E3D">
      <w:pPr>
        <w:pStyle w:val="paragraphsub-sub"/>
      </w:pPr>
      <w:r>
        <w:tab/>
        <w:t>(A)</w:t>
      </w:r>
      <w:r>
        <w:tab/>
      </w:r>
      <w:r w:rsidRPr="00EF3347">
        <w:t xml:space="preserve">include a statement with the data to ensure that, having regard to the purpose for which </w:t>
      </w:r>
      <w:r>
        <w:t xml:space="preserve">it </w:t>
      </w:r>
      <w:r w:rsidRPr="00EF3347">
        <w:t>is held, the data is accurate, up to date, complete and not misleading</w:t>
      </w:r>
      <w:r>
        <w:t>;</w:t>
      </w:r>
    </w:p>
    <w:p w14:paraId="6AF15DD5" w14:textId="77777777" w:rsidR="00CF0E3D" w:rsidRDefault="00CF0E3D" w:rsidP="00CF0E3D">
      <w:pPr>
        <w:pStyle w:val="paragraphsub-sub"/>
      </w:pPr>
      <w:r>
        <w:tab/>
        <w:t>(B)</w:t>
      </w:r>
      <w:r>
        <w:tab/>
      </w:r>
      <w:r w:rsidRPr="00A804A8">
        <w:t xml:space="preserve">where practicable, </w:t>
      </w:r>
      <w:r>
        <w:t>attach</w:t>
      </w:r>
      <w:r w:rsidRPr="00EF3347">
        <w:t xml:space="preserve"> an electronic link to a digital record of the data</w:t>
      </w:r>
      <w:r>
        <w:t xml:space="preserve"> in such a way that the </w:t>
      </w:r>
      <w:r w:rsidRPr="00EF3347">
        <w:t xml:space="preserve">statement </w:t>
      </w:r>
      <w:r>
        <w:t xml:space="preserve">will be </w:t>
      </w:r>
      <w:r w:rsidRPr="00EF3347">
        <w:t>apparent to any users of the data; and</w:t>
      </w:r>
    </w:p>
    <w:p w14:paraId="48A9AE49" w14:textId="77777777" w:rsidR="00CF0E3D" w:rsidRDefault="00CF0E3D" w:rsidP="00CF0E3D">
      <w:pPr>
        <w:pStyle w:val="paragraph"/>
        <w:rPr>
          <w:color w:val="000000"/>
        </w:rPr>
      </w:pPr>
      <w:r>
        <w:tab/>
        <w:t>(c)</w:t>
      </w:r>
      <w:r>
        <w:tab/>
      </w:r>
      <w:r w:rsidRPr="00EF3347">
        <w:rPr>
          <w:color w:val="000000"/>
        </w:rPr>
        <w:t>give the requester a written notice, by electronic means, that</w:t>
      </w:r>
      <w:r>
        <w:rPr>
          <w:color w:val="000000"/>
        </w:rPr>
        <w:t>:</w:t>
      </w:r>
    </w:p>
    <w:p w14:paraId="309014BE" w14:textId="77777777" w:rsidR="00CF0E3D" w:rsidRDefault="00CF0E3D" w:rsidP="00CF0E3D">
      <w:pPr>
        <w:pStyle w:val="paragraphsub"/>
      </w:pPr>
      <w:r>
        <w:tab/>
        <w:t>(i)</w:t>
      </w:r>
      <w:r>
        <w:tab/>
        <w:t>indicates what the recipient did in response to the request; and</w:t>
      </w:r>
    </w:p>
    <w:p w14:paraId="227877EB" w14:textId="77777777" w:rsidR="00CF0E3D" w:rsidRPr="00E1300D" w:rsidRDefault="00CF0E3D" w:rsidP="00CF0E3D">
      <w:pPr>
        <w:pStyle w:val="paragraphsub"/>
        <w:rPr>
          <w:color w:val="000000" w:themeColor="text1"/>
        </w:rPr>
      </w:pPr>
      <w:r>
        <w:tab/>
      </w:r>
      <w:r>
        <w:rPr>
          <w:color w:val="000000" w:themeColor="text1"/>
        </w:rPr>
        <w:t>(ii)</w:t>
      </w:r>
      <w:r w:rsidRPr="00E1300D">
        <w:rPr>
          <w:color w:val="000000" w:themeColor="text1"/>
        </w:rPr>
        <w:tab/>
        <w:t>if the recipient did not think it appropriate to do either of the things referred to in subparagraphs </w:t>
      </w:r>
      <w:r>
        <w:rPr>
          <w:color w:val="000000" w:themeColor="text1"/>
        </w:rPr>
        <w:t>(b)(i)</w:t>
      </w:r>
      <w:r w:rsidRPr="00E1300D">
        <w:rPr>
          <w:color w:val="000000" w:themeColor="text1"/>
        </w:rPr>
        <w:t xml:space="preserve"> or </w:t>
      </w:r>
      <w:r>
        <w:rPr>
          <w:color w:val="000000" w:themeColor="text1"/>
        </w:rPr>
        <w:t>(ii)</w:t>
      </w:r>
      <w:r w:rsidRPr="00E1300D">
        <w:rPr>
          <w:color w:val="000000" w:themeColor="text1"/>
        </w:rPr>
        <w:t>―states why a correction or statement is unnecessary or inappropriate; and</w:t>
      </w:r>
    </w:p>
    <w:p w14:paraId="029D435F" w14:textId="77777777" w:rsidR="00CF0E3D" w:rsidRPr="00EF3347" w:rsidRDefault="00CF0E3D" w:rsidP="00CF0E3D">
      <w:pPr>
        <w:pStyle w:val="paragraphsub"/>
      </w:pPr>
      <w:r>
        <w:tab/>
        <w:t>(iii)</w:t>
      </w:r>
      <w:r>
        <w:tab/>
      </w:r>
      <w:r w:rsidRPr="00EF3347">
        <w:t>set</w:t>
      </w:r>
      <w:r>
        <w:t>s</w:t>
      </w:r>
      <w:r w:rsidRPr="00EF3347">
        <w:t xml:space="preserve"> out the complaint mechanisms available to the requester.</w:t>
      </w:r>
    </w:p>
    <w:p w14:paraId="662E548C" w14:textId="77777777" w:rsidR="00CF0E3D" w:rsidRPr="009E5F63" w:rsidRDefault="00CF0E3D" w:rsidP="00CF0E3D">
      <w:pPr>
        <w:pStyle w:val="notetext"/>
      </w:pPr>
      <w:r w:rsidRPr="009E5F63">
        <w:t>Note 1:</w:t>
      </w:r>
      <w:r w:rsidRPr="009E5F63">
        <w:tab/>
        <w:t>In relation to subparagraph </w:t>
      </w:r>
      <w:r>
        <w:t>(c)(iii)</w:t>
      </w:r>
      <w:r w:rsidRPr="009E5F63">
        <w:t xml:space="preserve">, see </w:t>
      </w:r>
      <w:r>
        <w:t>Part 6</w:t>
      </w:r>
      <w:r w:rsidRPr="009E5F63">
        <w:t>.</w:t>
      </w:r>
    </w:p>
    <w:p w14:paraId="1A6E722E" w14:textId="77777777" w:rsidR="00CF0E3D" w:rsidRDefault="00CF0E3D" w:rsidP="00CF0E3D">
      <w:pPr>
        <w:pStyle w:val="notetext"/>
      </w:pPr>
      <w:r w:rsidRPr="009E5F63">
        <w:t>Note 2:</w:t>
      </w:r>
      <w:r w:rsidRPr="009E5F63">
        <w:tab/>
        <w:t>The written notice could be given through the accredited person’s or the data holder’s consumer dashboard (see rules </w:t>
      </w:r>
      <w:r>
        <w:t>1.14</w:t>
      </w:r>
      <w:r w:rsidRPr="009E5F63">
        <w:t xml:space="preserve"> and </w:t>
      </w:r>
      <w:r>
        <w:t>1.15</w:t>
      </w:r>
      <w:r w:rsidRPr="009E5F63">
        <w:t>).</w:t>
      </w:r>
    </w:p>
    <w:p w14:paraId="1E103699" w14:textId="6F92D004" w:rsidR="00C94444" w:rsidRPr="00693A57" w:rsidRDefault="00C94444" w:rsidP="00CF0E3D">
      <w:pPr>
        <w:pStyle w:val="notetext"/>
        <w:rPr>
          <w:color w:val="FF0000"/>
        </w:rPr>
      </w:pPr>
      <w:r w:rsidRPr="00693A57">
        <w:rPr>
          <w:color w:val="FF0000"/>
        </w:rPr>
        <w:t>Note 3:</w:t>
      </w:r>
      <w:r w:rsidRPr="00693A57">
        <w:rPr>
          <w:color w:val="FF0000"/>
        </w:rPr>
        <w:tab/>
        <w:t xml:space="preserve">See also, in relation to the energy sector, clause </w:t>
      </w:r>
      <w:r w:rsidRPr="00693A57">
        <w:rPr>
          <w:color w:val="FF0000"/>
        </w:rPr>
        <w:fldChar w:fldCharType="begin" w:fldLock="1"/>
      </w:r>
      <w:r w:rsidRPr="00693A57">
        <w:rPr>
          <w:color w:val="FF0000"/>
        </w:rPr>
        <w:instrText xml:space="preserve"> REF _Ref76052516 \n </w:instrText>
      </w:r>
      <w:r w:rsidRPr="00693A57">
        <w:rPr>
          <w:color w:val="FF0000"/>
        </w:rPr>
        <w:fldChar w:fldCharType="separate"/>
      </w:r>
      <w:r w:rsidR="000F7228">
        <w:rPr>
          <w:color w:val="FF0000"/>
        </w:rPr>
        <w:t>6.1</w:t>
      </w:r>
      <w:r w:rsidRPr="00693A57">
        <w:rPr>
          <w:color w:val="FF0000"/>
        </w:rPr>
        <w:fldChar w:fldCharType="end"/>
      </w:r>
      <w:r w:rsidRPr="00693A57">
        <w:rPr>
          <w:color w:val="FF0000"/>
        </w:rPr>
        <w:t xml:space="preserve"> of Schedule 4.</w:t>
      </w:r>
    </w:p>
    <w:p w14:paraId="7223BF13" w14:textId="39F8484D" w:rsidR="00110ECD" w:rsidRPr="00693A57" w:rsidRDefault="00110ECD" w:rsidP="00110ECD">
      <w:pPr>
        <w:pStyle w:val="ActHead5"/>
        <w:rPr>
          <w:color w:val="0000FF"/>
        </w:rPr>
      </w:pPr>
      <w:bookmarkStart w:id="495" w:name="_Toc77065023"/>
      <w:r w:rsidRPr="00693A57">
        <w:rPr>
          <w:color w:val="0000FF"/>
        </w:rPr>
        <w:t>7.1</w:t>
      </w:r>
      <w:r w:rsidR="00EA6996" w:rsidRPr="00693A57">
        <w:rPr>
          <w:color w:val="0000FF"/>
        </w:rPr>
        <w:t>6</w:t>
      </w:r>
      <w:r w:rsidRPr="00693A57">
        <w:rPr>
          <w:color w:val="0000FF"/>
        </w:rPr>
        <w:t xml:space="preserve">  Rule relating to privacy safeguard 1</w:t>
      </w:r>
      <w:r w:rsidR="00C94444" w:rsidRPr="00693A57">
        <w:rPr>
          <w:color w:val="0000FF"/>
        </w:rPr>
        <w:t>3</w:t>
      </w:r>
      <w:r w:rsidRPr="00693A57">
        <w:rPr>
          <w:color w:val="0000FF"/>
        </w:rPr>
        <w:t>—</w:t>
      </w:r>
      <w:r w:rsidR="009C6E6B" w:rsidRPr="00693A57">
        <w:rPr>
          <w:color w:val="0000FF"/>
        </w:rPr>
        <w:t>correction of data</w:t>
      </w:r>
      <w:r w:rsidRPr="00693A57">
        <w:rPr>
          <w:color w:val="0000FF"/>
        </w:rPr>
        <w:t>—</w:t>
      </w:r>
      <w:r w:rsidR="00182338" w:rsidRPr="00693A57">
        <w:rPr>
          <w:color w:val="0000FF"/>
        </w:rPr>
        <w:t>CDR representative</w:t>
      </w:r>
      <w:bookmarkEnd w:id="495"/>
    </w:p>
    <w:p w14:paraId="60662B9E" w14:textId="3E465B01" w:rsidR="00110ECD" w:rsidRPr="00693A57" w:rsidRDefault="00110ECD" w:rsidP="00110ECD">
      <w:pPr>
        <w:pStyle w:val="subsection"/>
        <w:rPr>
          <w:color w:val="0000FF"/>
        </w:rPr>
      </w:pPr>
      <w:r w:rsidRPr="00693A57">
        <w:rPr>
          <w:color w:val="0000FF"/>
        </w:rPr>
        <w:tab/>
        <w:t>(1)</w:t>
      </w:r>
      <w:r w:rsidRPr="00693A57">
        <w:rPr>
          <w:color w:val="0000FF"/>
        </w:rPr>
        <w:tab/>
        <w:t xml:space="preserve">A CDR principal breaches this subrule if its </w:t>
      </w:r>
      <w:r w:rsidR="00182338" w:rsidRPr="00693A57">
        <w:rPr>
          <w:color w:val="0000FF"/>
        </w:rPr>
        <w:t>CDR representative</w:t>
      </w:r>
      <w:r w:rsidRPr="00693A57">
        <w:rPr>
          <w:color w:val="0000FF"/>
        </w:rPr>
        <w:t xml:space="preserve"> fails to comply with subsection 56E</w:t>
      </w:r>
      <w:r w:rsidR="009C6E6B" w:rsidRPr="00693A57">
        <w:rPr>
          <w:color w:val="0000FF"/>
        </w:rPr>
        <w:t>P</w:t>
      </w:r>
      <w:r w:rsidRPr="00693A57">
        <w:rPr>
          <w:color w:val="0000FF"/>
        </w:rPr>
        <w:t>(2) of the Act in relation to service data of a CDR consumer as if it were an accredited person.</w:t>
      </w:r>
    </w:p>
    <w:p w14:paraId="4AA44602" w14:textId="17C434DE" w:rsidR="00110ECD" w:rsidRPr="00693A57" w:rsidRDefault="00110ECD" w:rsidP="00110ECD">
      <w:pPr>
        <w:pStyle w:val="notetext"/>
        <w:rPr>
          <w:color w:val="0000FF"/>
        </w:rPr>
      </w:pPr>
      <w:r w:rsidRPr="00693A57">
        <w:rPr>
          <w:color w:val="0000FF"/>
        </w:rPr>
        <w:lastRenderedPageBreak/>
        <w:t>Note 1:</w:t>
      </w:r>
      <w:r w:rsidRPr="00693A57">
        <w:rPr>
          <w:color w:val="0000FF"/>
        </w:rPr>
        <w:tab/>
        <w:t xml:space="preserve">See rule 1.10 for the definition of “service data” in relation to a </w:t>
      </w:r>
      <w:r w:rsidR="00182338" w:rsidRPr="00693A57">
        <w:rPr>
          <w:color w:val="0000FF"/>
        </w:rPr>
        <w:t>CDR representative</w:t>
      </w:r>
      <w:r w:rsidRPr="00693A57">
        <w:rPr>
          <w:color w:val="0000FF"/>
        </w:rPr>
        <w:t xml:space="preserve"> arrangement.</w:t>
      </w:r>
    </w:p>
    <w:p w14:paraId="1B1E8D00" w14:textId="77777777" w:rsidR="00110ECD" w:rsidRPr="00693A57" w:rsidRDefault="00110ECD" w:rsidP="00110ECD">
      <w:pPr>
        <w:pStyle w:val="notetext"/>
        <w:rPr>
          <w:color w:val="0000FF"/>
        </w:rPr>
      </w:pPr>
      <w:r w:rsidRPr="00693A57">
        <w:rPr>
          <w:color w:val="0000FF"/>
        </w:rPr>
        <w:t>Note 2:</w:t>
      </w:r>
      <w:r w:rsidRPr="00693A57">
        <w:rPr>
          <w:color w:val="0000FF"/>
        </w:rPr>
        <w:tab/>
        <w:t>This subrule is a civil penalty provision (see rule 9.8).</w:t>
      </w:r>
    </w:p>
    <w:p w14:paraId="7C12A3D3" w14:textId="652CC71A" w:rsidR="00110ECD" w:rsidRPr="00693A57" w:rsidRDefault="00110ECD" w:rsidP="00DD6B28">
      <w:pPr>
        <w:pStyle w:val="subsection"/>
        <w:rPr>
          <w:color w:val="0000FF"/>
        </w:rPr>
      </w:pPr>
      <w:r w:rsidRPr="00693A57">
        <w:rPr>
          <w:color w:val="0000FF"/>
        </w:rPr>
        <w:tab/>
        <w:t>(2)</w:t>
      </w:r>
      <w:r w:rsidRPr="00693A57">
        <w:rPr>
          <w:color w:val="0000FF"/>
        </w:rPr>
        <w:tab/>
        <w:t xml:space="preserve">For subrule (2), it is irrelevant whether the action of the </w:t>
      </w:r>
      <w:r w:rsidR="00182338" w:rsidRPr="00693A57">
        <w:rPr>
          <w:color w:val="0000FF"/>
        </w:rPr>
        <w:t>CDR representative</w:t>
      </w:r>
      <w:r w:rsidRPr="00693A57">
        <w:rPr>
          <w:color w:val="0000FF"/>
        </w:rPr>
        <w:t xml:space="preserve"> in relation to the service data is in accordance with the </w:t>
      </w:r>
      <w:r w:rsidR="00182338" w:rsidRPr="00693A57">
        <w:rPr>
          <w:color w:val="0000FF"/>
        </w:rPr>
        <w:t>CDR representative</w:t>
      </w:r>
      <w:r w:rsidR="00DD6B28" w:rsidRPr="00693A57">
        <w:rPr>
          <w:color w:val="0000FF"/>
        </w:rPr>
        <w:t xml:space="preserve"> arrangement.</w:t>
      </w:r>
    </w:p>
    <w:p w14:paraId="1A1F07BC" w14:textId="77777777" w:rsidR="00CF0E3D" w:rsidRPr="009E5F63" w:rsidRDefault="00CF0E3D" w:rsidP="00CF0E3D">
      <w:pPr>
        <w:pStyle w:val="subsection"/>
        <w:sectPr w:rsidR="00CF0E3D" w:rsidRPr="009E5F63" w:rsidSect="00C81B0F">
          <w:headerReference w:type="even" r:id="rId19"/>
          <w:headerReference w:type="default" r:id="rId20"/>
          <w:footerReference w:type="even" r:id="rId21"/>
          <w:pgSz w:w="11907" w:h="16839" w:code="9"/>
          <w:pgMar w:top="2234" w:right="1797" w:bottom="1440" w:left="1797" w:header="720" w:footer="709" w:gutter="0"/>
          <w:cols w:space="708"/>
          <w:docGrid w:linePitch="360"/>
        </w:sectPr>
      </w:pPr>
    </w:p>
    <w:p w14:paraId="3378738A" w14:textId="4DCB7EA8" w:rsidR="00CF0E3D" w:rsidRDefault="00CF0E3D" w:rsidP="00CF0E3D">
      <w:pPr>
        <w:pStyle w:val="ActHead2"/>
      </w:pPr>
      <w:bookmarkStart w:id="496" w:name="_Toc11771681"/>
      <w:bookmarkStart w:id="497" w:name="_Toc77065024"/>
      <w:r>
        <w:lastRenderedPageBreak/>
        <w:t>Part 8—Rules relating to data standards</w:t>
      </w:r>
      <w:bookmarkEnd w:id="496"/>
      <w:bookmarkEnd w:id="497"/>
    </w:p>
    <w:p w14:paraId="2EF55079" w14:textId="6F30291A" w:rsidR="00CF0E3D" w:rsidRPr="00B3173B" w:rsidRDefault="00CF0E3D" w:rsidP="00CF0E3D">
      <w:pPr>
        <w:pStyle w:val="ActHead3"/>
      </w:pPr>
      <w:bookmarkStart w:id="498" w:name="_Toc11771682"/>
      <w:bookmarkStart w:id="499" w:name="_Toc77065025"/>
      <w:r>
        <w:t>Division 8.1</w:t>
      </w:r>
      <w:r w:rsidRPr="00B3173B">
        <w:t>—</w:t>
      </w:r>
      <w:bookmarkEnd w:id="498"/>
      <w:r>
        <w:t>Preliminary</w:t>
      </w:r>
      <w:bookmarkEnd w:id="499"/>
    </w:p>
    <w:p w14:paraId="141CF58C" w14:textId="5331882D" w:rsidR="00CF0E3D" w:rsidRPr="00B3173B" w:rsidRDefault="00CF0E3D" w:rsidP="00CF0E3D">
      <w:pPr>
        <w:pStyle w:val="ActHead5"/>
      </w:pPr>
      <w:bookmarkStart w:id="500" w:name="_Toc11771683"/>
      <w:bookmarkStart w:id="501" w:name="_Toc77065026"/>
      <w:r>
        <w:t>8.1</w:t>
      </w:r>
      <w:r w:rsidRPr="00B3173B">
        <w:t xml:space="preserve">  Simplified outline of this Part</w:t>
      </w:r>
      <w:bookmarkEnd w:id="500"/>
      <w:bookmarkEnd w:id="501"/>
    </w:p>
    <w:p w14:paraId="3604A931" w14:textId="77777777" w:rsidR="00CF0E3D" w:rsidRDefault="00CF0E3D" w:rsidP="00CF0E3D">
      <w:pPr>
        <w:pStyle w:val="SOText"/>
        <w:rPr>
          <w:color w:val="000000"/>
        </w:rPr>
      </w:pPr>
      <w:r>
        <w:rPr>
          <w:color w:val="000000"/>
        </w:rPr>
        <w:t>Product data requests and consumer data requests under these rules are made in accordance with data standards, which are made under Division 6 of Part IVD of the Act.</w:t>
      </w:r>
    </w:p>
    <w:p w14:paraId="6BDB9284" w14:textId="77777777" w:rsidR="00CF0E3D" w:rsidRDefault="00CF0E3D" w:rsidP="00CF0E3D">
      <w:pPr>
        <w:pStyle w:val="SOText"/>
        <w:rPr>
          <w:color w:val="000000"/>
        </w:rPr>
      </w:pPr>
      <w:r>
        <w:rPr>
          <w:color w:val="000000"/>
        </w:rPr>
        <w:t>This Part of these rules sets out rules relating to data standards.</w:t>
      </w:r>
    </w:p>
    <w:p w14:paraId="6190CA5C" w14:textId="1E61047E" w:rsidR="00CF0E3D" w:rsidRDefault="00CF0E3D" w:rsidP="00CF0E3D">
      <w:pPr>
        <w:pStyle w:val="SOText"/>
      </w:pPr>
      <w:r>
        <w:rPr>
          <w:color w:val="000000"/>
        </w:rPr>
        <w:t>The Data Standards Chair is established by the Act and is responsible for making data standards. The Data Standards Chair is required to establish</w:t>
      </w:r>
      <w:r w:rsidR="00210486" w:rsidRPr="009C6022">
        <w:t xml:space="preserve"> </w:t>
      </w:r>
      <w:r w:rsidR="00210486" w:rsidRPr="00693A57">
        <w:rPr>
          <w:color w:val="FF0000"/>
        </w:rPr>
        <w:t>Data Standards Advisory Committees</w:t>
      </w:r>
      <w:r w:rsidR="00210486" w:rsidRPr="00693A57">
        <w:rPr>
          <w:strike/>
          <w:color w:val="FF0000"/>
        </w:rPr>
        <w:t xml:space="preserve"> a Data Standards Advisory Committee</w:t>
      </w:r>
      <w:r w:rsidR="00210486">
        <w:t xml:space="preserve"> </w:t>
      </w:r>
      <w:r>
        <w:t>to advise the Chair about data standards.</w:t>
      </w:r>
    </w:p>
    <w:p w14:paraId="0AB027BB" w14:textId="77777777" w:rsidR="00CF0E3D" w:rsidRPr="00641354" w:rsidRDefault="00CF0E3D" w:rsidP="00CF0E3D">
      <w:pPr>
        <w:pStyle w:val="SOText"/>
        <w:rPr>
          <w:color w:val="000000"/>
        </w:rPr>
      </w:pPr>
      <w:r>
        <w:t>This Part also sets out procedural requirements for making, amending and reviewing data standards, and specifies data standards that the Data Standards Chair is required to make. These are all binding data standards.</w:t>
      </w:r>
    </w:p>
    <w:p w14:paraId="22F0F186" w14:textId="77777777" w:rsidR="00CF0E3D" w:rsidRPr="00F02FA2" w:rsidRDefault="00CF0E3D" w:rsidP="00CF0E3D">
      <w:pPr>
        <w:pStyle w:val="notemargin"/>
      </w:pPr>
    </w:p>
    <w:p w14:paraId="106E6B30" w14:textId="1B725795" w:rsidR="00CF0E3D" w:rsidRPr="00210486" w:rsidRDefault="00CF0E3D" w:rsidP="00210486">
      <w:pPr>
        <w:pStyle w:val="ActHead3"/>
        <w:pageBreakBefore/>
        <w:outlineLvl w:val="4"/>
      </w:pPr>
      <w:bookmarkStart w:id="502" w:name="_Toc11771684"/>
      <w:bookmarkStart w:id="503" w:name="_Toc77065027"/>
      <w:r>
        <w:lastRenderedPageBreak/>
        <w:t xml:space="preserve">Division 8.2—Data Standards Advisory </w:t>
      </w:r>
      <w:bookmarkEnd w:id="502"/>
      <w:r w:rsidR="00210486" w:rsidRPr="00693A57">
        <w:rPr>
          <w:color w:val="FF0000"/>
        </w:rPr>
        <w:t>Committees</w:t>
      </w:r>
      <w:r w:rsidR="00210486" w:rsidRPr="00693A57">
        <w:rPr>
          <w:strike/>
          <w:color w:val="FF0000"/>
        </w:rPr>
        <w:t xml:space="preserve"> </w:t>
      </w:r>
      <w:r w:rsidR="00C144A3" w:rsidRPr="00693A57">
        <w:rPr>
          <w:strike/>
          <w:color w:val="FF0000"/>
        </w:rPr>
        <w:t>Committee</w:t>
      </w:r>
      <w:bookmarkEnd w:id="503"/>
    </w:p>
    <w:p w14:paraId="7712CB2E" w14:textId="2F3F0954" w:rsidR="00CF0E3D" w:rsidRPr="00693A57" w:rsidRDefault="00CF0E3D" w:rsidP="00CF0E3D">
      <w:pPr>
        <w:pStyle w:val="ActHead5"/>
        <w:rPr>
          <w:color w:val="FF0000"/>
        </w:rPr>
      </w:pPr>
      <w:bookmarkStart w:id="504" w:name="_Toc11771685"/>
      <w:bookmarkStart w:id="505" w:name="_Toc77065028"/>
      <w:r w:rsidRPr="00693A57">
        <w:rPr>
          <w:color w:val="FF0000"/>
        </w:rPr>
        <w:t xml:space="preserve">8.2  Establishment of Data Standards Advisory </w:t>
      </w:r>
      <w:bookmarkEnd w:id="504"/>
      <w:r w:rsidR="00C144A3" w:rsidRPr="00693A57">
        <w:rPr>
          <w:color w:val="FF0000"/>
        </w:rPr>
        <w:t>Committee</w:t>
      </w:r>
      <w:bookmarkEnd w:id="505"/>
    </w:p>
    <w:p w14:paraId="27098D23" w14:textId="2ACD1A63" w:rsidR="00CF0E3D" w:rsidRPr="00693A57" w:rsidRDefault="00CF0E3D" w:rsidP="00CF0E3D">
      <w:pPr>
        <w:pStyle w:val="subsection"/>
        <w:rPr>
          <w:color w:val="FF0000"/>
        </w:rPr>
      </w:pPr>
      <w:r w:rsidRPr="00693A57">
        <w:rPr>
          <w:color w:val="FF0000"/>
        </w:rPr>
        <w:tab/>
      </w:r>
      <w:r w:rsidR="002B7525" w:rsidRPr="00693A57">
        <w:rPr>
          <w:color w:val="FF0000"/>
        </w:rPr>
        <w:t>(1)</w:t>
      </w:r>
      <w:r w:rsidRPr="00693A57">
        <w:rPr>
          <w:color w:val="FF0000"/>
        </w:rPr>
        <w:tab/>
        <w:t xml:space="preserve">The Data Standards Chair must, by written instrument, establish and maintain a committee to advise the Chair about data standards </w:t>
      </w:r>
      <w:r w:rsidR="002B7525" w:rsidRPr="00693A57">
        <w:rPr>
          <w:color w:val="FF0000"/>
        </w:rPr>
        <w:t xml:space="preserve">in relation to each designated sector </w:t>
      </w:r>
      <w:r w:rsidR="00DD6B28" w:rsidRPr="00693A57">
        <w:rPr>
          <w:color w:val="FF0000"/>
        </w:rPr>
        <w:t xml:space="preserve">(a </w:t>
      </w:r>
      <w:r w:rsidR="00DD6B28" w:rsidRPr="00693A57">
        <w:rPr>
          <w:b/>
          <w:i/>
          <w:color w:val="FF0000"/>
        </w:rPr>
        <w:t>Data</w:t>
      </w:r>
      <w:r w:rsidR="008D47AA" w:rsidRPr="00693A57">
        <w:rPr>
          <w:b/>
          <w:i/>
          <w:color w:val="FF0000"/>
        </w:rPr>
        <w:t xml:space="preserve"> </w:t>
      </w:r>
      <w:r w:rsidRPr="00693A57">
        <w:rPr>
          <w:b/>
          <w:i/>
          <w:color w:val="FF0000"/>
        </w:rPr>
        <w:t>Standards Advisory Committee</w:t>
      </w:r>
      <w:r w:rsidRPr="00693A57">
        <w:rPr>
          <w:color w:val="FF0000"/>
        </w:rPr>
        <w:t>).</w:t>
      </w:r>
    </w:p>
    <w:p w14:paraId="34784112" w14:textId="77777777" w:rsidR="00CF0E3D" w:rsidRPr="00693A57" w:rsidRDefault="00CF0E3D" w:rsidP="00CF0E3D">
      <w:pPr>
        <w:pStyle w:val="notetext"/>
        <w:rPr>
          <w:color w:val="FF0000"/>
          <w:shd w:val="clear" w:color="auto" w:fill="FFFFFF"/>
        </w:rPr>
      </w:pPr>
      <w:r w:rsidRPr="00693A57">
        <w:rPr>
          <w:color w:val="FF0000"/>
          <w:shd w:val="clear" w:color="auto" w:fill="FFFFFF"/>
        </w:rPr>
        <w:t>Note:</w:t>
      </w:r>
      <w:r w:rsidRPr="00693A57">
        <w:rPr>
          <w:color w:val="FF0000"/>
          <w:shd w:val="clear" w:color="auto" w:fill="FFFFFF"/>
        </w:rPr>
        <w:tab/>
        <w:t>For variation and revocation, see subsection 33(3) of the </w:t>
      </w:r>
      <w:r w:rsidRPr="00693A57">
        <w:rPr>
          <w:i/>
          <w:iCs/>
          <w:color w:val="FF0000"/>
          <w:shd w:val="clear" w:color="auto" w:fill="FFFFFF"/>
        </w:rPr>
        <w:t>Acts Interpretation Act 1901</w:t>
      </w:r>
      <w:r w:rsidRPr="00693A57">
        <w:rPr>
          <w:iCs/>
          <w:color w:val="FF0000"/>
        </w:rPr>
        <w:t xml:space="preserve"> and paragraph 13(1)(a) of the </w:t>
      </w:r>
      <w:r w:rsidRPr="00693A57">
        <w:rPr>
          <w:i/>
          <w:iCs/>
          <w:color w:val="FF0000"/>
        </w:rPr>
        <w:t>Legislation Act 2003</w:t>
      </w:r>
      <w:r w:rsidRPr="00693A57">
        <w:rPr>
          <w:color w:val="FF0000"/>
          <w:shd w:val="clear" w:color="auto" w:fill="FFFFFF"/>
        </w:rPr>
        <w:t>.</w:t>
      </w:r>
    </w:p>
    <w:p w14:paraId="3B901823" w14:textId="24D9035E" w:rsidR="002B7525" w:rsidRPr="00693A57" w:rsidRDefault="002B7525" w:rsidP="002B7525">
      <w:pPr>
        <w:pStyle w:val="subsection"/>
        <w:rPr>
          <w:color w:val="FF0000"/>
          <w:shd w:val="clear" w:color="auto" w:fill="FFFFFF"/>
        </w:rPr>
      </w:pPr>
      <w:r w:rsidRPr="00693A57">
        <w:rPr>
          <w:color w:val="FF0000"/>
          <w:shd w:val="clear" w:color="auto" w:fill="FFFFFF"/>
        </w:rPr>
        <w:tab/>
        <w:t>(2)</w:t>
      </w:r>
      <w:r w:rsidRPr="00693A57">
        <w:rPr>
          <w:color w:val="FF0000"/>
          <w:shd w:val="clear" w:color="auto" w:fill="FFFFFF"/>
        </w:rPr>
        <w:tab/>
        <w:t>To avoid doubt, a Data Standards Advisory Committee may be appointed to cover more than one desig</w:t>
      </w:r>
      <w:r w:rsidR="00136F08" w:rsidRPr="00693A57">
        <w:rPr>
          <w:color w:val="FF0000"/>
          <w:shd w:val="clear" w:color="auto" w:fill="FFFFFF"/>
        </w:rPr>
        <w:t>n</w:t>
      </w:r>
      <w:r w:rsidRPr="00693A57">
        <w:rPr>
          <w:color w:val="FF0000"/>
          <w:shd w:val="clear" w:color="auto" w:fill="FFFFFF"/>
        </w:rPr>
        <w:t>ated sector.</w:t>
      </w:r>
      <w:r w:rsidRPr="00693A57">
        <w:rPr>
          <w:color w:val="FF0000"/>
          <w:shd w:val="clear" w:color="auto" w:fill="FFFFFF"/>
        </w:rPr>
        <w:tab/>
      </w:r>
    </w:p>
    <w:p w14:paraId="786AC750" w14:textId="77777777" w:rsidR="008D47AA" w:rsidRPr="00693A57" w:rsidRDefault="008D47AA" w:rsidP="008D47AA">
      <w:pPr>
        <w:pStyle w:val="ActHead5"/>
        <w:rPr>
          <w:strike/>
          <w:color w:val="FF0000"/>
        </w:rPr>
      </w:pPr>
      <w:bookmarkStart w:id="506" w:name="_Toc77065029"/>
      <w:bookmarkStart w:id="507" w:name="_Toc11771686"/>
      <w:r w:rsidRPr="00693A57">
        <w:rPr>
          <w:strike/>
          <w:color w:val="FF0000"/>
        </w:rPr>
        <w:t>8.2  Establishment of Data Standards Advisory Committee</w:t>
      </w:r>
      <w:bookmarkEnd w:id="506"/>
    </w:p>
    <w:p w14:paraId="4CBA0AFD" w14:textId="4AFD844B" w:rsidR="008D47AA" w:rsidRPr="00693A57" w:rsidRDefault="008D47AA" w:rsidP="008D47AA">
      <w:pPr>
        <w:pStyle w:val="subsection"/>
        <w:rPr>
          <w:strike/>
          <w:color w:val="FF0000"/>
        </w:rPr>
      </w:pPr>
      <w:r w:rsidRPr="00693A57">
        <w:rPr>
          <w:strike/>
          <w:color w:val="FF0000"/>
        </w:rPr>
        <w:tab/>
      </w:r>
      <w:r w:rsidRPr="00693A57">
        <w:rPr>
          <w:strike/>
          <w:color w:val="FF0000"/>
        </w:rPr>
        <w:tab/>
        <w:t xml:space="preserve">The Data Standards Chair must, by written instrument, establish and maintain a committee to advise the Chair about data standards (the </w:t>
      </w:r>
      <w:r w:rsidRPr="00693A57">
        <w:rPr>
          <w:b/>
          <w:i/>
          <w:strike/>
          <w:color w:val="FF0000"/>
        </w:rPr>
        <w:t>Data Standards Advisory Committee</w:t>
      </w:r>
      <w:r w:rsidRPr="00693A57">
        <w:rPr>
          <w:strike/>
          <w:color w:val="FF0000"/>
        </w:rPr>
        <w:t>).</w:t>
      </w:r>
    </w:p>
    <w:p w14:paraId="18447556" w14:textId="77777777" w:rsidR="008D47AA" w:rsidRPr="00693A57" w:rsidRDefault="008D47AA" w:rsidP="008D47AA">
      <w:pPr>
        <w:pStyle w:val="notetext"/>
        <w:rPr>
          <w:strike/>
          <w:color w:val="FF0000"/>
          <w:shd w:val="clear" w:color="auto" w:fill="FFFFFF"/>
        </w:rPr>
      </w:pPr>
      <w:r w:rsidRPr="00693A57">
        <w:rPr>
          <w:strike/>
          <w:color w:val="FF0000"/>
          <w:shd w:val="clear" w:color="auto" w:fill="FFFFFF"/>
        </w:rPr>
        <w:t>Note:</w:t>
      </w:r>
      <w:r w:rsidRPr="00693A57">
        <w:rPr>
          <w:strike/>
          <w:color w:val="FF0000"/>
          <w:shd w:val="clear" w:color="auto" w:fill="FFFFFF"/>
        </w:rPr>
        <w:tab/>
        <w:t>For variation and revocation, see subsection 33(3) of the </w:t>
      </w:r>
      <w:r w:rsidRPr="00693A57">
        <w:rPr>
          <w:i/>
          <w:iCs/>
          <w:strike/>
          <w:color w:val="FF0000"/>
          <w:shd w:val="clear" w:color="auto" w:fill="FFFFFF"/>
        </w:rPr>
        <w:t>Acts Interpretation Act 1901</w:t>
      </w:r>
      <w:r w:rsidRPr="00693A57">
        <w:rPr>
          <w:iCs/>
          <w:strike/>
          <w:color w:val="FF0000"/>
        </w:rPr>
        <w:t xml:space="preserve"> and paragraph 13(1)(a) of the </w:t>
      </w:r>
      <w:r w:rsidRPr="00693A57">
        <w:rPr>
          <w:i/>
          <w:iCs/>
          <w:strike/>
          <w:color w:val="FF0000"/>
        </w:rPr>
        <w:t>Legislation Act 2003</w:t>
      </w:r>
      <w:r w:rsidRPr="00693A57">
        <w:rPr>
          <w:strike/>
          <w:color w:val="FF0000"/>
          <w:shd w:val="clear" w:color="auto" w:fill="FFFFFF"/>
        </w:rPr>
        <w:t>.</w:t>
      </w:r>
    </w:p>
    <w:p w14:paraId="046522B7" w14:textId="6161CD62" w:rsidR="00CF0E3D" w:rsidRDefault="00CF0E3D" w:rsidP="00CF0E3D">
      <w:pPr>
        <w:pStyle w:val="ActHead5"/>
      </w:pPr>
      <w:bookmarkStart w:id="508" w:name="_Toc77065030"/>
      <w:r>
        <w:t xml:space="preserve">8.3  Functions of Data Standards Advisory </w:t>
      </w:r>
      <w:bookmarkEnd w:id="507"/>
      <w:r w:rsidR="00C144A3">
        <w:t>Committee</w:t>
      </w:r>
      <w:bookmarkEnd w:id="508"/>
    </w:p>
    <w:p w14:paraId="36F16B6C" w14:textId="56F7AB9C" w:rsidR="00CF0E3D" w:rsidRDefault="00CF0E3D" w:rsidP="00CF0E3D">
      <w:pPr>
        <w:pStyle w:val="subsection"/>
      </w:pPr>
      <w:r>
        <w:tab/>
      </w:r>
      <w:r>
        <w:tab/>
        <w:t xml:space="preserve">The function </w:t>
      </w:r>
      <w:r w:rsidR="00C144A3" w:rsidRPr="00C144A3">
        <w:t>of</w:t>
      </w:r>
      <w:r w:rsidR="00C144A3" w:rsidRPr="00693A57">
        <w:rPr>
          <w:color w:val="FF0000"/>
        </w:rPr>
        <w:t xml:space="preserve"> </w:t>
      </w:r>
      <w:r w:rsidR="00DD6B28" w:rsidRPr="00693A57">
        <w:rPr>
          <w:color w:val="FF0000"/>
        </w:rPr>
        <w:t>a</w:t>
      </w:r>
      <w:r w:rsidR="00DD6B28">
        <w:t xml:space="preserve"> </w:t>
      </w:r>
      <w:r w:rsidR="00DD6B28" w:rsidRPr="00693A57">
        <w:rPr>
          <w:color w:val="FF0000"/>
        </w:rPr>
        <w:t>Data</w:t>
      </w:r>
      <w:r w:rsidR="008D47AA" w:rsidRPr="00693A57">
        <w:rPr>
          <w:color w:val="FF0000"/>
        </w:rPr>
        <w:t xml:space="preserve"> Standards Advisory Committee</w:t>
      </w:r>
      <w:r w:rsidR="00DD6B28" w:rsidRPr="00210486">
        <w:rPr>
          <w:strike/>
        </w:rPr>
        <w:t xml:space="preserve"> </w:t>
      </w:r>
      <w:r w:rsidR="00C144A3" w:rsidRPr="00693A57">
        <w:rPr>
          <w:strike/>
          <w:color w:val="FF0000"/>
        </w:rPr>
        <w:t xml:space="preserve">the </w:t>
      </w:r>
      <w:r w:rsidRPr="00693A57">
        <w:rPr>
          <w:strike/>
          <w:color w:val="FF0000"/>
        </w:rPr>
        <w:t>Data Standards Advisory Committee</w:t>
      </w:r>
      <w:r w:rsidRPr="008D47AA">
        <w:t xml:space="preserve"> </w:t>
      </w:r>
      <w:r>
        <w:t>is to advise the Data Standards Chair about:</w:t>
      </w:r>
    </w:p>
    <w:p w14:paraId="66B2D6C3" w14:textId="77777777" w:rsidR="00CF0E3D" w:rsidRDefault="00CF0E3D" w:rsidP="00CF0E3D">
      <w:pPr>
        <w:pStyle w:val="paragraph"/>
      </w:pPr>
      <w:r>
        <w:tab/>
        <w:t>(a)</w:t>
      </w:r>
      <w:r>
        <w:tab/>
        <w:t>any matters identified in the instrument establishing the Committee; and</w:t>
      </w:r>
    </w:p>
    <w:p w14:paraId="75E5F072" w14:textId="77777777" w:rsidR="00CF0E3D" w:rsidRDefault="00CF0E3D" w:rsidP="00CF0E3D">
      <w:pPr>
        <w:pStyle w:val="paragraph"/>
      </w:pPr>
      <w:r>
        <w:tab/>
        <w:t>(b)</w:t>
      </w:r>
      <w:r>
        <w:tab/>
        <w:t>any other matter referred to the Committee by the Chair.</w:t>
      </w:r>
    </w:p>
    <w:p w14:paraId="11463E0D" w14:textId="70A8C446" w:rsidR="00CF0E3D" w:rsidRDefault="00CF0E3D" w:rsidP="00CF0E3D">
      <w:pPr>
        <w:pStyle w:val="ActHead5"/>
      </w:pPr>
      <w:bookmarkStart w:id="509" w:name="_Toc11771687"/>
      <w:bookmarkStart w:id="510" w:name="_Toc77065031"/>
      <w:r>
        <w:t xml:space="preserve">8.4  Appointment to Data Standards Advisory </w:t>
      </w:r>
      <w:bookmarkEnd w:id="509"/>
      <w:r w:rsidR="00C144A3">
        <w:t>Committee</w:t>
      </w:r>
      <w:bookmarkEnd w:id="510"/>
    </w:p>
    <w:p w14:paraId="4EC73D48"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The Data Standards Chair:</w:t>
      </w:r>
    </w:p>
    <w:p w14:paraId="4C86D4B6" w14:textId="1C7CB492" w:rsidR="00CF0E3D"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 xml:space="preserve">must appoint to </w:t>
      </w:r>
      <w:r w:rsidR="008D47AA" w:rsidRPr="00693A57">
        <w:rPr>
          <w:color w:val="FF0000"/>
        </w:rPr>
        <w:t>a</w:t>
      </w:r>
      <w:r w:rsidR="008D47AA">
        <w:t xml:space="preserve"> </w:t>
      </w:r>
      <w:r w:rsidR="008D47AA" w:rsidRPr="00693A57">
        <w:rPr>
          <w:color w:val="FF0000"/>
        </w:rPr>
        <w:t>Data Standards Advisory Committee</w:t>
      </w:r>
      <w:r w:rsidR="008D47AA" w:rsidRPr="00210486">
        <w:rPr>
          <w:strike/>
        </w:rPr>
        <w:t xml:space="preserve"> </w:t>
      </w:r>
      <w:r w:rsidR="008D47AA" w:rsidRPr="00693A57">
        <w:rPr>
          <w:strike/>
          <w:color w:val="FF0000"/>
        </w:rPr>
        <w:t>the Data Standards Advisory Committee</w:t>
      </w:r>
      <w:r>
        <w:rPr>
          <w:color w:val="000000" w:themeColor="text1"/>
        </w:rPr>
        <w:t>:</w:t>
      </w:r>
    </w:p>
    <w:p w14:paraId="6B9B36FC" w14:textId="77777777" w:rsidR="00CF0E3D" w:rsidRPr="00E53912" w:rsidRDefault="00CF0E3D" w:rsidP="00CF0E3D">
      <w:pPr>
        <w:pStyle w:val="paragraphsub"/>
        <w:rPr>
          <w:color w:val="000000" w:themeColor="text1"/>
        </w:rPr>
      </w:pPr>
      <w:r w:rsidRPr="00E53912">
        <w:rPr>
          <w:color w:val="000000" w:themeColor="text1"/>
        </w:rPr>
        <w:tab/>
      </w:r>
      <w:r>
        <w:rPr>
          <w:color w:val="000000" w:themeColor="text1"/>
        </w:rPr>
        <w:t>(i)</w:t>
      </w:r>
      <w:r w:rsidRPr="00E53912">
        <w:rPr>
          <w:color w:val="000000" w:themeColor="text1"/>
        </w:rPr>
        <w:tab/>
        <w:t>1 or more consumer representatives; and</w:t>
      </w:r>
    </w:p>
    <w:p w14:paraId="3C995ED4" w14:textId="77777777" w:rsidR="00CF0E3D" w:rsidRPr="00E53912" w:rsidRDefault="00CF0E3D" w:rsidP="00CF0E3D">
      <w:pPr>
        <w:pStyle w:val="paragraphsub"/>
        <w:rPr>
          <w:color w:val="000000" w:themeColor="text1"/>
        </w:rPr>
      </w:pPr>
      <w:r w:rsidRPr="00E53912">
        <w:rPr>
          <w:color w:val="000000" w:themeColor="text1"/>
        </w:rPr>
        <w:tab/>
      </w:r>
      <w:r>
        <w:rPr>
          <w:color w:val="000000" w:themeColor="text1"/>
        </w:rPr>
        <w:t>(ii)</w:t>
      </w:r>
      <w:r w:rsidRPr="00E53912">
        <w:rPr>
          <w:color w:val="000000" w:themeColor="text1"/>
        </w:rPr>
        <w:tab/>
        <w:t>1 or more privacy representatives; and</w:t>
      </w:r>
    </w:p>
    <w:p w14:paraId="62D7B977" w14:textId="77777777" w:rsidR="00CF0E3D" w:rsidRDefault="00CF0E3D" w:rsidP="00CF0E3D">
      <w:pPr>
        <w:pStyle w:val="paragraph"/>
        <w:rPr>
          <w:color w:val="000000" w:themeColor="text1"/>
        </w:rPr>
      </w:pPr>
      <w:r w:rsidRPr="000C3240">
        <w:rPr>
          <w:color w:val="000000" w:themeColor="text1"/>
        </w:rPr>
        <w:tab/>
      </w:r>
      <w:r>
        <w:rPr>
          <w:color w:val="000000" w:themeColor="text1"/>
        </w:rPr>
        <w:t>(b)</w:t>
      </w:r>
      <w:r w:rsidRPr="000C3240">
        <w:rPr>
          <w:color w:val="000000" w:themeColor="text1"/>
        </w:rPr>
        <w:tab/>
        <w:t xml:space="preserve">may appoint others to the </w:t>
      </w:r>
      <w:r>
        <w:rPr>
          <w:color w:val="000000" w:themeColor="text1"/>
        </w:rPr>
        <w:t>Committee</w:t>
      </w:r>
      <w:r w:rsidRPr="000C3240">
        <w:rPr>
          <w:color w:val="000000" w:themeColor="text1"/>
        </w:rPr>
        <w:t xml:space="preserve"> as the Chair sees fit.</w:t>
      </w:r>
    </w:p>
    <w:p w14:paraId="08F2EAE4" w14:textId="77777777" w:rsidR="00CF0E3D" w:rsidRPr="000C3240" w:rsidRDefault="00CF0E3D" w:rsidP="00CF0E3D">
      <w:pPr>
        <w:pStyle w:val="subsection"/>
      </w:pPr>
      <w:r>
        <w:tab/>
        <w:t>(2)</w:t>
      </w:r>
      <w:r>
        <w:tab/>
        <w:t>An appointment must be in writing</w:t>
      </w:r>
      <w:r>
        <w:rPr>
          <w:color w:val="000000" w:themeColor="text1"/>
        </w:rPr>
        <w:t>.</w:t>
      </w:r>
    </w:p>
    <w:p w14:paraId="6A29EC71" w14:textId="77777777" w:rsidR="00CF0E3D" w:rsidRDefault="00CF0E3D" w:rsidP="00CF0E3D">
      <w:pPr>
        <w:pStyle w:val="subsection"/>
      </w:pPr>
      <w:r>
        <w:tab/>
        <w:t>(3)</w:t>
      </w:r>
      <w:r>
        <w:tab/>
        <w:t xml:space="preserve">The Chair may determine </w:t>
      </w:r>
      <w:r w:rsidRPr="00963BBD">
        <w:t xml:space="preserve">the terms and conditions of </w:t>
      </w:r>
      <w:r>
        <w:t>an</w:t>
      </w:r>
      <w:r w:rsidRPr="00963BBD">
        <w:t xml:space="preserve"> appointment</w:t>
      </w:r>
      <w:r>
        <w:t xml:space="preserve"> in writing</w:t>
      </w:r>
      <w:r w:rsidRPr="00963BBD">
        <w:t>.</w:t>
      </w:r>
    </w:p>
    <w:p w14:paraId="65608D0E" w14:textId="77777777" w:rsidR="00CF0E3D" w:rsidRDefault="00CF0E3D" w:rsidP="00CF0E3D">
      <w:pPr>
        <w:pStyle w:val="notetext"/>
        <w:rPr>
          <w:iCs/>
        </w:rPr>
      </w:pPr>
      <w:r>
        <w:t>Note:</w:t>
      </w:r>
      <w:r>
        <w:tab/>
        <w:t xml:space="preserve">An appointee may be reappointed: see section 33AA of the </w:t>
      </w:r>
      <w:r>
        <w:rPr>
          <w:i/>
        </w:rPr>
        <w:t xml:space="preserve">Act Interpretation Act 1901 </w:t>
      </w:r>
      <w:r>
        <w:rPr>
          <w:iCs/>
        </w:rPr>
        <w:t xml:space="preserve">and paragraph 13(1)(a) of the </w:t>
      </w:r>
      <w:r>
        <w:rPr>
          <w:i/>
          <w:iCs/>
        </w:rPr>
        <w:t>Legislation Act 2003</w:t>
      </w:r>
      <w:r>
        <w:rPr>
          <w:iCs/>
        </w:rPr>
        <w:t>.</w:t>
      </w:r>
    </w:p>
    <w:p w14:paraId="44104267" w14:textId="3691FA8B" w:rsidR="00CF0E3D" w:rsidRDefault="00CF0E3D" w:rsidP="00CF0E3D">
      <w:pPr>
        <w:pStyle w:val="ActHead5"/>
      </w:pPr>
      <w:bookmarkStart w:id="511" w:name="_Toc11771688"/>
      <w:bookmarkStart w:id="512" w:name="_Toc77065032"/>
      <w:r>
        <w:t>8.5  Termination of appointment and resignation</w:t>
      </w:r>
      <w:bookmarkEnd w:id="511"/>
      <w:bookmarkEnd w:id="512"/>
    </w:p>
    <w:p w14:paraId="3ED04DF9" w14:textId="57FC1D81" w:rsidR="00CF0E3D" w:rsidRPr="00963BBD" w:rsidRDefault="00CF0E3D" w:rsidP="00CF0E3D">
      <w:pPr>
        <w:pStyle w:val="subsection"/>
      </w:pPr>
      <w:r>
        <w:tab/>
        <w:t>(1)</w:t>
      </w:r>
      <w:r>
        <w:tab/>
      </w:r>
      <w:r w:rsidRPr="00963BBD">
        <w:t>The</w:t>
      </w:r>
      <w:r w:rsidRPr="0066619D">
        <w:rPr>
          <w:color w:val="000000" w:themeColor="text1"/>
        </w:rPr>
        <w:t xml:space="preserve"> </w:t>
      </w:r>
      <w:r w:rsidRPr="000C3240">
        <w:rPr>
          <w:color w:val="000000" w:themeColor="text1"/>
        </w:rPr>
        <w:t>Data Standards</w:t>
      </w:r>
      <w:r w:rsidRPr="00963BBD">
        <w:t xml:space="preserve"> </w:t>
      </w:r>
      <w:r>
        <w:t>Chair</w:t>
      </w:r>
      <w:r w:rsidRPr="00963BBD">
        <w:t xml:space="preserve"> may, </w:t>
      </w:r>
      <w:r>
        <w:t>by writing</w:t>
      </w:r>
      <w:r w:rsidRPr="00963BBD">
        <w:t xml:space="preserve">, terminate </w:t>
      </w:r>
      <w:r>
        <w:t>an</w:t>
      </w:r>
      <w:r w:rsidRPr="00963BBD">
        <w:t xml:space="preserve"> appointment</w:t>
      </w:r>
      <w:r>
        <w:t xml:space="preserve"> to </w:t>
      </w:r>
      <w:r w:rsidR="008D47AA" w:rsidRPr="00693A57">
        <w:rPr>
          <w:color w:val="FF0000"/>
        </w:rPr>
        <w:t>a</w:t>
      </w:r>
      <w:r w:rsidR="008D47AA">
        <w:t xml:space="preserve"> </w:t>
      </w:r>
      <w:r w:rsidR="008D47AA" w:rsidRPr="00693A57">
        <w:rPr>
          <w:color w:val="FF0000"/>
        </w:rPr>
        <w:t>Data Standards Advisory Committee</w:t>
      </w:r>
      <w:r w:rsidR="008D47AA" w:rsidRPr="00210486">
        <w:rPr>
          <w:strike/>
        </w:rPr>
        <w:t xml:space="preserve"> </w:t>
      </w:r>
      <w:r w:rsidR="008D47AA" w:rsidRPr="00693A57">
        <w:rPr>
          <w:strike/>
          <w:color w:val="FF0000"/>
        </w:rPr>
        <w:t>the Data Standards Advisory Committee</w:t>
      </w:r>
      <w:r w:rsidR="008D47AA" w:rsidRPr="008D47AA">
        <w:t xml:space="preserve"> </w:t>
      </w:r>
      <w:r w:rsidRPr="00963BBD">
        <w:t>at any time.</w:t>
      </w:r>
    </w:p>
    <w:p w14:paraId="584C1A27" w14:textId="26B290B2" w:rsidR="00CF0E3D" w:rsidRDefault="00CF0E3D" w:rsidP="00CF0E3D">
      <w:pPr>
        <w:pStyle w:val="subsection"/>
      </w:pPr>
      <w:r>
        <w:lastRenderedPageBreak/>
        <w:tab/>
        <w:t>(2)</w:t>
      </w:r>
      <w:r>
        <w:tab/>
      </w:r>
      <w:r w:rsidRPr="00963BBD">
        <w:t xml:space="preserve">An appointee </w:t>
      </w:r>
      <w:r>
        <w:t xml:space="preserve">to </w:t>
      </w:r>
      <w:r w:rsidR="00C144A3" w:rsidRPr="00693A57">
        <w:rPr>
          <w:color w:val="FF0000"/>
        </w:rPr>
        <w:t xml:space="preserve">a </w:t>
      </w:r>
      <w:r w:rsidRPr="00693A57">
        <w:rPr>
          <w:color w:val="FF0000"/>
        </w:rPr>
        <w:t>Committee</w:t>
      </w:r>
      <w:r w:rsidR="00210486" w:rsidRPr="00210486">
        <w:rPr>
          <w:strike/>
        </w:rPr>
        <w:t xml:space="preserve"> </w:t>
      </w:r>
      <w:r w:rsidR="00DD6B28" w:rsidRPr="00693A57">
        <w:rPr>
          <w:strike/>
          <w:color w:val="FF0000"/>
        </w:rPr>
        <w:t>the Committee</w:t>
      </w:r>
      <w:r w:rsidR="00DD6B28" w:rsidRPr="00963BBD">
        <w:t xml:space="preserve"> </w:t>
      </w:r>
      <w:r w:rsidRPr="00963BBD">
        <w:t xml:space="preserve">may resign his or her appointment by giving the </w:t>
      </w:r>
      <w:r>
        <w:t>Chair</w:t>
      </w:r>
      <w:r w:rsidRPr="00963BBD">
        <w:t xml:space="preserve"> a written resignation.</w:t>
      </w:r>
    </w:p>
    <w:p w14:paraId="7A943C0E" w14:textId="77777777" w:rsidR="00CF0E3D" w:rsidRPr="00963BBD" w:rsidRDefault="00CF0E3D" w:rsidP="00CF0E3D">
      <w:pPr>
        <w:pStyle w:val="subsection"/>
      </w:pPr>
      <w:r>
        <w:tab/>
        <w:t>(3)</w:t>
      </w:r>
      <w:r>
        <w:tab/>
      </w:r>
      <w:r w:rsidRPr="00963BBD">
        <w:t xml:space="preserve">The resignation takes effect on the day it is received by the </w:t>
      </w:r>
      <w:r>
        <w:t xml:space="preserve">Chair </w:t>
      </w:r>
      <w:r w:rsidRPr="00963BBD">
        <w:t>or, if a later day is specified in the resignation, on that later day.</w:t>
      </w:r>
    </w:p>
    <w:p w14:paraId="23D0E8E3" w14:textId="75530825" w:rsidR="00CF0E3D" w:rsidRDefault="00CF0E3D" w:rsidP="00CF0E3D">
      <w:pPr>
        <w:pStyle w:val="ActHead5"/>
      </w:pPr>
      <w:bookmarkStart w:id="513" w:name="_Toc518546481"/>
      <w:bookmarkStart w:id="514" w:name="_Toc11771689"/>
      <w:bookmarkStart w:id="515" w:name="_Toc77065033"/>
      <w:r>
        <w:t xml:space="preserve">8.6  </w:t>
      </w:r>
      <w:r w:rsidRPr="00497605">
        <w:t xml:space="preserve">Procedural </w:t>
      </w:r>
      <w:bookmarkEnd w:id="513"/>
      <w:r>
        <w:t>directions</w:t>
      </w:r>
      <w:bookmarkEnd w:id="514"/>
      <w:bookmarkEnd w:id="515"/>
    </w:p>
    <w:p w14:paraId="2083136D" w14:textId="288D3DF5" w:rsidR="00CF0E3D" w:rsidRPr="00497605" w:rsidRDefault="00CF0E3D" w:rsidP="00CF0E3D">
      <w:pPr>
        <w:pStyle w:val="subsection"/>
      </w:pPr>
      <w:r>
        <w:tab/>
      </w:r>
      <w:r>
        <w:tab/>
      </w:r>
      <w:r w:rsidRPr="00497605">
        <w:t>The</w:t>
      </w:r>
      <w:r>
        <w:t xml:space="preserve"> Data Standards Chair </w:t>
      </w:r>
      <w:r w:rsidRPr="00497605">
        <w:t xml:space="preserve">may give </w:t>
      </w:r>
      <w:r w:rsidR="008D47AA" w:rsidRPr="00693A57">
        <w:rPr>
          <w:color w:val="FF0000"/>
        </w:rPr>
        <w:t>a</w:t>
      </w:r>
      <w:r w:rsidR="008D47AA">
        <w:t xml:space="preserve"> </w:t>
      </w:r>
      <w:r w:rsidR="008D47AA" w:rsidRPr="00693A57">
        <w:rPr>
          <w:color w:val="FF0000"/>
        </w:rPr>
        <w:t>Data Standards Advisory Committee</w:t>
      </w:r>
      <w:r w:rsidR="008D47AA" w:rsidRPr="00210486">
        <w:rPr>
          <w:strike/>
        </w:rPr>
        <w:t xml:space="preserve"> </w:t>
      </w:r>
      <w:r w:rsidR="008D47AA" w:rsidRPr="00693A57">
        <w:rPr>
          <w:strike/>
          <w:color w:val="FF0000"/>
        </w:rPr>
        <w:t>the Data Standards Advisory Committee</w:t>
      </w:r>
      <w:r w:rsidR="008D47AA" w:rsidRPr="008D47AA">
        <w:t xml:space="preserve"> </w:t>
      </w:r>
      <w:r>
        <w:t xml:space="preserve">written </w:t>
      </w:r>
      <w:r w:rsidRPr="00497605">
        <w:t>directions as to:</w:t>
      </w:r>
    </w:p>
    <w:p w14:paraId="5F8CF099" w14:textId="77777777" w:rsidR="00CF0E3D" w:rsidRPr="00497605" w:rsidRDefault="00CF0E3D" w:rsidP="00CF0E3D">
      <w:pPr>
        <w:pStyle w:val="paragraph"/>
      </w:pPr>
      <w:r>
        <w:tab/>
        <w:t>(a)</w:t>
      </w:r>
      <w:r>
        <w:tab/>
      </w:r>
      <w:r w:rsidRPr="00497605">
        <w:t xml:space="preserve">the way in which the </w:t>
      </w:r>
      <w:r>
        <w:t>Committee</w:t>
      </w:r>
      <w:r w:rsidRPr="00497605">
        <w:t xml:space="preserve"> is to carry out its functions; and</w:t>
      </w:r>
    </w:p>
    <w:p w14:paraId="3CF6F9AB" w14:textId="77777777" w:rsidR="00CF0E3D" w:rsidRPr="00497605" w:rsidRDefault="00CF0E3D" w:rsidP="00CF0E3D">
      <w:pPr>
        <w:pStyle w:val="paragraph"/>
      </w:pPr>
      <w:r>
        <w:tab/>
        <w:t>(b)</w:t>
      </w:r>
      <w:r>
        <w:tab/>
      </w:r>
      <w:r w:rsidRPr="00497605">
        <w:t>procedures to be followed in relation to meetings.</w:t>
      </w:r>
    </w:p>
    <w:p w14:paraId="69D4F806" w14:textId="77777777" w:rsidR="00CF0E3D" w:rsidRPr="00497605" w:rsidRDefault="00CF0E3D" w:rsidP="00CF0E3D">
      <w:pPr>
        <w:pStyle w:val="notetext"/>
      </w:pPr>
      <w:r>
        <w:t>Note:</w:t>
      </w:r>
      <w:r>
        <w:tab/>
      </w:r>
      <w:r w:rsidRPr="00497605">
        <w:t>For variation and revocation, see subsection 33(3) of the </w:t>
      </w:r>
      <w:r w:rsidRPr="00497605">
        <w:rPr>
          <w:i/>
          <w:iCs/>
        </w:rPr>
        <w:t>Acts Interpretation Act 1901</w:t>
      </w:r>
      <w:r w:rsidRPr="00BD5418">
        <w:rPr>
          <w:iCs/>
        </w:rPr>
        <w:t xml:space="preserve"> </w:t>
      </w:r>
      <w:r>
        <w:rPr>
          <w:iCs/>
        </w:rPr>
        <w:t xml:space="preserve">and paragraph 13(1)(a) of the </w:t>
      </w:r>
      <w:r>
        <w:rPr>
          <w:i/>
          <w:iCs/>
        </w:rPr>
        <w:t>Legislation Act 2003</w:t>
      </w:r>
      <w:r w:rsidRPr="00497605">
        <w:t>.</w:t>
      </w:r>
    </w:p>
    <w:p w14:paraId="2A3BF564" w14:textId="2308433A" w:rsidR="00CF0E3D" w:rsidRDefault="00CF0E3D" w:rsidP="00CF0E3D">
      <w:pPr>
        <w:pStyle w:val="ActHead5"/>
      </w:pPr>
      <w:bookmarkStart w:id="516" w:name="_Toc11771690"/>
      <w:bookmarkStart w:id="517" w:name="_Toc77065034"/>
      <w:r>
        <w:t>8.7  Observers</w:t>
      </w:r>
      <w:bookmarkEnd w:id="516"/>
      <w:bookmarkEnd w:id="517"/>
    </w:p>
    <w:p w14:paraId="5941D6CB" w14:textId="77777777" w:rsidR="00CF0E3D" w:rsidRDefault="00CF0E3D" w:rsidP="00CF0E3D">
      <w:pPr>
        <w:pStyle w:val="subsection"/>
      </w:pPr>
      <w:r>
        <w:tab/>
        <w:t>(1)</w:t>
      </w:r>
      <w:r>
        <w:tab/>
      </w:r>
      <w:r w:rsidRPr="00B24FE2">
        <w:t xml:space="preserve">Any </w:t>
      </w:r>
      <w:r>
        <w:t>of the following:</w:t>
      </w:r>
    </w:p>
    <w:p w14:paraId="4DD9FEF0" w14:textId="77777777" w:rsidR="00CF0E3D" w:rsidRPr="003367E7" w:rsidRDefault="00CF0E3D" w:rsidP="00CF0E3D">
      <w:pPr>
        <w:pStyle w:val="paragraph"/>
      </w:pPr>
      <w:r>
        <w:tab/>
        <w:t>(a)</w:t>
      </w:r>
      <w:r>
        <w:tab/>
        <w:t>the Commission;</w:t>
      </w:r>
    </w:p>
    <w:p w14:paraId="3F162B2F" w14:textId="77777777" w:rsidR="00CF0E3D" w:rsidRDefault="00CF0E3D" w:rsidP="00CF0E3D">
      <w:pPr>
        <w:pStyle w:val="paragraph"/>
      </w:pPr>
      <w:r>
        <w:tab/>
        <w:t>(b)</w:t>
      </w:r>
      <w:r>
        <w:tab/>
        <w:t>the Information Commissioner;</w:t>
      </w:r>
    </w:p>
    <w:p w14:paraId="5083766D" w14:textId="77777777" w:rsidR="00CF0E3D" w:rsidRPr="00BD2AB7" w:rsidRDefault="00CF0E3D" w:rsidP="00CF0E3D">
      <w:pPr>
        <w:pStyle w:val="paragraph"/>
      </w:pPr>
      <w:r>
        <w:tab/>
        <w:t>(c)</w:t>
      </w:r>
      <w:r w:rsidRPr="00BD2AB7">
        <w:tab/>
        <w:t>the Department of the Treasury;</w:t>
      </w:r>
    </w:p>
    <w:p w14:paraId="5E6310F5" w14:textId="752037CB" w:rsidR="00CF0E3D" w:rsidRDefault="00CF0E3D" w:rsidP="00CF0E3D">
      <w:pPr>
        <w:pStyle w:val="subsection"/>
        <w:spacing w:before="40"/>
      </w:pPr>
      <w:r>
        <w:tab/>
      </w:r>
      <w:r>
        <w:tab/>
        <w:t xml:space="preserve">may elect to be an observer on </w:t>
      </w:r>
      <w:r w:rsidR="008D47AA" w:rsidRPr="00693A57">
        <w:rPr>
          <w:color w:val="FF0000"/>
        </w:rPr>
        <w:t>a</w:t>
      </w:r>
      <w:r w:rsidR="008D47AA">
        <w:t xml:space="preserve"> </w:t>
      </w:r>
      <w:r w:rsidR="008D47AA" w:rsidRPr="00693A57">
        <w:rPr>
          <w:color w:val="FF0000"/>
        </w:rPr>
        <w:t>Data Standards Advisory Committee</w:t>
      </w:r>
      <w:r w:rsidR="008D47AA" w:rsidRPr="00210486">
        <w:rPr>
          <w:strike/>
        </w:rPr>
        <w:t xml:space="preserve"> </w:t>
      </w:r>
      <w:r w:rsidR="008D47AA" w:rsidRPr="00693A57">
        <w:rPr>
          <w:strike/>
          <w:color w:val="FF0000"/>
        </w:rPr>
        <w:t>the Data Standards Advisory Committee</w:t>
      </w:r>
      <w:r>
        <w:t>.</w:t>
      </w:r>
    </w:p>
    <w:p w14:paraId="198E6D49" w14:textId="14745541" w:rsidR="00CF0E3D" w:rsidRDefault="00CF0E3D" w:rsidP="00CF0E3D">
      <w:pPr>
        <w:pStyle w:val="subsection"/>
      </w:pPr>
      <w:r>
        <w:tab/>
        <w:t>(2)</w:t>
      </w:r>
      <w:r>
        <w:tab/>
        <w:t xml:space="preserve">The Data Standards Chair may invite any other person to act as an observer on </w:t>
      </w:r>
      <w:r w:rsidR="00DD6B28" w:rsidRPr="00693A57">
        <w:rPr>
          <w:color w:val="FF0000"/>
        </w:rPr>
        <w:t>a Committee</w:t>
      </w:r>
      <w:r w:rsidR="00210486" w:rsidRPr="00210486">
        <w:rPr>
          <w:strike/>
        </w:rPr>
        <w:t xml:space="preserve"> </w:t>
      </w:r>
      <w:r w:rsidR="00DD6B28" w:rsidRPr="00693A57">
        <w:rPr>
          <w:strike/>
          <w:color w:val="FF0000"/>
        </w:rPr>
        <w:t>the Committee</w:t>
      </w:r>
      <w:r>
        <w:t>.</w:t>
      </w:r>
    </w:p>
    <w:p w14:paraId="08033AAD" w14:textId="20E3C878" w:rsidR="00CF0E3D" w:rsidRDefault="00CF0E3D" w:rsidP="00CF0E3D">
      <w:pPr>
        <w:pStyle w:val="ActHead3"/>
        <w:pageBreakBefore/>
      </w:pPr>
      <w:bookmarkStart w:id="518" w:name="_Toc11771691"/>
      <w:bookmarkStart w:id="519" w:name="_Toc77065035"/>
      <w:r>
        <w:lastRenderedPageBreak/>
        <w:t>Division 8.3—Reviewing, developing and amending data standards</w:t>
      </w:r>
      <w:bookmarkEnd w:id="518"/>
      <w:bookmarkEnd w:id="519"/>
    </w:p>
    <w:p w14:paraId="7EEEB850" w14:textId="689560C4" w:rsidR="00CF0E3D" w:rsidRPr="00964EDA" w:rsidRDefault="00CF0E3D" w:rsidP="00CF0E3D">
      <w:pPr>
        <w:pStyle w:val="ActHead5"/>
        <w:rPr>
          <w:color w:val="000000"/>
        </w:rPr>
      </w:pPr>
      <w:bookmarkStart w:id="520" w:name="_Toc11771692"/>
      <w:bookmarkStart w:id="521" w:name="_Toc77065036"/>
      <w:r>
        <w:rPr>
          <w:color w:val="000000"/>
        </w:rPr>
        <w:t>8.8</w:t>
      </w:r>
      <w:r w:rsidRPr="00964EDA">
        <w:rPr>
          <w:color w:val="000000"/>
        </w:rPr>
        <w:t xml:space="preserve">  Notification when developing or amending data standards</w:t>
      </w:r>
      <w:bookmarkEnd w:id="520"/>
      <w:bookmarkEnd w:id="521"/>
    </w:p>
    <w:p w14:paraId="2721E17B" w14:textId="77777777" w:rsidR="00CF0E3D" w:rsidRPr="00964EDA" w:rsidRDefault="00CF0E3D" w:rsidP="00CF0E3D">
      <w:pPr>
        <w:pStyle w:val="subsection"/>
        <w:rPr>
          <w:color w:val="000000"/>
        </w:rPr>
      </w:pPr>
      <w:r w:rsidRPr="00964EDA">
        <w:rPr>
          <w:color w:val="000000"/>
        </w:rPr>
        <w:tab/>
      </w:r>
      <w:r>
        <w:rPr>
          <w:color w:val="000000"/>
        </w:rPr>
        <w:t>(1)</w:t>
      </w:r>
      <w:r w:rsidRPr="00964EDA">
        <w:rPr>
          <w:color w:val="000000"/>
        </w:rPr>
        <w:tab/>
      </w:r>
      <w:r>
        <w:rPr>
          <w:color w:val="000000"/>
        </w:rPr>
        <w:t>Subject to subrule (2), t</w:t>
      </w:r>
      <w:r w:rsidRPr="00964EDA">
        <w:rPr>
          <w:color w:val="000000"/>
        </w:rPr>
        <w:t>he Data Standards Chair must notify the Commission</w:t>
      </w:r>
      <w:r>
        <w:rPr>
          <w:color w:val="000000"/>
        </w:rPr>
        <w:t xml:space="preserve"> </w:t>
      </w:r>
      <w:r w:rsidRPr="00CB249E">
        <w:t>and the Information Commissioner</w:t>
      </w:r>
      <w:r w:rsidRPr="00964EDA">
        <w:rPr>
          <w:color w:val="000000"/>
        </w:rPr>
        <w:t>, in writing, of a proposal to make or amend a data standard.</w:t>
      </w:r>
    </w:p>
    <w:p w14:paraId="59D3EE72" w14:textId="77777777" w:rsidR="00CF0E3D" w:rsidRPr="00964EDA" w:rsidRDefault="00CF0E3D" w:rsidP="00CF0E3D">
      <w:pPr>
        <w:pStyle w:val="subsection"/>
        <w:rPr>
          <w:color w:val="000000"/>
        </w:rPr>
      </w:pPr>
      <w:r w:rsidRPr="00964EDA">
        <w:rPr>
          <w:color w:val="000000"/>
        </w:rPr>
        <w:tab/>
      </w:r>
      <w:r>
        <w:rPr>
          <w:color w:val="000000"/>
        </w:rPr>
        <w:t>(2)</w:t>
      </w:r>
      <w:r w:rsidRPr="00964EDA">
        <w:rPr>
          <w:color w:val="000000"/>
        </w:rPr>
        <w:tab/>
        <w:t xml:space="preserve">If the standard or amendment is urgent, the </w:t>
      </w:r>
      <w:r>
        <w:rPr>
          <w:color w:val="000000"/>
        </w:rPr>
        <w:t xml:space="preserve">Chair may instead notify the Commission </w:t>
      </w:r>
      <w:r w:rsidRPr="00CB249E">
        <w:t xml:space="preserve">and the Information Commissioner </w:t>
      </w:r>
      <w:r w:rsidRPr="00964EDA">
        <w:rPr>
          <w:color w:val="000000"/>
        </w:rPr>
        <w:t xml:space="preserve">after </w:t>
      </w:r>
      <w:r>
        <w:rPr>
          <w:color w:val="000000"/>
        </w:rPr>
        <w:t xml:space="preserve">it </w:t>
      </w:r>
      <w:r w:rsidRPr="00964EDA">
        <w:rPr>
          <w:color w:val="000000"/>
        </w:rPr>
        <w:t>has been made.</w:t>
      </w:r>
    </w:p>
    <w:p w14:paraId="326F5F2F" w14:textId="77777777" w:rsidR="00CF0E3D" w:rsidRPr="00964EDA" w:rsidRDefault="00CF0E3D" w:rsidP="00CF0E3D">
      <w:pPr>
        <w:pStyle w:val="subsection"/>
        <w:rPr>
          <w:color w:val="000000"/>
        </w:rPr>
      </w:pPr>
      <w:r w:rsidRPr="00964EDA">
        <w:rPr>
          <w:color w:val="000000"/>
        </w:rPr>
        <w:tab/>
      </w:r>
      <w:r>
        <w:rPr>
          <w:color w:val="000000"/>
        </w:rPr>
        <w:t>(3)</w:t>
      </w:r>
      <w:r w:rsidRPr="00964EDA">
        <w:rPr>
          <w:color w:val="000000"/>
        </w:rPr>
        <w:tab/>
        <w:t xml:space="preserve">A failure to comply with this </w:t>
      </w:r>
      <w:r>
        <w:rPr>
          <w:color w:val="000000"/>
        </w:rPr>
        <w:t>rule</w:t>
      </w:r>
      <w:r w:rsidRPr="00964EDA">
        <w:rPr>
          <w:color w:val="000000"/>
        </w:rPr>
        <w:t xml:space="preserve"> does not affect the validity or enforceability of a data standard or an amendment to a data standard.</w:t>
      </w:r>
    </w:p>
    <w:p w14:paraId="75A36AC2" w14:textId="5911BB1D" w:rsidR="00CF0E3D" w:rsidRDefault="00CF0E3D" w:rsidP="00CF0E3D">
      <w:pPr>
        <w:pStyle w:val="ActHead5"/>
      </w:pPr>
      <w:bookmarkStart w:id="522" w:name="_Toc11771693"/>
      <w:bookmarkStart w:id="523" w:name="_Toc77065037"/>
      <w:r>
        <w:t>8.9  Consultation when developing or amending data standards</w:t>
      </w:r>
      <w:bookmarkEnd w:id="522"/>
      <w:bookmarkEnd w:id="523"/>
    </w:p>
    <w:p w14:paraId="194388C5" w14:textId="77777777" w:rsidR="00CF0E3D" w:rsidRDefault="00CF0E3D" w:rsidP="00CF0E3D">
      <w:pPr>
        <w:pStyle w:val="subsection"/>
      </w:pPr>
      <w:r>
        <w:tab/>
        <w:t>(1)</w:t>
      </w:r>
      <w:r>
        <w:tab/>
        <w:t xml:space="preserve">This rule does not apply in relation to: </w:t>
      </w:r>
    </w:p>
    <w:p w14:paraId="4EE29D72" w14:textId="77777777" w:rsidR="00CF0E3D" w:rsidRDefault="00CF0E3D" w:rsidP="00CF0E3D">
      <w:pPr>
        <w:pStyle w:val="paragraph"/>
      </w:pPr>
      <w:r>
        <w:tab/>
        <w:t>(a)</w:t>
      </w:r>
      <w:r>
        <w:tab/>
        <w:t>a data standard or an amendment to a data standard that is made before 1 August 2020</w:t>
      </w:r>
      <w:r w:rsidRPr="00BA3E85">
        <w:t>;</w:t>
      </w:r>
      <w:r>
        <w:t xml:space="preserve"> or</w:t>
      </w:r>
    </w:p>
    <w:p w14:paraId="66BEFAE0" w14:textId="77777777" w:rsidR="00CF0E3D" w:rsidRPr="00BA3E85" w:rsidRDefault="00CF0E3D" w:rsidP="00CF0E3D">
      <w:pPr>
        <w:pStyle w:val="paragraph"/>
        <w:rPr>
          <w:color w:val="000000"/>
        </w:rPr>
      </w:pPr>
      <w:r>
        <w:tab/>
        <w:t>(b)</w:t>
      </w:r>
      <w:r>
        <w:tab/>
      </w:r>
      <w:r w:rsidRPr="00BA3E85">
        <w:t>an amendment to a data standard that is, in the opinion of the Data Standards Chair, minor or urgent</w:t>
      </w:r>
      <w:r>
        <w:t>.</w:t>
      </w:r>
    </w:p>
    <w:p w14:paraId="47AB42C2" w14:textId="77777777" w:rsidR="00CF0E3D" w:rsidRDefault="00CF0E3D" w:rsidP="00CF0E3D">
      <w:pPr>
        <w:pStyle w:val="subsection"/>
      </w:pPr>
      <w:r>
        <w:tab/>
        <w:t>(2)</w:t>
      </w:r>
      <w:r>
        <w:tab/>
        <w:t>Before making or amending a data standard, the Data Standards Chair must:</w:t>
      </w:r>
    </w:p>
    <w:p w14:paraId="102CEF16" w14:textId="77777777" w:rsidR="00CF0E3D" w:rsidRDefault="00CF0E3D" w:rsidP="00CF0E3D">
      <w:pPr>
        <w:pStyle w:val="paragraph"/>
      </w:pPr>
      <w:r>
        <w:tab/>
        <w:t>(a)</w:t>
      </w:r>
      <w:r>
        <w:tab/>
        <w:t xml:space="preserve">prepare a draft of the proposed standard or amendment (the </w:t>
      </w:r>
      <w:r>
        <w:rPr>
          <w:b/>
          <w:i/>
        </w:rPr>
        <w:t>consultation draft</w:t>
      </w:r>
      <w:r>
        <w:t>); and</w:t>
      </w:r>
    </w:p>
    <w:p w14:paraId="26DCD3F8" w14:textId="77777777" w:rsidR="00CF0E3D" w:rsidRPr="00964EDA" w:rsidRDefault="00CF0E3D" w:rsidP="00CF0E3D">
      <w:pPr>
        <w:pStyle w:val="paragraph"/>
        <w:rPr>
          <w:color w:val="000000"/>
        </w:rPr>
      </w:pPr>
      <w:r>
        <w:tab/>
        <w:t>(b)</w:t>
      </w:r>
      <w:r>
        <w:tab/>
        <w:t>consult with</w:t>
      </w:r>
      <w:r w:rsidRPr="00964EDA">
        <w:rPr>
          <w:color w:val="000000"/>
        </w:rPr>
        <w:t>:</w:t>
      </w:r>
    </w:p>
    <w:p w14:paraId="00BC94AF" w14:textId="77777777" w:rsidR="00CF0E3D" w:rsidRPr="00964EDA" w:rsidRDefault="00CF0E3D" w:rsidP="00CF0E3D">
      <w:pPr>
        <w:pStyle w:val="paragraphsub"/>
        <w:rPr>
          <w:color w:val="000000"/>
        </w:rPr>
      </w:pPr>
      <w:r w:rsidRPr="00964EDA">
        <w:rPr>
          <w:color w:val="000000"/>
        </w:rPr>
        <w:tab/>
      </w:r>
      <w:r>
        <w:rPr>
          <w:color w:val="000000"/>
        </w:rPr>
        <w:t>(i)</w:t>
      </w:r>
      <w:r w:rsidRPr="00964EDA">
        <w:rPr>
          <w:color w:val="000000"/>
        </w:rPr>
        <w:tab/>
      </w:r>
      <w:r w:rsidRPr="00CB23DE">
        <w:t xml:space="preserve">the Data Standards Advisory </w:t>
      </w:r>
      <w:r>
        <w:t>Committee</w:t>
      </w:r>
      <w:r w:rsidRPr="00964EDA">
        <w:rPr>
          <w:color w:val="000000"/>
        </w:rPr>
        <w:t>; and</w:t>
      </w:r>
    </w:p>
    <w:p w14:paraId="5DA0AAE8" w14:textId="77777777" w:rsidR="00CF0E3D" w:rsidRPr="00964EDA" w:rsidRDefault="00CF0E3D" w:rsidP="00CF0E3D">
      <w:pPr>
        <w:pStyle w:val="paragraphsub"/>
        <w:rPr>
          <w:color w:val="000000"/>
        </w:rPr>
      </w:pPr>
      <w:r w:rsidRPr="00964EDA">
        <w:rPr>
          <w:color w:val="000000"/>
        </w:rPr>
        <w:tab/>
      </w:r>
      <w:r>
        <w:rPr>
          <w:color w:val="000000"/>
        </w:rPr>
        <w:t>(ii)</w:t>
      </w:r>
      <w:r w:rsidRPr="00964EDA">
        <w:rPr>
          <w:color w:val="000000"/>
        </w:rPr>
        <w:tab/>
        <w:t>the Commission; and</w:t>
      </w:r>
    </w:p>
    <w:p w14:paraId="77C95BFF" w14:textId="77777777" w:rsidR="00CF0E3D" w:rsidRPr="00964EDA" w:rsidRDefault="00CF0E3D" w:rsidP="00CF0E3D">
      <w:pPr>
        <w:pStyle w:val="paragraphsub"/>
        <w:rPr>
          <w:color w:val="000000"/>
        </w:rPr>
      </w:pPr>
      <w:r w:rsidRPr="00964EDA">
        <w:rPr>
          <w:color w:val="000000"/>
        </w:rPr>
        <w:tab/>
      </w:r>
      <w:r>
        <w:rPr>
          <w:color w:val="000000"/>
        </w:rPr>
        <w:t>(iii)</w:t>
      </w:r>
      <w:r w:rsidRPr="00964EDA">
        <w:rPr>
          <w:color w:val="000000"/>
        </w:rPr>
        <w:tab/>
        <w:t>the Information Commissioner;</w:t>
      </w:r>
    </w:p>
    <w:p w14:paraId="02DB4984" w14:textId="77777777" w:rsidR="00CF0E3D" w:rsidRDefault="00CF0E3D" w:rsidP="00CF0E3D">
      <w:pPr>
        <w:pStyle w:val="paragraph"/>
      </w:pPr>
      <w:r>
        <w:tab/>
      </w:r>
      <w:r>
        <w:tab/>
        <w:t>on the consultation draft; and</w:t>
      </w:r>
    </w:p>
    <w:p w14:paraId="319FF471" w14:textId="77777777" w:rsidR="00CF0E3D" w:rsidRDefault="00CF0E3D" w:rsidP="00CF0E3D">
      <w:pPr>
        <w:pStyle w:val="paragraph"/>
      </w:pPr>
      <w:r>
        <w:tab/>
        <w:t>(c)</w:t>
      </w:r>
      <w:r>
        <w:tab/>
        <w:t>cause the consultation draft to be published on the website of the Data Standards Body; and</w:t>
      </w:r>
    </w:p>
    <w:p w14:paraId="60716253" w14:textId="77777777" w:rsidR="00CF0E3D" w:rsidRPr="003F3AC9" w:rsidRDefault="00CF0E3D" w:rsidP="00CF0E3D">
      <w:pPr>
        <w:pStyle w:val="paragraph"/>
      </w:pPr>
      <w:r w:rsidRPr="003F3AC9">
        <w:tab/>
      </w:r>
      <w:r>
        <w:t>(d)</w:t>
      </w:r>
      <w:r w:rsidRPr="003F3AC9">
        <w:tab/>
        <w:t>invite submissions in relation to the consultation draft from interested members of the public to be made by a specified date that is no earlier than 28 days after the draft is published.</w:t>
      </w:r>
    </w:p>
    <w:p w14:paraId="78D601BC" w14:textId="77777777" w:rsidR="00CF0E3D" w:rsidRPr="003F3AC9" w:rsidRDefault="00CF0E3D" w:rsidP="00CF0E3D">
      <w:pPr>
        <w:pStyle w:val="subsection"/>
      </w:pPr>
      <w:r w:rsidRPr="003F3AC9">
        <w:tab/>
      </w:r>
      <w:r>
        <w:t>(3)</w:t>
      </w:r>
      <w:r w:rsidRPr="003F3AC9">
        <w:tab/>
        <w:t>The Data Standards Chair may extend the date for consultation.</w:t>
      </w:r>
    </w:p>
    <w:p w14:paraId="450D859A" w14:textId="77777777" w:rsidR="00CF0E3D" w:rsidRDefault="00CF0E3D" w:rsidP="00CF0E3D">
      <w:pPr>
        <w:pStyle w:val="subsection"/>
      </w:pPr>
      <w:r>
        <w:tab/>
        <w:t>(4)</w:t>
      </w:r>
      <w:r>
        <w:tab/>
        <w:t>A failure to comply with this rule does not affect the validity or enforceability of a data standard or an amendment to a data standard.</w:t>
      </w:r>
    </w:p>
    <w:p w14:paraId="32CB4BF9" w14:textId="1C7D0930" w:rsidR="00CF0E3D" w:rsidRDefault="00CF0E3D" w:rsidP="00CF0E3D">
      <w:pPr>
        <w:pStyle w:val="ActHead5"/>
      </w:pPr>
      <w:bookmarkStart w:id="524" w:name="_Toc11771694"/>
      <w:bookmarkStart w:id="525" w:name="_Toc77065038"/>
      <w:r>
        <w:t>8.10  Matters to have regard to when making or amending data standards</w:t>
      </w:r>
      <w:bookmarkEnd w:id="524"/>
      <w:bookmarkEnd w:id="525"/>
    </w:p>
    <w:p w14:paraId="3C2E5FEE" w14:textId="77777777" w:rsidR="00CF0E3D" w:rsidRDefault="00CF0E3D" w:rsidP="00CF0E3D">
      <w:pPr>
        <w:pStyle w:val="subsection"/>
      </w:pPr>
      <w:r>
        <w:tab/>
      </w:r>
      <w:r>
        <w:tab/>
        <w:t>When making or amending a data standard, the Data Standards Chair must have regard to the following:</w:t>
      </w:r>
    </w:p>
    <w:p w14:paraId="5A230A72" w14:textId="77777777" w:rsidR="00CF0E3D" w:rsidRDefault="00CF0E3D" w:rsidP="00CF0E3D">
      <w:pPr>
        <w:pStyle w:val="paragraph"/>
      </w:pPr>
      <w:r>
        <w:tab/>
        <w:t>(a)</w:t>
      </w:r>
      <w:r>
        <w:tab/>
        <w:t xml:space="preserve">the advice </w:t>
      </w:r>
      <w:r w:rsidRPr="00964EDA">
        <w:rPr>
          <w:color w:val="000000"/>
        </w:rPr>
        <w:t xml:space="preserve">or submissions </w:t>
      </w:r>
      <w:r>
        <w:t>(if any) received from:</w:t>
      </w:r>
    </w:p>
    <w:p w14:paraId="0D54A137" w14:textId="77777777" w:rsidR="00CF0E3D" w:rsidRPr="00964EDA" w:rsidRDefault="00CF0E3D" w:rsidP="00CF0E3D">
      <w:pPr>
        <w:pStyle w:val="paragraphsub"/>
        <w:rPr>
          <w:color w:val="000000"/>
        </w:rPr>
      </w:pPr>
      <w:r w:rsidRPr="00964EDA">
        <w:rPr>
          <w:color w:val="000000"/>
        </w:rPr>
        <w:tab/>
      </w:r>
      <w:r>
        <w:rPr>
          <w:color w:val="000000"/>
        </w:rPr>
        <w:t>(i)</w:t>
      </w:r>
      <w:r w:rsidRPr="00964EDA">
        <w:rPr>
          <w:color w:val="000000"/>
        </w:rPr>
        <w:tab/>
      </w:r>
      <w:r w:rsidRPr="00CB23DE">
        <w:t xml:space="preserve">the Data Standards Advisory </w:t>
      </w:r>
      <w:r>
        <w:t>Committee</w:t>
      </w:r>
      <w:r w:rsidRPr="00964EDA">
        <w:rPr>
          <w:color w:val="000000"/>
        </w:rPr>
        <w:t>; or</w:t>
      </w:r>
    </w:p>
    <w:p w14:paraId="02B980BE" w14:textId="77777777" w:rsidR="00CF0E3D" w:rsidRPr="00964EDA" w:rsidRDefault="00CF0E3D" w:rsidP="00CF0E3D">
      <w:pPr>
        <w:pStyle w:val="paragraphsub"/>
        <w:rPr>
          <w:color w:val="000000"/>
        </w:rPr>
      </w:pPr>
      <w:r w:rsidRPr="00964EDA">
        <w:rPr>
          <w:color w:val="000000"/>
        </w:rPr>
        <w:lastRenderedPageBreak/>
        <w:tab/>
      </w:r>
      <w:r>
        <w:rPr>
          <w:color w:val="000000"/>
        </w:rPr>
        <w:t>(ii)</w:t>
      </w:r>
      <w:r w:rsidRPr="00964EDA">
        <w:rPr>
          <w:color w:val="000000"/>
        </w:rPr>
        <w:tab/>
        <w:t>the Commission; or</w:t>
      </w:r>
    </w:p>
    <w:p w14:paraId="218CB09F" w14:textId="77777777" w:rsidR="00CF0E3D" w:rsidRDefault="00CF0E3D" w:rsidP="00CF0E3D">
      <w:pPr>
        <w:pStyle w:val="paragraphsub"/>
      </w:pPr>
      <w:r w:rsidRPr="00964EDA">
        <w:rPr>
          <w:color w:val="000000"/>
        </w:rPr>
        <w:tab/>
      </w:r>
      <w:r>
        <w:rPr>
          <w:color w:val="000000"/>
        </w:rPr>
        <w:t>(iii)</w:t>
      </w:r>
      <w:r w:rsidRPr="00964EDA">
        <w:rPr>
          <w:color w:val="000000"/>
        </w:rPr>
        <w:tab/>
        <w:t>the Information Commissioner;</w:t>
      </w:r>
    </w:p>
    <w:p w14:paraId="2D609510" w14:textId="77777777" w:rsidR="00CF0E3D" w:rsidRDefault="00CF0E3D" w:rsidP="00CF0E3D">
      <w:pPr>
        <w:pStyle w:val="paragraph"/>
      </w:pPr>
      <w:r>
        <w:tab/>
      </w:r>
      <w:r>
        <w:tab/>
        <w:t xml:space="preserve">on a draft of the proposed standard or amendment (the </w:t>
      </w:r>
      <w:r>
        <w:rPr>
          <w:b/>
          <w:i/>
        </w:rPr>
        <w:t>consultation draft</w:t>
      </w:r>
      <w:r>
        <w:t>);</w:t>
      </w:r>
    </w:p>
    <w:p w14:paraId="6D43545C" w14:textId="77777777" w:rsidR="00CF0E3D" w:rsidRDefault="00CF0E3D" w:rsidP="00CF0E3D">
      <w:pPr>
        <w:pStyle w:val="paragraph"/>
      </w:pPr>
      <w:r>
        <w:tab/>
        <w:t>(b)</w:t>
      </w:r>
      <w:r>
        <w:tab/>
        <w:t xml:space="preserve">submissions (if any) received during the </w:t>
      </w:r>
      <w:r w:rsidRPr="00CB23DE">
        <w:t xml:space="preserve">public </w:t>
      </w:r>
      <w:r>
        <w:t>consultation (if any) that was undertaken in relation to the consultation draft in accordance with rule 8.9;</w:t>
      </w:r>
    </w:p>
    <w:p w14:paraId="4B084D8D" w14:textId="77777777" w:rsidR="00CF0E3D" w:rsidRDefault="00CF0E3D" w:rsidP="00CF0E3D">
      <w:pPr>
        <w:pStyle w:val="paragraph"/>
      </w:pPr>
      <w:r>
        <w:tab/>
        <w:t>(c)</w:t>
      </w:r>
      <w:r>
        <w:tab/>
        <w:t>any advice from any other relevant committee, advisory panel or consultative group that has been established by the Chair (see paragraph 56FH(2)(a) of the Act).</w:t>
      </w:r>
    </w:p>
    <w:p w14:paraId="1893E514" w14:textId="77777777" w:rsidR="00CF0E3D" w:rsidRPr="00B60869" w:rsidRDefault="00CF0E3D" w:rsidP="00CF0E3D">
      <w:pPr>
        <w:pStyle w:val="subsection"/>
      </w:pPr>
    </w:p>
    <w:p w14:paraId="7CC7F559" w14:textId="340B751B" w:rsidR="00CF0E3D" w:rsidRDefault="00CF0E3D" w:rsidP="00CF0E3D">
      <w:pPr>
        <w:pStyle w:val="ActHead3"/>
        <w:pageBreakBefore/>
      </w:pPr>
      <w:bookmarkStart w:id="526" w:name="_Toc11771695"/>
      <w:bookmarkStart w:id="527" w:name="_Toc77065039"/>
      <w:r>
        <w:lastRenderedPageBreak/>
        <w:t>Division 8.4—Data standards that must be made</w:t>
      </w:r>
      <w:bookmarkEnd w:id="526"/>
      <w:bookmarkEnd w:id="527"/>
    </w:p>
    <w:p w14:paraId="1E1C434E" w14:textId="43E90128" w:rsidR="00CF0E3D" w:rsidRDefault="00CF0E3D" w:rsidP="00CF0E3D">
      <w:pPr>
        <w:pStyle w:val="ActHead5"/>
      </w:pPr>
      <w:bookmarkStart w:id="528" w:name="_Toc11771696"/>
      <w:bookmarkStart w:id="529" w:name="_Toc77065040"/>
      <w:r>
        <w:t>8.11  Data standards that must be made</w:t>
      </w:r>
      <w:bookmarkEnd w:id="528"/>
      <w:bookmarkEnd w:id="529"/>
    </w:p>
    <w:p w14:paraId="3D4ED76F" w14:textId="77777777" w:rsidR="00CF0E3D" w:rsidRDefault="00CF0E3D" w:rsidP="00CF0E3D">
      <w:pPr>
        <w:pStyle w:val="subsection"/>
      </w:pPr>
      <w:r>
        <w:tab/>
        <w:t>(1)</w:t>
      </w:r>
      <w:r>
        <w:tab/>
        <w:t>The Data Standards Chair must make one or more data standards about each of the following:</w:t>
      </w:r>
    </w:p>
    <w:p w14:paraId="14AB9DD6" w14:textId="77777777" w:rsidR="00CF0E3D" w:rsidRPr="003F3AC9" w:rsidRDefault="00CF0E3D" w:rsidP="00CF0E3D">
      <w:pPr>
        <w:pStyle w:val="paragraph"/>
      </w:pPr>
      <w:r w:rsidRPr="003F3AC9">
        <w:tab/>
      </w:r>
      <w:r>
        <w:t>(a)</w:t>
      </w:r>
      <w:r w:rsidRPr="003F3AC9">
        <w:tab/>
        <w:t>the processes for:</w:t>
      </w:r>
    </w:p>
    <w:p w14:paraId="16D2CC6C" w14:textId="77777777" w:rsidR="00CF0E3D" w:rsidRPr="003F3AC9" w:rsidRDefault="00CF0E3D" w:rsidP="00CF0E3D">
      <w:pPr>
        <w:pStyle w:val="paragraphsub"/>
      </w:pPr>
      <w:r w:rsidRPr="003F3AC9">
        <w:tab/>
      </w:r>
      <w:r>
        <w:t>(i)</w:t>
      </w:r>
      <w:r w:rsidRPr="003F3AC9">
        <w:tab/>
        <w:t>making and responding to product data requests and consumer data requests; and</w:t>
      </w:r>
    </w:p>
    <w:p w14:paraId="47D02644" w14:textId="77777777" w:rsidR="00210486" w:rsidRPr="009C6022" w:rsidRDefault="00210486" w:rsidP="00210486">
      <w:pPr>
        <w:pStyle w:val="paragraphsub"/>
      </w:pPr>
      <w:r w:rsidRPr="003F3AC9">
        <w:tab/>
      </w:r>
      <w:r>
        <w:t>(ii)</w:t>
      </w:r>
      <w:r w:rsidRPr="003F3AC9">
        <w:tab/>
        <w:t>obtaining authorisations and consents, and withdrawal of authorisations and consents;</w:t>
      </w:r>
      <w:r w:rsidRPr="00693A57">
        <w:rPr>
          <w:color w:val="FF0000"/>
        </w:rPr>
        <w:t xml:space="preserve"> and</w:t>
      </w:r>
    </w:p>
    <w:p w14:paraId="1758DBFE" w14:textId="3D85E932" w:rsidR="00210486" w:rsidRPr="00693A57" w:rsidRDefault="00210486" w:rsidP="00210486">
      <w:pPr>
        <w:pStyle w:val="paragraphsub"/>
        <w:rPr>
          <w:color w:val="FF0000"/>
        </w:rPr>
      </w:pPr>
      <w:r w:rsidRPr="00693A57">
        <w:rPr>
          <w:color w:val="FF0000"/>
        </w:rPr>
        <w:tab/>
        <w:t>(iii)</w:t>
      </w:r>
      <w:r w:rsidRPr="00693A57">
        <w:rPr>
          <w:color w:val="FF0000"/>
        </w:rPr>
        <w:tab/>
        <w:t xml:space="preserve">making and responding to requests by the </w:t>
      </w:r>
      <w:r w:rsidR="001A1BCE" w:rsidRPr="00693A57">
        <w:rPr>
          <w:color w:val="FF0000"/>
        </w:rPr>
        <w:t>primary data holder</w:t>
      </w:r>
      <w:r w:rsidRPr="00693A57">
        <w:rPr>
          <w:color w:val="FF0000"/>
        </w:rPr>
        <w:t xml:space="preserve"> for SR data under rules 1.22 and 1.23; </w:t>
      </w:r>
    </w:p>
    <w:p w14:paraId="00C5E179" w14:textId="77777777" w:rsidR="00CF0E3D" w:rsidRPr="003F3AC9" w:rsidRDefault="00CF0E3D" w:rsidP="00CF0E3D">
      <w:pPr>
        <w:pStyle w:val="paragraph"/>
      </w:pPr>
      <w:r w:rsidRPr="003F3AC9">
        <w:tab/>
      </w:r>
      <w:r>
        <w:t>(b)</w:t>
      </w:r>
      <w:r w:rsidRPr="003F3AC9">
        <w:tab/>
        <w:t>the collection and use of CDR data, including requirements to be met by CDR participants in relation to seeking consent from CDR consumers;</w:t>
      </w:r>
    </w:p>
    <w:p w14:paraId="42677DD4" w14:textId="77777777" w:rsidR="00CF0E3D" w:rsidRPr="003F3AC9" w:rsidRDefault="00CF0E3D" w:rsidP="00CF0E3D">
      <w:pPr>
        <w:pStyle w:val="paragraph"/>
      </w:pPr>
      <w:r w:rsidRPr="003F3AC9">
        <w:tab/>
      </w:r>
      <w:r>
        <w:t>(c)</w:t>
      </w:r>
      <w:r w:rsidRPr="003F3AC9">
        <w:tab/>
        <w:t>the disclosure and security of CDR data, including:</w:t>
      </w:r>
    </w:p>
    <w:p w14:paraId="17530191" w14:textId="77777777" w:rsidR="00CF0E3D" w:rsidRPr="003F3AC9" w:rsidRDefault="00CF0E3D" w:rsidP="00CF0E3D">
      <w:pPr>
        <w:pStyle w:val="paragraphsub"/>
      </w:pPr>
      <w:r w:rsidRPr="003F3AC9">
        <w:tab/>
      </w:r>
      <w:r>
        <w:t>(i)</w:t>
      </w:r>
      <w:r w:rsidRPr="003F3AC9">
        <w:tab/>
        <w:t>authentication of CDR consumers to a standard which meets, in the opinion of the Chair, best practice security requirements; and</w:t>
      </w:r>
    </w:p>
    <w:p w14:paraId="666FC48E" w14:textId="77777777" w:rsidR="00CF0E3D" w:rsidRDefault="00CF0E3D" w:rsidP="00CF0E3D">
      <w:pPr>
        <w:pStyle w:val="paragraphsub"/>
      </w:pPr>
      <w:r>
        <w:tab/>
        <w:t>(ii)</w:t>
      </w:r>
      <w:r>
        <w:tab/>
        <w:t xml:space="preserve">seeking authorisations to disclose CDR data in response </w:t>
      </w:r>
      <w:r w:rsidRPr="003F3AC9">
        <w:t xml:space="preserve">to </w:t>
      </w:r>
      <w:r>
        <w:t xml:space="preserve">consumer data requests; </w:t>
      </w:r>
      <w:r w:rsidRPr="00CE5ECF">
        <w:t>and</w:t>
      </w:r>
      <w:r>
        <w:t xml:space="preserve"> </w:t>
      </w:r>
    </w:p>
    <w:p w14:paraId="68D47438" w14:textId="2BD8C6F4" w:rsidR="00CF0E3D" w:rsidRPr="00693A57" w:rsidRDefault="00CF0E3D" w:rsidP="00CF0E3D">
      <w:pPr>
        <w:pStyle w:val="paragraphsub"/>
        <w:rPr>
          <w:color w:val="0000FF"/>
        </w:rPr>
      </w:pPr>
      <w:r>
        <w:tab/>
      </w:r>
      <w:r w:rsidRPr="00CE5ECF">
        <w:t>(iii)</w:t>
      </w:r>
      <w:r w:rsidRPr="00CE5ECF">
        <w:tab/>
        <w:t>consumer experience data standards for disclosure of CDR data to accredited persons</w:t>
      </w:r>
      <w:r w:rsidRPr="00693A57">
        <w:rPr>
          <w:color w:val="0000FF"/>
        </w:rPr>
        <w:t>;</w:t>
      </w:r>
      <w:r w:rsidR="00D34637" w:rsidRPr="00693A57">
        <w:rPr>
          <w:color w:val="0000FF"/>
        </w:rPr>
        <w:t xml:space="preserve"> and</w:t>
      </w:r>
    </w:p>
    <w:p w14:paraId="1D85AA08" w14:textId="7C79C3F9" w:rsidR="00D34637" w:rsidRPr="00693A57" w:rsidRDefault="00D34637" w:rsidP="00D34637">
      <w:pPr>
        <w:pStyle w:val="paragraphsub"/>
        <w:rPr>
          <w:color w:val="0000FF"/>
        </w:rPr>
      </w:pPr>
      <w:r w:rsidRPr="00693A57">
        <w:rPr>
          <w:color w:val="0000FF"/>
        </w:rPr>
        <w:tab/>
        <w:t>(iv)</w:t>
      </w:r>
      <w:r w:rsidRPr="00693A57">
        <w:rPr>
          <w:color w:val="0000FF"/>
        </w:rPr>
        <w:tab/>
        <w:t>consumer experience data standards for disclosure of CDR data to trusted advisers;</w:t>
      </w:r>
    </w:p>
    <w:p w14:paraId="552CC1A6" w14:textId="5A732A0D" w:rsidR="00244AF6" w:rsidRPr="00693A57" w:rsidRDefault="00244AF6" w:rsidP="00244AF6">
      <w:pPr>
        <w:pStyle w:val="paragraphsub"/>
        <w:rPr>
          <w:color w:val="0000FF"/>
        </w:rPr>
      </w:pPr>
      <w:r w:rsidRPr="00693A57">
        <w:rPr>
          <w:color w:val="0000FF"/>
        </w:rPr>
        <w:tab/>
        <w:t>(v)</w:t>
      </w:r>
      <w:r w:rsidRPr="00693A57">
        <w:rPr>
          <w:color w:val="0000FF"/>
        </w:rPr>
        <w:tab/>
        <w:t>consumer experience data standards for disclosure of CDR insights;</w:t>
      </w:r>
    </w:p>
    <w:p w14:paraId="397B731E" w14:textId="77777777" w:rsidR="00CF0E3D" w:rsidRDefault="00CF0E3D" w:rsidP="00CF0E3D">
      <w:pPr>
        <w:pStyle w:val="paragraph"/>
      </w:pPr>
      <w:r>
        <w:tab/>
        <w:t>(d)</w:t>
      </w:r>
      <w:r>
        <w:tab/>
      </w:r>
      <w:r w:rsidRPr="006F4A42">
        <w:t xml:space="preserve">the types of </w:t>
      </w:r>
      <w:r>
        <w:t xml:space="preserve">CDR data </w:t>
      </w:r>
      <w:r w:rsidRPr="00E53912">
        <w:rPr>
          <w:color w:val="000000" w:themeColor="text1"/>
        </w:rPr>
        <w:t>and descriptions of those types,</w:t>
      </w:r>
      <w:r>
        <w:t xml:space="preserve"> to be used by CDR participants in making and responding to requests;</w:t>
      </w:r>
    </w:p>
    <w:p w14:paraId="4FFC1985" w14:textId="77777777" w:rsidR="00CF0E3D" w:rsidRDefault="00CF0E3D" w:rsidP="00CF0E3D">
      <w:pPr>
        <w:pStyle w:val="paragraph"/>
      </w:pPr>
      <w:r>
        <w:tab/>
        <w:t>(e)</w:t>
      </w:r>
      <w:r>
        <w:tab/>
        <w:t>the formats in which CDR data is to be provided in response to requests;</w:t>
      </w:r>
    </w:p>
    <w:p w14:paraId="156BD212" w14:textId="77777777" w:rsidR="00CF0E3D" w:rsidRDefault="00CF0E3D" w:rsidP="00CF0E3D">
      <w:pPr>
        <w:pStyle w:val="paragraph"/>
      </w:pPr>
      <w:r>
        <w:tab/>
        <w:t>(f)</w:t>
      </w:r>
      <w:r>
        <w:tab/>
        <w:t>requirements to be met by CDR participants in relation to:</w:t>
      </w:r>
    </w:p>
    <w:p w14:paraId="6466AC57" w14:textId="77777777" w:rsidR="00CF0E3D" w:rsidRDefault="00CF0E3D" w:rsidP="00CF0E3D">
      <w:pPr>
        <w:pStyle w:val="paragraphsub"/>
      </w:pPr>
      <w:r>
        <w:tab/>
        <w:t>(i)</w:t>
      </w:r>
      <w:r>
        <w:tab/>
        <w:t>performance and availability of systems to respond to requests; and</w:t>
      </w:r>
    </w:p>
    <w:p w14:paraId="51EE8176" w14:textId="77777777" w:rsidR="00CF0E3D" w:rsidRDefault="00CF0E3D" w:rsidP="00CF0E3D">
      <w:pPr>
        <w:pStyle w:val="paragraphsub"/>
      </w:pPr>
      <w:r>
        <w:tab/>
        <w:t>(ii)</w:t>
      </w:r>
      <w:r>
        <w:tab/>
        <w:t>public reporting of information relating to compliance with those requirements;</w:t>
      </w:r>
    </w:p>
    <w:p w14:paraId="45E96F5F" w14:textId="77777777" w:rsidR="00CF0E3D" w:rsidRPr="003F3AC9" w:rsidRDefault="00CF0E3D" w:rsidP="00CF0E3D">
      <w:pPr>
        <w:pStyle w:val="paragraph"/>
      </w:pPr>
      <w:r>
        <w:tab/>
        <w:t>(g)</w:t>
      </w:r>
      <w:r>
        <w:tab/>
        <w:t xml:space="preserve">the processes for CDR participants to notify other CDR participants of </w:t>
      </w:r>
      <w:r w:rsidRPr="003F3AC9">
        <w:t>withdrawal of consent or authorisations by CDR consumers;</w:t>
      </w:r>
    </w:p>
    <w:p w14:paraId="276271BF" w14:textId="24DD2343" w:rsidR="00CF0E3D" w:rsidRDefault="00CF0E3D" w:rsidP="006D2C58">
      <w:pPr>
        <w:pStyle w:val="paragraph"/>
      </w:pPr>
      <w:r w:rsidRPr="003F3AC9">
        <w:tab/>
      </w:r>
      <w:r>
        <w:t>(h)</w:t>
      </w:r>
      <w:r w:rsidRPr="003F3AC9">
        <w:tab/>
        <w:t>the provision of administrative or ancillary services by CDR participants to facilitate the management and receipt of communications between CDR participants</w:t>
      </w:r>
      <w:r w:rsidR="00A37ED0">
        <w:t>.</w:t>
      </w:r>
    </w:p>
    <w:p w14:paraId="06F3815A" w14:textId="576DD88A" w:rsidR="006C2A50" w:rsidRPr="00693A57" w:rsidRDefault="006C2A50" w:rsidP="006C2A50">
      <w:pPr>
        <w:pStyle w:val="subsection"/>
        <w:rPr>
          <w:color w:val="0000FF"/>
        </w:rPr>
      </w:pPr>
      <w:r w:rsidRPr="00693A57">
        <w:rPr>
          <w:color w:val="0000FF"/>
        </w:rPr>
        <w:tab/>
        <w:t>(1A)</w:t>
      </w:r>
      <w:r w:rsidRPr="00693A57">
        <w:rPr>
          <w:color w:val="0000FF"/>
        </w:rPr>
        <w:tab/>
        <w:t xml:space="preserve">The standards </w:t>
      </w:r>
      <w:r w:rsidR="00244AF6" w:rsidRPr="00693A57">
        <w:rPr>
          <w:color w:val="0000FF"/>
        </w:rPr>
        <w:t xml:space="preserve">for the purposes of paragraph (1)(a)(ii) that </w:t>
      </w:r>
      <w:r w:rsidRPr="00693A57">
        <w:rPr>
          <w:color w:val="0000FF"/>
        </w:rPr>
        <w:t>relat</w:t>
      </w:r>
      <w:r w:rsidR="00244AF6" w:rsidRPr="00693A57">
        <w:rPr>
          <w:color w:val="0000FF"/>
        </w:rPr>
        <w:t xml:space="preserve">e </w:t>
      </w:r>
      <w:r w:rsidRPr="00693A57">
        <w:rPr>
          <w:color w:val="0000FF"/>
        </w:rPr>
        <w:t>to obtaining insight disclosure consents must include provisions that cover the following:</w:t>
      </w:r>
    </w:p>
    <w:p w14:paraId="5826078E" w14:textId="7C573D86" w:rsidR="006C2A50" w:rsidRPr="00693A57" w:rsidRDefault="006C2A50" w:rsidP="006C2A50">
      <w:pPr>
        <w:pStyle w:val="paragraph"/>
        <w:rPr>
          <w:color w:val="0000FF"/>
        </w:rPr>
      </w:pPr>
      <w:r w:rsidRPr="00693A57">
        <w:rPr>
          <w:color w:val="0000FF"/>
        </w:rPr>
        <w:tab/>
        <w:t>(a)</w:t>
      </w:r>
      <w:r w:rsidRPr="00693A57">
        <w:rPr>
          <w:color w:val="0000FF"/>
        </w:rPr>
        <w:tab/>
        <w:t>how the accredited person can meet the requirement to explain a CDR insight in accordance with paragraph 4.11(3)(ca);</w:t>
      </w:r>
    </w:p>
    <w:p w14:paraId="45FCCA9F" w14:textId="045AA36B" w:rsidR="006C2A50" w:rsidRPr="00693A57" w:rsidRDefault="006C2A50" w:rsidP="006C2A50">
      <w:pPr>
        <w:pStyle w:val="paragraph"/>
        <w:rPr>
          <w:color w:val="0000FF"/>
        </w:rPr>
      </w:pPr>
      <w:r w:rsidRPr="00693A57">
        <w:rPr>
          <w:color w:val="0000FF"/>
        </w:rPr>
        <w:tab/>
        <w:t>(b)</w:t>
      </w:r>
      <w:r w:rsidRPr="00693A57">
        <w:rPr>
          <w:color w:val="0000FF"/>
        </w:rPr>
        <w:tab/>
        <w:t xml:space="preserve">ensuring that the CDR consumer is made aware that their data will leave the </w:t>
      </w:r>
      <w:r w:rsidR="00244AF6" w:rsidRPr="00693A57">
        <w:rPr>
          <w:color w:val="0000FF"/>
        </w:rPr>
        <w:t>CDR system when it is disclosed.</w:t>
      </w:r>
    </w:p>
    <w:p w14:paraId="06B264E3" w14:textId="5354015C" w:rsidR="00CF0E3D" w:rsidRPr="003F3AC9" w:rsidRDefault="00CF0E3D" w:rsidP="006C2A50">
      <w:pPr>
        <w:pStyle w:val="subsection"/>
      </w:pPr>
      <w:r w:rsidRPr="003F3AC9">
        <w:lastRenderedPageBreak/>
        <w:tab/>
      </w:r>
      <w:r>
        <w:t>(2)</w:t>
      </w:r>
      <w:r w:rsidRPr="003F3AC9">
        <w:tab/>
        <w:t>Each such standard must indicate that it is binding and must specify the date on which it commences and the date by which it must be fully complied with.</w:t>
      </w:r>
    </w:p>
    <w:p w14:paraId="04D50A4C" w14:textId="77777777" w:rsidR="00CF0E3D" w:rsidRPr="00B3173B" w:rsidRDefault="00CF0E3D" w:rsidP="00CF0E3D">
      <w:pPr>
        <w:pStyle w:val="notetext"/>
      </w:pPr>
      <w:r w:rsidRPr="00B3173B">
        <w:t>Note:</w:t>
      </w:r>
      <w:r w:rsidRPr="00B3173B">
        <w:tab/>
        <w:t>See sections 56FD and 56FE</w:t>
      </w:r>
      <w:r>
        <w:t xml:space="preserve"> </w:t>
      </w:r>
      <w:r w:rsidRPr="00C560DF">
        <w:t>of the Act</w:t>
      </w:r>
      <w:r w:rsidRPr="00B3173B">
        <w:t xml:space="preserve"> for the legal effect of a binding data standard.</w:t>
      </w:r>
    </w:p>
    <w:p w14:paraId="7BF8B111" w14:textId="77777777" w:rsidR="00CF0E3D" w:rsidRDefault="00CF0E3D" w:rsidP="00CF0E3D">
      <w:pPr>
        <w:pStyle w:val="subsection"/>
      </w:pPr>
      <w:r>
        <w:tab/>
        <w:t>(3)</w:t>
      </w:r>
      <w:r>
        <w:tab/>
        <w:t>The data standards must be subject to such consumer testing as the Data Standards Chair considers appropriate.</w:t>
      </w:r>
    </w:p>
    <w:p w14:paraId="0EADC081" w14:textId="418E80B3" w:rsidR="00CF0E3D" w:rsidRDefault="00CF0E3D" w:rsidP="00CF0E3D">
      <w:pPr>
        <w:pStyle w:val="ActHead2"/>
        <w:pageBreakBefore/>
      </w:pPr>
      <w:bookmarkStart w:id="530" w:name="_Toc11771697"/>
      <w:bookmarkStart w:id="531" w:name="_Toc77065041"/>
      <w:r>
        <w:lastRenderedPageBreak/>
        <w:t>Part 9—Other matters</w:t>
      </w:r>
      <w:bookmarkEnd w:id="530"/>
      <w:bookmarkEnd w:id="531"/>
    </w:p>
    <w:p w14:paraId="3ABEDAEC" w14:textId="716BDAB9" w:rsidR="00CF0E3D" w:rsidRPr="00B3173B" w:rsidRDefault="00CF0E3D" w:rsidP="00CF0E3D">
      <w:pPr>
        <w:pStyle w:val="ActHead3"/>
      </w:pPr>
      <w:bookmarkStart w:id="532" w:name="_Toc11771698"/>
      <w:bookmarkStart w:id="533" w:name="_Toc77065042"/>
      <w:r>
        <w:t>Division 9.1</w:t>
      </w:r>
      <w:r w:rsidRPr="00B3173B">
        <w:t>—Preliminary</w:t>
      </w:r>
      <w:bookmarkEnd w:id="532"/>
      <w:bookmarkEnd w:id="533"/>
    </w:p>
    <w:p w14:paraId="46E16334" w14:textId="5C4DE252" w:rsidR="00CF0E3D" w:rsidRPr="00B3173B" w:rsidRDefault="00CF0E3D" w:rsidP="00CF0E3D">
      <w:pPr>
        <w:pStyle w:val="ActHead5"/>
      </w:pPr>
      <w:bookmarkStart w:id="534" w:name="_Toc11771699"/>
      <w:bookmarkStart w:id="535" w:name="_Toc77065043"/>
      <w:r>
        <w:t>9.1</w:t>
      </w:r>
      <w:r w:rsidRPr="00B3173B">
        <w:t xml:space="preserve">  Simplified outline of this Part</w:t>
      </w:r>
      <w:bookmarkEnd w:id="534"/>
      <w:bookmarkEnd w:id="535"/>
    </w:p>
    <w:p w14:paraId="4FA7A911" w14:textId="77777777" w:rsidR="00CF0E3D" w:rsidRDefault="00CF0E3D" w:rsidP="00CF0E3D">
      <w:pPr>
        <w:pStyle w:val="SOText"/>
        <w:rPr>
          <w:color w:val="000000"/>
        </w:rPr>
      </w:pPr>
      <w:r>
        <w:rPr>
          <w:color w:val="000000"/>
        </w:rPr>
        <w:t>This Part deals with a range of miscellaneous matters, including:</w:t>
      </w:r>
    </w:p>
    <w:p w14:paraId="6E0DCF95" w14:textId="77777777" w:rsidR="00CF0E3D" w:rsidRDefault="00CF0E3D" w:rsidP="00CF0E3D">
      <w:pPr>
        <w:pStyle w:val="SOPara"/>
      </w:pPr>
      <w:r>
        <w:tab/>
      </w:r>
      <w:r>
        <w:sym w:font="Symbol" w:char="F0B7"/>
      </w:r>
      <w:r>
        <w:tab/>
        <w:t>decisions that can be reviewed by the Administrative Appeals Tribunal; and</w:t>
      </w:r>
    </w:p>
    <w:p w14:paraId="22E1823D" w14:textId="77777777" w:rsidR="00CF0E3D" w:rsidRDefault="00CF0E3D" w:rsidP="00CF0E3D">
      <w:pPr>
        <w:pStyle w:val="SOPara"/>
      </w:pPr>
      <w:r>
        <w:tab/>
      </w:r>
      <w:r>
        <w:sym w:font="Symbol" w:char="F0B7"/>
      </w:r>
      <w:r>
        <w:tab/>
        <w:t>rules relating to reporting, record</w:t>
      </w:r>
      <w:r>
        <w:noBreakHyphen/>
        <w:t>keeping and auditing; and</w:t>
      </w:r>
    </w:p>
    <w:p w14:paraId="404E226C" w14:textId="77777777" w:rsidR="00CF0E3D" w:rsidRPr="00641354" w:rsidRDefault="00CF0E3D" w:rsidP="00CF0E3D">
      <w:pPr>
        <w:pStyle w:val="SOPara"/>
      </w:pPr>
      <w:r>
        <w:tab/>
      </w:r>
      <w:r>
        <w:sym w:font="Symbol" w:char="F0B7"/>
      </w:r>
      <w:r>
        <w:tab/>
        <w:t xml:space="preserve">civil penalty provisions </w:t>
      </w:r>
      <w:r w:rsidRPr="00086F26">
        <w:t>of the consumer data rules</w:t>
      </w:r>
      <w:r>
        <w:t>, which are enforced under the enforcement provisions of the Act.</w:t>
      </w:r>
    </w:p>
    <w:p w14:paraId="108B4EEC" w14:textId="77777777" w:rsidR="00CF0E3D" w:rsidRPr="00A42F86" w:rsidRDefault="00CF0E3D" w:rsidP="00CF0E3D">
      <w:pPr>
        <w:pStyle w:val="ActHead3"/>
      </w:pPr>
    </w:p>
    <w:p w14:paraId="4B5F645D" w14:textId="67B309A6" w:rsidR="00CF0E3D" w:rsidRDefault="00CF0E3D" w:rsidP="00CF0E3D">
      <w:pPr>
        <w:pStyle w:val="ActHead3"/>
        <w:pageBreakBefore/>
      </w:pPr>
      <w:bookmarkStart w:id="536" w:name="_Toc11771700"/>
      <w:bookmarkStart w:id="537" w:name="_Toc77065044"/>
      <w:r>
        <w:lastRenderedPageBreak/>
        <w:t>Division 9.2—Review of decisions</w:t>
      </w:r>
      <w:bookmarkEnd w:id="536"/>
      <w:bookmarkEnd w:id="537"/>
    </w:p>
    <w:p w14:paraId="259A1935" w14:textId="269D1A45" w:rsidR="00CF0E3D" w:rsidRDefault="00CF0E3D" w:rsidP="00CF0E3D">
      <w:pPr>
        <w:pStyle w:val="ActHead5"/>
      </w:pPr>
      <w:bookmarkStart w:id="538" w:name="_Toc11771701"/>
      <w:bookmarkStart w:id="539" w:name="_Toc77065045"/>
      <w:r>
        <w:t>9.2  Review of decisions by the Administrative Appeals Tribunal</w:t>
      </w:r>
      <w:bookmarkEnd w:id="538"/>
      <w:bookmarkEnd w:id="539"/>
    </w:p>
    <w:p w14:paraId="23C5BC6E" w14:textId="77777777" w:rsidR="00CF0E3D" w:rsidRDefault="00CF0E3D" w:rsidP="00CF0E3D">
      <w:pPr>
        <w:pStyle w:val="subsection"/>
      </w:pPr>
      <w:r>
        <w:tab/>
      </w:r>
      <w:r>
        <w:tab/>
        <w:t>Applications may be made to the Administrative Appeals Tribunal to review any of the following decisions:</w:t>
      </w:r>
    </w:p>
    <w:p w14:paraId="73DA87F2" w14:textId="77777777" w:rsidR="00CF0E3D" w:rsidRDefault="00CF0E3D" w:rsidP="00CF0E3D">
      <w:pPr>
        <w:pStyle w:val="paragraph"/>
      </w:pPr>
      <w:r>
        <w:tab/>
        <w:t>(a)</w:t>
      </w:r>
      <w:r>
        <w:tab/>
        <w:t>a decision of the Data Recipient Accreditor under rule 5.10 to:</w:t>
      </w:r>
    </w:p>
    <w:p w14:paraId="219E53C4" w14:textId="77777777" w:rsidR="00CF0E3D" w:rsidRDefault="00CF0E3D" w:rsidP="00CF0E3D">
      <w:pPr>
        <w:pStyle w:val="paragraphsub"/>
      </w:pPr>
      <w:r>
        <w:tab/>
        <w:t>(i)</w:t>
      </w:r>
      <w:r>
        <w:tab/>
        <w:t>impose a condition on an accreditation; or</w:t>
      </w:r>
    </w:p>
    <w:p w14:paraId="52003BA0" w14:textId="77777777" w:rsidR="00CF0E3D" w:rsidRDefault="00CF0E3D" w:rsidP="00CF0E3D">
      <w:pPr>
        <w:pStyle w:val="paragraphsub"/>
      </w:pPr>
      <w:r>
        <w:tab/>
        <w:t>(ii)</w:t>
      </w:r>
      <w:r>
        <w:tab/>
        <w:t>vary a condition that has been imposed;</w:t>
      </w:r>
    </w:p>
    <w:p w14:paraId="6DFC5685" w14:textId="77777777" w:rsidR="00CF0E3D" w:rsidRDefault="00CF0E3D" w:rsidP="00CF0E3D">
      <w:pPr>
        <w:pStyle w:val="paragraph"/>
      </w:pPr>
      <w:r>
        <w:tab/>
        <w:t>(b)</w:t>
      </w:r>
      <w:r>
        <w:tab/>
        <w:t>a decision of the Data Recipient Accreditor under rule 5.17 to:</w:t>
      </w:r>
    </w:p>
    <w:p w14:paraId="04900DA7" w14:textId="77777777" w:rsidR="00CF0E3D" w:rsidRDefault="00CF0E3D" w:rsidP="00CF0E3D">
      <w:pPr>
        <w:pStyle w:val="paragraphsub"/>
      </w:pPr>
      <w:r>
        <w:tab/>
        <w:t>(i)</w:t>
      </w:r>
      <w:r>
        <w:tab/>
        <w:t>suspend</w:t>
      </w:r>
      <w:r w:rsidRPr="000C3240">
        <w:t xml:space="preserve"> an accreditation</w:t>
      </w:r>
      <w:r>
        <w:t>; or</w:t>
      </w:r>
    </w:p>
    <w:p w14:paraId="25687159" w14:textId="77777777" w:rsidR="00CF0E3D" w:rsidRDefault="00CF0E3D" w:rsidP="00CF0E3D">
      <w:pPr>
        <w:pStyle w:val="paragraphsub"/>
      </w:pPr>
      <w:r>
        <w:tab/>
        <w:t>(ii)</w:t>
      </w:r>
      <w:r>
        <w:tab/>
      </w:r>
      <w:r w:rsidRPr="000C3240">
        <w:t>extend a suspension</w:t>
      </w:r>
      <w:r>
        <w:t>; or</w:t>
      </w:r>
    </w:p>
    <w:p w14:paraId="32D12738" w14:textId="77777777" w:rsidR="00CF0E3D" w:rsidRPr="00F23160" w:rsidRDefault="00CF0E3D" w:rsidP="00CF0E3D">
      <w:pPr>
        <w:pStyle w:val="paragraphsub"/>
      </w:pPr>
      <w:r>
        <w:tab/>
        <w:t>(iii)</w:t>
      </w:r>
      <w:r>
        <w:tab/>
        <w:t>revoke an accreditation.</w:t>
      </w:r>
      <w:r w:rsidRPr="006F4A42">
        <w:t xml:space="preserve"> </w:t>
      </w:r>
    </w:p>
    <w:p w14:paraId="1CDA588D" w14:textId="7384AC8E" w:rsidR="00CF0E3D" w:rsidRDefault="00CF0E3D" w:rsidP="00CF0E3D">
      <w:pPr>
        <w:pStyle w:val="ActHead3"/>
        <w:pageBreakBefore/>
      </w:pPr>
      <w:bookmarkStart w:id="540" w:name="_Toc11771702"/>
      <w:bookmarkStart w:id="541" w:name="_Toc77065046"/>
      <w:r>
        <w:lastRenderedPageBreak/>
        <w:t>Division 9.3—Reporting, record keeping and audit</w:t>
      </w:r>
      <w:bookmarkEnd w:id="540"/>
      <w:bookmarkEnd w:id="541"/>
    </w:p>
    <w:p w14:paraId="7F83DE74" w14:textId="565F6FD0" w:rsidR="00CF0E3D" w:rsidRDefault="00CF0E3D" w:rsidP="00CF0E3D">
      <w:pPr>
        <w:pStyle w:val="ActHead4"/>
      </w:pPr>
      <w:bookmarkStart w:id="542" w:name="_Toc11771703"/>
      <w:bookmarkStart w:id="543" w:name="_Toc77065047"/>
      <w:r>
        <w:t>Subdivision 9.3.1—Reporting and record keeping</w:t>
      </w:r>
      <w:bookmarkEnd w:id="542"/>
      <w:bookmarkEnd w:id="543"/>
    </w:p>
    <w:p w14:paraId="00FA020E" w14:textId="12C08E90" w:rsidR="00CF0E3D" w:rsidRDefault="00CF0E3D" w:rsidP="00CF0E3D">
      <w:pPr>
        <w:pStyle w:val="ActHead5"/>
      </w:pPr>
      <w:bookmarkStart w:id="544" w:name="_Toc11771704"/>
      <w:bookmarkStart w:id="545" w:name="_Toc77065048"/>
      <w:r>
        <w:t>9.3  Records to be kept and maintained</w:t>
      </w:r>
      <w:bookmarkEnd w:id="544"/>
      <w:bookmarkEnd w:id="545"/>
    </w:p>
    <w:p w14:paraId="122D7495" w14:textId="77777777" w:rsidR="00CF0E3D" w:rsidRPr="00F07699" w:rsidRDefault="00CF0E3D" w:rsidP="00CF0E3D">
      <w:pPr>
        <w:pStyle w:val="SubsectionHead"/>
      </w:pPr>
      <w:r w:rsidRPr="00F07699">
        <w:t>Records to be kept and maintained—data holder</w:t>
      </w:r>
    </w:p>
    <w:p w14:paraId="74DE3305" w14:textId="77777777" w:rsidR="00CF0E3D" w:rsidRPr="00F07699" w:rsidRDefault="00CF0E3D" w:rsidP="00CF0E3D">
      <w:pPr>
        <w:pStyle w:val="subsection"/>
      </w:pPr>
      <w:r w:rsidRPr="00F07699">
        <w:tab/>
        <w:t>(1)</w:t>
      </w:r>
      <w:r w:rsidRPr="00F07699">
        <w:tab/>
        <w:t>A data holder must keep and maintain records that record and explain the following:</w:t>
      </w:r>
    </w:p>
    <w:p w14:paraId="0B5849AF" w14:textId="77777777" w:rsidR="00CF0E3D" w:rsidRPr="00A27D3A" w:rsidRDefault="00CF0E3D" w:rsidP="00CF0E3D">
      <w:pPr>
        <w:pStyle w:val="paragraph"/>
      </w:pPr>
      <w:r w:rsidRPr="00A27D3A">
        <w:tab/>
        <w:t>(a)</w:t>
      </w:r>
      <w:r w:rsidRPr="00A27D3A">
        <w:tab/>
        <w:t>authorisations given by CDR consumers to disclose CDR data;</w:t>
      </w:r>
    </w:p>
    <w:p w14:paraId="550F6802" w14:textId="77777777" w:rsidR="00CF0E3D" w:rsidRPr="00A27D3A" w:rsidRDefault="00CF0E3D" w:rsidP="00CF0E3D">
      <w:pPr>
        <w:pStyle w:val="paragraph"/>
      </w:pPr>
      <w:r w:rsidRPr="00A27D3A">
        <w:tab/>
        <w:t>(b)</w:t>
      </w:r>
      <w:r w:rsidRPr="00A27D3A">
        <w:tab/>
        <w:t>amendments to or withdrawals of authorisations to disclose CDR data;</w:t>
      </w:r>
    </w:p>
    <w:p w14:paraId="4B15FFB9" w14:textId="77777777" w:rsidR="00CF0E3D" w:rsidRDefault="00CF0E3D" w:rsidP="00CF0E3D">
      <w:pPr>
        <w:pStyle w:val="paragraph"/>
      </w:pPr>
      <w:r w:rsidRPr="00A27D3A">
        <w:tab/>
        <w:t>(c)</w:t>
      </w:r>
      <w:r w:rsidRPr="00A27D3A">
        <w:tab/>
        <w:t>notifications of withdrawals of consents to collect CDR data;</w:t>
      </w:r>
    </w:p>
    <w:p w14:paraId="7806A511" w14:textId="7A44EE8A" w:rsidR="00613049" w:rsidRPr="00693A57" w:rsidRDefault="00613049" w:rsidP="00CF0E3D">
      <w:pPr>
        <w:pStyle w:val="paragraph"/>
        <w:rPr>
          <w:color w:val="FF0000"/>
        </w:rPr>
      </w:pPr>
      <w:r w:rsidRPr="00693A57">
        <w:rPr>
          <w:color w:val="FF0000"/>
        </w:rPr>
        <w:tab/>
        <w:t>(ca)</w:t>
      </w:r>
      <w:r w:rsidRPr="00693A57">
        <w:rPr>
          <w:color w:val="FF0000"/>
        </w:rPr>
        <w:tab/>
        <w:t xml:space="preserve">where the data holder is a </w:t>
      </w:r>
      <w:r w:rsidR="001A1BCE" w:rsidRPr="00693A57">
        <w:rPr>
          <w:color w:val="FF0000"/>
        </w:rPr>
        <w:t>primary data holder</w:t>
      </w:r>
      <w:r w:rsidRPr="00693A57">
        <w:rPr>
          <w:color w:val="FF0000"/>
        </w:rPr>
        <w:t>—any requests for SR data made under subrule</w:t>
      </w:r>
      <w:r w:rsidR="00366BF5" w:rsidRPr="00693A57">
        <w:rPr>
          <w:color w:val="FF0000"/>
        </w:rPr>
        <w:t xml:space="preserve"> </w:t>
      </w:r>
      <w:r w:rsidR="000B1D10" w:rsidRPr="00693A57">
        <w:rPr>
          <w:color w:val="FF0000"/>
        </w:rPr>
        <w:t>1.23(4)</w:t>
      </w:r>
      <w:r w:rsidRPr="00693A57">
        <w:rPr>
          <w:color w:val="FF0000"/>
        </w:rPr>
        <w:t xml:space="preserve"> and responses received under subrule</w:t>
      </w:r>
      <w:r w:rsidR="00366BF5" w:rsidRPr="00693A57">
        <w:rPr>
          <w:color w:val="FF0000"/>
        </w:rPr>
        <w:t xml:space="preserve"> </w:t>
      </w:r>
      <w:r w:rsidR="000B1D10" w:rsidRPr="00693A57">
        <w:rPr>
          <w:color w:val="FF0000"/>
        </w:rPr>
        <w:t>1.23(5)</w:t>
      </w:r>
      <w:r w:rsidR="00366BF5" w:rsidRPr="00693A57">
        <w:rPr>
          <w:color w:val="FF0000"/>
        </w:rPr>
        <w:t xml:space="preserve"> or </w:t>
      </w:r>
      <w:r w:rsidR="000B1D10" w:rsidRPr="00693A57">
        <w:rPr>
          <w:color w:val="FF0000"/>
        </w:rPr>
        <w:t>(6)</w:t>
      </w:r>
      <w:r w:rsidRPr="00693A57">
        <w:rPr>
          <w:color w:val="FF0000"/>
        </w:rPr>
        <w:t xml:space="preserve">; </w:t>
      </w:r>
    </w:p>
    <w:p w14:paraId="2B11C5FD" w14:textId="77777777" w:rsidR="00FB2105" w:rsidRPr="00693A57" w:rsidRDefault="00613049" w:rsidP="00613049">
      <w:pPr>
        <w:pStyle w:val="paragraph"/>
        <w:rPr>
          <w:color w:val="FF0000"/>
        </w:rPr>
      </w:pPr>
      <w:r w:rsidRPr="00693A57">
        <w:rPr>
          <w:color w:val="FF0000"/>
        </w:rPr>
        <w:tab/>
        <w:t>(cb)</w:t>
      </w:r>
      <w:r w:rsidRPr="00693A57">
        <w:rPr>
          <w:color w:val="FF0000"/>
        </w:rPr>
        <w:tab/>
        <w:t>where the data holder is a secondary data holder</w:t>
      </w:r>
      <w:r w:rsidR="00FB2105" w:rsidRPr="00693A57">
        <w:rPr>
          <w:color w:val="FF0000"/>
        </w:rPr>
        <w:t>:</w:t>
      </w:r>
    </w:p>
    <w:p w14:paraId="6618C2AE" w14:textId="2048D325" w:rsidR="00613049" w:rsidRPr="00693A57" w:rsidRDefault="00FB2105" w:rsidP="00FB2105">
      <w:pPr>
        <w:pStyle w:val="paragraphsub"/>
        <w:rPr>
          <w:color w:val="FF0000"/>
        </w:rPr>
      </w:pPr>
      <w:r w:rsidRPr="00693A57">
        <w:rPr>
          <w:color w:val="FF0000"/>
        </w:rPr>
        <w:tab/>
      </w:r>
      <w:r w:rsidR="00832060" w:rsidRPr="00693A57">
        <w:rPr>
          <w:color w:val="FF0000"/>
        </w:rPr>
        <w:t>(i)</w:t>
      </w:r>
      <w:r w:rsidRPr="00693A57">
        <w:rPr>
          <w:color w:val="FF0000"/>
        </w:rPr>
        <w:tab/>
      </w:r>
      <w:r w:rsidR="00613049" w:rsidRPr="00693A57">
        <w:rPr>
          <w:color w:val="FF0000"/>
        </w:rPr>
        <w:t xml:space="preserve">any requests for SR data received under subrule </w:t>
      </w:r>
      <w:r w:rsidR="000B1D10" w:rsidRPr="00693A57">
        <w:rPr>
          <w:color w:val="FF0000"/>
        </w:rPr>
        <w:t>1.22(3)</w:t>
      </w:r>
      <w:r w:rsidR="00366BF5" w:rsidRPr="00693A57">
        <w:rPr>
          <w:color w:val="FF0000"/>
        </w:rPr>
        <w:t xml:space="preserve"> or </w:t>
      </w:r>
      <w:r w:rsidR="000B1D10" w:rsidRPr="00693A57">
        <w:rPr>
          <w:color w:val="FF0000"/>
        </w:rPr>
        <w:t>1.23(4)</w:t>
      </w:r>
      <w:r w:rsidR="00136F08" w:rsidRPr="00693A57">
        <w:rPr>
          <w:color w:val="FF0000"/>
        </w:rPr>
        <w:t xml:space="preserve"> </w:t>
      </w:r>
      <w:r w:rsidR="00613049" w:rsidRPr="00693A57">
        <w:rPr>
          <w:color w:val="FF0000"/>
        </w:rPr>
        <w:t>and responses given under subrule</w:t>
      </w:r>
      <w:r w:rsidR="00366BF5" w:rsidRPr="00693A57">
        <w:rPr>
          <w:color w:val="FF0000"/>
        </w:rPr>
        <w:t xml:space="preserve"> </w:t>
      </w:r>
      <w:r w:rsidR="000B1D10" w:rsidRPr="00693A57">
        <w:rPr>
          <w:color w:val="FF0000"/>
        </w:rPr>
        <w:t>1.22(4)</w:t>
      </w:r>
      <w:r w:rsidR="00366BF5" w:rsidRPr="00693A57">
        <w:rPr>
          <w:color w:val="FF0000"/>
        </w:rPr>
        <w:t xml:space="preserve"> or </w:t>
      </w:r>
      <w:r w:rsidR="000B1D10" w:rsidRPr="00693A57">
        <w:rPr>
          <w:color w:val="FF0000"/>
        </w:rPr>
        <w:t>(5)</w:t>
      </w:r>
      <w:r w:rsidR="00613049" w:rsidRPr="00693A57">
        <w:rPr>
          <w:color w:val="FF0000"/>
        </w:rPr>
        <w:t xml:space="preserve"> </w:t>
      </w:r>
      <w:r w:rsidR="00366BF5" w:rsidRPr="00693A57">
        <w:rPr>
          <w:color w:val="FF0000"/>
        </w:rPr>
        <w:t xml:space="preserve">or </w:t>
      </w:r>
      <w:r w:rsidR="000B1D10" w:rsidRPr="00693A57">
        <w:rPr>
          <w:color w:val="FF0000"/>
        </w:rPr>
        <w:t>1.23(5)</w:t>
      </w:r>
      <w:r w:rsidR="00366BF5" w:rsidRPr="00693A57">
        <w:rPr>
          <w:color w:val="FF0000"/>
        </w:rPr>
        <w:t xml:space="preserve"> or </w:t>
      </w:r>
      <w:r w:rsidR="000B1D10" w:rsidRPr="00693A57">
        <w:rPr>
          <w:color w:val="FF0000"/>
        </w:rPr>
        <w:t>(6)</w:t>
      </w:r>
      <w:r w:rsidR="00613049" w:rsidRPr="00693A57">
        <w:rPr>
          <w:color w:val="FF0000"/>
        </w:rPr>
        <w:t xml:space="preserve">; </w:t>
      </w:r>
      <w:r w:rsidRPr="00693A57">
        <w:rPr>
          <w:color w:val="FF0000"/>
        </w:rPr>
        <w:t>and</w:t>
      </w:r>
    </w:p>
    <w:p w14:paraId="1E9D2C34" w14:textId="7156669E" w:rsidR="00FB2105" w:rsidRPr="00693A57" w:rsidRDefault="00FB2105" w:rsidP="00FB2105">
      <w:pPr>
        <w:pStyle w:val="paragraphsub"/>
        <w:rPr>
          <w:color w:val="FF0000"/>
        </w:rPr>
      </w:pPr>
      <w:r w:rsidRPr="00693A57">
        <w:rPr>
          <w:color w:val="FF0000"/>
        </w:rPr>
        <w:tab/>
      </w:r>
      <w:r w:rsidR="00832060" w:rsidRPr="00693A57">
        <w:rPr>
          <w:color w:val="FF0000"/>
        </w:rPr>
        <w:t>(ii)</w:t>
      </w:r>
      <w:r w:rsidRPr="00693A57">
        <w:rPr>
          <w:color w:val="FF0000"/>
        </w:rPr>
        <w:tab/>
      </w:r>
      <w:r w:rsidR="00AB6518" w:rsidRPr="00693A57">
        <w:rPr>
          <w:color w:val="FF0000"/>
        </w:rPr>
        <w:t>where the data holder has refused to disclose requested SR data—the reasons relied upon to refuse to disclose the SR data, including any rule or data standard;</w:t>
      </w:r>
    </w:p>
    <w:p w14:paraId="13AB9A5E" w14:textId="394DC836" w:rsidR="00613049" w:rsidRPr="00613049" w:rsidRDefault="00CF0E3D" w:rsidP="00CF0E3D">
      <w:pPr>
        <w:pStyle w:val="paragraph"/>
      </w:pPr>
      <w:r w:rsidRPr="00A27D3A">
        <w:tab/>
        <w:t>(d)</w:t>
      </w:r>
      <w:r w:rsidRPr="00A27D3A">
        <w:tab/>
        <w:t>disclosures of CDR data made in response to consumer data requests;</w:t>
      </w:r>
    </w:p>
    <w:p w14:paraId="7359A2AE" w14:textId="77777777" w:rsidR="00CF0E3D" w:rsidRPr="00A27D3A" w:rsidRDefault="00CF0E3D" w:rsidP="00CF0E3D">
      <w:pPr>
        <w:pStyle w:val="paragraph"/>
      </w:pPr>
      <w:r w:rsidRPr="00A27D3A">
        <w:tab/>
        <w:t>(da)</w:t>
      </w:r>
      <w:r w:rsidRPr="00A27D3A">
        <w:tab/>
        <w:t>any written agreement of a kind referred to in subrule 2.4(5) the data holder has entered into;</w:t>
      </w:r>
    </w:p>
    <w:p w14:paraId="50C2EADD" w14:textId="77777777" w:rsidR="00CF0E3D" w:rsidRPr="00A27D3A" w:rsidRDefault="00CF0E3D" w:rsidP="00CF0E3D">
      <w:pPr>
        <w:pStyle w:val="paragraph"/>
      </w:pPr>
      <w:r w:rsidRPr="00A27D3A">
        <w:t xml:space="preserve"> </w:t>
      </w:r>
      <w:r w:rsidRPr="00A27D3A">
        <w:tab/>
        <w:t>(e)</w:t>
      </w:r>
      <w:r w:rsidRPr="00A27D3A">
        <w:tab/>
        <w:t>instances where the data holder has refused to disclose requested CDR data and the rule or data standard relied upon to refuse to disclose the CDR data;</w:t>
      </w:r>
    </w:p>
    <w:p w14:paraId="60B911A6" w14:textId="77777777" w:rsidR="00CF0E3D" w:rsidRPr="00A27D3A" w:rsidRDefault="00CF0E3D" w:rsidP="00CF0E3D">
      <w:pPr>
        <w:pStyle w:val="paragraph"/>
      </w:pPr>
      <w:r w:rsidRPr="00A27D3A">
        <w:tab/>
        <w:t>(f)</w:t>
      </w:r>
      <w:r w:rsidRPr="00A27D3A">
        <w:tab/>
        <w:t>CDR complaint data;</w:t>
      </w:r>
    </w:p>
    <w:p w14:paraId="36E706B0" w14:textId="77777777" w:rsidR="00CF0E3D" w:rsidRPr="00A27D3A" w:rsidRDefault="00CF0E3D" w:rsidP="00CF0E3D">
      <w:pPr>
        <w:pStyle w:val="paragraph"/>
      </w:pPr>
      <w:r w:rsidRPr="00A27D3A">
        <w:tab/>
        <w:t>(g)</w:t>
      </w:r>
      <w:r w:rsidRPr="00A27D3A">
        <w:tab/>
        <w:t>the processes by which the data holder asks CDR consumers for their authorisation to disclose CDR data and for an amendment to their authorisation, including a video of each process.</w:t>
      </w:r>
    </w:p>
    <w:p w14:paraId="57F871AA" w14:textId="77777777" w:rsidR="00CF0E3D" w:rsidRPr="00F07699" w:rsidRDefault="00CF0E3D" w:rsidP="00CF0E3D">
      <w:pPr>
        <w:pStyle w:val="subsection"/>
      </w:pPr>
      <w:r w:rsidRPr="00F07699">
        <w:tab/>
      </w:r>
      <w:r w:rsidRPr="00F07699">
        <w:tab/>
        <w:t>Civil penalty:</w:t>
      </w:r>
    </w:p>
    <w:p w14:paraId="712D7DE4" w14:textId="77777777" w:rsidR="00CF0E3D" w:rsidRPr="00F07699" w:rsidRDefault="00CF0E3D" w:rsidP="00CF0E3D">
      <w:pPr>
        <w:pStyle w:val="paragraph"/>
      </w:pPr>
      <w:r w:rsidRPr="00F07699">
        <w:tab/>
        <w:t>(a)</w:t>
      </w:r>
      <w:r w:rsidRPr="00F07699">
        <w:tab/>
        <w:t>for an individual―$50,000; and</w:t>
      </w:r>
    </w:p>
    <w:p w14:paraId="79438CAF" w14:textId="77777777" w:rsidR="00CF0E3D" w:rsidRDefault="00CF0E3D" w:rsidP="00CF0E3D">
      <w:pPr>
        <w:pStyle w:val="paragraph"/>
      </w:pPr>
      <w:r w:rsidRPr="00F07699">
        <w:tab/>
        <w:t>(b)</w:t>
      </w:r>
      <w:r w:rsidRPr="00F07699">
        <w:tab/>
        <w:t>for a body corporate―$250,000.</w:t>
      </w:r>
    </w:p>
    <w:p w14:paraId="2F791554" w14:textId="77777777" w:rsidR="00CF0E3D" w:rsidRPr="00F07699" w:rsidRDefault="00CF0E3D" w:rsidP="00CF0E3D">
      <w:pPr>
        <w:pStyle w:val="SubsectionHead"/>
      </w:pPr>
      <w:r w:rsidRPr="00F07699">
        <w:t>Records to be kept and maintained—accredited data recipient</w:t>
      </w:r>
    </w:p>
    <w:p w14:paraId="533405D1" w14:textId="77777777" w:rsidR="00CF0E3D" w:rsidRPr="00F07699" w:rsidRDefault="00CF0E3D" w:rsidP="00CF0E3D">
      <w:pPr>
        <w:pStyle w:val="subsection"/>
      </w:pPr>
      <w:r w:rsidRPr="00F07699">
        <w:tab/>
        <w:t>(2)</w:t>
      </w:r>
      <w:r w:rsidRPr="00F07699">
        <w:tab/>
        <w:t>An accredited data recipient must keep and maintain records that record and explain the following:</w:t>
      </w:r>
    </w:p>
    <w:p w14:paraId="0DCFF5A6" w14:textId="77777777" w:rsidR="00CF0E3D" w:rsidRPr="00A27D3A" w:rsidRDefault="00CF0E3D" w:rsidP="00CF0E3D">
      <w:pPr>
        <w:pStyle w:val="paragraph"/>
      </w:pPr>
      <w:r w:rsidRPr="00A27D3A">
        <w:tab/>
        <w:t>(a)</w:t>
      </w:r>
      <w:r w:rsidRPr="00A27D3A">
        <w:tab/>
        <w:t xml:space="preserve">all consents, including, if applicable, the uses of the CDR data that the CDR consumer has consented to under any use consents; </w:t>
      </w:r>
    </w:p>
    <w:p w14:paraId="7E0FA928" w14:textId="77777777" w:rsidR="00CF0E3D" w:rsidRPr="00A27D3A" w:rsidRDefault="00CF0E3D" w:rsidP="00CF0E3D">
      <w:pPr>
        <w:pStyle w:val="paragraph"/>
      </w:pPr>
      <w:r w:rsidRPr="00A27D3A">
        <w:tab/>
        <w:t>(b)</w:t>
      </w:r>
      <w:r w:rsidRPr="00A27D3A">
        <w:tab/>
        <w:t>amendments to or withdrawals of consents by CDR consumers;</w:t>
      </w:r>
    </w:p>
    <w:p w14:paraId="39D96B27" w14:textId="77777777" w:rsidR="00CF0E3D" w:rsidRPr="00A27D3A" w:rsidRDefault="00CF0E3D" w:rsidP="00CF0E3D">
      <w:pPr>
        <w:pStyle w:val="paragraph"/>
      </w:pPr>
      <w:r w:rsidRPr="00A27D3A">
        <w:tab/>
        <w:t>(c)</w:t>
      </w:r>
      <w:r w:rsidRPr="00A27D3A">
        <w:tab/>
        <w:t>notifications of withdrawals of authorisations received from data holders;</w:t>
      </w:r>
    </w:p>
    <w:p w14:paraId="64F08850" w14:textId="77777777" w:rsidR="00CF0E3D" w:rsidRPr="00A27D3A" w:rsidRDefault="00CF0E3D" w:rsidP="00CF0E3D">
      <w:pPr>
        <w:pStyle w:val="paragraph"/>
      </w:pPr>
      <w:r w:rsidRPr="00A27D3A">
        <w:tab/>
        <w:t>(d)</w:t>
      </w:r>
      <w:r w:rsidRPr="00A27D3A">
        <w:tab/>
        <w:t>CDR complaint data;</w:t>
      </w:r>
    </w:p>
    <w:p w14:paraId="7AAA5A66" w14:textId="77777777" w:rsidR="00CF0E3D" w:rsidRPr="00A27D3A" w:rsidRDefault="00CF0E3D" w:rsidP="00CF0E3D">
      <w:pPr>
        <w:pStyle w:val="paragraph"/>
      </w:pPr>
      <w:r w:rsidRPr="00A27D3A">
        <w:lastRenderedPageBreak/>
        <w:tab/>
        <w:t>(e)</w:t>
      </w:r>
      <w:r w:rsidRPr="00A27D3A">
        <w:tab/>
        <w:t>collections of CDR data under these rules;</w:t>
      </w:r>
    </w:p>
    <w:p w14:paraId="745AE620" w14:textId="77777777" w:rsidR="00CF0E3D" w:rsidRPr="00A27D3A" w:rsidRDefault="00CF0E3D" w:rsidP="00CF0E3D">
      <w:pPr>
        <w:pStyle w:val="paragraph"/>
      </w:pPr>
      <w:r w:rsidRPr="00A27D3A">
        <w:tab/>
        <w:t>(ea)</w:t>
      </w:r>
      <w:r w:rsidRPr="00A27D3A">
        <w:tab/>
        <w:t>disclosures of CDR data to accredited persons under these rules, and the accredited persons to which any CDR data was disclosed;</w:t>
      </w:r>
    </w:p>
    <w:p w14:paraId="52F859CF" w14:textId="534A180B" w:rsidR="0095772B" w:rsidRPr="00693A57" w:rsidRDefault="0095772B" w:rsidP="0095772B">
      <w:pPr>
        <w:pStyle w:val="paragraph"/>
        <w:rPr>
          <w:color w:val="0000FF"/>
        </w:rPr>
      </w:pPr>
      <w:r w:rsidRPr="00693A57">
        <w:rPr>
          <w:color w:val="0000FF"/>
        </w:rPr>
        <w:tab/>
        <w:t>(eb)</w:t>
      </w:r>
      <w:r w:rsidRPr="00693A57">
        <w:rPr>
          <w:color w:val="0000FF"/>
        </w:rPr>
        <w:tab/>
        <w:t>disclosur</w:t>
      </w:r>
      <w:r w:rsidR="00386C4A" w:rsidRPr="00693A57">
        <w:rPr>
          <w:color w:val="0000FF"/>
        </w:rPr>
        <w:t>es of CDR data to trusted advise</w:t>
      </w:r>
      <w:r w:rsidRPr="00693A57">
        <w:rPr>
          <w:color w:val="0000FF"/>
        </w:rPr>
        <w:t>rs, and t</w:t>
      </w:r>
      <w:r w:rsidR="00386C4A" w:rsidRPr="00693A57">
        <w:rPr>
          <w:color w:val="0000FF"/>
        </w:rPr>
        <w:t>rusted advise</w:t>
      </w:r>
      <w:r w:rsidRPr="00693A57">
        <w:rPr>
          <w:color w:val="0000FF"/>
        </w:rPr>
        <w:t>rs to whom CDR data was disclosed;</w:t>
      </w:r>
    </w:p>
    <w:p w14:paraId="1AE344B2" w14:textId="0DB659C6" w:rsidR="00CE12C3" w:rsidRPr="00693A57" w:rsidRDefault="00CE12C3" w:rsidP="0095772B">
      <w:pPr>
        <w:pStyle w:val="paragraph"/>
        <w:rPr>
          <w:color w:val="0000FF"/>
        </w:rPr>
      </w:pPr>
      <w:r w:rsidRPr="00693A57">
        <w:rPr>
          <w:color w:val="0000FF"/>
        </w:rPr>
        <w:tab/>
        <w:t>(ec)</w:t>
      </w:r>
      <w:r w:rsidRPr="00693A57">
        <w:rPr>
          <w:color w:val="0000FF"/>
        </w:rPr>
        <w:tab/>
        <w:t>the steps taken to confirm that a trusted advisor is a member of a class of trusted advisors for paragraph 7.5A(3);</w:t>
      </w:r>
    </w:p>
    <w:p w14:paraId="1C9A4E0A" w14:textId="615F1589" w:rsidR="0095772B" w:rsidRPr="00693A57" w:rsidRDefault="0095772B" w:rsidP="0095772B">
      <w:pPr>
        <w:pStyle w:val="paragraph"/>
        <w:rPr>
          <w:color w:val="0000FF"/>
        </w:rPr>
      </w:pPr>
      <w:r w:rsidRPr="00693A57">
        <w:rPr>
          <w:color w:val="0000FF"/>
        </w:rPr>
        <w:tab/>
        <w:t>(e</w:t>
      </w:r>
      <w:r w:rsidR="00CE12C3" w:rsidRPr="00693A57">
        <w:rPr>
          <w:color w:val="0000FF"/>
        </w:rPr>
        <w:t>d</w:t>
      </w:r>
      <w:r w:rsidRPr="00693A57">
        <w:rPr>
          <w:color w:val="0000FF"/>
        </w:rPr>
        <w:t>)</w:t>
      </w:r>
      <w:r w:rsidRPr="00693A57">
        <w:rPr>
          <w:color w:val="0000FF"/>
        </w:rPr>
        <w:tab/>
        <w:t xml:space="preserve">disclosures of </w:t>
      </w:r>
      <w:r w:rsidR="00AB7B51" w:rsidRPr="00693A57">
        <w:rPr>
          <w:color w:val="0000FF"/>
        </w:rPr>
        <w:t xml:space="preserve">CDR </w:t>
      </w:r>
      <w:r w:rsidRPr="00693A57">
        <w:rPr>
          <w:color w:val="0000FF"/>
        </w:rPr>
        <w:t xml:space="preserve">insights, including </w:t>
      </w:r>
      <w:r w:rsidR="00C7378A" w:rsidRPr="00693A57">
        <w:rPr>
          <w:color w:val="0000FF"/>
        </w:rPr>
        <w:t>a copy</w:t>
      </w:r>
      <w:r w:rsidRPr="00693A57">
        <w:rPr>
          <w:color w:val="0000FF"/>
        </w:rPr>
        <w:t xml:space="preserve"> of each </w:t>
      </w:r>
      <w:r w:rsidR="00AB7B51" w:rsidRPr="00693A57">
        <w:rPr>
          <w:color w:val="0000FF"/>
        </w:rPr>
        <w:t xml:space="preserve">CDR </w:t>
      </w:r>
      <w:r w:rsidRPr="00693A57">
        <w:rPr>
          <w:color w:val="0000FF"/>
        </w:rPr>
        <w:t>insight disclosed, to whom it was disclosed and when;</w:t>
      </w:r>
    </w:p>
    <w:p w14:paraId="5E3B4931" w14:textId="77777777" w:rsidR="00CF0E3D" w:rsidRPr="00A27D3A" w:rsidRDefault="00CF0E3D" w:rsidP="00CF0E3D">
      <w:pPr>
        <w:pStyle w:val="paragraph"/>
      </w:pPr>
      <w:r w:rsidRPr="00A27D3A">
        <w:tab/>
        <w:t>(f)</w:t>
      </w:r>
      <w:r w:rsidRPr="00A27D3A">
        <w:tab/>
        <w:t>elections to delete and withdrawals of those elections;</w:t>
      </w:r>
    </w:p>
    <w:p w14:paraId="2373C87A" w14:textId="77777777" w:rsidR="00CF0E3D" w:rsidRPr="00A27D3A" w:rsidRDefault="00CF0E3D" w:rsidP="00CF0E3D">
      <w:pPr>
        <w:pStyle w:val="paragraph"/>
      </w:pPr>
      <w:r w:rsidRPr="00A27D3A">
        <w:tab/>
        <w:t>(g)</w:t>
      </w:r>
      <w:r w:rsidRPr="00A27D3A">
        <w:tab/>
        <w:t>the use of CDR data by the accredited data recipient;</w:t>
      </w:r>
    </w:p>
    <w:p w14:paraId="2BDEA479" w14:textId="77777777" w:rsidR="00CF0E3D" w:rsidRPr="00A27D3A" w:rsidRDefault="00CF0E3D" w:rsidP="00CF0E3D">
      <w:pPr>
        <w:pStyle w:val="paragraph"/>
      </w:pPr>
      <w:r w:rsidRPr="00A27D3A">
        <w:tab/>
        <w:t>(h)</w:t>
      </w:r>
      <w:r w:rsidRPr="00A27D3A">
        <w:tab/>
        <w:t>the processes by which the accredited data recipient asks CDR consumers for their consent and for an amendment to their consent, including a video of each process;</w:t>
      </w:r>
    </w:p>
    <w:p w14:paraId="1758799F" w14:textId="77777777" w:rsidR="00CF0E3D" w:rsidRPr="0082342F" w:rsidRDefault="00CF0E3D" w:rsidP="00CF0E3D">
      <w:pPr>
        <w:pStyle w:val="paragraph"/>
      </w:pPr>
      <w:r w:rsidRPr="0082342F">
        <w:tab/>
        <w:t>(i)</w:t>
      </w:r>
      <w:r w:rsidRPr="0082342F">
        <w:tab/>
        <w:t>if applicable:</w:t>
      </w:r>
    </w:p>
    <w:p w14:paraId="383E7D10" w14:textId="1DD71459" w:rsidR="00CF0E3D" w:rsidRPr="0082342F" w:rsidRDefault="00CF0E3D" w:rsidP="00CF0E3D">
      <w:pPr>
        <w:pStyle w:val="paragraphsub"/>
      </w:pPr>
      <w:r w:rsidRPr="0082342F">
        <w:tab/>
        <w:t>(i)</w:t>
      </w:r>
      <w:r w:rsidRPr="0082342F">
        <w:tab/>
        <w:t>arrangements that may result in CDR data being collected by or disclosed to outsourced service providers</w:t>
      </w:r>
      <w:r w:rsidR="0082342F">
        <w:t xml:space="preserve"> </w:t>
      </w:r>
      <w:r w:rsidR="0082342F" w:rsidRPr="00693A57">
        <w:rPr>
          <w:color w:val="0000FF"/>
        </w:rPr>
        <w:t>or sponsors</w:t>
      </w:r>
      <w:r w:rsidRPr="0082342F">
        <w:t>, including copies of agreements with outsourced service providers</w:t>
      </w:r>
      <w:r w:rsidR="002D21EE" w:rsidRPr="00693A57">
        <w:rPr>
          <w:color w:val="0000FF"/>
        </w:rPr>
        <w:t xml:space="preserve"> or sponsors</w:t>
      </w:r>
      <w:r w:rsidRPr="0082342F">
        <w:t>; and</w:t>
      </w:r>
    </w:p>
    <w:p w14:paraId="5050A069" w14:textId="76D5D622" w:rsidR="00CF0E3D" w:rsidRPr="002D21EE" w:rsidRDefault="00CF0E3D" w:rsidP="00CF0E3D">
      <w:pPr>
        <w:pStyle w:val="paragraphsub"/>
      </w:pPr>
      <w:r w:rsidRPr="002D21EE">
        <w:tab/>
        <w:t>(ii)</w:t>
      </w:r>
      <w:r w:rsidRPr="002D21EE">
        <w:tab/>
        <w:t>the use and management of CDR data by those providers</w:t>
      </w:r>
      <w:r w:rsidR="002D21EE">
        <w:t xml:space="preserve"> </w:t>
      </w:r>
      <w:r w:rsidR="002D21EE" w:rsidRPr="00693A57">
        <w:rPr>
          <w:color w:val="0000FF"/>
        </w:rPr>
        <w:t>or sponsors</w:t>
      </w:r>
      <w:r w:rsidRPr="002D21EE">
        <w:t>;</w:t>
      </w:r>
    </w:p>
    <w:p w14:paraId="4026AE91" w14:textId="77777777" w:rsidR="00CF0E3D" w:rsidRPr="00F07699" w:rsidRDefault="00CF0E3D" w:rsidP="00CF0E3D">
      <w:pPr>
        <w:pStyle w:val="paragraph"/>
      </w:pPr>
      <w:r w:rsidRPr="00F07699">
        <w:tab/>
        <w:t>(j)</w:t>
      </w:r>
      <w:r w:rsidRPr="00F07699">
        <w:tab/>
        <w:t>if CDR data was de-identified in accordance with a consent referred to in paragraph 4.11(3)(e):</w:t>
      </w:r>
    </w:p>
    <w:p w14:paraId="2703C306" w14:textId="77777777" w:rsidR="00CF0E3D" w:rsidRPr="00F07699" w:rsidRDefault="00CF0E3D" w:rsidP="00CF0E3D">
      <w:pPr>
        <w:pStyle w:val="paragraphsub"/>
      </w:pPr>
      <w:r w:rsidRPr="00F07699">
        <w:tab/>
        <w:t>(i)</w:t>
      </w:r>
      <w:r w:rsidRPr="00F07699">
        <w:tab/>
        <w:t>how the data was de</w:t>
      </w:r>
      <w:r w:rsidRPr="00F07699">
        <w:noBreakHyphen/>
        <w:t>identified; and</w:t>
      </w:r>
    </w:p>
    <w:p w14:paraId="565D888E" w14:textId="77777777" w:rsidR="00CF0E3D" w:rsidRPr="00F07699" w:rsidRDefault="00CF0E3D" w:rsidP="00CF0E3D">
      <w:pPr>
        <w:pStyle w:val="paragraphsub"/>
      </w:pPr>
      <w:r w:rsidRPr="00F07699">
        <w:tab/>
        <w:t>(ii)</w:t>
      </w:r>
      <w:r w:rsidRPr="00F07699">
        <w:tab/>
        <w:t>how the accredited data recipient used the de</w:t>
      </w:r>
      <w:r w:rsidRPr="00F07699">
        <w:noBreakHyphen/>
        <w:t>identified data; and</w:t>
      </w:r>
    </w:p>
    <w:p w14:paraId="5D4CA572" w14:textId="77777777" w:rsidR="00CF0E3D" w:rsidRPr="00F07699" w:rsidRDefault="00CF0E3D" w:rsidP="00CF0E3D">
      <w:pPr>
        <w:pStyle w:val="paragraphsub"/>
      </w:pPr>
      <w:r w:rsidRPr="00F07699">
        <w:tab/>
        <w:t>(iii)</w:t>
      </w:r>
      <w:r w:rsidRPr="00F07699">
        <w:tab/>
        <w:t>if the accredited data recipient disclosed (by sale or otherwise) the de</w:t>
      </w:r>
      <w:r w:rsidRPr="00F07699">
        <w:noBreakHyphen/>
        <w:t>identified data to another person as referred to in paragraph 4.15(b):</w:t>
      </w:r>
    </w:p>
    <w:p w14:paraId="6073FBE6" w14:textId="77777777" w:rsidR="00CF0E3D" w:rsidRPr="00F07699" w:rsidRDefault="00CF0E3D" w:rsidP="00CF0E3D">
      <w:pPr>
        <w:pStyle w:val="paragraphsub-sub"/>
      </w:pPr>
      <w:r w:rsidRPr="00F07699">
        <w:tab/>
        <w:t>(A)</w:t>
      </w:r>
      <w:r w:rsidRPr="00F07699">
        <w:tab/>
        <w:t>to whom the data was so disclosed; and</w:t>
      </w:r>
    </w:p>
    <w:p w14:paraId="5C939F90" w14:textId="77777777" w:rsidR="00CF0E3D" w:rsidRDefault="00CF0E3D" w:rsidP="00CF0E3D">
      <w:pPr>
        <w:pStyle w:val="paragraphsub-sub"/>
      </w:pPr>
      <w:r w:rsidRPr="00F07699">
        <w:tab/>
        <w:t>(B)</w:t>
      </w:r>
      <w:r w:rsidRPr="00F07699">
        <w:tab/>
      </w:r>
      <w:r>
        <w:t>why the data was so disclosed;</w:t>
      </w:r>
    </w:p>
    <w:p w14:paraId="265D3E91" w14:textId="77777777" w:rsidR="00CF0E3D" w:rsidRPr="001B5F32" w:rsidRDefault="00CF0E3D" w:rsidP="00CF0E3D">
      <w:pPr>
        <w:pStyle w:val="paragraphsub"/>
      </w:pPr>
      <w:r w:rsidRPr="00572C56">
        <w:tab/>
      </w:r>
      <w:r w:rsidRPr="001B5F32">
        <w:t>(iv)</w:t>
      </w:r>
      <w:r w:rsidRPr="001B5F32">
        <w:tab/>
        <w:t>if the use is for general research―records of any additional benefit to be provided to the CDR consumer for consenting to the use;</w:t>
      </w:r>
    </w:p>
    <w:p w14:paraId="6235FFB0" w14:textId="77777777" w:rsidR="00CF0E3D" w:rsidRPr="00A27D3A" w:rsidRDefault="00CF0E3D" w:rsidP="00CF0E3D">
      <w:pPr>
        <w:pStyle w:val="paragraph"/>
      </w:pPr>
      <w:r w:rsidRPr="00A27D3A">
        <w:tab/>
        <w:t>(k)</w:t>
      </w:r>
      <w:r w:rsidRPr="00A27D3A">
        <w:tab/>
        <w:t>records that are required to be made for the purposes of the CDR data de</w:t>
      </w:r>
      <w:r w:rsidRPr="00A27D3A">
        <w:noBreakHyphen/>
        <w:t>identification process when applied as part of privacy safeguard 12;</w:t>
      </w:r>
    </w:p>
    <w:p w14:paraId="4C9EF9EC" w14:textId="77777777" w:rsidR="00CF0E3D" w:rsidRPr="00A27D3A" w:rsidRDefault="00CF0E3D" w:rsidP="00CF0E3D">
      <w:pPr>
        <w:pStyle w:val="paragraph"/>
      </w:pPr>
      <w:r w:rsidRPr="00A27D3A">
        <w:tab/>
        <w:t>(l)</w:t>
      </w:r>
      <w:r w:rsidRPr="00A27D3A">
        <w:tab/>
        <w:t>records of any matters that are required to be retained under Schedule 2 to these rules;</w:t>
      </w:r>
    </w:p>
    <w:p w14:paraId="09E6BDA9" w14:textId="77777777" w:rsidR="00CF0E3D" w:rsidRPr="00F07699" w:rsidRDefault="00CF0E3D" w:rsidP="00CF0E3D">
      <w:pPr>
        <w:pStyle w:val="paragraph"/>
      </w:pPr>
      <w:r w:rsidRPr="00A27D3A">
        <w:tab/>
        <w:t>(m)</w:t>
      </w:r>
      <w:r w:rsidRPr="00A27D3A">
        <w:tab/>
        <w:t xml:space="preserve">any terms and conditions on which the accredited data recipient offers goods or services where the accredited data recipient collects or uses, or discloses to an accredited person, CDR data in order to provide </w:t>
      </w:r>
      <w:r w:rsidRPr="00F07699">
        <w:t>the good or service.</w:t>
      </w:r>
    </w:p>
    <w:p w14:paraId="7406B796" w14:textId="77777777" w:rsidR="00CF0E3D" w:rsidRPr="00F07699" w:rsidRDefault="00CF0E3D" w:rsidP="00CF0E3D">
      <w:pPr>
        <w:pStyle w:val="notetext"/>
      </w:pPr>
      <w:r w:rsidRPr="00F07699">
        <w:t>Note:</w:t>
      </w:r>
      <w:r w:rsidRPr="00F07699">
        <w:tab/>
        <w:t>For paragraph (k), see section 56EO of the Act and rule 7.12.</w:t>
      </w:r>
    </w:p>
    <w:p w14:paraId="40BDE25D" w14:textId="77777777" w:rsidR="00CF0E3D" w:rsidRPr="00F07699" w:rsidRDefault="00CF0E3D" w:rsidP="00CF0E3D">
      <w:pPr>
        <w:pStyle w:val="subsection"/>
      </w:pPr>
      <w:r w:rsidRPr="00F07699">
        <w:tab/>
      </w:r>
      <w:r w:rsidRPr="00F07699">
        <w:tab/>
        <w:t>Civil penalty:</w:t>
      </w:r>
    </w:p>
    <w:p w14:paraId="4FA1E0C7" w14:textId="77777777" w:rsidR="00CF0E3D" w:rsidRPr="00F07699" w:rsidRDefault="00CF0E3D" w:rsidP="00CF0E3D">
      <w:pPr>
        <w:pStyle w:val="paragraph"/>
      </w:pPr>
      <w:r w:rsidRPr="00F07699">
        <w:tab/>
        <w:t>(a)</w:t>
      </w:r>
      <w:r w:rsidRPr="00F07699">
        <w:tab/>
        <w:t>for an individual―$50,000; and</w:t>
      </w:r>
    </w:p>
    <w:p w14:paraId="103907B7" w14:textId="77777777" w:rsidR="00CF0E3D" w:rsidRPr="00F07699" w:rsidRDefault="00CF0E3D" w:rsidP="00CF0E3D">
      <w:pPr>
        <w:pStyle w:val="paragraph"/>
      </w:pPr>
      <w:r w:rsidRPr="00F07699">
        <w:tab/>
        <w:t>(b)</w:t>
      </w:r>
      <w:r w:rsidRPr="00F07699">
        <w:tab/>
        <w:t>for a body corporate―$250,000.</w:t>
      </w:r>
    </w:p>
    <w:p w14:paraId="76E9ADA7" w14:textId="77777777" w:rsidR="00CF0E3D" w:rsidRPr="003F3AC9" w:rsidRDefault="00CF0E3D" w:rsidP="00CF0E3D">
      <w:pPr>
        <w:pStyle w:val="SubsectionHead"/>
      </w:pPr>
      <w:r w:rsidRPr="003F3AC9">
        <w:lastRenderedPageBreak/>
        <w:t>Specificity of records</w:t>
      </w:r>
    </w:p>
    <w:p w14:paraId="7DB7C604" w14:textId="77777777" w:rsidR="00CF0E3D" w:rsidRPr="003F3AC9" w:rsidRDefault="00CF0E3D" w:rsidP="00CF0E3D">
      <w:pPr>
        <w:pStyle w:val="subsection"/>
      </w:pPr>
      <w:r w:rsidRPr="003F3AC9">
        <w:tab/>
      </w:r>
      <w:r>
        <w:t>(3)</w:t>
      </w:r>
      <w:r w:rsidRPr="003F3AC9">
        <w:tab/>
        <w:t>Each record referred to in this rule must include the date and time when the record was made and, if applicable, the date and time when the event described by the record occurred.</w:t>
      </w:r>
    </w:p>
    <w:p w14:paraId="0E348C74" w14:textId="77777777" w:rsidR="00CF0E3D" w:rsidRPr="0072242E" w:rsidRDefault="00CF0E3D" w:rsidP="00CF0E3D">
      <w:pPr>
        <w:pStyle w:val="SubsectionHead"/>
      </w:pPr>
      <w:r w:rsidRPr="0072242E">
        <w:t>Translation of records</w:t>
      </w:r>
    </w:p>
    <w:p w14:paraId="10FD0181" w14:textId="77777777" w:rsidR="00CF0E3D" w:rsidRPr="0072242E" w:rsidRDefault="00CF0E3D" w:rsidP="00CF0E3D">
      <w:pPr>
        <w:pStyle w:val="subsection"/>
      </w:pPr>
      <w:r w:rsidRPr="0072242E">
        <w:tab/>
      </w:r>
      <w:r>
        <w:t>(4)</w:t>
      </w:r>
      <w:r w:rsidRPr="0072242E">
        <w:tab/>
        <w:t xml:space="preserve">Where a record referred to in this rule is kept in a language other than English, an English translation of the record must be made available within a reasonable time to a person who: </w:t>
      </w:r>
    </w:p>
    <w:p w14:paraId="552F70A7" w14:textId="77777777" w:rsidR="00CF0E3D" w:rsidRPr="0072242E" w:rsidRDefault="00CF0E3D" w:rsidP="00CF0E3D">
      <w:pPr>
        <w:pStyle w:val="paragraph"/>
      </w:pPr>
      <w:r w:rsidRPr="0072242E">
        <w:tab/>
      </w:r>
      <w:r>
        <w:t>(a)</w:t>
      </w:r>
      <w:r w:rsidRPr="0072242E">
        <w:tab/>
        <w:t xml:space="preserve">is entitled to inspect the records under </w:t>
      </w:r>
      <w:r>
        <w:t>Subdivision 9.3.2</w:t>
      </w:r>
      <w:r w:rsidRPr="0072242E">
        <w:t>; and</w:t>
      </w:r>
    </w:p>
    <w:p w14:paraId="180198C0" w14:textId="77777777" w:rsidR="00CF0E3D" w:rsidRPr="0072242E" w:rsidRDefault="00CF0E3D" w:rsidP="00CF0E3D">
      <w:pPr>
        <w:pStyle w:val="paragraph"/>
      </w:pPr>
      <w:r w:rsidRPr="0072242E">
        <w:tab/>
      </w:r>
      <w:r>
        <w:t>(b)</w:t>
      </w:r>
      <w:r w:rsidRPr="0072242E">
        <w:tab/>
        <w:t xml:space="preserve">asks for the English translation. </w:t>
      </w:r>
    </w:p>
    <w:p w14:paraId="104DCEAD" w14:textId="77777777" w:rsidR="00CF0E3D" w:rsidRPr="00BE2511" w:rsidRDefault="00CF0E3D" w:rsidP="00CF0E3D">
      <w:pPr>
        <w:pStyle w:val="SubsectionHead"/>
      </w:pPr>
      <w:r>
        <w:t>Period for retention of records</w:t>
      </w:r>
    </w:p>
    <w:p w14:paraId="13FE7CEC" w14:textId="77777777" w:rsidR="00CF0E3D" w:rsidRDefault="00CF0E3D" w:rsidP="00CF0E3D">
      <w:pPr>
        <w:pStyle w:val="subsection"/>
      </w:pPr>
      <w:r>
        <w:tab/>
        <w:t>(5)</w:t>
      </w:r>
      <w:r>
        <w:tab/>
        <w:t>Each record referred to in this rule must be kept for a period of 6 years beginning on the day the record was created.</w:t>
      </w:r>
    </w:p>
    <w:p w14:paraId="250B1472" w14:textId="77777777" w:rsidR="00CF0E3D" w:rsidRDefault="00CF0E3D" w:rsidP="00CF0E3D">
      <w:pPr>
        <w:pStyle w:val="subsection"/>
      </w:pPr>
      <w:r>
        <w:tab/>
      </w:r>
      <w:r>
        <w:tab/>
        <w:t>Civil penalty:</w:t>
      </w:r>
    </w:p>
    <w:p w14:paraId="351C216C" w14:textId="77777777" w:rsidR="00CF0E3D" w:rsidRDefault="00CF0E3D" w:rsidP="00CF0E3D">
      <w:pPr>
        <w:pStyle w:val="paragraph"/>
      </w:pPr>
      <w:r>
        <w:tab/>
        <w:t>(a)</w:t>
      </w:r>
      <w:r>
        <w:tab/>
        <w:t>for an individual―$50,000; and</w:t>
      </w:r>
    </w:p>
    <w:p w14:paraId="133AF511" w14:textId="77777777" w:rsidR="00CF0E3D" w:rsidRPr="00E1300D" w:rsidRDefault="00CF0E3D" w:rsidP="00CF0E3D">
      <w:pPr>
        <w:pStyle w:val="paragraph"/>
      </w:pPr>
      <w:r>
        <w:tab/>
        <w:t>(b)</w:t>
      </w:r>
      <w:r>
        <w:tab/>
        <w:t>for a body corporate―$250,000.</w:t>
      </w:r>
    </w:p>
    <w:p w14:paraId="57D855EE" w14:textId="7ED0AE2F" w:rsidR="00CF0E3D" w:rsidRDefault="00CF0E3D" w:rsidP="00CF0E3D">
      <w:pPr>
        <w:pStyle w:val="ActHead5"/>
      </w:pPr>
      <w:bookmarkStart w:id="546" w:name="_Toc11771705"/>
      <w:bookmarkStart w:id="547" w:name="_Toc77065049"/>
      <w:r>
        <w:t>9.4  Reporting requirements</w:t>
      </w:r>
      <w:bookmarkEnd w:id="546"/>
      <w:bookmarkEnd w:id="547"/>
    </w:p>
    <w:p w14:paraId="2165739D" w14:textId="77777777" w:rsidR="00CF0E3D" w:rsidRPr="00435823" w:rsidRDefault="00CF0E3D" w:rsidP="00CF0E3D">
      <w:pPr>
        <w:pStyle w:val="SubsectionHead"/>
      </w:pPr>
      <w:r>
        <w:t>Reports that must be prepared—data holder</w:t>
      </w:r>
    </w:p>
    <w:p w14:paraId="4C1113F1" w14:textId="77777777" w:rsidR="00CF0E3D" w:rsidRDefault="00CF0E3D" w:rsidP="00CF0E3D">
      <w:pPr>
        <w:pStyle w:val="subsection"/>
      </w:pPr>
      <w:r>
        <w:tab/>
        <w:t>(1)</w:t>
      </w:r>
      <w:r>
        <w:tab/>
        <w:t>A data holder must prepare a report for each reporting period that:</w:t>
      </w:r>
    </w:p>
    <w:p w14:paraId="4636F073" w14:textId="77777777" w:rsidR="00CF0E3D" w:rsidRPr="001151F8" w:rsidRDefault="00CF0E3D" w:rsidP="00CF0E3D">
      <w:pPr>
        <w:pStyle w:val="paragraph"/>
      </w:pPr>
      <w:r w:rsidRPr="001151F8">
        <w:tab/>
      </w:r>
      <w:r>
        <w:t>(a)</w:t>
      </w:r>
      <w:r w:rsidRPr="001151F8">
        <w:tab/>
        <w:t>is in the form approved by the Commission for the purposes of this rule; and</w:t>
      </w:r>
    </w:p>
    <w:p w14:paraId="44B334D5" w14:textId="77777777" w:rsidR="00CF0E3D" w:rsidRPr="0072242E" w:rsidRDefault="00CF0E3D" w:rsidP="00CF0E3D">
      <w:pPr>
        <w:pStyle w:val="paragraph"/>
      </w:pPr>
      <w:r w:rsidRPr="0072242E">
        <w:tab/>
      </w:r>
      <w:r>
        <w:t>(b)</w:t>
      </w:r>
      <w:r w:rsidRPr="0072242E">
        <w:tab/>
        <w:t>summarises the CDR complaint data that relates to that reporting period; and</w:t>
      </w:r>
    </w:p>
    <w:p w14:paraId="29FEAD0A" w14:textId="77777777" w:rsidR="00CF0E3D" w:rsidRPr="0072242E" w:rsidRDefault="00CF0E3D" w:rsidP="00CF0E3D">
      <w:pPr>
        <w:pStyle w:val="paragraph"/>
      </w:pPr>
      <w:r w:rsidRPr="0072242E">
        <w:tab/>
      </w:r>
      <w:r>
        <w:t>(c)</w:t>
      </w:r>
      <w:r w:rsidRPr="0072242E">
        <w:tab/>
        <w:t>sets out the number (if any) of:</w:t>
      </w:r>
    </w:p>
    <w:p w14:paraId="2A41346C" w14:textId="77777777" w:rsidR="00CF0E3D" w:rsidRPr="0072242E" w:rsidRDefault="00CF0E3D" w:rsidP="00CF0E3D">
      <w:pPr>
        <w:pStyle w:val="paragraphsub"/>
      </w:pPr>
      <w:r w:rsidRPr="0072242E">
        <w:tab/>
      </w:r>
      <w:r>
        <w:t>(i)</w:t>
      </w:r>
      <w:r w:rsidRPr="0072242E">
        <w:tab/>
        <w:t>product data requests; and</w:t>
      </w:r>
    </w:p>
    <w:p w14:paraId="2284DA45" w14:textId="77777777" w:rsidR="00CF0E3D" w:rsidRPr="0072242E" w:rsidRDefault="00CF0E3D" w:rsidP="00CF0E3D">
      <w:pPr>
        <w:pStyle w:val="paragraphsub"/>
      </w:pPr>
      <w:r w:rsidRPr="0072242E">
        <w:tab/>
      </w:r>
      <w:r>
        <w:t>(ii)</w:t>
      </w:r>
      <w:r w:rsidRPr="0072242E">
        <w:tab/>
        <w:t>consumer data requests made by eligible CDR consumers; and</w:t>
      </w:r>
    </w:p>
    <w:p w14:paraId="5DB64409" w14:textId="77777777" w:rsidR="00CF0E3D" w:rsidRPr="0072242E" w:rsidRDefault="00CF0E3D" w:rsidP="00CF0E3D">
      <w:pPr>
        <w:pStyle w:val="paragraphsub"/>
      </w:pPr>
      <w:r w:rsidRPr="0072242E">
        <w:tab/>
      </w:r>
      <w:r>
        <w:t>(iii)</w:t>
      </w:r>
      <w:r w:rsidRPr="0072242E">
        <w:tab/>
        <w:t>consumer data requests made by accredited persons</w:t>
      </w:r>
      <w:r>
        <w:t xml:space="preserve"> </w:t>
      </w:r>
      <w:r w:rsidRPr="00A23141">
        <w:t>on behalf of eligible CDR consumers</w:t>
      </w:r>
      <w:r w:rsidRPr="0072242E">
        <w:t>;</w:t>
      </w:r>
    </w:p>
    <w:p w14:paraId="345CE53D" w14:textId="77777777" w:rsidR="00CF0E3D" w:rsidRPr="0072242E" w:rsidRDefault="00CF0E3D" w:rsidP="00CF0E3D">
      <w:pPr>
        <w:pStyle w:val="paragraph"/>
      </w:pPr>
      <w:r w:rsidRPr="0072242E">
        <w:tab/>
      </w:r>
      <w:r w:rsidRPr="0072242E">
        <w:tab/>
        <w:t>received by the data holder during the reporting period; and</w:t>
      </w:r>
    </w:p>
    <w:p w14:paraId="6AD31213" w14:textId="77777777" w:rsidR="00CF0E3D" w:rsidRPr="00CA7872" w:rsidRDefault="00CF0E3D" w:rsidP="00CF0E3D">
      <w:pPr>
        <w:pStyle w:val="paragraph"/>
      </w:pPr>
      <w:r w:rsidRPr="00CA7872">
        <w:tab/>
        <w:t>(d)</w:t>
      </w:r>
      <w:r w:rsidRPr="00CA7872">
        <w:tab/>
        <w:t>sets out, for each of the types of requests referred to in subparagraphs (c)(i), (ii) and (iii):</w:t>
      </w:r>
    </w:p>
    <w:p w14:paraId="3E695698" w14:textId="77777777" w:rsidR="00CF0E3D" w:rsidRPr="00CA7872" w:rsidRDefault="00CF0E3D" w:rsidP="00CF0E3D">
      <w:pPr>
        <w:pStyle w:val="paragraphsub"/>
      </w:pPr>
      <w:r w:rsidRPr="00CA7872">
        <w:tab/>
        <w:t>(i)</w:t>
      </w:r>
      <w:r w:rsidRPr="00CA7872">
        <w:tab/>
        <w:t>the number of times the data holder has refused to disclose CDR data; and</w:t>
      </w:r>
    </w:p>
    <w:p w14:paraId="6A2BCA13" w14:textId="77777777" w:rsidR="00CF0E3D" w:rsidRPr="00CA7872" w:rsidRDefault="00CF0E3D" w:rsidP="00CF0E3D">
      <w:pPr>
        <w:pStyle w:val="paragraphsub"/>
      </w:pPr>
      <w:r w:rsidRPr="00CA7872">
        <w:tab/>
        <w:t>(ii)</w:t>
      </w:r>
      <w:r w:rsidRPr="00CA7872">
        <w:tab/>
        <w:t>the rule or data standard relied upon to refuse to disclose that data; and</w:t>
      </w:r>
    </w:p>
    <w:p w14:paraId="2CF43855" w14:textId="77777777" w:rsidR="00CF0E3D" w:rsidRPr="00CA7872" w:rsidRDefault="00CF0E3D" w:rsidP="00CF0E3D">
      <w:pPr>
        <w:pStyle w:val="paragraphsub"/>
      </w:pPr>
      <w:r w:rsidRPr="00CA7872">
        <w:tab/>
        <w:t>(iii)</w:t>
      </w:r>
      <w:r w:rsidRPr="00CA7872">
        <w:tab/>
        <w:t>the number of times the data holder has relied on each of those rules or data standards as a ground of refusal.</w:t>
      </w:r>
    </w:p>
    <w:p w14:paraId="3021F144" w14:textId="77777777" w:rsidR="00CF0E3D" w:rsidRPr="00CA7872" w:rsidRDefault="00CF0E3D" w:rsidP="00CF0E3D">
      <w:pPr>
        <w:pStyle w:val="notetext"/>
      </w:pPr>
      <w:r w:rsidRPr="00CA7872">
        <w:lastRenderedPageBreak/>
        <w:t>Note:</w:t>
      </w:r>
      <w:r w:rsidRPr="00CA7872">
        <w:tab/>
        <w:t xml:space="preserve">For the meaning of </w:t>
      </w:r>
      <w:r w:rsidRPr="00CA7872">
        <w:rPr>
          <w:b/>
          <w:i/>
        </w:rPr>
        <w:t xml:space="preserve">product data request </w:t>
      </w:r>
      <w:r w:rsidRPr="00CA7872">
        <w:t xml:space="preserve">see rule 2.3. For the meaning of </w:t>
      </w:r>
      <w:r w:rsidRPr="00CA7872">
        <w:rPr>
          <w:b/>
          <w:i/>
        </w:rPr>
        <w:t xml:space="preserve">consumer data request </w:t>
      </w:r>
      <w:r w:rsidRPr="00CA7872">
        <w:t>see rule 3.3 (requests made by CDR consumers) and rules 4.4 and 4.7A (r</w:t>
      </w:r>
      <w:r>
        <w:t>equests by accredited persons).</w:t>
      </w:r>
    </w:p>
    <w:p w14:paraId="2131961F" w14:textId="77777777" w:rsidR="00CF0E3D" w:rsidRDefault="00CF0E3D" w:rsidP="00CF0E3D">
      <w:pPr>
        <w:pStyle w:val="subsection"/>
      </w:pPr>
      <w:r>
        <w:tab/>
      </w:r>
      <w:r>
        <w:tab/>
        <w:t>Civil penalty:</w:t>
      </w:r>
    </w:p>
    <w:p w14:paraId="0658E3A1" w14:textId="77777777" w:rsidR="00CF0E3D" w:rsidRDefault="00CF0E3D" w:rsidP="00CF0E3D">
      <w:pPr>
        <w:pStyle w:val="paragraph"/>
      </w:pPr>
      <w:r>
        <w:tab/>
        <w:t>(a)</w:t>
      </w:r>
      <w:r>
        <w:tab/>
        <w:t>for an individual―$50,000; and</w:t>
      </w:r>
    </w:p>
    <w:p w14:paraId="1B214C17" w14:textId="77777777" w:rsidR="00CF0E3D" w:rsidRPr="00E1300D" w:rsidRDefault="00CF0E3D" w:rsidP="00CF0E3D">
      <w:pPr>
        <w:pStyle w:val="paragraph"/>
      </w:pPr>
      <w:r>
        <w:tab/>
        <w:t>(b)</w:t>
      </w:r>
      <w:r>
        <w:tab/>
        <w:t>for a body corporate―$250,000.</w:t>
      </w:r>
    </w:p>
    <w:p w14:paraId="469997DD" w14:textId="712FF59B" w:rsidR="006C7793" w:rsidRPr="00693A57" w:rsidRDefault="006C7793" w:rsidP="006C7793">
      <w:pPr>
        <w:pStyle w:val="SubsectionHead"/>
        <w:rPr>
          <w:color w:val="FF0000"/>
        </w:rPr>
      </w:pPr>
      <w:r w:rsidRPr="00693A57">
        <w:rPr>
          <w:color w:val="FF0000"/>
        </w:rPr>
        <w:t>Reports that must be prepared—secondary data holder</w:t>
      </w:r>
    </w:p>
    <w:p w14:paraId="0D63E15D" w14:textId="3D6FA366" w:rsidR="006C7793" w:rsidRPr="00693A57" w:rsidRDefault="006C7793" w:rsidP="006C7793">
      <w:pPr>
        <w:pStyle w:val="subsection"/>
        <w:rPr>
          <w:color w:val="FF0000"/>
        </w:rPr>
      </w:pPr>
      <w:r w:rsidRPr="00693A57">
        <w:rPr>
          <w:color w:val="FF0000"/>
        </w:rPr>
        <w:tab/>
        <w:t>(1</w:t>
      </w:r>
      <w:r w:rsidR="00FB2105" w:rsidRPr="00693A57">
        <w:rPr>
          <w:color w:val="FF0000"/>
        </w:rPr>
        <w:t>A</w:t>
      </w:r>
      <w:r w:rsidRPr="00693A57">
        <w:rPr>
          <w:color w:val="FF0000"/>
        </w:rPr>
        <w:t>)</w:t>
      </w:r>
      <w:r w:rsidRPr="00693A57">
        <w:rPr>
          <w:color w:val="FF0000"/>
        </w:rPr>
        <w:tab/>
        <w:t>A secondary data holder must prepare a report for each reporting period that:</w:t>
      </w:r>
    </w:p>
    <w:p w14:paraId="4BC96BB9" w14:textId="77777777" w:rsidR="006C7793" w:rsidRPr="00693A57" w:rsidRDefault="006C7793" w:rsidP="006C7793">
      <w:pPr>
        <w:pStyle w:val="paragraph"/>
        <w:rPr>
          <w:color w:val="FF0000"/>
        </w:rPr>
      </w:pPr>
      <w:r w:rsidRPr="00693A57">
        <w:rPr>
          <w:color w:val="FF0000"/>
        </w:rPr>
        <w:tab/>
        <w:t>(a)</w:t>
      </w:r>
      <w:r w:rsidRPr="00693A57">
        <w:rPr>
          <w:color w:val="FF0000"/>
        </w:rPr>
        <w:tab/>
        <w:t>is in the form approved by the Commission for the purposes of this rule; and</w:t>
      </w:r>
    </w:p>
    <w:p w14:paraId="2BE03C70" w14:textId="69D9C19D" w:rsidR="0054666F" w:rsidRPr="00693A57" w:rsidRDefault="008F3380" w:rsidP="006C7793">
      <w:pPr>
        <w:pStyle w:val="paragraph"/>
        <w:rPr>
          <w:color w:val="FF0000"/>
        </w:rPr>
      </w:pPr>
      <w:r w:rsidRPr="00693A57">
        <w:rPr>
          <w:color w:val="FF0000"/>
        </w:rPr>
        <w:tab/>
        <w:t>(b</w:t>
      </w:r>
      <w:r w:rsidR="006C7793" w:rsidRPr="00693A57">
        <w:rPr>
          <w:color w:val="FF0000"/>
        </w:rPr>
        <w:t>)</w:t>
      </w:r>
      <w:r w:rsidR="006C7793" w:rsidRPr="00693A57">
        <w:rPr>
          <w:color w:val="FF0000"/>
        </w:rPr>
        <w:tab/>
        <w:t>sets out the number (</w:t>
      </w:r>
      <w:r w:rsidR="0054666F" w:rsidRPr="00693A57">
        <w:rPr>
          <w:color w:val="FF0000"/>
        </w:rPr>
        <w:t>if any) of requests for SR data</w:t>
      </w:r>
      <w:r w:rsidR="00096113" w:rsidRPr="00693A57">
        <w:rPr>
          <w:color w:val="FF0000"/>
        </w:rPr>
        <w:t xml:space="preserve"> under </w:t>
      </w:r>
      <w:r w:rsidR="0054666F" w:rsidRPr="00693A57">
        <w:rPr>
          <w:color w:val="FF0000"/>
        </w:rPr>
        <w:t xml:space="preserve">subrule </w:t>
      </w:r>
      <w:r w:rsidR="000B1D10" w:rsidRPr="00693A57">
        <w:rPr>
          <w:color w:val="FF0000"/>
        </w:rPr>
        <w:t>1.22(3)</w:t>
      </w:r>
      <w:r w:rsidR="00096113" w:rsidRPr="00693A57">
        <w:rPr>
          <w:color w:val="FF0000"/>
        </w:rPr>
        <w:t xml:space="preserve"> or </w:t>
      </w:r>
      <w:r w:rsidR="000B1D10" w:rsidRPr="00693A57">
        <w:rPr>
          <w:color w:val="FF0000"/>
        </w:rPr>
        <w:t>1.23(4)</w:t>
      </w:r>
      <w:r w:rsidR="00096113" w:rsidRPr="00693A57">
        <w:rPr>
          <w:color w:val="FF0000"/>
        </w:rPr>
        <w:t xml:space="preserve"> </w:t>
      </w:r>
      <w:r w:rsidR="0054666F" w:rsidRPr="00693A57">
        <w:rPr>
          <w:color w:val="FF0000"/>
        </w:rPr>
        <w:t xml:space="preserve">received by the data holder </w:t>
      </w:r>
      <w:r w:rsidR="00096113" w:rsidRPr="00693A57">
        <w:rPr>
          <w:color w:val="FF0000"/>
        </w:rPr>
        <w:t xml:space="preserve">from the </w:t>
      </w:r>
      <w:r w:rsidR="001A1BCE" w:rsidRPr="00693A57">
        <w:rPr>
          <w:color w:val="FF0000"/>
        </w:rPr>
        <w:t>primary data holder</w:t>
      </w:r>
      <w:r w:rsidR="00096113" w:rsidRPr="00693A57">
        <w:rPr>
          <w:color w:val="FF0000"/>
        </w:rPr>
        <w:t xml:space="preserve"> </w:t>
      </w:r>
      <w:r w:rsidR="0054666F" w:rsidRPr="00693A57">
        <w:rPr>
          <w:color w:val="FF0000"/>
        </w:rPr>
        <w:t>during the reporting period; and</w:t>
      </w:r>
    </w:p>
    <w:p w14:paraId="6F0AF901" w14:textId="2CF1E63D" w:rsidR="006C7793" w:rsidRPr="00693A57" w:rsidRDefault="008F3380" w:rsidP="006C7793">
      <w:pPr>
        <w:pStyle w:val="paragraph"/>
        <w:rPr>
          <w:color w:val="FF0000"/>
        </w:rPr>
      </w:pPr>
      <w:r w:rsidRPr="00693A57">
        <w:rPr>
          <w:color w:val="FF0000"/>
        </w:rPr>
        <w:tab/>
        <w:t>(c</w:t>
      </w:r>
      <w:r w:rsidR="006C7793" w:rsidRPr="00693A57">
        <w:rPr>
          <w:color w:val="FF0000"/>
        </w:rPr>
        <w:t>)</w:t>
      </w:r>
      <w:r w:rsidR="006C7793" w:rsidRPr="00693A57">
        <w:rPr>
          <w:color w:val="FF0000"/>
        </w:rPr>
        <w:tab/>
        <w:t>sets out:</w:t>
      </w:r>
    </w:p>
    <w:p w14:paraId="12FF9786" w14:textId="68495CCE" w:rsidR="006C7793" w:rsidRPr="00693A57" w:rsidRDefault="006C7793" w:rsidP="006C7793">
      <w:pPr>
        <w:pStyle w:val="paragraphsub"/>
        <w:rPr>
          <w:color w:val="FF0000"/>
        </w:rPr>
      </w:pPr>
      <w:r w:rsidRPr="00693A57">
        <w:rPr>
          <w:color w:val="FF0000"/>
        </w:rPr>
        <w:tab/>
        <w:t>(i)</w:t>
      </w:r>
      <w:r w:rsidRPr="00693A57">
        <w:rPr>
          <w:color w:val="FF0000"/>
        </w:rPr>
        <w:tab/>
        <w:t xml:space="preserve">the number of times the data holder has refused to disclose </w:t>
      </w:r>
      <w:r w:rsidR="00FB2105" w:rsidRPr="00693A57">
        <w:rPr>
          <w:color w:val="FF0000"/>
        </w:rPr>
        <w:t>SR</w:t>
      </w:r>
      <w:r w:rsidRPr="00693A57">
        <w:rPr>
          <w:color w:val="FF0000"/>
        </w:rPr>
        <w:t xml:space="preserve"> data; and</w:t>
      </w:r>
    </w:p>
    <w:p w14:paraId="7264A267" w14:textId="17B396A2" w:rsidR="006C7793" w:rsidRPr="00693A57" w:rsidRDefault="006C7793" w:rsidP="006C7793">
      <w:pPr>
        <w:pStyle w:val="paragraphsub"/>
        <w:rPr>
          <w:color w:val="FF0000"/>
        </w:rPr>
      </w:pPr>
      <w:r w:rsidRPr="00693A57">
        <w:rPr>
          <w:color w:val="FF0000"/>
        </w:rPr>
        <w:tab/>
        <w:t>(ii)</w:t>
      </w:r>
      <w:r w:rsidRPr="00693A57">
        <w:rPr>
          <w:color w:val="FF0000"/>
        </w:rPr>
        <w:tab/>
      </w:r>
      <w:r w:rsidR="00FB2105" w:rsidRPr="00693A57">
        <w:rPr>
          <w:color w:val="FF0000"/>
        </w:rPr>
        <w:t xml:space="preserve">the reasons for the refusals to disclose that data, including any </w:t>
      </w:r>
      <w:r w:rsidRPr="00693A57">
        <w:rPr>
          <w:color w:val="FF0000"/>
        </w:rPr>
        <w:t>rule or data standard relied upon; and</w:t>
      </w:r>
    </w:p>
    <w:p w14:paraId="19B74880" w14:textId="264146AF" w:rsidR="006C7793" w:rsidRPr="00693A57" w:rsidRDefault="006C7793" w:rsidP="006C7793">
      <w:pPr>
        <w:pStyle w:val="paragraphsub"/>
        <w:rPr>
          <w:color w:val="FF0000"/>
        </w:rPr>
      </w:pPr>
      <w:r w:rsidRPr="00693A57">
        <w:rPr>
          <w:color w:val="FF0000"/>
        </w:rPr>
        <w:tab/>
        <w:t>(iii)</w:t>
      </w:r>
      <w:r w:rsidRPr="00693A57">
        <w:rPr>
          <w:color w:val="FF0000"/>
        </w:rPr>
        <w:tab/>
        <w:t>the number of times the data holder has relied on each of those</w:t>
      </w:r>
      <w:r w:rsidR="00FB2105" w:rsidRPr="00693A57">
        <w:rPr>
          <w:color w:val="FF0000"/>
        </w:rPr>
        <w:t xml:space="preserve"> </w:t>
      </w:r>
      <w:r w:rsidR="00096113" w:rsidRPr="00693A57">
        <w:rPr>
          <w:color w:val="FF0000"/>
        </w:rPr>
        <w:t xml:space="preserve">reasons for </w:t>
      </w:r>
      <w:r w:rsidRPr="00693A57">
        <w:rPr>
          <w:color w:val="FF0000"/>
        </w:rPr>
        <w:t>refusal.</w:t>
      </w:r>
    </w:p>
    <w:p w14:paraId="6A98895A" w14:textId="77777777" w:rsidR="006C7793" w:rsidRPr="00693A57" w:rsidRDefault="006C7793" w:rsidP="006C7793">
      <w:pPr>
        <w:pStyle w:val="subsection"/>
        <w:rPr>
          <w:color w:val="FF0000"/>
        </w:rPr>
      </w:pPr>
      <w:r w:rsidRPr="00693A57">
        <w:rPr>
          <w:color w:val="FF0000"/>
        </w:rPr>
        <w:tab/>
      </w:r>
      <w:r w:rsidRPr="00693A57">
        <w:rPr>
          <w:color w:val="FF0000"/>
        </w:rPr>
        <w:tab/>
        <w:t>Civil penalty:</w:t>
      </w:r>
    </w:p>
    <w:p w14:paraId="78DA30A9" w14:textId="77777777" w:rsidR="006C7793" w:rsidRPr="00693A57" w:rsidRDefault="006C7793" w:rsidP="006C7793">
      <w:pPr>
        <w:pStyle w:val="paragraph"/>
        <w:rPr>
          <w:color w:val="FF0000"/>
        </w:rPr>
      </w:pPr>
      <w:r w:rsidRPr="00693A57">
        <w:rPr>
          <w:color w:val="FF0000"/>
        </w:rPr>
        <w:tab/>
        <w:t>(a)</w:t>
      </w:r>
      <w:r w:rsidRPr="00693A57">
        <w:rPr>
          <w:color w:val="FF0000"/>
        </w:rPr>
        <w:tab/>
        <w:t>for an individual―$50,000; and</w:t>
      </w:r>
    </w:p>
    <w:p w14:paraId="6589C3F8" w14:textId="77777777" w:rsidR="006C7793" w:rsidRPr="00693A57" w:rsidRDefault="006C7793" w:rsidP="006C7793">
      <w:pPr>
        <w:pStyle w:val="paragraph"/>
        <w:rPr>
          <w:color w:val="FF0000"/>
        </w:rPr>
      </w:pPr>
      <w:r w:rsidRPr="00693A57">
        <w:rPr>
          <w:color w:val="FF0000"/>
        </w:rPr>
        <w:tab/>
        <w:t>(b)</w:t>
      </w:r>
      <w:r w:rsidRPr="00693A57">
        <w:rPr>
          <w:color w:val="FF0000"/>
        </w:rPr>
        <w:tab/>
        <w:t>for a body corporate―$250,000.</w:t>
      </w:r>
    </w:p>
    <w:p w14:paraId="6770D576" w14:textId="77777777" w:rsidR="00CF0E3D" w:rsidRDefault="00CF0E3D" w:rsidP="00CF0E3D">
      <w:pPr>
        <w:pStyle w:val="SubsectionHead"/>
      </w:pPr>
      <w:r>
        <w:t>Reports that must be prepared—accredited data recipient</w:t>
      </w:r>
    </w:p>
    <w:p w14:paraId="6EB9F82A" w14:textId="77777777" w:rsidR="00CF0E3D" w:rsidRDefault="00CF0E3D" w:rsidP="00CF0E3D">
      <w:pPr>
        <w:pStyle w:val="subsection"/>
      </w:pPr>
      <w:r>
        <w:tab/>
        <w:t>(2)</w:t>
      </w:r>
      <w:r>
        <w:tab/>
        <w:t>An accredited data recipient must prepare a report for each reporting period that:</w:t>
      </w:r>
    </w:p>
    <w:p w14:paraId="6F725D77" w14:textId="77777777" w:rsidR="00CF0E3D" w:rsidRPr="001151F8" w:rsidRDefault="00CF0E3D" w:rsidP="00CF0E3D">
      <w:pPr>
        <w:pStyle w:val="paragraph"/>
      </w:pPr>
      <w:r w:rsidRPr="001151F8">
        <w:tab/>
      </w:r>
      <w:r>
        <w:t>(a)</w:t>
      </w:r>
      <w:r w:rsidRPr="001151F8">
        <w:tab/>
        <w:t>is in the form approved by the Commission for the purposes of this rule; and</w:t>
      </w:r>
    </w:p>
    <w:p w14:paraId="117881F7" w14:textId="77777777" w:rsidR="00CF0E3D" w:rsidRDefault="00CF0E3D" w:rsidP="00CF0E3D">
      <w:pPr>
        <w:pStyle w:val="paragraph"/>
      </w:pPr>
      <w:r>
        <w:tab/>
        <w:t>(b)</w:t>
      </w:r>
      <w:r>
        <w:tab/>
        <w:t xml:space="preserve">summarises the </w:t>
      </w:r>
      <w:r w:rsidRPr="00964EDA">
        <w:rPr>
          <w:color w:val="000000"/>
        </w:rPr>
        <w:t xml:space="preserve">CDR complaint data that relates to that </w:t>
      </w:r>
      <w:r>
        <w:t>reporting period; and</w:t>
      </w:r>
    </w:p>
    <w:p w14:paraId="571E8B37" w14:textId="77777777" w:rsidR="00CF0E3D" w:rsidRDefault="00CF0E3D" w:rsidP="00CF0E3D">
      <w:pPr>
        <w:pStyle w:val="paragraph"/>
      </w:pPr>
      <w:r>
        <w:tab/>
        <w:t>(c)</w:t>
      </w:r>
      <w:r>
        <w:tab/>
        <w:t xml:space="preserve">describes any </w:t>
      </w:r>
      <w:r w:rsidRPr="00B3173B">
        <w:t xml:space="preserve">goods or </w:t>
      </w:r>
      <w:r>
        <w:t>services that they offer to CDR consumers using CDR data that were not:</w:t>
      </w:r>
    </w:p>
    <w:p w14:paraId="49CF9672" w14:textId="77777777" w:rsidR="00CF0E3D" w:rsidRDefault="00CF0E3D" w:rsidP="00CF0E3D">
      <w:pPr>
        <w:pStyle w:val="paragraphsub"/>
      </w:pPr>
      <w:r>
        <w:tab/>
        <w:t>(i)</w:t>
      </w:r>
      <w:r>
        <w:tab/>
        <w:t>described in the relevant application to be an accredited person; or</w:t>
      </w:r>
    </w:p>
    <w:p w14:paraId="3BCB689C" w14:textId="77777777" w:rsidR="00CF0E3D" w:rsidRDefault="00CF0E3D" w:rsidP="00CF0E3D">
      <w:pPr>
        <w:pStyle w:val="paragraphsub"/>
      </w:pPr>
      <w:r>
        <w:tab/>
        <w:t>(ii)</w:t>
      </w:r>
      <w:r>
        <w:tab/>
        <w:t>previously included in a report prepared under this rule; and</w:t>
      </w:r>
    </w:p>
    <w:p w14:paraId="0578F04F" w14:textId="77777777" w:rsidR="00CF0E3D" w:rsidRPr="0072242E" w:rsidRDefault="00CF0E3D" w:rsidP="00CF0E3D">
      <w:pPr>
        <w:pStyle w:val="paragraph"/>
      </w:pPr>
      <w:r>
        <w:tab/>
        <w:t>(d)</w:t>
      </w:r>
      <w:r>
        <w:tab/>
      </w:r>
      <w:r w:rsidRPr="0072242E">
        <w:t xml:space="preserve">in relation to any good or service that is required to be described under paragraph </w:t>
      </w:r>
      <w:r>
        <w:t>(c)</w:t>
      </w:r>
      <w:r w:rsidRPr="0072242E">
        <w:t>:</w:t>
      </w:r>
    </w:p>
    <w:p w14:paraId="0BA7ACB1" w14:textId="77777777" w:rsidR="00CF0E3D" w:rsidRPr="0072242E" w:rsidRDefault="00CF0E3D" w:rsidP="00CF0E3D">
      <w:pPr>
        <w:pStyle w:val="paragraphsub"/>
      </w:pPr>
      <w:r>
        <w:tab/>
        <w:t>(i)</w:t>
      </w:r>
      <w:r>
        <w:tab/>
      </w:r>
      <w:r w:rsidRPr="0072242E">
        <w:t xml:space="preserve">describes the CDR data that </w:t>
      </w:r>
      <w:r>
        <w:t xml:space="preserve">is needed </w:t>
      </w:r>
      <w:r w:rsidRPr="0072242E">
        <w:t>in order to offer the good or service to CDR consumers; and</w:t>
      </w:r>
    </w:p>
    <w:p w14:paraId="3A98B94C" w14:textId="77777777" w:rsidR="00CF0E3D" w:rsidRPr="0072242E" w:rsidRDefault="00CF0E3D" w:rsidP="00CF0E3D">
      <w:pPr>
        <w:pStyle w:val="paragraphsub"/>
      </w:pPr>
      <w:r>
        <w:tab/>
        <w:t>(ii)</w:t>
      </w:r>
      <w:r>
        <w:tab/>
      </w:r>
      <w:r w:rsidRPr="0072242E">
        <w:t xml:space="preserve">explains why that data is </w:t>
      </w:r>
      <w:r>
        <w:t xml:space="preserve">needed </w:t>
      </w:r>
      <w:r w:rsidRPr="0072242E">
        <w:t>in order to offer the good or service to CDR consumers; and</w:t>
      </w:r>
    </w:p>
    <w:p w14:paraId="10097EE4" w14:textId="77777777" w:rsidR="00CF0E3D" w:rsidRPr="0072242E" w:rsidRDefault="00CF0E3D" w:rsidP="00CF0E3D">
      <w:pPr>
        <w:pStyle w:val="paragraph"/>
      </w:pPr>
      <w:r>
        <w:tab/>
        <w:t>(e)</w:t>
      </w:r>
      <w:r>
        <w:tab/>
      </w:r>
      <w:r w:rsidRPr="0072242E">
        <w:t xml:space="preserve">describes any material changes that have been made to any goods or services offered by the accredited data recipient since the previous </w:t>
      </w:r>
      <w:r w:rsidRPr="0072242E">
        <w:lastRenderedPageBreak/>
        <w:t xml:space="preserve">reporting period, including any changes to the matters referred to in paragraph </w:t>
      </w:r>
      <w:r>
        <w:t>(c)</w:t>
      </w:r>
      <w:r w:rsidRPr="0072242E">
        <w:t>; and</w:t>
      </w:r>
    </w:p>
    <w:p w14:paraId="5755A1FB" w14:textId="77777777" w:rsidR="00CF0E3D" w:rsidRPr="00CA7872" w:rsidRDefault="00CF0E3D" w:rsidP="00CF0E3D">
      <w:pPr>
        <w:pStyle w:val="paragraph"/>
      </w:pPr>
      <w:r w:rsidRPr="00CA7872">
        <w:tab/>
        <w:t>(f)</w:t>
      </w:r>
      <w:r w:rsidRPr="00CA7872">
        <w:tab/>
        <w:t>sets out the following:</w:t>
      </w:r>
    </w:p>
    <w:p w14:paraId="0B33FA05" w14:textId="77777777" w:rsidR="00CF0E3D" w:rsidRPr="00CA7872" w:rsidRDefault="00CF0E3D" w:rsidP="00CF0E3D">
      <w:pPr>
        <w:pStyle w:val="paragraphsub"/>
      </w:pPr>
      <w:r w:rsidRPr="00CA7872">
        <w:tab/>
        <w:t>(i)</w:t>
      </w:r>
      <w:r w:rsidRPr="00CA7872">
        <w:tab/>
        <w:t>the number of consumer data requests made by the accredited data recipient during the reporting period;</w:t>
      </w:r>
    </w:p>
    <w:p w14:paraId="640B5181" w14:textId="77777777" w:rsidR="00CF0E3D" w:rsidRPr="00CA7872" w:rsidRDefault="00CF0E3D" w:rsidP="00CF0E3D">
      <w:pPr>
        <w:pStyle w:val="paragraphsub"/>
      </w:pPr>
      <w:r w:rsidRPr="00CA7872">
        <w:tab/>
        <w:t>(ii)</w:t>
      </w:r>
      <w:r w:rsidRPr="00CA7872">
        <w:tab/>
        <w:t>the proportion of CDR consumers who, at the date of the report, had exercised the election to delete, by reference to each brand of the accredited person;</w:t>
      </w:r>
    </w:p>
    <w:p w14:paraId="2142AAD7" w14:textId="77777777" w:rsidR="00CF0E3D" w:rsidRPr="00CA7872" w:rsidRDefault="00CF0E3D" w:rsidP="00CF0E3D">
      <w:pPr>
        <w:pStyle w:val="paragraphsub"/>
      </w:pPr>
      <w:r w:rsidRPr="00CA7872">
        <w:tab/>
        <w:t>(iii)</w:t>
      </w:r>
      <w:r w:rsidRPr="00CA7872">
        <w:tab/>
        <w:t>the number of consumer data requests the accredited data recipient received from an accredited person on behalf of a CDR consumer during the reporting period;</w:t>
      </w:r>
    </w:p>
    <w:p w14:paraId="15A0BFF1" w14:textId="77777777" w:rsidR="00CF0E3D" w:rsidRPr="00CA7872" w:rsidRDefault="00CF0E3D" w:rsidP="00CF0E3D">
      <w:pPr>
        <w:pStyle w:val="paragraphsub"/>
      </w:pPr>
      <w:r w:rsidRPr="00CA7872">
        <w:tab/>
        <w:t>(iv)</w:t>
      </w:r>
      <w:r w:rsidRPr="00CA7872">
        <w:tab/>
        <w:t>the number of times the accredited data recipient disclosed consumer data to an accredited person in response to such a consumer data request during the reporting period;</w:t>
      </w:r>
    </w:p>
    <w:p w14:paraId="7CDC311D" w14:textId="77777777" w:rsidR="009B3127" w:rsidRPr="00693A57" w:rsidRDefault="00CF0E3D" w:rsidP="00CF0E3D">
      <w:pPr>
        <w:pStyle w:val="paragraphsub"/>
        <w:rPr>
          <w:color w:val="0000FF"/>
        </w:rPr>
      </w:pPr>
      <w:r w:rsidRPr="00CA7872">
        <w:tab/>
        <w:t>(v)</w:t>
      </w:r>
      <w:r w:rsidRPr="00CA7872">
        <w:tab/>
        <w:t>the total number of CDR consumers the accredited data recipient provided goods or services to using CDR data during the reporting period</w:t>
      </w:r>
      <w:r w:rsidR="009B3127" w:rsidRPr="00693A57">
        <w:rPr>
          <w:color w:val="0000FF"/>
        </w:rPr>
        <w:t>;</w:t>
      </w:r>
    </w:p>
    <w:p w14:paraId="020275E5" w14:textId="77777777" w:rsidR="00D34637" w:rsidRPr="00693A57" w:rsidRDefault="009B3127" w:rsidP="009B3127">
      <w:pPr>
        <w:pStyle w:val="paragraphsub"/>
        <w:rPr>
          <w:rFonts w:eastAsia="Calibri"/>
          <w:strike/>
          <w:color w:val="0000FF"/>
        </w:rPr>
      </w:pPr>
      <w:r w:rsidRPr="00693A57">
        <w:rPr>
          <w:rFonts w:eastAsia="Calibri"/>
          <w:strike/>
          <w:color w:val="0000FF"/>
        </w:rPr>
        <w:tab/>
        <w:t>(vi)</w:t>
      </w:r>
      <w:r w:rsidRPr="00693A57">
        <w:rPr>
          <w:rFonts w:eastAsia="Calibri"/>
          <w:strike/>
          <w:color w:val="0000FF"/>
        </w:rPr>
        <w:tab/>
        <w:t>t</w:t>
      </w:r>
      <w:r w:rsidR="00D66C0B" w:rsidRPr="00693A57">
        <w:rPr>
          <w:rFonts w:eastAsia="Calibri"/>
          <w:strike/>
          <w:color w:val="0000FF"/>
        </w:rPr>
        <w:t xml:space="preserve">he percentage of consumer data consents given to the </w:t>
      </w:r>
      <w:r w:rsidRPr="00693A57">
        <w:rPr>
          <w:rFonts w:eastAsia="Calibri"/>
          <w:strike/>
          <w:color w:val="0000FF"/>
        </w:rPr>
        <w:t>accredited data recipient during the reporting period that</w:t>
      </w:r>
      <w:r w:rsidR="00B63415" w:rsidRPr="00693A57">
        <w:rPr>
          <w:rFonts w:eastAsia="Calibri"/>
          <w:strike/>
          <w:color w:val="0000FF"/>
        </w:rPr>
        <w:t xml:space="preserve"> were</w:t>
      </w:r>
      <w:r w:rsidR="00D66C0B" w:rsidRPr="00693A57">
        <w:rPr>
          <w:rFonts w:eastAsia="Calibri"/>
          <w:strike/>
          <w:color w:val="0000FF"/>
        </w:rPr>
        <w:t xml:space="preserve"> followed by an authorisation for disclosure being given</w:t>
      </w:r>
      <w:r w:rsidRPr="00693A57">
        <w:rPr>
          <w:rFonts w:eastAsia="Calibri"/>
          <w:strike/>
          <w:color w:val="0000FF"/>
        </w:rPr>
        <w:t>, for each data holder</w:t>
      </w:r>
      <w:r w:rsidR="00D34637" w:rsidRPr="00693A57">
        <w:rPr>
          <w:rFonts w:eastAsia="Calibri"/>
          <w:strike/>
          <w:color w:val="0000FF"/>
        </w:rPr>
        <w:t>;</w:t>
      </w:r>
    </w:p>
    <w:p w14:paraId="2ADDB49D" w14:textId="14321D61" w:rsidR="009B3127" w:rsidRPr="00693A57" w:rsidRDefault="00EC0094" w:rsidP="007F731E">
      <w:pPr>
        <w:pStyle w:val="paragraphsub"/>
        <w:rPr>
          <w:color w:val="0000FF"/>
        </w:rPr>
      </w:pPr>
      <w:r w:rsidRPr="00693A57">
        <w:rPr>
          <w:rFonts w:eastAsia="Calibri"/>
          <w:color w:val="0000FF"/>
        </w:rPr>
        <w:tab/>
        <w:t>(vi</w:t>
      </w:r>
      <w:r w:rsidR="00D34637" w:rsidRPr="00693A57">
        <w:rPr>
          <w:rFonts w:eastAsia="Calibri"/>
          <w:color w:val="0000FF"/>
        </w:rPr>
        <w:t>)</w:t>
      </w:r>
      <w:r w:rsidR="00D34637" w:rsidRPr="00693A57">
        <w:rPr>
          <w:rFonts w:eastAsia="Calibri"/>
          <w:color w:val="0000FF"/>
        </w:rPr>
        <w:tab/>
        <w:t xml:space="preserve">the </w:t>
      </w:r>
      <w:r w:rsidR="007F731E" w:rsidRPr="00693A57">
        <w:rPr>
          <w:rFonts w:eastAsia="Calibri"/>
          <w:color w:val="0000FF"/>
        </w:rPr>
        <w:t xml:space="preserve">number of </w:t>
      </w:r>
      <w:r w:rsidR="00D34637" w:rsidRPr="00693A57">
        <w:rPr>
          <w:color w:val="0000FF"/>
        </w:rPr>
        <w:t xml:space="preserve">consents </w:t>
      </w:r>
      <w:r w:rsidR="007F731E" w:rsidRPr="00693A57">
        <w:rPr>
          <w:color w:val="0000FF"/>
        </w:rPr>
        <w:t xml:space="preserve">received from CDR consumers </w:t>
      </w:r>
      <w:r w:rsidR="007F731E" w:rsidRPr="00693A57">
        <w:rPr>
          <w:rFonts w:eastAsia="Calibri"/>
          <w:color w:val="0000FF"/>
        </w:rPr>
        <w:t>during the reporting period</w:t>
      </w:r>
      <w:r w:rsidR="007F731E" w:rsidRPr="00693A57">
        <w:rPr>
          <w:color w:val="0000FF"/>
        </w:rPr>
        <w:t xml:space="preserve"> to disclose CDR data to trusted advisers;</w:t>
      </w:r>
    </w:p>
    <w:p w14:paraId="0D479648" w14:textId="4CACE229" w:rsidR="00E56AB5" w:rsidRPr="00693A57" w:rsidRDefault="007F731E" w:rsidP="007F731E">
      <w:pPr>
        <w:pStyle w:val="paragraphsub"/>
        <w:rPr>
          <w:color w:val="0000FF"/>
        </w:rPr>
      </w:pPr>
      <w:r w:rsidRPr="00693A57">
        <w:rPr>
          <w:color w:val="0000FF"/>
        </w:rPr>
        <w:tab/>
        <w:t>(</w:t>
      </w:r>
      <w:r w:rsidR="00EC0094" w:rsidRPr="00693A57">
        <w:rPr>
          <w:color w:val="0000FF"/>
        </w:rPr>
        <w:t>v</w:t>
      </w:r>
      <w:r w:rsidRPr="00693A57">
        <w:rPr>
          <w:color w:val="0000FF"/>
        </w:rPr>
        <w:t>ii)</w:t>
      </w:r>
      <w:r w:rsidRPr="00693A57">
        <w:rPr>
          <w:color w:val="0000FF"/>
        </w:rPr>
        <w:tab/>
        <w:t>for each class</w:t>
      </w:r>
      <w:r w:rsidR="00386C4A" w:rsidRPr="00693A57">
        <w:rPr>
          <w:color w:val="0000FF"/>
        </w:rPr>
        <w:t xml:space="preserve"> of trusted advise</w:t>
      </w:r>
      <w:r w:rsidRPr="00693A57">
        <w:rPr>
          <w:color w:val="0000FF"/>
        </w:rPr>
        <w:t xml:space="preserve">rs—the number of </w:t>
      </w:r>
      <w:r w:rsidR="00386C4A" w:rsidRPr="00693A57">
        <w:rPr>
          <w:color w:val="0000FF"/>
        </w:rPr>
        <w:t>trusted advise</w:t>
      </w:r>
      <w:r w:rsidRPr="00693A57">
        <w:rPr>
          <w:color w:val="0000FF"/>
        </w:rPr>
        <w:t>rs to whom CDR data was disclosed during the reporting period</w:t>
      </w:r>
      <w:r w:rsidR="00E56AB5" w:rsidRPr="00693A57">
        <w:rPr>
          <w:color w:val="0000FF"/>
        </w:rPr>
        <w:t>;</w:t>
      </w:r>
    </w:p>
    <w:p w14:paraId="644C0F4E" w14:textId="7C10D5E8" w:rsidR="007F731E" w:rsidRPr="00693A57" w:rsidRDefault="00E56AB5" w:rsidP="007F731E">
      <w:pPr>
        <w:pStyle w:val="paragraphsub"/>
        <w:rPr>
          <w:color w:val="0000FF"/>
        </w:rPr>
      </w:pPr>
      <w:r w:rsidRPr="00693A57">
        <w:rPr>
          <w:rFonts w:eastAsia="Calibri"/>
          <w:color w:val="0000FF"/>
        </w:rPr>
        <w:tab/>
        <w:t>(vi</w:t>
      </w:r>
      <w:r w:rsidR="00EC0094" w:rsidRPr="00693A57">
        <w:rPr>
          <w:rFonts w:eastAsia="Calibri"/>
          <w:color w:val="0000FF"/>
        </w:rPr>
        <w:t>i</w:t>
      </w:r>
      <w:r w:rsidRPr="00693A57">
        <w:rPr>
          <w:rFonts w:eastAsia="Calibri"/>
          <w:color w:val="0000FF"/>
        </w:rPr>
        <w:t>i)</w:t>
      </w:r>
      <w:r w:rsidRPr="00693A57">
        <w:rPr>
          <w:rFonts w:eastAsia="Calibri"/>
          <w:color w:val="0000FF"/>
        </w:rPr>
        <w:tab/>
        <w:t xml:space="preserve">the number of insight disclosure </w:t>
      </w:r>
      <w:r w:rsidRPr="00693A57">
        <w:rPr>
          <w:color w:val="0000FF"/>
        </w:rPr>
        <w:t xml:space="preserve">consents received from CDR consumers </w:t>
      </w:r>
      <w:r w:rsidRPr="00693A57">
        <w:rPr>
          <w:rFonts w:eastAsia="Calibri"/>
          <w:color w:val="0000FF"/>
        </w:rPr>
        <w:t>during the reporting period</w:t>
      </w:r>
      <w:r w:rsidRPr="00693A57">
        <w:rPr>
          <w:color w:val="0000FF"/>
        </w:rPr>
        <w:t>.</w:t>
      </w:r>
    </w:p>
    <w:p w14:paraId="65B22F13" w14:textId="77777777" w:rsidR="00CF0E3D" w:rsidRDefault="00CF0E3D" w:rsidP="00CF0E3D">
      <w:pPr>
        <w:pStyle w:val="subsection"/>
      </w:pPr>
      <w:r>
        <w:tab/>
      </w:r>
      <w:r>
        <w:tab/>
        <w:t>Civil penalty:</w:t>
      </w:r>
    </w:p>
    <w:p w14:paraId="7FC4C92F" w14:textId="77777777" w:rsidR="00CF0E3D" w:rsidRDefault="00CF0E3D" w:rsidP="00CF0E3D">
      <w:pPr>
        <w:pStyle w:val="paragraph"/>
      </w:pPr>
      <w:r>
        <w:tab/>
        <w:t>(a)</w:t>
      </w:r>
      <w:r>
        <w:tab/>
        <w:t>for an individual―$50,000; and</w:t>
      </w:r>
    </w:p>
    <w:p w14:paraId="3B6715BF" w14:textId="77777777" w:rsidR="00CF0E3D" w:rsidRPr="00E1300D" w:rsidRDefault="00CF0E3D" w:rsidP="00CF0E3D">
      <w:pPr>
        <w:pStyle w:val="paragraph"/>
      </w:pPr>
      <w:r>
        <w:tab/>
        <w:t>(b)</w:t>
      </w:r>
      <w:r>
        <w:tab/>
        <w:t>for a body corporate―$250,000.</w:t>
      </w:r>
    </w:p>
    <w:p w14:paraId="7CBA1C05" w14:textId="77777777" w:rsidR="00CF0E3D" w:rsidRDefault="00CF0E3D" w:rsidP="00CF0E3D">
      <w:pPr>
        <w:pStyle w:val="SubsectionHead"/>
      </w:pPr>
      <w:r>
        <w:t>Provision of reports</w:t>
      </w:r>
    </w:p>
    <w:p w14:paraId="0AD1F1A4" w14:textId="77777777" w:rsidR="00CF0E3D" w:rsidRDefault="00CF0E3D" w:rsidP="00CF0E3D">
      <w:pPr>
        <w:pStyle w:val="subsection"/>
      </w:pPr>
      <w:r>
        <w:tab/>
        <w:t>(3)</w:t>
      </w:r>
      <w:r>
        <w:tab/>
        <w:t>Each report must be submitted to:</w:t>
      </w:r>
    </w:p>
    <w:p w14:paraId="332FE3F1" w14:textId="77777777" w:rsidR="00CF0E3D" w:rsidRDefault="00CF0E3D" w:rsidP="00CF0E3D">
      <w:pPr>
        <w:pStyle w:val="paragraph"/>
      </w:pPr>
      <w:r>
        <w:tab/>
        <w:t>(a)</w:t>
      </w:r>
      <w:r>
        <w:tab/>
        <w:t>the Commission; and</w:t>
      </w:r>
    </w:p>
    <w:p w14:paraId="4F485357" w14:textId="77777777" w:rsidR="00CF0E3D" w:rsidRDefault="00CF0E3D" w:rsidP="00CF0E3D">
      <w:pPr>
        <w:pStyle w:val="paragraph"/>
      </w:pPr>
      <w:r>
        <w:tab/>
        <w:t>(b)</w:t>
      </w:r>
      <w:r>
        <w:tab/>
        <w:t>the Information Commissioner;</w:t>
      </w:r>
    </w:p>
    <w:p w14:paraId="24B212B0" w14:textId="77777777" w:rsidR="00CF0E3D" w:rsidRDefault="00CF0E3D" w:rsidP="00CF0E3D">
      <w:pPr>
        <w:pStyle w:val="subsection"/>
        <w:spacing w:before="40"/>
      </w:pPr>
      <w:r>
        <w:tab/>
      </w:r>
      <w:r>
        <w:tab/>
        <w:t>within 30 days after the end of each reporting period.</w:t>
      </w:r>
    </w:p>
    <w:p w14:paraId="5E83BADC" w14:textId="77777777" w:rsidR="00CF0E3D" w:rsidRDefault="00CF0E3D" w:rsidP="00CF0E3D">
      <w:pPr>
        <w:pStyle w:val="subsection"/>
      </w:pPr>
      <w:r>
        <w:tab/>
      </w:r>
      <w:r>
        <w:tab/>
        <w:t>Civil penalty:</w:t>
      </w:r>
    </w:p>
    <w:p w14:paraId="7EA46A5A" w14:textId="77777777" w:rsidR="00CF0E3D" w:rsidRDefault="00CF0E3D" w:rsidP="00CF0E3D">
      <w:pPr>
        <w:pStyle w:val="paragraph"/>
      </w:pPr>
      <w:r>
        <w:tab/>
        <w:t>(a)</w:t>
      </w:r>
      <w:r>
        <w:tab/>
        <w:t>for an individual―$50,000; and</w:t>
      </w:r>
    </w:p>
    <w:p w14:paraId="0490F623" w14:textId="77777777" w:rsidR="00CF0E3D" w:rsidRPr="00E1300D" w:rsidRDefault="00CF0E3D" w:rsidP="00CF0E3D">
      <w:pPr>
        <w:pStyle w:val="paragraph"/>
      </w:pPr>
      <w:r>
        <w:tab/>
        <w:t>(b)</w:t>
      </w:r>
      <w:r>
        <w:tab/>
        <w:t>for a body corporate―$250,000.</w:t>
      </w:r>
    </w:p>
    <w:p w14:paraId="483F3E82" w14:textId="77777777" w:rsidR="00CF0E3D" w:rsidRDefault="00CF0E3D" w:rsidP="00CF0E3D">
      <w:pPr>
        <w:pStyle w:val="subsection"/>
      </w:pPr>
      <w:r>
        <w:tab/>
        <w:t>(4)</w:t>
      </w:r>
      <w:r>
        <w:tab/>
        <w:t>Either the Commission or the Information Commissioner may:</w:t>
      </w:r>
    </w:p>
    <w:p w14:paraId="3D4DD7FE" w14:textId="6E5539F5" w:rsidR="00CF0E3D" w:rsidRDefault="00CF0E3D" w:rsidP="00CF0E3D">
      <w:pPr>
        <w:pStyle w:val="paragraph"/>
      </w:pPr>
      <w:r>
        <w:tab/>
        <w:t>(a)</w:t>
      </w:r>
      <w:r>
        <w:tab/>
        <w:t xml:space="preserve">publish any report received </w:t>
      </w:r>
      <w:r w:rsidRPr="008D47AA">
        <w:t xml:space="preserve">under </w:t>
      </w:r>
      <w:r w:rsidR="008D47AA" w:rsidRPr="008D47AA">
        <w:t>this rule</w:t>
      </w:r>
      <w:r w:rsidRPr="008D47AA">
        <w:t>; or</w:t>
      </w:r>
    </w:p>
    <w:p w14:paraId="6E641226" w14:textId="77777777" w:rsidR="00CF0E3D" w:rsidRDefault="00CF0E3D" w:rsidP="00CF0E3D">
      <w:pPr>
        <w:pStyle w:val="paragraph"/>
      </w:pPr>
      <w:r>
        <w:tab/>
        <w:t>(b)</w:t>
      </w:r>
      <w:r>
        <w:tab/>
        <w:t>require an accredited data recipient to publish, on its website, a report that it has prepared under subrule (2).</w:t>
      </w:r>
    </w:p>
    <w:p w14:paraId="101924B5" w14:textId="77777777" w:rsidR="00CF0E3D" w:rsidRDefault="00CF0E3D" w:rsidP="00CF0E3D">
      <w:pPr>
        <w:pStyle w:val="subsection"/>
      </w:pPr>
      <w:r>
        <w:lastRenderedPageBreak/>
        <w:tab/>
        <w:t>(5)</w:t>
      </w:r>
      <w:r>
        <w:tab/>
        <w:t xml:space="preserve">For this rule, the </w:t>
      </w:r>
      <w:r w:rsidRPr="00724C80">
        <w:rPr>
          <w:b/>
          <w:i/>
        </w:rPr>
        <w:t>reporting periods</w:t>
      </w:r>
      <w:r>
        <w:t xml:space="preserve"> are:</w:t>
      </w:r>
    </w:p>
    <w:p w14:paraId="2FA1F29F" w14:textId="77777777" w:rsidR="00CF0E3D" w:rsidRDefault="00CF0E3D" w:rsidP="00CF0E3D">
      <w:pPr>
        <w:pStyle w:val="paragraph"/>
      </w:pPr>
      <w:r>
        <w:tab/>
        <w:t>(a)</w:t>
      </w:r>
      <w:r>
        <w:tab/>
        <w:t>1 January to 30 June of each year; and</w:t>
      </w:r>
    </w:p>
    <w:p w14:paraId="72E58072" w14:textId="77777777" w:rsidR="00CF0E3D" w:rsidRDefault="00CF0E3D" w:rsidP="00CF0E3D">
      <w:pPr>
        <w:pStyle w:val="paragraph"/>
      </w:pPr>
      <w:r>
        <w:tab/>
        <w:t>(b)</w:t>
      </w:r>
      <w:r>
        <w:tab/>
        <w:t>1 July to 31 December of each year.</w:t>
      </w:r>
    </w:p>
    <w:p w14:paraId="697D8894" w14:textId="2C98112D" w:rsidR="00CF0E3D" w:rsidRDefault="00CF0E3D" w:rsidP="00CF0E3D">
      <w:pPr>
        <w:pStyle w:val="ActHead5"/>
      </w:pPr>
      <w:bookmarkStart w:id="548" w:name="_Toc11771706"/>
      <w:bookmarkStart w:id="549" w:name="_Toc77065050"/>
      <w:r>
        <w:t>9.5  Requests from CDR consumers for copies of records</w:t>
      </w:r>
      <w:bookmarkEnd w:id="548"/>
      <w:bookmarkEnd w:id="549"/>
    </w:p>
    <w:p w14:paraId="0FED76A7" w14:textId="77777777" w:rsidR="00CF0E3D" w:rsidRDefault="00CF0E3D" w:rsidP="00CF0E3D">
      <w:pPr>
        <w:pStyle w:val="SubsectionHead"/>
      </w:pPr>
      <w:r>
        <w:t>Requests to data holders of CDR data</w:t>
      </w:r>
    </w:p>
    <w:p w14:paraId="23ED92D3" w14:textId="58E503FB" w:rsidR="00CF0E3D" w:rsidRPr="009749EC" w:rsidRDefault="00CF0E3D" w:rsidP="00CF0E3D">
      <w:pPr>
        <w:pStyle w:val="subsection"/>
      </w:pPr>
      <w:r>
        <w:tab/>
        <w:t>(1)</w:t>
      </w:r>
      <w:r>
        <w:tab/>
        <w:t xml:space="preserve">A CDR consumer may request </w:t>
      </w:r>
      <w:r w:rsidRPr="009749EC">
        <w:t>a data holder for copies of records relating to the information referred to in paragraphs </w:t>
      </w:r>
      <w:r>
        <w:t>9.3(1)(a)</w:t>
      </w:r>
      <w:r w:rsidRPr="009749EC">
        <w:t>,</w:t>
      </w:r>
      <w:r>
        <w:t xml:space="preserve"> (b),</w:t>
      </w:r>
      <w:r w:rsidRPr="009749EC">
        <w:t xml:space="preserve"> </w:t>
      </w:r>
      <w:r>
        <w:t>(d)</w:t>
      </w:r>
      <w:r w:rsidRPr="009749EC">
        <w:t xml:space="preserve"> and </w:t>
      </w:r>
      <w:r>
        <w:t>(f)</w:t>
      </w:r>
      <w:r w:rsidRPr="009749EC">
        <w:t xml:space="preserve"> that relates to the CDR consumer.</w:t>
      </w:r>
    </w:p>
    <w:p w14:paraId="6C267E4B" w14:textId="77777777" w:rsidR="00CF0E3D" w:rsidRPr="009749EC" w:rsidRDefault="00CF0E3D" w:rsidP="00CF0E3D">
      <w:pPr>
        <w:pStyle w:val="SubsectionHead"/>
      </w:pPr>
      <w:r w:rsidRPr="009749EC">
        <w:t>Requests to accredited data recipients</w:t>
      </w:r>
    </w:p>
    <w:p w14:paraId="1BC7F4B1" w14:textId="144CCCF7" w:rsidR="00CF0E3D" w:rsidRPr="009749EC" w:rsidRDefault="00CF0E3D" w:rsidP="00CF0E3D">
      <w:pPr>
        <w:pStyle w:val="subsection"/>
      </w:pPr>
      <w:r>
        <w:tab/>
        <w:t>(2)</w:t>
      </w:r>
      <w:r>
        <w:tab/>
        <w:t xml:space="preserve">A CDR consumer may request an </w:t>
      </w:r>
      <w:r w:rsidRPr="009749EC">
        <w:t>accredited data recipient for copies of records relating to the information referred to in paragraphs </w:t>
      </w:r>
      <w:r>
        <w:t>9.3(2)(a), (b), (c), (d), (e), (ea), (eb),</w:t>
      </w:r>
      <w:r w:rsidR="00B51B10">
        <w:t xml:space="preserve"> </w:t>
      </w:r>
      <w:r w:rsidR="00B51B10" w:rsidRPr="00693A57">
        <w:rPr>
          <w:color w:val="0000FF"/>
        </w:rPr>
        <w:t xml:space="preserve">(ec), </w:t>
      </w:r>
      <w:r>
        <w:t xml:space="preserve"> (f) and (m)</w:t>
      </w:r>
      <w:r w:rsidRPr="009749EC">
        <w:t>that relates to the CDR consumer.</w:t>
      </w:r>
    </w:p>
    <w:p w14:paraId="6102DE13" w14:textId="77777777" w:rsidR="00CF0E3D" w:rsidRPr="00435823" w:rsidRDefault="00CF0E3D" w:rsidP="00CF0E3D">
      <w:pPr>
        <w:pStyle w:val="SubsectionHead"/>
        <w:rPr>
          <w:b/>
        </w:rPr>
      </w:pPr>
      <w:r>
        <w:t>Form for requests</w:t>
      </w:r>
    </w:p>
    <w:p w14:paraId="460E6C73" w14:textId="77777777" w:rsidR="00CF0E3D" w:rsidRDefault="00CF0E3D" w:rsidP="00CF0E3D">
      <w:pPr>
        <w:pStyle w:val="subsection"/>
      </w:pPr>
      <w:r>
        <w:tab/>
        <w:t>(3)</w:t>
      </w:r>
      <w:r>
        <w:tab/>
        <w:t>A request under this rule must be in the form (if any) approved by the Commission for the purposes of this subrule.</w:t>
      </w:r>
    </w:p>
    <w:p w14:paraId="326340AF" w14:textId="77777777" w:rsidR="00CF0E3D" w:rsidRDefault="00CF0E3D" w:rsidP="00CF0E3D">
      <w:pPr>
        <w:pStyle w:val="SubsectionHead"/>
      </w:pPr>
      <w:r>
        <w:t>Dealing with requests under this rule</w:t>
      </w:r>
    </w:p>
    <w:p w14:paraId="24B5494D" w14:textId="77777777" w:rsidR="00CF0E3D" w:rsidRDefault="00CF0E3D" w:rsidP="00CF0E3D">
      <w:pPr>
        <w:pStyle w:val="subsection"/>
      </w:pPr>
      <w:r>
        <w:tab/>
        <w:t>(4)</w:t>
      </w:r>
      <w:r>
        <w:tab/>
        <w:t>A person who receives a request under this rule must provide the requested copies, in the form (if any) approved by the Commission for the purposes of this rule, as soon as practicable, but no later than 10 business days, after receiving the request.</w:t>
      </w:r>
    </w:p>
    <w:p w14:paraId="59C9CCA3" w14:textId="77777777" w:rsidR="00CF0E3D" w:rsidRDefault="00CF0E3D" w:rsidP="00CF0E3D">
      <w:pPr>
        <w:pStyle w:val="subsection"/>
      </w:pPr>
      <w:r>
        <w:tab/>
      </w:r>
      <w:r>
        <w:tab/>
        <w:t>Civil penalty:</w:t>
      </w:r>
    </w:p>
    <w:p w14:paraId="2DBC75DD" w14:textId="77777777" w:rsidR="00CF0E3D" w:rsidRDefault="00CF0E3D" w:rsidP="00CF0E3D">
      <w:pPr>
        <w:pStyle w:val="paragraph"/>
      </w:pPr>
      <w:r>
        <w:tab/>
        <w:t>(a)</w:t>
      </w:r>
      <w:r>
        <w:tab/>
        <w:t>for an individual―$50,000; and</w:t>
      </w:r>
    </w:p>
    <w:p w14:paraId="3202614C" w14:textId="77777777" w:rsidR="00CF0E3D" w:rsidRPr="00E1300D" w:rsidRDefault="00CF0E3D" w:rsidP="00CF0E3D">
      <w:pPr>
        <w:pStyle w:val="paragraph"/>
      </w:pPr>
      <w:r>
        <w:tab/>
        <w:t>(b)</w:t>
      </w:r>
      <w:r>
        <w:tab/>
        <w:t>for a body corporate―$250,000.</w:t>
      </w:r>
    </w:p>
    <w:p w14:paraId="205B7B6D" w14:textId="77777777" w:rsidR="00CF0E3D" w:rsidRDefault="00CF0E3D" w:rsidP="00CF0E3D">
      <w:pPr>
        <w:pStyle w:val="subsection"/>
      </w:pPr>
      <w:r>
        <w:tab/>
        <w:t>(5)</w:t>
      </w:r>
      <w:r>
        <w:tab/>
        <w:t xml:space="preserve">A </w:t>
      </w:r>
      <w:r w:rsidRPr="00E1300D">
        <w:rPr>
          <w:color w:val="000000" w:themeColor="text1"/>
        </w:rPr>
        <w:t xml:space="preserve">data holder must not charge a </w:t>
      </w:r>
      <w:r>
        <w:t xml:space="preserve">fee for making or responding to a request </w:t>
      </w:r>
      <w:r w:rsidRPr="00E1300D">
        <w:rPr>
          <w:color w:val="000000" w:themeColor="text1"/>
        </w:rPr>
        <w:t>under subrule </w:t>
      </w:r>
      <w:r>
        <w:rPr>
          <w:color w:val="000000" w:themeColor="text1"/>
        </w:rPr>
        <w:t>(1)</w:t>
      </w:r>
      <w:r>
        <w:t>.</w:t>
      </w:r>
    </w:p>
    <w:p w14:paraId="709ABDC4" w14:textId="77777777" w:rsidR="00CF0E3D" w:rsidRDefault="00CF0E3D" w:rsidP="00CF0E3D">
      <w:pPr>
        <w:pStyle w:val="subsection"/>
      </w:pPr>
      <w:r>
        <w:tab/>
      </w:r>
      <w:r>
        <w:tab/>
        <w:t>Civil penalty:</w:t>
      </w:r>
    </w:p>
    <w:p w14:paraId="7B6EF8BE" w14:textId="77777777" w:rsidR="00CF0E3D" w:rsidRDefault="00CF0E3D" w:rsidP="00CF0E3D">
      <w:pPr>
        <w:pStyle w:val="paragraph"/>
      </w:pPr>
      <w:r>
        <w:tab/>
        <w:t>(a)</w:t>
      </w:r>
      <w:r>
        <w:tab/>
        <w:t>for an individual―$50,000; and</w:t>
      </w:r>
    </w:p>
    <w:p w14:paraId="6B498AA1" w14:textId="77777777" w:rsidR="00CF0E3D" w:rsidRPr="00E1300D" w:rsidRDefault="00CF0E3D" w:rsidP="00CF0E3D">
      <w:pPr>
        <w:pStyle w:val="paragraph"/>
      </w:pPr>
      <w:r>
        <w:tab/>
        <w:t>(b)</w:t>
      </w:r>
      <w:r>
        <w:tab/>
        <w:t>for a body corporate―$250,000.</w:t>
      </w:r>
    </w:p>
    <w:p w14:paraId="7F583B32" w14:textId="77777777" w:rsidR="00CF0E3D" w:rsidRDefault="00CF0E3D" w:rsidP="00CF0E3D">
      <w:pPr>
        <w:pStyle w:val="subsection"/>
      </w:pPr>
      <w:r>
        <w:tab/>
        <w:t>(6)</w:t>
      </w:r>
      <w:r>
        <w:tab/>
        <w:t>A</w:t>
      </w:r>
      <w:r w:rsidRPr="00E1300D">
        <w:rPr>
          <w:color w:val="000000" w:themeColor="text1"/>
        </w:rPr>
        <w:t>n accredited data recipient must not charge a</w:t>
      </w:r>
      <w:r>
        <w:t xml:space="preserve"> fee for making or responding to a request</w:t>
      </w:r>
      <w:r w:rsidRPr="00E1300D">
        <w:rPr>
          <w:color w:val="000000" w:themeColor="text1"/>
        </w:rPr>
        <w:t xml:space="preserve"> under subrule </w:t>
      </w:r>
      <w:r>
        <w:rPr>
          <w:color w:val="000000" w:themeColor="text1"/>
        </w:rPr>
        <w:t>(2)</w:t>
      </w:r>
      <w:r>
        <w:t>.</w:t>
      </w:r>
    </w:p>
    <w:p w14:paraId="76E3DEFA" w14:textId="77777777" w:rsidR="00CF0E3D" w:rsidRDefault="00CF0E3D" w:rsidP="00CF0E3D">
      <w:pPr>
        <w:pStyle w:val="subsection"/>
      </w:pPr>
      <w:r>
        <w:tab/>
      </w:r>
      <w:r>
        <w:tab/>
        <w:t>Civil penalty:</w:t>
      </w:r>
    </w:p>
    <w:p w14:paraId="1EEE19BA" w14:textId="77777777" w:rsidR="00CF0E3D" w:rsidRDefault="00CF0E3D" w:rsidP="00CF0E3D">
      <w:pPr>
        <w:pStyle w:val="paragraph"/>
      </w:pPr>
      <w:r>
        <w:tab/>
        <w:t>(a)</w:t>
      </w:r>
      <w:r>
        <w:tab/>
        <w:t>for an individual―$50,000; and</w:t>
      </w:r>
    </w:p>
    <w:p w14:paraId="2F5DC69E" w14:textId="77777777" w:rsidR="00CF0E3D" w:rsidRPr="00E1300D" w:rsidRDefault="00CF0E3D" w:rsidP="00CF0E3D">
      <w:pPr>
        <w:pStyle w:val="paragraph"/>
      </w:pPr>
      <w:r>
        <w:tab/>
        <w:t>(b)</w:t>
      </w:r>
      <w:r>
        <w:tab/>
        <w:t>for a body corporate―$250,000.</w:t>
      </w:r>
    </w:p>
    <w:p w14:paraId="3B997144" w14:textId="77777777" w:rsidR="00CF0E3D" w:rsidRDefault="00CF0E3D" w:rsidP="00CF0E3D">
      <w:pPr>
        <w:pStyle w:val="subsection"/>
      </w:pPr>
    </w:p>
    <w:p w14:paraId="089B1DB1" w14:textId="286F4564" w:rsidR="00CF0E3D" w:rsidRDefault="00CF0E3D" w:rsidP="00CF0E3D">
      <w:pPr>
        <w:pStyle w:val="ActHead4"/>
        <w:pageBreakBefore/>
      </w:pPr>
      <w:bookmarkStart w:id="550" w:name="_Toc11771707"/>
      <w:bookmarkStart w:id="551" w:name="_Toc77065051"/>
      <w:r>
        <w:lastRenderedPageBreak/>
        <w:t>Subdivision 9.3.2—Audits</w:t>
      </w:r>
      <w:bookmarkEnd w:id="550"/>
      <w:bookmarkEnd w:id="551"/>
    </w:p>
    <w:p w14:paraId="41CEB690" w14:textId="3F9450E3" w:rsidR="00CF0E3D" w:rsidRDefault="00CF0E3D" w:rsidP="00CF0E3D">
      <w:pPr>
        <w:pStyle w:val="ActHead5"/>
      </w:pPr>
      <w:bookmarkStart w:id="552" w:name="_Toc11771708"/>
      <w:bookmarkStart w:id="553" w:name="_Toc77065052"/>
      <w:r>
        <w:t>9.6  Audits</w:t>
      </w:r>
      <w:r w:rsidRPr="00EA1E07">
        <w:t xml:space="preserve"> by the Commission and the Information Commissioner</w:t>
      </w:r>
      <w:bookmarkEnd w:id="552"/>
      <w:bookmarkEnd w:id="553"/>
    </w:p>
    <w:p w14:paraId="323E930C" w14:textId="77777777" w:rsidR="00CF0E3D" w:rsidRDefault="00CF0E3D" w:rsidP="00CF0E3D">
      <w:pPr>
        <w:pStyle w:val="subsection"/>
      </w:pPr>
      <w:r>
        <w:tab/>
        <w:t>(1)</w:t>
      </w:r>
      <w:r>
        <w:tab/>
        <w:t>The Commission may, at any time, audit the compliance of any CDR participant with any or all of the following:</w:t>
      </w:r>
    </w:p>
    <w:p w14:paraId="259BF9F2" w14:textId="77777777" w:rsidR="00CF0E3D" w:rsidRDefault="00CF0E3D" w:rsidP="00CF0E3D">
      <w:pPr>
        <w:pStyle w:val="paragraph"/>
      </w:pPr>
      <w:r>
        <w:tab/>
        <w:t>(a)</w:t>
      </w:r>
      <w:r>
        <w:tab/>
        <w:t xml:space="preserve">Part IVD of the Act, including </w:t>
      </w:r>
      <w:r w:rsidRPr="000C3240">
        <w:rPr>
          <w:color w:val="000000" w:themeColor="text1"/>
        </w:rPr>
        <w:t>Division 5 of Part IVD</w:t>
      </w:r>
      <w:r>
        <w:rPr>
          <w:color w:val="000000" w:themeColor="text1"/>
        </w:rPr>
        <w:t xml:space="preserve"> to the extent that it relates to these rules</w:t>
      </w:r>
      <w:r>
        <w:t>;</w:t>
      </w:r>
    </w:p>
    <w:p w14:paraId="6BD0706F" w14:textId="77777777" w:rsidR="00CF0E3D" w:rsidRDefault="00CF0E3D" w:rsidP="00CF0E3D">
      <w:pPr>
        <w:pStyle w:val="paragraph"/>
      </w:pPr>
      <w:r>
        <w:tab/>
        <w:t>(b)</w:t>
      </w:r>
      <w:r>
        <w:tab/>
        <w:t>these rules;</w:t>
      </w:r>
    </w:p>
    <w:p w14:paraId="36764304" w14:textId="77777777" w:rsidR="00CF0E3D" w:rsidRPr="002352F7" w:rsidRDefault="00CF0E3D" w:rsidP="00CF0E3D">
      <w:pPr>
        <w:pStyle w:val="paragraph"/>
      </w:pPr>
      <w:r>
        <w:tab/>
        <w:t>(c)</w:t>
      </w:r>
      <w:r>
        <w:tab/>
        <w:t>the data standards.</w:t>
      </w:r>
    </w:p>
    <w:p w14:paraId="71F5D17C" w14:textId="77777777" w:rsidR="00CF0E3D" w:rsidRDefault="00CF0E3D" w:rsidP="00CF0E3D">
      <w:pPr>
        <w:pStyle w:val="subsection"/>
      </w:pPr>
      <w:r>
        <w:tab/>
        <w:t>(2)</w:t>
      </w:r>
      <w:r>
        <w:tab/>
        <w:t>The Information Commissioner may, at any time, audit the compliance of any CDR participant with any or all of the following:</w:t>
      </w:r>
    </w:p>
    <w:p w14:paraId="7E726480" w14:textId="77777777" w:rsidR="00CF0E3D" w:rsidRDefault="00CF0E3D" w:rsidP="00CF0E3D">
      <w:pPr>
        <w:pStyle w:val="paragraph"/>
      </w:pPr>
      <w:r>
        <w:tab/>
        <w:t>(a)</w:t>
      </w:r>
      <w:r>
        <w:tab/>
        <w:t>the privacy safeguards (Division 5 of Part IVD of the Act);</w:t>
      </w:r>
    </w:p>
    <w:p w14:paraId="0586766B" w14:textId="77777777" w:rsidR="00CF0E3D" w:rsidRDefault="00CF0E3D" w:rsidP="00CF0E3D">
      <w:pPr>
        <w:pStyle w:val="paragraph"/>
      </w:pPr>
      <w:r>
        <w:tab/>
        <w:t>(b)</w:t>
      </w:r>
      <w:r>
        <w:tab/>
        <w:t>these rules to the extent that they relate to:</w:t>
      </w:r>
    </w:p>
    <w:p w14:paraId="12799A5A" w14:textId="77777777" w:rsidR="00CF0E3D" w:rsidRDefault="00CF0E3D" w:rsidP="00CF0E3D">
      <w:pPr>
        <w:pStyle w:val="paragraphsub"/>
      </w:pPr>
      <w:r>
        <w:tab/>
        <w:t>(i)</w:t>
      </w:r>
      <w:r>
        <w:tab/>
        <w:t>the privacy safeguards (see in particular Part 7 of these rules); or</w:t>
      </w:r>
    </w:p>
    <w:p w14:paraId="5E231A01" w14:textId="77777777" w:rsidR="00CF0E3D" w:rsidRDefault="00CF0E3D" w:rsidP="00CF0E3D">
      <w:pPr>
        <w:pStyle w:val="paragraphsub"/>
      </w:pPr>
      <w:r>
        <w:tab/>
        <w:t>(ii)</w:t>
      </w:r>
      <w:r>
        <w:tab/>
        <w:t>the privacy and confidentiality of CDR data.</w:t>
      </w:r>
    </w:p>
    <w:p w14:paraId="03A971C2" w14:textId="77777777" w:rsidR="00CF0E3D" w:rsidRPr="00F365ED" w:rsidRDefault="00CF0E3D" w:rsidP="00CF0E3D">
      <w:pPr>
        <w:pStyle w:val="subsection"/>
      </w:pPr>
      <w:r>
        <w:tab/>
        <w:t>(3)</w:t>
      </w:r>
      <w:r w:rsidRPr="00F365ED">
        <w:tab/>
        <w:t xml:space="preserve">For the purposes of conducting an audit </w:t>
      </w:r>
      <w:r w:rsidRPr="002D3298">
        <w:t xml:space="preserve">or otherwise monitoring the compliance of the CDR participant with the provisions mentioned in subrules </w:t>
      </w:r>
      <w:r>
        <w:t>(1)</w:t>
      </w:r>
      <w:r w:rsidRPr="002D3298">
        <w:t xml:space="preserve"> and </w:t>
      </w:r>
      <w:r>
        <w:t>(2)</w:t>
      </w:r>
      <w:r w:rsidRPr="00F365ED">
        <w:t>, the Commission, or the Information Commissioner, may give a CDR participant a written notice that requests the CDR participant to produce</w:t>
      </w:r>
      <w:r w:rsidRPr="00EC5815">
        <w:t>, within the time specified in the notice</w:t>
      </w:r>
      <w:r w:rsidRPr="00F365ED">
        <w:t>:</w:t>
      </w:r>
    </w:p>
    <w:p w14:paraId="167DC757" w14:textId="77777777" w:rsidR="00CF0E3D" w:rsidRPr="00F365ED" w:rsidRDefault="00CF0E3D" w:rsidP="00CF0E3D">
      <w:pPr>
        <w:pStyle w:val="paragraph"/>
      </w:pPr>
      <w:r w:rsidRPr="00F365ED">
        <w:tab/>
      </w:r>
      <w:r>
        <w:t>(a)</w:t>
      </w:r>
      <w:r w:rsidRPr="00F365ED">
        <w:tab/>
        <w:t>copies of records that are required by this Division to be kept; or</w:t>
      </w:r>
    </w:p>
    <w:p w14:paraId="7255205B" w14:textId="77777777" w:rsidR="00CF0E3D" w:rsidRPr="00F365ED" w:rsidRDefault="00CF0E3D" w:rsidP="00CF0E3D">
      <w:pPr>
        <w:pStyle w:val="paragraph"/>
      </w:pPr>
      <w:r w:rsidRPr="00F365ED">
        <w:tab/>
      </w:r>
      <w:r>
        <w:t>(b)</w:t>
      </w:r>
      <w:r w:rsidRPr="00F365ED">
        <w:tab/>
        <w:t>information from such records.</w:t>
      </w:r>
    </w:p>
    <w:p w14:paraId="46C73566" w14:textId="77777777" w:rsidR="00CF0E3D" w:rsidRPr="00A276A9" w:rsidRDefault="00CF0E3D" w:rsidP="00CF0E3D">
      <w:pPr>
        <w:pStyle w:val="subsection"/>
      </w:pPr>
      <w:r w:rsidRPr="00F365ED">
        <w:tab/>
      </w:r>
      <w:r>
        <w:t>(4)</w:t>
      </w:r>
      <w:r w:rsidRPr="00F365ED">
        <w:tab/>
      </w:r>
      <w:r w:rsidRPr="00A276A9">
        <w:t xml:space="preserve">The CDR participant must comply with a request under subrule </w:t>
      </w:r>
      <w:r>
        <w:t>(3)</w:t>
      </w:r>
      <w:r w:rsidRPr="00A276A9">
        <w:t>.</w:t>
      </w:r>
    </w:p>
    <w:p w14:paraId="63586B16" w14:textId="77777777" w:rsidR="00CF0E3D" w:rsidRDefault="00CF0E3D" w:rsidP="00CF0E3D">
      <w:pPr>
        <w:pStyle w:val="notetext"/>
      </w:pPr>
      <w:r w:rsidRPr="00A276A9">
        <w:t>Note:</w:t>
      </w:r>
      <w:r w:rsidRPr="00A276A9">
        <w:tab/>
        <w:t xml:space="preserve">This </w:t>
      </w:r>
      <w:r>
        <w:t>sub</w:t>
      </w:r>
      <w:r w:rsidRPr="00A276A9">
        <w:t>rule is a civil penalty provision (see rule </w:t>
      </w:r>
      <w:r>
        <w:rPr>
          <w:bCs/>
          <w:lang w:val="en-US"/>
        </w:rPr>
        <w:t>9.8</w:t>
      </w:r>
      <w:r w:rsidRPr="00A276A9">
        <w:t>).</w:t>
      </w:r>
    </w:p>
    <w:p w14:paraId="52110D72" w14:textId="6962F5BC" w:rsidR="00CF0E3D" w:rsidRDefault="00CF0E3D" w:rsidP="00CF0E3D">
      <w:pPr>
        <w:pStyle w:val="ActHead5"/>
      </w:pPr>
      <w:bookmarkStart w:id="554" w:name="_Toc11771709"/>
      <w:bookmarkStart w:id="555" w:name="_Toc77065053"/>
      <w:r>
        <w:t>9.7  Audits by the Data Recipient Accreditor</w:t>
      </w:r>
      <w:bookmarkEnd w:id="554"/>
      <w:bookmarkEnd w:id="555"/>
    </w:p>
    <w:p w14:paraId="733DC22D" w14:textId="77777777" w:rsidR="00CF0E3D" w:rsidRDefault="00CF0E3D" w:rsidP="00CF0E3D">
      <w:pPr>
        <w:pStyle w:val="subsection"/>
        <w:rPr>
          <w:sz w:val="20"/>
        </w:rPr>
      </w:pPr>
      <w:r>
        <w:tab/>
        <w:t>(1)</w:t>
      </w:r>
      <w:r>
        <w:tab/>
        <w:t>The Data Recipient Accreditor may, at any time, audit the compliance of an accredited data recipient with any or all of the following:</w:t>
      </w:r>
    </w:p>
    <w:p w14:paraId="234F2A8A" w14:textId="77777777" w:rsidR="00CF0E3D" w:rsidRDefault="00CF0E3D" w:rsidP="00CF0E3D">
      <w:pPr>
        <w:pStyle w:val="paragraph"/>
      </w:pPr>
      <w:r>
        <w:tab/>
        <w:t>(a)</w:t>
      </w:r>
      <w:r>
        <w:tab/>
        <w:t>the obligations under rule 5.12;</w:t>
      </w:r>
    </w:p>
    <w:p w14:paraId="2F1FC314" w14:textId="77777777" w:rsidR="00CF0E3D" w:rsidRDefault="00CF0E3D" w:rsidP="00CF0E3D">
      <w:pPr>
        <w:pStyle w:val="paragraph"/>
      </w:pPr>
      <w:r>
        <w:tab/>
        <w:t>(b)</w:t>
      </w:r>
      <w:r>
        <w:tab/>
        <w:t>any conditions imposed on their accreditation.</w:t>
      </w:r>
    </w:p>
    <w:p w14:paraId="708BB306" w14:textId="77777777" w:rsidR="00CF0E3D" w:rsidRPr="00210486" w:rsidRDefault="00CF0E3D" w:rsidP="00CF0E3D">
      <w:pPr>
        <w:pStyle w:val="subsection"/>
      </w:pPr>
      <w:r w:rsidRPr="00A276A9">
        <w:tab/>
      </w:r>
      <w:r>
        <w:t>(2)</w:t>
      </w:r>
      <w:r w:rsidRPr="00A276A9">
        <w:tab/>
        <w:t xml:space="preserve">For the purposes of conducting an audit </w:t>
      </w:r>
      <w:r w:rsidRPr="002D3298">
        <w:t xml:space="preserve">or otherwise monitoring the compliance of the CDR participant with the criteria and conditions mentioned in subrule </w:t>
      </w:r>
      <w:r>
        <w:t>(1)</w:t>
      </w:r>
      <w:r w:rsidRPr="00A276A9">
        <w:t xml:space="preserve">, the Data Recipient Accreditor may give an accredited data recipient a written </w:t>
      </w:r>
      <w:r w:rsidRPr="00210486">
        <w:t>notice that requests the accredited data recipient to produce:</w:t>
      </w:r>
    </w:p>
    <w:p w14:paraId="3A5FE870" w14:textId="77777777" w:rsidR="00CF0E3D" w:rsidRPr="00210486" w:rsidRDefault="00CF0E3D" w:rsidP="00CF0E3D">
      <w:pPr>
        <w:pStyle w:val="paragraph"/>
      </w:pPr>
      <w:r w:rsidRPr="00210486">
        <w:tab/>
        <w:t>(a)</w:t>
      </w:r>
      <w:r w:rsidRPr="00210486">
        <w:tab/>
        <w:t>copies of records that are required by this Division to be kept; or</w:t>
      </w:r>
    </w:p>
    <w:p w14:paraId="0C64E2E3" w14:textId="77777777" w:rsidR="00CF0E3D" w:rsidRPr="00210486" w:rsidRDefault="00CF0E3D" w:rsidP="00CF0E3D">
      <w:pPr>
        <w:pStyle w:val="paragraph"/>
      </w:pPr>
      <w:r w:rsidRPr="00210486">
        <w:tab/>
        <w:t>(b)</w:t>
      </w:r>
      <w:r w:rsidRPr="00210486">
        <w:tab/>
        <w:t>information from such records.</w:t>
      </w:r>
    </w:p>
    <w:p w14:paraId="1560DBE9" w14:textId="77777777" w:rsidR="00CF0E3D" w:rsidRPr="00A276A9" w:rsidRDefault="00CF0E3D" w:rsidP="00CF0E3D">
      <w:pPr>
        <w:pStyle w:val="subsection"/>
      </w:pPr>
      <w:r w:rsidRPr="00A276A9">
        <w:tab/>
      </w:r>
      <w:r>
        <w:t>(3)</w:t>
      </w:r>
      <w:r w:rsidRPr="00A276A9">
        <w:tab/>
        <w:t>The accredited data recipient must comply</w:t>
      </w:r>
      <w:r>
        <w:t xml:space="preserve"> with</w:t>
      </w:r>
      <w:r w:rsidRPr="00A276A9">
        <w:t xml:space="preserve"> a request under subrule </w:t>
      </w:r>
      <w:r>
        <w:t>(2)</w:t>
      </w:r>
      <w:r w:rsidRPr="00A276A9">
        <w:t xml:space="preserve">. </w:t>
      </w:r>
    </w:p>
    <w:p w14:paraId="3FE12B06" w14:textId="77777777" w:rsidR="00CF0E3D" w:rsidRPr="00A276A9" w:rsidRDefault="00CF0E3D" w:rsidP="00CF0E3D">
      <w:pPr>
        <w:pStyle w:val="notetext"/>
      </w:pPr>
      <w:r w:rsidRPr="00A276A9">
        <w:t>Note:</w:t>
      </w:r>
      <w:r w:rsidRPr="00A276A9">
        <w:tab/>
        <w:t xml:space="preserve">This </w:t>
      </w:r>
      <w:r>
        <w:t>sub</w:t>
      </w:r>
      <w:r w:rsidRPr="00A276A9">
        <w:t>rule is a civil penalty provision (see rule </w:t>
      </w:r>
      <w:r>
        <w:rPr>
          <w:bCs/>
          <w:lang w:val="en-US"/>
        </w:rPr>
        <w:t>9.8</w:t>
      </w:r>
      <w:r w:rsidRPr="00A276A9">
        <w:t>).</w:t>
      </w:r>
    </w:p>
    <w:p w14:paraId="3C3C538E" w14:textId="77777777" w:rsidR="00CF0E3D" w:rsidRPr="006E6044" w:rsidRDefault="00CF0E3D" w:rsidP="00CF0E3D">
      <w:pPr>
        <w:pStyle w:val="subsection"/>
      </w:pPr>
      <w:r>
        <w:lastRenderedPageBreak/>
        <w:tab/>
        <w:t>(4)</w:t>
      </w:r>
      <w:r>
        <w:tab/>
        <w:t>The Data Recipient Accreditor must provide a copy of any audit report to the Commission and the Information Commissioner.</w:t>
      </w:r>
    </w:p>
    <w:p w14:paraId="715E4846" w14:textId="75B0695C" w:rsidR="00CF0E3D" w:rsidRDefault="00CF0E3D" w:rsidP="00CF0E3D">
      <w:pPr>
        <w:pStyle w:val="ActHead3"/>
        <w:pageBreakBefore/>
      </w:pPr>
      <w:bookmarkStart w:id="556" w:name="_Toc11771710"/>
      <w:bookmarkStart w:id="557" w:name="_Toc77065054"/>
      <w:r>
        <w:lastRenderedPageBreak/>
        <w:t>Division 9.4—Civil penalty provisions</w:t>
      </w:r>
      <w:bookmarkEnd w:id="556"/>
      <w:bookmarkEnd w:id="557"/>
    </w:p>
    <w:p w14:paraId="49078F87" w14:textId="224F5CDF" w:rsidR="00CF0E3D" w:rsidRDefault="00CF0E3D" w:rsidP="00CF0E3D">
      <w:pPr>
        <w:pStyle w:val="ActHead5"/>
      </w:pPr>
      <w:bookmarkStart w:id="558" w:name="_Toc77065055"/>
      <w:r>
        <w:t>9.8  Civil penalty provisions</w:t>
      </w:r>
      <w:bookmarkEnd w:id="558"/>
    </w:p>
    <w:p w14:paraId="421A0FAD" w14:textId="77777777" w:rsidR="00CF0E3D" w:rsidRPr="00E1300D" w:rsidRDefault="00CF0E3D" w:rsidP="00CF0E3D">
      <w:pPr>
        <w:pStyle w:val="subsection"/>
        <w:rPr>
          <w:color w:val="000000" w:themeColor="text1"/>
        </w:rPr>
      </w:pPr>
      <w:r w:rsidRPr="00E1300D">
        <w:rPr>
          <w:color w:val="000000" w:themeColor="text1"/>
        </w:rPr>
        <w:tab/>
      </w:r>
      <w:r w:rsidRPr="00E1300D">
        <w:rPr>
          <w:color w:val="000000" w:themeColor="text1"/>
        </w:rPr>
        <w:tab/>
        <w:t>For section 56BL of the Act, the following provisions of these rules are civil penalty provisions (within the meaning of the Regulatory Powers Act):</w:t>
      </w:r>
    </w:p>
    <w:p w14:paraId="7CD82D52"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(a)</w:t>
      </w:r>
      <w:r w:rsidRPr="001151F8">
        <w:rPr>
          <w:color w:val="000000" w:themeColor="text1"/>
        </w:rPr>
        <w:tab/>
        <w:t>subrule </w:t>
      </w:r>
      <w:r>
        <w:rPr>
          <w:color w:val="000000" w:themeColor="text1"/>
        </w:rPr>
        <w:t>1.12(1)</w:t>
      </w:r>
      <w:r w:rsidRPr="001151F8">
        <w:rPr>
          <w:color w:val="000000" w:themeColor="text1"/>
        </w:rPr>
        <w:t>; </w:t>
      </w:r>
    </w:p>
    <w:p w14:paraId="0C4F9BF4"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(b)</w:t>
      </w:r>
      <w:r w:rsidRPr="001151F8">
        <w:rPr>
          <w:color w:val="000000" w:themeColor="text1"/>
        </w:rPr>
        <w:tab/>
        <w:t>subrule </w:t>
      </w:r>
      <w:r>
        <w:rPr>
          <w:color w:val="000000" w:themeColor="text1"/>
        </w:rPr>
        <w:t>1.13(1)</w:t>
      </w:r>
      <w:r w:rsidRPr="001151F8">
        <w:rPr>
          <w:color w:val="000000" w:themeColor="text1"/>
        </w:rPr>
        <w:t>;</w:t>
      </w:r>
    </w:p>
    <w:p w14:paraId="651E882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(c)</w:t>
      </w:r>
      <w:r w:rsidRPr="001151F8">
        <w:rPr>
          <w:color w:val="000000" w:themeColor="text1"/>
        </w:rPr>
        <w:tab/>
        <w:t>subrule </w:t>
      </w:r>
      <w:r>
        <w:rPr>
          <w:color w:val="000000" w:themeColor="text1"/>
        </w:rPr>
        <w:t>1.14(1)</w:t>
      </w:r>
      <w:r w:rsidRPr="001151F8">
        <w:rPr>
          <w:color w:val="000000" w:themeColor="text1"/>
        </w:rPr>
        <w:t>;</w:t>
      </w:r>
    </w:p>
    <w:p w14:paraId="5F5B0A73"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(d)</w:t>
      </w:r>
      <w:r w:rsidRPr="001151F8">
        <w:rPr>
          <w:color w:val="000000" w:themeColor="text1"/>
        </w:rPr>
        <w:tab/>
        <w:t>subrule </w:t>
      </w:r>
      <w:r>
        <w:rPr>
          <w:color w:val="000000" w:themeColor="text1"/>
        </w:rPr>
        <w:t>1.15(1)</w:t>
      </w:r>
      <w:r w:rsidRPr="001151F8">
        <w:rPr>
          <w:color w:val="000000" w:themeColor="text1"/>
        </w:rPr>
        <w:t>;</w:t>
      </w:r>
    </w:p>
    <w:p w14:paraId="42ACD164" w14:textId="77777777" w:rsidR="00CF0E3D" w:rsidRDefault="00CF0E3D" w:rsidP="00CF0E3D">
      <w:pPr>
        <w:pStyle w:val="paragraph"/>
      </w:pPr>
      <w:r w:rsidRPr="00EC7544">
        <w:tab/>
      </w:r>
      <w:r>
        <w:t>(da)</w:t>
      </w:r>
      <w:r>
        <w:tab/>
        <w:t>subrule 1.15(5)</w:t>
      </w:r>
    </w:p>
    <w:p w14:paraId="7AE9CD94" w14:textId="77777777" w:rsidR="00CF0E3D" w:rsidRDefault="00CF0E3D" w:rsidP="00CF0E3D">
      <w:pPr>
        <w:pStyle w:val="paragraph"/>
      </w:pPr>
      <w:r>
        <w:tab/>
        <w:t>(db)</w:t>
      </w:r>
      <w:r>
        <w:tab/>
        <w:t>subrule 1.15(7)</w:t>
      </w:r>
    </w:p>
    <w:p w14:paraId="7680A850" w14:textId="77777777" w:rsidR="00CF0E3D" w:rsidRDefault="00CF0E3D" w:rsidP="00CF0E3D">
      <w:pPr>
        <w:pStyle w:val="paragraph"/>
      </w:pPr>
      <w:r>
        <w:tab/>
      </w:r>
      <w:r w:rsidRPr="00EC7544">
        <w:t>(e)</w:t>
      </w:r>
      <w:r w:rsidRPr="00EC7544">
        <w:tab/>
        <w:t>subrule 1.16(1);</w:t>
      </w:r>
    </w:p>
    <w:p w14:paraId="1C07BCA3" w14:textId="77777777" w:rsidR="00833B8A" w:rsidRPr="00693A57" w:rsidRDefault="00833B8A" w:rsidP="00833B8A">
      <w:pPr>
        <w:pStyle w:val="paragraph"/>
        <w:rPr>
          <w:color w:val="0000FF"/>
        </w:rPr>
      </w:pPr>
      <w:r w:rsidRPr="00693A57">
        <w:rPr>
          <w:color w:val="0000FF"/>
        </w:rPr>
        <w:tab/>
        <w:t>(a)</w:t>
      </w:r>
      <w:r w:rsidRPr="00693A57">
        <w:rPr>
          <w:color w:val="0000FF"/>
        </w:rPr>
        <w:tab/>
        <w:t>subrule 1.16A(1); </w:t>
      </w:r>
    </w:p>
    <w:p w14:paraId="6FDC7B60" w14:textId="77777777" w:rsidR="00833B8A" w:rsidRPr="00693A57" w:rsidRDefault="00833B8A" w:rsidP="00833B8A">
      <w:pPr>
        <w:pStyle w:val="paragraph"/>
        <w:rPr>
          <w:color w:val="0000FF"/>
        </w:rPr>
      </w:pPr>
      <w:r w:rsidRPr="00693A57">
        <w:rPr>
          <w:color w:val="0000FF"/>
        </w:rPr>
        <w:tab/>
        <w:t>(a)</w:t>
      </w:r>
      <w:r w:rsidRPr="00693A57">
        <w:rPr>
          <w:color w:val="0000FF"/>
        </w:rPr>
        <w:tab/>
        <w:t>subrule 1.16A(2); </w:t>
      </w:r>
    </w:p>
    <w:p w14:paraId="35046B8E" w14:textId="66BD8B00" w:rsidR="005947E5" w:rsidRPr="00693A57" w:rsidRDefault="00EF16D3" w:rsidP="00EF16D3">
      <w:pPr>
        <w:pStyle w:val="paragraph"/>
        <w:rPr>
          <w:color w:val="FF0000"/>
        </w:rPr>
      </w:pPr>
      <w:r w:rsidRPr="00693A57">
        <w:rPr>
          <w:color w:val="FF0000"/>
        </w:rPr>
        <w:tab/>
        <w:t>(ea)</w:t>
      </w:r>
      <w:r w:rsidRPr="00693A57">
        <w:rPr>
          <w:color w:val="FF0000"/>
        </w:rPr>
        <w:tab/>
        <w:t xml:space="preserve">subrule </w:t>
      </w:r>
      <w:r w:rsidR="000B1D10" w:rsidRPr="00693A57">
        <w:rPr>
          <w:color w:val="FF0000"/>
        </w:rPr>
        <w:t>1.20(2)</w:t>
      </w:r>
      <w:r w:rsidR="005947E5" w:rsidRPr="00693A57">
        <w:rPr>
          <w:color w:val="FF0000"/>
        </w:rPr>
        <w:t>;</w:t>
      </w:r>
    </w:p>
    <w:p w14:paraId="6905C5C5" w14:textId="17883D68" w:rsidR="005947E5" w:rsidRPr="00693A57" w:rsidRDefault="00EF16D3" w:rsidP="00EF16D3">
      <w:pPr>
        <w:pStyle w:val="paragraph"/>
        <w:rPr>
          <w:color w:val="FF0000"/>
        </w:rPr>
      </w:pPr>
      <w:r w:rsidRPr="00693A57">
        <w:rPr>
          <w:color w:val="FF0000"/>
        </w:rPr>
        <w:tab/>
        <w:t>(eb)</w:t>
      </w:r>
      <w:r w:rsidRPr="00693A57">
        <w:rPr>
          <w:color w:val="FF0000"/>
        </w:rPr>
        <w:tab/>
        <w:t>subrule</w:t>
      </w:r>
      <w:r w:rsidR="005947E5" w:rsidRPr="00693A57">
        <w:rPr>
          <w:color w:val="FF0000"/>
        </w:rPr>
        <w:t xml:space="preserve"> </w:t>
      </w:r>
      <w:r w:rsidR="000B1D10" w:rsidRPr="00693A57">
        <w:rPr>
          <w:color w:val="FF0000"/>
        </w:rPr>
        <w:t>1.22(3)</w:t>
      </w:r>
      <w:r w:rsidR="005947E5" w:rsidRPr="00693A57">
        <w:rPr>
          <w:color w:val="FF0000"/>
        </w:rPr>
        <w:t>;</w:t>
      </w:r>
    </w:p>
    <w:p w14:paraId="3BF3537C" w14:textId="7249909B" w:rsidR="006D70C4" w:rsidRPr="00693A57" w:rsidRDefault="00EF16D3" w:rsidP="00CF0E3D">
      <w:pPr>
        <w:pStyle w:val="paragraph"/>
        <w:rPr>
          <w:color w:val="FF0000"/>
        </w:rPr>
      </w:pPr>
      <w:r w:rsidRPr="00693A57">
        <w:rPr>
          <w:color w:val="FF0000"/>
        </w:rPr>
        <w:tab/>
        <w:t>(ec</w:t>
      </w:r>
      <w:r w:rsidR="006D70C4" w:rsidRPr="00693A57">
        <w:rPr>
          <w:color w:val="FF0000"/>
        </w:rPr>
        <w:t>)</w:t>
      </w:r>
      <w:r w:rsidR="006D70C4" w:rsidRPr="00693A57">
        <w:rPr>
          <w:color w:val="FF0000"/>
        </w:rPr>
        <w:tab/>
        <w:t xml:space="preserve">subrule </w:t>
      </w:r>
      <w:r w:rsidR="000B1D10" w:rsidRPr="00693A57">
        <w:rPr>
          <w:color w:val="FF0000"/>
        </w:rPr>
        <w:t>1.22(4)</w:t>
      </w:r>
      <w:r w:rsidR="005947E5" w:rsidRPr="00693A57">
        <w:rPr>
          <w:color w:val="FF0000"/>
        </w:rPr>
        <w:t>;</w:t>
      </w:r>
    </w:p>
    <w:p w14:paraId="5BF12A4A" w14:textId="3100E4A8" w:rsidR="005947E5" w:rsidRPr="00693A57" w:rsidRDefault="005947E5" w:rsidP="005947E5">
      <w:pPr>
        <w:pStyle w:val="paragraph"/>
        <w:rPr>
          <w:color w:val="FF0000"/>
        </w:rPr>
      </w:pPr>
      <w:r w:rsidRPr="00693A57">
        <w:rPr>
          <w:color w:val="FF0000"/>
        </w:rPr>
        <w:tab/>
        <w:t>(ed)</w:t>
      </w:r>
      <w:r w:rsidRPr="00693A57">
        <w:rPr>
          <w:color w:val="FF0000"/>
        </w:rPr>
        <w:tab/>
        <w:t xml:space="preserve">subrule </w:t>
      </w:r>
      <w:r w:rsidR="000B1D10" w:rsidRPr="00693A57">
        <w:rPr>
          <w:color w:val="FF0000"/>
        </w:rPr>
        <w:t>1.22(5)</w:t>
      </w:r>
      <w:r w:rsidRPr="00693A57">
        <w:rPr>
          <w:color w:val="FF0000"/>
        </w:rPr>
        <w:t>;</w:t>
      </w:r>
    </w:p>
    <w:p w14:paraId="7C08CF10" w14:textId="759C5AA3" w:rsidR="001D3E30" w:rsidRPr="00693A57" w:rsidRDefault="005947E5" w:rsidP="005947E5">
      <w:pPr>
        <w:pStyle w:val="paragraph"/>
        <w:rPr>
          <w:color w:val="FF0000"/>
        </w:rPr>
      </w:pPr>
      <w:r w:rsidRPr="00693A57">
        <w:rPr>
          <w:color w:val="FF0000"/>
        </w:rPr>
        <w:tab/>
        <w:t>(ef</w:t>
      </w:r>
      <w:r w:rsidR="001D3E30" w:rsidRPr="00693A57">
        <w:rPr>
          <w:color w:val="FF0000"/>
        </w:rPr>
        <w:t>)</w:t>
      </w:r>
      <w:r w:rsidR="001D3E30" w:rsidRPr="00693A57">
        <w:rPr>
          <w:color w:val="FF0000"/>
        </w:rPr>
        <w:tab/>
        <w:t xml:space="preserve">subrule </w:t>
      </w:r>
      <w:r w:rsidR="000B1D10" w:rsidRPr="00693A57">
        <w:rPr>
          <w:color w:val="FF0000"/>
        </w:rPr>
        <w:t>1.23(4)</w:t>
      </w:r>
      <w:r w:rsidRPr="00693A57">
        <w:rPr>
          <w:color w:val="FF0000"/>
        </w:rPr>
        <w:t xml:space="preserve">: </w:t>
      </w:r>
    </w:p>
    <w:p w14:paraId="544F592E" w14:textId="1DDECEB0" w:rsidR="005947E5" w:rsidRPr="00693A57" w:rsidRDefault="005947E5" w:rsidP="005947E5">
      <w:pPr>
        <w:pStyle w:val="paragraph"/>
        <w:rPr>
          <w:color w:val="FF0000"/>
        </w:rPr>
      </w:pPr>
      <w:r w:rsidRPr="00693A57">
        <w:rPr>
          <w:color w:val="FF0000"/>
        </w:rPr>
        <w:tab/>
        <w:t>(eg)</w:t>
      </w:r>
      <w:r w:rsidRPr="00693A57">
        <w:rPr>
          <w:color w:val="FF0000"/>
        </w:rPr>
        <w:tab/>
        <w:t xml:space="preserve">subrule </w:t>
      </w:r>
      <w:r w:rsidR="000B1D10" w:rsidRPr="00693A57">
        <w:rPr>
          <w:color w:val="FF0000"/>
        </w:rPr>
        <w:t>1.23(5)</w:t>
      </w:r>
      <w:r w:rsidRPr="00693A57">
        <w:rPr>
          <w:color w:val="FF0000"/>
        </w:rPr>
        <w:t>;</w:t>
      </w:r>
    </w:p>
    <w:p w14:paraId="44898E80" w14:textId="6E18D7C6" w:rsidR="005947E5" w:rsidRPr="00693A57" w:rsidRDefault="005947E5" w:rsidP="005947E5">
      <w:pPr>
        <w:pStyle w:val="paragraph"/>
        <w:rPr>
          <w:color w:val="FF0000"/>
        </w:rPr>
      </w:pPr>
      <w:r w:rsidRPr="00693A57">
        <w:rPr>
          <w:color w:val="FF0000"/>
        </w:rPr>
        <w:tab/>
        <w:t>(eh</w:t>
      </w:r>
      <w:r w:rsidR="0054321A" w:rsidRPr="00693A57">
        <w:rPr>
          <w:color w:val="FF0000"/>
        </w:rPr>
        <w:t>)</w:t>
      </w:r>
      <w:r w:rsidRPr="00693A57">
        <w:rPr>
          <w:color w:val="FF0000"/>
        </w:rPr>
        <w:tab/>
        <w:t xml:space="preserve">subrule </w:t>
      </w:r>
      <w:r w:rsidR="000B1D10" w:rsidRPr="00693A57">
        <w:rPr>
          <w:color w:val="FF0000"/>
        </w:rPr>
        <w:t>1.23(6)</w:t>
      </w:r>
      <w:r w:rsidRPr="00693A57">
        <w:rPr>
          <w:color w:val="FF0000"/>
        </w:rPr>
        <w:t>;</w:t>
      </w:r>
    </w:p>
    <w:p w14:paraId="40C60783" w14:textId="5CCDA0B1" w:rsidR="00CF0E3D" w:rsidRPr="0054321A" w:rsidRDefault="005947E5" w:rsidP="0054321A">
      <w:pPr>
        <w:pStyle w:val="paragraph"/>
        <w:tabs>
          <w:tab w:val="left" w:pos="2160"/>
          <w:tab w:val="left" w:pos="2880"/>
          <w:tab w:val="left" w:pos="3550"/>
        </w:tabs>
      </w:pPr>
      <w:r w:rsidRPr="00693A57">
        <w:rPr>
          <w:color w:val="FF0000"/>
        </w:rPr>
        <w:tab/>
        <w:t>(ei</w:t>
      </w:r>
      <w:r w:rsidR="008F3380" w:rsidRPr="00693A57">
        <w:rPr>
          <w:color w:val="FF0000"/>
        </w:rPr>
        <w:t>)</w:t>
      </w:r>
      <w:r w:rsidR="00CF0E3D" w:rsidRPr="00693A57">
        <w:rPr>
          <w:strike/>
          <w:color w:val="FF0000"/>
        </w:rPr>
        <w:t>(ea)</w:t>
      </w:r>
      <w:r w:rsidR="00CF0E3D" w:rsidRPr="00693A57">
        <w:rPr>
          <w:color w:val="FF0000"/>
        </w:rPr>
        <w:tab/>
      </w:r>
      <w:r w:rsidR="00CF0E3D">
        <w:rPr>
          <w:color w:val="000000" w:themeColor="text1"/>
        </w:rPr>
        <w:t>subrule 2.4(</w:t>
      </w:r>
      <w:r w:rsidR="00CF0E3D" w:rsidRPr="0054321A">
        <w:t>2A)</w:t>
      </w:r>
      <w:r w:rsidR="0054321A" w:rsidRPr="0054321A">
        <w:t>;</w:t>
      </w:r>
      <w:r w:rsidR="0054321A" w:rsidRPr="0054321A">
        <w:tab/>
      </w:r>
    </w:p>
    <w:p w14:paraId="081B0F93" w14:textId="77777777" w:rsidR="00CF0E3D" w:rsidRPr="0054321A" w:rsidRDefault="00CF0E3D" w:rsidP="00CF0E3D">
      <w:pPr>
        <w:pStyle w:val="paragraph"/>
      </w:pPr>
      <w:r w:rsidRPr="0054321A">
        <w:tab/>
        <w:t>(f)</w:t>
      </w:r>
      <w:r w:rsidRPr="0054321A">
        <w:tab/>
        <w:t>subrule 2.4(3);</w:t>
      </w:r>
    </w:p>
    <w:p w14:paraId="2DDC9358" w14:textId="579A8C6D" w:rsidR="005947E5" w:rsidRPr="001151F8" w:rsidRDefault="00CF0E3D" w:rsidP="0054321A">
      <w:pPr>
        <w:pStyle w:val="paragraph"/>
        <w:rPr>
          <w:color w:val="000000" w:themeColor="text1"/>
        </w:rPr>
      </w:pPr>
      <w:r w:rsidRPr="001151F8">
        <w:rPr>
          <w:color w:val="000000" w:themeColor="text1"/>
        </w:rPr>
        <w:tab/>
      </w:r>
      <w:r>
        <w:rPr>
          <w:color w:val="000000" w:themeColor="text1"/>
        </w:rPr>
        <w:t>(g)</w:t>
      </w:r>
      <w:r w:rsidRPr="001151F8">
        <w:rPr>
          <w:color w:val="000000" w:themeColor="text1"/>
        </w:rPr>
        <w:tab/>
        <w:t>rule </w:t>
      </w:r>
      <w:r>
        <w:rPr>
          <w:color w:val="000000" w:themeColor="text1"/>
        </w:rPr>
        <w:t>2.6</w:t>
      </w:r>
      <w:r w:rsidRPr="001151F8">
        <w:rPr>
          <w:color w:val="000000" w:themeColor="text1"/>
        </w:rPr>
        <w:t>;</w:t>
      </w:r>
    </w:p>
    <w:p w14:paraId="266C45E7" w14:textId="77777777" w:rsidR="00CF0E3D" w:rsidRDefault="00CF0E3D" w:rsidP="00CF0E3D">
      <w:pPr>
        <w:pStyle w:val="paragraph"/>
        <w:rPr>
          <w:color w:val="000000" w:themeColor="text1"/>
        </w:rPr>
      </w:pPr>
      <w:r w:rsidRPr="001151F8">
        <w:rPr>
          <w:color w:val="000000" w:themeColor="text1"/>
        </w:rPr>
        <w:tab/>
      </w:r>
      <w:r>
        <w:rPr>
          <w:color w:val="000000" w:themeColor="text1"/>
        </w:rPr>
        <w:t>(h)</w:t>
      </w:r>
      <w:r w:rsidRPr="001151F8">
        <w:rPr>
          <w:color w:val="000000" w:themeColor="text1"/>
        </w:rPr>
        <w:tab/>
        <w:t>subrule </w:t>
      </w:r>
      <w:r>
        <w:rPr>
          <w:color w:val="000000" w:themeColor="text1"/>
        </w:rPr>
        <w:t>3.4(3)</w:t>
      </w:r>
      <w:r w:rsidRPr="001151F8">
        <w:rPr>
          <w:color w:val="000000" w:themeColor="text1"/>
        </w:rPr>
        <w:t>;</w:t>
      </w:r>
    </w:p>
    <w:p w14:paraId="22C2847D" w14:textId="77777777" w:rsidR="00CF0E3D" w:rsidRDefault="00CF0E3D" w:rsidP="00CF0E3D">
      <w:pPr>
        <w:pStyle w:val="paragraph"/>
      </w:pPr>
      <w:r w:rsidRPr="00EC5815">
        <w:tab/>
      </w:r>
      <w:r>
        <w:t>(i)</w:t>
      </w:r>
      <w:r w:rsidRPr="00EC5815">
        <w:tab/>
        <w:t>subrule </w:t>
      </w:r>
      <w:r>
        <w:t>4.3(5)</w:t>
      </w:r>
      <w:r w:rsidRPr="00EC5815">
        <w:t>;</w:t>
      </w:r>
    </w:p>
    <w:p w14:paraId="75CB105D" w14:textId="2B26A1EC" w:rsidR="006D0138" w:rsidRPr="00693A57" w:rsidRDefault="006D0138" w:rsidP="00CF0E3D">
      <w:pPr>
        <w:pStyle w:val="paragraph"/>
        <w:rPr>
          <w:color w:val="0000FF"/>
        </w:rPr>
      </w:pPr>
      <w:r w:rsidRPr="00693A57">
        <w:rPr>
          <w:color w:val="0000FF"/>
        </w:rPr>
        <w:tab/>
        <w:t>(ia)</w:t>
      </w:r>
      <w:r w:rsidRPr="00693A57">
        <w:rPr>
          <w:color w:val="0000FF"/>
        </w:rPr>
        <w:tab/>
        <w:t>rule 4.3B:</w:t>
      </w:r>
    </w:p>
    <w:p w14:paraId="1B61738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(j)</w:t>
      </w:r>
      <w:r w:rsidRPr="001151F8">
        <w:rPr>
          <w:color w:val="000000" w:themeColor="text1"/>
        </w:rPr>
        <w:tab/>
        <w:t>subrule </w:t>
      </w:r>
      <w:r>
        <w:rPr>
          <w:color w:val="000000" w:themeColor="text1"/>
        </w:rPr>
        <w:t>4.4(3)</w:t>
      </w:r>
      <w:r w:rsidRPr="001151F8">
        <w:rPr>
          <w:color w:val="000000" w:themeColor="text1"/>
        </w:rPr>
        <w:t>;</w:t>
      </w:r>
    </w:p>
    <w:p w14:paraId="0499936E"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(k)</w:t>
      </w:r>
      <w:r w:rsidRPr="001151F8">
        <w:rPr>
          <w:color w:val="000000" w:themeColor="text1"/>
        </w:rPr>
        <w:tab/>
        <w:t>subrule </w:t>
      </w:r>
      <w:r>
        <w:rPr>
          <w:color w:val="000000" w:themeColor="text1"/>
        </w:rPr>
        <w:t>4.5(2)</w:t>
      </w:r>
      <w:r w:rsidRPr="001151F8">
        <w:rPr>
          <w:color w:val="000000" w:themeColor="text1"/>
        </w:rPr>
        <w:t>;</w:t>
      </w:r>
    </w:p>
    <w:p w14:paraId="12B99BD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(l)</w:t>
      </w:r>
      <w:r w:rsidRPr="001151F8">
        <w:rPr>
          <w:color w:val="000000" w:themeColor="text1"/>
        </w:rPr>
        <w:tab/>
        <w:t>subrule </w:t>
      </w:r>
      <w:r>
        <w:rPr>
          <w:color w:val="000000" w:themeColor="text1"/>
        </w:rPr>
        <w:t>4.5(3)</w:t>
      </w:r>
      <w:r w:rsidRPr="001151F8">
        <w:rPr>
          <w:color w:val="000000" w:themeColor="text1"/>
        </w:rPr>
        <w:t>;</w:t>
      </w:r>
    </w:p>
    <w:p w14:paraId="759C0F0C"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(m)</w:t>
      </w:r>
      <w:r w:rsidRPr="001151F8">
        <w:rPr>
          <w:color w:val="000000" w:themeColor="text1"/>
        </w:rPr>
        <w:tab/>
        <w:t>subrule </w:t>
      </w:r>
      <w:r>
        <w:rPr>
          <w:color w:val="000000" w:themeColor="text1"/>
        </w:rPr>
        <w:t>4.6(3)</w:t>
      </w:r>
      <w:r w:rsidRPr="001151F8">
        <w:rPr>
          <w:color w:val="000000" w:themeColor="text1"/>
        </w:rPr>
        <w:t>;</w:t>
      </w:r>
    </w:p>
    <w:p w14:paraId="7EFA22F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(n)</w:t>
      </w:r>
      <w:r w:rsidRPr="001151F8">
        <w:rPr>
          <w:color w:val="000000" w:themeColor="text1"/>
        </w:rPr>
        <w:tab/>
        <w:t>subrule </w:t>
      </w:r>
      <w:r>
        <w:rPr>
          <w:color w:val="000000" w:themeColor="text1"/>
        </w:rPr>
        <w:t>4.6(4)</w:t>
      </w:r>
      <w:r w:rsidRPr="001151F8">
        <w:rPr>
          <w:color w:val="000000" w:themeColor="text1"/>
        </w:rPr>
        <w:t>;</w:t>
      </w:r>
    </w:p>
    <w:p w14:paraId="5D1B3A76" w14:textId="77777777" w:rsidR="00CF0E3D" w:rsidRDefault="00CF0E3D" w:rsidP="00CF0E3D">
      <w:pPr>
        <w:pStyle w:val="paragraph"/>
        <w:rPr>
          <w:color w:val="000000" w:themeColor="text1"/>
        </w:rPr>
      </w:pPr>
      <w:r>
        <w:rPr>
          <w:color w:val="000000" w:themeColor="text1"/>
        </w:rPr>
        <w:tab/>
        <w:t>(na)</w:t>
      </w:r>
      <w:r>
        <w:rPr>
          <w:color w:val="000000" w:themeColor="text1"/>
        </w:rPr>
        <w:tab/>
        <w:t>subrule 4.7B(3)</w:t>
      </w:r>
    </w:p>
    <w:p w14:paraId="789EA2A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(o)</w:t>
      </w:r>
      <w:r w:rsidRPr="001151F8">
        <w:rPr>
          <w:color w:val="000000" w:themeColor="text1"/>
        </w:rPr>
        <w:tab/>
        <w:t>subrule </w:t>
      </w:r>
      <w:r>
        <w:rPr>
          <w:color w:val="000000" w:themeColor="text1"/>
        </w:rPr>
        <w:t>4.13(2)</w:t>
      </w:r>
      <w:r w:rsidRPr="001151F8">
        <w:rPr>
          <w:color w:val="000000" w:themeColor="text1"/>
        </w:rPr>
        <w:t>;</w:t>
      </w:r>
    </w:p>
    <w:p w14:paraId="78D295B7"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(p)</w:t>
      </w:r>
      <w:r w:rsidRPr="001151F8">
        <w:rPr>
          <w:color w:val="000000" w:themeColor="text1"/>
        </w:rPr>
        <w:tab/>
        <w:t>subrule </w:t>
      </w:r>
      <w:r>
        <w:rPr>
          <w:color w:val="000000" w:themeColor="text1"/>
        </w:rPr>
        <w:t>4.18(1)</w:t>
      </w:r>
      <w:r w:rsidRPr="001151F8">
        <w:rPr>
          <w:color w:val="000000" w:themeColor="text1"/>
        </w:rPr>
        <w:t>;</w:t>
      </w:r>
    </w:p>
    <w:p w14:paraId="41C67E66" w14:textId="77777777" w:rsidR="00CF0E3D" w:rsidRPr="0021150F" w:rsidRDefault="00CF0E3D" w:rsidP="00CF0E3D">
      <w:pPr>
        <w:pStyle w:val="paragraph"/>
        <w:rPr>
          <w:color w:val="000000" w:themeColor="text1"/>
        </w:rPr>
      </w:pPr>
      <w:r>
        <w:rPr>
          <w:color w:val="000000" w:themeColor="text1"/>
        </w:rPr>
        <w:tab/>
        <w:t>(pa)</w:t>
      </w:r>
      <w:r>
        <w:rPr>
          <w:color w:val="000000" w:themeColor="text1"/>
        </w:rPr>
        <w:tab/>
      </w:r>
      <w:r w:rsidRPr="0021150F">
        <w:rPr>
          <w:color w:val="000000" w:themeColor="text1"/>
        </w:rPr>
        <w:t>subrule 4.18A(2);</w:t>
      </w:r>
    </w:p>
    <w:p w14:paraId="76EBDEB3"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(pb)</w:t>
      </w:r>
      <w:r w:rsidRPr="0021150F">
        <w:rPr>
          <w:color w:val="000000" w:themeColor="text1"/>
        </w:rPr>
        <w:tab/>
        <w:t>subrule 4.18B(2);</w:t>
      </w:r>
    </w:p>
    <w:p w14:paraId="51CB7C73"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(pc)</w:t>
      </w:r>
      <w:r w:rsidRPr="0021150F">
        <w:rPr>
          <w:color w:val="000000" w:themeColor="text1"/>
        </w:rPr>
        <w:tab/>
        <w:t>subrule 4.18B(3);</w:t>
      </w:r>
    </w:p>
    <w:p w14:paraId="067238B3" w14:textId="77777777" w:rsidR="00CF0E3D" w:rsidRPr="0054321A" w:rsidRDefault="00CF0E3D" w:rsidP="00CF0E3D">
      <w:pPr>
        <w:pStyle w:val="paragraph"/>
      </w:pPr>
      <w:r>
        <w:rPr>
          <w:color w:val="000000" w:themeColor="text1"/>
        </w:rPr>
        <w:tab/>
      </w:r>
      <w:r w:rsidRPr="0021150F">
        <w:rPr>
          <w:color w:val="000000" w:themeColor="text1"/>
        </w:rPr>
        <w:t>(pd)</w:t>
      </w:r>
      <w:r w:rsidRPr="0021150F">
        <w:rPr>
          <w:color w:val="000000" w:themeColor="text1"/>
        </w:rPr>
        <w:tab/>
        <w:t>subrule 4.</w:t>
      </w:r>
      <w:r w:rsidRPr="0054321A">
        <w:t>18C(2);</w:t>
      </w:r>
    </w:p>
    <w:p w14:paraId="66F5D43C" w14:textId="77777777" w:rsidR="00CF0E3D" w:rsidRPr="0054321A" w:rsidRDefault="00CF0E3D" w:rsidP="00CF0E3D">
      <w:pPr>
        <w:pStyle w:val="paragraph"/>
      </w:pPr>
      <w:r w:rsidRPr="0054321A">
        <w:tab/>
        <w:t>(q)</w:t>
      </w:r>
      <w:r w:rsidRPr="0054321A">
        <w:tab/>
        <w:t>rule 4.19;</w:t>
      </w:r>
    </w:p>
    <w:p w14:paraId="7FDBFE4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(r)</w:t>
      </w:r>
      <w:r w:rsidRPr="001151F8">
        <w:rPr>
          <w:color w:val="000000" w:themeColor="text1"/>
        </w:rPr>
        <w:tab/>
        <w:t>subrule </w:t>
      </w:r>
      <w:r>
        <w:rPr>
          <w:color w:val="000000" w:themeColor="text1"/>
        </w:rPr>
        <w:t>4.20(2)</w:t>
      </w:r>
      <w:r w:rsidRPr="001151F8">
        <w:rPr>
          <w:color w:val="000000" w:themeColor="text1"/>
        </w:rPr>
        <w:t>;</w:t>
      </w:r>
    </w:p>
    <w:p w14:paraId="35B5D224" w14:textId="77777777" w:rsidR="00CF0E3D" w:rsidRDefault="00CF0E3D" w:rsidP="00CF0E3D">
      <w:pPr>
        <w:pStyle w:val="paragraph"/>
        <w:rPr>
          <w:color w:val="000000" w:themeColor="text1"/>
        </w:rPr>
      </w:pPr>
      <w:r>
        <w:rPr>
          <w:color w:val="000000" w:themeColor="text1"/>
        </w:rPr>
        <w:lastRenderedPageBreak/>
        <w:tab/>
        <w:t>(ra)</w:t>
      </w:r>
      <w:r>
        <w:rPr>
          <w:color w:val="000000" w:themeColor="text1"/>
        </w:rPr>
        <w:tab/>
        <w:t>subrule 4.22A(1)</w:t>
      </w:r>
    </w:p>
    <w:p w14:paraId="1B4B7058"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(s)</w:t>
      </w:r>
      <w:r w:rsidRPr="001151F8">
        <w:rPr>
          <w:color w:val="000000" w:themeColor="text1"/>
        </w:rPr>
        <w:tab/>
        <w:t>subrule </w:t>
      </w:r>
      <w:r>
        <w:rPr>
          <w:color w:val="000000" w:themeColor="text1"/>
        </w:rPr>
        <w:t>4.25(2)</w:t>
      </w:r>
      <w:r w:rsidRPr="001151F8">
        <w:rPr>
          <w:color w:val="000000" w:themeColor="text1"/>
        </w:rPr>
        <w:t>;</w:t>
      </w:r>
    </w:p>
    <w:p w14:paraId="38219B7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(t)</w:t>
      </w:r>
      <w:r w:rsidRPr="001151F8">
        <w:rPr>
          <w:color w:val="000000" w:themeColor="text1"/>
        </w:rPr>
        <w:tab/>
        <w:t>rule </w:t>
      </w:r>
      <w:r>
        <w:rPr>
          <w:color w:val="000000" w:themeColor="text1"/>
        </w:rPr>
        <w:t>4.27</w:t>
      </w:r>
      <w:r w:rsidRPr="001151F8">
        <w:rPr>
          <w:color w:val="000000" w:themeColor="text1"/>
        </w:rPr>
        <w:t>;</w:t>
      </w:r>
    </w:p>
    <w:p w14:paraId="7C55E03F" w14:textId="4DD94B77" w:rsidR="00CF0E3D" w:rsidRDefault="00CF0E3D" w:rsidP="00CF0E3D">
      <w:pPr>
        <w:pStyle w:val="paragraph"/>
        <w:rPr>
          <w:color w:val="000000" w:themeColor="text1"/>
        </w:rPr>
      </w:pPr>
      <w:r>
        <w:rPr>
          <w:color w:val="000000" w:themeColor="text1"/>
        </w:rPr>
        <w:tab/>
        <w:t>(ta)</w:t>
      </w:r>
      <w:r>
        <w:rPr>
          <w:color w:val="000000" w:themeColor="text1"/>
        </w:rPr>
        <w:tab/>
        <w:t>subrule 4.28(2)</w:t>
      </w:r>
      <w:r w:rsidR="00833B8A">
        <w:rPr>
          <w:color w:val="000000" w:themeColor="text1"/>
        </w:rPr>
        <w:t>;</w:t>
      </w:r>
    </w:p>
    <w:p w14:paraId="050E8679" w14:textId="1166E3DD" w:rsidR="006D0138" w:rsidRPr="00693A57" w:rsidRDefault="006D0138" w:rsidP="006D0138">
      <w:pPr>
        <w:pStyle w:val="paragraph"/>
        <w:rPr>
          <w:color w:val="0000FF"/>
        </w:rPr>
      </w:pPr>
      <w:r w:rsidRPr="00693A57">
        <w:rPr>
          <w:color w:val="0000FF"/>
        </w:rPr>
        <w:tab/>
        <w:t>(</w:t>
      </w:r>
      <w:r w:rsidR="006134CE" w:rsidRPr="00693A57">
        <w:rPr>
          <w:color w:val="0000FF"/>
        </w:rPr>
        <w:t>tb</w:t>
      </w:r>
      <w:r w:rsidRPr="00693A57">
        <w:rPr>
          <w:color w:val="0000FF"/>
        </w:rPr>
        <w:t>)</w:t>
      </w:r>
      <w:r w:rsidRPr="00693A57">
        <w:rPr>
          <w:color w:val="0000FF"/>
        </w:rPr>
        <w:tab/>
        <w:t>subrule 4A.5(1); </w:t>
      </w:r>
    </w:p>
    <w:p w14:paraId="1949895B" w14:textId="42AD441A" w:rsidR="006D0138" w:rsidRPr="00693A57" w:rsidRDefault="006D0138" w:rsidP="006D0138">
      <w:pPr>
        <w:pStyle w:val="paragraph"/>
        <w:rPr>
          <w:color w:val="0000FF"/>
        </w:rPr>
      </w:pPr>
      <w:r w:rsidRPr="00693A57">
        <w:rPr>
          <w:color w:val="0000FF"/>
        </w:rPr>
        <w:tab/>
      </w:r>
      <w:r w:rsidR="006134CE" w:rsidRPr="00693A57">
        <w:rPr>
          <w:color w:val="0000FF"/>
        </w:rPr>
        <w:t>(tc</w:t>
      </w:r>
      <w:r w:rsidRPr="00693A57">
        <w:rPr>
          <w:color w:val="0000FF"/>
        </w:rPr>
        <w:t>)</w:t>
      </w:r>
      <w:r w:rsidRPr="00693A57">
        <w:rPr>
          <w:color w:val="0000FF"/>
        </w:rPr>
        <w:tab/>
        <w:t>subrule </w:t>
      </w:r>
      <w:r w:rsidR="006134CE" w:rsidRPr="00693A57">
        <w:rPr>
          <w:color w:val="0000FF"/>
        </w:rPr>
        <w:t>4A.7(3)</w:t>
      </w:r>
      <w:r w:rsidRPr="00693A57">
        <w:rPr>
          <w:color w:val="0000FF"/>
        </w:rPr>
        <w:t>; </w:t>
      </w:r>
    </w:p>
    <w:p w14:paraId="352720C8" w14:textId="6B7563D5" w:rsidR="006D0138" w:rsidRPr="00693A57" w:rsidRDefault="006D0138" w:rsidP="006D0138">
      <w:pPr>
        <w:pStyle w:val="paragraph"/>
        <w:rPr>
          <w:color w:val="0000FF"/>
        </w:rPr>
      </w:pPr>
      <w:r w:rsidRPr="00693A57">
        <w:rPr>
          <w:color w:val="0000FF"/>
        </w:rPr>
        <w:tab/>
      </w:r>
      <w:r w:rsidR="006134CE" w:rsidRPr="00693A57">
        <w:rPr>
          <w:color w:val="0000FF"/>
        </w:rPr>
        <w:t>(td</w:t>
      </w:r>
      <w:r w:rsidRPr="00693A57">
        <w:rPr>
          <w:color w:val="0000FF"/>
        </w:rPr>
        <w:t>)</w:t>
      </w:r>
      <w:r w:rsidRPr="00693A57">
        <w:rPr>
          <w:color w:val="0000FF"/>
        </w:rPr>
        <w:tab/>
        <w:t>subrule </w:t>
      </w:r>
      <w:r w:rsidR="006134CE" w:rsidRPr="00693A57">
        <w:rPr>
          <w:color w:val="0000FF"/>
        </w:rPr>
        <w:t>4A.8(2)</w:t>
      </w:r>
      <w:r w:rsidRPr="00693A57">
        <w:rPr>
          <w:color w:val="0000FF"/>
        </w:rPr>
        <w:t>; </w:t>
      </w:r>
    </w:p>
    <w:p w14:paraId="39215F64" w14:textId="0684FA56" w:rsidR="006D0138" w:rsidRPr="00693A57" w:rsidRDefault="006D0138" w:rsidP="006D0138">
      <w:pPr>
        <w:pStyle w:val="paragraph"/>
        <w:rPr>
          <w:color w:val="0000FF"/>
        </w:rPr>
      </w:pPr>
      <w:r w:rsidRPr="00693A57">
        <w:rPr>
          <w:color w:val="0000FF"/>
        </w:rPr>
        <w:tab/>
      </w:r>
      <w:r w:rsidR="006134CE" w:rsidRPr="00693A57">
        <w:rPr>
          <w:color w:val="0000FF"/>
        </w:rPr>
        <w:t>(te</w:t>
      </w:r>
      <w:r w:rsidRPr="00693A57">
        <w:rPr>
          <w:color w:val="0000FF"/>
        </w:rPr>
        <w:t>)</w:t>
      </w:r>
      <w:r w:rsidRPr="00693A57">
        <w:rPr>
          <w:color w:val="0000FF"/>
        </w:rPr>
        <w:tab/>
        <w:t>subrule </w:t>
      </w:r>
      <w:r w:rsidR="006134CE" w:rsidRPr="00693A57">
        <w:rPr>
          <w:color w:val="0000FF"/>
        </w:rPr>
        <w:t>4A.8(3)</w:t>
      </w:r>
      <w:r w:rsidRPr="00693A57">
        <w:rPr>
          <w:color w:val="0000FF"/>
        </w:rPr>
        <w:t>; </w:t>
      </w:r>
    </w:p>
    <w:p w14:paraId="3112A084" w14:textId="0F1CDEC1" w:rsidR="006134CE" w:rsidRPr="00693A57" w:rsidRDefault="006134CE" w:rsidP="006134CE">
      <w:pPr>
        <w:pStyle w:val="paragraph"/>
        <w:rPr>
          <w:color w:val="0000FF"/>
        </w:rPr>
      </w:pPr>
      <w:r w:rsidRPr="00693A57">
        <w:rPr>
          <w:color w:val="0000FF"/>
        </w:rPr>
        <w:tab/>
        <w:t>(tf)</w:t>
      </w:r>
      <w:r w:rsidRPr="00693A57">
        <w:rPr>
          <w:color w:val="0000FF"/>
        </w:rPr>
        <w:tab/>
        <w:t>subrule 4A.15(1); </w:t>
      </w:r>
    </w:p>
    <w:p w14:paraId="32A4BBE0" w14:textId="7732DA9A" w:rsidR="006134CE" w:rsidRPr="00693A57" w:rsidRDefault="006134CE" w:rsidP="006134CE">
      <w:pPr>
        <w:pStyle w:val="paragraph"/>
        <w:rPr>
          <w:color w:val="0000FF"/>
        </w:rPr>
      </w:pPr>
      <w:r w:rsidRPr="00693A57">
        <w:rPr>
          <w:color w:val="0000FF"/>
        </w:rPr>
        <w:tab/>
        <w:t>(tg)</w:t>
      </w:r>
      <w:r w:rsidRPr="00693A57">
        <w:rPr>
          <w:color w:val="0000FF"/>
        </w:rPr>
        <w:tab/>
        <w:t>subrule 4A.16(2); </w:t>
      </w:r>
    </w:p>
    <w:p w14:paraId="74C844A2" w14:textId="17952DB1" w:rsidR="006134CE" w:rsidRPr="00693A57" w:rsidRDefault="006134CE" w:rsidP="006134CE">
      <w:pPr>
        <w:pStyle w:val="paragraph"/>
        <w:rPr>
          <w:color w:val="0000FF"/>
        </w:rPr>
      </w:pPr>
      <w:r w:rsidRPr="00693A57">
        <w:rPr>
          <w:color w:val="0000FF"/>
        </w:rPr>
        <w:tab/>
        <w:t>(th)</w:t>
      </w:r>
      <w:r w:rsidRPr="00693A57">
        <w:rPr>
          <w:color w:val="0000FF"/>
        </w:rPr>
        <w:tab/>
        <w:t>subrule 4A.16(3); </w:t>
      </w:r>
    </w:p>
    <w:p w14:paraId="00B6D4D5" w14:textId="080B01FF" w:rsidR="00833B8A" w:rsidRPr="00693A57" w:rsidRDefault="00833B8A" w:rsidP="00833B8A">
      <w:pPr>
        <w:pStyle w:val="paragraph"/>
        <w:rPr>
          <w:color w:val="0000FF"/>
        </w:rPr>
      </w:pPr>
      <w:r w:rsidRPr="00693A57">
        <w:rPr>
          <w:color w:val="0000FF"/>
        </w:rPr>
        <w:tab/>
      </w:r>
      <w:r w:rsidR="006134CE" w:rsidRPr="00693A57">
        <w:rPr>
          <w:color w:val="0000FF"/>
        </w:rPr>
        <w:t>(ti</w:t>
      </w:r>
      <w:r w:rsidRPr="00693A57">
        <w:rPr>
          <w:color w:val="0000FF"/>
        </w:rPr>
        <w:t>)</w:t>
      </w:r>
      <w:r w:rsidRPr="00693A57">
        <w:rPr>
          <w:color w:val="0000FF"/>
        </w:rPr>
        <w:tab/>
        <w:t>subrule 5.1B(1); </w:t>
      </w:r>
    </w:p>
    <w:p w14:paraId="010F92C0" w14:textId="3D59166E" w:rsidR="00833B8A" w:rsidRPr="00693A57" w:rsidRDefault="00833B8A" w:rsidP="00833B8A">
      <w:pPr>
        <w:pStyle w:val="paragraph"/>
        <w:rPr>
          <w:color w:val="0000FF"/>
        </w:rPr>
      </w:pPr>
      <w:r w:rsidRPr="00693A57">
        <w:rPr>
          <w:color w:val="0000FF"/>
        </w:rPr>
        <w:tab/>
      </w:r>
      <w:r w:rsidR="006134CE" w:rsidRPr="00693A57">
        <w:rPr>
          <w:color w:val="0000FF"/>
        </w:rPr>
        <w:t>(tj</w:t>
      </w:r>
      <w:r w:rsidRPr="00693A57">
        <w:rPr>
          <w:color w:val="0000FF"/>
        </w:rPr>
        <w:t>)</w:t>
      </w:r>
      <w:r w:rsidRPr="00693A57">
        <w:rPr>
          <w:color w:val="0000FF"/>
        </w:rPr>
        <w:tab/>
        <w:t>subrule 5.1B(2); </w:t>
      </w:r>
    </w:p>
    <w:p w14:paraId="4D7D7909" w14:textId="264ED76D" w:rsidR="00833B8A" w:rsidRPr="00693A57" w:rsidRDefault="00833B8A" w:rsidP="00833B8A">
      <w:pPr>
        <w:pStyle w:val="paragraph"/>
        <w:rPr>
          <w:color w:val="0000FF"/>
        </w:rPr>
      </w:pPr>
      <w:r w:rsidRPr="00693A57">
        <w:rPr>
          <w:color w:val="0000FF"/>
        </w:rPr>
        <w:tab/>
      </w:r>
      <w:r w:rsidR="006134CE" w:rsidRPr="00693A57">
        <w:rPr>
          <w:color w:val="0000FF"/>
        </w:rPr>
        <w:t>(tk</w:t>
      </w:r>
      <w:r w:rsidRPr="00693A57">
        <w:rPr>
          <w:color w:val="0000FF"/>
        </w:rPr>
        <w:t>)</w:t>
      </w:r>
      <w:r w:rsidRPr="00693A57">
        <w:rPr>
          <w:color w:val="0000FF"/>
        </w:rPr>
        <w:tab/>
        <w:t>subrule 5.1B(3); </w:t>
      </w:r>
    </w:p>
    <w:p w14:paraId="619936D4" w14:textId="7A174A95" w:rsidR="00833B8A" w:rsidRPr="00693A57" w:rsidRDefault="00833B8A" w:rsidP="00833B8A">
      <w:pPr>
        <w:pStyle w:val="paragraph"/>
        <w:rPr>
          <w:color w:val="0000FF"/>
        </w:rPr>
      </w:pPr>
      <w:r w:rsidRPr="00693A57">
        <w:rPr>
          <w:color w:val="0000FF"/>
        </w:rPr>
        <w:tab/>
      </w:r>
      <w:r w:rsidR="006134CE" w:rsidRPr="00693A57">
        <w:rPr>
          <w:color w:val="0000FF"/>
        </w:rPr>
        <w:t>(tl</w:t>
      </w:r>
      <w:r w:rsidRPr="00693A57">
        <w:rPr>
          <w:color w:val="0000FF"/>
        </w:rPr>
        <w:t>)</w:t>
      </w:r>
      <w:r w:rsidRPr="00693A57">
        <w:rPr>
          <w:color w:val="0000FF"/>
        </w:rPr>
        <w:tab/>
        <w:t>subrule 5.1B(4); </w:t>
      </w:r>
    </w:p>
    <w:p w14:paraId="0588BDB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(u)</w:t>
      </w:r>
      <w:r w:rsidRPr="001151F8">
        <w:rPr>
          <w:color w:val="000000" w:themeColor="text1"/>
        </w:rPr>
        <w:tab/>
        <w:t>subrule </w:t>
      </w:r>
      <w:r>
        <w:rPr>
          <w:color w:val="000000" w:themeColor="text1"/>
        </w:rPr>
        <w:t>5.12(1)</w:t>
      </w:r>
      <w:r w:rsidRPr="001151F8">
        <w:rPr>
          <w:color w:val="000000" w:themeColor="text1"/>
        </w:rPr>
        <w:t>;</w:t>
      </w:r>
    </w:p>
    <w:p w14:paraId="69E1B28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(v)</w:t>
      </w:r>
      <w:r w:rsidRPr="001151F8">
        <w:rPr>
          <w:color w:val="000000" w:themeColor="text1"/>
        </w:rPr>
        <w:tab/>
        <w:t>rule </w:t>
      </w:r>
      <w:r>
        <w:rPr>
          <w:color w:val="000000" w:themeColor="text1"/>
        </w:rPr>
        <w:t>5.13</w:t>
      </w:r>
      <w:r w:rsidRPr="001151F8">
        <w:rPr>
          <w:color w:val="000000" w:themeColor="text1"/>
        </w:rPr>
        <w:t>;</w:t>
      </w:r>
    </w:p>
    <w:p w14:paraId="128A9141"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(w)</w:t>
      </w:r>
      <w:r w:rsidRPr="001151F8">
        <w:rPr>
          <w:color w:val="000000" w:themeColor="text1"/>
        </w:rPr>
        <w:tab/>
        <w:t xml:space="preserve">rule </w:t>
      </w:r>
      <w:r>
        <w:rPr>
          <w:color w:val="000000" w:themeColor="text1"/>
        </w:rPr>
        <w:t>5.14</w:t>
      </w:r>
      <w:r w:rsidRPr="001151F8">
        <w:rPr>
          <w:color w:val="000000" w:themeColor="text1"/>
        </w:rPr>
        <w:t>;</w:t>
      </w:r>
    </w:p>
    <w:p w14:paraId="68F32488"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(x)</w:t>
      </w:r>
      <w:r w:rsidRPr="001151F8">
        <w:rPr>
          <w:color w:val="000000" w:themeColor="text1"/>
        </w:rPr>
        <w:tab/>
        <w:t xml:space="preserve">subrule </w:t>
      </w:r>
      <w:r>
        <w:rPr>
          <w:color w:val="000000" w:themeColor="text1"/>
        </w:rPr>
        <w:t>5.23(2)</w:t>
      </w:r>
      <w:r w:rsidRPr="001151F8">
        <w:rPr>
          <w:color w:val="000000" w:themeColor="text1"/>
        </w:rPr>
        <w:t>;</w:t>
      </w:r>
    </w:p>
    <w:p w14:paraId="52CD5EE8" w14:textId="77777777" w:rsidR="00CF0E3D" w:rsidRDefault="00CF0E3D" w:rsidP="00CF0E3D">
      <w:pPr>
        <w:pStyle w:val="paragraph"/>
        <w:rPr>
          <w:color w:val="000000" w:themeColor="text1"/>
        </w:rPr>
      </w:pPr>
      <w:r w:rsidRPr="001151F8">
        <w:rPr>
          <w:color w:val="000000" w:themeColor="text1"/>
        </w:rPr>
        <w:tab/>
      </w:r>
      <w:r>
        <w:rPr>
          <w:color w:val="000000" w:themeColor="text1"/>
        </w:rPr>
        <w:t>(y)</w:t>
      </w:r>
      <w:r w:rsidRPr="001151F8">
        <w:rPr>
          <w:color w:val="000000" w:themeColor="text1"/>
        </w:rPr>
        <w:tab/>
        <w:t xml:space="preserve">subrule </w:t>
      </w:r>
      <w:r>
        <w:rPr>
          <w:color w:val="000000" w:themeColor="text1"/>
        </w:rPr>
        <w:t>5.23(3)</w:t>
      </w:r>
      <w:r w:rsidRPr="001151F8">
        <w:rPr>
          <w:color w:val="000000" w:themeColor="text1"/>
        </w:rPr>
        <w:t>;</w:t>
      </w:r>
    </w:p>
    <w:p w14:paraId="2BBEBA88" w14:textId="77777777" w:rsidR="00CF0E3D" w:rsidRPr="001151F8" w:rsidRDefault="00CF0E3D" w:rsidP="00CF0E3D">
      <w:pPr>
        <w:pStyle w:val="paragraph"/>
      </w:pPr>
      <w:r>
        <w:tab/>
        <w:t>(z)</w:t>
      </w:r>
      <w:r>
        <w:tab/>
        <w:t>subrule 5.23(4);</w:t>
      </w:r>
      <w:r w:rsidRPr="001151F8">
        <w:t xml:space="preserve"> </w:t>
      </w:r>
    </w:p>
    <w:p w14:paraId="4F06BB7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(aa)</w:t>
      </w:r>
      <w:r w:rsidRPr="001151F8">
        <w:rPr>
          <w:color w:val="000000" w:themeColor="text1"/>
        </w:rPr>
        <w:tab/>
        <w:t>subrule </w:t>
      </w:r>
      <w:r>
        <w:rPr>
          <w:color w:val="000000" w:themeColor="text1"/>
        </w:rPr>
        <w:t>5.31(2)</w:t>
      </w:r>
      <w:r w:rsidRPr="001151F8">
        <w:rPr>
          <w:color w:val="000000" w:themeColor="text1"/>
        </w:rPr>
        <w:t>;</w:t>
      </w:r>
    </w:p>
    <w:p w14:paraId="50537A3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(bb)</w:t>
      </w:r>
      <w:r w:rsidRPr="001151F8">
        <w:rPr>
          <w:color w:val="000000" w:themeColor="text1"/>
        </w:rPr>
        <w:tab/>
        <w:t>rule </w:t>
      </w:r>
      <w:r>
        <w:rPr>
          <w:color w:val="000000" w:themeColor="text1"/>
        </w:rPr>
        <w:t>6.1</w:t>
      </w:r>
      <w:r w:rsidRPr="001151F8">
        <w:rPr>
          <w:color w:val="000000" w:themeColor="text1"/>
        </w:rPr>
        <w:t>;</w:t>
      </w:r>
    </w:p>
    <w:p w14:paraId="2D842E41" w14:textId="77777777" w:rsidR="00CF0E3D" w:rsidRPr="009749EC" w:rsidRDefault="00CF0E3D" w:rsidP="00CF0E3D">
      <w:pPr>
        <w:pStyle w:val="paragraph"/>
      </w:pPr>
      <w:r w:rsidRPr="009749EC">
        <w:tab/>
      </w:r>
      <w:r>
        <w:t>(cc)</w:t>
      </w:r>
      <w:r w:rsidRPr="009749EC">
        <w:tab/>
        <w:t>rule </w:t>
      </w:r>
      <w:r>
        <w:t>6.2</w:t>
      </w:r>
      <w:r w:rsidRPr="009749EC">
        <w:t>;</w:t>
      </w:r>
    </w:p>
    <w:p w14:paraId="42EF35C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(dd)</w:t>
      </w:r>
      <w:r w:rsidRPr="001151F8">
        <w:rPr>
          <w:color w:val="000000" w:themeColor="text1"/>
        </w:rPr>
        <w:tab/>
        <w:t>subrule </w:t>
      </w:r>
      <w:r>
        <w:rPr>
          <w:color w:val="000000" w:themeColor="text1"/>
        </w:rPr>
        <w:t>7.2(4)</w:t>
      </w:r>
      <w:r w:rsidRPr="001151F8">
        <w:rPr>
          <w:color w:val="000000" w:themeColor="text1"/>
        </w:rPr>
        <w:t>;</w:t>
      </w:r>
    </w:p>
    <w:p w14:paraId="6DEED5A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(ee)</w:t>
      </w:r>
      <w:r w:rsidRPr="001151F8">
        <w:rPr>
          <w:color w:val="000000" w:themeColor="text1"/>
        </w:rPr>
        <w:tab/>
        <w:t>subrule </w:t>
      </w:r>
      <w:r>
        <w:rPr>
          <w:color w:val="000000" w:themeColor="text1"/>
        </w:rPr>
        <w:t>7.2(6)</w:t>
      </w:r>
      <w:r w:rsidRPr="001151F8">
        <w:rPr>
          <w:color w:val="000000" w:themeColor="text1"/>
        </w:rPr>
        <w:t>;</w:t>
      </w:r>
    </w:p>
    <w:p w14:paraId="7E884B8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(ff)</w:t>
      </w:r>
      <w:r w:rsidRPr="001151F8">
        <w:rPr>
          <w:color w:val="000000" w:themeColor="text1"/>
        </w:rPr>
        <w:tab/>
        <w:t>subrule </w:t>
      </w:r>
      <w:r>
        <w:rPr>
          <w:color w:val="000000" w:themeColor="text1"/>
        </w:rPr>
        <w:t>7.2(7)</w:t>
      </w:r>
      <w:r w:rsidRPr="001151F8">
        <w:rPr>
          <w:color w:val="000000" w:themeColor="text1"/>
        </w:rPr>
        <w:t>;</w:t>
      </w:r>
    </w:p>
    <w:p w14:paraId="4DC55EDE"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(gg)</w:t>
      </w:r>
      <w:r w:rsidRPr="001151F8">
        <w:rPr>
          <w:color w:val="000000" w:themeColor="text1"/>
        </w:rPr>
        <w:tab/>
        <w:t>subrule </w:t>
      </w:r>
      <w:r>
        <w:rPr>
          <w:color w:val="000000" w:themeColor="text1"/>
        </w:rPr>
        <w:t>7.2(8)</w:t>
      </w:r>
      <w:r w:rsidRPr="001151F8">
        <w:rPr>
          <w:color w:val="000000" w:themeColor="text1"/>
        </w:rPr>
        <w:t>;</w:t>
      </w:r>
    </w:p>
    <w:p w14:paraId="27D53DBF" w14:textId="77777777" w:rsidR="00CF0E3D" w:rsidRDefault="00CF0E3D" w:rsidP="00CF0E3D">
      <w:pPr>
        <w:pStyle w:val="paragraph"/>
        <w:rPr>
          <w:color w:val="000000" w:themeColor="text1"/>
        </w:rPr>
      </w:pPr>
      <w:r w:rsidRPr="001151F8">
        <w:rPr>
          <w:color w:val="000000" w:themeColor="text1"/>
        </w:rPr>
        <w:tab/>
      </w:r>
      <w:r>
        <w:rPr>
          <w:color w:val="000000" w:themeColor="text1"/>
        </w:rPr>
        <w:t>(hh)</w:t>
      </w:r>
      <w:r w:rsidRPr="001151F8">
        <w:rPr>
          <w:color w:val="000000" w:themeColor="text1"/>
        </w:rPr>
        <w:tab/>
        <w:t>subrule </w:t>
      </w:r>
      <w:r>
        <w:rPr>
          <w:color w:val="000000" w:themeColor="text1"/>
        </w:rPr>
        <w:t>7.2(9)</w:t>
      </w:r>
      <w:r w:rsidRPr="001151F8">
        <w:rPr>
          <w:color w:val="000000" w:themeColor="text1"/>
        </w:rPr>
        <w:t>;</w:t>
      </w:r>
    </w:p>
    <w:p w14:paraId="7832B98E" w14:textId="4EEB88EF" w:rsidR="006134CE" w:rsidRPr="00693A57" w:rsidRDefault="006134CE" w:rsidP="006134CE">
      <w:pPr>
        <w:pStyle w:val="paragraph"/>
        <w:rPr>
          <w:color w:val="0000FF"/>
        </w:rPr>
      </w:pPr>
      <w:r w:rsidRPr="00693A57">
        <w:rPr>
          <w:color w:val="0000FF"/>
        </w:rPr>
        <w:tab/>
      </w:r>
      <w:r w:rsidR="005D59BA" w:rsidRPr="00693A57">
        <w:rPr>
          <w:color w:val="0000FF"/>
        </w:rPr>
        <w:t>(hha</w:t>
      </w:r>
      <w:r w:rsidRPr="00693A57">
        <w:rPr>
          <w:color w:val="0000FF"/>
        </w:rPr>
        <w:t>)</w:t>
      </w:r>
      <w:r w:rsidRPr="00693A57">
        <w:rPr>
          <w:color w:val="0000FF"/>
        </w:rPr>
        <w:tab/>
        <w:t>subrule 7</w:t>
      </w:r>
      <w:r w:rsidR="005D59BA" w:rsidRPr="00693A57">
        <w:rPr>
          <w:color w:val="0000FF"/>
        </w:rPr>
        <w:t>.</w:t>
      </w:r>
      <w:r w:rsidRPr="00693A57">
        <w:rPr>
          <w:color w:val="0000FF"/>
        </w:rPr>
        <w:t>3(3); </w:t>
      </w:r>
    </w:p>
    <w:p w14:paraId="61D916D5" w14:textId="3CF110A4" w:rsidR="006134CE" w:rsidRPr="00693A57" w:rsidRDefault="006134CE" w:rsidP="006134CE">
      <w:pPr>
        <w:pStyle w:val="paragraph"/>
        <w:rPr>
          <w:color w:val="0000FF"/>
        </w:rPr>
      </w:pPr>
      <w:r w:rsidRPr="00693A57">
        <w:rPr>
          <w:color w:val="0000FF"/>
        </w:rPr>
        <w:tab/>
        <w:t>(</w:t>
      </w:r>
      <w:r w:rsidR="005D59BA" w:rsidRPr="00693A57">
        <w:rPr>
          <w:color w:val="0000FF"/>
        </w:rPr>
        <w:t>hh</w:t>
      </w:r>
      <w:r w:rsidRPr="00693A57">
        <w:rPr>
          <w:color w:val="0000FF"/>
        </w:rPr>
        <w:t>a)</w:t>
      </w:r>
      <w:r w:rsidRPr="00693A57">
        <w:rPr>
          <w:color w:val="0000FF"/>
        </w:rPr>
        <w:tab/>
        <w:t>subrule 7</w:t>
      </w:r>
      <w:r w:rsidR="005D59BA" w:rsidRPr="00693A57">
        <w:rPr>
          <w:color w:val="0000FF"/>
        </w:rPr>
        <w:t>.</w:t>
      </w:r>
      <w:r w:rsidRPr="00693A57">
        <w:rPr>
          <w:color w:val="0000FF"/>
        </w:rPr>
        <w:t>3A(1); </w:t>
      </w:r>
    </w:p>
    <w:p w14:paraId="7C5D776E" w14:textId="474C8B4D" w:rsidR="006134CE" w:rsidRPr="00693A57" w:rsidRDefault="006134CE" w:rsidP="006134CE">
      <w:pPr>
        <w:pStyle w:val="paragraph"/>
        <w:rPr>
          <w:color w:val="FF0000"/>
        </w:rPr>
      </w:pPr>
      <w:r w:rsidRPr="00693A57">
        <w:rPr>
          <w:color w:val="FF0000"/>
        </w:rPr>
        <w:tab/>
        <w:t>(</w:t>
      </w:r>
      <w:r w:rsidR="005D59BA" w:rsidRPr="00693A57">
        <w:rPr>
          <w:color w:val="FF0000"/>
        </w:rPr>
        <w:t>hhc</w:t>
      </w:r>
      <w:r w:rsidRPr="00693A57">
        <w:rPr>
          <w:color w:val="FF0000"/>
        </w:rPr>
        <w:t>)</w:t>
      </w:r>
      <w:r w:rsidRPr="00693A57">
        <w:rPr>
          <w:color w:val="FF0000"/>
        </w:rPr>
        <w:tab/>
        <w:t>rule 73B; </w:t>
      </w:r>
    </w:p>
    <w:p w14:paraId="3AAE8CB9"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(ii)</w:t>
      </w:r>
      <w:r w:rsidRPr="001151F8">
        <w:rPr>
          <w:color w:val="000000" w:themeColor="text1"/>
        </w:rPr>
        <w:tab/>
        <w:t>subrule </w:t>
      </w:r>
      <w:r>
        <w:rPr>
          <w:color w:val="000000" w:themeColor="text1"/>
        </w:rPr>
        <w:t>7.6(1)</w:t>
      </w:r>
      <w:r w:rsidRPr="001151F8">
        <w:rPr>
          <w:color w:val="000000" w:themeColor="text1"/>
        </w:rPr>
        <w:t>;</w:t>
      </w:r>
    </w:p>
    <w:p w14:paraId="5C5E58C5" w14:textId="46F03A86" w:rsidR="006134CE" w:rsidRPr="00693A57" w:rsidRDefault="00CF0E3D" w:rsidP="006134CE">
      <w:pPr>
        <w:pStyle w:val="paragraph"/>
        <w:rPr>
          <w:color w:val="0000FF"/>
        </w:rPr>
      </w:pPr>
      <w:r w:rsidRPr="001151F8">
        <w:rPr>
          <w:color w:val="000000" w:themeColor="text1"/>
        </w:rPr>
        <w:tab/>
      </w:r>
      <w:r w:rsidR="005D59BA" w:rsidRPr="00693A57">
        <w:rPr>
          <w:color w:val="0000FF"/>
        </w:rPr>
        <w:t>(iia</w:t>
      </w:r>
      <w:r w:rsidR="006134CE" w:rsidRPr="00693A57">
        <w:rPr>
          <w:color w:val="0000FF"/>
        </w:rPr>
        <w:t>)</w:t>
      </w:r>
      <w:r w:rsidR="006134CE" w:rsidRPr="00693A57">
        <w:rPr>
          <w:color w:val="0000FF"/>
        </w:rPr>
        <w:tab/>
        <w:t>subrule </w:t>
      </w:r>
      <w:r w:rsidR="005D59BA" w:rsidRPr="00693A57">
        <w:rPr>
          <w:color w:val="0000FF"/>
        </w:rPr>
        <w:t>7.</w:t>
      </w:r>
      <w:r w:rsidR="006134CE" w:rsidRPr="00693A57">
        <w:rPr>
          <w:color w:val="0000FF"/>
        </w:rPr>
        <w:t>10A(1); </w:t>
      </w:r>
    </w:p>
    <w:p w14:paraId="555961DC" w14:textId="1AFEC76D" w:rsidR="00CF0E3D" w:rsidRPr="001151F8" w:rsidRDefault="006134CE" w:rsidP="006134CE">
      <w:pPr>
        <w:pStyle w:val="paragraph"/>
        <w:rPr>
          <w:color w:val="000000" w:themeColor="text1"/>
        </w:rPr>
      </w:pPr>
      <w:r>
        <w:rPr>
          <w:color w:val="000000" w:themeColor="text1"/>
        </w:rPr>
        <w:t xml:space="preserve"> </w:t>
      </w:r>
      <w:r>
        <w:rPr>
          <w:color w:val="000000" w:themeColor="text1"/>
        </w:rPr>
        <w:tab/>
      </w:r>
      <w:r w:rsidR="00CF0E3D">
        <w:rPr>
          <w:color w:val="000000" w:themeColor="text1"/>
        </w:rPr>
        <w:t>(jj)</w:t>
      </w:r>
      <w:r w:rsidR="00CF0E3D" w:rsidRPr="001151F8">
        <w:rPr>
          <w:color w:val="000000" w:themeColor="text1"/>
        </w:rPr>
        <w:tab/>
        <w:t>subrule </w:t>
      </w:r>
      <w:r w:rsidR="00CF0E3D">
        <w:rPr>
          <w:color w:val="000000" w:themeColor="text1"/>
        </w:rPr>
        <w:t>7.14(1)</w:t>
      </w:r>
      <w:r w:rsidR="00CF0E3D" w:rsidRPr="001151F8">
        <w:rPr>
          <w:color w:val="000000" w:themeColor="text1"/>
        </w:rPr>
        <w:t>;</w:t>
      </w:r>
    </w:p>
    <w:p w14:paraId="610C07CA"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(kk)</w:t>
      </w:r>
      <w:r w:rsidRPr="001151F8">
        <w:rPr>
          <w:color w:val="000000" w:themeColor="text1"/>
        </w:rPr>
        <w:tab/>
        <w:t xml:space="preserve">subrule </w:t>
      </w:r>
      <w:r>
        <w:rPr>
          <w:color w:val="000000" w:themeColor="text1"/>
        </w:rPr>
        <w:t>7.14(2)</w:t>
      </w:r>
      <w:r w:rsidRPr="001151F8">
        <w:rPr>
          <w:color w:val="000000" w:themeColor="text1"/>
        </w:rPr>
        <w:t>;</w:t>
      </w:r>
    </w:p>
    <w:p w14:paraId="0DFC051D" w14:textId="090205EB" w:rsidR="005D59BA" w:rsidRPr="00693A57" w:rsidRDefault="00CF0E3D" w:rsidP="005D59BA">
      <w:pPr>
        <w:pStyle w:val="paragraph"/>
        <w:rPr>
          <w:color w:val="0000FF"/>
        </w:rPr>
      </w:pPr>
      <w:r w:rsidRPr="001151F8">
        <w:rPr>
          <w:color w:val="000000" w:themeColor="text1"/>
        </w:rPr>
        <w:tab/>
      </w:r>
      <w:r w:rsidR="005D59BA" w:rsidRPr="00693A57">
        <w:rPr>
          <w:color w:val="0000FF"/>
        </w:rPr>
        <w:t>(kka)</w:t>
      </w:r>
      <w:r w:rsidR="005D59BA" w:rsidRPr="00693A57">
        <w:rPr>
          <w:color w:val="0000FF"/>
        </w:rPr>
        <w:tab/>
        <w:t>subrule 7.16(1); </w:t>
      </w:r>
    </w:p>
    <w:p w14:paraId="2593CC8A" w14:textId="3BAC03E1" w:rsidR="00CF0E3D" w:rsidRPr="001151F8" w:rsidRDefault="005D59BA" w:rsidP="005D59BA">
      <w:pPr>
        <w:pStyle w:val="paragraph"/>
        <w:rPr>
          <w:color w:val="000000" w:themeColor="text1"/>
        </w:rPr>
      </w:pPr>
      <w:r>
        <w:rPr>
          <w:color w:val="000000" w:themeColor="text1"/>
        </w:rPr>
        <w:t xml:space="preserve"> </w:t>
      </w:r>
      <w:r>
        <w:rPr>
          <w:color w:val="000000" w:themeColor="text1"/>
        </w:rPr>
        <w:tab/>
      </w:r>
      <w:r w:rsidR="00CF0E3D">
        <w:rPr>
          <w:color w:val="000000" w:themeColor="text1"/>
        </w:rPr>
        <w:t>(ll)</w:t>
      </w:r>
      <w:r w:rsidR="00CF0E3D" w:rsidRPr="001151F8">
        <w:rPr>
          <w:color w:val="000000" w:themeColor="text1"/>
        </w:rPr>
        <w:tab/>
        <w:t>subrule </w:t>
      </w:r>
      <w:r w:rsidR="00CF0E3D">
        <w:rPr>
          <w:color w:val="000000" w:themeColor="text1"/>
        </w:rPr>
        <w:t>9.6(4)</w:t>
      </w:r>
      <w:r w:rsidR="00CF0E3D" w:rsidRPr="001151F8">
        <w:rPr>
          <w:color w:val="000000" w:themeColor="text1"/>
        </w:rPr>
        <w:t>;</w:t>
      </w:r>
    </w:p>
    <w:p w14:paraId="321AA32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(mm)</w:t>
      </w:r>
      <w:r w:rsidRPr="001151F8">
        <w:rPr>
          <w:color w:val="000000" w:themeColor="text1"/>
        </w:rPr>
        <w:tab/>
        <w:t>subrule </w:t>
      </w:r>
      <w:r>
        <w:rPr>
          <w:color w:val="000000" w:themeColor="text1"/>
        </w:rPr>
        <w:t>9.7(3)</w:t>
      </w:r>
      <w:r w:rsidRPr="001151F8">
        <w:rPr>
          <w:color w:val="000000" w:themeColor="text1"/>
        </w:rPr>
        <w:t>;</w:t>
      </w:r>
    </w:p>
    <w:p w14:paraId="42F1BA8D" w14:textId="77777777" w:rsidR="00CF0E3D" w:rsidRPr="00693A57" w:rsidRDefault="00CF0E3D" w:rsidP="00CF0E3D">
      <w:pPr>
        <w:pStyle w:val="paragraph"/>
        <w:rPr>
          <w:strike/>
          <w:color w:val="0000FF"/>
        </w:rPr>
      </w:pPr>
      <w:r>
        <w:rPr>
          <w:color w:val="000000" w:themeColor="text1"/>
        </w:rPr>
        <w:tab/>
      </w:r>
      <w:r w:rsidRPr="00693A57">
        <w:rPr>
          <w:strike/>
          <w:color w:val="0000FF"/>
        </w:rPr>
        <w:t>(nn)</w:t>
      </w:r>
      <w:r w:rsidRPr="00693A57">
        <w:rPr>
          <w:strike/>
          <w:color w:val="0000FF"/>
        </w:rPr>
        <w:tab/>
        <w:t>subclause 4.6(1) of Schedule 3;</w:t>
      </w:r>
    </w:p>
    <w:p w14:paraId="4E8E9394" w14:textId="77777777" w:rsidR="00CF0E3D" w:rsidRPr="00693A57" w:rsidRDefault="00CF0E3D" w:rsidP="00CF0E3D">
      <w:pPr>
        <w:pStyle w:val="paragraph"/>
        <w:rPr>
          <w:strike/>
          <w:color w:val="0000FF"/>
        </w:rPr>
      </w:pPr>
      <w:r w:rsidRPr="00693A57">
        <w:rPr>
          <w:strike/>
          <w:color w:val="0000FF"/>
        </w:rPr>
        <w:tab/>
        <w:t>(oo)</w:t>
      </w:r>
      <w:r w:rsidRPr="00693A57">
        <w:rPr>
          <w:strike/>
          <w:color w:val="0000FF"/>
        </w:rPr>
        <w:tab/>
        <w:t>subclause 4.7(2) of Schedule 3;</w:t>
      </w:r>
    </w:p>
    <w:p w14:paraId="4EC0853B" w14:textId="77777777" w:rsidR="00CF0E3D" w:rsidRPr="00693A57" w:rsidRDefault="00CF0E3D" w:rsidP="00CF0E3D">
      <w:pPr>
        <w:pStyle w:val="paragraph"/>
        <w:rPr>
          <w:strike/>
          <w:color w:val="0000FF"/>
        </w:rPr>
      </w:pPr>
      <w:r w:rsidRPr="00693A57">
        <w:rPr>
          <w:strike/>
          <w:color w:val="0000FF"/>
        </w:rPr>
        <w:lastRenderedPageBreak/>
        <w:tab/>
        <w:t>(pp)</w:t>
      </w:r>
      <w:r w:rsidRPr="00693A57">
        <w:rPr>
          <w:strike/>
          <w:color w:val="0000FF"/>
        </w:rPr>
        <w:tab/>
        <w:t>subclause 4.10(2) of Schedule 3;</w:t>
      </w:r>
    </w:p>
    <w:p w14:paraId="4AC41AEC" w14:textId="77777777" w:rsidR="00CF0E3D" w:rsidRPr="00693A57" w:rsidRDefault="00CF0E3D" w:rsidP="00CF0E3D">
      <w:pPr>
        <w:pStyle w:val="paragraph"/>
        <w:rPr>
          <w:strike/>
          <w:color w:val="0000FF"/>
        </w:rPr>
      </w:pPr>
      <w:r w:rsidRPr="00693A57">
        <w:rPr>
          <w:strike/>
          <w:color w:val="0000FF"/>
        </w:rPr>
        <w:tab/>
        <w:t>(qq)</w:t>
      </w:r>
      <w:r w:rsidRPr="00693A57">
        <w:rPr>
          <w:strike/>
          <w:color w:val="0000FF"/>
        </w:rPr>
        <w:tab/>
        <w:t>subclause 4.14(1) of Schedule 3;</w:t>
      </w:r>
    </w:p>
    <w:p w14:paraId="6049BE8D" w14:textId="77777777" w:rsidR="00CF0E3D" w:rsidRPr="00693A57" w:rsidRDefault="00CF0E3D" w:rsidP="00CF0E3D">
      <w:pPr>
        <w:pStyle w:val="paragraph"/>
        <w:rPr>
          <w:strike/>
          <w:color w:val="0000FF"/>
        </w:rPr>
      </w:pPr>
      <w:r w:rsidRPr="00693A57">
        <w:rPr>
          <w:strike/>
          <w:color w:val="0000FF"/>
        </w:rPr>
        <w:tab/>
        <w:t>(rr)</w:t>
      </w:r>
      <w:r w:rsidRPr="00693A57">
        <w:rPr>
          <w:strike/>
          <w:color w:val="0000FF"/>
        </w:rPr>
        <w:tab/>
        <w:t>subclause 4.16(1)of Schedule 3;</w:t>
      </w:r>
    </w:p>
    <w:p w14:paraId="082019DE" w14:textId="77777777" w:rsidR="00CF0E3D" w:rsidRPr="00693A57" w:rsidRDefault="00CF0E3D" w:rsidP="00CF0E3D">
      <w:pPr>
        <w:pStyle w:val="paragraph"/>
        <w:rPr>
          <w:strike/>
          <w:color w:val="0000FF"/>
        </w:rPr>
      </w:pPr>
      <w:r w:rsidRPr="00693A57">
        <w:rPr>
          <w:strike/>
          <w:color w:val="0000FF"/>
        </w:rPr>
        <w:tab/>
        <w:t>(ss)</w:t>
      </w:r>
      <w:r w:rsidRPr="00693A57">
        <w:rPr>
          <w:strike/>
          <w:color w:val="0000FF"/>
        </w:rPr>
        <w:tab/>
        <w:t>subclause 4.16(2) of Schedule 3.</w:t>
      </w:r>
    </w:p>
    <w:p w14:paraId="528D09AD" w14:textId="6087B235" w:rsidR="00CF0E3D" w:rsidRPr="00A276A9" w:rsidRDefault="00CF0E3D" w:rsidP="00CF0E3D">
      <w:pPr>
        <w:pStyle w:val="notetext"/>
      </w:pPr>
      <w:r w:rsidRPr="00F918B2">
        <w:t>Note:</w:t>
      </w:r>
      <w:r w:rsidRPr="00F918B2">
        <w:tab/>
      </w:r>
      <w:r w:rsidRPr="00F918B2">
        <w:rPr>
          <w:bCs/>
          <w:lang w:val="en-US"/>
        </w:rPr>
        <w:t xml:space="preserve">Subrules </w:t>
      </w:r>
      <w:r>
        <w:rPr>
          <w:color w:val="000000" w:themeColor="text1"/>
        </w:rPr>
        <w:t xml:space="preserve">2.5(2), 3.5(2), 4.7(3), 5.25(3), 5.25(5), 5.34(4), </w:t>
      </w:r>
      <w:r>
        <w:rPr>
          <w:bCs/>
          <w:lang w:val="en-US"/>
        </w:rPr>
        <w:t>9.3(1)</w:t>
      </w:r>
      <w:r w:rsidRPr="00F918B2">
        <w:rPr>
          <w:bCs/>
          <w:lang w:val="en-US"/>
        </w:rPr>
        <w:t xml:space="preserve">, </w:t>
      </w:r>
      <w:r>
        <w:rPr>
          <w:bCs/>
          <w:lang w:val="en-US"/>
        </w:rPr>
        <w:t>9.3(2)</w:t>
      </w:r>
      <w:r w:rsidRPr="00F918B2">
        <w:rPr>
          <w:bCs/>
          <w:lang w:val="en-US"/>
        </w:rPr>
        <w:t xml:space="preserve">, </w:t>
      </w:r>
      <w:r>
        <w:rPr>
          <w:bCs/>
          <w:lang w:val="en-US"/>
        </w:rPr>
        <w:t>9.3(5)</w:t>
      </w:r>
      <w:r w:rsidRPr="00F918B2">
        <w:rPr>
          <w:bCs/>
          <w:lang w:val="en-US"/>
        </w:rPr>
        <w:t xml:space="preserve">, </w:t>
      </w:r>
      <w:r>
        <w:rPr>
          <w:bCs/>
          <w:lang w:val="en-US"/>
        </w:rPr>
        <w:t>9.4(1)</w:t>
      </w:r>
      <w:r w:rsidR="005D59BA" w:rsidRPr="005D59BA">
        <w:rPr>
          <w:bCs/>
          <w:lang w:val="en-US"/>
        </w:rPr>
        <w:t xml:space="preserve"> </w:t>
      </w:r>
      <w:r w:rsidR="005D59BA">
        <w:rPr>
          <w:bCs/>
          <w:lang w:val="en-US"/>
        </w:rPr>
        <w:t>)</w:t>
      </w:r>
      <w:r w:rsidR="005D59BA" w:rsidRPr="00693A57">
        <w:rPr>
          <w:bCs/>
          <w:color w:val="FF0000"/>
          <w:lang w:val="en-US"/>
        </w:rPr>
        <w:t>, 9.4(1)</w:t>
      </w:r>
      <w:r w:rsidRPr="00F918B2">
        <w:rPr>
          <w:bCs/>
          <w:lang w:val="en-US"/>
        </w:rPr>
        <w:t xml:space="preserve">, </w:t>
      </w:r>
      <w:r>
        <w:rPr>
          <w:bCs/>
          <w:lang w:val="en-US"/>
        </w:rPr>
        <w:t>9.4</w:t>
      </w:r>
      <w:r>
        <w:t>(2)</w:t>
      </w:r>
      <w:r w:rsidRPr="00F918B2">
        <w:rPr>
          <w:bCs/>
          <w:lang w:val="en-US"/>
        </w:rPr>
        <w:t xml:space="preserve">, </w:t>
      </w:r>
      <w:r>
        <w:rPr>
          <w:bCs/>
          <w:lang w:val="en-US"/>
        </w:rPr>
        <w:t>9.4(3)</w:t>
      </w:r>
      <w:r w:rsidRPr="00F918B2">
        <w:rPr>
          <w:bCs/>
          <w:lang w:val="en-US"/>
        </w:rPr>
        <w:t xml:space="preserve">, </w:t>
      </w:r>
      <w:r>
        <w:rPr>
          <w:bCs/>
          <w:lang w:val="en-US"/>
        </w:rPr>
        <w:t>9.5(4)</w:t>
      </w:r>
      <w:r w:rsidRPr="00F918B2">
        <w:rPr>
          <w:bCs/>
          <w:lang w:val="en-US"/>
        </w:rPr>
        <w:t xml:space="preserve">, </w:t>
      </w:r>
      <w:r>
        <w:rPr>
          <w:bCs/>
          <w:lang w:val="en-US"/>
        </w:rPr>
        <w:t>9.5(5)</w:t>
      </w:r>
      <w:r w:rsidRPr="00F918B2">
        <w:rPr>
          <w:bCs/>
          <w:lang w:val="en-US"/>
        </w:rPr>
        <w:t xml:space="preserve"> and </w:t>
      </w:r>
      <w:r>
        <w:rPr>
          <w:bCs/>
          <w:lang w:val="en-US"/>
        </w:rPr>
        <w:t>9.5(6)</w:t>
      </w:r>
      <w:r w:rsidRPr="00F918B2">
        <w:rPr>
          <w:bCs/>
          <w:lang w:val="en-US"/>
        </w:rPr>
        <w:t xml:space="preserve"> are also civil penalty provisions within the meaning of the Regulatory Powers Act.</w:t>
      </w:r>
      <w:r>
        <w:rPr>
          <w:bCs/>
          <w:lang w:val="en-US"/>
        </w:rPr>
        <w:t xml:space="preserve"> </w:t>
      </w:r>
    </w:p>
    <w:p w14:paraId="07B91C40" w14:textId="77777777" w:rsidR="00CF0E3D" w:rsidRDefault="00CF0E3D" w:rsidP="00CF0E3D">
      <w:pPr>
        <w:pStyle w:val="subsection"/>
        <w:sectPr w:rsidR="00CF0E3D" w:rsidSect="002B25A2">
          <w:headerReference w:type="default" r:id="rId22"/>
          <w:pgSz w:w="11907" w:h="16839" w:code="9"/>
          <w:pgMar w:top="2234" w:right="1797" w:bottom="1440" w:left="1797" w:header="720" w:footer="709" w:gutter="0"/>
          <w:cols w:space="708"/>
          <w:docGrid w:linePitch="360"/>
        </w:sectPr>
      </w:pPr>
    </w:p>
    <w:p w14:paraId="637D7407" w14:textId="1CD9D41C" w:rsidR="00CF0E3D" w:rsidRDefault="00CF0E3D" w:rsidP="00CF0E3D">
      <w:pPr>
        <w:pStyle w:val="ActHead6"/>
      </w:pPr>
      <w:bookmarkStart w:id="559" w:name="_Toc77065056"/>
      <w:r>
        <w:lastRenderedPageBreak/>
        <w:t>Schedule 1</w:t>
      </w:r>
      <w:r w:rsidRPr="00956176">
        <w:t>—Default conditions on accreditations</w:t>
      </w:r>
      <w:bookmarkEnd w:id="559"/>
    </w:p>
    <w:p w14:paraId="5ED913E5" w14:textId="63B2480A" w:rsidR="00CF0E3D" w:rsidRPr="00956176" w:rsidRDefault="00CF0E3D" w:rsidP="00CF0E3D">
      <w:pPr>
        <w:pStyle w:val="ActHead2"/>
      </w:pPr>
      <w:bookmarkStart w:id="560" w:name="_Toc77065057"/>
      <w:r>
        <w:t>Part 1</w:t>
      </w:r>
      <w:r w:rsidRPr="00956176">
        <w:t>—Preliminary</w:t>
      </w:r>
      <w:bookmarkEnd w:id="560"/>
    </w:p>
    <w:p w14:paraId="48DD32D9" w14:textId="776E20A4" w:rsidR="00CF0E3D" w:rsidRPr="00956176" w:rsidRDefault="00CF0E3D" w:rsidP="00CF0E3D">
      <w:pPr>
        <w:pStyle w:val="ActHead5"/>
      </w:pPr>
      <w:bookmarkStart w:id="561" w:name="_Toc77065058"/>
      <w:r>
        <w:t>1.1</w:t>
      </w:r>
      <w:r w:rsidRPr="00956176">
        <w:t xml:space="preserve">  Purpose of Schedule</w:t>
      </w:r>
      <w:bookmarkEnd w:id="561"/>
    </w:p>
    <w:p w14:paraId="68F495EE" w14:textId="77777777" w:rsidR="00CF0E3D" w:rsidRPr="00956176" w:rsidRDefault="00CF0E3D" w:rsidP="00CF0E3D">
      <w:pPr>
        <w:pStyle w:val="subsection"/>
      </w:pPr>
      <w:r w:rsidRPr="00956176">
        <w:tab/>
      </w:r>
      <w:r w:rsidRPr="00956176">
        <w:tab/>
        <w:t>This Schedule sets out the default conditions on accreditations, for rule </w:t>
      </w:r>
      <w:r>
        <w:t xml:space="preserve">5.9 </w:t>
      </w:r>
      <w:r w:rsidRPr="00E1300D">
        <w:rPr>
          <w:color w:val="000000" w:themeColor="text1"/>
        </w:rPr>
        <w:t>of these rules</w:t>
      </w:r>
      <w:r w:rsidRPr="00956176">
        <w:t>.</w:t>
      </w:r>
    </w:p>
    <w:p w14:paraId="59BE0E91" w14:textId="5ECE3034" w:rsidR="00CF0E3D" w:rsidRDefault="00CF0E3D" w:rsidP="00CF0E3D">
      <w:pPr>
        <w:pStyle w:val="ActHead2"/>
      </w:pPr>
      <w:bookmarkStart w:id="562" w:name="_Toc77065059"/>
      <w:r>
        <w:t>Part 2</w:t>
      </w:r>
      <w:r w:rsidRPr="00956176">
        <w:t>—Default conditions on accreditations</w:t>
      </w:r>
      <w:bookmarkEnd w:id="562"/>
    </w:p>
    <w:p w14:paraId="6C2D012B" w14:textId="77777777" w:rsidR="008D47AA" w:rsidRPr="00693A57" w:rsidRDefault="008D47AA" w:rsidP="008D47AA">
      <w:pPr>
        <w:pStyle w:val="ActHead5"/>
        <w:rPr>
          <w:color w:val="FF0000"/>
        </w:rPr>
      </w:pPr>
      <w:bookmarkStart w:id="563" w:name="_Toc77065060"/>
      <w:bookmarkStart w:id="564" w:name="_Toc17450943"/>
      <w:r w:rsidRPr="00693A57">
        <w:rPr>
          <w:color w:val="FF0000"/>
        </w:rPr>
        <w:t>2.1  Ongoing reporting obligation on accredited persons without streamlined accreditation</w:t>
      </w:r>
      <w:bookmarkEnd w:id="563"/>
    </w:p>
    <w:p w14:paraId="6B41BAD9" w14:textId="1592AE28" w:rsidR="00CF0E3D" w:rsidRPr="00693A57" w:rsidRDefault="00CF0E3D" w:rsidP="00CF0E3D">
      <w:pPr>
        <w:pStyle w:val="ActHead5"/>
        <w:rPr>
          <w:strike/>
          <w:color w:val="FF0000"/>
        </w:rPr>
      </w:pPr>
      <w:bookmarkStart w:id="565" w:name="_Toc77065061"/>
      <w:r w:rsidRPr="00693A57">
        <w:rPr>
          <w:strike/>
          <w:color w:val="FF0000"/>
        </w:rPr>
        <w:t>2.1  Ongoing reporting obligation on accredited persons</w:t>
      </w:r>
      <w:bookmarkEnd w:id="564"/>
      <w:bookmarkEnd w:id="565"/>
      <w:r w:rsidR="00AF540C" w:rsidRPr="00693A57">
        <w:rPr>
          <w:strike/>
          <w:color w:val="FF0000"/>
        </w:rPr>
        <w:t xml:space="preserve"> </w:t>
      </w:r>
    </w:p>
    <w:p w14:paraId="5B71C234" w14:textId="63BCE464" w:rsidR="00AF540C" w:rsidRPr="00693A57" w:rsidRDefault="00AF540C" w:rsidP="00AF540C">
      <w:pPr>
        <w:pStyle w:val="subsection"/>
        <w:rPr>
          <w:color w:val="FF0000"/>
        </w:rPr>
      </w:pPr>
      <w:r w:rsidRPr="00693A57">
        <w:rPr>
          <w:color w:val="FF0000"/>
        </w:rPr>
        <w:tab/>
        <w:t>(1A)</w:t>
      </w:r>
      <w:r w:rsidRPr="00693A57">
        <w:rPr>
          <w:color w:val="FF0000"/>
        </w:rPr>
        <w:tab/>
        <w:t xml:space="preserve">This clause applies to an accredited person other than one with streamlined accreditation under rule </w:t>
      </w:r>
      <w:r w:rsidR="00CE2860" w:rsidRPr="00693A57">
        <w:rPr>
          <w:color w:val="FF0000"/>
        </w:rPr>
        <w:t>5.5.</w:t>
      </w:r>
    </w:p>
    <w:p w14:paraId="53A9FF6E" w14:textId="77777777" w:rsidR="00CF0E3D" w:rsidRPr="00ED5E97" w:rsidRDefault="00CF0E3D" w:rsidP="00CF0E3D">
      <w:pPr>
        <w:pStyle w:val="subsection"/>
      </w:pPr>
      <w:r w:rsidRPr="00ED5E97">
        <w:tab/>
        <w:t>(1)</w:t>
      </w:r>
      <w:r w:rsidRPr="00ED5E97">
        <w:tab/>
        <w:t>In this clause:</w:t>
      </w:r>
    </w:p>
    <w:p w14:paraId="3BB90EAE" w14:textId="77777777" w:rsidR="00CF0E3D" w:rsidRDefault="00CF0E3D" w:rsidP="00CF0E3D">
      <w:pPr>
        <w:pStyle w:val="Definition"/>
      </w:pPr>
      <w:r w:rsidRPr="00ED5E97">
        <w:t>ASAE followed by a number means the standard with</w:t>
      </w:r>
      <w:r>
        <w:t xml:space="preserve"> that number issued by the Auditing and Assurance Standards Board of the Australian Government (AUASB). </w:t>
      </w:r>
    </w:p>
    <w:p w14:paraId="4574FC62" w14:textId="77777777" w:rsidR="00CF0E3D" w:rsidRDefault="00CF0E3D" w:rsidP="00CF0E3D">
      <w:pPr>
        <w:pStyle w:val="Definition"/>
      </w:pPr>
      <w:r w:rsidRPr="00CA7872">
        <w:rPr>
          <w:b/>
          <w:i/>
        </w:rPr>
        <w:t>approved</w:t>
      </w:r>
      <w:r w:rsidRPr="00CA7872">
        <w:t xml:space="preserve"> means approved for the purposes of this clause in guidelines issued by the Data Recipient Accreditor.</w:t>
      </w:r>
    </w:p>
    <w:p w14:paraId="5DBCC4BC" w14:textId="77777777" w:rsidR="00B82353" w:rsidRPr="00693A57" w:rsidRDefault="00B82353" w:rsidP="00B82353">
      <w:pPr>
        <w:pStyle w:val="Definition"/>
        <w:rPr>
          <w:color w:val="0000FF"/>
        </w:rPr>
      </w:pPr>
      <w:r w:rsidRPr="00693A57">
        <w:rPr>
          <w:b/>
          <w:i/>
          <w:color w:val="0000FF"/>
        </w:rPr>
        <w:t xml:space="preserve">assurance report </w:t>
      </w:r>
      <w:r w:rsidRPr="00693A57">
        <w:rPr>
          <w:color w:val="0000FF"/>
        </w:rPr>
        <w:t>means:</w:t>
      </w:r>
    </w:p>
    <w:p w14:paraId="2DD4521D" w14:textId="77777777" w:rsidR="00B82353" w:rsidRPr="00693A57" w:rsidRDefault="00B82353" w:rsidP="00B82353">
      <w:pPr>
        <w:pStyle w:val="paragraph"/>
        <w:rPr>
          <w:color w:val="0000FF"/>
        </w:rPr>
      </w:pPr>
      <w:r w:rsidRPr="00693A57">
        <w:rPr>
          <w:color w:val="0000FF"/>
        </w:rPr>
        <w:tab/>
        <w:t>(a)</w:t>
      </w:r>
      <w:r w:rsidRPr="00693A57">
        <w:rPr>
          <w:color w:val="0000FF"/>
        </w:rPr>
        <w:tab/>
        <w:t xml:space="preserve">for a person with unrestricted accreditation—a report that is made in accordance with: </w:t>
      </w:r>
    </w:p>
    <w:p w14:paraId="455EF901" w14:textId="77777777" w:rsidR="00B82353" w:rsidRPr="00693A57" w:rsidRDefault="00B82353" w:rsidP="00B82353">
      <w:pPr>
        <w:pStyle w:val="paragraphsub"/>
        <w:rPr>
          <w:color w:val="0000FF"/>
        </w:rPr>
      </w:pPr>
      <w:r w:rsidRPr="00693A57">
        <w:rPr>
          <w:color w:val="0000FF"/>
        </w:rPr>
        <w:tab/>
        <w:t>(i)</w:t>
      </w:r>
      <w:r w:rsidRPr="00693A57">
        <w:rPr>
          <w:color w:val="0000FF"/>
        </w:rPr>
        <w:tab/>
        <w:t>ASAE 3150; or</w:t>
      </w:r>
    </w:p>
    <w:p w14:paraId="6783665D" w14:textId="77777777" w:rsidR="00B82353" w:rsidRPr="00693A57" w:rsidRDefault="00B82353" w:rsidP="00B82353">
      <w:pPr>
        <w:pStyle w:val="paragraphsub"/>
        <w:rPr>
          <w:color w:val="0000FF"/>
        </w:rPr>
      </w:pPr>
      <w:r w:rsidRPr="00693A57">
        <w:rPr>
          <w:color w:val="0000FF"/>
        </w:rPr>
        <w:tab/>
        <w:t>(ii)</w:t>
      </w:r>
      <w:r w:rsidRPr="00693A57">
        <w:rPr>
          <w:color w:val="0000FF"/>
        </w:rPr>
        <w:tab/>
        <w:t>an approved standard, report or framework; and</w:t>
      </w:r>
      <w:r w:rsidRPr="00693A57">
        <w:rPr>
          <w:color w:val="0000FF"/>
        </w:rPr>
        <w:tab/>
      </w:r>
    </w:p>
    <w:p w14:paraId="36FAF72B" w14:textId="77777777" w:rsidR="00B82353" w:rsidRPr="00693A57" w:rsidRDefault="00B82353" w:rsidP="00B82353">
      <w:pPr>
        <w:pStyle w:val="notetext"/>
        <w:rPr>
          <w:color w:val="0000FF"/>
        </w:rPr>
      </w:pPr>
      <w:r w:rsidRPr="00693A57">
        <w:rPr>
          <w:color w:val="0000FF"/>
        </w:rPr>
        <w:t>Note:</w:t>
      </w:r>
      <w:r w:rsidRPr="00693A57">
        <w:rPr>
          <w:color w:val="0000FF"/>
        </w:rPr>
        <w:tab/>
        <w:t xml:space="preserve">See the </w:t>
      </w:r>
      <w:r w:rsidRPr="00693A57">
        <w:rPr>
          <w:i/>
          <w:color w:val="0000FF"/>
        </w:rPr>
        <w:t>CDR Accreditation Guidelines</w:t>
      </w:r>
      <w:r w:rsidRPr="00693A57">
        <w:rPr>
          <w:color w:val="0000FF"/>
        </w:rPr>
        <w:t>, which could in 2020 be downloaded from the Commission’s website (</w:t>
      </w:r>
      <w:r w:rsidRPr="00693A57">
        <w:rPr>
          <w:rStyle w:val="Hyperlink"/>
          <w:color w:val="0000FF"/>
        </w:rPr>
        <w:t>https://www.accc.gov.au</w:t>
      </w:r>
      <w:r w:rsidRPr="00693A57">
        <w:rPr>
          <w:color w:val="0000FF"/>
        </w:rPr>
        <w:t>).</w:t>
      </w:r>
    </w:p>
    <w:p w14:paraId="54E9105A" w14:textId="77777777" w:rsidR="00B82353" w:rsidRPr="00693A57" w:rsidRDefault="00B82353" w:rsidP="00B82353">
      <w:pPr>
        <w:pStyle w:val="notetext"/>
        <w:rPr>
          <w:color w:val="0000FF"/>
        </w:rPr>
      </w:pPr>
      <w:r w:rsidRPr="00693A57">
        <w:rPr>
          <w:color w:val="0000FF"/>
        </w:rPr>
        <w:tab/>
        <w:t xml:space="preserve">ASAE 3150 </w:t>
      </w:r>
      <w:r w:rsidRPr="00693A57">
        <w:rPr>
          <w:rFonts w:eastAsiaTheme="minorHAnsi"/>
          <w:color w:val="0000FF"/>
        </w:rPr>
        <w:t>could in 2020 be downloaded from the Auditing and Assurance Standards Board’s website (https://www.auasb.gov.au/admin/file/content102/c3/Jan15_ASAE_3150_Assurance_Engagements_on_Controls.pdf).</w:t>
      </w:r>
    </w:p>
    <w:p w14:paraId="0C251D79" w14:textId="77777777" w:rsidR="00B82353" w:rsidRPr="00693A57" w:rsidRDefault="00B82353" w:rsidP="00B82353">
      <w:pPr>
        <w:pStyle w:val="paragraph"/>
        <w:rPr>
          <w:color w:val="0000FF"/>
        </w:rPr>
      </w:pPr>
      <w:r w:rsidRPr="00693A57">
        <w:rPr>
          <w:color w:val="0000FF"/>
        </w:rPr>
        <w:tab/>
        <w:t>(b)</w:t>
      </w:r>
      <w:r w:rsidRPr="00693A57">
        <w:rPr>
          <w:color w:val="0000FF"/>
        </w:rPr>
        <w:tab/>
        <w:t>for a person with sponsored accreditation—an assessement of its capacity to comply with Schedule 2 that is made in accordance with any approved requirements;</w:t>
      </w:r>
    </w:p>
    <w:p w14:paraId="1A61E6AC" w14:textId="77777777" w:rsidR="00B82353" w:rsidRPr="00693A57" w:rsidRDefault="00B82353" w:rsidP="00B82353">
      <w:pPr>
        <w:pStyle w:val="subsection2"/>
        <w:rPr>
          <w:color w:val="0000FF"/>
        </w:rPr>
      </w:pPr>
      <w:r w:rsidRPr="00693A57">
        <w:rPr>
          <w:color w:val="0000FF"/>
        </w:rPr>
        <w:t xml:space="preserve">that does not include the information that must be provided in an attestation statement. </w:t>
      </w:r>
    </w:p>
    <w:p w14:paraId="340306E8" w14:textId="59C319BF" w:rsidR="00CF0E3D" w:rsidRPr="00693A57" w:rsidRDefault="00CF0E3D" w:rsidP="00CF0E3D">
      <w:pPr>
        <w:pStyle w:val="Definition"/>
        <w:rPr>
          <w:strike/>
          <w:color w:val="0000FF"/>
        </w:rPr>
      </w:pPr>
      <w:r w:rsidRPr="00693A57">
        <w:rPr>
          <w:b/>
          <w:i/>
          <w:strike/>
          <w:color w:val="0000FF"/>
        </w:rPr>
        <w:t xml:space="preserve">assurance report </w:t>
      </w:r>
      <w:r w:rsidRPr="00693A57">
        <w:rPr>
          <w:strike/>
          <w:color w:val="0000FF"/>
        </w:rPr>
        <w:t>means</w:t>
      </w:r>
      <w:r w:rsidR="00447487" w:rsidRPr="00693A57">
        <w:rPr>
          <w:strike/>
          <w:color w:val="0000FF"/>
        </w:rPr>
        <w:t>:</w:t>
      </w:r>
    </w:p>
    <w:p w14:paraId="732CBACF" w14:textId="48C417E6" w:rsidR="00CF0E3D" w:rsidRPr="00693A57" w:rsidRDefault="00CF0E3D" w:rsidP="00CF0E3D">
      <w:pPr>
        <w:pStyle w:val="paragraph"/>
        <w:rPr>
          <w:strike/>
          <w:color w:val="0000FF"/>
        </w:rPr>
      </w:pPr>
      <w:r w:rsidRPr="00693A57">
        <w:rPr>
          <w:strike/>
          <w:color w:val="0000FF"/>
        </w:rPr>
        <w:tab/>
        <w:t>(a)</w:t>
      </w:r>
      <w:r w:rsidRPr="00693A57">
        <w:rPr>
          <w:strike/>
          <w:color w:val="0000FF"/>
        </w:rPr>
        <w:tab/>
      </w:r>
      <w:r w:rsidR="00447487" w:rsidRPr="00693A57">
        <w:rPr>
          <w:strike/>
          <w:color w:val="0000FF"/>
        </w:rPr>
        <w:t xml:space="preserve">a report that </w:t>
      </w:r>
      <w:r w:rsidRPr="00693A57">
        <w:rPr>
          <w:strike/>
          <w:color w:val="0000FF"/>
        </w:rPr>
        <w:t xml:space="preserve">is made in accordance with: </w:t>
      </w:r>
    </w:p>
    <w:p w14:paraId="160790D0" w14:textId="77777777" w:rsidR="00CF0E3D" w:rsidRPr="00693A57" w:rsidRDefault="00CF0E3D" w:rsidP="00CF0E3D">
      <w:pPr>
        <w:pStyle w:val="paragraphsub"/>
        <w:rPr>
          <w:strike/>
          <w:color w:val="0000FF"/>
        </w:rPr>
      </w:pPr>
      <w:r w:rsidRPr="00693A57">
        <w:rPr>
          <w:strike/>
          <w:color w:val="0000FF"/>
        </w:rPr>
        <w:lastRenderedPageBreak/>
        <w:tab/>
        <w:t>(i)</w:t>
      </w:r>
      <w:r w:rsidRPr="00693A57">
        <w:rPr>
          <w:strike/>
          <w:color w:val="0000FF"/>
        </w:rPr>
        <w:tab/>
        <w:t>ASAE 3150; or</w:t>
      </w:r>
    </w:p>
    <w:p w14:paraId="3B4B278C"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an approved standard, report or framework; and</w:t>
      </w:r>
      <w:r w:rsidRPr="00693A57">
        <w:rPr>
          <w:strike/>
          <w:color w:val="0000FF"/>
        </w:rPr>
        <w:tab/>
      </w:r>
    </w:p>
    <w:p w14:paraId="4D38F13D" w14:textId="7FF8F2FC" w:rsidR="00CF0E3D" w:rsidRPr="00693A57" w:rsidRDefault="00CF0E3D" w:rsidP="00CF0E3D">
      <w:pPr>
        <w:pStyle w:val="notetext"/>
        <w:rPr>
          <w:strike/>
          <w:color w:val="0000FF"/>
        </w:rPr>
      </w:pPr>
      <w:r w:rsidRPr="00693A57">
        <w:rPr>
          <w:strike/>
          <w:color w:val="0000FF"/>
        </w:rPr>
        <w:t>Note:</w:t>
      </w:r>
      <w:r w:rsidRPr="00693A57">
        <w:rPr>
          <w:strike/>
          <w:color w:val="0000FF"/>
        </w:rPr>
        <w:tab/>
        <w:t xml:space="preserve">See the </w:t>
      </w:r>
      <w:r w:rsidRPr="00693A57">
        <w:rPr>
          <w:i/>
          <w:strike/>
          <w:color w:val="0000FF"/>
        </w:rPr>
        <w:t>CDR Accreditation Guidelines</w:t>
      </w:r>
      <w:r w:rsidRPr="00693A57">
        <w:rPr>
          <w:strike/>
          <w:color w:val="0000FF"/>
        </w:rPr>
        <w:t>, which could in 2020 be downloaded from the Commission’s website (</w:t>
      </w:r>
      <w:r w:rsidRPr="00693A57">
        <w:rPr>
          <w:rStyle w:val="Hyperlink"/>
          <w:strike/>
          <w:color w:val="0000FF"/>
        </w:rPr>
        <w:t>https://www</w:t>
      </w:r>
      <w:r w:rsidR="006D2C58" w:rsidRPr="00693A57">
        <w:rPr>
          <w:rStyle w:val="Hyperlink"/>
          <w:strike/>
          <w:color w:val="0000FF"/>
        </w:rPr>
        <w:t>.</w:t>
      </w:r>
      <w:r w:rsidRPr="00693A57">
        <w:rPr>
          <w:rStyle w:val="Hyperlink"/>
          <w:strike/>
          <w:color w:val="0000FF"/>
        </w:rPr>
        <w:t>accc.gov.au</w:t>
      </w:r>
      <w:r w:rsidRPr="00693A57">
        <w:rPr>
          <w:strike/>
          <w:color w:val="0000FF"/>
        </w:rPr>
        <w:t>).</w:t>
      </w:r>
    </w:p>
    <w:p w14:paraId="1C8B80A9" w14:textId="77777777" w:rsidR="00CF0E3D" w:rsidRPr="00693A57" w:rsidRDefault="00CF0E3D" w:rsidP="00CF0E3D">
      <w:pPr>
        <w:pStyle w:val="notetext"/>
        <w:rPr>
          <w:strike/>
          <w:color w:val="0000FF"/>
        </w:rPr>
      </w:pPr>
      <w:r w:rsidRPr="00693A57">
        <w:rPr>
          <w:strike/>
          <w:color w:val="0000FF"/>
        </w:rPr>
        <w:tab/>
        <w:t xml:space="preserve">ASAE 3150 </w:t>
      </w:r>
      <w:r w:rsidRPr="00693A57">
        <w:rPr>
          <w:rFonts w:eastAsiaTheme="minorHAnsi"/>
          <w:strike/>
          <w:color w:val="0000FF"/>
        </w:rPr>
        <w:t>could in 2020 be downloaded from the Auditing and Assurance Standards Board’s website (https://www.auasb.gov.au/admin/file/content102/c3/Jan15_ASAE_3150_Assurance_Engagements_on_Controls.pdf).</w:t>
      </w:r>
    </w:p>
    <w:p w14:paraId="2ED3A285" w14:textId="19C4B7AB" w:rsidR="00CF0E3D" w:rsidRPr="00693A57" w:rsidRDefault="00447487" w:rsidP="00B82353">
      <w:pPr>
        <w:pStyle w:val="paragraph"/>
        <w:rPr>
          <w:strike/>
          <w:color w:val="0000FF"/>
        </w:rPr>
      </w:pPr>
      <w:r w:rsidRPr="00693A57">
        <w:rPr>
          <w:strike/>
          <w:color w:val="0000FF"/>
        </w:rPr>
        <w:tab/>
        <w:t>(b)</w:t>
      </w:r>
      <w:r w:rsidRPr="00693A57">
        <w:rPr>
          <w:strike/>
          <w:color w:val="0000FF"/>
        </w:rPr>
        <w:tab/>
        <w:t xml:space="preserve">does not </w:t>
      </w:r>
      <w:r w:rsidR="00CF0E3D" w:rsidRPr="00693A57">
        <w:rPr>
          <w:strike/>
          <w:color w:val="0000FF"/>
        </w:rPr>
        <w:t xml:space="preserve">include the information that must be provided in an attestation statement. </w:t>
      </w:r>
    </w:p>
    <w:p w14:paraId="5C01A92A" w14:textId="77777777" w:rsidR="0001019A" w:rsidRPr="00693A57" w:rsidRDefault="00CF0E3D" w:rsidP="00CF0E3D">
      <w:pPr>
        <w:pStyle w:val="Definition"/>
        <w:rPr>
          <w:color w:val="0000FF"/>
        </w:rPr>
      </w:pPr>
      <w:r w:rsidRPr="00693A57">
        <w:rPr>
          <w:b/>
          <w:i/>
          <w:color w:val="0000FF"/>
        </w:rPr>
        <w:t>attestation statement</w:t>
      </w:r>
      <w:r w:rsidRPr="00693A57">
        <w:rPr>
          <w:color w:val="0000FF"/>
        </w:rPr>
        <w:t xml:space="preserve"> means</w:t>
      </w:r>
      <w:r w:rsidR="0001019A" w:rsidRPr="00693A57">
        <w:rPr>
          <w:color w:val="0000FF"/>
        </w:rPr>
        <w:t>:</w:t>
      </w:r>
    </w:p>
    <w:p w14:paraId="13EC67D6" w14:textId="4CE3672B" w:rsidR="0001019A" w:rsidRPr="00693A57" w:rsidRDefault="0001019A" w:rsidP="0001019A">
      <w:pPr>
        <w:pStyle w:val="paragraph"/>
        <w:rPr>
          <w:color w:val="0000FF"/>
        </w:rPr>
      </w:pPr>
      <w:r w:rsidRPr="00693A57">
        <w:rPr>
          <w:color w:val="0000FF"/>
        </w:rPr>
        <w:tab/>
        <w:t>(a)</w:t>
      </w:r>
      <w:r w:rsidRPr="00693A57">
        <w:rPr>
          <w:color w:val="0000FF"/>
        </w:rPr>
        <w:tab/>
        <w:t xml:space="preserve">for </w:t>
      </w:r>
      <w:r w:rsidR="00B96CC8" w:rsidRPr="00693A57">
        <w:rPr>
          <w:color w:val="0000FF"/>
        </w:rPr>
        <w:t xml:space="preserve">a </w:t>
      </w:r>
      <w:r w:rsidRPr="00693A57">
        <w:rPr>
          <w:color w:val="0000FF"/>
        </w:rPr>
        <w:t>person with unrestricted accreditation—</w:t>
      </w:r>
      <w:r w:rsidR="00CF0E3D" w:rsidRPr="00693A57">
        <w:rPr>
          <w:color w:val="0000FF"/>
        </w:rPr>
        <w:t>a statement in the form of a responsible party’s statement on controls and system description that is made in accordance with ASAE 3150</w:t>
      </w:r>
      <w:r w:rsidRPr="00693A57">
        <w:rPr>
          <w:color w:val="0000FF"/>
        </w:rPr>
        <w:t>; and</w:t>
      </w:r>
    </w:p>
    <w:p w14:paraId="17EB2F73" w14:textId="5355A429" w:rsidR="007B7EB2" w:rsidRPr="00693A57" w:rsidRDefault="0001019A" w:rsidP="0001019A">
      <w:pPr>
        <w:pStyle w:val="paragraph"/>
        <w:rPr>
          <w:color w:val="0000FF"/>
        </w:rPr>
      </w:pPr>
      <w:r w:rsidRPr="00693A57">
        <w:rPr>
          <w:color w:val="0000FF"/>
        </w:rPr>
        <w:tab/>
        <w:t>(b)</w:t>
      </w:r>
      <w:r w:rsidRPr="00693A57">
        <w:rPr>
          <w:color w:val="0000FF"/>
        </w:rPr>
        <w:tab/>
        <w:t xml:space="preserve">for </w:t>
      </w:r>
      <w:r w:rsidR="00F3080A" w:rsidRPr="00693A57">
        <w:rPr>
          <w:color w:val="0000FF"/>
        </w:rPr>
        <w:t>a person with sponsored accreditation</w:t>
      </w:r>
      <w:r w:rsidRPr="00693A57">
        <w:rPr>
          <w:color w:val="0000FF"/>
        </w:rPr>
        <w:t>—a statement about its compliance with Schedule 2 that is made in accordance with any approved requirements</w:t>
      </w:r>
      <w:r w:rsidR="00CF0E3D" w:rsidRPr="00693A57">
        <w:rPr>
          <w:color w:val="0000FF"/>
        </w:rPr>
        <w:t>.</w:t>
      </w:r>
    </w:p>
    <w:p w14:paraId="05F35BFE" w14:textId="1F11E73B" w:rsidR="00B82353" w:rsidRPr="00693A57" w:rsidRDefault="00B82353" w:rsidP="00B82353">
      <w:pPr>
        <w:pStyle w:val="Definition"/>
        <w:rPr>
          <w:strike/>
          <w:color w:val="0000FF"/>
        </w:rPr>
      </w:pPr>
      <w:r w:rsidRPr="00693A57">
        <w:rPr>
          <w:b/>
          <w:i/>
          <w:strike/>
          <w:color w:val="0000FF"/>
        </w:rPr>
        <w:t>attestation statement</w:t>
      </w:r>
      <w:r w:rsidRPr="00693A57">
        <w:rPr>
          <w:strike/>
          <w:color w:val="0000FF"/>
        </w:rPr>
        <w:t xml:space="preserve"> means a statement in the form of a responsible party’s statement on controls and system description that is made in accordance with ASAE 3150.</w:t>
      </w:r>
    </w:p>
    <w:p w14:paraId="335BB69F" w14:textId="77777777" w:rsidR="00CF0E3D" w:rsidRDefault="00CF0E3D" w:rsidP="00CF0E3D">
      <w:pPr>
        <w:pStyle w:val="SubsectionHead"/>
      </w:pPr>
      <w:r>
        <w:t>Attestation statements</w:t>
      </w:r>
    </w:p>
    <w:p w14:paraId="6079B0C6" w14:textId="77777777" w:rsidR="00CF0E3D" w:rsidRDefault="00CF0E3D" w:rsidP="00CF0E3D">
      <w:pPr>
        <w:pStyle w:val="subsection"/>
      </w:pPr>
      <w:r>
        <w:tab/>
        <w:t>(2)</w:t>
      </w:r>
      <w:r>
        <w:tab/>
        <w:t>The accredited person must provide an attestation statement to the Data Recipient Accreditor within 3 months after the end of:</w:t>
      </w:r>
    </w:p>
    <w:p w14:paraId="377F92EB" w14:textId="77777777" w:rsidR="00CF0E3D" w:rsidRDefault="00CF0E3D" w:rsidP="00CF0E3D">
      <w:pPr>
        <w:pStyle w:val="paragraph"/>
      </w:pPr>
      <w:r>
        <w:tab/>
        <w:t>(a)</w:t>
      </w:r>
      <w:r>
        <w:tab/>
        <w:t>the first reporting period; and</w:t>
      </w:r>
    </w:p>
    <w:p w14:paraId="343405EE" w14:textId="77777777" w:rsidR="00CF0E3D" w:rsidRDefault="00CF0E3D" w:rsidP="00CF0E3D">
      <w:pPr>
        <w:pStyle w:val="paragraph"/>
      </w:pPr>
      <w:r>
        <w:tab/>
        <w:t>(b)</w:t>
      </w:r>
      <w:r>
        <w:tab/>
        <w:t>every second reporting period thereafter;</w:t>
      </w:r>
    </w:p>
    <w:p w14:paraId="4AD45D04" w14:textId="77777777" w:rsidR="00CF0E3D" w:rsidRDefault="00CF0E3D" w:rsidP="00CF0E3D">
      <w:pPr>
        <w:pStyle w:val="subsection"/>
        <w:spacing w:before="40"/>
      </w:pPr>
      <w:r>
        <w:tab/>
      </w:r>
      <w:r>
        <w:tab/>
        <w:t xml:space="preserve">that covers the reporting period. </w:t>
      </w:r>
    </w:p>
    <w:p w14:paraId="50014F53" w14:textId="77777777" w:rsidR="00CF0E3D" w:rsidRDefault="00CF0E3D" w:rsidP="00CF0E3D">
      <w:pPr>
        <w:pStyle w:val="SubsectionHead"/>
      </w:pPr>
      <w:r>
        <w:t>Assurance reports</w:t>
      </w:r>
    </w:p>
    <w:p w14:paraId="5D4CFA11" w14:textId="77777777" w:rsidR="00CF0E3D" w:rsidRDefault="00CF0E3D" w:rsidP="00CF0E3D">
      <w:pPr>
        <w:pStyle w:val="subsection"/>
      </w:pPr>
      <w:r>
        <w:tab/>
        <w:t>(3)</w:t>
      </w:r>
      <w:r>
        <w:tab/>
        <w:t>The accredited person must provide an assurance report to the Data Recipient Accreditor within 3 months after the end of:</w:t>
      </w:r>
    </w:p>
    <w:p w14:paraId="6D2252FD" w14:textId="77777777" w:rsidR="00CF0E3D" w:rsidRDefault="00CF0E3D" w:rsidP="00CF0E3D">
      <w:pPr>
        <w:pStyle w:val="paragraph"/>
      </w:pPr>
      <w:r>
        <w:tab/>
        <w:t>(a)</w:t>
      </w:r>
      <w:r>
        <w:tab/>
        <w:t>the reporting period after the first reporting period; and</w:t>
      </w:r>
    </w:p>
    <w:p w14:paraId="58D69491" w14:textId="77777777" w:rsidR="00CF0E3D" w:rsidRDefault="00CF0E3D" w:rsidP="00CF0E3D">
      <w:pPr>
        <w:pStyle w:val="paragraph"/>
      </w:pPr>
      <w:r>
        <w:tab/>
        <w:t>(b)</w:t>
      </w:r>
      <w:r>
        <w:tab/>
        <w:t>every second reporting period thereafter;</w:t>
      </w:r>
    </w:p>
    <w:p w14:paraId="3B0E64CE" w14:textId="77777777" w:rsidR="00CF0E3D" w:rsidRDefault="00CF0E3D" w:rsidP="00CF0E3D">
      <w:pPr>
        <w:pStyle w:val="subsection"/>
        <w:spacing w:before="40"/>
      </w:pPr>
      <w:r>
        <w:tab/>
      </w:r>
      <w:r>
        <w:tab/>
        <w:t>that covers the reporting period.</w:t>
      </w:r>
    </w:p>
    <w:p w14:paraId="323DFC6B" w14:textId="77777777" w:rsidR="00CF0E3D" w:rsidRPr="00CA7872" w:rsidRDefault="00CF0E3D" w:rsidP="00CF0E3D">
      <w:pPr>
        <w:pStyle w:val="SubsectionHead"/>
      </w:pPr>
      <w:r w:rsidRPr="00CA7872">
        <w:t>Reporting periods</w:t>
      </w:r>
    </w:p>
    <w:p w14:paraId="0F095696" w14:textId="77777777" w:rsidR="00CF0E3D" w:rsidRPr="00CA7872" w:rsidRDefault="00CF0E3D" w:rsidP="00CF0E3D">
      <w:pPr>
        <w:pStyle w:val="subsection"/>
      </w:pPr>
      <w:r w:rsidRPr="00CA7872">
        <w:tab/>
        <w:t>(4)</w:t>
      </w:r>
      <w:r w:rsidRPr="00CA7872">
        <w:tab/>
        <w:t xml:space="preserve">For this clause, subject to subclause (5), a </w:t>
      </w:r>
      <w:r w:rsidRPr="00CA7872">
        <w:rPr>
          <w:b/>
          <w:i/>
        </w:rPr>
        <w:t>reporting period</w:t>
      </w:r>
      <w:r w:rsidRPr="00CA7872">
        <w:t xml:space="preserve"> for an accredited person is either a financial year or a calendar year, as determined for the accredited person by the Data Recipient Accreditor.</w:t>
      </w:r>
    </w:p>
    <w:p w14:paraId="744B776E" w14:textId="77777777" w:rsidR="00CF0E3D" w:rsidRPr="00CA7872" w:rsidRDefault="00CF0E3D" w:rsidP="00CF0E3D">
      <w:pPr>
        <w:pStyle w:val="subsection"/>
      </w:pPr>
      <w:r w:rsidRPr="00CA7872">
        <w:tab/>
        <w:t>(5)</w:t>
      </w:r>
      <w:r w:rsidRPr="00CA7872">
        <w:tab/>
        <w:t xml:space="preserve">However the </w:t>
      </w:r>
      <w:r w:rsidRPr="00CA7872">
        <w:rPr>
          <w:b/>
          <w:i/>
        </w:rPr>
        <w:t>first</w:t>
      </w:r>
      <w:r w:rsidRPr="00CA7872">
        <w:t xml:space="preserve"> reporting period for an accredited person is taken to be the period that:  </w:t>
      </w:r>
    </w:p>
    <w:p w14:paraId="0E31A6FB" w14:textId="77777777" w:rsidR="00CF0E3D" w:rsidRPr="00CA7872" w:rsidRDefault="00CF0E3D" w:rsidP="00CF0E3D">
      <w:pPr>
        <w:pStyle w:val="paragraph"/>
      </w:pPr>
      <w:r w:rsidRPr="00CA7872">
        <w:lastRenderedPageBreak/>
        <w:tab/>
        <w:t>(a)</w:t>
      </w:r>
      <w:r w:rsidRPr="00CA7872">
        <w:tab/>
        <w:t>if the accreditation decision takes effect within 3 months before the end of a reporting period—starts on the day the accreditation takes effect and ends on the last day of the following reporting period; and</w:t>
      </w:r>
    </w:p>
    <w:p w14:paraId="21DFB3F1" w14:textId="77777777" w:rsidR="00CF0E3D" w:rsidRPr="00CA7872" w:rsidRDefault="00CF0E3D" w:rsidP="00CF0E3D">
      <w:pPr>
        <w:pStyle w:val="paragraph"/>
      </w:pPr>
      <w:r w:rsidRPr="00CA7872">
        <w:tab/>
        <w:t>(b)</w:t>
      </w:r>
      <w:r w:rsidRPr="00CA7872">
        <w:tab/>
        <w:t>otherwise—starts on the day the accreditation decision takes effect and ends on the last day of that reporting period.</w:t>
      </w:r>
    </w:p>
    <w:p w14:paraId="1E06E657" w14:textId="77777777" w:rsidR="00CF0E3D" w:rsidRPr="007F68A3" w:rsidRDefault="00CF0E3D" w:rsidP="00CF0E3D">
      <w:pPr>
        <w:pStyle w:val="notetext"/>
      </w:pPr>
      <w:r w:rsidRPr="007F68A3">
        <w:t>Example 1:</w:t>
      </w:r>
      <w:r w:rsidRPr="007F68A3">
        <w:tab/>
        <w:t>For paragraph (a) if an accreditation decision takes effect on 30 May 2022, the first reporting period starts on 30 May 2022</w:t>
      </w:r>
      <w:r>
        <w:t xml:space="preserve"> and</w:t>
      </w:r>
      <w:r w:rsidRPr="007F68A3">
        <w:t xml:space="preserve"> ends on 30 June 2023.</w:t>
      </w:r>
    </w:p>
    <w:p w14:paraId="09BF5D84" w14:textId="77777777" w:rsidR="00CF0E3D" w:rsidRPr="00C02000" w:rsidRDefault="00CF0E3D" w:rsidP="00CF0E3D">
      <w:pPr>
        <w:pStyle w:val="notetext"/>
      </w:pPr>
      <w:r w:rsidRPr="007F68A3">
        <w:t>Example 2:</w:t>
      </w:r>
      <w:r w:rsidRPr="007F68A3">
        <w:tab/>
        <w:t>For paragraph (b) if an accreditation decision takes effect on 1 January 2023, the first reporting period starts on 1 January 2023 and ends on 30 June 2023.</w:t>
      </w:r>
    </w:p>
    <w:p w14:paraId="57061609" w14:textId="508C43AB" w:rsidR="00492173" w:rsidRPr="00693A57" w:rsidRDefault="002B5119" w:rsidP="00492173">
      <w:pPr>
        <w:pStyle w:val="ActHead5"/>
        <w:rPr>
          <w:color w:val="0000FF"/>
        </w:rPr>
      </w:pPr>
      <w:bookmarkStart w:id="566" w:name="_Toc77065062"/>
      <w:r w:rsidRPr="00693A57">
        <w:rPr>
          <w:color w:val="0000FF"/>
        </w:rPr>
        <w:t xml:space="preserve">2.2  Conditions </w:t>
      </w:r>
      <w:r w:rsidR="00492173" w:rsidRPr="00693A57">
        <w:rPr>
          <w:color w:val="0000FF"/>
        </w:rPr>
        <w:t>on sponsors and potential sponsors</w:t>
      </w:r>
      <w:bookmarkEnd w:id="566"/>
    </w:p>
    <w:p w14:paraId="4AB0B623" w14:textId="303FDEA6" w:rsidR="00492173" w:rsidRPr="00693A57" w:rsidRDefault="00492173" w:rsidP="00492173">
      <w:pPr>
        <w:pStyle w:val="subsection"/>
        <w:rPr>
          <w:color w:val="0000FF"/>
        </w:rPr>
      </w:pPr>
      <w:r w:rsidRPr="00693A57">
        <w:rPr>
          <w:color w:val="0000FF"/>
        </w:rPr>
        <w:tab/>
        <w:t>(1)</w:t>
      </w:r>
      <w:r w:rsidRPr="00693A57">
        <w:rPr>
          <w:color w:val="0000FF"/>
        </w:rPr>
        <w:tab/>
        <w:t xml:space="preserve">An accredited person </w:t>
      </w:r>
      <w:r w:rsidR="000E567B" w:rsidRPr="00693A57">
        <w:rPr>
          <w:color w:val="0000FF"/>
        </w:rPr>
        <w:t>that</w:t>
      </w:r>
      <w:r w:rsidRPr="00693A57">
        <w:rPr>
          <w:color w:val="0000FF"/>
        </w:rPr>
        <w:t xml:space="preserve"> proposes to become the sponsor of </w:t>
      </w:r>
      <w:r w:rsidR="00F3080A" w:rsidRPr="00693A57">
        <w:rPr>
          <w:color w:val="0000FF"/>
        </w:rPr>
        <w:t xml:space="preserve">a person </w:t>
      </w:r>
      <w:r w:rsidR="003C7E71" w:rsidRPr="00693A57">
        <w:rPr>
          <w:color w:val="0000FF"/>
        </w:rPr>
        <w:t xml:space="preserve">that has, or proposes to apply for, </w:t>
      </w:r>
      <w:r w:rsidR="00F3080A" w:rsidRPr="00693A57">
        <w:rPr>
          <w:color w:val="0000FF"/>
        </w:rPr>
        <w:t xml:space="preserve">sponsored accreditation </w:t>
      </w:r>
      <w:r w:rsidRPr="00693A57">
        <w:rPr>
          <w:color w:val="0000FF"/>
        </w:rPr>
        <w:t>must:</w:t>
      </w:r>
    </w:p>
    <w:p w14:paraId="07089945" w14:textId="34CCA442" w:rsidR="00492173" w:rsidRPr="00693A57" w:rsidRDefault="00492173" w:rsidP="00492173">
      <w:pPr>
        <w:pStyle w:val="paragraph"/>
        <w:rPr>
          <w:color w:val="0000FF"/>
        </w:rPr>
      </w:pPr>
      <w:r w:rsidRPr="00693A57">
        <w:rPr>
          <w:color w:val="0000FF"/>
        </w:rPr>
        <w:tab/>
        <w:t>(a)</w:t>
      </w:r>
      <w:r w:rsidRPr="00693A57">
        <w:rPr>
          <w:color w:val="0000FF"/>
        </w:rPr>
        <w:tab/>
        <w:t>undertake due diligence to ensure that the proposed affiliate is a suitable person for that role; and</w:t>
      </w:r>
    </w:p>
    <w:p w14:paraId="5F5519BD" w14:textId="29AE1CE3" w:rsidR="00492173" w:rsidRPr="00693A57" w:rsidRDefault="00492173" w:rsidP="00361FBC">
      <w:pPr>
        <w:pStyle w:val="paragraph"/>
        <w:rPr>
          <w:color w:val="0000FF"/>
        </w:rPr>
      </w:pPr>
      <w:r w:rsidRPr="00693A57">
        <w:rPr>
          <w:color w:val="0000FF"/>
        </w:rPr>
        <w:tab/>
        <w:t>(b)</w:t>
      </w:r>
      <w:r w:rsidRPr="00693A57">
        <w:rPr>
          <w:color w:val="0000FF"/>
        </w:rPr>
        <w:tab/>
        <w:t>provide any appropriate assistance or training in technical and compliance matters</w:t>
      </w:r>
      <w:r w:rsidR="00F3080A" w:rsidRPr="00693A57">
        <w:rPr>
          <w:color w:val="0000FF"/>
        </w:rPr>
        <w:t>.</w:t>
      </w:r>
    </w:p>
    <w:p w14:paraId="09FD7675" w14:textId="77777777" w:rsidR="00361FBC" w:rsidRPr="00693A57" w:rsidRDefault="00492173" w:rsidP="00492173">
      <w:pPr>
        <w:pStyle w:val="subsection"/>
        <w:rPr>
          <w:color w:val="0000FF"/>
        </w:rPr>
      </w:pPr>
      <w:r w:rsidRPr="00693A57">
        <w:rPr>
          <w:color w:val="0000FF"/>
        </w:rPr>
        <w:tab/>
        <w:t>(2)</w:t>
      </w:r>
      <w:r w:rsidRPr="00693A57">
        <w:rPr>
          <w:color w:val="0000FF"/>
        </w:rPr>
        <w:tab/>
        <w:t>The sponsor of an affiliate must</w:t>
      </w:r>
      <w:r w:rsidR="00361FBC" w:rsidRPr="00693A57">
        <w:rPr>
          <w:color w:val="0000FF"/>
        </w:rPr>
        <w:t>:</w:t>
      </w:r>
    </w:p>
    <w:p w14:paraId="1EF1992F" w14:textId="51C457BE" w:rsidR="00361FBC" w:rsidRPr="00693A57" w:rsidRDefault="00361FBC" w:rsidP="00361FBC">
      <w:pPr>
        <w:pStyle w:val="paragraph"/>
        <w:rPr>
          <w:color w:val="0000FF"/>
        </w:rPr>
      </w:pPr>
      <w:r w:rsidRPr="00693A57">
        <w:rPr>
          <w:color w:val="0000FF"/>
        </w:rPr>
        <w:tab/>
        <w:t>(a)</w:t>
      </w:r>
      <w:r w:rsidRPr="00693A57">
        <w:rPr>
          <w:color w:val="0000FF"/>
        </w:rPr>
        <w:tab/>
        <w:t>continue to provide any appropriate assistance or training in technical and compliance matters; and</w:t>
      </w:r>
    </w:p>
    <w:p w14:paraId="3B35B913" w14:textId="7F86E02F" w:rsidR="00492173" w:rsidRPr="00693A57" w:rsidRDefault="00361FBC" w:rsidP="00361FBC">
      <w:pPr>
        <w:pStyle w:val="paragraph"/>
        <w:rPr>
          <w:color w:val="0000FF"/>
        </w:rPr>
      </w:pPr>
      <w:r w:rsidRPr="00693A57">
        <w:rPr>
          <w:color w:val="0000FF"/>
        </w:rPr>
        <w:tab/>
        <w:t>(b)</w:t>
      </w:r>
      <w:r w:rsidRPr="00693A57">
        <w:rPr>
          <w:color w:val="0000FF"/>
        </w:rPr>
        <w:tab/>
      </w:r>
      <w:r w:rsidR="00492173" w:rsidRPr="00693A57">
        <w:rPr>
          <w:color w:val="0000FF"/>
        </w:rPr>
        <w:t>take reasonable steps to ensure that the affiliate complies with its obligations as an accredited person.</w:t>
      </w:r>
    </w:p>
    <w:p w14:paraId="6C04B032" w14:textId="2795C6D3" w:rsidR="003B4F1E" w:rsidRPr="00693A57" w:rsidRDefault="003B4F1E" w:rsidP="003B4F1E">
      <w:pPr>
        <w:pStyle w:val="ActHead5"/>
        <w:rPr>
          <w:color w:val="0000FF"/>
        </w:rPr>
      </w:pPr>
      <w:bookmarkStart w:id="567" w:name="_Toc77065063"/>
      <w:bookmarkStart w:id="568" w:name="_Toc11771711"/>
      <w:r w:rsidRPr="00693A57">
        <w:rPr>
          <w:color w:val="0000FF"/>
        </w:rPr>
        <w:t xml:space="preserve">2.3  Conditions in relation to </w:t>
      </w:r>
      <w:r w:rsidR="00182338" w:rsidRPr="00693A57">
        <w:rPr>
          <w:color w:val="0000FF"/>
        </w:rPr>
        <w:t>CDR representative</w:t>
      </w:r>
      <w:r w:rsidRPr="00693A57">
        <w:rPr>
          <w:color w:val="0000FF"/>
        </w:rPr>
        <w:t>s</w:t>
      </w:r>
      <w:bookmarkEnd w:id="567"/>
    </w:p>
    <w:p w14:paraId="0AE86920" w14:textId="75DAE192" w:rsidR="003B4F1E" w:rsidRPr="00693A57" w:rsidRDefault="003B4F1E" w:rsidP="003B4F1E">
      <w:pPr>
        <w:pStyle w:val="subsection"/>
        <w:rPr>
          <w:color w:val="0000FF"/>
        </w:rPr>
      </w:pPr>
      <w:r w:rsidRPr="00693A57">
        <w:rPr>
          <w:color w:val="0000FF"/>
        </w:rPr>
        <w:tab/>
        <w:t>(1)</w:t>
      </w:r>
      <w:r w:rsidRPr="00693A57">
        <w:rPr>
          <w:color w:val="0000FF"/>
        </w:rPr>
        <w:tab/>
        <w:t xml:space="preserve">This rule applies in relation to an accredited person that is, or proposes to become, the CDR principal in a </w:t>
      </w:r>
      <w:r w:rsidR="00182338" w:rsidRPr="00693A57">
        <w:rPr>
          <w:color w:val="0000FF"/>
        </w:rPr>
        <w:t>CDR representative</w:t>
      </w:r>
      <w:r w:rsidRPr="00693A57">
        <w:rPr>
          <w:color w:val="0000FF"/>
        </w:rPr>
        <w:t xml:space="preserve"> arrangement.</w:t>
      </w:r>
    </w:p>
    <w:p w14:paraId="1115A6F4" w14:textId="77777777" w:rsidR="003B4F1E" w:rsidRPr="00693A57" w:rsidRDefault="003B4F1E" w:rsidP="003B4F1E">
      <w:pPr>
        <w:pStyle w:val="subsection"/>
        <w:rPr>
          <w:color w:val="0000FF"/>
        </w:rPr>
      </w:pPr>
      <w:r w:rsidRPr="00693A57">
        <w:rPr>
          <w:color w:val="0000FF"/>
        </w:rPr>
        <w:tab/>
        <w:t>(2)</w:t>
      </w:r>
      <w:r w:rsidRPr="00693A57">
        <w:rPr>
          <w:color w:val="0000FF"/>
        </w:rPr>
        <w:tab/>
        <w:t>Within 30 business days of entering into the arrangement, the person must notify the Data Recipient Accreditor that they have done so.</w:t>
      </w:r>
    </w:p>
    <w:p w14:paraId="06B28635" w14:textId="77777777" w:rsidR="003B4F1E" w:rsidRPr="00693A57" w:rsidRDefault="003B4F1E" w:rsidP="003B4F1E">
      <w:pPr>
        <w:pStyle w:val="subsection"/>
        <w:rPr>
          <w:color w:val="0000FF"/>
        </w:rPr>
      </w:pPr>
      <w:r w:rsidRPr="00693A57">
        <w:rPr>
          <w:color w:val="0000FF"/>
        </w:rPr>
        <w:tab/>
        <w:t>(3)</w:t>
      </w:r>
      <w:r w:rsidRPr="00693A57">
        <w:rPr>
          <w:color w:val="0000FF"/>
        </w:rPr>
        <w:tab/>
        <w:t>The notification must include the following:</w:t>
      </w:r>
      <w:r w:rsidRPr="00693A57">
        <w:rPr>
          <w:color w:val="0000FF"/>
        </w:rPr>
        <w:tab/>
      </w:r>
    </w:p>
    <w:p w14:paraId="09D34F23" w14:textId="24AC5BDC" w:rsidR="003B4F1E" w:rsidRPr="00693A57" w:rsidRDefault="003B4F1E" w:rsidP="003B4F1E">
      <w:pPr>
        <w:pStyle w:val="paragraph"/>
        <w:rPr>
          <w:color w:val="0000FF"/>
        </w:rPr>
      </w:pPr>
      <w:r w:rsidRPr="00693A57">
        <w:rPr>
          <w:color w:val="0000FF"/>
        </w:rPr>
        <w:tab/>
        <w:t>(a)</w:t>
      </w:r>
      <w:r w:rsidRPr="00693A57">
        <w:rPr>
          <w:color w:val="0000FF"/>
        </w:rPr>
        <w:tab/>
        <w:t xml:space="preserve">the name, ABN and Australian business address of the </w:t>
      </w:r>
      <w:r w:rsidR="00182338" w:rsidRPr="00693A57">
        <w:rPr>
          <w:color w:val="0000FF"/>
        </w:rPr>
        <w:t>CDR representative</w:t>
      </w:r>
      <w:r w:rsidRPr="00693A57">
        <w:rPr>
          <w:color w:val="0000FF"/>
        </w:rPr>
        <w:t xml:space="preserve">; </w:t>
      </w:r>
    </w:p>
    <w:p w14:paraId="0A8FA7D1" w14:textId="35C21CBF" w:rsidR="003B4F1E" w:rsidRPr="00693A57" w:rsidRDefault="003B4F1E" w:rsidP="003B4F1E">
      <w:pPr>
        <w:pStyle w:val="paragraph"/>
        <w:rPr>
          <w:color w:val="0000FF"/>
        </w:rPr>
      </w:pPr>
      <w:r w:rsidRPr="00693A57">
        <w:rPr>
          <w:color w:val="0000FF"/>
        </w:rPr>
        <w:tab/>
        <w:t>(b)</w:t>
      </w:r>
      <w:r w:rsidRPr="00693A57">
        <w:rPr>
          <w:color w:val="0000FF"/>
        </w:rPr>
        <w:tab/>
        <w:t xml:space="preserve">the names and contact details of the directors or any persons responsible for the </w:t>
      </w:r>
      <w:r w:rsidR="00182338" w:rsidRPr="00693A57">
        <w:rPr>
          <w:color w:val="0000FF"/>
        </w:rPr>
        <w:t>CDR representative</w:t>
      </w:r>
      <w:r w:rsidRPr="00693A57">
        <w:rPr>
          <w:color w:val="0000FF"/>
        </w:rPr>
        <w:t xml:space="preserve">; </w:t>
      </w:r>
    </w:p>
    <w:p w14:paraId="4425B5F2" w14:textId="09F6E1D3" w:rsidR="003B4F1E" w:rsidRPr="00693A57" w:rsidRDefault="003B4F1E" w:rsidP="003B4F1E">
      <w:pPr>
        <w:pStyle w:val="paragraph"/>
        <w:rPr>
          <w:color w:val="0000FF"/>
        </w:rPr>
      </w:pPr>
      <w:r w:rsidRPr="00693A57">
        <w:rPr>
          <w:color w:val="0000FF"/>
        </w:rPr>
        <w:tab/>
        <w:t>(c)</w:t>
      </w:r>
      <w:r w:rsidRPr="00693A57">
        <w:rPr>
          <w:color w:val="0000FF"/>
        </w:rPr>
        <w:tab/>
        <w:t xml:space="preserve">the nature of any goods and services to be provided by </w:t>
      </w:r>
      <w:r w:rsidR="00182338" w:rsidRPr="00693A57">
        <w:rPr>
          <w:color w:val="0000FF"/>
        </w:rPr>
        <w:t>CDR representative</w:t>
      </w:r>
      <w:r w:rsidRPr="00693A57">
        <w:rPr>
          <w:color w:val="0000FF"/>
        </w:rPr>
        <w:t xml:space="preserve"> </w:t>
      </w:r>
      <w:r w:rsidR="00EC1939" w:rsidRPr="00693A57">
        <w:rPr>
          <w:color w:val="0000FF"/>
        </w:rPr>
        <w:t>using CDR data</w:t>
      </w:r>
      <w:r w:rsidRPr="00693A57">
        <w:rPr>
          <w:color w:val="0000FF"/>
        </w:rPr>
        <w:t xml:space="preserve">; </w:t>
      </w:r>
    </w:p>
    <w:p w14:paraId="2ADBB4A8" w14:textId="06451FE7" w:rsidR="003B4F1E" w:rsidRPr="00693A57" w:rsidRDefault="003B4F1E" w:rsidP="003B4F1E">
      <w:pPr>
        <w:pStyle w:val="paragraph"/>
        <w:rPr>
          <w:color w:val="0000FF"/>
        </w:rPr>
      </w:pPr>
      <w:r w:rsidRPr="00693A57">
        <w:rPr>
          <w:color w:val="0000FF"/>
        </w:rPr>
        <w:tab/>
        <w:t>(e)</w:t>
      </w:r>
      <w:r w:rsidRPr="00693A57">
        <w:rPr>
          <w:color w:val="0000FF"/>
        </w:rPr>
        <w:tab/>
        <w:t xml:space="preserve">any information specified in writing by the Data Recipient Accreditor for the purposes of this paragraph as being necessary for the purposes of evaluating the </w:t>
      </w:r>
      <w:r w:rsidR="00182338" w:rsidRPr="00693A57">
        <w:rPr>
          <w:color w:val="0000FF"/>
        </w:rPr>
        <w:t>CDR representative</w:t>
      </w:r>
      <w:r w:rsidRPr="00693A57">
        <w:rPr>
          <w:color w:val="0000FF"/>
        </w:rPr>
        <w:t xml:space="preserve">. </w:t>
      </w:r>
    </w:p>
    <w:p w14:paraId="535A9E43" w14:textId="119270DC" w:rsidR="002B5119" w:rsidRPr="00EC1939" w:rsidRDefault="002B5119" w:rsidP="00952F7A">
      <w:pPr>
        <w:pStyle w:val="paragraph"/>
      </w:pPr>
      <w:r w:rsidRPr="00EC1939">
        <w:t xml:space="preserve"> </w:t>
      </w:r>
    </w:p>
    <w:p w14:paraId="1CC9C278" w14:textId="67FB7D57" w:rsidR="00CF0E3D" w:rsidRDefault="00CF0E3D" w:rsidP="004120DF">
      <w:pPr>
        <w:pStyle w:val="ActHead6"/>
        <w:pageBreakBefore/>
      </w:pPr>
      <w:bookmarkStart w:id="569" w:name="_Toc77065064"/>
      <w:r>
        <w:rPr>
          <w:color w:val="000000" w:themeColor="text1"/>
        </w:rPr>
        <w:lastRenderedPageBreak/>
        <w:t>Schedule 2</w:t>
      </w:r>
      <w:r w:rsidRPr="00A34C1D">
        <w:rPr>
          <w:color w:val="000000" w:themeColor="text1"/>
        </w:rPr>
        <w:t>—</w:t>
      </w:r>
      <w:r>
        <w:rPr>
          <w:color w:val="000000" w:themeColor="text1"/>
        </w:rPr>
        <w:t>Steps for privacy safeguard 12</w:t>
      </w:r>
      <w:r>
        <w:rPr>
          <w:rFonts w:cs="Arial"/>
          <w:color w:val="000000" w:themeColor="text1"/>
        </w:rPr>
        <w:t>—</w:t>
      </w:r>
      <w:r>
        <w:t>security of CDR data held by accredited data recipients</w:t>
      </w:r>
      <w:bookmarkEnd w:id="568"/>
      <w:bookmarkEnd w:id="569"/>
    </w:p>
    <w:p w14:paraId="03362CE5" w14:textId="6EEDC3ED" w:rsidR="00CF0E3D" w:rsidRDefault="00CF0E3D" w:rsidP="00CF0E3D">
      <w:pPr>
        <w:pStyle w:val="ActHead2"/>
      </w:pPr>
      <w:bookmarkStart w:id="570" w:name="_Toc11771712"/>
      <w:bookmarkStart w:id="571" w:name="_Toc77065065"/>
      <w:r>
        <w:t>Part 1—Steps for privacy safeguard 12</w:t>
      </w:r>
      <w:bookmarkEnd w:id="570"/>
      <w:bookmarkEnd w:id="571"/>
    </w:p>
    <w:p w14:paraId="5065029D" w14:textId="7394E2F3" w:rsidR="00CF0E3D" w:rsidRDefault="00CF0E3D" w:rsidP="00CF0E3D">
      <w:pPr>
        <w:pStyle w:val="ActHead5"/>
      </w:pPr>
      <w:bookmarkStart w:id="572" w:name="_Toc11771713"/>
      <w:bookmarkStart w:id="573" w:name="_Toc77065066"/>
      <w:r>
        <w:t>1.1  Purpose of Part</w:t>
      </w:r>
      <w:bookmarkEnd w:id="572"/>
      <w:bookmarkEnd w:id="573"/>
    </w:p>
    <w:p w14:paraId="4E222E6F" w14:textId="77777777" w:rsidR="00CF0E3D" w:rsidRDefault="00CF0E3D" w:rsidP="00CF0E3D">
      <w:pPr>
        <w:pStyle w:val="subsection"/>
      </w:pPr>
      <w:r>
        <w:tab/>
      </w:r>
      <w:r>
        <w:tab/>
        <w:t>This Part sets out steps for the purpose of subsection 56EO(1) of the Act, which relate to privacy safeguard 12 (see rule 7.11</w:t>
      </w:r>
      <w:r w:rsidRPr="00BD2AB7">
        <w:t xml:space="preserve"> and paragraph </w:t>
      </w:r>
      <w:r>
        <w:t>5.12(1)(a)</w:t>
      </w:r>
      <w:r w:rsidRPr="00A54607">
        <w:t xml:space="preserve"> </w:t>
      </w:r>
      <w:r>
        <w:t>of these rules).</w:t>
      </w:r>
    </w:p>
    <w:p w14:paraId="105C2A4D" w14:textId="77777777" w:rsidR="00CF0E3D" w:rsidRPr="00E53912" w:rsidRDefault="00CF0E3D" w:rsidP="00CF0E3D">
      <w:pPr>
        <w:pStyle w:val="notetext"/>
        <w:rPr>
          <w:color w:val="000000" w:themeColor="text1"/>
        </w:rPr>
      </w:pPr>
      <w:r>
        <w:t>Note:</w:t>
      </w:r>
      <w:r>
        <w:tab/>
        <w:t xml:space="preserve">An accredited data recipient must take the steps set out in this Schedule to protect CDR data </w:t>
      </w:r>
      <w:r w:rsidRPr="00DA66A4">
        <w:rPr>
          <w:iCs/>
        </w:rPr>
        <w:t xml:space="preserve">from misuse, interference </w:t>
      </w:r>
      <w:r>
        <w:rPr>
          <w:iCs/>
        </w:rPr>
        <w:t xml:space="preserve">and </w:t>
      </w:r>
      <w:r w:rsidRPr="00DA66A4">
        <w:rPr>
          <w:iCs/>
        </w:rPr>
        <w:t>loss</w:t>
      </w:r>
      <w:r>
        <w:rPr>
          <w:iCs/>
        </w:rPr>
        <w:t>,</w:t>
      </w:r>
      <w:r w:rsidRPr="00DA66A4">
        <w:rPr>
          <w:iCs/>
        </w:rPr>
        <w:t xml:space="preserve"> and unauthorised access, modification or disclosure</w:t>
      </w:r>
      <w:r>
        <w:rPr>
          <w:iCs/>
        </w:rPr>
        <w:t>,</w:t>
      </w:r>
      <w:r>
        <w:rPr>
          <w:i/>
          <w:iCs/>
        </w:rPr>
        <w:t xml:space="preserve"> </w:t>
      </w:r>
      <w:r>
        <w:t>under subsection 56EO(1) of the Act. Subsection 56EO(1) is a civil penalty provision (see section 56EU of the Act).</w:t>
      </w:r>
    </w:p>
    <w:p w14:paraId="3ACF7482" w14:textId="2D586012" w:rsidR="00CF0E3D" w:rsidRDefault="00CF0E3D" w:rsidP="00CF0E3D">
      <w:pPr>
        <w:pStyle w:val="ActHead5"/>
      </w:pPr>
      <w:bookmarkStart w:id="574" w:name="_Toc11771714"/>
      <w:bookmarkStart w:id="575" w:name="_Toc77065067"/>
      <w:r>
        <w:t>1.2  Interpretation</w:t>
      </w:r>
      <w:bookmarkEnd w:id="574"/>
      <w:bookmarkEnd w:id="575"/>
    </w:p>
    <w:p w14:paraId="43B58355" w14:textId="77777777" w:rsidR="00CF0E3D" w:rsidRDefault="00CF0E3D" w:rsidP="00CF0E3D">
      <w:pPr>
        <w:pStyle w:val="subsection"/>
      </w:pPr>
      <w:r>
        <w:tab/>
      </w:r>
      <w:r>
        <w:tab/>
        <w:t>In this Schedule:</w:t>
      </w:r>
    </w:p>
    <w:p w14:paraId="257C2122" w14:textId="77777777" w:rsidR="00CF0E3D" w:rsidRPr="0072242E" w:rsidRDefault="00CF0E3D" w:rsidP="00CF0E3D">
      <w:pPr>
        <w:pStyle w:val="Definition"/>
      </w:pPr>
      <w:r w:rsidRPr="00CA2DFA">
        <w:rPr>
          <w:b/>
          <w:i/>
        </w:rPr>
        <w:t>CDR data environment</w:t>
      </w:r>
      <w:r w:rsidRPr="0072242E">
        <w:t xml:space="preserve"> means the information technology systems used for, and processes that relate to, the management of CDR data.</w:t>
      </w:r>
    </w:p>
    <w:p w14:paraId="260FD33F" w14:textId="77777777" w:rsidR="00CF0E3D" w:rsidRDefault="00CF0E3D" w:rsidP="00CF0E3D">
      <w:pPr>
        <w:pStyle w:val="Definition"/>
      </w:pPr>
      <w:r>
        <w:rPr>
          <w:b/>
          <w:i/>
        </w:rPr>
        <w:t xml:space="preserve">information security </w:t>
      </w:r>
      <w:r w:rsidRPr="00872423">
        <w:rPr>
          <w:b/>
          <w:i/>
        </w:rPr>
        <w:t>capability</w:t>
      </w:r>
      <w:r>
        <w:t>, of an accredited data recipient:</w:t>
      </w:r>
    </w:p>
    <w:p w14:paraId="4827CCB6" w14:textId="77777777" w:rsidR="00CF0E3D" w:rsidRDefault="00CF0E3D" w:rsidP="00CF0E3D">
      <w:pPr>
        <w:pStyle w:val="paragraph"/>
      </w:pPr>
      <w:r>
        <w:tab/>
        <w:t>(a)</w:t>
      </w:r>
      <w:r>
        <w:tab/>
        <w:t>means the accredited data recipient’s a</w:t>
      </w:r>
      <w:r w:rsidRPr="00872423">
        <w:t>bility</w:t>
      </w:r>
      <w:r w:rsidRPr="00070D86">
        <w:t xml:space="preserve"> to manage the security of its CDR data environment in practice through the implementation and operation of processes and control</w:t>
      </w:r>
      <w:r>
        <w:t>s; and</w:t>
      </w:r>
    </w:p>
    <w:p w14:paraId="39E53E21" w14:textId="77777777" w:rsidR="00CF0E3D" w:rsidRDefault="00CF0E3D" w:rsidP="00CF0E3D">
      <w:pPr>
        <w:pStyle w:val="paragraph"/>
        <w:rPr>
          <w:b/>
          <w:i/>
        </w:rPr>
      </w:pPr>
      <w:r>
        <w:tab/>
        <w:t>(b)</w:t>
      </w:r>
      <w:r>
        <w:tab/>
        <w:t>includes the accredited data recipient being able to allocate adequate budget and resources, and provide for management oversight.</w:t>
      </w:r>
    </w:p>
    <w:p w14:paraId="2A8D53ED" w14:textId="77777777" w:rsidR="00CF0E3D" w:rsidRDefault="00CF0E3D" w:rsidP="00CF0E3D">
      <w:pPr>
        <w:pStyle w:val="Definition"/>
      </w:pPr>
      <w:r>
        <w:rPr>
          <w:b/>
          <w:i/>
        </w:rPr>
        <w:t>senior management</w:t>
      </w:r>
      <w:r w:rsidRPr="00CA2DFA">
        <w:t xml:space="preserve">, of </w:t>
      </w:r>
      <w:r>
        <w:t>an accredited data recipient that is a body corporate, means:</w:t>
      </w:r>
    </w:p>
    <w:p w14:paraId="0AD98012" w14:textId="77777777" w:rsidR="00CF0E3D" w:rsidRDefault="00CF0E3D" w:rsidP="00CF0E3D">
      <w:pPr>
        <w:pStyle w:val="paragraph"/>
      </w:pPr>
      <w:r>
        <w:tab/>
        <w:t>(a)</w:t>
      </w:r>
      <w:r>
        <w:tab/>
        <w:t>the accredited data recipient’s directors; and</w:t>
      </w:r>
    </w:p>
    <w:p w14:paraId="5512E544" w14:textId="77777777" w:rsidR="00CF0E3D" w:rsidRPr="00CA2DFA" w:rsidRDefault="00CF0E3D" w:rsidP="00CF0E3D">
      <w:pPr>
        <w:pStyle w:val="paragraph"/>
      </w:pPr>
      <w:r>
        <w:tab/>
        <w:t>(b)</w:t>
      </w:r>
      <w:r>
        <w:tab/>
      </w:r>
      <w:r w:rsidRPr="00EA1E07">
        <w:t>any person who is an associated person, within the meaning of paragraph (a) of the definition of that term, of the accredited data recipient</w:t>
      </w:r>
      <w:r>
        <w:t>.</w:t>
      </w:r>
    </w:p>
    <w:p w14:paraId="50F23A6B" w14:textId="7CB37FA0" w:rsidR="00CF0E3D" w:rsidRPr="00CD6E65" w:rsidRDefault="00CF0E3D" w:rsidP="00CF0E3D">
      <w:pPr>
        <w:pStyle w:val="ActHead5"/>
      </w:pPr>
      <w:bookmarkStart w:id="576" w:name="_Toc11771715"/>
      <w:bookmarkStart w:id="577" w:name="_Toc77065068"/>
      <w:r>
        <w:t>1.3  Step 1—Define and implement security governance in relation to CDR data</w:t>
      </w:r>
      <w:bookmarkEnd w:id="576"/>
      <w:bookmarkEnd w:id="577"/>
    </w:p>
    <w:p w14:paraId="77B7F71B" w14:textId="77777777" w:rsidR="00CF0E3D" w:rsidRDefault="00CF0E3D" w:rsidP="00CF0E3D">
      <w:pPr>
        <w:pStyle w:val="subsection"/>
      </w:pPr>
      <w:r>
        <w:tab/>
        <w:t>(1)</w:t>
      </w:r>
      <w:r>
        <w:tab/>
        <w:t xml:space="preserve">An accredited data recipient of CDR data must establish a </w:t>
      </w:r>
      <w:r w:rsidRPr="00CA2DFA">
        <w:t xml:space="preserve">formal governance framework </w:t>
      </w:r>
      <w:r>
        <w:t>for managing information security risks relating to CDR data</w:t>
      </w:r>
      <w:r w:rsidRPr="00EF0E15">
        <w:t xml:space="preserve"> setting out the policies, processes, roles and responsibilities required to facilitate the oversight and management of information security</w:t>
      </w:r>
      <w:r>
        <w:t>.</w:t>
      </w:r>
    </w:p>
    <w:p w14:paraId="678FB7A6" w14:textId="77777777" w:rsidR="00CF0E3D" w:rsidRDefault="00CF0E3D" w:rsidP="00CF0E3D">
      <w:pPr>
        <w:pStyle w:val="subsection"/>
      </w:pPr>
      <w:r>
        <w:tab/>
        <w:t>(2)</w:t>
      </w:r>
      <w:r>
        <w:tab/>
        <w:t xml:space="preserve">The accredited data recipient </w:t>
      </w:r>
      <w:r w:rsidRPr="00CD6E65">
        <w:t xml:space="preserve">must clearly </w:t>
      </w:r>
      <w:r>
        <w:t>document</w:t>
      </w:r>
      <w:r w:rsidRPr="00CD6E65">
        <w:t xml:space="preserve"> </w:t>
      </w:r>
      <w:r>
        <w:t xml:space="preserve">its practices and procedures relating to </w:t>
      </w:r>
      <w:r w:rsidRPr="00CD6E65">
        <w:t>information security</w:t>
      </w:r>
      <w:r>
        <w:t xml:space="preserve"> and management of CDR data, including the </w:t>
      </w:r>
      <w:r w:rsidRPr="001B6A1B">
        <w:t xml:space="preserve">specific </w:t>
      </w:r>
      <w:r>
        <w:t xml:space="preserve">responsibilities of </w:t>
      </w:r>
      <w:r w:rsidRPr="00CD6E65">
        <w:t>senior management</w:t>
      </w:r>
      <w:r>
        <w:t>.</w:t>
      </w:r>
    </w:p>
    <w:p w14:paraId="0F854A6D" w14:textId="77777777" w:rsidR="00CF0E3D" w:rsidRDefault="00CF0E3D" w:rsidP="00CF0E3D">
      <w:pPr>
        <w:pStyle w:val="subsection"/>
      </w:pPr>
      <w:r>
        <w:lastRenderedPageBreak/>
        <w:tab/>
        <w:t>(3)</w:t>
      </w:r>
      <w:r>
        <w:tab/>
        <w:t xml:space="preserve">The accredited data recipient </w:t>
      </w:r>
      <w:r w:rsidRPr="00CD6E65">
        <w:t>must</w:t>
      </w:r>
      <w:r>
        <w:t xml:space="preserve"> have and</w:t>
      </w:r>
      <w:r w:rsidRPr="00CD6E65">
        <w:t xml:space="preserve"> maintain an information security policy</w:t>
      </w:r>
      <w:r>
        <w:t xml:space="preserve"> that details:</w:t>
      </w:r>
    </w:p>
    <w:p w14:paraId="0784F963" w14:textId="77777777" w:rsidR="00CF0E3D" w:rsidRDefault="00CF0E3D" w:rsidP="00CF0E3D">
      <w:pPr>
        <w:pStyle w:val="paragraph"/>
      </w:pPr>
      <w:r>
        <w:tab/>
        <w:t>(a)</w:t>
      </w:r>
      <w:r>
        <w:tab/>
        <w:t xml:space="preserve">its information security </w:t>
      </w:r>
      <w:r w:rsidRPr="00CD6E65">
        <w:t>risk posture</w:t>
      </w:r>
      <w:r>
        <w:t xml:space="preserve"> setting out t</w:t>
      </w:r>
      <w:r w:rsidRPr="00253C4D">
        <w:t xml:space="preserve">he exposure and potential for harm to </w:t>
      </w:r>
      <w:r>
        <w:t>the accredited data recipient’s information assets,</w:t>
      </w:r>
      <w:r w:rsidRPr="00253C4D">
        <w:t xml:space="preserve"> </w:t>
      </w:r>
      <w:r>
        <w:t xml:space="preserve">including CDR data that it holds, </w:t>
      </w:r>
      <w:r w:rsidRPr="00253C4D">
        <w:t>from security</w:t>
      </w:r>
      <w:r>
        <w:t xml:space="preserve"> threats; and</w:t>
      </w:r>
    </w:p>
    <w:p w14:paraId="136010E0" w14:textId="77777777" w:rsidR="00CF0E3D" w:rsidRPr="00CD6E65" w:rsidRDefault="00CF0E3D" w:rsidP="00CF0E3D">
      <w:pPr>
        <w:pStyle w:val="paragraph"/>
      </w:pPr>
      <w:r>
        <w:tab/>
        <w:t>(b)</w:t>
      </w:r>
      <w:r>
        <w:tab/>
      </w:r>
      <w:r w:rsidRPr="00CD6E65">
        <w:t xml:space="preserve">how </w:t>
      </w:r>
      <w:r>
        <w:t xml:space="preserve">its </w:t>
      </w:r>
      <w:r w:rsidRPr="00CD6E65">
        <w:t xml:space="preserve">information security </w:t>
      </w:r>
      <w:r>
        <w:t>practices and procedures,</w:t>
      </w:r>
      <w:r w:rsidRPr="00CD6E65">
        <w:t xml:space="preserve"> and</w:t>
      </w:r>
      <w:r>
        <w:t xml:space="preserve"> its</w:t>
      </w:r>
      <w:r w:rsidRPr="00CD6E65">
        <w:t xml:space="preserve"> </w:t>
      </w:r>
      <w:r>
        <w:t xml:space="preserve">information security </w:t>
      </w:r>
      <w:r w:rsidRPr="00CD6E65">
        <w:t>controls</w:t>
      </w:r>
      <w:r>
        <w:t>, are designed, implemented and operated</w:t>
      </w:r>
      <w:r w:rsidRPr="00CD6E65">
        <w:t xml:space="preserve"> to mitigate those risks.</w:t>
      </w:r>
    </w:p>
    <w:p w14:paraId="677426E8" w14:textId="77777777" w:rsidR="00CF0E3D" w:rsidRDefault="00CF0E3D" w:rsidP="00CF0E3D">
      <w:pPr>
        <w:pStyle w:val="subsection"/>
      </w:pPr>
      <w:r>
        <w:tab/>
        <w:t>(4)</w:t>
      </w:r>
      <w:r>
        <w:tab/>
        <w:t>The accredited data recipient must review and update the framework for appropriateness:</w:t>
      </w:r>
    </w:p>
    <w:p w14:paraId="6E0581B2" w14:textId="77777777" w:rsidR="00CF0E3D" w:rsidRDefault="00CF0E3D" w:rsidP="00CF0E3D">
      <w:pPr>
        <w:pStyle w:val="paragraph"/>
      </w:pPr>
      <w:r>
        <w:tab/>
        <w:t>(a)</w:t>
      </w:r>
      <w:r>
        <w:tab/>
        <w:t>in response</w:t>
      </w:r>
      <w:r w:rsidRPr="00CD6E65">
        <w:t xml:space="preserve"> </w:t>
      </w:r>
      <w:r>
        <w:t xml:space="preserve">to material </w:t>
      </w:r>
      <w:r w:rsidRPr="00CD6E65">
        <w:t xml:space="preserve">changes </w:t>
      </w:r>
      <w:r>
        <w:t xml:space="preserve">to both the extent and nature of threats to its CDR data environment and </w:t>
      </w:r>
      <w:r w:rsidRPr="00CD6E65">
        <w:t xml:space="preserve">its </w:t>
      </w:r>
      <w:r>
        <w:t>operating environment; or</w:t>
      </w:r>
    </w:p>
    <w:p w14:paraId="644D8DB0" w14:textId="77777777" w:rsidR="00CF0E3D" w:rsidRDefault="00CF0E3D" w:rsidP="00CF0E3D">
      <w:pPr>
        <w:pStyle w:val="paragraph"/>
      </w:pPr>
      <w:r>
        <w:tab/>
        <w:t>(b)</w:t>
      </w:r>
      <w:r>
        <w:tab/>
        <w:t>where no such material changes occur—at least annually</w:t>
      </w:r>
      <w:r w:rsidRPr="00CD6E65">
        <w:t>.</w:t>
      </w:r>
    </w:p>
    <w:p w14:paraId="0E4174E1" w14:textId="4E1170FD" w:rsidR="00CF0E3D" w:rsidRDefault="00CF0E3D" w:rsidP="00CF0E3D">
      <w:pPr>
        <w:pStyle w:val="ActHead5"/>
      </w:pPr>
      <w:bookmarkStart w:id="578" w:name="_Toc11771716"/>
      <w:bookmarkStart w:id="579" w:name="_Toc77065069"/>
      <w:r>
        <w:t>1.4  Step 2—Define the boundaries of the CDR data environment</w:t>
      </w:r>
      <w:bookmarkEnd w:id="578"/>
      <w:bookmarkEnd w:id="579"/>
    </w:p>
    <w:p w14:paraId="002D8A59" w14:textId="77777777" w:rsidR="00CF0E3D" w:rsidRDefault="00CF0E3D" w:rsidP="00CF0E3D">
      <w:pPr>
        <w:pStyle w:val="subsection"/>
      </w:pPr>
      <w:r>
        <w:tab/>
        <w:t>(1)</w:t>
      </w:r>
      <w:r>
        <w:tab/>
        <w:t>An accredited data recipient must assess, define and document the boundaries of its CDR data environment.</w:t>
      </w:r>
    </w:p>
    <w:p w14:paraId="6E212B0E" w14:textId="77777777" w:rsidR="00CF0E3D" w:rsidRDefault="00CF0E3D" w:rsidP="00CF0E3D">
      <w:pPr>
        <w:pStyle w:val="subsection"/>
      </w:pPr>
      <w:r>
        <w:tab/>
        <w:t>(2)</w:t>
      </w:r>
      <w:r>
        <w:tab/>
        <w:t>The accredited data recipient must review the boundaries of its CDR data environment for completeness and accuracy:</w:t>
      </w:r>
    </w:p>
    <w:p w14:paraId="097DB72B" w14:textId="77777777" w:rsidR="00CF0E3D" w:rsidRDefault="00CF0E3D" w:rsidP="00CF0E3D">
      <w:pPr>
        <w:pStyle w:val="paragraph"/>
      </w:pPr>
      <w:r>
        <w:tab/>
        <w:t>(a)</w:t>
      </w:r>
      <w:r>
        <w:tab/>
        <w:t>as soon as practicable when it becomes aware of material changes to the extent and nature of threats to its CDR data environment; or</w:t>
      </w:r>
    </w:p>
    <w:p w14:paraId="36E8B0E2" w14:textId="77777777" w:rsidR="00CF0E3D" w:rsidRPr="008E4BBC" w:rsidRDefault="00CF0E3D" w:rsidP="00CF0E3D">
      <w:pPr>
        <w:pStyle w:val="paragraph"/>
      </w:pPr>
      <w:r>
        <w:tab/>
        <w:t>(b)</w:t>
      </w:r>
      <w:r>
        <w:tab/>
        <w:t>where no such material changes occur—at least annually.</w:t>
      </w:r>
    </w:p>
    <w:p w14:paraId="17D693CA" w14:textId="4B1F68AD" w:rsidR="00CF0E3D" w:rsidRDefault="00CF0E3D" w:rsidP="00CF0E3D">
      <w:pPr>
        <w:pStyle w:val="ActHead5"/>
      </w:pPr>
      <w:bookmarkStart w:id="580" w:name="_Toc11771717"/>
      <w:bookmarkStart w:id="581" w:name="_Toc77065070"/>
      <w:r>
        <w:t>1.5  Step 3—Have and maintain an information security capability</w:t>
      </w:r>
      <w:bookmarkEnd w:id="580"/>
      <w:bookmarkEnd w:id="581"/>
    </w:p>
    <w:p w14:paraId="1DF05D04" w14:textId="77777777" w:rsidR="00CF0E3D" w:rsidRPr="00EF501E" w:rsidRDefault="00CF0E3D" w:rsidP="00CF0E3D">
      <w:pPr>
        <w:pStyle w:val="subsection"/>
      </w:pPr>
      <w:r w:rsidRPr="00EF501E">
        <w:tab/>
      </w:r>
      <w:r>
        <w:t>(1)</w:t>
      </w:r>
      <w:r w:rsidRPr="00EF501E">
        <w:tab/>
        <w:t>The accredited data recipient must have and maintain an information security capability that:</w:t>
      </w:r>
    </w:p>
    <w:p w14:paraId="598D5D26" w14:textId="47FB7D88" w:rsidR="00C53540" w:rsidRPr="00693A57" w:rsidRDefault="00CF0E3D" w:rsidP="00CF0E3D">
      <w:pPr>
        <w:pStyle w:val="paragraph"/>
        <w:rPr>
          <w:color w:val="0000FF"/>
        </w:rPr>
      </w:pPr>
      <w:r w:rsidRPr="00EF501E">
        <w:tab/>
      </w:r>
      <w:r>
        <w:t>(a)</w:t>
      </w:r>
      <w:r w:rsidRPr="00EF501E">
        <w:tab/>
        <w:t xml:space="preserve">complies with the </w:t>
      </w:r>
      <w:r w:rsidR="00C53540" w:rsidRPr="00693A57">
        <w:rPr>
          <w:color w:val="0000FF"/>
        </w:rPr>
        <w:t xml:space="preserve">applicable </w:t>
      </w:r>
      <w:r w:rsidRPr="00EF501E">
        <w:t xml:space="preserve">information security controls specified in </w:t>
      </w:r>
      <w:r>
        <w:t>Part 2</w:t>
      </w:r>
      <w:r w:rsidRPr="00EF501E">
        <w:t xml:space="preserve"> of this Schedule</w:t>
      </w:r>
      <w:r w:rsidR="00C53540">
        <w:t>;</w:t>
      </w:r>
    </w:p>
    <w:p w14:paraId="410584C3" w14:textId="77777777" w:rsidR="00CF0E3D" w:rsidRPr="00EF501E" w:rsidRDefault="00CF0E3D" w:rsidP="00CF0E3D">
      <w:pPr>
        <w:pStyle w:val="paragraph"/>
      </w:pPr>
      <w:r w:rsidRPr="00EF501E">
        <w:tab/>
      </w:r>
      <w:r>
        <w:t>(b)</w:t>
      </w:r>
      <w:r w:rsidRPr="00EF501E">
        <w:tab/>
        <w:t>is appropriate and adapted to respond to risks to information security, having regard to:</w:t>
      </w:r>
    </w:p>
    <w:p w14:paraId="0BC31332" w14:textId="77777777" w:rsidR="00CF0E3D" w:rsidRPr="00EF501E" w:rsidRDefault="00CF0E3D" w:rsidP="00CF0E3D">
      <w:pPr>
        <w:pStyle w:val="paragraphsub"/>
      </w:pPr>
      <w:r w:rsidRPr="00EF501E">
        <w:tab/>
      </w:r>
      <w:r>
        <w:t>(i)</w:t>
      </w:r>
      <w:r w:rsidRPr="00EF501E">
        <w:tab/>
        <w:t xml:space="preserve">the extent and nature of threats to CDR data that it holds; and </w:t>
      </w:r>
    </w:p>
    <w:p w14:paraId="55C41D49" w14:textId="77777777" w:rsidR="00CF0E3D" w:rsidRPr="00EF501E" w:rsidRDefault="00CF0E3D" w:rsidP="00CF0E3D">
      <w:pPr>
        <w:pStyle w:val="paragraphsub"/>
      </w:pPr>
      <w:r w:rsidRPr="00EF501E">
        <w:tab/>
      </w:r>
      <w:r>
        <w:t>(ii)</w:t>
      </w:r>
      <w:r w:rsidRPr="00EF501E">
        <w:tab/>
        <w:t xml:space="preserve">the extent and nature of CDR data that it holds; and </w:t>
      </w:r>
    </w:p>
    <w:p w14:paraId="5FA4553B" w14:textId="77777777" w:rsidR="00CF0E3D" w:rsidRPr="00EF501E" w:rsidRDefault="00CF0E3D" w:rsidP="00CF0E3D">
      <w:pPr>
        <w:pStyle w:val="paragraphsub"/>
      </w:pPr>
      <w:r w:rsidRPr="00EF501E">
        <w:tab/>
      </w:r>
      <w:r>
        <w:t>(iii)</w:t>
      </w:r>
      <w:r w:rsidRPr="00EF501E">
        <w:tab/>
        <w:t>the potential loss or damage to one or more CDR consumers if all or part of the consumer’s data were to be:</w:t>
      </w:r>
    </w:p>
    <w:p w14:paraId="3E669EDC" w14:textId="77777777" w:rsidR="00CF0E3D" w:rsidRPr="00EF501E" w:rsidRDefault="00CF0E3D" w:rsidP="00CF0E3D">
      <w:pPr>
        <w:pStyle w:val="paragraphsub-sub"/>
      </w:pPr>
      <w:r w:rsidRPr="00EF501E">
        <w:tab/>
      </w:r>
      <w:r>
        <w:t>(A)</w:t>
      </w:r>
      <w:r w:rsidRPr="00EF501E">
        <w:tab/>
        <w:t>misused, interfered with or lost; or</w:t>
      </w:r>
    </w:p>
    <w:p w14:paraId="01E94361" w14:textId="77777777" w:rsidR="00CF0E3D" w:rsidRPr="00EF501E" w:rsidRDefault="00CF0E3D" w:rsidP="00CF0E3D">
      <w:pPr>
        <w:pStyle w:val="paragraphsub-sub"/>
      </w:pPr>
      <w:r w:rsidRPr="00EF501E">
        <w:tab/>
      </w:r>
      <w:r>
        <w:t>(B)</w:t>
      </w:r>
      <w:r w:rsidRPr="00EF501E">
        <w:tab/>
        <w:t>accessed, modified or disclosed without authorisation.</w:t>
      </w:r>
    </w:p>
    <w:p w14:paraId="6CCA9177" w14:textId="77777777" w:rsidR="00CF0E3D" w:rsidRDefault="00CF0E3D" w:rsidP="00CF0E3D">
      <w:pPr>
        <w:pStyle w:val="subsection"/>
      </w:pPr>
      <w:r>
        <w:tab/>
        <w:t>(2)</w:t>
      </w:r>
      <w:r>
        <w:tab/>
        <w:t xml:space="preserve">The accredited data recipient </w:t>
      </w:r>
      <w:r w:rsidRPr="00CD6E65">
        <w:t xml:space="preserve">must </w:t>
      </w:r>
      <w:r>
        <w:t xml:space="preserve">review and adjust its </w:t>
      </w:r>
      <w:r w:rsidRPr="00CD6E65">
        <w:t>information security capability</w:t>
      </w:r>
      <w:r>
        <w:t>:</w:t>
      </w:r>
    </w:p>
    <w:p w14:paraId="323B6909" w14:textId="77777777" w:rsidR="00CF0E3D" w:rsidRDefault="00CF0E3D" w:rsidP="00CF0E3D">
      <w:pPr>
        <w:pStyle w:val="paragraph"/>
      </w:pPr>
      <w:r>
        <w:tab/>
        <w:t>(a)</w:t>
      </w:r>
      <w:r>
        <w:tab/>
        <w:t>in response</w:t>
      </w:r>
      <w:r w:rsidRPr="00CD6E65">
        <w:t xml:space="preserve"> </w:t>
      </w:r>
      <w:r>
        <w:t xml:space="preserve">to material </w:t>
      </w:r>
      <w:r w:rsidRPr="00CD6E65">
        <w:t xml:space="preserve">changes </w:t>
      </w:r>
      <w:r>
        <w:t xml:space="preserve">to both the nature and extent of threats and </w:t>
      </w:r>
      <w:r w:rsidRPr="00CD6E65">
        <w:t xml:space="preserve">its </w:t>
      </w:r>
      <w:r>
        <w:t>CDR data</w:t>
      </w:r>
      <w:r w:rsidRPr="00CD6E65">
        <w:t xml:space="preserve"> environment</w:t>
      </w:r>
      <w:r>
        <w:t>; or</w:t>
      </w:r>
    </w:p>
    <w:p w14:paraId="2C3950EB" w14:textId="77777777" w:rsidR="00CF0E3D" w:rsidRDefault="00CF0E3D" w:rsidP="00CF0E3D">
      <w:pPr>
        <w:pStyle w:val="paragraph"/>
      </w:pPr>
      <w:r>
        <w:tab/>
        <w:t>(b)</w:t>
      </w:r>
      <w:r>
        <w:tab/>
        <w:t>where no such material changes occur—at least annually</w:t>
      </w:r>
      <w:r w:rsidRPr="00CD6E65">
        <w:t>.</w:t>
      </w:r>
    </w:p>
    <w:p w14:paraId="2DE20843" w14:textId="57DE2E36" w:rsidR="00CF0E3D" w:rsidRPr="00CD6E65" w:rsidRDefault="00CF0E3D" w:rsidP="00CF0E3D">
      <w:pPr>
        <w:pStyle w:val="ActHead5"/>
      </w:pPr>
      <w:bookmarkStart w:id="582" w:name="_Toc11771718"/>
      <w:bookmarkStart w:id="583" w:name="_Toc77065071"/>
      <w:r>
        <w:lastRenderedPageBreak/>
        <w:t>1.6  Step 4—Implement a formal controls assessment program</w:t>
      </w:r>
      <w:bookmarkEnd w:id="582"/>
      <w:bookmarkEnd w:id="583"/>
    </w:p>
    <w:p w14:paraId="5363B15B" w14:textId="77777777" w:rsidR="00CF0E3D" w:rsidRDefault="00CF0E3D" w:rsidP="00CF0E3D">
      <w:pPr>
        <w:pStyle w:val="subsection"/>
      </w:pPr>
      <w:r>
        <w:tab/>
        <w:t>(1)</w:t>
      </w:r>
      <w:r>
        <w:tab/>
        <w:t>An accredited data recipient must establish and implement a testing program to review and assess the effectiveness of its information security capability which:</w:t>
      </w:r>
    </w:p>
    <w:p w14:paraId="3297C0AF" w14:textId="77777777" w:rsidR="00CF0E3D" w:rsidRPr="00CD6E65" w:rsidRDefault="00CF0E3D" w:rsidP="00CF0E3D">
      <w:pPr>
        <w:pStyle w:val="paragraph"/>
      </w:pPr>
      <w:r>
        <w:tab/>
        <w:t>(a)</w:t>
      </w:r>
      <w:r>
        <w:tab/>
        <w:t>is appropriate having regard to the factors set out in paragraph 1.5(1)(b); and</w:t>
      </w:r>
    </w:p>
    <w:p w14:paraId="02C7BE23" w14:textId="77777777" w:rsidR="00CF0E3D" w:rsidRDefault="00CF0E3D" w:rsidP="00CF0E3D">
      <w:pPr>
        <w:pStyle w:val="paragraph"/>
      </w:pPr>
      <w:r>
        <w:tab/>
        <w:t>(b)</w:t>
      </w:r>
      <w:r>
        <w:tab/>
        <w:t>requires testing at a frequency, and to an extent, that is appropriate having regard to:</w:t>
      </w:r>
    </w:p>
    <w:p w14:paraId="43D5FFE9" w14:textId="77777777" w:rsidR="00CF0E3D" w:rsidRPr="00EF501E" w:rsidRDefault="00CF0E3D" w:rsidP="00CF0E3D">
      <w:pPr>
        <w:pStyle w:val="paragraphsub"/>
      </w:pPr>
      <w:r>
        <w:tab/>
        <w:t>(i)</w:t>
      </w:r>
      <w:r w:rsidRPr="00EF501E">
        <w:tab/>
      </w:r>
      <w:r>
        <w:t>t</w:t>
      </w:r>
      <w:r w:rsidRPr="00CD6E65">
        <w:t>he rate at which vulnerabilities and threats change</w:t>
      </w:r>
      <w:r>
        <w:t>;</w:t>
      </w:r>
      <w:r w:rsidRPr="00CD6E65">
        <w:t xml:space="preserve"> </w:t>
      </w:r>
      <w:r>
        <w:t>and</w:t>
      </w:r>
      <w:r w:rsidRPr="00EF501E">
        <w:t xml:space="preserve"> </w:t>
      </w:r>
    </w:p>
    <w:p w14:paraId="03C75429" w14:textId="77777777" w:rsidR="00CF0E3D" w:rsidRDefault="00CF0E3D" w:rsidP="00CF0E3D">
      <w:pPr>
        <w:pStyle w:val="paragraphsub"/>
      </w:pPr>
      <w:r w:rsidRPr="00EF501E">
        <w:tab/>
      </w:r>
      <w:r>
        <w:t>(ii)</w:t>
      </w:r>
      <w:r w:rsidRPr="00EF501E">
        <w:tab/>
      </w:r>
      <w:r>
        <w:t>material changes to the boundaries of its CDR data environment; and</w:t>
      </w:r>
    </w:p>
    <w:p w14:paraId="10F44A17" w14:textId="77777777" w:rsidR="00CF0E3D" w:rsidRDefault="00CF0E3D" w:rsidP="00CF0E3D">
      <w:pPr>
        <w:pStyle w:val="paragraphsub"/>
      </w:pPr>
      <w:r>
        <w:tab/>
        <w:t>(iii)</w:t>
      </w:r>
      <w:r>
        <w:tab/>
        <w:t>the likelihood of failure of controls having regard to the results of previous testing.</w:t>
      </w:r>
    </w:p>
    <w:p w14:paraId="06CB19BE" w14:textId="77777777" w:rsidR="00CF0E3D" w:rsidRDefault="00CF0E3D" w:rsidP="00CF0E3D">
      <w:pPr>
        <w:pStyle w:val="subsection"/>
      </w:pPr>
      <w:r w:rsidRPr="00133F4F">
        <w:tab/>
      </w:r>
      <w:r>
        <w:t>(2)</w:t>
      </w:r>
      <w:r w:rsidRPr="00133F4F">
        <w:tab/>
        <w:t>The accredited data recipient must monitor and evaluate</w:t>
      </w:r>
      <w:r>
        <w:t xml:space="preserve"> the design, implementation and operating effectiveness of its security controls relating to the </w:t>
      </w:r>
      <w:r w:rsidRPr="00133F4F">
        <w:t>management of CDR data in accordance with its obligations under Part IVD of the Act and these rules</w:t>
      </w:r>
      <w:r>
        <w:t>, and having regard to</w:t>
      </w:r>
      <w:r w:rsidRPr="00133F4F">
        <w:t xml:space="preserve"> </w:t>
      </w:r>
      <w:r>
        <w:t xml:space="preserve">the information security controls </w:t>
      </w:r>
      <w:r w:rsidRPr="00872423">
        <w:t xml:space="preserve">in </w:t>
      </w:r>
      <w:r>
        <w:t>Part 2</w:t>
      </w:r>
      <w:r w:rsidRPr="00872423">
        <w:t xml:space="preserve"> of this Schedule</w:t>
      </w:r>
      <w:r w:rsidRPr="00133F4F">
        <w:t>.</w:t>
      </w:r>
    </w:p>
    <w:p w14:paraId="38A74925" w14:textId="77777777" w:rsidR="00CF0E3D" w:rsidRPr="00CD6E65" w:rsidRDefault="00CF0E3D" w:rsidP="00CF0E3D">
      <w:pPr>
        <w:pStyle w:val="subsection"/>
      </w:pPr>
      <w:r>
        <w:tab/>
        <w:t>(3)</w:t>
      </w:r>
      <w:r>
        <w:tab/>
        <w:t xml:space="preserve">The accredited data recipient </w:t>
      </w:r>
      <w:r w:rsidRPr="00CD6E65">
        <w:t>must escalate and repo</w:t>
      </w:r>
      <w:r>
        <w:t>rt</w:t>
      </w:r>
      <w:r w:rsidRPr="00CD6E65">
        <w:t xml:space="preserve"> to senior management</w:t>
      </w:r>
      <w:r>
        <w:t xml:space="preserve"> the results of </w:t>
      </w:r>
      <w:r w:rsidRPr="00CD6E65">
        <w:t>any testing that identif</w:t>
      </w:r>
      <w:r>
        <w:t>ies</w:t>
      </w:r>
      <w:r w:rsidRPr="00CD6E65">
        <w:t xml:space="preserve"> </w:t>
      </w:r>
      <w:r>
        <w:t xml:space="preserve">design, implementation or operational deficiencies in </w:t>
      </w:r>
      <w:r w:rsidRPr="00CD6E65">
        <w:t>information security control</w:t>
      </w:r>
      <w:r>
        <w:t>s relevant to its CDR data environment.</w:t>
      </w:r>
    </w:p>
    <w:p w14:paraId="04ADCFFC" w14:textId="77777777" w:rsidR="00CF0E3D" w:rsidRPr="00CD6E65" w:rsidRDefault="00CF0E3D" w:rsidP="00CF0E3D">
      <w:pPr>
        <w:pStyle w:val="subsection"/>
      </w:pPr>
      <w:r>
        <w:tab/>
        <w:t>(4)</w:t>
      </w:r>
      <w:r>
        <w:tab/>
        <w:t xml:space="preserve">The accredited data recipient </w:t>
      </w:r>
      <w:r w:rsidRPr="00CD6E65">
        <w:t xml:space="preserve">must ensure that testing is conducted by appropriately skilled </w:t>
      </w:r>
      <w:r>
        <w:t>persons who are independent from the performance of controls over the CDR data environment.</w:t>
      </w:r>
    </w:p>
    <w:p w14:paraId="1B10AB39" w14:textId="77777777" w:rsidR="00CF0E3D" w:rsidRDefault="00CF0E3D" w:rsidP="00CF0E3D">
      <w:pPr>
        <w:pStyle w:val="subsection"/>
      </w:pPr>
      <w:r>
        <w:tab/>
        <w:t>(5)</w:t>
      </w:r>
      <w:r>
        <w:tab/>
        <w:t xml:space="preserve">The accredited data recipient </w:t>
      </w:r>
      <w:r w:rsidRPr="00CD6E65">
        <w:t>must review the sufficiency of its testing program</w:t>
      </w:r>
      <w:r>
        <w:t xml:space="preserve"> referred to in subclause (1):</w:t>
      </w:r>
    </w:p>
    <w:p w14:paraId="698577C8" w14:textId="77777777" w:rsidR="00CF0E3D" w:rsidRDefault="00CF0E3D" w:rsidP="00CF0E3D">
      <w:pPr>
        <w:pStyle w:val="paragraph"/>
      </w:pPr>
      <w:r>
        <w:tab/>
        <w:t>(a)</w:t>
      </w:r>
      <w:r>
        <w:tab/>
      </w:r>
      <w:r w:rsidRPr="00CD6E65">
        <w:t xml:space="preserve">when there is a material change to </w:t>
      </w:r>
      <w:r>
        <w:t>the nature and extent of threats to its CDR data environment or to the boundaries of its CDR data environment—as soon as practicable; or</w:t>
      </w:r>
    </w:p>
    <w:p w14:paraId="405117D6" w14:textId="77777777" w:rsidR="00CF0E3D" w:rsidRDefault="00CF0E3D" w:rsidP="00CF0E3D">
      <w:pPr>
        <w:pStyle w:val="paragraph"/>
      </w:pPr>
      <w:r>
        <w:tab/>
        <w:t>(b)</w:t>
      </w:r>
      <w:r>
        <w:tab/>
        <w:t>where no such material changes occur—</w:t>
      </w:r>
      <w:r w:rsidRPr="00CD6E65">
        <w:t>at least annually.</w:t>
      </w:r>
    </w:p>
    <w:p w14:paraId="020C40F7" w14:textId="3172D934" w:rsidR="00CF0E3D" w:rsidRPr="00817A63" w:rsidRDefault="00CF0E3D" w:rsidP="00CF0E3D">
      <w:pPr>
        <w:pStyle w:val="ActHead5"/>
      </w:pPr>
      <w:bookmarkStart w:id="584" w:name="_Toc11771719"/>
      <w:bookmarkStart w:id="585" w:name="_Toc77065072"/>
      <w:r>
        <w:t>1.7  Step</w:t>
      </w:r>
      <w:r w:rsidRPr="00817A63">
        <w:t xml:space="preserve"> 5</w:t>
      </w:r>
      <w:r>
        <w:t>—</w:t>
      </w:r>
      <w:r w:rsidRPr="00817A63">
        <w:t>Manage and report security incidents</w:t>
      </w:r>
      <w:bookmarkEnd w:id="584"/>
      <w:bookmarkEnd w:id="585"/>
    </w:p>
    <w:p w14:paraId="2B24FD80" w14:textId="77777777" w:rsidR="00CF0E3D" w:rsidRPr="00CD6E65" w:rsidRDefault="00CF0E3D" w:rsidP="00CF0E3D">
      <w:pPr>
        <w:pStyle w:val="subsection"/>
      </w:pPr>
      <w:r>
        <w:tab/>
        <w:t>(1)</w:t>
      </w:r>
      <w:r>
        <w:tab/>
        <w:t xml:space="preserve">An accredited data recipient </w:t>
      </w:r>
      <w:r w:rsidRPr="00CD6E65">
        <w:t xml:space="preserve">must have </w:t>
      </w:r>
      <w:r>
        <w:t>procedures and practices</w:t>
      </w:r>
      <w:r w:rsidRPr="00CD6E65">
        <w:t xml:space="preserve"> in place to detect, record, and respond to information securit</w:t>
      </w:r>
      <w:r>
        <w:t xml:space="preserve">y incidents </w:t>
      </w:r>
      <w:r w:rsidRPr="00005026">
        <w:t>as soon as practicable</w:t>
      </w:r>
      <w:r>
        <w:t>.</w:t>
      </w:r>
    </w:p>
    <w:p w14:paraId="451DF311" w14:textId="77777777" w:rsidR="00CF0E3D" w:rsidRPr="00CD6E65" w:rsidRDefault="00CF0E3D" w:rsidP="00CF0E3D">
      <w:pPr>
        <w:pStyle w:val="subsection"/>
      </w:pPr>
      <w:r>
        <w:tab/>
        <w:t>(2)</w:t>
      </w:r>
      <w:r>
        <w:tab/>
        <w:t xml:space="preserve">The accredited data recipient </w:t>
      </w:r>
      <w:r w:rsidRPr="00CD6E65">
        <w:t xml:space="preserve">must </w:t>
      </w:r>
      <w:r>
        <w:t xml:space="preserve">create and </w:t>
      </w:r>
      <w:r w:rsidRPr="00CD6E65">
        <w:t xml:space="preserve">maintain plans to respond to information security incidents that </w:t>
      </w:r>
      <w:r>
        <w:t xml:space="preserve">it </w:t>
      </w:r>
      <w:r w:rsidRPr="00CD6E65">
        <w:t>considers could plausibly occur (</w:t>
      </w:r>
      <w:r w:rsidRPr="00EE2EA1">
        <w:rPr>
          <w:b/>
          <w:i/>
        </w:rPr>
        <w:t>CDR data security response plans</w:t>
      </w:r>
      <w:r>
        <w:t>).</w:t>
      </w:r>
    </w:p>
    <w:p w14:paraId="29029C4F" w14:textId="77777777" w:rsidR="00CF0E3D" w:rsidRPr="00CD6E65" w:rsidRDefault="00CF0E3D" w:rsidP="00CF0E3D">
      <w:pPr>
        <w:pStyle w:val="subsection"/>
      </w:pPr>
      <w:r>
        <w:tab/>
        <w:t>(3)</w:t>
      </w:r>
      <w:r>
        <w:tab/>
        <w:t xml:space="preserve">The accredited data recipient’s </w:t>
      </w:r>
      <w:r w:rsidRPr="00CD6E65">
        <w:t xml:space="preserve">CDR data security response plans must include </w:t>
      </w:r>
      <w:r>
        <w:t>procedures</w:t>
      </w:r>
      <w:r w:rsidRPr="00CD6E65">
        <w:t xml:space="preserve"> for: </w:t>
      </w:r>
    </w:p>
    <w:p w14:paraId="643340F6" w14:textId="77777777" w:rsidR="00CF0E3D" w:rsidRDefault="00CF0E3D" w:rsidP="00CF0E3D">
      <w:pPr>
        <w:pStyle w:val="paragraph"/>
      </w:pPr>
      <w:r>
        <w:lastRenderedPageBreak/>
        <w:tab/>
        <w:t>(a)</w:t>
      </w:r>
      <w:r>
        <w:tab/>
        <w:t>m</w:t>
      </w:r>
      <w:r w:rsidRPr="00CD6E65">
        <w:t>anaging all relevant stages of an incident, from detection to post-incident review</w:t>
      </w:r>
      <w:r>
        <w:t>;</w:t>
      </w:r>
      <w:r w:rsidRPr="00CD6E65">
        <w:t xml:space="preserve"> </w:t>
      </w:r>
      <w:r>
        <w:t>and</w:t>
      </w:r>
    </w:p>
    <w:p w14:paraId="1D501B66" w14:textId="77777777" w:rsidR="00CF0E3D" w:rsidRPr="00005026" w:rsidRDefault="00CF0E3D" w:rsidP="00CF0E3D">
      <w:pPr>
        <w:pStyle w:val="paragraph"/>
      </w:pPr>
      <w:r>
        <w:tab/>
        <w:t>(b)</w:t>
      </w:r>
      <w:r>
        <w:tab/>
        <w:t xml:space="preserve">notifying CDR data security breaches to the Information Commissioner and to CDR consumers as required under Part IIIC of the </w:t>
      </w:r>
      <w:r>
        <w:rPr>
          <w:i/>
        </w:rPr>
        <w:t>Privacy Act 1988</w:t>
      </w:r>
      <w:r w:rsidRPr="00005026">
        <w:t>; and</w:t>
      </w:r>
    </w:p>
    <w:p w14:paraId="2537DF77" w14:textId="77777777" w:rsidR="00CF0E3D" w:rsidRPr="00005026" w:rsidRDefault="00CF0E3D" w:rsidP="00CF0E3D">
      <w:pPr>
        <w:pStyle w:val="paragraph"/>
      </w:pPr>
      <w:r w:rsidRPr="00005026">
        <w:tab/>
      </w:r>
      <w:r>
        <w:t>(c)</w:t>
      </w:r>
      <w:r w:rsidRPr="00005026">
        <w:tab/>
        <w:t xml:space="preserve">notifying information security incidents to the Australian Cyber Security Centre </w:t>
      </w:r>
      <w:r w:rsidRPr="007115C0">
        <w:t>as soon as</w:t>
      </w:r>
      <w:r w:rsidRPr="00005026">
        <w:t xml:space="preserve"> practicable and in any case no later than 30 days after the accredited data recipient becomes aware of the security incident.</w:t>
      </w:r>
    </w:p>
    <w:p w14:paraId="6B848FAD" w14:textId="77777777" w:rsidR="00CF0E3D" w:rsidRPr="00751616" w:rsidRDefault="00CF0E3D" w:rsidP="00CF0E3D">
      <w:pPr>
        <w:pStyle w:val="notetext"/>
      </w:pPr>
      <w:r>
        <w:t>Note:</w:t>
      </w:r>
      <w:r>
        <w:tab/>
        <w:t xml:space="preserve">For paragraph (3)(b), see section 56ES of the Act for the extended application of Part IIIC of the </w:t>
      </w:r>
      <w:r>
        <w:rPr>
          <w:i/>
        </w:rPr>
        <w:t>Privacy Act 1988</w:t>
      </w:r>
      <w:r>
        <w:t>.</w:t>
      </w:r>
    </w:p>
    <w:p w14:paraId="5788C992" w14:textId="77777777" w:rsidR="00CF0E3D" w:rsidRDefault="00CF0E3D" w:rsidP="00CF0E3D">
      <w:pPr>
        <w:pStyle w:val="subsection"/>
      </w:pPr>
      <w:r>
        <w:tab/>
        <w:t>(4)</w:t>
      </w:r>
      <w:r>
        <w:tab/>
        <w:t xml:space="preserve">The accredited data recipient </w:t>
      </w:r>
      <w:r w:rsidRPr="00CD6E65">
        <w:t xml:space="preserve">must review and test its </w:t>
      </w:r>
      <w:r>
        <w:t xml:space="preserve">CDR data </w:t>
      </w:r>
      <w:r w:rsidRPr="00CD6E65">
        <w:t>security response plans</w:t>
      </w:r>
      <w:r>
        <w:t>:</w:t>
      </w:r>
    </w:p>
    <w:p w14:paraId="35A9CB45" w14:textId="77777777" w:rsidR="00CF0E3D" w:rsidRDefault="00CF0E3D" w:rsidP="00CF0E3D">
      <w:pPr>
        <w:pStyle w:val="paragraph"/>
      </w:pPr>
      <w:r>
        <w:tab/>
        <w:t>(a)</w:t>
      </w:r>
      <w:r>
        <w:tab/>
        <w:t>when there is a material change to the nature and extent of threats to its CDR data environment or to the boundaries of its CDR data environment—as soon as practicable;</w:t>
      </w:r>
      <w:r w:rsidRPr="00CD6E65">
        <w:t xml:space="preserve"> </w:t>
      </w:r>
      <w:r>
        <w:t>and</w:t>
      </w:r>
    </w:p>
    <w:p w14:paraId="67DFCBA7" w14:textId="77777777" w:rsidR="00361FBC" w:rsidRDefault="00CF0E3D" w:rsidP="00CF0E3D">
      <w:pPr>
        <w:pStyle w:val="paragraph"/>
      </w:pPr>
      <w:r>
        <w:tab/>
        <w:t>(b)</w:t>
      </w:r>
      <w:r>
        <w:tab/>
        <w:t>where no such material changes occur—at least annually.</w:t>
      </w:r>
    </w:p>
    <w:p w14:paraId="527330EA" w14:textId="77777777" w:rsidR="00CF0E3D" w:rsidRPr="00005026" w:rsidRDefault="00CF0E3D" w:rsidP="00CF0E3D">
      <w:pPr>
        <w:pStyle w:val="subsection"/>
      </w:pPr>
      <w:r w:rsidRPr="00005026">
        <w:tab/>
      </w:r>
      <w:r>
        <w:t>(5)</w:t>
      </w:r>
      <w:r w:rsidRPr="00005026">
        <w:tab/>
        <w:t>In this clause:</w:t>
      </w:r>
    </w:p>
    <w:p w14:paraId="282861D1" w14:textId="77777777" w:rsidR="00CF0E3D" w:rsidRPr="00005026" w:rsidRDefault="00CF0E3D" w:rsidP="00CF0E3D">
      <w:pPr>
        <w:pStyle w:val="Definition"/>
      </w:pPr>
      <w:r w:rsidRPr="00005026">
        <w:rPr>
          <w:b/>
          <w:i/>
        </w:rPr>
        <w:t xml:space="preserve">Australian Cyber Security Centre </w:t>
      </w:r>
      <w:r w:rsidRPr="00005026">
        <w:t>means the cyber security function within the Australian Signals Directorate.</w:t>
      </w:r>
    </w:p>
    <w:p w14:paraId="303D5C7A" w14:textId="77777777" w:rsidR="00CF0E3D" w:rsidRDefault="00CF0E3D" w:rsidP="00CF0E3D">
      <w:pPr>
        <w:pStyle w:val="subsection"/>
        <w:sectPr w:rsidR="00CF0E3D" w:rsidSect="00AA730A">
          <w:headerReference w:type="default" r:id="rId23"/>
          <w:pgSz w:w="11907" w:h="16839" w:code="9"/>
          <w:pgMar w:top="2234" w:right="1797" w:bottom="1440" w:left="1797" w:header="720" w:footer="709" w:gutter="0"/>
          <w:cols w:space="708"/>
          <w:docGrid w:linePitch="360"/>
        </w:sectPr>
      </w:pPr>
    </w:p>
    <w:p w14:paraId="3D118E16" w14:textId="1FE4E564" w:rsidR="00CF0E3D" w:rsidRDefault="00CF0E3D" w:rsidP="00CF0E3D">
      <w:pPr>
        <w:pStyle w:val="ActHead2"/>
        <w:pageBreakBefore/>
      </w:pPr>
      <w:bookmarkStart w:id="586" w:name="_Toc11771720"/>
      <w:bookmarkStart w:id="587" w:name="_Toc77065073"/>
      <w:r>
        <w:lastRenderedPageBreak/>
        <w:t>Part 2</w:t>
      </w:r>
      <w:r w:rsidR="00A81512">
        <w:t xml:space="preserve"> </w:t>
      </w:r>
      <w:r>
        <w:t>—Minimum information security controls</w:t>
      </w:r>
      <w:bookmarkEnd w:id="586"/>
      <w:bookmarkEnd w:id="587"/>
    </w:p>
    <w:p w14:paraId="6584ACB2" w14:textId="6306E6CA" w:rsidR="00CF0E3D" w:rsidRDefault="00CF0E3D" w:rsidP="00CF0E3D">
      <w:pPr>
        <w:pStyle w:val="ActHead5"/>
      </w:pPr>
      <w:bookmarkStart w:id="588" w:name="_Toc11771721"/>
      <w:bookmarkStart w:id="589" w:name="_Toc77065074"/>
      <w:r>
        <w:t>2.1  Purpose of Part</w:t>
      </w:r>
      <w:bookmarkEnd w:id="588"/>
      <w:bookmarkEnd w:id="589"/>
    </w:p>
    <w:p w14:paraId="2DE2062D" w14:textId="77777777" w:rsidR="00CF0E3D" w:rsidRDefault="00CF0E3D" w:rsidP="00CF0E3D">
      <w:pPr>
        <w:pStyle w:val="subsection"/>
      </w:pPr>
      <w:r>
        <w:tab/>
      </w:r>
      <w:r>
        <w:tab/>
        <w:t>This Part sets out the information security controls, for the purpose of paragraph 1.5(1)(a) of this Schedule.</w:t>
      </w:r>
    </w:p>
    <w:p w14:paraId="5313BA33" w14:textId="4D3E5D31" w:rsidR="00CF0E3D" w:rsidRPr="00743F12" w:rsidRDefault="00CF0E3D" w:rsidP="00CF0E3D">
      <w:pPr>
        <w:pStyle w:val="ActHead5"/>
      </w:pPr>
      <w:bookmarkStart w:id="590" w:name="_Toc11771722"/>
      <w:bookmarkStart w:id="591" w:name="_Toc77065075"/>
      <w:r>
        <w:t xml:space="preserve">2.2 </w:t>
      </w:r>
      <w:r w:rsidR="001E5E31">
        <w:t xml:space="preserve"> </w:t>
      </w:r>
      <w:r>
        <w:t xml:space="preserve"> Information security controls</w:t>
      </w:r>
      <w:bookmarkEnd w:id="590"/>
      <w:bookmarkEnd w:id="591"/>
    </w:p>
    <w:p w14:paraId="688D5D7D" w14:textId="6A38AB62" w:rsidR="00A81512" w:rsidRPr="00B96CC8" w:rsidRDefault="00CF0E3D" w:rsidP="00B96CC8">
      <w:pPr>
        <w:pStyle w:val="subsection"/>
      </w:pPr>
      <w:r>
        <w:tab/>
      </w:r>
      <w:r>
        <w:tab/>
        <w:t>The information security controls are set out in the following table:</w:t>
      </w:r>
      <w:bookmarkStart w:id="592" w:name="_Toc11771723"/>
    </w:p>
    <w:p w14:paraId="12486E5D" w14:textId="77777777" w:rsidR="00A81512" w:rsidRDefault="00A81512" w:rsidP="00CF0E3D">
      <w:pPr>
        <w:pStyle w:val="ActHead6"/>
        <w:rPr>
          <w:color w:val="000000" w:themeColor="text1"/>
        </w:rPr>
      </w:pPr>
    </w:p>
    <w:tbl>
      <w:tblPr>
        <w:tblStyle w:val="TableGrid"/>
        <w:tblW w:w="5780" w:type="pct"/>
        <w:tblLook w:val="04A0" w:firstRow="1" w:lastRow="0" w:firstColumn="1" w:lastColumn="0" w:noHBand="0" w:noVBand="1"/>
      </w:tblPr>
      <w:tblGrid>
        <w:gridCol w:w="450"/>
        <w:gridCol w:w="2241"/>
        <w:gridCol w:w="499"/>
        <w:gridCol w:w="5715"/>
        <w:gridCol w:w="6302"/>
      </w:tblGrid>
      <w:tr w:rsidR="00D001AB" w:rsidRPr="00F07699" w14:paraId="7ECB02F0" w14:textId="77777777" w:rsidTr="00B96CC8">
        <w:trPr>
          <w:tblHeader/>
        </w:trPr>
        <w:tc>
          <w:tcPr>
            <w:tcW w:w="148" w:type="pct"/>
          </w:tcPr>
          <w:p w14:paraId="4F8865EC" w14:textId="77777777" w:rsidR="00D001AB" w:rsidRPr="00693A57" w:rsidRDefault="00D001AB" w:rsidP="003B6F71">
            <w:pPr>
              <w:pStyle w:val="TableHeading"/>
              <w:rPr>
                <w:color w:val="0000FF"/>
              </w:rPr>
            </w:pPr>
          </w:p>
        </w:tc>
        <w:tc>
          <w:tcPr>
            <w:tcW w:w="737" w:type="pct"/>
          </w:tcPr>
          <w:p w14:paraId="3EBAF22A" w14:textId="77777777" w:rsidR="00D001AB" w:rsidRPr="00F07699" w:rsidRDefault="00D001AB" w:rsidP="003B6F71">
            <w:pPr>
              <w:pStyle w:val="TableHeading"/>
            </w:pPr>
            <w:r w:rsidRPr="00F07699">
              <w:t>Control requirements</w:t>
            </w:r>
          </w:p>
        </w:tc>
        <w:tc>
          <w:tcPr>
            <w:tcW w:w="164" w:type="pct"/>
          </w:tcPr>
          <w:p w14:paraId="24E91086" w14:textId="77777777" w:rsidR="00D001AB" w:rsidRPr="00693A57" w:rsidRDefault="00D001AB" w:rsidP="003B6F71">
            <w:pPr>
              <w:pStyle w:val="TableHeading"/>
              <w:rPr>
                <w:color w:val="0000FF"/>
              </w:rPr>
            </w:pPr>
          </w:p>
        </w:tc>
        <w:tc>
          <w:tcPr>
            <w:tcW w:w="1879" w:type="pct"/>
          </w:tcPr>
          <w:p w14:paraId="1C2BA14D" w14:textId="77777777" w:rsidR="00D001AB" w:rsidRPr="00F07699" w:rsidRDefault="00D001AB" w:rsidP="003B6F71">
            <w:pPr>
              <w:pStyle w:val="TableHeading"/>
            </w:pPr>
            <w:r w:rsidRPr="00F07699">
              <w:t>Minimum controls</w:t>
            </w:r>
          </w:p>
        </w:tc>
        <w:tc>
          <w:tcPr>
            <w:tcW w:w="2072" w:type="pct"/>
          </w:tcPr>
          <w:p w14:paraId="50D7B86D" w14:textId="77777777" w:rsidR="00D001AB" w:rsidRPr="00F07699" w:rsidRDefault="00D001AB" w:rsidP="003B6F71">
            <w:pPr>
              <w:pStyle w:val="TableHeading"/>
            </w:pPr>
            <w:r w:rsidRPr="00F07699">
              <w:t>Description of minimum controls</w:t>
            </w:r>
          </w:p>
        </w:tc>
      </w:tr>
      <w:tr w:rsidR="00D001AB" w:rsidRPr="00F07699" w14:paraId="6054964D" w14:textId="77777777" w:rsidTr="00B96CC8">
        <w:trPr>
          <w:trHeight w:val="33"/>
        </w:trPr>
        <w:tc>
          <w:tcPr>
            <w:tcW w:w="148" w:type="pct"/>
            <w:vMerge w:val="restart"/>
          </w:tcPr>
          <w:p w14:paraId="4D3CAD1E" w14:textId="77777777" w:rsidR="00D001AB" w:rsidRPr="00693A57" w:rsidRDefault="00D001AB" w:rsidP="003B6F71">
            <w:pPr>
              <w:pStyle w:val="Tabletext"/>
              <w:rPr>
                <w:color w:val="0000FF"/>
              </w:rPr>
            </w:pPr>
            <w:r w:rsidRPr="00693A57">
              <w:rPr>
                <w:color w:val="0000FF"/>
              </w:rPr>
              <w:t>(1)</w:t>
            </w:r>
          </w:p>
        </w:tc>
        <w:tc>
          <w:tcPr>
            <w:tcW w:w="737" w:type="pct"/>
            <w:vMerge w:val="restart"/>
          </w:tcPr>
          <w:p w14:paraId="2BCA4286" w14:textId="77777777" w:rsidR="00D001AB" w:rsidRPr="00F07699" w:rsidRDefault="00D001AB" w:rsidP="003B6F71">
            <w:pPr>
              <w:pStyle w:val="Tabletext"/>
            </w:pPr>
            <w:r w:rsidRPr="00F07699">
              <w:t>An accredited data recipient must have processes in place to limit the risk of inappropriate or unauthorised access to its CDR data environment.</w:t>
            </w:r>
          </w:p>
        </w:tc>
        <w:tc>
          <w:tcPr>
            <w:tcW w:w="164" w:type="pct"/>
          </w:tcPr>
          <w:p w14:paraId="0966D45E" w14:textId="77777777" w:rsidR="00D001AB" w:rsidRPr="00693A57" w:rsidRDefault="00D001AB" w:rsidP="003B6F71">
            <w:pPr>
              <w:pStyle w:val="Tabletext"/>
              <w:rPr>
                <w:color w:val="0000FF"/>
                <w:lang w:eastAsia="en-US"/>
              </w:rPr>
            </w:pPr>
            <w:r w:rsidRPr="00693A57">
              <w:rPr>
                <w:color w:val="0000FF"/>
              </w:rPr>
              <w:t>(a)</w:t>
            </w:r>
          </w:p>
        </w:tc>
        <w:tc>
          <w:tcPr>
            <w:tcW w:w="1879" w:type="pct"/>
          </w:tcPr>
          <w:p w14:paraId="48EDCAC7" w14:textId="77777777" w:rsidR="00D001AB" w:rsidRPr="00F07699" w:rsidRDefault="00D001AB" w:rsidP="003B6F71">
            <w:pPr>
              <w:pStyle w:val="Tabletext"/>
              <w:rPr>
                <w:lang w:eastAsia="en-US"/>
              </w:rPr>
            </w:pPr>
            <w:r w:rsidRPr="00F07699">
              <w:rPr>
                <w:lang w:eastAsia="en-US"/>
              </w:rPr>
              <w:t>Multi-factor authentication or equivalent control</w:t>
            </w:r>
          </w:p>
        </w:tc>
        <w:tc>
          <w:tcPr>
            <w:tcW w:w="2072" w:type="pct"/>
          </w:tcPr>
          <w:p w14:paraId="658909B6" w14:textId="77777777" w:rsidR="00D001AB" w:rsidRPr="00F07699" w:rsidRDefault="00D001AB" w:rsidP="003B6F71">
            <w:pPr>
              <w:pStyle w:val="Tabletext"/>
              <w:rPr>
                <w:lang w:eastAsia="en-US"/>
              </w:rPr>
            </w:pPr>
            <w:r w:rsidRPr="00F07699">
              <w:rPr>
                <w:lang w:eastAsia="en-US"/>
              </w:rPr>
              <w:t>Multi-factor authentication or equivalent control is required for all access to CDR data.</w:t>
            </w:r>
          </w:p>
          <w:p w14:paraId="554667A7" w14:textId="77777777" w:rsidR="00D001AB" w:rsidRPr="00F07699" w:rsidRDefault="00D001AB" w:rsidP="003B6F71">
            <w:pPr>
              <w:pStyle w:val="notemargin"/>
            </w:pPr>
            <w:r w:rsidRPr="00F07699">
              <w:t xml:space="preserve">Note:       This minimum control does not apply to access to CDR data by CDR consumers. </w:t>
            </w:r>
          </w:p>
          <w:p w14:paraId="09035806" w14:textId="77777777" w:rsidR="00D001AB" w:rsidRPr="00F07699" w:rsidRDefault="00D001AB" w:rsidP="003B6F71">
            <w:pPr>
              <w:pStyle w:val="Tabletext"/>
              <w:rPr>
                <w:lang w:eastAsia="en-US"/>
              </w:rPr>
            </w:pPr>
          </w:p>
        </w:tc>
      </w:tr>
      <w:tr w:rsidR="00D001AB" w:rsidRPr="00F07699" w14:paraId="4007C68C" w14:textId="77777777" w:rsidTr="00B96CC8">
        <w:trPr>
          <w:trHeight w:val="31"/>
        </w:trPr>
        <w:tc>
          <w:tcPr>
            <w:tcW w:w="148" w:type="pct"/>
            <w:vMerge/>
          </w:tcPr>
          <w:p w14:paraId="2816E3B0" w14:textId="77777777" w:rsidR="00D001AB" w:rsidRPr="00693A57" w:rsidRDefault="00D001AB" w:rsidP="003B6F71">
            <w:pPr>
              <w:pStyle w:val="Tabletext"/>
              <w:rPr>
                <w:color w:val="0000FF"/>
              </w:rPr>
            </w:pPr>
          </w:p>
        </w:tc>
        <w:tc>
          <w:tcPr>
            <w:tcW w:w="737" w:type="pct"/>
            <w:vMerge/>
          </w:tcPr>
          <w:p w14:paraId="11299701" w14:textId="77777777" w:rsidR="00D001AB" w:rsidRPr="00F07699" w:rsidRDefault="00D001AB" w:rsidP="003B6F71">
            <w:pPr>
              <w:pStyle w:val="Tabletext"/>
            </w:pPr>
          </w:p>
        </w:tc>
        <w:tc>
          <w:tcPr>
            <w:tcW w:w="164" w:type="pct"/>
          </w:tcPr>
          <w:p w14:paraId="0392C075" w14:textId="77777777" w:rsidR="00D001AB" w:rsidRPr="00693A57" w:rsidRDefault="00D001AB" w:rsidP="003B6F71">
            <w:pPr>
              <w:pStyle w:val="Tabletext"/>
              <w:rPr>
                <w:color w:val="0000FF"/>
              </w:rPr>
            </w:pPr>
            <w:r w:rsidRPr="00693A57">
              <w:rPr>
                <w:color w:val="0000FF"/>
              </w:rPr>
              <w:t>(b)</w:t>
            </w:r>
          </w:p>
        </w:tc>
        <w:tc>
          <w:tcPr>
            <w:tcW w:w="1879" w:type="pct"/>
          </w:tcPr>
          <w:p w14:paraId="2FEDF9BC" w14:textId="77777777" w:rsidR="00D001AB" w:rsidRPr="00F07699" w:rsidRDefault="00D001AB" w:rsidP="003B6F71">
            <w:pPr>
              <w:pStyle w:val="Tabletext"/>
            </w:pPr>
            <w:r w:rsidRPr="00F07699">
              <w:t xml:space="preserve">Restrict administrative privileges </w:t>
            </w:r>
          </w:p>
        </w:tc>
        <w:tc>
          <w:tcPr>
            <w:tcW w:w="2072" w:type="pct"/>
          </w:tcPr>
          <w:p w14:paraId="579261BC" w14:textId="77777777" w:rsidR="00D001AB" w:rsidRPr="00F07699" w:rsidRDefault="00D001AB" w:rsidP="003B6F71">
            <w:pPr>
              <w:pStyle w:val="Tabletext"/>
              <w:rPr>
                <w:rFonts w:cs="Arial"/>
              </w:rPr>
            </w:pPr>
            <w:r w:rsidRPr="00F07699">
              <w:rPr>
                <w:rFonts w:cs="Arial"/>
              </w:rPr>
              <w:t>Administrative privileges are granted only on an as needs basis for users to perform their duties and only for the period they are required for.</w:t>
            </w:r>
          </w:p>
          <w:p w14:paraId="25BC4B3B" w14:textId="77777777" w:rsidR="00D001AB" w:rsidRPr="00F07699" w:rsidRDefault="00D001AB" w:rsidP="003B6F71">
            <w:pPr>
              <w:pStyle w:val="Tabletext"/>
              <w:rPr>
                <w:rFonts w:cs="Arial"/>
              </w:rPr>
            </w:pPr>
            <w:r w:rsidRPr="00F07699">
              <w:rPr>
                <w:rFonts w:cs="Arial"/>
              </w:rPr>
              <w:t>Privileges granted on an ongoing basis are regularly reviewed to confirm their ongoing need.</w:t>
            </w:r>
          </w:p>
          <w:p w14:paraId="439ED96B" w14:textId="77777777" w:rsidR="00D001AB" w:rsidRPr="00F07699" w:rsidRDefault="00D001AB" w:rsidP="003B6F71">
            <w:pPr>
              <w:pStyle w:val="Tabletext"/>
              <w:rPr>
                <w:rFonts w:cs="Arial"/>
              </w:rPr>
            </w:pPr>
          </w:p>
        </w:tc>
      </w:tr>
      <w:tr w:rsidR="00D001AB" w:rsidRPr="00F07699" w14:paraId="760699DA" w14:textId="77777777" w:rsidTr="00B96CC8">
        <w:trPr>
          <w:trHeight w:val="31"/>
        </w:trPr>
        <w:tc>
          <w:tcPr>
            <w:tcW w:w="148" w:type="pct"/>
            <w:vMerge/>
          </w:tcPr>
          <w:p w14:paraId="0558B930" w14:textId="77777777" w:rsidR="00D001AB" w:rsidRPr="00693A57" w:rsidRDefault="00D001AB" w:rsidP="003B6F71">
            <w:pPr>
              <w:pStyle w:val="Tabletext"/>
              <w:rPr>
                <w:color w:val="0000FF"/>
              </w:rPr>
            </w:pPr>
          </w:p>
        </w:tc>
        <w:tc>
          <w:tcPr>
            <w:tcW w:w="737" w:type="pct"/>
            <w:vMerge/>
          </w:tcPr>
          <w:p w14:paraId="37C50F20" w14:textId="77777777" w:rsidR="00D001AB" w:rsidRPr="00F07699" w:rsidRDefault="00D001AB" w:rsidP="003B6F71">
            <w:pPr>
              <w:pStyle w:val="Tabletext"/>
            </w:pPr>
          </w:p>
        </w:tc>
        <w:tc>
          <w:tcPr>
            <w:tcW w:w="164" w:type="pct"/>
          </w:tcPr>
          <w:p w14:paraId="1DE20A4E" w14:textId="77777777" w:rsidR="00D001AB" w:rsidRPr="00693A57" w:rsidRDefault="00D001AB" w:rsidP="003B6F71">
            <w:pPr>
              <w:pStyle w:val="Tabletext"/>
              <w:rPr>
                <w:color w:val="0000FF"/>
              </w:rPr>
            </w:pPr>
            <w:r w:rsidRPr="00693A57">
              <w:rPr>
                <w:color w:val="0000FF"/>
              </w:rPr>
              <w:t>(c)</w:t>
            </w:r>
          </w:p>
        </w:tc>
        <w:tc>
          <w:tcPr>
            <w:tcW w:w="1879" w:type="pct"/>
          </w:tcPr>
          <w:p w14:paraId="03B21759" w14:textId="77777777" w:rsidR="00D001AB" w:rsidRPr="00F07699" w:rsidRDefault="00D001AB" w:rsidP="003B6F71">
            <w:pPr>
              <w:pStyle w:val="Tabletext"/>
            </w:pPr>
            <w:r w:rsidRPr="00F07699">
              <w:t>Audit logging and monitoring</w:t>
            </w:r>
          </w:p>
        </w:tc>
        <w:tc>
          <w:tcPr>
            <w:tcW w:w="2072" w:type="pct"/>
          </w:tcPr>
          <w:p w14:paraId="62366FF8" w14:textId="77777777" w:rsidR="00D001AB" w:rsidRPr="00F07699" w:rsidRDefault="00D001AB" w:rsidP="003B6F71">
            <w:pPr>
              <w:pStyle w:val="Tabletext"/>
              <w:rPr>
                <w:rFonts w:cs="Arial"/>
              </w:rPr>
            </w:pPr>
            <w:r w:rsidRPr="00F07699">
              <w:rPr>
                <w:rFonts w:cs="Arial"/>
              </w:rPr>
              <w:t>Critical events are identified, logged and retained to help ensure traceability and accountability of actions. These logs are reviewed regularly to identify irregularities and deviations from expected processing.</w:t>
            </w:r>
          </w:p>
          <w:p w14:paraId="5D72779A" w14:textId="77777777" w:rsidR="00D001AB" w:rsidRPr="00F07699" w:rsidRDefault="00D001AB" w:rsidP="003B6F71">
            <w:pPr>
              <w:pStyle w:val="notemargin"/>
            </w:pPr>
            <w:r w:rsidRPr="00F07699">
              <w:t>Note:</w:t>
            </w:r>
            <w:r w:rsidRPr="00F07699">
              <w:tab/>
              <w:t>In relation to retention, see paragraph 9.3(2)(l) of these rules.</w:t>
            </w:r>
          </w:p>
          <w:p w14:paraId="0B63281D" w14:textId="77777777" w:rsidR="00D001AB" w:rsidRPr="00F07699" w:rsidRDefault="00D001AB" w:rsidP="003B6F71">
            <w:pPr>
              <w:pStyle w:val="Tabletext"/>
              <w:rPr>
                <w:rFonts w:cs="Arial"/>
                <w:i/>
              </w:rPr>
            </w:pPr>
          </w:p>
        </w:tc>
      </w:tr>
      <w:tr w:rsidR="00D001AB" w:rsidRPr="00F07699" w14:paraId="7AF7D9DA" w14:textId="77777777" w:rsidTr="00B96CC8">
        <w:trPr>
          <w:trHeight w:val="31"/>
        </w:trPr>
        <w:tc>
          <w:tcPr>
            <w:tcW w:w="148" w:type="pct"/>
            <w:vMerge/>
          </w:tcPr>
          <w:p w14:paraId="76493EAC" w14:textId="77777777" w:rsidR="00D001AB" w:rsidRPr="00693A57" w:rsidRDefault="00D001AB" w:rsidP="003B6F71">
            <w:pPr>
              <w:pStyle w:val="Tabletext"/>
              <w:rPr>
                <w:color w:val="0000FF"/>
              </w:rPr>
            </w:pPr>
          </w:p>
        </w:tc>
        <w:tc>
          <w:tcPr>
            <w:tcW w:w="737" w:type="pct"/>
            <w:vMerge/>
          </w:tcPr>
          <w:p w14:paraId="72F63DB3" w14:textId="77777777" w:rsidR="00D001AB" w:rsidRPr="00F07699" w:rsidRDefault="00D001AB" w:rsidP="003B6F71">
            <w:pPr>
              <w:pStyle w:val="Tabletext"/>
            </w:pPr>
          </w:p>
        </w:tc>
        <w:tc>
          <w:tcPr>
            <w:tcW w:w="164" w:type="pct"/>
          </w:tcPr>
          <w:p w14:paraId="6BA9E78C" w14:textId="77777777" w:rsidR="00D001AB" w:rsidRPr="00693A57" w:rsidRDefault="00D001AB" w:rsidP="003B6F71">
            <w:pPr>
              <w:pStyle w:val="Tabletext"/>
              <w:rPr>
                <w:color w:val="0000FF"/>
              </w:rPr>
            </w:pPr>
            <w:r w:rsidRPr="00693A57">
              <w:rPr>
                <w:color w:val="0000FF"/>
              </w:rPr>
              <w:t>(d)</w:t>
            </w:r>
          </w:p>
        </w:tc>
        <w:tc>
          <w:tcPr>
            <w:tcW w:w="1879" w:type="pct"/>
          </w:tcPr>
          <w:p w14:paraId="7024D8DF" w14:textId="77777777" w:rsidR="00D001AB" w:rsidRPr="00F07699" w:rsidRDefault="00D001AB" w:rsidP="003B6F71">
            <w:pPr>
              <w:pStyle w:val="Tabletext"/>
            </w:pPr>
            <w:r w:rsidRPr="00F07699">
              <w:t>Access security</w:t>
            </w:r>
          </w:p>
        </w:tc>
        <w:tc>
          <w:tcPr>
            <w:tcW w:w="2072" w:type="pct"/>
          </w:tcPr>
          <w:p w14:paraId="50A0DC52" w14:textId="77777777" w:rsidR="00D001AB" w:rsidRPr="00F07699" w:rsidRDefault="00D001AB" w:rsidP="003B6F71">
            <w:pPr>
              <w:pStyle w:val="Tabletext"/>
              <w:rPr>
                <w:rFonts w:cs="Arial"/>
              </w:rPr>
            </w:pPr>
            <w:r w:rsidRPr="00F07699">
              <w:rPr>
                <w:rFonts w:cs="Arial"/>
              </w:rPr>
              <w:t xml:space="preserve">Processes, including automatic processes, are implemented to limit unauthorised access to the CDR data environment. At the minimum these include: </w:t>
            </w:r>
          </w:p>
          <w:p w14:paraId="463112A0" w14:textId="77777777" w:rsidR="00D001AB" w:rsidRPr="00F07699" w:rsidRDefault="00D001AB" w:rsidP="003B6F71">
            <w:pPr>
              <w:pStyle w:val="Tablea"/>
            </w:pPr>
            <w:r w:rsidRPr="00F07699">
              <w:t>(a)</w:t>
            </w:r>
            <w:r w:rsidRPr="00F07699">
              <w:tab/>
              <w:t>provision and timely revocation for users who no longer need access; and</w:t>
            </w:r>
          </w:p>
          <w:p w14:paraId="63A45FFC" w14:textId="77777777" w:rsidR="00D001AB" w:rsidRPr="00F07699" w:rsidRDefault="00D001AB" w:rsidP="003B6F71">
            <w:pPr>
              <w:pStyle w:val="Tablea"/>
            </w:pPr>
            <w:r w:rsidRPr="00F07699">
              <w:t>(b)</w:t>
            </w:r>
            <w:r w:rsidRPr="00F07699">
              <w:tab/>
              <w:t>monitoring and review of the appropriateness of user access privileges on at least a quarterly basis.</w:t>
            </w:r>
          </w:p>
          <w:p w14:paraId="34033AE9" w14:textId="77777777" w:rsidR="00D001AB" w:rsidRPr="00F07699" w:rsidRDefault="00D001AB" w:rsidP="003B6F71">
            <w:pPr>
              <w:pStyle w:val="Tablea"/>
            </w:pPr>
          </w:p>
        </w:tc>
      </w:tr>
      <w:tr w:rsidR="00D001AB" w:rsidRPr="00F07699" w14:paraId="7F9CC906" w14:textId="77777777" w:rsidTr="00B96CC8">
        <w:trPr>
          <w:trHeight w:val="31"/>
        </w:trPr>
        <w:tc>
          <w:tcPr>
            <w:tcW w:w="148" w:type="pct"/>
            <w:vMerge/>
          </w:tcPr>
          <w:p w14:paraId="116D7EE7" w14:textId="77777777" w:rsidR="00D001AB" w:rsidRPr="00693A57" w:rsidRDefault="00D001AB" w:rsidP="003B6F71">
            <w:pPr>
              <w:pStyle w:val="Tabletext"/>
              <w:rPr>
                <w:color w:val="0000FF"/>
              </w:rPr>
            </w:pPr>
          </w:p>
        </w:tc>
        <w:tc>
          <w:tcPr>
            <w:tcW w:w="737" w:type="pct"/>
            <w:vMerge/>
          </w:tcPr>
          <w:p w14:paraId="30AA1D64" w14:textId="77777777" w:rsidR="00D001AB" w:rsidRPr="00F07699" w:rsidRDefault="00D001AB" w:rsidP="003B6F71">
            <w:pPr>
              <w:pStyle w:val="Tabletext"/>
            </w:pPr>
          </w:p>
        </w:tc>
        <w:tc>
          <w:tcPr>
            <w:tcW w:w="164" w:type="pct"/>
          </w:tcPr>
          <w:p w14:paraId="09364505" w14:textId="77777777" w:rsidR="00D001AB" w:rsidRPr="00693A57" w:rsidRDefault="00D001AB" w:rsidP="003B6F71">
            <w:pPr>
              <w:pStyle w:val="Tabletext"/>
              <w:rPr>
                <w:color w:val="0000FF"/>
              </w:rPr>
            </w:pPr>
            <w:r w:rsidRPr="00693A57">
              <w:rPr>
                <w:color w:val="0000FF"/>
              </w:rPr>
              <w:t>(e)</w:t>
            </w:r>
          </w:p>
        </w:tc>
        <w:tc>
          <w:tcPr>
            <w:tcW w:w="1879" w:type="pct"/>
          </w:tcPr>
          <w:p w14:paraId="0202936F" w14:textId="77777777" w:rsidR="00D001AB" w:rsidRPr="00F07699" w:rsidRDefault="00D001AB" w:rsidP="003B6F71">
            <w:pPr>
              <w:pStyle w:val="Tabletext"/>
            </w:pPr>
            <w:r w:rsidRPr="00F07699">
              <w:t xml:space="preserve">Limit physical access </w:t>
            </w:r>
          </w:p>
        </w:tc>
        <w:tc>
          <w:tcPr>
            <w:tcW w:w="2072" w:type="pct"/>
          </w:tcPr>
          <w:p w14:paraId="37DEA8CC" w14:textId="77777777" w:rsidR="00D001AB" w:rsidRPr="00F07699" w:rsidRDefault="00D001AB" w:rsidP="003B6F71">
            <w:pPr>
              <w:pStyle w:val="Tabletext"/>
              <w:rPr>
                <w:rFonts w:cs="Arial"/>
              </w:rPr>
            </w:pPr>
            <w:r w:rsidRPr="00F07699">
              <w:rPr>
                <w:rFonts w:cs="Arial"/>
              </w:rPr>
              <w:t>Physical access to facilities where CDR data is stored, hosted or accessed (including server rooms, communications rooms, and premises of business operation) is restricted to authorised individuals.</w:t>
            </w:r>
          </w:p>
          <w:p w14:paraId="73FE58AD" w14:textId="77777777" w:rsidR="00D001AB" w:rsidRPr="00F07699" w:rsidRDefault="00D001AB" w:rsidP="003B6F71">
            <w:pPr>
              <w:pStyle w:val="Tabletext"/>
              <w:rPr>
                <w:rFonts w:cs="Arial"/>
              </w:rPr>
            </w:pPr>
          </w:p>
        </w:tc>
      </w:tr>
      <w:tr w:rsidR="00D001AB" w:rsidRPr="00F07699" w14:paraId="72925C5D" w14:textId="77777777" w:rsidTr="00B96CC8">
        <w:trPr>
          <w:trHeight w:val="31"/>
        </w:trPr>
        <w:tc>
          <w:tcPr>
            <w:tcW w:w="148" w:type="pct"/>
            <w:vMerge/>
          </w:tcPr>
          <w:p w14:paraId="3CD8E5D6" w14:textId="77777777" w:rsidR="00D001AB" w:rsidRPr="00693A57" w:rsidRDefault="00D001AB" w:rsidP="003B6F71">
            <w:pPr>
              <w:pStyle w:val="Tabletext"/>
              <w:rPr>
                <w:color w:val="0000FF"/>
              </w:rPr>
            </w:pPr>
          </w:p>
        </w:tc>
        <w:tc>
          <w:tcPr>
            <w:tcW w:w="737" w:type="pct"/>
            <w:vMerge/>
          </w:tcPr>
          <w:p w14:paraId="67F629EB" w14:textId="77777777" w:rsidR="00D001AB" w:rsidRPr="00F07699" w:rsidRDefault="00D001AB" w:rsidP="003B6F71">
            <w:pPr>
              <w:pStyle w:val="Tabletext"/>
            </w:pPr>
          </w:p>
        </w:tc>
        <w:tc>
          <w:tcPr>
            <w:tcW w:w="164" w:type="pct"/>
          </w:tcPr>
          <w:p w14:paraId="69B2FAC7" w14:textId="77777777" w:rsidR="00D001AB" w:rsidRPr="00693A57" w:rsidRDefault="00D001AB" w:rsidP="003B6F71">
            <w:pPr>
              <w:pStyle w:val="Tabletext"/>
              <w:rPr>
                <w:color w:val="0000FF"/>
              </w:rPr>
            </w:pPr>
            <w:r w:rsidRPr="00693A57">
              <w:rPr>
                <w:color w:val="0000FF"/>
              </w:rPr>
              <w:t>(f)</w:t>
            </w:r>
          </w:p>
        </w:tc>
        <w:tc>
          <w:tcPr>
            <w:tcW w:w="1879" w:type="pct"/>
          </w:tcPr>
          <w:p w14:paraId="124B9F67" w14:textId="77777777" w:rsidR="00D001AB" w:rsidRPr="00F07699" w:rsidRDefault="00D001AB" w:rsidP="003B6F71">
            <w:pPr>
              <w:pStyle w:val="Tabletext"/>
            </w:pPr>
            <w:r w:rsidRPr="00F07699">
              <w:t>Role based access</w:t>
            </w:r>
          </w:p>
        </w:tc>
        <w:tc>
          <w:tcPr>
            <w:tcW w:w="2072" w:type="pct"/>
          </w:tcPr>
          <w:p w14:paraId="7A2EF699" w14:textId="77777777" w:rsidR="00D001AB" w:rsidRPr="00F07699" w:rsidRDefault="00D001AB" w:rsidP="003B6F71">
            <w:pPr>
              <w:pStyle w:val="Tabletext"/>
              <w:rPr>
                <w:rFonts w:cs="Arial"/>
              </w:rPr>
            </w:pPr>
            <w:r w:rsidRPr="00F07699">
              <w:rPr>
                <w:rFonts w:cs="Arial"/>
              </w:rPr>
              <w:t>Role</w:t>
            </w:r>
            <w:r w:rsidRPr="00F07699">
              <w:rPr>
                <w:rFonts w:cs="Arial"/>
              </w:rPr>
              <w:noBreakHyphen/>
              <w:t>based access is implemented to limit user access rights to only that necessary for personnel to perform their assigned responsibilities. Role</w:t>
            </w:r>
            <w:r w:rsidRPr="00F07699">
              <w:rPr>
                <w:rFonts w:cs="Arial"/>
              </w:rPr>
              <w:noBreakHyphen/>
              <w:t>based access is assigned in accordance with the principle of least necessary privileges and segregation of duties.</w:t>
            </w:r>
          </w:p>
          <w:p w14:paraId="76B75705" w14:textId="77777777" w:rsidR="00D001AB" w:rsidRPr="00F07699" w:rsidRDefault="00D001AB" w:rsidP="003B6F71">
            <w:pPr>
              <w:pStyle w:val="Tabletext"/>
              <w:rPr>
                <w:rFonts w:cs="Arial"/>
              </w:rPr>
            </w:pPr>
          </w:p>
        </w:tc>
      </w:tr>
      <w:tr w:rsidR="00D001AB" w:rsidRPr="00F07699" w14:paraId="7DB212E9" w14:textId="77777777" w:rsidTr="00B96CC8">
        <w:trPr>
          <w:trHeight w:val="31"/>
        </w:trPr>
        <w:tc>
          <w:tcPr>
            <w:tcW w:w="148" w:type="pct"/>
            <w:vMerge/>
          </w:tcPr>
          <w:p w14:paraId="73EE5E3C" w14:textId="77777777" w:rsidR="00D001AB" w:rsidRPr="00693A57" w:rsidRDefault="00D001AB" w:rsidP="003B6F71">
            <w:pPr>
              <w:pStyle w:val="Tabletext"/>
              <w:rPr>
                <w:color w:val="0000FF"/>
              </w:rPr>
            </w:pPr>
          </w:p>
        </w:tc>
        <w:tc>
          <w:tcPr>
            <w:tcW w:w="737" w:type="pct"/>
            <w:vMerge/>
          </w:tcPr>
          <w:p w14:paraId="1AA206C8" w14:textId="77777777" w:rsidR="00D001AB" w:rsidRPr="00F07699" w:rsidRDefault="00D001AB" w:rsidP="003B6F71">
            <w:pPr>
              <w:pStyle w:val="Tabletext"/>
            </w:pPr>
          </w:p>
        </w:tc>
        <w:tc>
          <w:tcPr>
            <w:tcW w:w="164" w:type="pct"/>
          </w:tcPr>
          <w:p w14:paraId="54EAD82F" w14:textId="77777777" w:rsidR="00D001AB" w:rsidRPr="00693A57" w:rsidRDefault="00D001AB" w:rsidP="003B6F71">
            <w:pPr>
              <w:pStyle w:val="Tabletext"/>
              <w:rPr>
                <w:color w:val="0000FF"/>
              </w:rPr>
            </w:pPr>
            <w:r w:rsidRPr="00693A57">
              <w:rPr>
                <w:color w:val="0000FF"/>
              </w:rPr>
              <w:t>(g)</w:t>
            </w:r>
          </w:p>
        </w:tc>
        <w:tc>
          <w:tcPr>
            <w:tcW w:w="1879" w:type="pct"/>
          </w:tcPr>
          <w:p w14:paraId="50745F63" w14:textId="77777777" w:rsidR="00D001AB" w:rsidRPr="00F07699" w:rsidRDefault="00D001AB" w:rsidP="003B6F71">
            <w:pPr>
              <w:pStyle w:val="Tabletext"/>
            </w:pPr>
            <w:r w:rsidRPr="00F07699">
              <w:t>Unique IDs</w:t>
            </w:r>
          </w:p>
        </w:tc>
        <w:tc>
          <w:tcPr>
            <w:tcW w:w="2072" w:type="pct"/>
          </w:tcPr>
          <w:p w14:paraId="1B7C2A6A" w14:textId="77777777" w:rsidR="00D001AB" w:rsidRPr="00F07699" w:rsidRDefault="00D001AB" w:rsidP="003B6F71">
            <w:pPr>
              <w:pStyle w:val="Tabletext"/>
              <w:rPr>
                <w:rFonts w:cs="Arial"/>
              </w:rPr>
            </w:pPr>
            <w:r w:rsidRPr="00F07699">
              <w:rPr>
                <w:rFonts w:cs="Arial"/>
              </w:rPr>
              <w:t>Use of generic, shared and/or default accounts is restricted to those necessary to run a service or a system. Where generic, shared and/or default accounts are used, actions performed using these accounts are monitored and logs are retained.</w:t>
            </w:r>
          </w:p>
          <w:p w14:paraId="0573E8FF" w14:textId="77777777" w:rsidR="00D001AB" w:rsidRPr="00F07699" w:rsidRDefault="00D001AB" w:rsidP="003B6F71">
            <w:pPr>
              <w:pStyle w:val="notemargin"/>
            </w:pPr>
            <w:r w:rsidRPr="00F07699">
              <w:t>Note:</w:t>
            </w:r>
            <w:r w:rsidRPr="00F07699">
              <w:tab/>
              <w:t>In relation to retention, see paragraph 9.3(2)(l) of these rules.</w:t>
            </w:r>
          </w:p>
          <w:p w14:paraId="4ABE32DD" w14:textId="77777777" w:rsidR="00D001AB" w:rsidRPr="00F07699" w:rsidRDefault="00D001AB" w:rsidP="003B6F71">
            <w:pPr>
              <w:pStyle w:val="Tabletext"/>
              <w:rPr>
                <w:rFonts w:cs="Arial"/>
              </w:rPr>
            </w:pPr>
          </w:p>
        </w:tc>
      </w:tr>
      <w:tr w:rsidR="00D001AB" w:rsidRPr="00F07699" w14:paraId="03564763" w14:textId="77777777" w:rsidTr="00B96CC8">
        <w:trPr>
          <w:trHeight w:val="31"/>
        </w:trPr>
        <w:tc>
          <w:tcPr>
            <w:tcW w:w="148" w:type="pct"/>
            <w:vMerge/>
          </w:tcPr>
          <w:p w14:paraId="338C718D" w14:textId="77777777" w:rsidR="00D001AB" w:rsidRPr="00693A57" w:rsidRDefault="00D001AB" w:rsidP="003B6F71">
            <w:pPr>
              <w:pStyle w:val="Tabletext"/>
              <w:rPr>
                <w:color w:val="0000FF"/>
              </w:rPr>
            </w:pPr>
          </w:p>
        </w:tc>
        <w:tc>
          <w:tcPr>
            <w:tcW w:w="737" w:type="pct"/>
            <w:vMerge/>
          </w:tcPr>
          <w:p w14:paraId="2DED0045" w14:textId="77777777" w:rsidR="00D001AB" w:rsidRPr="00F07699" w:rsidRDefault="00D001AB" w:rsidP="003B6F71">
            <w:pPr>
              <w:pStyle w:val="Tabletext"/>
            </w:pPr>
          </w:p>
        </w:tc>
        <w:tc>
          <w:tcPr>
            <w:tcW w:w="164" w:type="pct"/>
          </w:tcPr>
          <w:p w14:paraId="78302CEE" w14:textId="77777777" w:rsidR="00D001AB" w:rsidRPr="00693A57" w:rsidRDefault="00D001AB" w:rsidP="003B6F71">
            <w:pPr>
              <w:pStyle w:val="Tabletext"/>
              <w:rPr>
                <w:color w:val="0000FF"/>
              </w:rPr>
            </w:pPr>
            <w:r w:rsidRPr="00693A57">
              <w:rPr>
                <w:color w:val="0000FF"/>
              </w:rPr>
              <w:t>(h)</w:t>
            </w:r>
          </w:p>
        </w:tc>
        <w:tc>
          <w:tcPr>
            <w:tcW w:w="1879" w:type="pct"/>
          </w:tcPr>
          <w:p w14:paraId="6B38ACCE" w14:textId="77777777" w:rsidR="00D001AB" w:rsidRPr="00F07699" w:rsidRDefault="00D001AB" w:rsidP="003B6F71">
            <w:pPr>
              <w:pStyle w:val="Tabletext"/>
            </w:pPr>
            <w:r w:rsidRPr="00F07699">
              <w:t>Password authentication</w:t>
            </w:r>
          </w:p>
        </w:tc>
        <w:tc>
          <w:tcPr>
            <w:tcW w:w="2072" w:type="pct"/>
          </w:tcPr>
          <w:p w14:paraId="784A4EE6" w14:textId="77777777" w:rsidR="00D001AB" w:rsidRPr="00F07699" w:rsidRDefault="00D001AB" w:rsidP="003B6F71">
            <w:pPr>
              <w:pStyle w:val="Tabletext"/>
              <w:rPr>
                <w:rFonts w:cs="Arial"/>
              </w:rPr>
            </w:pPr>
            <w:r w:rsidRPr="00F07699">
              <w:rPr>
                <w:rFonts w:cs="Arial"/>
              </w:rPr>
              <w:t>Strong authentication mechanisms are enforced prior to allowing users to access systems within the CDR data environment, including, but not limited to, general security requirements relating to password complexity, account lockout, password history, and password ageing.</w:t>
            </w:r>
          </w:p>
          <w:p w14:paraId="55C1B554" w14:textId="77777777" w:rsidR="00D001AB" w:rsidRPr="00F07699" w:rsidRDefault="00D001AB" w:rsidP="003B6F71">
            <w:pPr>
              <w:pStyle w:val="Tabletext"/>
              <w:rPr>
                <w:rFonts w:cs="Arial"/>
              </w:rPr>
            </w:pPr>
          </w:p>
        </w:tc>
      </w:tr>
      <w:tr w:rsidR="00D001AB" w:rsidRPr="00F07699" w14:paraId="1C045028" w14:textId="77777777" w:rsidTr="00B96CC8">
        <w:trPr>
          <w:trHeight w:val="31"/>
        </w:trPr>
        <w:tc>
          <w:tcPr>
            <w:tcW w:w="148" w:type="pct"/>
            <w:vMerge/>
          </w:tcPr>
          <w:p w14:paraId="1FFD5BB6" w14:textId="77777777" w:rsidR="00D001AB" w:rsidRPr="00693A57" w:rsidRDefault="00D001AB" w:rsidP="003B6F71">
            <w:pPr>
              <w:pStyle w:val="Tabletext"/>
              <w:rPr>
                <w:color w:val="0000FF"/>
              </w:rPr>
            </w:pPr>
          </w:p>
        </w:tc>
        <w:tc>
          <w:tcPr>
            <w:tcW w:w="737" w:type="pct"/>
            <w:vMerge/>
          </w:tcPr>
          <w:p w14:paraId="55B4182D" w14:textId="77777777" w:rsidR="00D001AB" w:rsidRPr="00F07699" w:rsidRDefault="00D001AB" w:rsidP="003B6F71">
            <w:pPr>
              <w:pStyle w:val="Tabletext"/>
            </w:pPr>
          </w:p>
        </w:tc>
        <w:tc>
          <w:tcPr>
            <w:tcW w:w="164" w:type="pct"/>
          </w:tcPr>
          <w:p w14:paraId="791065FD" w14:textId="77777777" w:rsidR="00D001AB" w:rsidRPr="00693A57" w:rsidRDefault="00D001AB" w:rsidP="003B6F71">
            <w:pPr>
              <w:pStyle w:val="Tabletext"/>
              <w:rPr>
                <w:color w:val="0000FF"/>
              </w:rPr>
            </w:pPr>
            <w:r w:rsidRPr="00693A57">
              <w:rPr>
                <w:color w:val="0000FF"/>
              </w:rPr>
              <w:t>(i)</w:t>
            </w:r>
          </w:p>
        </w:tc>
        <w:tc>
          <w:tcPr>
            <w:tcW w:w="1879" w:type="pct"/>
          </w:tcPr>
          <w:p w14:paraId="05258D7B" w14:textId="77777777" w:rsidR="00D001AB" w:rsidRPr="00F07699" w:rsidRDefault="00D001AB" w:rsidP="003B6F71">
            <w:pPr>
              <w:pStyle w:val="Tabletext"/>
            </w:pPr>
            <w:r w:rsidRPr="00F07699">
              <w:t>Encryption in transit</w:t>
            </w:r>
          </w:p>
        </w:tc>
        <w:tc>
          <w:tcPr>
            <w:tcW w:w="2072" w:type="pct"/>
          </w:tcPr>
          <w:p w14:paraId="0CB150D3" w14:textId="77777777" w:rsidR="00D001AB" w:rsidRPr="00F07699" w:rsidRDefault="00D001AB" w:rsidP="003B6F71">
            <w:pPr>
              <w:pStyle w:val="Tabletext"/>
            </w:pPr>
            <w:r w:rsidRPr="00F07699">
              <w:t>Implement robust network security controls to help protect data in transit, including: encrypting data in transit and authenticating access to data in accordance with the data standards (if any) and industry best practice, implementing processes to audit data access and use, and implementing processes to verify the identity of communications.</w:t>
            </w:r>
          </w:p>
          <w:p w14:paraId="0976576B" w14:textId="77777777" w:rsidR="00D001AB" w:rsidRPr="00F07699" w:rsidRDefault="00D001AB" w:rsidP="003B6F71">
            <w:pPr>
              <w:pStyle w:val="Tabletext"/>
              <w:tabs>
                <w:tab w:val="left" w:pos="1905"/>
              </w:tabs>
            </w:pPr>
            <w:r w:rsidRPr="00F07699">
              <w:tab/>
            </w:r>
          </w:p>
        </w:tc>
      </w:tr>
      <w:tr w:rsidR="00D001AB" w:rsidRPr="00F07699" w14:paraId="00F9E1B7" w14:textId="77777777" w:rsidTr="00B96CC8">
        <w:trPr>
          <w:trHeight w:val="64"/>
        </w:trPr>
        <w:tc>
          <w:tcPr>
            <w:tcW w:w="148" w:type="pct"/>
            <w:vMerge w:val="restart"/>
          </w:tcPr>
          <w:p w14:paraId="6C83CF6B" w14:textId="77777777" w:rsidR="00D001AB" w:rsidRPr="00693A57" w:rsidRDefault="00D001AB" w:rsidP="003B6F71">
            <w:pPr>
              <w:pStyle w:val="Tabletext"/>
              <w:rPr>
                <w:color w:val="0000FF"/>
              </w:rPr>
            </w:pPr>
            <w:r w:rsidRPr="00693A57">
              <w:rPr>
                <w:color w:val="0000FF"/>
              </w:rPr>
              <w:t>(2)</w:t>
            </w:r>
          </w:p>
        </w:tc>
        <w:tc>
          <w:tcPr>
            <w:tcW w:w="737" w:type="pct"/>
            <w:vMerge w:val="restart"/>
          </w:tcPr>
          <w:p w14:paraId="17B92140" w14:textId="77777777" w:rsidR="00D001AB" w:rsidRPr="00F07699" w:rsidRDefault="00D001AB" w:rsidP="003B6F71">
            <w:pPr>
              <w:pStyle w:val="Tabletext"/>
              <w:rPr>
                <w:rFonts w:cs="Arial"/>
              </w:rPr>
            </w:pPr>
            <w:r w:rsidRPr="00F07699">
              <w:rPr>
                <w:rFonts w:cs="Arial"/>
              </w:rPr>
              <w:t>An accredited data recipient of CDR data must take steps to secure their network and systems within the CDR data environment.</w:t>
            </w:r>
          </w:p>
        </w:tc>
        <w:tc>
          <w:tcPr>
            <w:tcW w:w="164" w:type="pct"/>
          </w:tcPr>
          <w:p w14:paraId="343D64F3" w14:textId="77777777" w:rsidR="00D001AB" w:rsidRPr="00693A57" w:rsidRDefault="00D001AB" w:rsidP="003B6F71">
            <w:pPr>
              <w:pStyle w:val="Tabletext"/>
              <w:rPr>
                <w:color w:val="0000FF"/>
              </w:rPr>
            </w:pPr>
            <w:r w:rsidRPr="00693A57">
              <w:rPr>
                <w:color w:val="0000FF"/>
              </w:rPr>
              <w:t>(a)</w:t>
            </w:r>
          </w:p>
        </w:tc>
        <w:tc>
          <w:tcPr>
            <w:tcW w:w="1879" w:type="pct"/>
          </w:tcPr>
          <w:p w14:paraId="325689CE" w14:textId="77777777" w:rsidR="00D001AB" w:rsidRPr="00F07699" w:rsidRDefault="00D001AB" w:rsidP="003B6F71">
            <w:pPr>
              <w:pStyle w:val="Tabletext"/>
            </w:pPr>
            <w:r w:rsidRPr="00F07699">
              <w:t>Encryption</w:t>
            </w:r>
          </w:p>
        </w:tc>
        <w:tc>
          <w:tcPr>
            <w:tcW w:w="2072" w:type="pct"/>
          </w:tcPr>
          <w:p w14:paraId="3CF18146" w14:textId="77777777" w:rsidR="00D001AB" w:rsidRPr="00F07699" w:rsidRDefault="00D001AB" w:rsidP="003B6F71">
            <w:pPr>
              <w:pStyle w:val="Tabletext"/>
              <w:rPr>
                <w:rFonts w:cs="Arial"/>
              </w:rPr>
            </w:pPr>
            <w:r w:rsidRPr="00F07699">
              <w:rPr>
                <w:rFonts w:cs="Arial"/>
              </w:rPr>
              <w:t xml:space="preserve">Encryption methods are utilised to secure CDR data at rest by encrypting file systems, end-user devices, portable storage media and backup media. Cryptographic keys are securely stored, backed-up and retained. </w:t>
            </w:r>
          </w:p>
          <w:p w14:paraId="17F92151" w14:textId="77777777" w:rsidR="00D001AB" w:rsidRPr="00F07699" w:rsidRDefault="00D001AB" w:rsidP="003B6F71">
            <w:pPr>
              <w:pStyle w:val="Tabletext"/>
              <w:rPr>
                <w:rFonts w:cs="Arial"/>
              </w:rPr>
            </w:pPr>
            <w:r w:rsidRPr="00F07699">
              <w:rPr>
                <w:rFonts w:cs="Arial"/>
              </w:rPr>
              <w:t>Appropriate user authentication controls (consistent with control requirement 1) are in place for access to encryption solutions and cryptographic keys.</w:t>
            </w:r>
          </w:p>
          <w:p w14:paraId="4B7FCD75" w14:textId="77777777" w:rsidR="00D001AB" w:rsidRPr="00F07699" w:rsidRDefault="00D001AB" w:rsidP="003B6F71">
            <w:pPr>
              <w:pStyle w:val="Tabletext"/>
              <w:rPr>
                <w:rFonts w:cs="Arial"/>
              </w:rPr>
            </w:pPr>
          </w:p>
        </w:tc>
      </w:tr>
      <w:tr w:rsidR="00D001AB" w:rsidRPr="00F07699" w14:paraId="3F039E22" w14:textId="77777777" w:rsidTr="00B96CC8">
        <w:trPr>
          <w:trHeight w:val="62"/>
        </w:trPr>
        <w:tc>
          <w:tcPr>
            <w:tcW w:w="148" w:type="pct"/>
            <w:vMerge/>
          </w:tcPr>
          <w:p w14:paraId="0D54E5A7" w14:textId="77777777" w:rsidR="00D001AB" w:rsidRPr="00693A57" w:rsidRDefault="00D001AB" w:rsidP="003B6F71">
            <w:pPr>
              <w:pStyle w:val="Tabletext"/>
              <w:rPr>
                <w:color w:val="0000FF"/>
              </w:rPr>
            </w:pPr>
          </w:p>
        </w:tc>
        <w:tc>
          <w:tcPr>
            <w:tcW w:w="737" w:type="pct"/>
            <w:vMerge/>
          </w:tcPr>
          <w:p w14:paraId="0CFAE5AE" w14:textId="77777777" w:rsidR="00D001AB" w:rsidRPr="00F07699" w:rsidRDefault="00D001AB" w:rsidP="003B6F71">
            <w:pPr>
              <w:pStyle w:val="Tabletext"/>
            </w:pPr>
          </w:p>
        </w:tc>
        <w:tc>
          <w:tcPr>
            <w:tcW w:w="164" w:type="pct"/>
          </w:tcPr>
          <w:p w14:paraId="1049F10F" w14:textId="77777777" w:rsidR="00D001AB" w:rsidRPr="00693A57" w:rsidRDefault="00D001AB" w:rsidP="003B6F71">
            <w:pPr>
              <w:pStyle w:val="Tabletext"/>
              <w:rPr>
                <w:rFonts w:cs="Arial"/>
                <w:color w:val="0000FF"/>
              </w:rPr>
            </w:pPr>
            <w:r w:rsidRPr="00693A57">
              <w:rPr>
                <w:color w:val="0000FF"/>
              </w:rPr>
              <w:t>(b)</w:t>
            </w:r>
          </w:p>
        </w:tc>
        <w:tc>
          <w:tcPr>
            <w:tcW w:w="1879" w:type="pct"/>
          </w:tcPr>
          <w:p w14:paraId="7FB1880D" w14:textId="77777777" w:rsidR="00D001AB" w:rsidRPr="00F07699" w:rsidRDefault="00D001AB" w:rsidP="003B6F71">
            <w:pPr>
              <w:pStyle w:val="Tabletext"/>
              <w:rPr>
                <w:rFonts w:cs="Arial"/>
              </w:rPr>
            </w:pPr>
            <w:r w:rsidRPr="00F07699">
              <w:rPr>
                <w:rFonts w:cs="Arial"/>
              </w:rPr>
              <w:t>Firewalls</w:t>
            </w:r>
          </w:p>
        </w:tc>
        <w:tc>
          <w:tcPr>
            <w:tcW w:w="2072" w:type="pct"/>
          </w:tcPr>
          <w:p w14:paraId="58BD5ABD" w14:textId="77777777" w:rsidR="00D001AB" w:rsidRPr="00F07699" w:rsidRDefault="00D001AB" w:rsidP="003B6F71">
            <w:pPr>
              <w:pStyle w:val="Tabletext"/>
              <w:rPr>
                <w:rFonts w:cs="Arial"/>
              </w:rPr>
            </w:pPr>
            <w:r w:rsidRPr="00F07699">
              <w:rPr>
                <w:rFonts w:cs="Arial"/>
              </w:rPr>
              <w:t xml:space="preserve">Firewalls are used to limit traffic from untrusted sources. This could be achieved by implementing a combination of strategies including, but not limited to: </w:t>
            </w:r>
          </w:p>
          <w:p w14:paraId="734ED834" w14:textId="77777777" w:rsidR="00D001AB" w:rsidRPr="00F07699" w:rsidRDefault="00D001AB" w:rsidP="003B6F71">
            <w:pPr>
              <w:pStyle w:val="Tablea"/>
            </w:pPr>
            <w:r w:rsidRPr="00F07699">
              <w:rPr>
                <w:rFonts w:cs="Arial"/>
              </w:rPr>
              <w:t>(</w:t>
            </w:r>
            <w:r w:rsidRPr="00F07699">
              <w:t>a)</w:t>
            </w:r>
            <w:r w:rsidRPr="00F07699">
              <w:tab/>
              <w:t>restricting all access from untrusted networks; and</w:t>
            </w:r>
          </w:p>
          <w:p w14:paraId="32C93109" w14:textId="77777777" w:rsidR="00D001AB" w:rsidRPr="00F07699" w:rsidRDefault="00D001AB" w:rsidP="003B6F71">
            <w:pPr>
              <w:pStyle w:val="Tablea"/>
            </w:pPr>
            <w:r w:rsidRPr="00F07699">
              <w:t>(b)</w:t>
            </w:r>
            <w:r w:rsidRPr="00F07699">
              <w:tab/>
              <w:t>denying all traffic aside from necessary protocols; and</w:t>
            </w:r>
          </w:p>
          <w:p w14:paraId="6B6B00B5" w14:textId="77777777" w:rsidR="00D001AB" w:rsidRPr="00F07699" w:rsidRDefault="00D001AB" w:rsidP="003B6F71">
            <w:pPr>
              <w:pStyle w:val="Tablea"/>
            </w:pPr>
            <w:r w:rsidRPr="00F07699">
              <w:t>(c)</w:t>
            </w:r>
            <w:r w:rsidRPr="00F07699">
              <w:tab/>
              <w:t>restricting access to configuring firewalls, and review configurations on a regular basis.</w:t>
            </w:r>
          </w:p>
          <w:p w14:paraId="030702D0" w14:textId="77777777" w:rsidR="00D001AB" w:rsidRPr="00F07699" w:rsidRDefault="00D001AB" w:rsidP="003B6F71">
            <w:pPr>
              <w:pStyle w:val="nDrafterComment"/>
              <w:rPr>
                <w:rFonts w:cs="Arial"/>
                <w:color w:val="auto"/>
              </w:rPr>
            </w:pPr>
          </w:p>
        </w:tc>
      </w:tr>
      <w:tr w:rsidR="00D001AB" w:rsidRPr="00F07699" w14:paraId="0341FC47" w14:textId="77777777" w:rsidTr="00B96CC8">
        <w:trPr>
          <w:trHeight w:val="62"/>
        </w:trPr>
        <w:tc>
          <w:tcPr>
            <w:tcW w:w="148" w:type="pct"/>
            <w:vMerge/>
          </w:tcPr>
          <w:p w14:paraId="08D65D84" w14:textId="77777777" w:rsidR="00D001AB" w:rsidRPr="00693A57" w:rsidRDefault="00D001AB" w:rsidP="003B6F71">
            <w:pPr>
              <w:pStyle w:val="Tabletext"/>
              <w:rPr>
                <w:color w:val="0000FF"/>
              </w:rPr>
            </w:pPr>
          </w:p>
        </w:tc>
        <w:tc>
          <w:tcPr>
            <w:tcW w:w="737" w:type="pct"/>
            <w:vMerge/>
          </w:tcPr>
          <w:p w14:paraId="22CE4F4C" w14:textId="77777777" w:rsidR="00D001AB" w:rsidRPr="00F07699" w:rsidRDefault="00D001AB" w:rsidP="003B6F71">
            <w:pPr>
              <w:pStyle w:val="Tabletext"/>
            </w:pPr>
          </w:p>
        </w:tc>
        <w:tc>
          <w:tcPr>
            <w:tcW w:w="164" w:type="pct"/>
          </w:tcPr>
          <w:p w14:paraId="5FC4CEE1" w14:textId="77777777" w:rsidR="00D001AB" w:rsidRPr="00693A57" w:rsidRDefault="00D001AB" w:rsidP="003B6F71">
            <w:pPr>
              <w:pStyle w:val="Tabletext"/>
              <w:rPr>
                <w:rFonts w:cs="Arial"/>
                <w:color w:val="0000FF"/>
              </w:rPr>
            </w:pPr>
            <w:r w:rsidRPr="00693A57">
              <w:rPr>
                <w:color w:val="0000FF"/>
              </w:rPr>
              <w:t>(c)</w:t>
            </w:r>
          </w:p>
        </w:tc>
        <w:tc>
          <w:tcPr>
            <w:tcW w:w="1879" w:type="pct"/>
          </w:tcPr>
          <w:p w14:paraId="1C417764" w14:textId="77777777" w:rsidR="00D001AB" w:rsidRPr="00F07699" w:rsidRDefault="00D001AB" w:rsidP="003B6F71">
            <w:pPr>
              <w:pStyle w:val="Tabletext"/>
              <w:rPr>
                <w:rFonts w:cs="Arial"/>
              </w:rPr>
            </w:pPr>
            <w:r w:rsidRPr="00F07699">
              <w:rPr>
                <w:rFonts w:cs="Arial"/>
              </w:rPr>
              <w:t>Server hardening</w:t>
            </w:r>
          </w:p>
        </w:tc>
        <w:tc>
          <w:tcPr>
            <w:tcW w:w="2072" w:type="pct"/>
          </w:tcPr>
          <w:p w14:paraId="168DEF27" w14:textId="77777777" w:rsidR="00D001AB" w:rsidRPr="00F07699" w:rsidRDefault="00D001AB" w:rsidP="003B6F71">
            <w:pPr>
              <w:pStyle w:val="Tabletext"/>
              <w:rPr>
                <w:rFonts w:cs="Arial"/>
              </w:rPr>
            </w:pPr>
            <w:r w:rsidRPr="00F07699">
              <w:rPr>
                <w:rFonts w:cs="Arial"/>
              </w:rPr>
              <w:t>Processes are in place to harden servers running applications, databases and operating systems in accordance with accepted industry standards.</w:t>
            </w:r>
          </w:p>
          <w:p w14:paraId="5E1C6B01" w14:textId="77777777" w:rsidR="00D001AB" w:rsidRPr="00F07699" w:rsidRDefault="00D001AB" w:rsidP="003B6F71">
            <w:pPr>
              <w:pStyle w:val="Tabletext"/>
              <w:rPr>
                <w:rFonts w:cs="Arial"/>
              </w:rPr>
            </w:pPr>
          </w:p>
        </w:tc>
      </w:tr>
      <w:tr w:rsidR="00D001AB" w:rsidRPr="00F07699" w14:paraId="16DCE51F" w14:textId="77777777" w:rsidTr="00B96CC8">
        <w:trPr>
          <w:trHeight w:val="62"/>
        </w:trPr>
        <w:tc>
          <w:tcPr>
            <w:tcW w:w="148" w:type="pct"/>
            <w:vMerge/>
          </w:tcPr>
          <w:p w14:paraId="1577ED63" w14:textId="77777777" w:rsidR="00D001AB" w:rsidRPr="00693A57" w:rsidRDefault="00D001AB" w:rsidP="003B6F71">
            <w:pPr>
              <w:pStyle w:val="Tabletext"/>
              <w:rPr>
                <w:color w:val="0000FF"/>
              </w:rPr>
            </w:pPr>
          </w:p>
        </w:tc>
        <w:tc>
          <w:tcPr>
            <w:tcW w:w="737" w:type="pct"/>
            <w:vMerge/>
          </w:tcPr>
          <w:p w14:paraId="34DAAE48" w14:textId="77777777" w:rsidR="00D001AB" w:rsidRPr="00F07699" w:rsidRDefault="00D001AB" w:rsidP="003B6F71">
            <w:pPr>
              <w:pStyle w:val="Tabletext"/>
            </w:pPr>
          </w:p>
        </w:tc>
        <w:tc>
          <w:tcPr>
            <w:tcW w:w="164" w:type="pct"/>
          </w:tcPr>
          <w:p w14:paraId="445CDD4B" w14:textId="77777777" w:rsidR="00D001AB" w:rsidRPr="00693A57" w:rsidRDefault="00D001AB" w:rsidP="003B6F71">
            <w:pPr>
              <w:pStyle w:val="Tabletext"/>
              <w:rPr>
                <w:rFonts w:cs="Arial"/>
                <w:color w:val="0000FF"/>
              </w:rPr>
            </w:pPr>
            <w:r w:rsidRPr="00693A57">
              <w:rPr>
                <w:color w:val="0000FF"/>
              </w:rPr>
              <w:t>(d)</w:t>
            </w:r>
          </w:p>
        </w:tc>
        <w:tc>
          <w:tcPr>
            <w:tcW w:w="1879" w:type="pct"/>
          </w:tcPr>
          <w:p w14:paraId="39A2579E" w14:textId="77777777" w:rsidR="00D001AB" w:rsidRPr="00F07699" w:rsidRDefault="00D001AB" w:rsidP="003B6F71">
            <w:pPr>
              <w:pStyle w:val="Tabletext"/>
              <w:rPr>
                <w:rFonts w:cs="Arial"/>
              </w:rPr>
            </w:pPr>
            <w:r w:rsidRPr="00F07699">
              <w:rPr>
                <w:rFonts w:cs="Arial"/>
              </w:rPr>
              <w:t>End-user devices</w:t>
            </w:r>
          </w:p>
        </w:tc>
        <w:tc>
          <w:tcPr>
            <w:tcW w:w="2072" w:type="pct"/>
          </w:tcPr>
          <w:p w14:paraId="24082C48" w14:textId="77777777" w:rsidR="00D001AB" w:rsidRPr="00F07699" w:rsidRDefault="00D001AB" w:rsidP="003B6F71">
            <w:pPr>
              <w:pStyle w:val="Tabletext"/>
              <w:rPr>
                <w:rFonts w:cs="Arial"/>
              </w:rPr>
            </w:pPr>
            <w:r w:rsidRPr="00F07699">
              <w:rPr>
                <w:rFonts w:cs="Arial"/>
              </w:rPr>
              <w:t>End-user devices, including bring</w:t>
            </w:r>
            <w:r w:rsidRPr="00F07699">
              <w:rPr>
                <w:rFonts w:cs="Arial"/>
              </w:rPr>
              <w:noBreakHyphen/>
              <w:t>your</w:t>
            </w:r>
            <w:r w:rsidRPr="00F07699">
              <w:rPr>
                <w:rFonts w:cs="Arial"/>
              </w:rPr>
              <w:noBreakHyphen/>
              <w:t>own</w:t>
            </w:r>
            <w:r w:rsidRPr="00F07699">
              <w:rPr>
                <w:rFonts w:cs="Arial"/>
              </w:rPr>
              <w:noBreakHyphen/>
              <w:t>device (BYOD) systems, are hardened in accordance with accepted industry standards.</w:t>
            </w:r>
          </w:p>
          <w:p w14:paraId="68977E80" w14:textId="77777777" w:rsidR="00D001AB" w:rsidRPr="00F07699" w:rsidRDefault="00D001AB" w:rsidP="003B6F71">
            <w:pPr>
              <w:pStyle w:val="nDrafterComment"/>
              <w:rPr>
                <w:rFonts w:cs="Arial"/>
                <w:color w:val="auto"/>
              </w:rPr>
            </w:pPr>
          </w:p>
        </w:tc>
      </w:tr>
      <w:tr w:rsidR="00D001AB" w:rsidRPr="00F07699" w14:paraId="1AD74C3E" w14:textId="77777777" w:rsidTr="00B96CC8">
        <w:trPr>
          <w:trHeight w:val="62"/>
        </w:trPr>
        <w:tc>
          <w:tcPr>
            <w:tcW w:w="148" w:type="pct"/>
            <w:vMerge/>
          </w:tcPr>
          <w:p w14:paraId="334E89F7" w14:textId="77777777" w:rsidR="00D001AB" w:rsidRPr="00693A57" w:rsidRDefault="00D001AB" w:rsidP="003B6F71">
            <w:pPr>
              <w:pStyle w:val="Tabletext"/>
              <w:rPr>
                <w:color w:val="0000FF"/>
              </w:rPr>
            </w:pPr>
          </w:p>
        </w:tc>
        <w:tc>
          <w:tcPr>
            <w:tcW w:w="737" w:type="pct"/>
            <w:vMerge/>
          </w:tcPr>
          <w:p w14:paraId="670F88F1" w14:textId="77777777" w:rsidR="00D001AB" w:rsidRPr="00F07699" w:rsidRDefault="00D001AB" w:rsidP="003B6F71">
            <w:pPr>
              <w:pStyle w:val="Tabletext"/>
            </w:pPr>
          </w:p>
        </w:tc>
        <w:tc>
          <w:tcPr>
            <w:tcW w:w="164" w:type="pct"/>
          </w:tcPr>
          <w:p w14:paraId="5A0578F0" w14:textId="77777777" w:rsidR="00D001AB" w:rsidRPr="00693A57" w:rsidRDefault="00D001AB" w:rsidP="003B6F71">
            <w:pPr>
              <w:pStyle w:val="Tabletext"/>
              <w:rPr>
                <w:rFonts w:cs="Arial"/>
                <w:color w:val="0000FF"/>
              </w:rPr>
            </w:pPr>
            <w:r w:rsidRPr="00693A57">
              <w:rPr>
                <w:color w:val="0000FF"/>
              </w:rPr>
              <w:t>(e)</w:t>
            </w:r>
          </w:p>
        </w:tc>
        <w:tc>
          <w:tcPr>
            <w:tcW w:w="1879" w:type="pct"/>
          </w:tcPr>
          <w:p w14:paraId="1EFD84E7" w14:textId="77777777" w:rsidR="00D001AB" w:rsidRPr="00F07699" w:rsidRDefault="00D001AB" w:rsidP="003B6F71">
            <w:pPr>
              <w:pStyle w:val="Tabletext"/>
            </w:pPr>
            <w:r w:rsidRPr="00F07699">
              <w:t>Data Segregation</w:t>
            </w:r>
          </w:p>
        </w:tc>
        <w:tc>
          <w:tcPr>
            <w:tcW w:w="2072" w:type="pct"/>
          </w:tcPr>
          <w:p w14:paraId="7EE0531A" w14:textId="270F8EBA" w:rsidR="00D001AB" w:rsidRPr="00F07699" w:rsidRDefault="00D001AB" w:rsidP="003B6F71">
            <w:pPr>
              <w:pStyle w:val="Tabletext"/>
            </w:pPr>
            <w:r w:rsidRPr="00F07699">
              <w:t xml:space="preserve">CDR data that is stored or hosted on behalf of an accredited data recipient </w:t>
            </w:r>
            <w:r w:rsidR="00CE12C3" w:rsidRPr="00037F3B">
              <w:rPr>
                <w:color w:val="CC00CC"/>
              </w:rPr>
              <w:t xml:space="preserve">or CDR representative </w:t>
            </w:r>
            <w:r w:rsidRPr="00F07699">
              <w:t>is segregated from other CDR data to ensure it is accessible only by the accredited data recipient for whom consent was given and remains directly attributable to that accredited data recipient.</w:t>
            </w:r>
          </w:p>
          <w:p w14:paraId="7EE10DB1" w14:textId="77777777" w:rsidR="00D001AB" w:rsidRPr="00F07699" w:rsidRDefault="00D001AB" w:rsidP="003B6F71">
            <w:pPr>
              <w:pStyle w:val="Tabletext"/>
            </w:pPr>
          </w:p>
        </w:tc>
      </w:tr>
      <w:tr w:rsidR="00D001AB" w:rsidRPr="00F07699" w14:paraId="1F201DA8" w14:textId="77777777" w:rsidTr="00B96CC8">
        <w:tc>
          <w:tcPr>
            <w:tcW w:w="148" w:type="pct"/>
            <w:vMerge w:val="restart"/>
          </w:tcPr>
          <w:p w14:paraId="5094B3A0" w14:textId="77777777" w:rsidR="00D001AB" w:rsidRPr="00693A57" w:rsidRDefault="00D001AB" w:rsidP="003B6F71">
            <w:pPr>
              <w:pStyle w:val="Tabletext"/>
              <w:rPr>
                <w:color w:val="0000FF"/>
              </w:rPr>
            </w:pPr>
            <w:r w:rsidRPr="00693A57">
              <w:rPr>
                <w:color w:val="0000FF"/>
              </w:rPr>
              <w:t>(3)</w:t>
            </w:r>
          </w:p>
        </w:tc>
        <w:tc>
          <w:tcPr>
            <w:tcW w:w="737" w:type="pct"/>
            <w:vMerge w:val="restart"/>
          </w:tcPr>
          <w:p w14:paraId="73BBD771" w14:textId="77777777" w:rsidR="00D001AB" w:rsidRPr="00F07699" w:rsidRDefault="00D001AB" w:rsidP="003B6F71">
            <w:pPr>
              <w:pStyle w:val="Tabletext"/>
              <w:rPr>
                <w:rFonts w:cs="Arial"/>
              </w:rPr>
            </w:pPr>
            <w:r w:rsidRPr="00F07699">
              <w:rPr>
                <w:rFonts w:cs="Arial"/>
              </w:rPr>
              <w:t>An accredited data recipient must securely manage information assets within the CDR data environment over their lifecycle.</w:t>
            </w:r>
          </w:p>
          <w:p w14:paraId="0844ED7C" w14:textId="77777777" w:rsidR="00D001AB" w:rsidRPr="00F07699" w:rsidRDefault="00D001AB" w:rsidP="003B6F71">
            <w:pPr>
              <w:pStyle w:val="Tabletext"/>
              <w:rPr>
                <w:rFonts w:cs="Arial"/>
              </w:rPr>
            </w:pPr>
          </w:p>
        </w:tc>
        <w:tc>
          <w:tcPr>
            <w:tcW w:w="164" w:type="pct"/>
          </w:tcPr>
          <w:p w14:paraId="57576305" w14:textId="77777777" w:rsidR="00D001AB" w:rsidRPr="00693A57" w:rsidRDefault="00D001AB" w:rsidP="003B6F71">
            <w:pPr>
              <w:pStyle w:val="Tabletext"/>
              <w:rPr>
                <w:rFonts w:cs="Arial"/>
                <w:color w:val="0000FF"/>
              </w:rPr>
            </w:pPr>
            <w:r w:rsidRPr="00693A57">
              <w:rPr>
                <w:color w:val="0000FF"/>
              </w:rPr>
              <w:t>(a)</w:t>
            </w:r>
          </w:p>
        </w:tc>
        <w:tc>
          <w:tcPr>
            <w:tcW w:w="1879" w:type="pct"/>
          </w:tcPr>
          <w:p w14:paraId="4E7EA0C4" w14:textId="77777777" w:rsidR="00D001AB" w:rsidRPr="00F07699" w:rsidRDefault="00D001AB" w:rsidP="003B6F71">
            <w:pPr>
              <w:pStyle w:val="Tabletext"/>
              <w:rPr>
                <w:rFonts w:cs="Arial"/>
              </w:rPr>
            </w:pPr>
            <w:r w:rsidRPr="00F07699">
              <w:rPr>
                <w:rFonts w:cs="Arial"/>
              </w:rPr>
              <w:t>Data loss prevention</w:t>
            </w:r>
          </w:p>
        </w:tc>
        <w:tc>
          <w:tcPr>
            <w:tcW w:w="2072" w:type="pct"/>
          </w:tcPr>
          <w:p w14:paraId="6AEA52E5" w14:textId="77777777" w:rsidR="00D001AB" w:rsidRPr="00F07699" w:rsidRDefault="00D001AB" w:rsidP="003B6F71">
            <w:pPr>
              <w:pStyle w:val="Tabletext"/>
            </w:pPr>
            <w:r w:rsidRPr="00F07699">
              <w:t>Data loss and leakage prevention mechanisms are implemented to prevent data leaving the CDR data environment, including, but not limited to:</w:t>
            </w:r>
          </w:p>
          <w:p w14:paraId="3A7B1746" w14:textId="77777777" w:rsidR="00D001AB" w:rsidRPr="00F07699" w:rsidRDefault="00D001AB" w:rsidP="003B6F71">
            <w:pPr>
              <w:pStyle w:val="Tablea"/>
            </w:pPr>
            <w:r w:rsidRPr="00F07699">
              <w:t>(a)</w:t>
            </w:r>
            <w:r w:rsidRPr="00F07699">
              <w:tab/>
              <w:t>blocking access to unapproved cloud computing services; and</w:t>
            </w:r>
          </w:p>
          <w:p w14:paraId="1F38AA7A" w14:textId="77777777" w:rsidR="00D001AB" w:rsidRPr="00F07699" w:rsidRDefault="00D001AB" w:rsidP="003B6F71">
            <w:pPr>
              <w:pStyle w:val="Tablea"/>
            </w:pPr>
            <w:r w:rsidRPr="00F07699">
              <w:t>(b)</w:t>
            </w:r>
            <w:r w:rsidRPr="00F07699">
              <w:tab/>
              <w:t>logging and monitoring the recipient, file size and frequency of outbound emails; and</w:t>
            </w:r>
          </w:p>
          <w:p w14:paraId="5BF0E030" w14:textId="77777777" w:rsidR="00D001AB" w:rsidRPr="00F07699" w:rsidRDefault="00D001AB" w:rsidP="003B6F71">
            <w:pPr>
              <w:pStyle w:val="Tablea"/>
            </w:pPr>
            <w:r w:rsidRPr="00F07699">
              <w:t xml:space="preserve">(c) </w:t>
            </w:r>
            <w:r w:rsidRPr="00F07699">
              <w:tab/>
              <w:t>email filtering and blocking methods that block emails with CDR data in text and attachments; and</w:t>
            </w:r>
          </w:p>
          <w:p w14:paraId="42D5716C" w14:textId="77777777" w:rsidR="00D001AB" w:rsidRPr="00F07699" w:rsidRDefault="00D001AB" w:rsidP="003B6F71">
            <w:pPr>
              <w:pStyle w:val="Tablea"/>
            </w:pPr>
            <w:r w:rsidRPr="00F07699">
              <w:t xml:space="preserve">(d) </w:t>
            </w:r>
            <w:r w:rsidRPr="00F07699">
              <w:tab/>
              <w:t>blocking data write access to portable storage media.</w:t>
            </w:r>
          </w:p>
          <w:p w14:paraId="116D09DD" w14:textId="77777777" w:rsidR="00D001AB" w:rsidRPr="00F07699" w:rsidRDefault="00D001AB" w:rsidP="003B6F71">
            <w:pPr>
              <w:pStyle w:val="Tablea"/>
            </w:pPr>
          </w:p>
        </w:tc>
      </w:tr>
      <w:tr w:rsidR="00D001AB" w:rsidRPr="00F07699" w14:paraId="64BA5D53" w14:textId="77777777" w:rsidTr="00B96CC8">
        <w:tc>
          <w:tcPr>
            <w:tcW w:w="148" w:type="pct"/>
            <w:vMerge/>
          </w:tcPr>
          <w:p w14:paraId="2E1E7C9D" w14:textId="77777777" w:rsidR="00D001AB" w:rsidRPr="00693A57" w:rsidRDefault="00D001AB" w:rsidP="003B6F71">
            <w:pPr>
              <w:pStyle w:val="Tabletext"/>
              <w:rPr>
                <w:color w:val="0000FF"/>
              </w:rPr>
            </w:pPr>
          </w:p>
        </w:tc>
        <w:tc>
          <w:tcPr>
            <w:tcW w:w="737" w:type="pct"/>
            <w:vMerge/>
          </w:tcPr>
          <w:p w14:paraId="629F70EB" w14:textId="77777777" w:rsidR="00D001AB" w:rsidRPr="00F07699" w:rsidRDefault="00D001AB" w:rsidP="003B6F71">
            <w:pPr>
              <w:pStyle w:val="Tabletext"/>
              <w:rPr>
                <w:rFonts w:cs="Arial"/>
              </w:rPr>
            </w:pPr>
          </w:p>
        </w:tc>
        <w:tc>
          <w:tcPr>
            <w:tcW w:w="164" w:type="pct"/>
          </w:tcPr>
          <w:p w14:paraId="19BBD811" w14:textId="77777777" w:rsidR="00D001AB" w:rsidRPr="00693A57" w:rsidRDefault="00D001AB" w:rsidP="003B6F71">
            <w:pPr>
              <w:pStyle w:val="Tabletext"/>
              <w:rPr>
                <w:rFonts w:cs="Arial"/>
                <w:color w:val="0000FF"/>
              </w:rPr>
            </w:pPr>
            <w:r w:rsidRPr="00693A57">
              <w:rPr>
                <w:color w:val="0000FF"/>
              </w:rPr>
              <w:t>(b)</w:t>
            </w:r>
          </w:p>
        </w:tc>
        <w:tc>
          <w:tcPr>
            <w:tcW w:w="1879" w:type="pct"/>
          </w:tcPr>
          <w:p w14:paraId="565CBED8" w14:textId="77777777" w:rsidR="00D001AB" w:rsidRPr="00F07699" w:rsidRDefault="00D001AB" w:rsidP="003B6F71">
            <w:pPr>
              <w:pStyle w:val="Tabletext"/>
              <w:rPr>
                <w:rFonts w:cs="Arial"/>
              </w:rPr>
            </w:pPr>
            <w:r w:rsidRPr="00F07699">
              <w:rPr>
                <w:rFonts w:cs="Arial"/>
              </w:rPr>
              <w:t>CDR data in non-production environments</w:t>
            </w:r>
          </w:p>
        </w:tc>
        <w:tc>
          <w:tcPr>
            <w:tcW w:w="2072" w:type="pct"/>
          </w:tcPr>
          <w:p w14:paraId="3F1246ED" w14:textId="77777777" w:rsidR="00D001AB" w:rsidRPr="00F07699" w:rsidRDefault="00D001AB" w:rsidP="003B6F71">
            <w:pPr>
              <w:pStyle w:val="Tabletext"/>
              <w:rPr>
                <w:rFonts w:cs="Arial"/>
              </w:rPr>
            </w:pPr>
            <w:r w:rsidRPr="00F07699">
              <w:rPr>
                <w:rFonts w:cs="Arial"/>
              </w:rPr>
              <w:t xml:space="preserve">CDR data is secured from unauthorised access by masking data, prior to being made available in non-production environments. </w:t>
            </w:r>
          </w:p>
          <w:p w14:paraId="3B37BF80" w14:textId="77777777" w:rsidR="00D001AB" w:rsidRPr="00F07699" w:rsidRDefault="00D001AB" w:rsidP="003B6F71">
            <w:pPr>
              <w:pStyle w:val="Tabletext"/>
              <w:rPr>
                <w:rFonts w:cs="Arial"/>
              </w:rPr>
            </w:pPr>
          </w:p>
        </w:tc>
      </w:tr>
      <w:tr w:rsidR="00D001AB" w:rsidRPr="00F07699" w14:paraId="6A6783EC" w14:textId="77777777" w:rsidTr="00B96CC8">
        <w:tc>
          <w:tcPr>
            <w:tcW w:w="148" w:type="pct"/>
            <w:vMerge/>
          </w:tcPr>
          <w:p w14:paraId="5C9B3276" w14:textId="77777777" w:rsidR="00D001AB" w:rsidRPr="00693A57" w:rsidRDefault="00D001AB" w:rsidP="003B6F71">
            <w:pPr>
              <w:pStyle w:val="Tabletext"/>
              <w:rPr>
                <w:color w:val="0000FF"/>
              </w:rPr>
            </w:pPr>
          </w:p>
        </w:tc>
        <w:tc>
          <w:tcPr>
            <w:tcW w:w="737" w:type="pct"/>
            <w:vMerge/>
          </w:tcPr>
          <w:p w14:paraId="48EBB5A1" w14:textId="77777777" w:rsidR="00D001AB" w:rsidRPr="00F07699" w:rsidRDefault="00D001AB" w:rsidP="003B6F71">
            <w:pPr>
              <w:pStyle w:val="Tabletext"/>
              <w:rPr>
                <w:rFonts w:cs="Arial"/>
              </w:rPr>
            </w:pPr>
          </w:p>
        </w:tc>
        <w:tc>
          <w:tcPr>
            <w:tcW w:w="164" w:type="pct"/>
          </w:tcPr>
          <w:p w14:paraId="15A3B663" w14:textId="77777777" w:rsidR="00D001AB" w:rsidRPr="00693A57" w:rsidRDefault="00D001AB" w:rsidP="003B6F71">
            <w:pPr>
              <w:pStyle w:val="Tabletext"/>
              <w:rPr>
                <w:rFonts w:cs="Arial"/>
                <w:color w:val="0000FF"/>
              </w:rPr>
            </w:pPr>
            <w:r w:rsidRPr="00693A57">
              <w:rPr>
                <w:color w:val="0000FF"/>
              </w:rPr>
              <w:t>(c)</w:t>
            </w:r>
          </w:p>
        </w:tc>
        <w:tc>
          <w:tcPr>
            <w:tcW w:w="1879" w:type="pct"/>
          </w:tcPr>
          <w:p w14:paraId="44989FB9" w14:textId="77777777" w:rsidR="00D001AB" w:rsidRPr="00F07699" w:rsidRDefault="00D001AB" w:rsidP="003B6F71">
            <w:pPr>
              <w:pStyle w:val="Tabletext"/>
              <w:rPr>
                <w:rFonts w:cs="Arial"/>
              </w:rPr>
            </w:pPr>
            <w:r w:rsidRPr="00F07699">
              <w:rPr>
                <w:rFonts w:cs="Arial"/>
              </w:rPr>
              <w:t>Information asset lifecycle (as it relates to CDR data)</w:t>
            </w:r>
          </w:p>
        </w:tc>
        <w:tc>
          <w:tcPr>
            <w:tcW w:w="2072" w:type="pct"/>
          </w:tcPr>
          <w:p w14:paraId="2E34590B" w14:textId="77777777" w:rsidR="00D001AB" w:rsidRPr="00F07699" w:rsidRDefault="00D001AB" w:rsidP="003B6F71">
            <w:pPr>
              <w:pStyle w:val="Tabletext"/>
            </w:pPr>
            <w:r w:rsidRPr="00F07699">
              <w:t xml:space="preserve">The accredited data recipient must document and implement processes that relate to the management of CDR data over its lifecycle, including an </w:t>
            </w:r>
            <w:r w:rsidRPr="00F07699">
              <w:lastRenderedPageBreak/>
              <w:t>information classification and handling policy (which must address the confidentiality and sensitivity of CDR data) and processes relating to CDR data backup, retention, and, in accordance with rules 7.12 and 7.13, deletion and de</w:t>
            </w:r>
            <w:r w:rsidRPr="00F07699">
              <w:noBreakHyphen/>
              <w:t>identification.</w:t>
            </w:r>
          </w:p>
          <w:p w14:paraId="2948D6DC" w14:textId="77777777" w:rsidR="00D001AB" w:rsidRPr="00F07699" w:rsidRDefault="00D001AB" w:rsidP="003B6F71">
            <w:pPr>
              <w:pStyle w:val="Tabletext"/>
            </w:pPr>
          </w:p>
        </w:tc>
      </w:tr>
      <w:tr w:rsidR="00D001AB" w:rsidRPr="00F07699" w14:paraId="40E5D571" w14:textId="77777777" w:rsidTr="00B96CC8">
        <w:trPr>
          <w:trHeight w:val="389"/>
        </w:trPr>
        <w:tc>
          <w:tcPr>
            <w:tcW w:w="148" w:type="pct"/>
            <w:vMerge w:val="restart"/>
          </w:tcPr>
          <w:p w14:paraId="203CD1F3" w14:textId="77777777" w:rsidR="00D001AB" w:rsidRPr="00693A57" w:rsidRDefault="00D001AB" w:rsidP="003B6F71">
            <w:pPr>
              <w:pStyle w:val="Tabletext"/>
              <w:rPr>
                <w:color w:val="0000FF"/>
              </w:rPr>
            </w:pPr>
            <w:r w:rsidRPr="00693A57">
              <w:rPr>
                <w:color w:val="0000FF"/>
              </w:rPr>
              <w:lastRenderedPageBreak/>
              <w:t>(4)</w:t>
            </w:r>
          </w:p>
        </w:tc>
        <w:tc>
          <w:tcPr>
            <w:tcW w:w="737" w:type="pct"/>
            <w:vMerge w:val="restart"/>
          </w:tcPr>
          <w:p w14:paraId="584F0941" w14:textId="77777777" w:rsidR="00D001AB" w:rsidRPr="00F07699" w:rsidRDefault="00D001AB" w:rsidP="003B6F71">
            <w:pPr>
              <w:pStyle w:val="Tabletext"/>
              <w:rPr>
                <w:rFonts w:cs="Arial"/>
              </w:rPr>
            </w:pPr>
            <w:r w:rsidRPr="00F07699">
              <w:rPr>
                <w:rFonts w:cs="Arial"/>
              </w:rPr>
              <w:t>An accredited data recipient must implement a formal vulnerability management program to identify, track and remediate vulnerabilities within the CDR data environment in a timely manner.</w:t>
            </w:r>
          </w:p>
        </w:tc>
        <w:tc>
          <w:tcPr>
            <w:tcW w:w="164" w:type="pct"/>
          </w:tcPr>
          <w:p w14:paraId="6B22E25F" w14:textId="77777777" w:rsidR="00D001AB" w:rsidRPr="00693A57" w:rsidRDefault="00D001AB" w:rsidP="003B6F71">
            <w:pPr>
              <w:pStyle w:val="Tabletext"/>
              <w:rPr>
                <w:rFonts w:cs="Arial"/>
                <w:color w:val="0000FF"/>
              </w:rPr>
            </w:pPr>
            <w:r w:rsidRPr="00693A57">
              <w:rPr>
                <w:color w:val="0000FF"/>
              </w:rPr>
              <w:t>(a)</w:t>
            </w:r>
          </w:p>
        </w:tc>
        <w:tc>
          <w:tcPr>
            <w:tcW w:w="1879" w:type="pct"/>
          </w:tcPr>
          <w:p w14:paraId="34533599" w14:textId="77777777" w:rsidR="00D001AB" w:rsidRPr="00F07699" w:rsidRDefault="00D001AB" w:rsidP="003B6F71">
            <w:pPr>
              <w:pStyle w:val="Tabletext"/>
              <w:rPr>
                <w:rFonts w:cs="Arial"/>
              </w:rPr>
            </w:pPr>
            <w:r w:rsidRPr="00F07699">
              <w:rPr>
                <w:rFonts w:cs="Arial"/>
              </w:rPr>
              <w:t>Security patching</w:t>
            </w:r>
          </w:p>
        </w:tc>
        <w:tc>
          <w:tcPr>
            <w:tcW w:w="2072" w:type="pct"/>
          </w:tcPr>
          <w:p w14:paraId="773BF563" w14:textId="77777777" w:rsidR="00D001AB" w:rsidRPr="00F07699" w:rsidRDefault="00D001AB" w:rsidP="003B6F71">
            <w:pPr>
              <w:pStyle w:val="Tabletext"/>
              <w:rPr>
                <w:rFonts w:cs="Arial"/>
              </w:rPr>
            </w:pPr>
            <w:r w:rsidRPr="00F07699">
              <w:rPr>
                <w:rFonts w:cs="Arial"/>
              </w:rPr>
              <w:t>A formal program is implemented for identifying, assessing the risk of and applying security patches to applications and operating as soon as practicable.</w:t>
            </w:r>
          </w:p>
          <w:p w14:paraId="5241C9C1" w14:textId="77777777" w:rsidR="00D001AB" w:rsidRPr="00F07699" w:rsidRDefault="00D001AB" w:rsidP="003B6F71">
            <w:pPr>
              <w:pStyle w:val="Tabletext"/>
              <w:rPr>
                <w:rFonts w:cs="Arial"/>
              </w:rPr>
            </w:pPr>
          </w:p>
        </w:tc>
      </w:tr>
      <w:tr w:rsidR="00D001AB" w:rsidRPr="00F07699" w14:paraId="30FDB0A8" w14:textId="77777777" w:rsidTr="00B96CC8">
        <w:trPr>
          <w:trHeight w:val="388"/>
        </w:trPr>
        <w:tc>
          <w:tcPr>
            <w:tcW w:w="148" w:type="pct"/>
            <w:vMerge/>
          </w:tcPr>
          <w:p w14:paraId="4C3A3235" w14:textId="77777777" w:rsidR="00D001AB" w:rsidRPr="00693A57" w:rsidRDefault="00D001AB" w:rsidP="003B6F71">
            <w:pPr>
              <w:pStyle w:val="Tabletext"/>
              <w:rPr>
                <w:color w:val="0000FF"/>
              </w:rPr>
            </w:pPr>
          </w:p>
        </w:tc>
        <w:tc>
          <w:tcPr>
            <w:tcW w:w="737" w:type="pct"/>
            <w:vMerge/>
          </w:tcPr>
          <w:p w14:paraId="6FA4F324" w14:textId="77777777" w:rsidR="00D001AB" w:rsidRPr="00F07699" w:rsidRDefault="00D001AB" w:rsidP="003B6F71">
            <w:pPr>
              <w:pStyle w:val="Tabletext"/>
              <w:rPr>
                <w:rFonts w:cs="Arial"/>
              </w:rPr>
            </w:pPr>
          </w:p>
        </w:tc>
        <w:tc>
          <w:tcPr>
            <w:tcW w:w="164" w:type="pct"/>
          </w:tcPr>
          <w:p w14:paraId="2610AEC1" w14:textId="77777777" w:rsidR="00D001AB" w:rsidRPr="00693A57" w:rsidRDefault="00D001AB" w:rsidP="003B6F71">
            <w:pPr>
              <w:pStyle w:val="Tabletext"/>
              <w:rPr>
                <w:rFonts w:cs="Arial"/>
                <w:color w:val="0000FF"/>
              </w:rPr>
            </w:pPr>
            <w:r w:rsidRPr="00693A57">
              <w:rPr>
                <w:color w:val="0000FF"/>
              </w:rPr>
              <w:t>(b)</w:t>
            </w:r>
          </w:p>
        </w:tc>
        <w:tc>
          <w:tcPr>
            <w:tcW w:w="1879" w:type="pct"/>
          </w:tcPr>
          <w:p w14:paraId="690CF38F" w14:textId="77777777" w:rsidR="00D001AB" w:rsidRPr="00F07699" w:rsidRDefault="00D001AB" w:rsidP="003B6F71">
            <w:pPr>
              <w:pStyle w:val="Tabletext"/>
              <w:rPr>
                <w:rFonts w:cs="Arial"/>
              </w:rPr>
            </w:pPr>
            <w:r w:rsidRPr="00F07699">
              <w:rPr>
                <w:rFonts w:cs="Arial"/>
              </w:rPr>
              <w:t>Secure coding</w:t>
            </w:r>
          </w:p>
        </w:tc>
        <w:tc>
          <w:tcPr>
            <w:tcW w:w="2072" w:type="pct"/>
          </w:tcPr>
          <w:p w14:paraId="30E89FCC" w14:textId="77777777" w:rsidR="00D001AB" w:rsidRPr="00F07699" w:rsidRDefault="00D001AB" w:rsidP="003B6F71">
            <w:pPr>
              <w:pStyle w:val="Tabletext"/>
              <w:rPr>
                <w:rFonts w:cs="Arial"/>
              </w:rPr>
            </w:pPr>
            <w:r w:rsidRPr="00F07699">
              <w:rPr>
                <w:rFonts w:cs="Arial"/>
              </w:rPr>
              <w:t>Changes to the accredited data recipient’s systems (including its CDR data environment) are designed and developed consistent with industry accepted secure coding practices, and are appropriately tested prior to release into the production environment.</w:t>
            </w:r>
          </w:p>
          <w:p w14:paraId="67472FB2" w14:textId="77777777" w:rsidR="00D001AB" w:rsidRPr="00F07699" w:rsidRDefault="00D001AB" w:rsidP="003B6F71">
            <w:pPr>
              <w:pStyle w:val="Tabletext"/>
              <w:rPr>
                <w:rFonts w:cs="Arial"/>
              </w:rPr>
            </w:pPr>
          </w:p>
        </w:tc>
      </w:tr>
      <w:tr w:rsidR="00D001AB" w:rsidRPr="00F07699" w14:paraId="24884D61" w14:textId="77777777" w:rsidTr="00B96CC8">
        <w:trPr>
          <w:trHeight w:val="388"/>
        </w:trPr>
        <w:tc>
          <w:tcPr>
            <w:tcW w:w="148" w:type="pct"/>
            <w:vMerge/>
          </w:tcPr>
          <w:p w14:paraId="0F6EF394" w14:textId="77777777" w:rsidR="00D001AB" w:rsidRPr="00693A57" w:rsidRDefault="00D001AB" w:rsidP="003B6F71">
            <w:pPr>
              <w:pStyle w:val="Tabletext"/>
              <w:rPr>
                <w:color w:val="0000FF"/>
              </w:rPr>
            </w:pPr>
          </w:p>
        </w:tc>
        <w:tc>
          <w:tcPr>
            <w:tcW w:w="737" w:type="pct"/>
            <w:vMerge/>
          </w:tcPr>
          <w:p w14:paraId="2E832060" w14:textId="77777777" w:rsidR="00D001AB" w:rsidRPr="00F07699" w:rsidRDefault="00D001AB" w:rsidP="003B6F71">
            <w:pPr>
              <w:pStyle w:val="Tabletext"/>
              <w:rPr>
                <w:rFonts w:cs="Arial"/>
              </w:rPr>
            </w:pPr>
          </w:p>
        </w:tc>
        <w:tc>
          <w:tcPr>
            <w:tcW w:w="164" w:type="pct"/>
          </w:tcPr>
          <w:p w14:paraId="777DD1C5" w14:textId="77777777" w:rsidR="00D001AB" w:rsidRPr="00693A57" w:rsidRDefault="00D001AB" w:rsidP="003B6F71">
            <w:pPr>
              <w:pStyle w:val="Tabletext"/>
              <w:rPr>
                <w:rFonts w:cs="Arial"/>
                <w:color w:val="0000FF"/>
              </w:rPr>
            </w:pPr>
            <w:r w:rsidRPr="00693A57">
              <w:rPr>
                <w:color w:val="0000FF"/>
              </w:rPr>
              <w:t>(c)</w:t>
            </w:r>
          </w:p>
        </w:tc>
        <w:tc>
          <w:tcPr>
            <w:tcW w:w="1879" w:type="pct"/>
          </w:tcPr>
          <w:p w14:paraId="30E57D09" w14:textId="77777777" w:rsidR="00D001AB" w:rsidRPr="00F07699" w:rsidRDefault="00D001AB" w:rsidP="003B6F71">
            <w:pPr>
              <w:pStyle w:val="Tabletext"/>
              <w:rPr>
                <w:rFonts w:cs="Arial"/>
              </w:rPr>
            </w:pPr>
            <w:r w:rsidRPr="00F07699">
              <w:rPr>
                <w:rFonts w:cs="Arial"/>
              </w:rPr>
              <w:t>Vulnerability management</w:t>
            </w:r>
          </w:p>
        </w:tc>
        <w:tc>
          <w:tcPr>
            <w:tcW w:w="2072" w:type="pct"/>
          </w:tcPr>
          <w:p w14:paraId="6EFA8F85" w14:textId="77777777" w:rsidR="00D001AB" w:rsidRPr="00F07699" w:rsidRDefault="00D001AB" w:rsidP="003B6F71">
            <w:pPr>
              <w:pStyle w:val="Tabletext"/>
              <w:rPr>
                <w:rFonts w:cs="Arial"/>
              </w:rPr>
            </w:pPr>
            <w:r w:rsidRPr="00F07699">
              <w:rPr>
                <w:rFonts w:cs="Arial"/>
              </w:rPr>
              <w:t>A formal vulnerability management program is designed and implemented, which includes regular vulnerability scanning and penetration testing on systems within the CDR data environment.</w:t>
            </w:r>
          </w:p>
          <w:p w14:paraId="1D60C593" w14:textId="77777777" w:rsidR="00D001AB" w:rsidRPr="00F07699" w:rsidRDefault="00D001AB" w:rsidP="003B6F71">
            <w:pPr>
              <w:pStyle w:val="Tabletext"/>
              <w:rPr>
                <w:rFonts w:cs="Arial"/>
              </w:rPr>
            </w:pPr>
          </w:p>
        </w:tc>
      </w:tr>
      <w:tr w:rsidR="00D001AB" w:rsidRPr="00F07699" w14:paraId="3F425853" w14:textId="77777777" w:rsidTr="00B96CC8">
        <w:trPr>
          <w:trHeight w:val="318"/>
        </w:trPr>
        <w:tc>
          <w:tcPr>
            <w:tcW w:w="148" w:type="pct"/>
            <w:vMerge w:val="restart"/>
          </w:tcPr>
          <w:p w14:paraId="1C0D45D3" w14:textId="77777777" w:rsidR="00D001AB" w:rsidRPr="00693A57" w:rsidRDefault="00D001AB" w:rsidP="003B6F71">
            <w:pPr>
              <w:pStyle w:val="Tabletext"/>
              <w:rPr>
                <w:color w:val="0000FF"/>
              </w:rPr>
            </w:pPr>
            <w:r w:rsidRPr="00693A57">
              <w:rPr>
                <w:color w:val="0000FF"/>
              </w:rPr>
              <w:t>(5)</w:t>
            </w:r>
          </w:p>
        </w:tc>
        <w:tc>
          <w:tcPr>
            <w:tcW w:w="737" w:type="pct"/>
            <w:vMerge w:val="restart"/>
          </w:tcPr>
          <w:p w14:paraId="443C8359" w14:textId="77777777" w:rsidR="00D001AB" w:rsidRPr="00F07699" w:rsidRDefault="00D001AB" w:rsidP="003B6F71">
            <w:pPr>
              <w:pStyle w:val="Tabletext"/>
              <w:rPr>
                <w:rFonts w:cs="Arial"/>
              </w:rPr>
            </w:pPr>
            <w:r w:rsidRPr="00F07699">
              <w:rPr>
                <w:rFonts w:cs="Arial"/>
              </w:rPr>
              <w:t>An accredited data recipient must take steps to limit prevent, detect and remove malware in regards to their CDR data environment.</w:t>
            </w:r>
          </w:p>
        </w:tc>
        <w:tc>
          <w:tcPr>
            <w:tcW w:w="164" w:type="pct"/>
          </w:tcPr>
          <w:p w14:paraId="6087C30C" w14:textId="77777777" w:rsidR="00D001AB" w:rsidRPr="00693A57" w:rsidRDefault="00D001AB" w:rsidP="003B6F71">
            <w:pPr>
              <w:pStyle w:val="Tabletext"/>
              <w:rPr>
                <w:rFonts w:cs="Arial"/>
                <w:color w:val="0000FF"/>
              </w:rPr>
            </w:pPr>
            <w:r w:rsidRPr="00693A57">
              <w:rPr>
                <w:color w:val="0000FF"/>
              </w:rPr>
              <w:t>(a)</w:t>
            </w:r>
          </w:p>
        </w:tc>
        <w:tc>
          <w:tcPr>
            <w:tcW w:w="1879" w:type="pct"/>
          </w:tcPr>
          <w:p w14:paraId="53529BC5" w14:textId="77777777" w:rsidR="00D001AB" w:rsidRPr="00F07699" w:rsidRDefault="00D001AB" w:rsidP="003B6F71">
            <w:pPr>
              <w:pStyle w:val="Tabletext"/>
              <w:rPr>
                <w:rFonts w:cs="Arial"/>
              </w:rPr>
            </w:pPr>
            <w:r w:rsidRPr="00F07699">
              <w:rPr>
                <w:rFonts w:cs="Arial"/>
              </w:rPr>
              <w:t>Anti-malware anti-virus</w:t>
            </w:r>
          </w:p>
        </w:tc>
        <w:tc>
          <w:tcPr>
            <w:tcW w:w="2072" w:type="pct"/>
          </w:tcPr>
          <w:p w14:paraId="232EAA70" w14:textId="77777777" w:rsidR="00D001AB" w:rsidRPr="00F07699" w:rsidRDefault="00D001AB" w:rsidP="003B6F71">
            <w:pPr>
              <w:pStyle w:val="Tabletext"/>
              <w:rPr>
                <w:rFonts w:cs="Arial"/>
              </w:rPr>
            </w:pPr>
            <w:r w:rsidRPr="00F07699">
              <w:rPr>
                <w:rFonts w:cs="Arial"/>
              </w:rPr>
              <w:t>Anti-virus and anti-malware solutions are implemented on endpoint devices and on servers to detect and remove malware from the CDR data environment and are updated on a regular basis. End-user systems are updated with the latest virus definitions when they connect to the network. Reports or dashboards highlighting compliance metrics are regularly generated and monitored, and non-compliant items are actioned as soon as practicable.</w:t>
            </w:r>
          </w:p>
          <w:p w14:paraId="504D444F" w14:textId="77777777" w:rsidR="00D001AB" w:rsidRPr="00F07699" w:rsidRDefault="00D001AB" w:rsidP="003B6F71">
            <w:pPr>
              <w:pStyle w:val="Tabletext"/>
              <w:rPr>
                <w:rFonts w:cs="Arial"/>
              </w:rPr>
            </w:pPr>
          </w:p>
        </w:tc>
      </w:tr>
      <w:tr w:rsidR="00D001AB" w:rsidRPr="00F07699" w14:paraId="6720936E" w14:textId="77777777" w:rsidTr="00B96CC8">
        <w:trPr>
          <w:trHeight w:val="317"/>
        </w:trPr>
        <w:tc>
          <w:tcPr>
            <w:tcW w:w="148" w:type="pct"/>
            <w:vMerge/>
          </w:tcPr>
          <w:p w14:paraId="6F4348E2" w14:textId="77777777" w:rsidR="00D001AB" w:rsidRPr="00693A57" w:rsidRDefault="00D001AB" w:rsidP="003B6F71">
            <w:pPr>
              <w:pStyle w:val="Tabletext"/>
              <w:rPr>
                <w:color w:val="0000FF"/>
              </w:rPr>
            </w:pPr>
          </w:p>
        </w:tc>
        <w:tc>
          <w:tcPr>
            <w:tcW w:w="737" w:type="pct"/>
            <w:vMerge/>
          </w:tcPr>
          <w:p w14:paraId="034FF30D" w14:textId="77777777" w:rsidR="00D001AB" w:rsidRPr="00F07699" w:rsidRDefault="00D001AB" w:rsidP="003B6F71">
            <w:pPr>
              <w:pStyle w:val="Tabletext"/>
              <w:rPr>
                <w:rFonts w:cs="Arial"/>
              </w:rPr>
            </w:pPr>
          </w:p>
        </w:tc>
        <w:tc>
          <w:tcPr>
            <w:tcW w:w="164" w:type="pct"/>
          </w:tcPr>
          <w:p w14:paraId="2D2BF165" w14:textId="77777777" w:rsidR="00D001AB" w:rsidRPr="00693A57" w:rsidRDefault="00D001AB" w:rsidP="003B6F71">
            <w:pPr>
              <w:pStyle w:val="Tabletext"/>
              <w:rPr>
                <w:rFonts w:cs="Arial"/>
                <w:color w:val="0000FF"/>
              </w:rPr>
            </w:pPr>
            <w:r w:rsidRPr="00693A57">
              <w:rPr>
                <w:color w:val="0000FF"/>
              </w:rPr>
              <w:t>(b)</w:t>
            </w:r>
          </w:p>
        </w:tc>
        <w:tc>
          <w:tcPr>
            <w:tcW w:w="1879" w:type="pct"/>
          </w:tcPr>
          <w:p w14:paraId="09D887F7" w14:textId="77777777" w:rsidR="00D001AB" w:rsidRPr="00F07699" w:rsidRDefault="00D001AB" w:rsidP="003B6F71">
            <w:pPr>
              <w:pStyle w:val="Tabletext"/>
              <w:rPr>
                <w:rFonts w:cs="Arial"/>
              </w:rPr>
            </w:pPr>
            <w:r w:rsidRPr="00F07699">
              <w:rPr>
                <w:rFonts w:cs="Arial"/>
              </w:rPr>
              <w:t>Web and email content filtering</w:t>
            </w:r>
          </w:p>
        </w:tc>
        <w:tc>
          <w:tcPr>
            <w:tcW w:w="2072" w:type="pct"/>
          </w:tcPr>
          <w:p w14:paraId="52E4B1CC" w14:textId="77777777" w:rsidR="00D001AB" w:rsidRPr="00F07699" w:rsidRDefault="00D001AB" w:rsidP="003B6F71">
            <w:pPr>
              <w:pStyle w:val="Tabletext"/>
              <w:rPr>
                <w:rFonts w:cs="Arial"/>
              </w:rPr>
            </w:pPr>
            <w:r w:rsidRPr="00F07699">
              <w:rPr>
                <w:rFonts w:cs="Arial"/>
              </w:rPr>
              <w:t>Solutions are implemented to identify, quarantine and block suspicious content arising from email and the web.</w:t>
            </w:r>
          </w:p>
          <w:p w14:paraId="2A85B940" w14:textId="77777777" w:rsidR="00D001AB" w:rsidRPr="00F07699" w:rsidRDefault="00D001AB" w:rsidP="003B6F71">
            <w:pPr>
              <w:pStyle w:val="Tabletext"/>
              <w:rPr>
                <w:rFonts w:cs="Arial"/>
              </w:rPr>
            </w:pPr>
          </w:p>
        </w:tc>
      </w:tr>
      <w:tr w:rsidR="00D001AB" w:rsidRPr="00F07699" w14:paraId="1B229450" w14:textId="77777777" w:rsidTr="00B96CC8">
        <w:trPr>
          <w:trHeight w:val="317"/>
        </w:trPr>
        <w:tc>
          <w:tcPr>
            <w:tcW w:w="148" w:type="pct"/>
            <w:vMerge/>
          </w:tcPr>
          <w:p w14:paraId="67C4D23A" w14:textId="77777777" w:rsidR="00D001AB" w:rsidRPr="00693A57" w:rsidRDefault="00D001AB" w:rsidP="003B6F71">
            <w:pPr>
              <w:pStyle w:val="Tabletext"/>
              <w:rPr>
                <w:color w:val="0000FF"/>
              </w:rPr>
            </w:pPr>
          </w:p>
        </w:tc>
        <w:tc>
          <w:tcPr>
            <w:tcW w:w="737" w:type="pct"/>
            <w:vMerge/>
          </w:tcPr>
          <w:p w14:paraId="04C1F129" w14:textId="77777777" w:rsidR="00D001AB" w:rsidRPr="00F07699" w:rsidRDefault="00D001AB" w:rsidP="003B6F71">
            <w:pPr>
              <w:pStyle w:val="Tabletext"/>
              <w:rPr>
                <w:rFonts w:cs="Arial"/>
              </w:rPr>
            </w:pPr>
          </w:p>
        </w:tc>
        <w:tc>
          <w:tcPr>
            <w:tcW w:w="164" w:type="pct"/>
          </w:tcPr>
          <w:p w14:paraId="1F4D6F90" w14:textId="77777777" w:rsidR="00D001AB" w:rsidRPr="00693A57" w:rsidRDefault="00D001AB" w:rsidP="003B6F71">
            <w:pPr>
              <w:pStyle w:val="Tabletext"/>
              <w:rPr>
                <w:rFonts w:cs="Arial"/>
                <w:color w:val="0000FF"/>
              </w:rPr>
            </w:pPr>
            <w:r w:rsidRPr="00693A57">
              <w:rPr>
                <w:color w:val="0000FF"/>
              </w:rPr>
              <w:t>(c)</w:t>
            </w:r>
          </w:p>
        </w:tc>
        <w:tc>
          <w:tcPr>
            <w:tcW w:w="1879" w:type="pct"/>
          </w:tcPr>
          <w:p w14:paraId="78BDAD98" w14:textId="77777777" w:rsidR="00D001AB" w:rsidRPr="00F07699" w:rsidRDefault="00D001AB" w:rsidP="003B6F71">
            <w:pPr>
              <w:pStyle w:val="Tabletext"/>
              <w:rPr>
                <w:rFonts w:cs="Arial"/>
              </w:rPr>
            </w:pPr>
            <w:r w:rsidRPr="00F07699">
              <w:rPr>
                <w:rFonts w:cs="Arial"/>
              </w:rPr>
              <w:t>Application whitelisting</w:t>
            </w:r>
          </w:p>
        </w:tc>
        <w:tc>
          <w:tcPr>
            <w:tcW w:w="2072" w:type="pct"/>
          </w:tcPr>
          <w:p w14:paraId="1FB98899" w14:textId="77777777" w:rsidR="00D001AB" w:rsidRPr="00F07699" w:rsidRDefault="00D001AB" w:rsidP="003B6F71">
            <w:pPr>
              <w:pStyle w:val="Tabletext"/>
              <w:rPr>
                <w:rFonts w:cs="Arial"/>
              </w:rPr>
            </w:pPr>
            <w:r w:rsidRPr="00F07699">
              <w:rPr>
                <w:rFonts w:cs="Arial"/>
              </w:rPr>
              <w:t xml:space="preserve">Download of executables and installation of software on infrastructure and end-user devices (including on BYOD devices) is restricted to authorised software only. </w:t>
            </w:r>
          </w:p>
          <w:p w14:paraId="2BBA0A1C" w14:textId="77777777" w:rsidR="00D001AB" w:rsidRPr="00F07699" w:rsidRDefault="00D001AB" w:rsidP="003B6F71">
            <w:pPr>
              <w:pStyle w:val="Tabletext"/>
              <w:rPr>
                <w:rFonts w:cs="Arial"/>
              </w:rPr>
            </w:pPr>
          </w:p>
        </w:tc>
      </w:tr>
      <w:tr w:rsidR="00D001AB" w:rsidRPr="00F07699" w14:paraId="31FAB02E" w14:textId="77777777" w:rsidTr="00B96CC8">
        <w:trPr>
          <w:trHeight w:val="318"/>
        </w:trPr>
        <w:tc>
          <w:tcPr>
            <w:tcW w:w="148" w:type="pct"/>
            <w:vMerge w:val="restart"/>
          </w:tcPr>
          <w:p w14:paraId="18A08720" w14:textId="77777777" w:rsidR="00D001AB" w:rsidRPr="00693A57" w:rsidRDefault="00D001AB" w:rsidP="003B6F71">
            <w:pPr>
              <w:pStyle w:val="Tabletext"/>
              <w:rPr>
                <w:color w:val="0000FF"/>
              </w:rPr>
            </w:pPr>
            <w:r w:rsidRPr="00693A57">
              <w:rPr>
                <w:color w:val="0000FF"/>
              </w:rPr>
              <w:t>(6)</w:t>
            </w:r>
          </w:p>
        </w:tc>
        <w:tc>
          <w:tcPr>
            <w:tcW w:w="737" w:type="pct"/>
            <w:vMerge w:val="restart"/>
          </w:tcPr>
          <w:p w14:paraId="616C83BB" w14:textId="77777777" w:rsidR="00D001AB" w:rsidRPr="00F07699" w:rsidRDefault="00D001AB" w:rsidP="003B6F71">
            <w:pPr>
              <w:pStyle w:val="Tabletext"/>
              <w:rPr>
                <w:rFonts w:cs="Arial"/>
              </w:rPr>
            </w:pPr>
            <w:r w:rsidRPr="00F07699">
              <w:rPr>
                <w:rFonts w:cs="Arial"/>
              </w:rPr>
              <w:t>An accredited data recipient must implement a formal information security training and awareness program for all personnel interacting with CDR data.</w:t>
            </w:r>
          </w:p>
        </w:tc>
        <w:tc>
          <w:tcPr>
            <w:tcW w:w="164" w:type="pct"/>
          </w:tcPr>
          <w:p w14:paraId="1B06841D" w14:textId="77777777" w:rsidR="00D001AB" w:rsidRPr="00693A57" w:rsidRDefault="00D001AB" w:rsidP="003B6F71">
            <w:pPr>
              <w:pStyle w:val="Tabletext"/>
              <w:rPr>
                <w:rFonts w:cs="Arial"/>
                <w:color w:val="0000FF"/>
              </w:rPr>
            </w:pPr>
            <w:r w:rsidRPr="00693A57">
              <w:rPr>
                <w:color w:val="0000FF"/>
              </w:rPr>
              <w:t>(a)</w:t>
            </w:r>
          </w:p>
        </w:tc>
        <w:tc>
          <w:tcPr>
            <w:tcW w:w="1879" w:type="pct"/>
          </w:tcPr>
          <w:p w14:paraId="64070494" w14:textId="77777777" w:rsidR="00D001AB" w:rsidRPr="00F07699" w:rsidRDefault="00D001AB" w:rsidP="003B6F71">
            <w:pPr>
              <w:pStyle w:val="Tabletext"/>
              <w:rPr>
                <w:rFonts w:cs="Arial"/>
              </w:rPr>
            </w:pPr>
            <w:r w:rsidRPr="00F07699">
              <w:rPr>
                <w:rFonts w:cs="Arial"/>
              </w:rPr>
              <w:t xml:space="preserve">Security training and awareness </w:t>
            </w:r>
          </w:p>
        </w:tc>
        <w:tc>
          <w:tcPr>
            <w:tcW w:w="2072" w:type="pct"/>
          </w:tcPr>
          <w:p w14:paraId="7C479CDF" w14:textId="77777777" w:rsidR="00D001AB" w:rsidRPr="00F07699" w:rsidRDefault="00D001AB" w:rsidP="003B6F71">
            <w:pPr>
              <w:pStyle w:val="Tabletext"/>
              <w:rPr>
                <w:rFonts w:cs="Arial"/>
              </w:rPr>
            </w:pPr>
            <w:r w:rsidRPr="00F07699">
              <w:rPr>
                <w:rFonts w:cs="Arial"/>
              </w:rPr>
              <w:t xml:space="preserve">All users undergo mandatory security and privacy training prior to interacting with the CDR data environment, with ‘refresher courses’ provided at least annually. </w:t>
            </w:r>
          </w:p>
          <w:p w14:paraId="625A018F" w14:textId="77777777" w:rsidR="00D001AB" w:rsidRPr="00F07699" w:rsidRDefault="00D001AB" w:rsidP="003B6F71">
            <w:pPr>
              <w:pStyle w:val="Tabletext"/>
              <w:rPr>
                <w:rFonts w:cs="Arial"/>
              </w:rPr>
            </w:pPr>
          </w:p>
        </w:tc>
      </w:tr>
      <w:tr w:rsidR="00D001AB" w:rsidRPr="00F07699" w14:paraId="2695DBDD" w14:textId="77777777" w:rsidTr="00B96CC8">
        <w:trPr>
          <w:trHeight w:val="317"/>
        </w:trPr>
        <w:tc>
          <w:tcPr>
            <w:tcW w:w="148" w:type="pct"/>
            <w:vMerge/>
          </w:tcPr>
          <w:p w14:paraId="79459765" w14:textId="77777777" w:rsidR="00D001AB" w:rsidRPr="00693A57" w:rsidRDefault="00D001AB" w:rsidP="003B6F71">
            <w:pPr>
              <w:pStyle w:val="Tabletext"/>
              <w:rPr>
                <w:color w:val="0000FF"/>
              </w:rPr>
            </w:pPr>
          </w:p>
        </w:tc>
        <w:tc>
          <w:tcPr>
            <w:tcW w:w="737" w:type="pct"/>
            <w:vMerge/>
          </w:tcPr>
          <w:p w14:paraId="7DCDF0DA" w14:textId="77777777" w:rsidR="00D001AB" w:rsidRPr="00F07699" w:rsidRDefault="00D001AB" w:rsidP="003B6F71">
            <w:pPr>
              <w:pStyle w:val="Tabletext"/>
              <w:rPr>
                <w:rFonts w:cs="Arial"/>
              </w:rPr>
            </w:pPr>
          </w:p>
        </w:tc>
        <w:tc>
          <w:tcPr>
            <w:tcW w:w="164" w:type="pct"/>
          </w:tcPr>
          <w:p w14:paraId="609DE270" w14:textId="77777777" w:rsidR="00D001AB" w:rsidRPr="00693A57" w:rsidRDefault="00D001AB" w:rsidP="003B6F71">
            <w:pPr>
              <w:pStyle w:val="Tabletext"/>
              <w:rPr>
                <w:rFonts w:cs="Arial"/>
                <w:color w:val="0000FF"/>
              </w:rPr>
            </w:pPr>
            <w:r w:rsidRPr="00693A57">
              <w:rPr>
                <w:color w:val="0000FF"/>
              </w:rPr>
              <w:t>(b)</w:t>
            </w:r>
          </w:p>
        </w:tc>
        <w:tc>
          <w:tcPr>
            <w:tcW w:w="1879" w:type="pct"/>
          </w:tcPr>
          <w:p w14:paraId="2404DDA6" w14:textId="77777777" w:rsidR="00D001AB" w:rsidRPr="00F07699" w:rsidRDefault="00D001AB" w:rsidP="003B6F71">
            <w:pPr>
              <w:pStyle w:val="Tabletext"/>
              <w:rPr>
                <w:rFonts w:cs="Arial"/>
              </w:rPr>
            </w:pPr>
            <w:r w:rsidRPr="00F07699">
              <w:rPr>
                <w:rFonts w:cs="Arial"/>
              </w:rPr>
              <w:t>Acceptable use of technology</w:t>
            </w:r>
          </w:p>
        </w:tc>
        <w:tc>
          <w:tcPr>
            <w:tcW w:w="2072" w:type="pct"/>
          </w:tcPr>
          <w:p w14:paraId="69B7DF8D" w14:textId="77777777" w:rsidR="00D001AB" w:rsidRPr="00F07699" w:rsidRDefault="00D001AB" w:rsidP="003B6F71">
            <w:pPr>
              <w:pStyle w:val="Tabletext"/>
              <w:rPr>
                <w:rFonts w:cs="Arial"/>
              </w:rPr>
            </w:pPr>
            <w:r w:rsidRPr="00F07699">
              <w:rPr>
                <w:rFonts w:cs="Arial"/>
              </w:rPr>
              <w:t>A policy relating to the CDR data environment is created, implemented, communicated and agreed to by all personnel prior to being able to access the CDR data environment. This policy sets out the responsibilities of these personnel in interacting with the CDR data environment and is regularly made aware to personnel.</w:t>
            </w:r>
          </w:p>
          <w:p w14:paraId="4E08118B" w14:textId="77777777" w:rsidR="00D001AB" w:rsidRPr="00F07699" w:rsidRDefault="00D001AB" w:rsidP="003B6F71">
            <w:pPr>
              <w:pStyle w:val="Tabletext"/>
              <w:rPr>
                <w:rFonts w:cs="Arial"/>
              </w:rPr>
            </w:pPr>
          </w:p>
        </w:tc>
      </w:tr>
      <w:tr w:rsidR="00D001AB" w:rsidRPr="00F07699" w14:paraId="41586FEC" w14:textId="77777777" w:rsidTr="00B96CC8">
        <w:trPr>
          <w:trHeight w:val="317"/>
        </w:trPr>
        <w:tc>
          <w:tcPr>
            <w:tcW w:w="148" w:type="pct"/>
            <w:vMerge/>
          </w:tcPr>
          <w:p w14:paraId="5E206302" w14:textId="77777777" w:rsidR="00D001AB" w:rsidRPr="00693A57" w:rsidRDefault="00D001AB" w:rsidP="003B6F71">
            <w:pPr>
              <w:pStyle w:val="Tabletext"/>
              <w:rPr>
                <w:color w:val="0000FF"/>
              </w:rPr>
            </w:pPr>
          </w:p>
        </w:tc>
        <w:tc>
          <w:tcPr>
            <w:tcW w:w="737" w:type="pct"/>
            <w:vMerge/>
          </w:tcPr>
          <w:p w14:paraId="1B8326A2" w14:textId="77777777" w:rsidR="00D001AB" w:rsidRPr="00F07699" w:rsidRDefault="00D001AB" w:rsidP="003B6F71">
            <w:pPr>
              <w:pStyle w:val="Tabletext"/>
              <w:rPr>
                <w:rFonts w:cs="Arial"/>
              </w:rPr>
            </w:pPr>
          </w:p>
        </w:tc>
        <w:tc>
          <w:tcPr>
            <w:tcW w:w="164" w:type="pct"/>
          </w:tcPr>
          <w:p w14:paraId="116DE5B4" w14:textId="77777777" w:rsidR="00D001AB" w:rsidRPr="00693A57" w:rsidRDefault="00D001AB" w:rsidP="003B6F71">
            <w:pPr>
              <w:pStyle w:val="Tabletext"/>
              <w:rPr>
                <w:rFonts w:cs="Arial"/>
                <w:color w:val="0000FF"/>
              </w:rPr>
            </w:pPr>
            <w:r w:rsidRPr="00693A57">
              <w:rPr>
                <w:color w:val="0000FF"/>
              </w:rPr>
              <w:t>(c)</w:t>
            </w:r>
          </w:p>
        </w:tc>
        <w:tc>
          <w:tcPr>
            <w:tcW w:w="1879" w:type="pct"/>
          </w:tcPr>
          <w:p w14:paraId="4011DD7E" w14:textId="77777777" w:rsidR="00D001AB" w:rsidRPr="00F07699" w:rsidRDefault="00D001AB" w:rsidP="003B6F71">
            <w:pPr>
              <w:pStyle w:val="Tabletext"/>
              <w:rPr>
                <w:rFonts w:cs="Arial"/>
              </w:rPr>
            </w:pPr>
            <w:r w:rsidRPr="00F07699">
              <w:rPr>
                <w:rFonts w:cs="Arial"/>
              </w:rPr>
              <w:t>Human resource security</w:t>
            </w:r>
          </w:p>
        </w:tc>
        <w:tc>
          <w:tcPr>
            <w:tcW w:w="2072" w:type="pct"/>
          </w:tcPr>
          <w:p w14:paraId="086AFFF8" w14:textId="77777777" w:rsidR="00D001AB" w:rsidRPr="00F07699" w:rsidRDefault="00D001AB" w:rsidP="003B6F71">
            <w:pPr>
              <w:pStyle w:val="Tabletext"/>
              <w:rPr>
                <w:rFonts w:cs="Arial"/>
              </w:rPr>
            </w:pPr>
            <w:r w:rsidRPr="00F07699">
              <w:rPr>
                <w:rFonts w:cs="Arial"/>
              </w:rPr>
              <w:t>Background checks are performed on all personnel prior to being able to access the CDR data environment. These may include, but are not limited to, reference checks and police checks.</w:t>
            </w:r>
          </w:p>
          <w:p w14:paraId="0BEA94BB" w14:textId="77777777" w:rsidR="00D001AB" w:rsidRPr="00F07699" w:rsidRDefault="00D001AB" w:rsidP="003B6F71">
            <w:pPr>
              <w:pStyle w:val="Tabletext"/>
              <w:rPr>
                <w:rFonts w:cs="Arial"/>
              </w:rPr>
            </w:pPr>
          </w:p>
        </w:tc>
      </w:tr>
      <w:tr w:rsidR="00D001AB" w:rsidRPr="00A33F1A" w14:paraId="5051E737" w14:textId="77777777" w:rsidTr="00B96CC8">
        <w:trPr>
          <w:trHeight w:val="317"/>
        </w:trPr>
        <w:tc>
          <w:tcPr>
            <w:tcW w:w="148" w:type="pct"/>
          </w:tcPr>
          <w:p w14:paraId="78CA8E18" w14:textId="77777777" w:rsidR="00D001AB" w:rsidRPr="00693A57" w:rsidRDefault="00D001AB" w:rsidP="003B6F71">
            <w:pPr>
              <w:pStyle w:val="Tabletext"/>
              <w:rPr>
                <w:color w:val="0000FF"/>
              </w:rPr>
            </w:pPr>
            <w:r w:rsidRPr="00693A57">
              <w:rPr>
                <w:color w:val="0000FF"/>
              </w:rPr>
              <w:t>(7)</w:t>
            </w:r>
          </w:p>
        </w:tc>
        <w:tc>
          <w:tcPr>
            <w:tcW w:w="737" w:type="pct"/>
          </w:tcPr>
          <w:p w14:paraId="0DBA1500" w14:textId="06020835" w:rsidR="00D001AB" w:rsidRPr="00693A57" w:rsidRDefault="00C10087" w:rsidP="003B6F71">
            <w:pPr>
              <w:pStyle w:val="Tabletext"/>
              <w:rPr>
                <w:rFonts w:cs="Arial"/>
                <w:color w:val="0000FF"/>
              </w:rPr>
            </w:pPr>
            <w:r w:rsidRPr="00693A57">
              <w:rPr>
                <w:color w:val="0000FF"/>
              </w:rPr>
              <w:t xml:space="preserve">A sponsor must implement a third party </w:t>
            </w:r>
            <w:r w:rsidR="00D001AB" w:rsidRPr="00693A57">
              <w:rPr>
                <w:color w:val="0000FF"/>
              </w:rPr>
              <w:t>management</w:t>
            </w:r>
            <w:r w:rsidRPr="00693A57">
              <w:rPr>
                <w:color w:val="0000FF"/>
              </w:rPr>
              <w:t xml:space="preserve"> fra</w:t>
            </w:r>
            <w:r w:rsidR="00B1387B" w:rsidRPr="00693A57">
              <w:rPr>
                <w:color w:val="0000FF"/>
              </w:rPr>
              <w:t>mework</w:t>
            </w:r>
          </w:p>
        </w:tc>
        <w:tc>
          <w:tcPr>
            <w:tcW w:w="164" w:type="pct"/>
          </w:tcPr>
          <w:p w14:paraId="36C4523B" w14:textId="77777777" w:rsidR="00D001AB" w:rsidRPr="00693A57" w:rsidRDefault="00D001AB" w:rsidP="003B6F71">
            <w:pPr>
              <w:pStyle w:val="Tabletext"/>
              <w:rPr>
                <w:color w:val="0000FF"/>
              </w:rPr>
            </w:pPr>
            <w:r w:rsidRPr="00693A57">
              <w:rPr>
                <w:color w:val="0000FF"/>
              </w:rPr>
              <w:t>(a)</w:t>
            </w:r>
          </w:p>
        </w:tc>
        <w:tc>
          <w:tcPr>
            <w:tcW w:w="1879" w:type="pct"/>
          </w:tcPr>
          <w:p w14:paraId="249361E0" w14:textId="77777777" w:rsidR="00D001AB" w:rsidRPr="00693A57" w:rsidRDefault="00D001AB" w:rsidP="003B6F71">
            <w:pPr>
              <w:pStyle w:val="Tabletext"/>
              <w:rPr>
                <w:rFonts w:cs="Arial"/>
                <w:color w:val="0000FF"/>
              </w:rPr>
            </w:pPr>
            <w:r w:rsidRPr="00693A57">
              <w:rPr>
                <w:color w:val="0000FF"/>
              </w:rPr>
              <w:t>Implementation and maintenance of a third-party management framework</w:t>
            </w:r>
          </w:p>
        </w:tc>
        <w:tc>
          <w:tcPr>
            <w:tcW w:w="2072" w:type="pct"/>
          </w:tcPr>
          <w:p w14:paraId="451E89F1" w14:textId="3B02187C" w:rsidR="00D001AB" w:rsidRPr="00693A57" w:rsidRDefault="00C10087" w:rsidP="003B6F71">
            <w:pPr>
              <w:spacing w:line="240" w:lineRule="atLeast"/>
              <w:rPr>
                <w:rFonts w:cs="Times New Roman"/>
                <w:color w:val="0000FF"/>
                <w:sz w:val="20"/>
                <w:lang w:eastAsia="en-AU"/>
              </w:rPr>
            </w:pPr>
            <w:r w:rsidRPr="00693A57">
              <w:rPr>
                <w:rFonts w:cs="Times New Roman"/>
                <w:color w:val="0000FF"/>
                <w:sz w:val="20"/>
                <w:lang w:eastAsia="en-AU"/>
              </w:rPr>
              <w:t>A</w:t>
            </w:r>
            <w:r w:rsidR="00D001AB" w:rsidRPr="00693A57">
              <w:rPr>
                <w:rFonts w:cs="Times New Roman"/>
                <w:color w:val="0000FF"/>
                <w:sz w:val="20"/>
                <w:lang w:eastAsia="en-AU"/>
              </w:rPr>
              <w:t>ffiliates must be managed by the sponsor in line with a defined third-party management framework, which should include requirements and activities relating to:</w:t>
            </w:r>
          </w:p>
          <w:p w14:paraId="3F9ECBE6" w14:textId="192F1F19" w:rsidR="00D001AB" w:rsidRPr="00693A57" w:rsidRDefault="00C10087" w:rsidP="003B6F71">
            <w:pPr>
              <w:pStyle w:val="ListParagraph"/>
              <w:numPr>
                <w:ilvl w:val="0"/>
                <w:numId w:val="8"/>
              </w:numPr>
              <w:spacing w:before="60" w:after="60" w:line="240" w:lineRule="atLeast"/>
              <w:ind w:left="367"/>
              <w:rPr>
                <w:rFonts w:cs="Times New Roman"/>
                <w:color w:val="0000FF"/>
                <w:sz w:val="20"/>
                <w:lang w:eastAsia="en-AU"/>
              </w:rPr>
            </w:pPr>
            <w:r w:rsidRPr="00693A57">
              <w:rPr>
                <w:rFonts w:cs="Times New Roman"/>
                <w:color w:val="0000FF"/>
                <w:sz w:val="20"/>
                <w:lang w:eastAsia="en-AU"/>
              </w:rPr>
              <w:t>d</w:t>
            </w:r>
            <w:r w:rsidR="00D001AB" w:rsidRPr="00693A57">
              <w:rPr>
                <w:rFonts w:cs="Times New Roman"/>
                <w:color w:val="0000FF"/>
                <w:sz w:val="20"/>
                <w:lang w:eastAsia="en-AU"/>
              </w:rPr>
              <w:t>ue diligence prior to establishing new relationships or contracts</w:t>
            </w:r>
            <w:r w:rsidRPr="00693A57">
              <w:rPr>
                <w:rFonts w:cs="Times New Roman"/>
                <w:color w:val="0000FF"/>
                <w:sz w:val="20"/>
                <w:lang w:eastAsia="en-AU"/>
              </w:rPr>
              <w:t>;</w:t>
            </w:r>
          </w:p>
          <w:p w14:paraId="4A011F3B" w14:textId="41FBABE2" w:rsidR="00D001AB" w:rsidRPr="00693A57" w:rsidRDefault="00C10087" w:rsidP="003B6F71">
            <w:pPr>
              <w:pStyle w:val="ListParagraph"/>
              <w:numPr>
                <w:ilvl w:val="0"/>
                <w:numId w:val="8"/>
              </w:numPr>
              <w:spacing w:before="60" w:after="60" w:line="240" w:lineRule="atLeast"/>
              <w:ind w:left="367"/>
              <w:rPr>
                <w:rFonts w:cs="Times New Roman"/>
                <w:color w:val="0000FF"/>
                <w:sz w:val="20"/>
                <w:lang w:eastAsia="en-AU"/>
              </w:rPr>
            </w:pPr>
            <w:r w:rsidRPr="00693A57">
              <w:rPr>
                <w:rFonts w:cs="Times New Roman"/>
                <w:color w:val="0000FF"/>
                <w:sz w:val="20"/>
                <w:lang w:eastAsia="en-AU"/>
              </w:rPr>
              <w:lastRenderedPageBreak/>
              <w:t>c</w:t>
            </w:r>
            <w:r w:rsidR="00D001AB" w:rsidRPr="00693A57">
              <w:rPr>
                <w:rFonts w:cs="Times New Roman"/>
                <w:color w:val="0000FF"/>
                <w:sz w:val="20"/>
                <w:lang w:eastAsia="en-AU"/>
              </w:rPr>
              <w:t>ontractual agreements reflective of responsibilities for the CDR data and data environment</w:t>
            </w:r>
            <w:r w:rsidRPr="00693A57">
              <w:rPr>
                <w:rFonts w:cs="Times New Roman"/>
                <w:color w:val="0000FF"/>
                <w:sz w:val="20"/>
                <w:lang w:eastAsia="en-AU"/>
              </w:rPr>
              <w:t>;</w:t>
            </w:r>
          </w:p>
          <w:p w14:paraId="2817EAC2" w14:textId="36F6DE27" w:rsidR="00D001AB" w:rsidRPr="00693A57" w:rsidRDefault="00C10087" w:rsidP="003B6F71">
            <w:pPr>
              <w:pStyle w:val="ListParagraph"/>
              <w:numPr>
                <w:ilvl w:val="0"/>
                <w:numId w:val="8"/>
              </w:numPr>
              <w:spacing w:before="60" w:after="60" w:line="240" w:lineRule="atLeast"/>
              <w:ind w:left="367"/>
              <w:rPr>
                <w:rFonts w:cs="Times New Roman"/>
                <w:color w:val="0000FF"/>
                <w:sz w:val="20"/>
                <w:lang w:eastAsia="en-AU"/>
              </w:rPr>
            </w:pPr>
            <w:r w:rsidRPr="00693A57">
              <w:rPr>
                <w:rFonts w:cs="Times New Roman"/>
                <w:color w:val="0000FF"/>
                <w:sz w:val="20"/>
                <w:lang w:eastAsia="en-AU"/>
              </w:rPr>
              <w:t>a</w:t>
            </w:r>
            <w:r w:rsidR="00D001AB" w:rsidRPr="00693A57">
              <w:rPr>
                <w:rFonts w:cs="Times New Roman"/>
                <w:color w:val="0000FF"/>
                <w:sz w:val="20"/>
                <w:lang w:eastAsia="en-AU"/>
              </w:rPr>
              <w:t>nnual review and assurance activities</w:t>
            </w:r>
            <w:r w:rsidRPr="00693A57">
              <w:rPr>
                <w:rFonts w:cs="Times New Roman"/>
                <w:color w:val="0000FF"/>
                <w:sz w:val="20"/>
                <w:lang w:eastAsia="en-AU"/>
              </w:rPr>
              <w:t>;</w:t>
            </w:r>
          </w:p>
          <w:p w14:paraId="3895E387" w14:textId="1CA15721" w:rsidR="00D001AB" w:rsidRPr="00693A57" w:rsidRDefault="00C10087" w:rsidP="003B6F71">
            <w:pPr>
              <w:pStyle w:val="ListParagraph"/>
              <w:numPr>
                <w:ilvl w:val="0"/>
                <w:numId w:val="8"/>
              </w:numPr>
              <w:spacing w:before="60" w:after="60" w:line="240" w:lineRule="atLeast"/>
              <w:ind w:left="367"/>
              <w:rPr>
                <w:rFonts w:cs="Times New Roman"/>
                <w:color w:val="0000FF"/>
                <w:sz w:val="20"/>
                <w:lang w:eastAsia="en-AU"/>
              </w:rPr>
            </w:pPr>
            <w:r w:rsidRPr="00693A57">
              <w:rPr>
                <w:rFonts w:cs="Times New Roman"/>
                <w:color w:val="0000FF"/>
                <w:sz w:val="20"/>
                <w:lang w:eastAsia="en-AU"/>
              </w:rPr>
              <w:t>r</w:t>
            </w:r>
            <w:r w:rsidR="00D001AB" w:rsidRPr="00693A57">
              <w:rPr>
                <w:rFonts w:cs="Times New Roman"/>
                <w:color w:val="0000FF"/>
                <w:sz w:val="20"/>
                <w:lang w:eastAsia="en-AU"/>
              </w:rPr>
              <w:t>eporting requirements</w:t>
            </w:r>
            <w:r w:rsidRPr="00693A57">
              <w:rPr>
                <w:rFonts w:cs="Times New Roman"/>
                <w:color w:val="0000FF"/>
                <w:sz w:val="20"/>
                <w:lang w:eastAsia="en-AU"/>
              </w:rPr>
              <w:t>;</w:t>
            </w:r>
          </w:p>
          <w:p w14:paraId="22E41571" w14:textId="77777777" w:rsidR="00D001AB" w:rsidRPr="00693A57" w:rsidRDefault="00C10087" w:rsidP="003B6F71">
            <w:pPr>
              <w:pStyle w:val="ListParagraph"/>
              <w:numPr>
                <w:ilvl w:val="0"/>
                <w:numId w:val="8"/>
              </w:numPr>
              <w:spacing w:before="60" w:after="60" w:line="240" w:lineRule="atLeast"/>
              <w:ind w:left="367"/>
              <w:rPr>
                <w:rFonts w:cs="Times New Roman"/>
                <w:color w:val="0000FF"/>
                <w:sz w:val="20"/>
                <w:lang w:eastAsia="en-AU"/>
              </w:rPr>
            </w:pPr>
            <w:r w:rsidRPr="00693A57">
              <w:rPr>
                <w:rFonts w:cs="Times New Roman"/>
                <w:color w:val="0000FF"/>
                <w:sz w:val="20"/>
                <w:lang w:eastAsia="en-AU"/>
              </w:rPr>
              <w:t>p</w:t>
            </w:r>
            <w:r w:rsidRPr="00693A57">
              <w:rPr>
                <w:color w:val="0000FF"/>
                <w:sz w:val="20"/>
              </w:rPr>
              <w:t>ost-contract requirements.</w:t>
            </w:r>
          </w:p>
          <w:p w14:paraId="69467DB8" w14:textId="177948A1" w:rsidR="00C10087" w:rsidRPr="00693A57" w:rsidRDefault="00C10087" w:rsidP="00C10087">
            <w:pPr>
              <w:pStyle w:val="ListParagraph"/>
              <w:spacing w:before="60" w:after="60" w:line="240" w:lineRule="atLeast"/>
              <w:ind w:left="367"/>
              <w:rPr>
                <w:rFonts w:cs="Times New Roman"/>
                <w:color w:val="0000FF"/>
                <w:sz w:val="20"/>
                <w:lang w:eastAsia="en-AU"/>
              </w:rPr>
            </w:pPr>
          </w:p>
        </w:tc>
      </w:tr>
    </w:tbl>
    <w:p w14:paraId="232A4321" w14:textId="77777777" w:rsidR="00D001AB" w:rsidRDefault="00D001AB" w:rsidP="00D001AB">
      <w:pPr>
        <w:pStyle w:val="ActHead7"/>
      </w:pPr>
    </w:p>
    <w:p w14:paraId="275E0861" w14:textId="77777777" w:rsidR="00D001AB" w:rsidRDefault="00D001AB" w:rsidP="00D001AB">
      <w:pPr>
        <w:pStyle w:val="ItemHead"/>
      </w:pPr>
    </w:p>
    <w:p w14:paraId="5D743E57" w14:textId="77777777" w:rsidR="00D001AB" w:rsidRPr="00D001AB" w:rsidRDefault="00D001AB" w:rsidP="00D001AB">
      <w:pPr>
        <w:pStyle w:val="Item"/>
      </w:pPr>
    </w:p>
    <w:p w14:paraId="4D1EBB9E" w14:textId="77777777" w:rsidR="00A81512" w:rsidRDefault="00A81512" w:rsidP="00A81512">
      <w:pPr>
        <w:pStyle w:val="subsection"/>
        <w:sectPr w:rsidR="00A81512" w:rsidSect="007744AA">
          <w:pgSz w:w="16839" w:h="11907" w:orient="landscape" w:code="9"/>
          <w:pgMar w:top="1797" w:right="2234" w:bottom="1797" w:left="1440" w:header="720" w:footer="709" w:gutter="0"/>
          <w:cols w:space="708"/>
          <w:docGrid w:linePitch="360"/>
        </w:sectPr>
      </w:pPr>
    </w:p>
    <w:p w14:paraId="7FBE931D" w14:textId="77777777" w:rsidR="00A81512" w:rsidRDefault="00A81512" w:rsidP="00CF0E3D">
      <w:pPr>
        <w:pStyle w:val="ActHead6"/>
        <w:rPr>
          <w:color w:val="000000" w:themeColor="text1"/>
        </w:rPr>
      </w:pPr>
    </w:p>
    <w:p w14:paraId="461B9ED6" w14:textId="1FD4D88E" w:rsidR="00CF0E3D" w:rsidRDefault="00CF0E3D" w:rsidP="00CF0E3D">
      <w:pPr>
        <w:pStyle w:val="ActHead6"/>
        <w:rPr>
          <w:color w:val="000000" w:themeColor="text1"/>
        </w:rPr>
      </w:pPr>
      <w:bookmarkStart w:id="593" w:name="_Toc77065076"/>
      <w:r>
        <w:rPr>
          <w:color w:val="000000" w:themeColor="text1"/>
        </w:rPr>
        <w:t>Schedule 3</w:t>
      </w:r>
      <w:r w:rsidRPr="00A34C1D">
        <w:rPr>
          <w:color w:val="000000" w:themeColor="text1"/>
        </w:rPr>
        <w:t>—</w:t>
      </w:r>
      <w:r>
        <w:rPr>
          <w:color w:val="000000" w:themeColor="text1"/>
        </w:rPr>
        <w:t>Provisions relevant to the banking sector</w:t>
      </w:r>
      <w:bookmarkEnd w:id="592"/>
      <w:bookmarkEnd w:id="593"/>
    </w:p>
    <w:p w14:paraId="2CA958ED" w14:textId="436AFCE0" w:rsidR="00CF0E3D" w:rsidRDefault="00CF0E3D" w:rsidP="00CF0E3D">
      <w:pPr>
        <w:pStyle w:val="ActHead2"/>
      </w:pPr>
      <w:bookmarkStart w:id="594" w:name="_Toc11771724"/>
      <w:bookmarkStart w:id="595" w:name="_Toc77065077"/>
      <w:r>
        <w:t>Part 1—Preliminary</w:t>
      </w:r>
      <w:bookmarkEnd w:id="594"/>
      <w:bookmarkEnd w:id="595"/>
    </w:p>
    <w:p w14:paraId="77C54620" w14:textId="286F4FB9" w:rsidR="00CF0E3D" w:rsidRPr="00B3173B" w:rsidRDefault="00CF0E3D" w:rsidP="00CF0E3D">
      <w:pPr>
        <w:pStyle w:val="ActHead5"/>
      </w:pPr>
      <w:bookmarkStart w:id="596" w:name="_Toc11771725"/>
      <w:bookmarkStart w:id="597" w:name="_Toc77065078"/>
      <w:r>
        <w:t>1.1</w:t>
      </w:r>
      <w:r w:rsidRPr="00B3173B">
        <w:t xml:space="preserve">  Simplified outline of this Schedule</w:t>
      </w:r>
      <w:bookmarkEnd w:id="596"/>
      <w:bookmarkEnd w:id="597"/>
    </w:p>
    <w:p w14:paraId="66202525" w14:textId="77777777" w:rsidR="00CF0E3D" w:rsidRPr="00DA53C7" w:rsidRDefault="00CF0E3D" w:rsidP="00CF0E3D">
      <w:pPr>
        <w:pStyle w:val="SOText"/>
      </w:pPr>
      <w:r w:rsidRPr="00DA53C7">
        <w:t>This Schedule deals with how these rules apply in relation to the banking sector.</w:t>
      </w:r>
    </w:p>
    <w:p w14:paraId="7A3DEF74" w14:textId="77777777" w:rsidR="00CF0E3D" w:rsidRPr="007C39E2" w:rsidRDefault="00CF0E3D" w:rsidP="00CF0E3D">
      <w:pPr>
        <w:pStyle w:val="SOText"/>
      </w:pPr>
      <w:r w:rsidRPr="00DA53C7">
        <w:t>Some defined terms apply only in relation to the banking sector</w:t>
      </w:r>
      <w:r w:rsidRPr="007C39E2">
        <w:t xml:space="preserve">. These are defined in </w:t>
      </w:r>
      <w:r>
        <w:t>Part 1</w:t>
      </w:r>
      <w:r w:rsidRPr="007C39E2">
        <w:t xml:space="preserve"> of this Schedule.</w:t>
      </w:r>
    </w:p>
    <w:p w14:paraId="35182E60" w14:textId="77777777" w:rsidR="00CF0E3D" w:rsidRPr="007C39E2" w:rsidRDefault="00CF0E3D" w:rsidP="00CF0E3D">
      <w:pPr>
        <w:pStyle w:val="SOText"/>
      </w:pPr>
      <w:r>
        <w:t>Part 2</w:t>
      </w:r>
      <w:r w:rsidRPr="007C39E2">
        <w:t xml:space="preserve"> of this Schedule deals with eligible CDR consumers in relation to the banking sector.</w:t>
      </w:r>
    </w:p>
    <w:p w14:paraId="7BB7EED0" w14:textId="77777777" w:rsidR="00CF0E3D" w:rsidRPr="00DA53C7" w:rsidRDefault="00CF0E3D" w:rsidP="00CF0E3D">
      <w:pPr>
        <w:pStyle w:val="SOText"/>
      </w:pPr>
      <w:r>
        <w:t>Part 3</w:t>
      </w:r>
      <w:r w:rsidRPr="00DA53C7">
        <w:t xml:space="preserve"> of this Schedule deals with CDR data that can </w:t>
      </w:r>
      <w:r w:rsidRPr="007C39E2">
        <w:t xml:space="preserve">or must </w:t>
      </w:r>
      <w:r w:rsidRPr="00DA53C7">
        <w:t>be disclosed when product data requests and consumer data requests are made in relation to the banking sector.</w:t>
      </w:r>
    </w:p>
    <w:p w14:paraId="5A51AEE0" w14:textId="77777777" w:rsidR="00CF0E3D" w:rsidRPr="00693A57" w:rsidRDefault="00CF0E3D" w:rsidP="00CF0E3D">
      <w:pPr>
        <w:pStyle w:val="SOText"/>
        <w:rPr>
          <w:strike/>
          <w:color w:val="0000FF"/>
        </w:rPr>
      </w:pPr>
      <w:r w:rsidRPr="00693A57">
        <w:rPr>
          <w:strike/>
          <w:color w:val="0000FF"/>
        </w:rPr>
        <w:t>Part 4 of this Schedule deals with joint accounts within the banking sector.</w:t>
      </w:r>
    </w:p>
    <w:p w14:paraId="0AAEB765" w14:textId="77777777" w:rsidR="00CF0E3D" w:rsidRPr="00DA53C7" w:rsidRDefault="00CF0E3D" w:rsidP="00CF0E3D">
      <w:pPr>
        <w:pStyle w:val="SOText"/>
      </w:pPr>
      <w:r>
        <w:t>Part 5 of this Schedule deals with internal dispute resolution requirements in relation to the banking sector.</w:t>
      </w:r>
    </w:p>
    <w:p w14:paraId="6BBE665F" w14:textId="77777777" w:rsidR="00CF0E3D" w:rsidRPr="00DA53C7" w:rsidRDefault="00CF0E3D" w:rsidP="00CF0E3D">
      <w:pPr>
        <w:pStyle w:val="SOText"/>
      </w:pPr>
      <w:r>
        <w:t>Part 6</w:t>
      </w:r>
      <w:r w:rsidRPr="00DA53C7">
        <w:t xml:space="preserve"> of these rules deals with the staged application of these rules to the banking sector. Over time, as set out in this Part, these rules will apply to a progressively broader range of data holders within the banking sector, and to a progressively broader range of banking products.</w:t>
      </w:r>
    </w:p>
    <w:p w14:paraId="026A2BB3" w14:textId="77777777" w:rsidR="00CF0E3D" w:rsidRPr="00DA53C7" w:rsidRDefault="00CF0E3D" w:rsidP="00CF0E3D">
      <w:pPr>
        <w:pStyle w:val="SOText"/>
      </w:pPr>
      <w:r>
        <w:t>Part 7</w:t>
      </w:r>
      <w:r w:rsidRPr="00DA53C7">
        <w:t xml:space="preserve"> deals with provisions of these rules that apply differently in relation to the banking sector.</w:t>
      </w:r>
    </w:p>
    <w:p w14:paraId="3E1B15C5" w14:textId="150F39D3" w:rsidR="00CF0E3D" w:rsidRDefault="00CF0E3D" w:rsidP="00CF0E3D">
      <w:pPr>
        <w:pStyle w:val="ActHead5"/>
      </w:pPr>
      <w:bookmarkStart w:id="598" w:name="_Toc11771726"/>
      <w:bookmarkStart w:id="599" w:name="_Toc77065079"/>
      <w:r>
        <w:t>1.2  Interpretation</w:t>
      </w:r>
      <w:bookmarkEnd w:id="598"/>
      <w:bookmarkEnd w:id="599"/>
    </w:p>
    <w:p w14:paraId="301EF2B2" w14:textId="77777777" w:rsidR="00CF0E3D" w:rsidRDefault="00CF0E3D" w:rsidP="00CF0E3D">
      <w:pPr>
        <w:pStyle w:val="subsection"/>
      </w:pPr>
      <w:r>
        <w:tab/>
      </w:r>
      <w:r>
        <w:tab/>
        <w:t>In this Schedule:</w:t>
      </w:r>
    </w:p>
    <w:p w14:paraId="2E517620" w14:textId="77777777" w:rsidR="00CF0E3D" w:rsidRDefault="00CF0E3D" w:rsidP="00CF0E3D">
      <w:pPr>
        <w:pStyle w:val="Definition"/>
      </w:pPr>
      <w:r>
        <w:rPr>
          <w:b/>
          <w:i/>
        </w:rPr>
        <w:t xml:space="preserve">account data </w:t>
      </w:r>
      <w:r>
        <w:t>has the meaning given by clause 1.3 of this Schedule.</w:t>
      </w:r>
    </w:p>
    <w:p w14:paraId="062D6CD7" w14:textId="77777777" w:rsidR="00CF0E3D" w:rsidRPr="00A605C3" w:rsidRDefault="00CF0E3D" w:rsidP="00CF0E3D">
      <w:pPr>
        <w:pStyle w:val="Definition"/>
      </w:pPr>
      <w:r>
        <w:rPr>
          <w:b/>
          <w:i/>
        </w:rPr>
        <w:t xml:space="preserve">accredited ADI </w:t>
      </w:r>
      <w:r>
        <w:t>has the meaning given by clause 6.2 of this Schedule.</w:t>
      </w:r>
    </w:p>
    <w:p w14:paraId="17B524F6" w14:textId="77777777" w:rsidR="00CF0E3D" w:rsidRPr="00DA53C7" w:rsidRDefault="00CF0E3D" w:rsidP="00CF0E3D">
      <w:pPr>
        <w:pStyle w:val="Definition"/>
      </w:pPr>
      <w:r w:rsidRPr="00DA53C7">
        <w:rPr>
          <w:b/>
          <w:i/>
        </w:rPr>
        <w:t xml:space="preserve">any other relevant ADI </w:t>
      </w:r>
      <w:r w:rsidRPr="00DA53C7">
        <w:t xml:space="preserve">has the meaning given by clause </w:t>
      </w:r>
      <w:r>
        <w:t>6.2</w:t>
      </w:r>
      <w:r w:rsidRPr="00DA53C7">
        <w:t xml:space="preserve"> of this Schedule.</w:t>
      </w:r>
    </w:p>
    <w:p w14:paraId="1B57B554" w14:textId="77777777" w:rsidR="00CF0E3D" w:rsidRPr="006B5200" w:rsidRDefault="00CF0E3D" w:rsidP="00CF0E3D">
      <w:pPr>
        <w:pStyle w:val="Definition"/>
        <w:rPr>
          <w:b/>
          <w:i/>
        </w:rPr>
      </w:pPr>
      <w:r>
        <w:rPr>
          <w:b/>
          <w:i/>
        </w:rPr>
        <w:t xml:space="preserve">associate </w:t>
      </w:r>
      <w:r>
        <w:t xml:space="preserve">has the meaning given by the </w:t>
      </w:r>
      <w:r w:rsidRPr="00965076">
        <w:t>banking</w:t>
      </w:r>
      <w:r>
        <w:t xml:space="preserve"> sector</w:t>
      </w:r>
      <w:r w:rsidRPr="00965076">
        <w:t xml:space="preserve"> designation</w:t>
      </w:r>
      <w:r>
        <w:t xml:space="preserve"> instrument.</w:t>
      </w:r>
    </w:p>
    <w:p w14:paraId="0ED427B1" w14:textId="77777777" w:rsidR="00CF0E3D" w:rsidRPr="006B5200" w:rsidRDefault="00CF0E3D" w:rsidP="00CF0E3D">
      <w:pPr>
        <w:pStyle w:val="Definition"/>
        <w:rPr>
          <w:b/>
          <w:i/>
        </w:rPr>
      </w:pPr>
      <w:r>
        <w:rPr>
          <w:b/>
          <w:i/>
        </w:rPr>
        <w:t xml:space="preserve">banking business </w:t>
      </w:r>
      <w:r>
        <w:t xml:space="preserve">has the meaning given by the </w:t>
      </w:r>
      <w:r w:rsidRPr="00965076">
        <w:t xml:space="preserve">banking </w:t>
      </w:r>
      <w:r>
        <w:t>sector</w:t>
      </w:r>
      <w:r w:rsidRPr="00965076">
        <w:t xml:space="preserve"> designation</w:t>
      </w:r>
      <w:r>
        <w:t xml:space="preserve"> instrument.</w:t>
      </w:r>
    </w:p>
    <w:p w14:paraId="7C037269" w14:textId="77777777" w:rsidR="00CF0E3D" w:rsidRDefault="00CF0E3D" w:rsidP="00CF0E3D">
      <w:pPr>
        <w:pStyle w:val="Definition"/>
      </w:pPr>
      <w:r>
        <w:rPr>
          <w:b/>
          <w:i/>
        </w:rPr>
        <w:lastRenderedPageBreak/>
        <w:t xml:space="preserve">banking sector </w:t>
      </w:r>
      <w:r>
        <w:t xml:space="preserve">means the sector of the Australian economy that is designated by the </w:t>
      </w:r>
      <w:r w:rsidRPr="00965076">
        <w:t xml:space="preserve">banking </w:t>
      </w:r>
      <w:r>
        <w:t>sector</w:t>
      </w:r>
      <w:r w:rsidRPr="00965076">
        <w:t xml:space="preserve"> designation</w:t>
      </w:r>
      <w:r>
        <w:t xml:space="preserve"> instrument.</w:t>
      </w:r>
    </w:p>
    <w:p w14:paraId="2B49206E" w14:textId="77777777" w:rsidR="00CF0E3D" w:rsidRPr="00210486" w:rsidRDefault="00CF0E3D" w:rsidP="00CF0E3D">
      <w:pPr>
        <w:pStyle w:val="Definition"/>
      </w:pPr>
      <w:r>
        <w:rPr>
          <w:b/>
          <w:i/>
        </w:rPr>
        <w:t xml:space="preserve">banking sector designation instrument </w:t>
      </w:r>
      <w:r>
        <w:t xml:space="preserve">means the </w:t>
      </w:r>
      <w:r>
        <w:rPr>
          <w:i/>
        </w:rPr>
        <w:t>Consumer Data Right (Authorised Deposit</w:t>
      </w:r>
      <w:r>
        <w:rPr>
          <w:i/>
        </w:rPr>
        <w:noBreakHyphen/>
        <w:t>Taking Institutions) Designation 2019</w:t>
      </w:r>
      <w:r w:rsidRPr="00693A57">
        <w:rPr>
          <w:strike/>
          <w:color w:val="FF0000"/>
        </w:rPr>
        <w:t xml:space="preserve"> as in force from time to time</w:t>
      </w:r>
      <w:r w:rsidRPr="00210486">
        <w:t>.</w:t>
      </w:r>
    </w:p>
    <w:p w14:paraId="2F6DE039" w14:textId="77777777" w:rsidR="00CF0E3D" w:rsidRPr="00956176" w:rsidRDefault="00CF0E3D" w:rsidP="00CF0E3D">
      <w:pPr>
        <w:pStyle w:val="Definition"/>
      </w:pPr>
      <w:r w:rsidRPr="00956176">
        <w:rPr>
          <w:b/>
          <w:i/>
        </w:rPr>
        <w:t>customer data</w:t>
      </w:r>
      <w:r w:rsidRPr="00956176">
        <w:t xml:space="preserve"> has the meaning given by clause </w:t>
      </w:r>
      <w:r>
        <w:t>1.3</w:t>
      </w:r>
      <w:r w:rsidRPr="00956176">
        <w:t xml:space="preserve"> of this Schedule.</w:t>
      </w:r>
    </w:p>
    <w:p w14:paraId="253FB064" w14:textId="77777777" w:rsidR="00CF0E3D" w:rsidRPr="00956176" w:rsidRDefault="00CF0E3D" w:rsidP="00CF0E3D">
      <w:pPr>
        <w:pStyle w:val="Definition"/>
      </w:pPr>
      <w:r w:rsidRPr="00956176">
        <w:rPr>
          <w:b/>
          <w:i/>
        </w:rPr>
        <w:t xml:space="preserve">foreign ADI </w:t>
      </w:r>
      <w:r w:rsidRPr="00956176">
        <w:t xml:space="preserve">has the meaning given by the </w:t>
      </w:r>
      <w:r w:rsidRPr="00956176">
        <w:rPr>
          <w:i/>
        </w:rPr>
        <w:t>Banking Act 1959</w:t>
      </w:r>
      <w:r w:rsidRPr="00956176">
        <w:t>.</w:t>
      </w:r>
    </w:p>
    <w:p w14:paraId="175EC353" w14:textId="77777777" w:rsidR="00CF0E3D" w:rsidRPr="00A605C3" w:rsidRDefault="00CF0E3D" w:rsidP="00CF0E3D">
      <w:pPr>
        <w:pStyle w:val="Definition"/>
      </w:pPr>
      <w:r w:rsidRPr="00B3173B">
        <w:rPr>
          <w:b/>
          <w:i/>
        </w:rPr>
        <w:t>initial</w:t>
      </w:r>
      <w:r>
        <w:rPr>
          <w:b/>
          <w:i/>
        </w:rPr>
        <w:t xml:space="preserve"> data holder </w:t>
      </w:r>
      <w:r>
        <w:t>has the meaning given by clause 6.2 of this Schedule.</w:t>
      </w:r>
    </w:p>
    <w:p w14:paraId="2977F636" w14:textId="77777777" w:rsidR="00CF0E3D" w:rsidRPr="00693A57" w:rsidRDefault="00CF0E3D" w:rsidP="00CF0E3D">
      <w:pPr>
        <w:pStyle w:val="Definition"/>
        <w:rPr>
          <w:strike/>
          <w:color w:val="0000FF"/>
        </w:rPr>
      </w:pPr>
      <w:r w:rsidRPr="00693A57">
        <w:rPr>
          <w:b/>
          <w:i/>
          <w:strike/>
          <w:color w:val="0000FF"/>
        </w:rPr>
        <w:t>joint account</w:t>
      </w:r>
      <w:r w:rsidRPr="00693A57">
        <w:rPr>
          <w:strike/>
          <w:color w:val="0000FF"/>
        </w:rPr>
        <w:t>:</w:t>
      </w:r>
    </w:p>
    <w:p w14:paraId="7A2D2BCA"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means a joint account with a data holder for which there are 2 or more joint account holders, each of which is an individual who, so far as the data holder is aware, is acting in their own capacity and not on behalf of another person; but</w:t>
      </w:r>
    </w:p>
    <w:p w14:paraId="31F5CABC"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does not include a partnership account with a data holder.</w:t>
      </w:r>
    </w:p>
    <w:p w14:paraId="3D6F6CEF" w14:textId="398EFB2D" w:rsidR="00CF0E3D" w:rsidRPr="00693A57" w:rsidRDefault="00CF0E3D" w:rsidP="00CF0E3D">
      <w:pPr>
        <w:pStyle w:val="Definition"/>
        <w:rPr>
          <w:strike/>
          <w:color w:val="0000FF"/>
        </w:rPr>
      </w:pPr>
      <w:r w:rsidRPr="00693A57">
        <w:rPr>
          <w:b/>
          <w:i/>
          <w:strike/>
          <w:color w:val="0000FF"/>
        </w:rPr>
        <w:t xml:space="preserve">joint account management service </w:t>
      </w:r>
      <w:r w:rsidRPr="00693A57">
        <w:rPr>
          <w:strike/>
          <w:color w:val="0000FF"/>
        </w:rPr>
        <w:t xml:space="preserve">has the meaning given by subclause 4.6(2) of this </w:t>
      </w:r>
      <w:r w:rsidR="00B54B80" w:rsidRPr="00693A57">
        <w:rPr>
          <w:strike/>
          <w:color w:val="0000FF"/>
        </w:rPr>
        <w:t>Schedule</w:t>
      </w:r>
      <w:r w:rsidR="00CC28A8" w:rsidRPr="00693A57">
        <w:rPr>
          <w:strike/>
          <w:color w:val="0000FF"/>
        </w:rPr>
        <w:t>.</w:t>
      </w:r>
    </w:p>
    <w:p w14:paraId="76B2D01B" w14:textId="77777777" w:rsidR="00CF0E3D" w:rsidRPr="00924062" w:rsidRDefault="00CF0E3D" w:rsidP="00CF0E3D">
      <w:pPr>
        <w:pStyle w:val="Definition"/>
      </w:pPr>
      <w:r w:rsidRPr="00924062">
        <w:rPr>
          <w:b/>
          <w:i/>
        </w:rPr>
        <w:t xml:space="preserve">phase 1 product </w:t>
      </w:r>
      <w:r w:rsidRPr="00924062">
        <w:t xml:space="preserve">has the meaning given by </w:t>
      </w:r>
      <w:r>
        <w:t>clause 1.4</w:t>
      </w:r>
      <w:r w:rsidRPr="00924062">
        <w:t xml:space="preserve"> of this Schedule.</w:t>
      </w:r>
    </w:p>
    <w:p w14:paraId="44E6A05B" w14:textId="77777777" w:rsidR="00CF0E3D" w:rsidRPr="00D96444" w:rsidRDefault="00CF0E3D" w:rsidP="00CF0E3D">
      <w:pPr>
        <w:pStyle w:val="Definition"/>
      </w:pPr>
      <w:r w:rsidRPr="00924062">
        <w:rPr>
          <w:b/>
          <w:i/>
        </w:rPr>
        <w:t xml:space="preserve">phase 2 product </w:t>
      </w:r>
      <w:r w:rsidRPr="00924062">
        <w:t xml:space="preserve">has the meaning given by </w:t>
      </w:r>
      <w:r>
        <w:t>clause 1.4</w:t>
      </w:r>
      <w:r w:rsidRPr="00924062">
        <w:t xml:space="preserve"> of this Schedule.</w:t>
      </w:r>
    </w:p>
    <w:p w14:paraId="5EA2A956" w14:textId="77777777" w:rsidR="00CF0E3D" w:rsidRPr="00D96444" w:rsidRDefault="00CF0E3D" w:rsidP="00CF0E3D">
      <w:pPr>
        <w:pStyle w:val="Definition"/>
      </w:pPr>
      <w:r w:rsidRPr="00924062">
        <w:rPr>
          <w:b/>
          <w:i/>
        </w:rPr>
        <w:t xml:space="preserve">phase 3 product </w:t>
      </w:r>
      <w:r w:rsidRPr="00924062">
        <w:t xml:space="preserve">has the meaning given by </w:t>
      </w:r>
      <w:r>
        <w:t>clause 1.4</w:t>
      </w:r>
      <w:r w:rsidRPr="00924062">
        <w:t xml:space="preserve"> of this Schedule.</w:t>
      </w:r>
    </w:p>
    <w:p w14:paraId="21471FC3" w14:textId="77777777" w:rsidR="00CF0E3D" w:rsidRDefault="00CF0E3D" w:rsidP="00CF0E3D">
      <w:pPr>
        <w:pStyle w:val="Definition"/>
      </w:pPr>
      <w:r>
        <w:rPr>
          <w:b/>
          <w:i/>
        </w:rPr>
        <w:t xml:space="preserve">product </w:t>
      </w:r>
      <w:r>
        <w:t xml:space="preserve">has the meaning given by the </w:t>
      </w:r>
      <w:r w:rsidRPr="00965076">
        <w:t xml:space="preserve">banking </w:t>
      </w:r>
      <w:r>
        <w:t>sector</w:t>
      </w:r>
      <w:r w:rsidRPr="00965076">
        <w:t xml:space="preserve"> designation</w:t>
      </w:r>
      <w:r>
        <w:t xml:space="preserve"> instrument.</w:t>
      </w:r>
    </w:p>
    <w:p w14:paraId="409A354F" w14:textId="77777777" w:rsidR="00CF0E3D" w:rsidRPr="001C1B2B" w:rsidRDefault="00CF0E3D" w:rsidP="00CF0E3D">
      <w:pPr>
        <w:pStyle w:val="Definition"/>
      </w:pPr>
      <w:r>
        <w:rPr>
          <w:b/>
          <w:i/>
        </w:rPr>
        <w:t>product specific data</w:t>
      </w:r>
      <w:r>
        <w:t xml:space="preserve"> has the meaning given by clause 1.3 of this Schedule.</w:t>
      </w:r>
    </w:p>
    <w:p w14:paraId="76FBFDC0" w14:textId="77777777" w:rsidR="00CF0E3D" w:rsidRPr="001C1B2B" w:rsidRDefault="00CF0E3D" w:rsidP="00CF0E3D">
      <w:pPr>
        <w:pStyle w:val="Definition"/>
      </w:pPr>
      <w:r>
        <w:rPr>
          <w:b/>
          <w:i/>
        </w:rPr>
        <w:t>transaction data</w:t>
      </w:r>
      <w:r>
        <w:t xml:space="preserve"> has the meaning given by clause 1.3 of this Schedule.</w:t>
      </w:r>
    </w:p>
    <w:p w14:paraId="3C4297BA" w14:textId="7300C0E0" w:rsidR="00CF0E3D" w:rsidRDefault="00CF0E3D" w:rsidP="00CF0E3D">
      <w:pPr>
        <w:pStyle w:val="ActHead5"/>
        <w:rPr>
          <w:i/>
        </w:rPr>
      </w:pPr>
      <w:bookmarkStart w:id="600" w:name="_Toc11771727"/>
      <w:bookmarkStart w:id="601" w:name="_Toc77065080"/>
      <w:r>
        <w:t xml:space="preserve">1.3  Meaning of </w:t>
      </w:r>
      <w:r>
        <w:rPr>
          <w:i/>
        </w:rPr>
        <w:t>customer data</w:t>
      </w:r>
      <w:r>
        <w:t xml:space="preserve">, </w:t>
      </w:r>
      <w:r>
        <w:rPr>
          <w:i/>
        </w:rPr>
        <w:t>account data</w:t>
      </w:r>
      <w:r>
        <w:t xml:space="preserve">, </w:t>
      </w:r>
      <w:r>
        <w:rPr>
          <w:i/>
        </w:rPr>
        <w:t xml:space="preserve">transaction data </w:t>
      </w:r>
      <w:r>
        <w:t xml:space="preserve">and </w:t>
      </w:r>
      <w:r>
        <w:rPr>
          <w:i/>
        </w:rPr>
        <w:t>product specific</w:t>
      </w:r>
      <w:r>
        <w:rPr>
          <w:b w:val="0"/>
          <w:i/>
        </w:rPr>
        <w:t xml:space="preserve"> </w:t>
      </w:r>
      <w:r>
        <w:rPr>
          <w:i/>
        </w:rPr>
        <w:t>data</w:t>
      </w:r>
      <w:bookmarkEnd w:id="600"/>
      <w:bookmarkEnd w:id="601"/>
    </w:p>
    <w:p w14:paraId="61C3807A" w14:textId="77777777" w:rsidR="00CF0E3D" w:rsidRDefault="00CF0E3D" w:rsidP="00CF0E3D">
      <w:pPr>
        <w:pStyle w:val="subsection"/>
      </w:pPr>
      <w:r>
        <w:tab/>
      </w:r>
      <w:r>
        <w:tab/>
        <w:t>For this Schedule, a term listed in column 1 of the table has the meaning given by column 2.</w:t>
      </w:r>
    </w:p>
    <w:p w14:paraId="2424B438" w14:textId="77777777" w:rsidR="00CF0E3D" w:rsidRDefault="00CF0E3D" w:rsidP="00CF0E3D">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CF0E3D" w14:paraId="5C30D3B7" w14:textId="77777777" w:rsidTr="007941AE">
        <w:trPr>
          <w:tblHeader/>
        </w:trPr>
        <w:tc>
          <w:tcPr>
            <w:tcW w:w="5000" w:type="pct"/>
            <w:gridSpan w:val="3"/>
            <w:tcBorders>
              <w:top w:val="single" w:sz="12" w:space="0" w:color="auto"/>
              <w:bottom w:val="single" w:sz="2" w:space="0" w:color="auto"/>
            </w:tcBorders>
          </w:tcPr>
          <w:p w14:paraId="2F229166" w14:textId="77777777" w:rsidR="00CF0E3D" w:rsidRDefault="00CF0E3D" w:rsidP="007941AE">
            <w:pPr>
              <w:pStyle w:val="TableHeading"/>
              <w:jc w:val="center"/>
            </w:pPr>
            <w:r>
              <w:t xml:space="preserve">Meaning of </w:t>
            </w:r>
            <w:r>
              <w:rPr>
                <w:i/>
              </w:rPr>
              <w:t>customer data</w:t>
            </w:r>
            <w:r>
              <w:t xml:space="preserve">, </w:t>
            </w:r>
            <w:r>
              <w:rPr>
                <w:i/>
              </w:rPr>
              <w:t>account data</w:t>
            </w:r>
            <w:r>
              <w:t xml:space="preserve">, </w:t>
            </w:r>
            <w:r>
              <w:rPr>
                <w:i/>
              </w:rPr>
              <w:t xml:space="preserve">transaction data </w:t>
            </w:r>
            <w:r>
              <w:t xml:space="preserve">and </w:t>
            </w:r>
            <w:r>
              <w:rPr>
                <w:i/>
              </w:rPr>
              <w:t>product specific</w:t>
            </w:r>
            <w:r>
              <w:rPr>
                <w:b w:val="0"/>
                <w:i/>
              </w:rPr>
              <w:t xml:space="preserve"> </w:t>
            </w:r>
            <w:r>
              <w:rPr>
                <w:i/>
              </w:rPr>
              <w:t>data</w:t>
            </w:r>
          </w:p>
        </w:tc>
      </w:tr>
      <w:tr w:rsidR="00CF0E3D" w14:paraId="40FE1379" w14:textId="77777777" w:rsidTr="007941AE">
        <w:trPr>
          <w:tblHeader/>
        </w:trPr>
        <w:tc>
          <w:tcPr>
            <w:tcW w:w="256" w:type="pct"/>
            <w:tcBorders>
              <w:top w:val="single" w:sz="2" w:space="0" w:color="auto"/>
              <w:bottom w:val="single" w:sz="12" w:space="0" w:color="auto"/>
              <w:right w:val="nil"/>
            </w:tcBorders>
          </w:tcPr>
          <w:p w14:paraId="5836EF44" w14:textId="77777777" w:rsidR="00CF0E3D" w:rsidRDefault="00CF0E3D" w:rsidP="007941AE">
            <w:pPr>
              <w:pStyle w:val="TableHeading"/>
            </w:pPr>
          </w:p>
        </w:tc>
        <w:tc>
          <w:tcPr>
            <w:tcW w:w="1187" w:type="pct"/>
            <w:tcBorders>
              <w:top w:val="single" w:sz="2" w:space="0" w:color="auto"/>
              <w:left w:val="nil"/>
              <w:bottom w:val="single" w:sz="12" w:space="0" w:color="auto"/>
              <w:right w:val="nil"/>
            </w:tcBorders>
          </w:tcPr>
          <w:p w14:paraId="4E85F119" w14:textId="77777777" w:rsidR="00CF0E3D" w:rsidRDefault="00CF0E3D" w:rsidP="007941AE">
            <w:pPr>
              <w:pStyle w:val="TableHeading"/>
            </w:pPr>
            <w:r>
              <w:t>Column 1</w:t>
            </w:r>
          </w:p>
        </w:tc>
        <w:tc>
          <w:tcPr>
            <w:tcW w:w="3557" w:type="pct"/>
            <w:tcBorders>
              <w:top w:val="single" w:sz="2" w:space="0" w:color="auto"/>
              <w:left w:val="nil"/>
              <w:bottom w:val="single" w:sz="12" w:space="0" w:color="auto"/>
              <w:right w:val="nil"/>
            </w:tcBorders>
          </w:tcPr>
          <w:p w14:paraId="037F2D6B" w14:textId="77777777" w:rsidR="00CF0E3D" w:rsidRDefault="00CF0E3D" w:rsidP="007941AE">
            <w:pPr>
              <w:pStyle w:val="TableHeading"/>
            </w:pPr>
            <w:r>
              <w:t>Column 2</w:t>
            </w:r>
          </w:p>
        </w:tc>
      </w:tr>
      <w:tr w:rsidR="00CF0E3D" w14:paraId="1B6B2269" w14:textId="77777777" w:rsidTr="007941AE">
        <w:tc>
          <w:tcPr>
            <w:tcW w:w="256" w:type="pct"/>
            <w:tcBorders>
              <w:top w:val="single" w:sz="12" w:space="0" w:color="auto"/>
              <w:bottom w:val="single" w:sz="2" w:space="0" w:color="auto"/>
              <w:right w:val="nil"/>
            </w:tcBorders>
          </w:tcPr>
          <w:p w14:paraId="6E3DEC3C" w14:textId="77777777" w:rsidR="00CF0E3D" w:rsidRDefault="00CF0E3D" w:rsidP="007941AE">
            <w:pPr>
              <w:pStyle w:val="Tabletext"/>
            </w:pPr>
            <w:r>
              <w:t>1</w:t>
            </w:r>
          </w:p>
        </w:tc>
        <w:tc>
          <w:tcPr>
            <w:tcW w:w="1187" w:type="pct"/>
            <w:tcBorders>
              <w:top w:val="single" w:sz="12" w:space="0" w:color="auto"/>
              <w:left w:val="nil"/>
              <w:bottom w:val="single" w:sz="2" w:space="0" w:color="auto"/>
              <w:right w:val="nil"/>
            </w:tcBorders>
          </w:tcPr>
          <w:p w14:paraId="589CAD7C" w14:textId="77777777" w:rsidR="00CF0E3D" w:rsidRPr="000C3240" w:rsidRDefault="00CF0E3D" w:rsidP="007941AE">
            <w:pPr>
              <w:pStyle w:val="Tabletext"/>
              <w:rPr>
                <w:color w:val="000000" w:themeColor="text1"/>
              </w:rPr>
            </w:pPr>
            <w:r w:rsidRPr="00645EDE">
              <w:rPr>
                <w:b/>
                <w:i/>
              </w:rPr>
              <w:t>customer data</w:t>
            </w:r>
            <w:r w:rsidRPr="00645EDE">
              <w:t>, in relation to a particular person</w:t>
            </w:r>
          </w:p>
        </w:tc>
        <w:tc>
          <w:tcPr>
            <w:tcW w:w="3557" w:type="pct"/>
            <w:tcBorders>
              <w:top w:val="single" w:sz="12" w:space="0" w:color="auto"/>
              <w:left w:val="nil"/>
              <w:bottom w:val="single" w:sz="2" w:space="0" w:color="auto"/>
              <w:right w:val="nil"/>
            </w:tcBorders>
          </w:tcPr>
          <w:p w14:paraId="0DB85946" w14:textId="77777777" w:rsidR="00CF0E3D" w:rsidRDefault="00CF0E3D" w:rsidP="007941AE">
            <w:pPr>
              <w:pStyle w:val="Tablea"/>
            </w:pPr>
            <w:r w:rsidRPr="00E1300D">
              <w:rPr>
                <w:color w:val="000000" w:themeColor="text1"/>
              </w:rPr>
              <w:t>(a)</w:t>
            </w:r>
            <w:r w:rsidRPr="00E1300D">
              <w:rPr>
                <w:color w:val="000000" w:themeColor="text1"/>
              </w:rPr>
              <w:tab/>
            </w:r>
            <w:r w:rsidRPr="006A44C9">
              <w:t>means</w:t>
            </w:r>
            <w:r>
              <w:t xml:space="preserve"> </w:t>
            </w:r>
            <w:r w:rsidRPr="00E1300D">
              <w:rPr>
                <w:color w:val="000000" w:themeColor="text1"/>
              </w:rPr>
              <w:t>information that identifies or is about the person; and</w:t>
            </w:r>
          </w:p>
          <w:p w14:paraId="74458321" w14:textId="77777777" w:rsidR="00CF0E3D" w:rsidRPr="00E1300D" w:rsidRDefault="00CF0E3D" w:rsidP="007941AE">
            <w:pPr>
              <w:pStyle w:val="Tablea"/>
              <w:rPr>
                <w:color w:val="000000" w:themeColor="text1"/>
              </w:rPr>
            </w:pPr>
            <w:r>
              <w:tab/>
              <w:t>(b)</w:t>
            </w:r>
            <w:r w:rsidRPr="00645EDE">
              <w:tab/>
            </w:r>
            <w:r w:rsidRPr="00E1300D">
              <w:rPr>
                <w:color w:val="000000" w:themeColor="text1"/>
              </w:rPr>
              <w:t>includes:</w:t>
            </w:r>
          </w:p>
          <w:p w14:paraId="29C48BBD" w14:textId="77777777" w:rsidR="00CF0E3D" w:rsidRPr="00645EDE" w:rsidRDefault="00CF0E3D" w:rsidP="007941AE">
            <w:pPr>
              <w:pStyle w:val="Tablei"/>
            </w:pPr>
            <w:r w:rsidRPr="00E1300D">
              <w:rPr>
                <w:color w:val="000000" w:themeColor="text1"/>
              </w:rPr>
              <w:tab/>
              <w:t>(i)</w:t>
            </w:r>
            <w:r w:rsidRPr="00E1300D">
              <w:rPr>
                <w:color w:val="000000" w:themeColor="text1"/>
              </w:rPr>
              <w:tab/>
            </w:r>
            <w:r w:rsidRPr="00645EDE">
              <w:t>the person’s name; and</w:t>
            </w:r>
          </w:p>
          <w:p w14:paraId="7431AA26" w14:textId="77777777" w:rsidR="00CF0E3D" w:rsidRDefault="00CF0E3D" w:rsidP="007941AE">
            <w:pPr>
              <w:pStyle w:val="Tablei"/>
            </w:pPr>
            <w:r w:rsidRPr="00645EDE">
              <w:tab/>
              <w:t>(</w:t>
            </w:r>
            <w:r>
              <w:t>ii</w:t>
            </w:r>
            <w:r w:rsidRPr="00645EDE">
              <w:t>)</w:t>
            </w:r>
            <w:r w:rsidRPr="00645EDE">
              <w:tab/>
              <w:t>the person’s contact details, including</w:t>
            </w:r>
            <w:r>
              <w:t xml:space="preserve"> their:</w:t>
            </w:r>
          </w:p>
          <w:p w14:paraId="30596180" w14:textId="77777777" w:rsidR="00CF0E3D" w:rsidRDefault="00CF0E3D" w:rsidP="007941AE">
            <w:pPr>
              <w:pStyle w:val="TableAA"/>
            </w:pPr>
            <w:r>
              <w:tab/>
              <w:t>(A)</w:t>
            </w:r>
            <w:r>
              <w:tab/>
            </w:r>
            <w:r w:rsidRPr="00645EDE">
              <w:t>telephone number</w:t>
            </w:r>
            <w:r>
              <w:t>; and</w:t>
            </w:r>
          </w:p>
          <w:p w14:paraId="6FFE4257" w14:textId="77777777" w:rsidR="00CF0E3D" w:rsidRDefault="00CF0E3D" w:rsidP="007941AE">
            <w:pPr>
              <w:pStyle w:val="TableAA"/>
            </w:pPr>
            <w:r>
              <w:tab/>
              <w:t>(B)</w:t>
            </w:r>
            <w:r>
              <w:tab/>
            </w:r>
            <w:r w:rsidRPr="00645EDE">
              <w:t>email address</w:t>
            </w:r>
            <w:r>
              <w:t>; and</w:t>
            </w:r>
          </w:p>
          <w:p w14:paraId="0843F174" w14:textId="77777777" w:rsidR="00CF0E3D" w:rsidRPr="00645EDE" w:rsidRDefault="00CF0E3D" w:rsidP="007941AE">
            <w:pPr>
              <w:pStyle w:val="TableAA"/>
            </w:pPr>
            <w:r>
              <w:lastRenderedPageBreak/>
              <w:tab/>
              <w:t>(C)</w:t>
            </w:r>
            <w:r>
              <w:tab/>
            </w:r>
            <w:r w:rsidRPr="00645EDE">
              <w:t>physical address; and</w:t>
            </w:r>
          </w:p>
          <w:p w14:paraId="3192ADB5" w14:textId="77777777" w:rsidR="00CF0E3D" w:rsidRPr="00645EDE" w:rsidRDefault="00CF0E3D" w:rsidP="007941AE">
            <w:pPr>
              <w:pStyle w:val="Tablei"/>
            </w:pPr>
            <w:r w:rsidRPr="00645EDE">
              <w:tab/>
              <w:t>(</w:t>
            </w:r>
            <w:r>
              <w:t>iii</w:t>
            </w:r>
            <w:r w:rsidRPr="00645EDE">
              <w:t>)</w:t>
            </w:r>
            <w:r w:rsidRPr="00645EDE">
              <w:tab/>
              <w:t>any information that:</w:t>
            </w:r>
          </w:p>
          <w:p w14:paraId="631EC5EE" w14:textId="77777777" w:rsidR="00CF0E3D" w:rsidRPr="00645EDE" w:rsidRDefault="00CF0E3D" w:rsidP="007941AE">
            <w:pPr>
              <w:pStyle w:val="TableAA"/>
            </w:pPr>
            <w:r w:rsidRPr="00645EDE">
              <w:tab/>
              <w:t>(</w:t>
            </w:r>
            <w:r>
              <w:t>A</w:t>
            </w:r>
            <w:r w:rsidRPr="00645EDE">
              <w:t>)</w:t>
            </w:r>
            <w:r w:rsidRPr="00645EDE">
              <w:tab/>
              <w:t xml:space="preserve">the person provided at the time of acquiring a particular </w:t>
            </w:r>
            <w:r>
              <w:t>product</w:t>
            </w:r>
            <w:r w:rsidRPr="00645EDE">
              <w:t>; and</w:t>
            </w:r>
          </w:p>
          <w:p w14:paraId="2E9C18C0" w14:textId="77777777" w:rsidR="00CF0E3D" w:rsidRPr="00645EDE" w:rsidRDefault="00CF0E3D" w:rsidP="007941AE">
            <w:pPr>
              <w:pStyle w:val="TableAA"/>
            </w:pPr>
            <w:r w:rsidRPr="00645EDE">
              <w:tab/>
              <w:t>(</w:t>
            </w:r>
            <w:r>
              <w:t>B</w:t>
            </w:r>
            <w:r w:rsidRPr="00645EDE">
              <w:t>)</w:t>
            </w:r>
            <w:r w:rsidRPr="00645EDE">
              <w:tab/>
              <w:t xml:space="preserve">relates to their eligibility to acquire that </w:t>
            </w:r>
            <w:r>
              <w:t>product</w:t>
            </w:r>
            <w:r w:rsidRPr="00645EDE">
              <w:t>; and</w:t>
            </w:r>
          </w:p>
          <w:p w14:paraId="356E36B2" w14:textId="77777777" w:rsidR="00CF0E3D" w:rsidRPr="00645EDE" w:rsidRDefault="00CF0E3D" w:rsidP="007941AE">
            <w:pPr>
              <w:pStyle w:val="Tablei"/>
            </w:pPr>
            <w:r w:rsidRPr="00645EDE">
              <w:tab/>
              <w:t>(</w:t>
            </w:r>
            <w:r>
              <w:t>iv</w:t>
            </w:r>
            <w:r w:rsidRPr="00645EDE">
              <w:t>)</w:t>
            </w:r>
            <w:r w:rsidRPr="00645EDE">
              <w:tab/>
              <w:t>if the person operates a business—the following:</w:t>
            </w:r>
          </w:p>
          <w:p w14:paraId="6035264D" w14:textId="77777777" w:rsidR="00CF0E3D" w:rsidRPr="00645EDE" w:rsidRDefault="00CF0E3D" w:rsidP="007941AE">
            <w:pPr>
              <w:pStyle w:val="TableAA"/>
            </w:pPr>
            <w:r w:rsidRPr="00645EDE">
              <w:tab/>
              <w:t>(</w:t>
            </w:r>
            <w:r>
              <w:t>A</w:t>
            </w:r>
            <w:r w:rsidRPr="00645EDE">
              <w:t>)</w:t>
            </w:r>
            <w:r w:rsidRPr="00645EDE">
              <w:tab/>
              <w:t>the person’s business name;</w:t>
            </w:r>
            <w:r w:rsidRPr="009A0E68">
              <w:t xml:space="preserve"> </w:t>
            </w:r>
          </w:p>
          <w:p w14:paraId="720B376E" w14:textId="77777777" w:rsidR="00CF0E3D" w:rsidRPr="00645EDE" w:rsidRDefault="00CF0E3D" w:rsidP="007941AE">
            <w:pPr>
              <w:pStyle w:val="TableAA"/>
            </w:pPr>
            <w:r w:rsidRPr="00645EDE">
              <w:tab/>
              <w:t>(</w:t>
            </w:r>
            <w:r>
              <w:t>B</w:t>
            </w:r>
            <w:r w:rsidRPr="00645EDE">
              <w:t>)</w:t>
            </w:r>
            <w:r w:rsidRPr="00645EDE">
              <w:tab/>
              <w:t xml:space="preserve">the person’s ABN (within the meaning of the </w:t>
            </w:r>
            <w:r w:rsidRPr="00645EDE">
              <w:rPr>
                <w:i/>
              </w:rPr>
              <w:t>A New Tax System (Australian Business Number) Act 1999</w:t>
            </w:r>
            <w:r w:rsidRPr="00645EDE">
              <w:t>);</w:t>
            </w:r>
          </w:p>
          <w:p w14:paraId="335A6089" w14:textId="77777777" w:rsidR="00CF0E3D" w:rsidRPr="00645EDE" w:rsidRDefault="00CF0E3D" w:rsidP="007941AE">
            <w:pPr>
              <w:pStyle w:val="TableAA"/>
            </w:pPr>
            <w:r w:rsidRPr="00645EDE">
              <w:tab/>
              <w:t>(</w:t>
            </w:r>
            <w:r>
              <w:t>C</w:t>
            </w:r>
            <w:r w:rsidRPr="00645EDE">
              <w:t>)</w:t>
            </w:r>
            <w:r w:rsidRPr="00645EDE">
              <w:tab/>
              <w:t xml:space="preserve">the person’s ACN (within the meaning of the </w:t>
            </w:r>
            <w:r w:rsidRPr="00645EDE">
              <w:rPr>
                <w:i/>
              </w:rPr>
              <w:t>Corporations Act 2001</w:t>
            </w:r>
            <w:r w:rsidRPr="00645EDE">
              <w:t>);</w:t>
            </w:r>
          </w:p>
          <w:p w14:paraId="2D363F10" w14:textId="77777777" w:rsidR="00CF0E3D" w:rsidRPr="00645EDE" w:rsidRDefault="00CF0E3D" w:rsidP="007941AE">
            <w:pPr>
              <w:pStyle w:val="TableAA"/>
            </w:pPr>
            <w:r w:rsidRPr="00645EDE">
              <w:tab/>
              <w:t>(</w:t>
            </w:r>
            <w:r>
              <w:t>D)</w:t>
            </w:r>
            <w:r>
              <w:tab/>
              <w:t xml:space="preserve">the </w:t>
            </w:r>
            <w:r w:rsidRPr="00645EDE">
              <w:t>type of business;</w:t>
            </w:r>
          </w:p>
          <w:p w14:paraId="151E13BE" w14:textId="77777777" w:rsidR="00CF0E3D" w:rsidRPr="00645EDE" w:rsidRDefault="00CF0E3D" w:rsidP="007941AE">
            <w:pPr>
              <w:pStyle w:val="TableAA"/>
            </w:pPr>
            <w:r w:rsidRPr="00645EDE">
              <w:tab/>
              <w:t>(</w:t>
            </w:r>
            <w:r>
              <w:t>E</w:t>
            </w:r>
            <w:r w:rsidRPr="00645EDE">
              <w:t>)</w:t>
            </w:r>
            <w:r w:rsidRPr="00645EDE">
              <w:tab/>
              <w:t>the date the business was</w:t>
            </w:r>
            <w:r>
              <w:t xml:space="preserve"> </w:t>
            </w:r>
            <w:r w:rsidRPr="00645EDE">
              <w:t>established;</w:t>
            </w:r>
          </w:p>
          <w:p w14:paraId="3DE82C13" w14:textId="77777777" w:rsidR="00CF0E3D" w:rsidRPr="00645EDE" w:rsidRDefault="00CF0E3D" w:rsidP="007941AE">
            <w:pPr>
              <w:pStyle w:val="TableAA"/>
            </w:pPr>
            <w:r w:rsidRPr="00645EDE">
              <w:tab/>
              <w:t>(</w:t>
            </w:r>
            <w:r>
              <w:t>F</w:t>
            </w:r>
            <w:r w:rsidRPr="00645EDE">
              <w:t>)</w:t>
            </w:r>
            <w:r w:rsidRPr="00645EDE">
              <w:tab/>
              <w:t xml:space="preserve">the </w:t>
            </w:r>
            <w:r>
              <w:t>registration date</w:t>
            </w:r>
            <w:r w:rsidRPr="00645EDE">
              <w:t>;</w:t>
            </w:r>
          </w:p>
          <w:p w14:paraId="0EEFBCC2" w14:textId="77777777" w:rsidR="00CF0E3D" w:rsidRPr="00645EDE" w:rsidRDefault="00CF0E3D" w:rsidP="007941AE">
            <w:pPr>
              <w:pStyle w:val="TableAA"/>
            </w:pPr>
            <w:r w:rsidRPr="00645EDE">
              <w:tab/>
              <w:t>(</w:t>
            </w:r>
            <w:r>
              <w:t>G</w:t>
            </w:r>
            <w:r w:rsidRPr="00645EDE">
              <w:t>)</w:t>
            </w:r>
            <w:r w:rsidRPr="00645EDE">
              <w:tab/>
              <w:t xml:space="preserve">the organisation type; </w:t>
            </w:r>
          </w:p>
          <w:p w14:paraId="1E290884" w14:textId="77777777" w:rsidR="00CF0E3D" w:rsidRPr="00645EDE" w:rsidRDefault="00CF0E3D" w:rsidP="007941AE">
            <w:pPr>
              <w:pStyle w:val="TableAA"/>
            </w:pPr>
            <w:r w:rsidRPr="00645EDE">
              <w:tab/>
              <w:t>(</w:t>
            </w:r>
            <w:r>
              <w:t>H</w:t>
            </w:r>
            <w:r w:rsidRPr="00645EDE">
              <w:t>)</w:t>
            </w:r>
            <w:r w:rsidRPr="00645EDE">
              <w:tab/>
              <w:t>the country of registration;</w:t>
            </w:r>
          </w:p>
          <w:p w14:paraId="27385F9C" w14:textId="77777777" w:rsidR="00CF0E3D" w:rsidRPr="007C39E2" w:rsidRDefault="00CF0E3D" w:rsidP="007941AE">
            <w:pPr>
              <w:pStyle w:val="TableAA"/>
            </w:pPr>
            <w:r w:rsidRPr="00645EDE">
              <w:tab/>
              <w:t>(</w:t>
            </w:r>
            <w:r>
              <w:t>I</w:t>
            </w:r>
            <w:r w:rsidRPr="00645EDE">
              <w:t>)</w:t>
            </w:r>
            <w:r w:rsidRPr="00645EDE">
              <w:tab/>
              <w:t>whether the business is a charitable or not</w:t>
            </w:r>
            <w:r w:rsidRPr="00645EDE">
              <w:noBreakHyphen/>
              <w:t>for</w:t>
            </w:r>
            <w:r w:rsidRPr="00645EDE">
              <w:noBreakHyphen/>
              <w:t>profit organisation</w:t>
            </w:r>
            <w:r w:rsidRPr="00E1300D">
              <w:rPr>
                <w:color w:val="000000" w:themeColor="text1"/>
              </w:rPr>
              <w:t>; and</w:t>
            </w:r>
          </w:p>
          <w:p w14:paraId="38B8AB3B" w14:textId="77777777" w:rsidR="00CF0E3D" w:rsidRDefault="00CF0E3D" w:rsidP="007941AE">
            <w:pPr>
              <w:pStyle w:val="Tablea"/>
            </w:pPr>
            <w:r w:rsidRPr="00E1300D">
              <w:rPr>
                <w:color w:val="000000" w:themeColor="text1"/>
              </w:rPr>
              <w:t xml:space="preserve">(c) </w:t>
            </w:r>
            <w:r w:rsidRPr="00E1300D">
              <w:rPr>
                <w:color w:val="000000" w:themeColor="text1"/>
              </w:rPr>
              <w:tab/>
            </w:r>
            <w:r>
              <w:t xml:space="preserve">if </w:t>
            </w:r>
            <w:r w:rsidRPr="00645EDE">
              <w:t>the person is an individual</w:t>
            </w:r>
            <w:r w:rsidRPr="00E1300D">
              <w:rPr>
                <w:color w:val="000000" w:themeColor="text1"/>
              </w:rPr>
              <w:t>―</w:t>
            </w:r>
            <w:r w:rsidRPr="00645EDE">
              <w:t xml:space="preserve">does not include the person’s date </w:t>
            </w:r>
            <w:r>
              <w:t>of birth.</w:t>
            </w:r>
          </w:p>
          <w:p w14:paraId="1F8DBBD2" w14:textId="77777777" w:rsidR="00CF0E3D" w:rsidRDefault="00CF0E3D" w:rsidP="007941AE">
            <w:pPr>
              <w:pStyle w:val="Tablea"/>
            </w:pPr>
          </w:p>
        </w:tc>
      </w:tr>
      <w:tr w:rsidR="00CF0E3D" w14:paraId="68CDA857" w14:textId="77777777" w:rsidTr="007941AE">
        <w:tc>
          <w:tcPr>
            <w:tcW w:w="256" w:type="pct"/>
            <w:tcBorders>
              <w:top w:val="single" w:sz="2" w:space="0" w:color="auto"/>
              <w:bottom w:val="single" w:sz="4" w:space="0" w:color="auto"/>
              <w:right w:val="nil"/>
            </w:tcBorders>
          </w:tcPr>
          <w:p w14:paraId="7813D5AE" w14:textId="77777777" w:rsidR="00CF0E3D" w:rsidRDefault="00CF0E3D" w:rsidP="007941AE">
            <w:pPr>
              <w:pStyle w:val="Tabletext"/>
            </w:pPr>
            <w:r>
              <w:lastRenderedPageBreak/>
              <w:t>2</w:t>
            </w:r>
          </w:p>
        </w:tc>
        <w:tc>
          <w:tcPr>
            <w:tcW w:w="1187" w:type="pct"/>
            <w:tcBorders>
              <w:top w:val="single" w:sz="2" w:space="0" w:color="auto"/>
              <w:left w:val="nil"/>
              <w:bottom w:val="single" w:sz="4" w:space="0" w:color="auto"/>
              <w:right w:val="nil"/>
            </w:tcBorders>
          </w:tcPr>
          <w:p w14:paraId="2BF9759D" w14:textId="77777777" w:rsidR="00CF0E3D" w:rsidRPr="002E2401" w:rsidRDefault="00CF0E3D" w:rsidP="007941AE">
            <w:pPr>
              <w:pStyle w:val="Tabletext"/>
            </w:pPr>
            <w:r w:rsidRPr="002E2401">
              <w:rPr>
                <w:b/>
                <w:i/>
              </w:rPr>
              <w:t>account data</w:t>
            </w:r>
            <w:r w:rsidRPr="002E2401">
              <w:t>, in relation to a particular account</w:t>
            </w:r>
          </w:p>
        </w:tc>
        <w:tc>
          <w:tcPr>
            <w:tcW w:w="3557" w:type="pct"/>
            <w:tcBorders>
              <w:top w:val="single" w:sz="2" w:space="0" w:color="auto"/>
              <w:left w:val="nil"/>
              <w:bottom w:val="single" w:sz="4" w:space="0" w:color="auto"/>
              <w:right w:val="nil"/>
            </w:tcBorders>
          </w:tcPr>
          <w:p w14:paraId="1C21D630" w14:textId="77777777" w:rsidR="00CF0E3D" w:rsidRDefault="00CF0E3D" w:rsidP="007941AE">
            <w:pPr>
              <w:pStyle w:val="Tablea"/>
            </w:pPr>
            <w:r w:rsidRPr="00E1300D">
              <w:rPr>
                <w:color w:val="000000" w:themeColor="text1"/>
              </w:rPr>
              <w:t>(a)</w:t>
            </w:r>
            <w:r w:rsidRPr="00E1300D">
              <w:rPr>
                <w:color w:val="000000" w:themeColor="text1"/>
              </w:rPr>
              <w:tab/>
            </w:r>
            <w:r w:rsidRPr="002E2401">
              <w:t>means</w:t>
            </w:r>
            <w:r>
              <w:t xml:space="preserve"> </w:t>
            </w:r>
            <w:r w:rsidRPr="00E1300D">
              <w:rPr>
                <w:color w:val="000000" w:themeColor="text1"/>
              </w:rPr>
              <w:t>information that identifies or is about the operation of the account; and</w:t>
            </w:r>
          </w:p>
          <w:p w14:paraId="5922B438" w14:textId="77777777" w:rsidR="00CF0E3D" w:rsidRPr="00E1300D" w:rsidRDefault="00CF0E3D" w:rsidP="007941AE">
            <w:pPr>
              <w:pStyle w:val="Tablea"/>
              <w:rPr>
                <w:color w:val="000000" w:themeColor="text1"/>
              </w:rPr>
            </w:pPr>
            <w:r w:rsidRPr="00E1300D">
              <w:rPr>
                <w:color w:val="000000" w:themeColor="text1"/>
              </w:rPr>
              <w:t>(b)</w:t>
            </w:r>
            <w:r w:rsidRPr="00E1300D">
              <w:rPr>
                <w:color w:val="000000" w:themeColor="text1"/>
              </w:rPr>
              <w:tab/>
              <w:t>includes:</w:t>
            </w:r>
          </w:p>
          <w:p w14:paraId="2368BECF" w14:textId="77777777" w:rsidR="00CF0E3D" w:rsidRDefault="00CF0E3D" w:rsidP="007941AE">
            <w:pPr>
              <w:pStyle w:val="Tablei"/>
            </w:pPr>
            <w:r w:rsidRPr="002E2401">
              <w:tab/>
              <w:t>(</w:t>
            </w:r>
            <w:r>
              <w:t>i</w:t>
            </w:r>
            <w:r w:rsidRPr="002E2401">
              <w:t>)</w:t>
            </w:r>
            <w:r w:rsidRPr="002E2401">
              <w:tab/>
            </w:r>
            <w:r>
              <w:t xml:space="preserve">the </w:t>
            </w:r>
            <w:r w:rsidRPr="002E2401">
              <w:t>account number</w:t>
            </w:r>
            <w:r w:rsidRPr="009E5F63">
              <w:t>, other than to the extent that an account number is masked (whether as required by law or in accordance with any applicable standard or industry practice)</w:t>
            </w:r>
            <w:r>
              <w:t>; and</w:t>
            </w:r>
          </w:p>
          <w:p w14:paraId="046CC559" w14:textId="77777777" w:rsidR="00CF0E3D" w:rsidRPr="002E2401" w:rsidRDefault="00CF0E3D" w:rsidP="007941AE">
            <w:pPr>
              <w:pStyle w:val="Tablei"/>
            </w:pPr>
            <w:r>
              <w:tab/>
              <w:t>(ii)</w:t>
            </w:r>
            <w:r>
              <w:tab/>
              <w:t xml:space="preserve">the </w:t>
            </w:r>
            <w:r w:rsidRPr="002E2401">
              <w:t>account name; and</w:t>
            </w:r>
          </w:p>
          <w:p w14:paraId="5BDB9902" w14:textId="77777777" w:rsidR="00CF0E3D" w:rsidRPr="002E2401" w:rsidRDefault="00CF0E3D" w:rsidP="007941AE">
            <w:pPr>
              <w:pStyle w:val="Tablei"/>
            </w:pPr>
            <w:r w:rsidRPr="002E2401">
              <w:tab/>
              <w:t>(</w:t>
            </w:r>
            <w:r>
              <w:t>iii</w:t>
            </w:r>
            <w:r w:rsidRPr="002E2401">
              <w:t>)</w:t>
            </w:r>
            <w:r w:rsidRPr="002E2401">
              <w:tab/>
            </w:r>
            <w:r>
              <w:t>account balances</w:t>
            </w:r>
            <w:r w:rsidRPr="002E2401">
              <w:t>; and</w:t>
            </w:r>
          </w:p>
          <w:p w14:paraId="1289CBFA" w14:textId="77777777" w:rsidR="00CF0E3D" w:rsidRPr="002E2401" w:rsidRDefault="00CF0E3D" w:rsidP="007941AE">
            <w:pPr>
              <w:pStyle w:val="Tablei"/>
            </w:pPr>
            <w:r w:rsidRPr="002E2401">
              <w:tab/>
              <w:t>(</w:t>
            </w:r>
            <w:r>
              <w:t>iv</w:t>
            </w:r>
            <w:r w:rsidRPr="002E2401">
              <w:t>)</w:t>
            </w:r>
            <w:r w:rsidRPr="002E2401">
              <w:tab/>
              <w:t>any authorisations on the account, including:</w:t>
            </w:r>
          </w:p>
          <w:p w14:paraId="4B62FF06" w14:textId="77777777" w:rsidR="00CF0E3D" w:rsidRPr="002E2401" w:rsidRDefault="00CF0E3D" w:rsidP="007941AE">
            <w:pPr>
              <w:pStyle w:val="TableAA"/>
            </w:pPr>
            <w:r w:rsidRPr="002E2401">
              <w:tab/>
              <w:t>(</w:t>
            </w:r>
            <w:r>
              <w:t>A</w:t>
            </w:r>
            <w:r w:rsidRPr="002E2401">
              <w:t>)</w:t>
            </w:r>
            <w:r w:rsidRPr="002E2401">
              <w:tab/>
              <w:t>direct debit deductions, including, to the extent available:</w:t>
            </w:r>
          </w:p>
          <w:p w14:paraId="2FDE74C7" w14:textId="77777777" w:rsidR="00CF0E3D" w:rsidRPr="002E2401" w:rsidRDefault="00CF0E3D" w:rsidP="007941AE">
            <w:pPr>
              <w:pStyle w:val="TableAAA"/>
            </w:pPr>
            <w:r w:rsidRPr="002E2401">
              <w:t>(</w:t>
            </w:r>
            <w:r>
              <w:t>I</w:t>
            </w:r>
            <w:r w:rsidRPr="002E2401">
              <w:t>)</w:t>
            </w:r>
            <w:r w:rsidRPr="002E2401">
              <w:tab/>
              <w:t>identifying information for the merchant or party that has debited the account; and</w:t>
            </w:r>
          </w:p>
          <w:p w14:paraId="0432C9D8" w14:textId="77777777" w:rsidR="00CF0E3D" w:rsidRPr="002E2401" w:rsidRDefault="00CF0E3D" w:rsidP="007941AE">
            <w:pPr>
              <w:pStyle w:val="TableAAA"/>
            </w:pPr>
            <w:r w:rsidRPr="002E2401">
              <w:t>(</w:t>
            </w:r>
            <w:r>
              <w:t>II</w:t>
            </w:r>
            <w:r w:rsidRPr="002E2401">
              <w:t>)</w:t>
            </w:r>
            <w:r w:rsidRPr="002E2401">
              <w:tab/>
              <w:t xml:space="preserve">the amount the merchant or party has debited on </w:t>
            </w:r>
            <w:r>
              <w:t>the last</w:t>
            </w:r>
            <w:r w:rsidRPr="002E2401">
              <w:t xml:space="preserve"> occasion; and</w:t>
            </w:r>
          </w:p>
          <w:p w14:paraId="2B7604E3" w14:textId="77777777" w:rsidR="00CF0E3D" w:rsidRPr="002E2401" w:rsidRDefault="00CF0E3D" w:rsidP="007941AE">
            <w:pPr>
              <w:pStyle w:val="TableAAA"/>
            </w:pPr>
            <w:r w:rsidRPr="002E2401">
              <w:t>(</w:t>
            </w:r>
            <w:r>
              <w:t>III</w:t>
            </w:r>
            <w:r w:rsidRPr="002E2401">
              <w:t>)the date the merchant or party has debited the account; and</w:t>
            </w:r>
          </w:p>
          <w:p w14:paraId="69A652C0" w14:textId="77777777" w:rsidR="00CF0E3D" w:rsidRPr="002E2401" w:rsidRDefault="00CF0E3D" w:rsidP="007941AE">
            <w:pPr>
              <w:pStyle w:val="TableAA"/>
            </w:pPr>
            <w:r w:rsidRPr="002E2401">
              <w:tab/>
              <w:t>(</w:t>
            </w:r>
            <w:r>
              <w:t>B</w:t>
            </w:r>
            <w:r w:rsidRPr="002E2401">
              <w:t>)</w:t>
            </w:r>
            <w:r w:rsidRPr="002E2401">
              <w:tab/>
              <w:t>scheduled payments (for example, regular payments, payments to billers and international payments); and</w:t>
            </w:r>
          </w:p>
          <w:p w14:paraId="2CC18B3C" w14:textId="77777777" w:rsidR="00CF0E3D" w:rsidRPr="007C39E2" w:rsidRDefault="00CF0E3D" w:rsidP="007941AE">
            <w:pPr>
              <w:pStyle w:val="TableAA"/>
            </w:pPr>
            <w:r w:rsidRPr="002E2401">
              <w:lastRenderedPageBreak/>
              <w:tab/>
              <w:t>(</w:t>
            </w:r>
            <w:r>
              <w:t>C</w:t>
            </w:r>
            <w:r w:rsidRPr="002E2401">
              <w:t>)</w:t>
            </w:r>
            <w:r w:rsidRPr="002E2401">
              <w:tab/>
              <w:t>details of payees stored with the account, such as those entered by the customer in a payee address book</w:t>
            </w:r>
            <w:r>
              <w:t>.</w:t>
            </w:r>
          </w:p>
          <w:p w14:paraId="18073D76" w14:textId="77777777" w:rsidR="00CF0E3D" w:rsidRPr="002E2401" w:rsidRDefault="00CF0E3D" w:rsidP="007941AE">
            <w:pPr>
              <w:pStyle w:val="Tablea"/>
            </w:pPr>
          </w:p>
        </w:tc>
      </w:tr>
      <w:tr w:rsidR="00CF0E3D" w14:paraId="5CA48992" w14:textId="77777777" w:rsidTr="007941AE">
        <w:tc>
          <w:tcPr>
            <w:tcW w:w="256" w:type="pct"/>
            <w:tcBorders>
              <w:top w:val="single" w:sz="4" w:space="0" w:color="auto"/>
              <w:bottom w:val="single" w:sz="4" w:space="0" w:color="auto"/>
              <w:right w:val="nil"/>
            </w:tcBorders>
          </w:tcPr>
          <w:p w14:paraId="34BFEE98" w14:textId="77777777" w:rsidR="00CF0E3D" w:rsidRDefault="00CF0E3D" w:rsidP="007941AE">
            <w:pPr>
              <w:pStyle w:val="Tabletext"/>
            </w:pPr>
            <w:r>
              <w:lastRenderedPageBreak/>
              <w:t>3</w:t>
            </w:r>
          </w:p>
        </w:tc>
        <w:tc>
          <w:tcPr>
            <w:tcW w:w="1187" w:type="pct"/>
            <w:tcBorders>
              <w:top w:val="single" w:sz="4" w:space="0" w:color="auto"/>
              <w:left w:val="nil"/>
              <w:bottom w:val="single" w:sz="4" w:space="0" w:color="auto"/>
              <w:right w:val="nil"/>
            </w:tcBorders>
          </w:tcPr>
          <w:p w14:paraId="423100A8" w14:textId="77777777" w:rsidR="00CF0E3D" w:rsidRPr="000C3240" w:rsidRDefault="00CF0E3D" w:rsidP="007941AE">
            <w:pPr>
              <w:pStyle w:val="Tabletext"/>
              <w:rPr>
                <w:color w:val="000000" w:themeColor="text1"/>
              </w:rPr>
            </w:pPr>
            <w:r>
              <w:rPr>
                <w:b/>
                <w:i/>
              </w:rPr>
              <w:t>transaction data</w:t>
            </w:r>
            <w:r w:rsidRPr="000C3240">
              <w:rPr>
                <w:color w:val="000000" w:themeColor="text1"/>
              </w:rPr>
              <w:t>, in relation to a particular transaction</w:t>
            </w:r>
          </w:p>
        </w:tc>
        <w:tc>
          <w:tcPr>
            <w:tcW w:w="3557" w:type="pct"/>
            <w:tcBorders>
              <w:top w:val="single" w:sz="4" w:space="0" w:color="auto"/>
              <w:left w:val="nil"/>
              <w:bottom w:val="single" w:sz="4" w:space="0" w:color="auto"/>
              <w:right w:val="nil"/>
            </w:tcBorders>
          </w:tcPr>
          <w:p w14:paraId="6CF2F2C9" w14:textId="77777777" w:rsidR="00CF0E3D" w:rsidRDefault="00CF0E3D" w:rsidP="007941AE">
            <w:pPr>
              <w:pStyle w:val="Tablea"/>
            </w:pPr>
            <w:r w:rsidRPr="00E1300D">
              <w:rPr>
                <w:color w:val="000000" w:themeColor="text1"/>
              </w:rPr>
              <w:t>(a)</w:t>
            </w:r>
            <w:r>
              <w:tab/>
              <w:t xml:space="preserve">means </w:t>
            </w:r>
            <w:r w:rsidRPr="00E1300D">
              <w:rPr>
                <w:color w:val="000000" w:themeColor="text1"/>
              </w:rPr>
              <w:t>information that identifies or describes the characteristics of the transaction; and</w:t>
            </w:r>
          </w:p>
          <w:p w14:paraId="3F590D58" w14:textId="77777777" w:rsidR="00CF0E3D" w:rsidRPr="00E1300D" w:rsidRDefault="00CF0E3D" w:rsidP="007941AE">
            <w:pPr>
              <w:pStyle w:val="Tablea"/>
              <w:rPr>
                <w:color w:val="000000" w:themeColor="text1"/>
              </w:rPr>
            </w:pPr>
            <w:r>
              <w:tab/>
              <w:t>(b)</w:t>
            </w:r>
            <w:r>
              <w:tab/>
            </w:r>
            <w:r w:rsidRPr="00E1300D">
              <w:rPr>
                <w:color w:val="000000" w:themeColor="text1"/>
              </w:rPr>
              <w:t>includes:</w:t>
            </w:r>
          </w:p>
          <w:p w14:paraId="5661BA6A" w14:textId="77777777" w:rsidR="00CF0E3D" w:rsidRDefault="00CF0E3D" w:rsidP="007941AE">
            <w:pPr>
              <w:pStyle w:val="Tablei"/>
            </w:pPr>
            <w:r>
              <w:tab/>
              <w:t>(i)</w:t>
            </w:r>
            <w:r>
              <w:tab/>
              <w:t>the date on which the transaction occurred; and</w:t>
            </w:r>
          </w:p>
          <w:p w14:paraId="7E395F5A" w14:textId="77777777" w:rsidR="00CF0E3D" w:rsidRDefault="00CF0E3D" w:rsidP="007941AE">
            <w:pPr>
              <w:pStyle w:val="Tablei"/>
            </w:pPr>
            <w:r>
              <w:tab/>
              <w:t>(ii)</w:t>
            </w:r>
            <w:r>
              <w:tab/>
              <w:t>any identifier for the counter-party to the transaction; and</w:t>
            </w:r>
          </w:p>
          <w:p w14:paraId="7A0C00A5" w14:textId="77777777" w:rsidR="00CF0E3D" w:rsidRDefault="00CF0E3D" w:rsidP="007941AE">
            <w:pPr>
              <w:pStyle w:val="Tablei"/>
            </w:pPr>
            <w:r>
              <w:tab/>
              <w:t>(iii)</w:t>
            </w:r>
            <w:r>
              <w:tab/>
              <w:t>if the counter-party is a merchant—any information that was provided by the merchant in relation to the transaction; and</w:t>
            </w:r>
          </w:p>
          <w:p w14:paraId="3981AB02" w14:textId="77777777" w:rsidR="00CF0E3D" w:rsidRDefault="00CF0E3D" w:rsidP="007941AE">
            <w:pPr>
              <w:pStyle w:val="Tablei"/>
            </w:pPr>
            <w:r>
              <w:tab/>
              <w:t>(iv)</w:t>
            </w:r>
            <w:r>
              <w:tab/>
              <w:t>the amount debited or credited pursuant to the transaction; and</w:t>
            </w:r>
          </w:p>
          <w:p w14:paraId="3E8A4950" w14:textId="77777777" w:rsidR="00CF0E3D" w:rsidRDefault="00CF0E3D" w:rsidP="007941AE">
            <w:pPr>
              <w:pStyle w:val="Tablei"/>
            </w:pPr>
            <w:r>
              <w:tab/>
              <w:t>(v)</w:t>
            </w:r>
            <w:r>
              <w:tab/>
              <w:t>any description of the transaction; and</w:t>
            </w:r>
          </w:p>
          <w:p w14:paraId="5A2B56E1" w14:textId="77777777" w:rsidR="00CF0E3D" w:rsidRPr="007C39E2" w:rsidRDefault="00CF0E3D" w:rsidP="007941AE">
            <w:pPr>
              <w:pStyle w:val="Tablei"/>
            </w:pPr>
            <w:r>
              <w:tab/>
              <w:t>(vi)</w:t>
            </w:r>
            <w:r>
              <w:tab/>
              <w:t>the “simple categorisation” of the transaction (for example, whether the transaction is a debit, a credit, a fee or interest).</w:t>
            </w:r>
          </w:p>
          <w:p w14:paraId="4BB0E741" w14:textId="77777777" w:rsidR="00CF0E3D" w:rsidRDefault="00CF0E3D" w:rsidP="007941AE">
            <w:pPr>
              <w:pStyle w:val="Tablea"/>
            </w:pPr>
          </w:p>
        </w:tc>
      </w:tr>
      <w:tr w:rsidR="00CF0E3D" w14:paraId="08C5D8BF" w14:textId="77777777" w:rsidTr="007941AE">
        <w:tc>
          <w:tcPr>
            <w:tcW w:w="256" w:type="pct"/>
            <w:tcBorders>
              <w:top w:val="single" w:sz="4" w:space="0" w:color="auto"/>
              <w:bottom w:val="single" w:sz="12" w:space="0" w:color="auto"/>
              <w:right w:val="nil"/>
            </w:tcBorders>
          </w:tcPr>
          <w:p w14:paraId="2F3E8187" w14:textId="77777777" w:rsidR="00CF0E3D" w:rsidRDefault="00CF0E3D" w:rsidP="007941AE">
            <w:pPr>
              <w:pStyle w:val="Tabletext"/>
            </w:pPr>
            <w:r>
              <w:t>4</w:t>
            </w:r>
          </w:p>
        </w:tc>
        <w:tc>
          <w:tcPr>
            <w:tcW w:w="1187" w:type="pct"/>
            <w:tcBorders>
              <w:top w:val="single" w:sz="4" w:space="0" w:color="auto"/>
              <w:left w:val="nil"/>
              <w:bottom w:val="single" w:sz="12" w:space="0" w:color="auto"/>
              <w:right w:val="nil"/>
            </w:tcBorders>
          </w:tcPr>
          <w:p w14:paraId="0BFBE992" w14:textId="77777777" w:rsidR="00CF0E3D" w:rsidRPr="000C3240" w:rsidRDefault="00CF0E3D" w:rsidP="007941AE">
            <w:pPr>
              <w:pStyle w:val="Tabletext"/>
              <w:rPr>
                <w:color w:val="000000" w:themeColor="text1"/>
              </w:rPr>
            </w:pPr>
            <w:r>
              <w:rPr>
                <w:b/>
                <w:i/>
              </w:rPr>
              <w:t>product specific data</w:t>
            </w:r>
            <w:r w:rsidRPr="000C3240">
              <w:rPr>
                <w:color w:val="000000" w:themeColor="text1"/>
              </w:rPr>
              <w:t xml:space="preserve">, in relation to a particular </w:t>
            </w:r>
            <w:r>
              <w:rPr>
                <w:color w:val="000000" w:themeColor="text1"/>
              </w:rPr>
              <w:t>product</w:t>
            </w:r>
          </w:p>
        </w:tc>
        <w:tc>
          <w:tcPr>
            <w:tcW w:w="3557" w:type="pct"/>
            <w:tcBorders>
              <w:top w:val="single" w:sz="4" w:space="0" w:color="auto"/>
              <w:left w:val="nil"/>
              <w:bottom w:val="single" w:sz="12" w:space="0" w:color="auto"/>
              <w:right w:val="nil"/>
            </w:tcBorders>
          </w:tcPr>
          <w:p w14:paraId="5A3C2B21" w14:textId="77777777" w:rsidR="00CF0E3D" w:rsidRPr="00E1300D" w:rsidRDefault="00CF0E3D" w:rsidP="007941AE">
            <w:pPr>
              <w:pStyle w:val="Tablea"/>
              <w:rPr>
                <w:color w:val="000000" w:themeColor="text1"/>
              </w:rPr>
            </w:pPr>
            <w:r w:rsidRPr="00E1300D">
              <w:rPr>
                <w:color w:val="000000" w:themeColor="text1"/>
              </w:rPr>
              <w:t>(a)</w:t>
            </w:r>
            <w:r w:rsidRPr="00E1300D">
              <w:rPr>
                <w:color w:val="000000" w:themeColor="text1"/>
              </w:rPr>
              <w:tab/>
            </w:r>
            <w:r>
              <w:t xml:space="preserve">means </w:t>
            </w:r>
            <w:r w:rsidRPr="00E1300D">
              <w:rPr>
                <w:color w:val="000000" w:themeColor="text1"/>
              </w:rPr>
              <w:t>information that identifies or describes the characteristics of the product; and</w:t>
            </w:r>
          </w:p>
          <w:p w14:paraId="514F6774" w14:textId="77777777" w:rsidR="00CF0E3D" w:rsidRDefault="00CF0E3D" w:rsidP="007941AE">
            <w:pPr>
              <w:pStyle w:val="Tablea"/>
            </w:pPr>
            <w:r w:rsidRPr="00E1300D">
              <w:rPr>
                <w:color w:val="000000" w:themeColor="text1"/>
              </w:rPr>
              <w:t>(b)</w:t>
            </w:r>
            <w:r w:rsidRPr="00E1300D">
              <w:rPr>
                <w:color w:val="000000" w:themeColor="text1"/>
              </w:rPr>
              <w:tab/>
              <w:t xml:space="preserve">includes </w:t>
            </w:r>
            <w:r w:rsidRPr="000C3240">
              <w:rPr>
                <w:color w:val="000000" w:themeColor="text1"/>
              </w:rPr>
              <w:t>the following</w:t>
            </w:r>
            <w:r>
              <w:t xml:space="preserve"> data about</w:t>
            </w:r>
            <w:r w:rsidRPr="000C3240">
              <w:rPr>
                <w:color w:val="000000" w:themeColor="text1"/>
              </w:rPr>
              <w:t xml:space="preserve"> the </w:t>
            </w:r>
            <w:r>
              <w:t>product:</w:t>
            </w:r>
          </w:p>
          <w:p w14:paraId="6E40BE81" w14:textId="77777777" w:rsidR="00CF0E3D" w:rsidRDefault="00CF0E3D" w:rsidP="007941AE">
            <w:pPr>
              <w:pStyle w:val="Tablei"/>
            </w:pPr>
            <w:r>
              <w:tab/>
              <w:t>(i)</w:t>
            </w:r>
            <w:r>
              <w:tab/>
            </w:r>
            <w:r w:rsidRPr="000C3240">
              <w:rPr>
                <w:color w:val="000000" w:themeColor="text1"/>
              </w:rPr>
              <w:t xml:space="preserve">its </w:t>
            </w:r>
            <w:r>
              <w:t>type;</w:t>
            </w:r>
          </w:p>
          <w:p w14:paraId="44D9543F" w14:textId="77777777" w:rsidR="00CF0E3D" w:rsidRDefault="00CF0E3D" w:rsidP="007941AE">
            <w:pPr>
              <w:pStyle w:val="Tablei"/>
            </w:pPr>
            <w:r>
              <w:tab/>
              <w:t>(ii)</w:t>
            </w:r>
            <w:r>
              <w:tab/>
            </w:r>
            <w:r w:rsidRPr="00B60065">
              <w:t xml:space="preserve">its </w:t>
            </w:r>
            <w:r>
              <w:t>name;</w:t>
            </w:r>
          </w:p>
          <w:p w14:paraId="6081D89D" w14:textId="77777777" w:rsidR="00CF0E3D" w:rsidRDefault="00CF0E3D" w:rsidP="007941AE">
            <w:pPr>
              <w:pStyle w:val="Tablei"/>
            </w:pPr>
            <w:r>
              <w:tab/>
              <w:t>(iii)</w:t>
            </w:r>
            <w:r>
              <w:tab/>
            </w:r>
            <w:r w:rsidRPr="00B60065">
              <w:t xml:space="preserve">its </w:t>
            </w:r>
            <w:r>
              <w:t>price, including fees, charges and interest rates (however described);</w:t>
            </w:r>
          </w:p>
          <w:p w14:paraId="705FF62B" w14:textId="77777777" w:rsidR="00CF0E3D" w:rsidRDefault="00CF0E3D" w:rsidP="007941AE">
            <w:pPr>
              <w:pStyle w:val="Tablei"/>
            </w:pPr>
            <w:r>
              <w:tab/>
              <w:t>(iv)</w:t>
            </w:r>
            <w:r>
              <w:tab/>
            </w:r>
            <w:r w:rsidRPr="00B60065">
              <w:t xml:space="preserve">associated </w:t>
            </w:r>
            <w:r>
              <w:t>features and benefits, including discounts and bundles;</w:t>
            </w:r>
          </w:p>
          <w:p w14:paraId="2C73C87B" w14:textId="77777777" w:rsidR="00CF0E3D" w:rsidRDefault="00CF0E3D" w:rsidP="007941AE">
            <w:pPr>
              <w:pStyle w:val="Tablei"/>
            </w:pPr>
            <w:r>
              <w:tab/>
              <w:t>(v)</w:t>
            </w:r>
            <w:r>
              <w:tab/>
            </w:r>
            <w:r w:rsidRPr="00B60065">
              <w:t xml:space="preserve">associated </w:t>
            </w:r>
            <w:r>
              <w:t>terms and conditions;</w:t>
            </w:r>
          </w:p>
          <w:p w14:paraId="70DEF012" w14:textId="77777777" w:rsidR="00CF0E3D" w:rsidRDefault="00CF0E3D" w:rsidP="007941AE">
            <w:pPr>
              <w:pStyle w:val="Tablei"/>
            </w:pPr>
            <w:r>
              <w:tab/>
              <w:t>(vi)</w:t>
            </w:r>
            <w:r>
              <w:tab/>
              <w:t>customer eligibility requirements.</w:t>
            </w:r>
          </w:p>
          <w:p w14:paraId="33ACD721" w14:textId="77777777" w:rsidR="00CF0E3D" w:rsidRPr="00693A57" w:rsidRDefault="00CF0E3D" w:rsidP="007941AE">
            <w:pPr>
              <w:pStyle w:val="nDrafterComment"/>
              <w:rPr>
                <w:color w:val="0000FF"/>
              </w:rPr>
            </w:pPr>
          </w:p>
        </w:tc>
      </w:tr>
    </w:tbl>
    <w:p w14:paraId="2918BD01" w14:textId="72B73697" w:rsidR="00CF0E3D" w:rsidRPr="0000297B" w:rsidRDefault="00CF0E3D" w:rsidP="00CF0E3D">
      <w:pPr>
        <w:pStyle w:val="ActHead5"/>
        <w:rPr>
          <w:i/>
        </w:rPr>
      </w:pPr>
      <w:bookmarkStart w:id="602" w:name="_Toc77065081"/>
      <w:r>
        <w:t>1.4</w:t>
      </w:r>
      <w:r w:rsidRPr="0000297B">
        <w:t xml:space="preserve">  Meaning of </w:t>
      </w:r>
      <w:r w:rsidRPr="0000297B">
        <w:rPr>
          <w:i/>
        </w:rPr>
        <w:t>phase 1 product</w:t>
      </w:r>
      <w:r w:rsidRPr="0000297B">
        <w:t xml:space="preserve">, </w:t>
      </w:r>
      <w:r w:rsidRPr="0000297B">
        <w:rPr>
          <w:i/>
        </w:rPr>
        <w:t xml:space="preserve">phase 2 product </w:t>
      </w:r>
      <w:r w:rsidRPr="0000297B">
        <w:t xml:space="preserve">and </w:t>
      </w:r>
      <w:r w:rsidRPr="0000297B">
        <w:rPr>
          <w:i/>
        </w:rPr>
        <w:t>phase 3 product</w:t>
      </w:r>
      <w:bookmarkEnd w:id="602"/>
    </w:p>
    <w:p w14:paraId="351789E2" w14:textId="77777777" w:rsidR="00CF0E3D" w:rsidRPr="0000297B" w:rsidRDefault="00CF0E3D" w:rsidP="00CF0E3D">
      <w:pPr>
        <w:pStyle w:val="subsection"/>
      </w:pPr>
      <w:r w:rsidRPr="0000297B">
        <w:tab/>
      </w:r>
      <w:r w:rsidRPr="0000297B">
        <w:tab/>
        <w:t>For this Schedule, the table has effect:</w:t>
      </w:r>
    </w:p>
    <w:p w14:paraId="6311779E" w14:textId="77777777" w:rsidR="00CF0E3D" w:rsidRPr="00E91310" w:rsidRDefault="00CF0E3D" w:rsidP="00CF0E3D">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
        <w:gridCol w:w="1638"/>
        <w:gridCol w:w="6187"/>
      </w:tblGrid>
      <w:tr w:rsidR="00CF0E3D" w:rsidRPr="0000297B" w14:paraId="5F1534DC" w14:textId="77777777" w:rsidTr="007941AE">
        <w:trPr>
          <w:tblHeader/>
        </w:trPr>
        <w:tc>
          <w:tcPr>
            <w:tcW w:w="5000" w:type="pct"/>
            <w:gridSpan w:val="3"/>
            <w:tcBorders>
              <w:top w:val="single" w:sz="12" w:space="0" w:color="auto"/>
              <w:bottom w:val="single" w:sz="2" w:space="0" w:color="auto"/>
            </w:tcBorders>
          </w:tcPr>
          <w:p w14:paraId="3026E468" w14:textId="77777777" w:rsidR="00CF0E3D" w:rsidRPr="0000297B" w:rsidRDefault="00CF0E3D" w:rsidP="007941AE">
            <w:pPr>
              <w:pStyle w:val="TableHeading"/>
              <w:jc w:val="center"/>
            </w:pPr>
            <w:r w:rsidRPr="0000297B">
              <w:t xml:space="preserve">Meaning of </w:t>
            </w:r>
            <w:r w:rsidRPr="0000297B">
              <w:rPr>
                <w:i/>
              </w:rPr>
              <w:t>phase 1 product</w:t>
            </w:r>
            <w:r w:rsidRPr="0000297B">
              <w:t xml:space="preserve">, </w:t>
            </w:r>
            <w:r w:rsidRPr="0000297B">
              <w:rPr>
                <w:i/>
              </w:rPr>
              <w:t xml:space="preserve">phase 2 product </w:t>
            </w:r>
            <w:r w:rsidRPr="0000297B">
              <w:t xml:space="preserve">and </w:t>
            </w:r>
            <w:r w:rsidRPr="0000297B">
              <w:rPr>
                <w:i/>
              </w:rPr>
              <w:t>phase 3 product</w:t>
            </w:r>
          </w:p>
        </w:tc>
      </w:tr>
      <w:tr w:rsidR="00CF0E3D" w:rsidRPr="0000297B" w14:paraId="607FC0D0" w14:textId="77777777" w:rsidTr="007941AE">
        <w:trPr>
          <w:tblHeader/>
        </w:trPr>
        <w:tc>
          <w:tcPr>
            <w:tcW w:w="294" w:type="pct"/>
            <w:tcBorders>
              <w:top w:val="single" w:sz="2" w:space="0" w:color="auto"/>
              <w:bottom w:val="single" w:sz="12" w:space="0" w:color="auto"/>
              <w:right w:val="nil"/>
            </w:tcBorders>
          </w:tcPr>
          <w:p w14:paraId="4B99B5E9" w14:textId="77777777" w:rsidR="00CF0E3D" w:rsidRPr="0000297B" w:rsidRDefault="00CF0E3D" w:rsidP="007941AE">
            <w:pPr>
              <w:pStyle w:val="TableHeading"/>
            </w:pPr>
          </w:p>
        </w:tc>
        <w:tc>
          <w:tcPr>
            <w:tcW w:w="985" w:type="pct"/>
            <w:tcBorders>
              <w:top w:val="single" w:sz="2" w:space="0" w:color="auto"/>
              <w:left w:val="nil"/>
              <w:bottom w:val="single" w:sz="12" w:space="0" w:color="auto"/>
              <w:right w:val="nil"/>
            </w:tcBorders>
          </w:tcPr>
          <w:p w14:paraId="62E48B40" w14:textId="77777777" w:rsidR="00CF0E3D" w:rsidRPr="0000297B" w:rsidRDefault="00CF0E3D" w:rsidP="007941AE">
            <w:pPr>
              <w:pStyle w:val="TableHeading"/>
            </w:pPr>
            <w:r w:rsidRPr="0000297B">
              <w:t>The following term:</w:t>
            </w:r>
          </w:p>
        </w:tc>
        <w:tc>
          <w:tcPr>
            <w:tcW w:w="3721" w:type="pct"/>
            <w:tcBorders>
              <w:top w:val="single" w:sz="2" w:space="0" w:color="auto"/>
              <w:left w:val="nil"/>
              <w:bottom w:val="single" w:sz="12" w:space="0" w:color="auto"/>
              <w:right w:val="nil"/>
            </w:tcBorders>
          </w:tcPr>
          <w:p w14:paraId="74BF0DC2" w14:textId="77777777" w:rsidR="00CF0E3D" w:rsidRPr="0000297B" w:rsidRDefault="00CF0E3D" w:rsidP="007941AE">
            <w:pPr>
              <w:pStyle w:val="TableHeading"/>
            </w:pPr>
            <w:r w:rsidRPr="0000297B">
              <w:t>means a product that is publicly offered and is generally known as being of any of the following types:</w:t>
            </w:r>
          </w:p>
        </w:tc>
      </w:tr>
      <w:tr w:rsidR="00CF0E3D" w:rsidRPr="0000297B" w14:paraId="495E645D" w14:textId="77777777" w:rsidTr="007941AE">
        <w:tc>
          <w:tcPr>
            <w:tcW w:w="294" w:type="pct"/>
            <w:tcBorders>
              <w:top w:val="single" w:sz="12" w:space="0" w:color="auto"/>
              <w:bottom w:val="single" w:sz="2" w:space="0" w:color="auto"/>
              <w:right w:val="nil"/>
            </w:tcBorders>
          </w:tcPr>
          <w:p w14:paraId="2014D6CA" w14:textId="77777777" w:rsidR="00CF0E3D" w:rsidRPr="0000297B" w:rsidRDefault="00CF0E3D" w:rsidP="007941AE">
            <w:pPr>
              <w:pStyle w:val="Tabletext"/>
            </w:pPr>
            <w:r w:rsidRPr="0000297B">
              <w:t>1</w:t>
            </w:r>
          </w:p>
        </w:tc>
        <w:tc>
          <w:tcPr>
            <w:tcW w:w="985" w:type="pct"/>
            <w:tcBorders>
              <w:top w:val="single" w:sz="12" w:space="0" w:color="auto"/>
              <w:left w:val="nil"/>
              <w:bottom w:val="single" w:sz="2" w:space="0" w:color="auto"/>
              <w:right w:val="nil"/>
            </w:tcBorders>
          </w:tcPr>
          <w:p w14:paraId="5A80B416" w14:textId="77777777" w:rsidR="00CF0E3D" w:rsidRPr="0000297B" w:rsidRDefault="00CF0E3D" w:rsidP="007941AE">
            <w:pPr>
              <w:pStyle w:val="Tabletext"/>
              <w:rPr>
                <w:b/>
                <w:i/>
              </w:rPr>
            </w:pPr>
            <w:r w:rsidRPr="0000297B">
              <w:rPr>
                <w:b/>
                <w:i/>
              </w:rPr>
              <w:t>phase 1 product</w:t>
            </w:r>
          </w:p>
        </w:tc>
        <w:tc>
          <w:tcPr>
            <w:tcW w:w="3721" w:type="pct"/>
            <w:tcBorders>
              <w:top w:val="single" w:sz="12" w:space="0" w:color="auto"/>
              <w:left w:val="nil"/>
              <w:bottom w:val="single" w:sz="2" w:space="0" w:color="auto"/>
              <w:right w:val="nil"/>
            </w:tcBorders>
          </w:tcPr>
          <w:p w14:paraId="16898C62" w14:textId="77777777" w:rsidR="00CF0E3D" w:rsidRPr="0000297B" w:rsidRDefault="00CF0E3D" w:rsidP="007941AE">
            <w:pPr>
              <w:pStyle w:val="Tablea"/>
            </w:pPr>
            <w:r w:rsidRPr="0000297B">
              <w:tab/>
              <w:t>(a)</w:t>
            </w:r>
            <w:r w:rsidRPr="0000297B">
              <w:tab/>
              <w:t>a savings account;</w:t>
            </w:r>
          </w:p>
          <w:p w14:paraId="35DB3DA8" w14:textId="77777777" w:rsidR="00CF0E3D" w:rsidRPr="0000297B" w:rsidRDefault="00CF0E3D" w:rsidP="007941AE">
            <w:pPr>
              <w:pStyle w:val="Tablea"/>
            </w:pPr>
            <w:r w:rsidRPr="0000297B">
              <w:tab/>
              <w:t>(b)</w:t>
            </w:r>
            <w:r w:rsidRPr="0000297B">
              <w:tab/>
              <w:t>a call account;</w:t>
            </w:r>
          </w:p>
          <w:p w14:paraId="36D91665" w14:textId="77777777" w:rsidR="00CF0E3D" w:rsidRPr="0000297B" w:rsidRDefault="00CF0E3D" w:rsidP="007941AE">
            <w:pPr>
              <w:pStyle w:val="Tablea"/>
            </w:pPr>
            <w:r w:rsidRPr="0000297B">
              <w:tab/>
              <w:t>(c)</w:t>
            </w:r>
            <w:r w:rsidRPr="0000297B">
              <w:tab/>
              <w:t>a term deposit;</w:t>
            </w:r>
          </w:p>
          <w:p w14:paraId="413CFBA8" w14:textId="77777777" w:rsidR="00CF0E3D" w:rsidRPr="0000297B" w:rsidRDefault="00CF0E3D" w:rsidP="007941AE">
            <w:pPr>
              <w:pStyle w:val="Tablea"/>
            </w:pPr>
            <w:r w:rsidRPr="0000297B">
              <w:tab/>
              <w:t>(d)</w:t>
            </w:r>
            <w:r w:rsidRPr="0000297B">
              <w:tab/>
              <w:t>a current account;</w:t>
            </w:r>
          </w:p>
          <w:p w14:paraId="5B8F2323" w14:textId="77777777" w:rsidR="00CF0E3D" w:rsidRPr="0000297B" w:rsidRDefault="00CF0E3D" w:rsidP="007941AE">
            <w:pPr>
              <w:pStyle w:val="Tablea"/>
            </w:pPr>
            <w:r w:rsidRPr="0000297B">
              <w:tab/>
              <w:t>(e)</w:t>
            </w:r>
            <w:r w:rsidRPr="0000297B">
              <w:tab/>
              <w:t>a cheque account;</w:t>
            </w:r>
          </w:p>
          <w:p w14:paraId="1D43DE04" w14:textId="77777777" w:rsidR="00CF0E3D" w:rsidRPr="0000297B" w:rsidRDefault="00CF0E3D" w:rsidP="007941AE">
            <w:pPr>
              <w:pStyle w:val="Tablea"/>
            </w:pPr>
            <w:r w:rsidRPr="0000297B">
              <w:lastRenderedPageBreak/>
              <w:tab/>
              <w:t>(f)</w:t>
            </w:r>
            <w:r w:rsidRPr="0000297B">
              <w:tab/>
              <w:t>a debit card account;</w:t>
            </w:r>
          </w:p>
          <w:p w14:paraId="4FA9134C" w14:textId="77777777" w:rsidR="00CF0E3D" w:rsidRPr="0000297B" w:rsidRDefault="00CF0E3D" w:rsidP="007941AE">
            <w:pPr>
              <w:pStyle w:val="Tablea"/>
            </w:pPr>
            <w:r w:rsidRPr="0000297B">
              <w:tab/>
              <w:t>(g)</w:t>
            </w:r>
            <w:r w:rsidRPr="0000297B">
              <w:tab/>
              <w:t>a transaction account;</w:t>
            </w:r>
          </w:p>
          <w:p w14:paraId="24562E44" w14:textId="77777777" w:rsidR="00CF0E3D" w:rsidRPr="0000297B" w:rsidRDefault="00CF0E3D" w:rsidP="007941AE">
            <w:pPr>
              <w:pStyle w:val="Tablea"/>
            </w:pPr>
            <w:r w:rsidRPr="0000297B">
              <w:tab/>
              <w:t>(h)</w:t>
            </w:r>
            <w:r w:rsidRPr="0000297B">
              <w:tab/>
              <w:t>a personal basic account;</w:t>
            </w:r>
          </w:p>
          <w:p w14:paraId="1939B083" w14:textId="77777777" w:rsidR="00CF0E3D" w:rsidRPr="0000297B" w:rsidRDefault="00CF0E3D" w:rsidP="007941AE">
            <w:pPr>
              <w:pStyle w:val="Tablea"/>
            </w:pPr>
            <w:r w:rsidRPr="0000297B">
              <w:tab/>
              <w:t>(i)</w:t>
            </w:r>
            <w:r w:rsidRPr="0000297B">
              <w:tab/>
              <w:t>a GST or tax account;</w:t>
            </w:r>
          </w:p>
          <w:p w14:paraId="553541D8" w14:textId="77777777" w:rsidR="00CF0E3D" w:rsidRPr="0000297B" w:rsidRDefault="00CF0E3D" w:rsidP="007941AE">
            <w:pPr>
              <w:pStyle w:val="Tablea"/>
            </w:pPr>
            <w:r w:rsidRPr="0000297B">
              <w:t>(j)</w:t>
            </w:r>
            <w:r w:rsidRPr="0000297B">
              <w:tab/>
              <w:t>a personal credit or charge card account;</w:t>
            </w:r>
          </w:p>
          <w:p w14:paraId="772BD468" w14:textId="77777777" w:rsidR="00CF0E3D" w:rsidRPr="0000297B" w:rsidRDefault="00CF0E3D" w:rsidP="007941AE">
            <w:pPr>
              <w:pStyle w:val="Tablea"/>
            </w:pPr>
            <w:r w:rsidRPr="0000297B">
              <w:tab/>
              <w:t>(k)</w:t>
            </w:r>
            <w:r w:rsidRPr="0000297B">
              <w:tab/>
              <w:t>a business credit or charge card  account.</w:t>
            </w:r>
          </w:p>
          <w:p w14:paraId="67808AEC" w14:textId="77777777" w:rsidR="00CF0E3D" w:rsidRPr="0000297B" w:rsidRDefault="00CF0E3D" w:rsidP="007941AE">
            <w:pPr>
              <w:pStyle w:val="Tablea"/>
            </w:pPr>
            <w:r w:rsidRPr="0000297B">
              <w:tab/>
            </w:r>
          </w:p>
        </w:tc>
      </w:tr>
      <w:tr w:rsidR="00CF0E3D" w:rsidRPr="0000297B" w14:paraId="7E9E769C" w14:textId="77777777" w:rsidTr="007941AE">
        <w:tc>
          <w:tcPr>
            <w:tcW w:w="294" w:type="pct"/>
            <w:tcBorders>
              <w:top w:val="single" w:sz="2" w:space="0" w:color="auto"/>
              <w:bottom w:val="single" w:sz="4" w:space="0" w:color="auto"/>
              <w:right w:val="nil"/>
            </w:tcBorders>
          </w:tcPr>
          <w:p w14:paraId="453D1B74" w14:textId="77777777" w:rsidR="00CF0E3D" w:rsidRPr="0000297B" w:rsidRDefault="00CF0E3D" w:rsidP="007941AE">
            <w:pPr>
              <w:pStyle w:val="Tabletext"/>
            </w:pPr>
            <w:r w:rsidRPr="0000297B">
              <w:lastRenderedPageBreak/>
              <w:t>2</w:t>
            </w:r>
          </w:p>
        </w:tc>
        <w:tc>
          <w:tcPr>
            <w:tcW w:w="985" w:type="pct"/>
            <w:tcBorders>
              <w:top w:val="single" w:sz="2" w:space="0" w:color="auto"/>
              <w:left w:val="nil"/>
              <w:bottom w:val="single" w:sz="4" w:space="0" w:color="auto"/>
              <w:right w:val="nil"/>
            </w:tcBorders>
          </w:tcPr>
          <w:p w14:paraId="5452F88C" w14:textId="77777777" w:rsidR="00CF0E3D" w:rsidRPr="0000297B" w:rsidRDefault="00CF0E3D" w:rsidP="007941AE">
            <w:pPr>
              <w:pStyle w:val="Tabletext"/>
              <w:rPr>
                <w:b/>
                <w:i/>
              </w:rPr>
            </w:pPr>
            <w:r w:rsidRPr="0000297B">
              <w:rPr>
                <w:b/>
                <w:i/>
              </w:rPr>
              <w:t xml:space="preserve">phase 2 product </w:t>
            </w:r>
          </w:p>
          <w:p w14:paraId="0E15F0AC" w14:textId="77777777" w:rsidR="00CF0E3D" w:rsidRPr="0000297B" w:rsidRDefault="00CF0E3D" w:rsidP="007941AE">
            <w:pPr>
              <w:pStyle w:val="Tabletext"/>
            </w:pPr>
          </w:p>
        </w:tc>
        <w:tc>
          <w:tcPr>
            <w:tcW w:w="3721" w:type="pct"/>
            <w:tcBorders>
              <w:top w:val="single" w:sz="2" w:space="0" w:color="auto"/>
              <w:left w:val="nil"/>
              <w:bottom w:val="single" w:sz="4" w:space="0" w:color="auto"/>
              <w:right w:val="nil"/>
            </w:tcBorders>
          </w:tcPr>
          <w:p w14:paraId="7ABEB9D7" w14:textId="77777777" w:rsidR="00CF0E3D" w:rsidRPr="0000297B" w:rsidRDefault="00CF0E3D" w:rsidP="007941AE">
            <w:pPr>
              <w:pStyle w:val="Tablea"/>
            </w:pPr>
            <w:r w:rsidRPr="0000297B">
              <w:tab/>
              <w:t>(a)</w:t>
            </w:r>
            <w:r w:rsidRPr="0000297B">
              <w:tab/>
              <w:t>a residential home loan;</w:t>
            </w:r>
          </w:p>
          <w:p w14:paraId="01EC78A0" w14:textId="77777777" w:rsidR="00CF0E3D" w:rsidRPr="0000297B" w:rsidRDefault="00CF0E3D" w:rsidP="007941AE">
            <w:pPr>
              <w:pStyle w:val="Tablea"/>
            </w:pPr>
            <w:r w:rsidRPr="0000297B">
              <w:t>(b)</w:t>
            </w:r>
            <w:r w:rsidRPr="0000297B">
              <w:tab/>
              <w:t>a home loan for an investment property;</w:t>
            </w:r>
          </w:p>
          <w:p w14:paraId="67DC4DFE" w14:textId="77777777" w:rsidR="00CF0E3D" w:rsidRPr="0000297B" w:rsidRDefault="00CF0E3D" w:rsidP="007941AE">
            <w:pPr>
              <w:pStyle w:val="Tablea"/>
            </w:pPr>
            <w:r w:rsidRPr="0000297B">
              <w:t>(c)</w:t>
            </w:r>
            <w:r w:rsidRPr="0000297B">
              <w:tab/>
              <w:t>a mortgage offset account;</w:t>
            </w:r>
          </w:p>
          <w:p w14:paraId="09A8E823" w14:textId="77777777" w:rsidR="00CF0E3D" w:rsidRPr="0000297B" w:rsidRDefault="00CF0E3D" w:rsidP="007941AE">
            <w:pPr>
              <w:pStyle w:val="Tablea"/>
              <w:rPr>
                <w:rStyle w:val="CommentReference"/>
                <w:rFonts w:eastAsiaTheme="minorHAnsi" w:cstheme="minorBidi"/>
                <w:lang w:eastAsia="en-US"/>
              </w:rPr>
            </w:pPr>
            <w:r w:rsidRPr="0000297B">
              <w:t>(d)</w:t>
            </w:r>
            <w:r w:rsidRPr="0000297B">
              <w:tab/>
              <w:t>a personal loan.</w:t>
            </w:r>
          </w:p>
          <w:p w14:paraId="2FDE4F8C" w14:textId="77777777" w:rsidR="00CF0E3D" w:rsidRPr="0000297B" w:rsidRDefault="00CF0E3D" w:rsidP="007941AE">
            <w:pPr>
              <w:pStyle w:val="Tablea"/>
            </w:pPr>
          </w:p>
        </w:tc>
      </w:tr>
      <w:tr w:rsidR="00CF0E3D" w:rsidRPr="0000297B" w14:paraId="27E504C5" w14:textId="77777777" w:rsidTr="007941AE">
        <w:tc>
          <w:tcPr>
            <w:tcW w:w="294" w:type="pct"/>
            <w:tcBorders>
              <w:top w:val="single" w:sz="4" w:space="0" w:color="auto"/>
              <w:bottom w:val="single" w:sz="12" w:space="0" w:color="auto"/>
              <w:right w:val="nil"/>
            </w:tcBorders>
          </w:tcPr>
          <w:p w14:paraId="20394D30" w14:textId="77777777" w:rsidR="00CF0E3D" w:rsidRPr="0000297B" w:rsidRDefault="00CF0E3D" w:rsidP="007941AE">
            <w:pPr>
              <w:pStyle w:val="Tabletext"/>
            </w:pPr>
            <w:r w:rsidRPr="0000297B">
              <w:t>3</w:t>
            </w:r>
          </w:p>
        </w:tc>
        <w:tc>
          <w:tcPr>
            <w:tcW w:w="985" w:type="pct"/>
            <w:tcBorders>
              <w:top w:val="single" w:sz="4" w:space="0" w:color="auto"/>
              <w:left w:val="nil"/>
              <w:bottom w:val="single" w:sz="12" w:space="0" w:color="auto"/>
              <w:right w:val="nil"/>
            </w:tcBorders>
          </w:tcPr>
          <w:p w14:paraId="5152F07F" w14:textId="77777777" w:rsidR="00CF0E3D" w:rsidRPr="0000297B" w:rsidRDefault="00CF0E3D" w:rsidP="007941AE">
            <w:pPr>
              <w:pStyle w:val="Tabletext"/>
            </w:pPr>
            <w:r w:rsidRPr="0000297B">
              <w:rPr>
                <w:b/>
                <w:i/>
              </w:rPr>
              <w:t>phase 3 product</w:t>
            </w:r>
          </w:p>
        </w:tc>
        <w:tc>
          <w:tcPr>
            <w:tcW w:w="3721" w:type="pct"/>
            <w:tcBorders>
              <w:top w:val="single" w:sz="4" w:space="0" w:color="auto"/>
              <w:left w:val="nil"/>
              <w:bottom w:val="single" w:sz="12" w:space="0" w:color="auto"/>
              <w:right w:val="nil"/>
            </w:tcBorders>
          </w:tcPr>
          <w:p w14:paraId="75E10B9B" w14:textId="77777777" w:rsidR="00CF0E3D" w:rsidRPr="0000297B" w:rsidRDefault="00CF0E3D" w:rsidP="007941AE">
            <w:pPr>
              <w:pStyle w:val="Tablea"/>
            </w:pPr>
            <w:r w:rsidRPr="0000297B">
              <w:tab/>
              <w:t>(a)</w:t>
            </w:r>
            <w:r w:rsidRPr="0000297B">
              <w:tab/>
              <w:t>business finance;</w:t>
            </w:r>
          </w:p>
          <w:p w14:paraId="5587207C" w14:textId="77777777" w:rsidR="00CF0E3D" w:rsidRPr="0000297B" w:rsidRDefault="00CF0E3D" w:rsidP="007941AE">
            <w:pPr>
              <w:pStyle w:val="Tablea"/>
            </w:pPr>
            <w:r w:rsidRPr="0000297B">
              <w:tab/>
              <w:t>(b)</w:t>
            </w:r>
            <w:r w:rsidRPr="0000297B">
              <w:tab/>
              <w:t>a loan for an investment;</w:t>
            </w:r>
          </w:p>
          <w:p w14:paraId="3BF61388" w14:textId="77777777" w:rsidR="00CF0E3D" w:rsidRPr="0000297B" w:rsidRDefault="00CF0E3D" w:rsidP="007941AE">
            <w:pPr>
              <w:pStyle w:val="Tablea"/>
            </w:pPr>
            <w:r w:rsidRPr="0000297B">
              <w:tab/>
              <w:t>(c)</w:t>
            </w:r>
            <w:r w:rsidRPr="0000297B">
              <w:tab/>
              <w:t>a line of credit (personal);</w:t>
            </w:r>
          </w:p>
          <w:p w14:paraId="6A58241E" w14:textId="77777777" w:rsidR="00CF0E3D" w:rsidRPr="0000297B" w:rsidRDefault="00CF0E3D" w:rsidP="007941AE">
            <w:pPr>
              <w:pStyle w:val="Tablea"/>
            </w:pPr>
            <w:r w:rsidRPr="0000297B">
              <w:tab/>
              <w:t>(d)</w:t>
            </w:r>
            <w:r w:rsidRPr="0000297B">
              <w:tab/>
              <w:t>a line of credit (business);</w:t>
            </w:r>
          </w:p>
          <w:p w14:paraId="526E7953" w14:textId="77777777" w:rsidR="00CF0E3D" w:rsidRPr="0000297B" w:rsidRDefault="00CF0E3D" w:rsidP="007941AE">
            <w:pPr>
              <w:pStyle w:val="Tablea"/>
            </w:pPr>
            <w:r w:rsidRPr="0000297B">
              <w:tab/>
              <w:t>(e)</w:t>
            </w:r>
            <w:r w:rsidRPr="0000297B">
              <w:tab/>
              <w:t>an overdraft (personal);</w:t>
            </w:r>
          </w:p>
          <w:p w14:paraId="73314A9A" w14:textId="77777777" w:rsidR="00CF0E3D" w:rsidRPr="0000297B" w:rsidRDefault="00CF0E3D" w:rsidP="007941AE">
            <w:pPr>
              <w:pStyle w:val="Tablea"/>
            </w:pPr>
            <w:r w:rsidRPr="0000297B">
              <w:tab/>
              <w:t>(f)</w:t>
            </w:r>
            <w:r w:rsidRPr="0000297B">
              <w:tab/>
              <w:t>an overdraft (business);</w:t>
            </w:r>
          </w:p>
          <w:p w14:paraId="4507F3E6" w14:textId="77777777" w:rsidR="00CF0E3D" w:rsidRPr="0000297B" w:rsidRDefault="00CF0E3D" w:rsidP="007941AE">
            <w:pPr>
              <w:pStyle w:val="Tablea"/>
            </w:pPr>
            <w:r w:rsidRPr="0000297B">
              <w:tab/>
              <w:t>(g)</w:t>
            </w:r>
            <w:r w:rsidRPr="0000297B">
              <w:tab/>
              <w:t>asset finance (including leases);</w:t>
            </w:r>
          </w:p>
          <w:p w14:paraId="5D24A56E" w14:textId="77777777" w:rsidR="00CF0E3D" w:rsidRPr="0000297B" w:rsidRDefault="00CF0E3D" w:rsidP="007941AE">
            <w:pPr>
              <w:pStyle w:val="Tablea"/>
            </w:pPr>
            <w:r w:rsidRPr="0000297B">
              <w:tab/>
              <w:t>(h)</w:t>
            </w:r>
            <w:r w:rsidRPr="0000297B">
              <w:tab/>
              <w:t>a cash management account;</w:t>
            </w:r>
          </w:p>
          <w:p w14:paraId="61EB55DC" w14:textId="77777777" w:rsidR="00CF0E3D" w:rsidRPr="0000297B" w:rsidRDefault="00CF0E3D" w:rsidP="007941AE">
            <w:pPr>
              <w:pStyle w:val="Tablea"/>
            </w:pPr>
            <w:r w:rsidRPr="0000297B">
              <w:tab/>
              <w:t>(i)</w:t>
            </w:r>
            <w:r w:rsidRPr="0000297B">
              <w:tab/>
              <w:t>a farm management account;</w:t>
            </w:r>
          </w:p>
          <w:p w14:paraId="1C49BE27" w14:textId="77777777" w:rsidR="00CF0E3D" w:rsidRPr="0000297B" w:rsidRDefault="00CF0E3D" w:rsidP="007941AE">
            <w:pPr>
              <w:pStyle w:val="Tablea"/>
            </w:pPr>
            <w:r w:rsidRPr="0000297B">
              <w:tab/>
              <w:t>(j)</w:t>
            </w:r>
            <w:r w:rsidRPr="0000297B">
              <w:tab/>
              <w:t>a pensioner deeming account;</w:t>
            </w:r>
          </w:p>
          <w:p w14:paraId="5410A0DA" w14:textId="77777777" w:rsidR="00CF0E3D" w:rsidRPr="0000297B" w:rsidRDefault="00CF0E3D" w:rsidP="007941AE">
            <w:pPr>
              <w:pStyle w:val="Tablea"/>
            </w:pPr>
            <w:r w:rsidRPr="0000297B">
              <w:tab/>
              <w:t>(k)</w:t>
            </w:r>
            <w:r w:rsidRPr="0000297B">
              <w:tab/>
              <w:t>a retirement savings account;</w:t>
            </w:r>
          </w:p>
          <w:p w14:paraId="1CF7BE5D" w14:textId="77777777" w:rsidR="00CF0E3D" w:rsidRPr="0000297B" w:rsidRDefault="00CF0E3D" w:rsidP="007941AE">
            <w:pPr>
              <w:pStyle w:val="Tablea"/>
            </w:pPr>
            <w:r w:rsidRPr="0000297B">
              <w:tab/>
              <w:t>(l)</w:t>
            </w:r>
            <w:r w:rsidRPr="0000297B">
              <w:tab/>
              <w:t>a trust account;</w:t>
            </w:r>
          </w:p>
          <w:p w14:paraId="674EB03A" w14:textId="77777777" w:rsidR="00CF0E3D" w:rsidRPr="0000297B" w:rsidRDefault="00CF0E3D" w:rsidP="007941AE">
            <w:pPr>
              <w:pStyle w:val="Tablea"/>
            </w:pPr>
            <w:r w:rsidRPr="0000297B">
              <w:tab/>
              <w:t>(m)</w:t>
            </w:r>
            <w:r w:rsidRPr="0000297B">
              <w:tab/>
              <w:t>a foreign currency account;</w:t>
            </w:r>
          </w:p>
          <w:p w14:paraId="50CB94FC" w14:textId="77777777" w:rsidR="00CF0E3D" w:rsidRPr="0000297B" w:rsidRDefault="00CF0E3D" w:rsidP="007941AE">
            <w:pPr>
              <w:pStyle w:val="Tablea"/>
            </w:pPr>
            <w:r w:rsidRPr="0000297B">
              <w:tab/>
              <w:t>(n)</w:t>
            </w:r>
            <w:r w:rsidRPr="0000297B">
              <w:tab/>
              <w:t>a consumer lease.</w:t>
            </w:r>
          </w:p>
          <w:p w14:paraId="2D1F6150" w14:textId="77777777" w:rsidR="00CF0E3D" w:rsidRPr="0000297B" w:rsidRDefault="00CF0E3D" w:rsidP="007941AE">
            <w:pPr>
              <w:pStyle w:val="Tablea"/>
            </w:pPr>
          </w:p>
        </w:tc>
      </w:tr>
    </w:tbl>
    <w:p w14:paraId="17F4B0B7" w14:textId="77777777" w:rsidR="00CF0E3D" w:rsidRDefault="00CF0E3D" w:rsidP="00CF0E3D">
      <w:pPr>
        <w:pStyle w:val="paragraphsub-sub"/>
      </w:pPr>
    </w:p>
    <w:p w14:paraId="3660CE27" w14:textId="2A2B9491" w:rsidR="00CF0E3D" w:rsidRPr="00C378D9" w:rsidRDefault="00CF0E3D" w:rsidP="00CF0E3D">
      <w:pPr>
        <w:pStyle w:val="ActHead2"/>
        <w:pageBreakBefore/>
      </w:pPr>
      <w:bookmarkStart w:id="603" w:name="_Toc77065082"/>
      <w:r w:rsidRPr="00C378D9">
        <w:lastRenderedPageBreak/>
        <w:t>Part 2—Eligible CDR consumers—banking sector</w:t>
      </w:r>
      <w:bookmarkEnd w:id="603"/>
    </w:p>
    <w:p w14:paraId="6ABA06CC" w14:textId="4136382F" w:rsidR="003557E5" w:rsidRPr="00693A57" w:rsidRDefault="002736B6" w:rsidP="003557E5">
      <w:pPr>
        <w:pStyle w:val="ActHead5"/>
        <w:rPr>
          <w:color w:val="FF0000"/>
        </w:rPr>
      </w:pPr>
      <w:bookmarkStart w:id="604" w:name="_Toc77065083"/>
      <w:r w:rsidRPr="00693A57">
        <w:rPr>
          <w:color w:val="FF0000"/>
        </w:rPr>
        <w:t>2.1  Additional c</w:t>
      </w:r>
      <w:r w:rsidR="003557E5" w:rsidRPr="00693A57">
        <w:rPr>
          <w:color w:val="FF0000"/>
        </w:rPr>
        <w:t>riteria for eligibility</w:t>
      </w:r>
      <w:r w:rsidRPr="00693A57">
        <w:rPr>
          <w:color w:val="FF0000"/>
        </w:rPr>
        <w:t>—banking sector</w:t>
      </w:r>
      <w:bookmarkEnd w:id="604"/>
    </w:p>
    <w:p w14:paraId="40E6441C" w14:textId="4C96231D" w:rsidR="009C6CC7" w:rsidRPr="00693A57" w:rsidRDefault="00CE253F" w:rsidP="00CE253F">
      <w:pPr>
        <w:pStyle w:val="subsection"/>
        <w:rPr>
          <w:color w:val="FF0000"/>
        </w:rPr>
      </w:pPr>
      <w:r w:rsidRPr="00693A57">
        <w:rPr>
          <w:color w:val="FF0000"/>
        </w:rPr>
        <w:tab/>
      </w:r>
      <w:r w:rsidR="00C378D9" w:rsidRPr="00693A57">
        <w:rPr>
          <w:color w:val="FF0000"/>
        </w:rPr>
        <w:t>(1)</w:t>
      </w:r>
      <w:r w:rsidRPr="00693A57">
        <w:rPr>
          <w:color w:val="FF0000"/>
        </w:rPr>
        <w:tab/>
      </w:r>
      <w:r w:rsidR="00C378D9" w:rsidRPr="00693A57">
        <w:rPr>
          <w:color w:val="FF0000"/>
        </w:rPr>
        <w:t>For subrule 1.10B(1), t</w:t>
      </w:r>
      <w:r w:rsidRPr="00693A57">
        <w:rPr>
          <w:color w:val="FF0000"/>
        </w:rPr>
        <w:t>he additional criteri</w:t>
      </w:r>
      <w:r w:rsidR="00C378D9" w:rsidRPr="00693A57">
        <w:rPr>
          <w:color w:val="FF0000"/>
        </w:rPr>
        <w:t xml:space="preserve">on for </w:t>
      </w:r>
      <w:r w:rsidRPr="00693A57">
        <w:rPr>
          <w:color w:val="FF0000"/>
        </w:rPr>
        <w:t>CDR consumer</w:t>
      </w:r>
      <w:r w:rsidR="003557E5" w:rsidRPr="00693A57">
        <w:rPr>
          <w:color w:val="FF0000"/>
        </w:rPr>
        <w:t xml:space="preserve"> </w:t>
      </w:r>
      <w:r w:rsidRPr="00693A57">
        <w:rPr>
          <w:color w:val="FF0000"/>
        </w:rPr>
        <w:t xml:space="preserve">to be </w:t>
      </w:r>
      <w:r w:rsidR="002736B6" w:rsidRPr="00693A57">
        <w:rPr>
          <w:b/>
          <w:i/>
          <w:color w:val="FF0000"/>
        </w:rPr>
        <w:t>eligible</w:t>
      </w:r>
      <w:r w:rsidR="002736B6" w:rsidRPr="00693A57">
        <w:rPr>
          <w:color w:val="FF0000"/>
        </w:rPr>
        <w:t xml:space="preserve">, in relation to a particular data holder </w:t>
      </w:r>
      <w:r w:rsidR="00BA5410" w:rsidRPr="00693A57">
        <w:rPr>
          <w:color w:val="FF0000"/>
        </w:rPr>
        <w:t xml:space="preserve">in the banking sector </w:t>
      </w:r>
      <w:r w:rsidR="002736B6" w:rsidRPr="00693A57">
        <w:rPr>
          <w:color w:val="FF0000"/>
        </w:rPr>
        <w:t>at</w:t>
      </w:r>
      <w:r w:rsidR="00C378D9" w:rsidRPr="00693A57">
        <w:rPr>
          <w:color w:val="FF0000"/>
        </w:rPr>
        <w:t xml:space="preserve"> a particular time, is that </w:t>
      </w:r>
      <w:r w:rsidR="009C6CC7" w:rsidRPr="00693A57">
        <w:rPr>
          <w:color w:val="FF0000"/>
        </w:rPr>
        <w:t>the person is able to access the account online</w:t>
      </w:r>
      <w:r w:rsidR="00D32F77" w:rsidRPr="00693A57">
        <w:rPr>
          <w:color w:val="FF0000"/>
        </w:rPr>
        <w:t>.</w:t>
      </w:r>
    </w:p>
    <w:p w14:paraId="19BEE087" w14:textId="742E7652" w:rsidR="008D1B60" w:rsidRPr="00693A57" w:rsidRDefault="008D1B60" w:rsidP="008D1B60">
      <w:pPr>
        <w:pStyle w:val="notetext"/>
        <w:rPr>
          <w:color w:val="FF0000"/>
        </w:rPr>
      </w:pPr>
      <w:r w:rsidRPr="00693A57">
        <w:rPr>
          <w:color w:val="FF0000"/>
        </w:rPr>
        <w:t>Note:</w:t>
      </w:r>
      <w:r w:rsidRPr="00693A57">
        <w:rPr>
          <w:color w:val="FF0000"/>
        </w:rPr>
        <w:tab/>
        <w:t xml:space="preserve">Subrule 1.10B(1) provides </w:t>
      </w:r>
      <w:r w:rsidR="00A33356" w:rsidRPr="00693A57">
        <w:rPr>
          <w:color w:val="FF0000"/>
        </w:rPr>
        <w:t xml:space="preserve">criteria </w:t>
      </w:r>
      <w:r w:rsidRPr="00693A57">
        <w:rPr>
          <w:color w:val="FF0000"/>
        </w:rPr>
        <w:t xml:space="preserve">for account holders and secondary account holders of the account </w:t>
      </w:r>
      <w:r w:rsidR="00A33356" w:rsidRPr="00693A57">
        <w:rPr>
          <w:color w:val="FF0000"/>
        </w:rPr>
        <w:t>to</w:t>
      </w:r>
      <w:r w:rsidRPr="00693A57">
        <w:rPr>
          <w:color w:val="FF0000"/>
        </w:rPr>
        <w:t xml:space="preserve"> be eligible.</w:t>
      </w:r>
    </w:p>
    <w:p w14:paraId="148C4556" w14:textId="77777777" w:rsidR="008D1B60" w:rsidRPr="00693A57" w:rsidRDefault="00C378D9" w:rsidP="00CE253F">
      <w:pPr>
        <w:pStyle w:val="subsection"/>
        <w:rPr>
          <w:color w:val="FF0000"/>
        </w:rPr>
      </w:pPr>
      <w:r w:rsidRPr="00693A57">
        <w:rPr>
          <w:color w:val="FF0000"/>
        </w:rPr>
        <w:tab/>
        <w:t>(2)</w:t>
      </w:r>
      <w:r w:rsidRPr="00693A57">
        <w:rPr>
          <w:color w:val="FF0000"/>
        </w:rPr>
        <w:tab/>
        <w:t>For subrule 1.10B(2), the additional criteri</w:t>
      </w:r>
      <w:r w:rsidR="008C61FA" w:rsidRPr="00693A57">
        <w:rPr>
          <w:color w:val="FF0000"/>
        </w:rPr>
        <w:t>on</w:t>
      </w:r>
      <w:r w:rsidRPr="00693A57">
        <w:rPr>
          <w:color w:val="FF0000"/>
        </w:rPr>
        <w:t xml:space="preserve"> for a CDR consumer</w:t>
      </w:r>
      <w:r w:rsidR="008C61FA" w:rsidRPr="00693A57">
        <w:rPr>
          <w:color w:val="FF0000"/>
        </w:rPr>
        <w:t xml:space="preserve"> who is a partner in a partnership </w:t>
      </w:r>
      <w:r w:rsidRPr="00693A57">
        <w:rPr>
          <w:color w:val="FF0000"/>
        </w:rPr>
        <w:t xml:space="preserve">to be </w:t>
      </w:r>
      <w:r w:rsidRPr="00693A57">
        <w:rPr>
          <w:b/>
          <w:i/>
          <w:color w:val="FF0000"/>
        </w:rPr>
        <w:t>eligible</w:t>
      </w:r>
      <w:r w:rsidRPr="00693A57">
        <w:rPr>
          <w:color w:val="FF0000"/>
        </w:rPr>
        <w:t xml:space="preserve">, in relation to a particular data holder in the banking sector at a particular time, </w:t>
      </w:r>
      <w:r w:rsidR="008C61FA" w:rsidRPr="00693A57">
        <w:rPr>
          <w:color w:val="FF0000"/>
        </w:rPr>
        <w:t>is that the partnership account is set up in such a way that it can be accessed online.</w:t>
      </w:r>
    </w:p>
    <w:p w14:paraId="6BFBED51" w14:textId="15532099" w:rsidR="008D1B60" w:rsidRPr="00693A57" w:rsidRDefault="008D1B60" w:rsidP="008D1B60">
      <w:pPr>
        <w:pStyle w:val="notetext"/>
        <w:rPr>
          <w:color w:val="FF0000"/>
        </w:rPr>
      </w:pPr>
      <w:r w:rsidRPr="00693A57">
        <w:rPr>
          <w:color w:val="FF0000"/>
        </w:rPr>
        <w:t>Note:</w:t>
      </w:r>
      <w:r w:rsidRPr="00693A57">
        <w:rPr>
          <w:color w:val="FF0000"/>
        </w:rPr>
        <w:tab/>
      </w:r>
      <w:r w:rsidR="00A33356" w:rsidRPr="00693A57">
        <w:rPr>
          <w:color w:val="FF0000"/>
        </w:rPr>
        <w:t>For a partnership account, s</w:t>
      </w:r>
      <w:r w:rsidRPr="00693A57">
        <w:rPr>
          <w:color w:val="FF0000"/>
        </w:rPr>
        <w:t xml:space="preserve">ubrule 1.10B(2) provides </w:t>
      </w:r>
      <w:r w:rsidR="00A33356" w:rsidRPr="00693A57">
        <w:rPr>
          <w:color w:val="FF0000"/>
        </w:rPr>
        <w:t xml:space="preserve">criteria for </w:t>
      </w:r>
      <w:r w:rsidRPr="00693A57">
        <w:rPr>
          <w:color w:val="FF0000"/>
        </w:rPr>
        <w:t xml:space="preserve">persons who </w:t>
      </w:r>
      <w:r w:rsidR="00A33356" w:rsidRPr="00693A57">
        <w:rPr>
          <w:color w:val="FF0000"/>
        </w:rPr>
        <w:t>are partners in the</w:t>
      </w:r>
      <w:r w:rsidRPr="00693A57">
        <w:rPr>
          <w:color w:val="FF0000"/>
        </w:rPr>
        <w:t xml:space="preserve"> partnership </w:t>
      </w:r>
      <w:r w:rsidR="00A33356" w:rsidRPr="00693A57">
        <w:rPr>
          <w:color w:val="FF0000"/>
        </w:rPr>
        <w:t>(but who need not themselves be account holders or secondary account holders) to be eligible.</w:t>
      </w:r>
    </w:p>
    <w:p w14:paraId="3AD18EC0" w14:textId="005CF094" w:rsidR="00CF0E3D" w:rsidRPr="00693A57" w:rsidRDefault="00CF0E3D" w:rsidP="00CF0E3D">
      <w:pPr>
        <w:pStyle w:val="ActHead5"/>
        <w:rPr>
          <w:strike/>
          <w:color w:val="FF0000"/>
        </w:rPr>
      </w:pPr>
      <w:bookmarkStart w:id="605" w:name="_Toc77065084"/>
      <w:r w:rsidRPr="00693A57">
        <w:rPr>
          <w:strike/>
          <w:color w:val="FF0000"/>
        </w:rPr>
        <w:t xml:space="preserve">2.1  Meaning of </w:t>
      </w:r>
      <w:r w:rsidRPr="00693A57">
        <w:rPr>
          <w:i/>
          <w:strike/>
          <w:color w:val="FF0000"/>
        </w:rPr>
        <w:t>eligible</w:t>
      </w:r>
      <w:r w:rsidRPr="00693A57">
        <w:rPr>
          <w:strike/>
          <w:color w:val="FF0000"/>
        </w:rPr>
        <w:t>—banking sector</w:t>
      </w:r>
      <w:bookmarkEnd w:id="605"/>
    </w:p>
    <w:p w14:paraId="145E3AC3" w14:textId="77777777" w:rsidR="00CF0E3D" w:rsidRPr="00693A57" w:rsidRDefault="00CF0E3D" w:rsidP="00CF0E3D">
      <w:pPr>
        <w:pStyle w:val="subsection"/>
        <w:rPr>
          <w:strike/>
          <w:color w:val="FF0000"/>
        </w:rPr>
      </w:pPr>
      <w:r w:rsidRPr="00693A57">
        <w:rPr>
          <w:strike/>
          <w:color w:val="FF0000"/>
        </w:rPr>
        <w:tab/>
        <w:t>(1)</w:t>
      </w:r>
      <w:r w:rsidRPr="00693A57">
        <w:rPr>
          <w:strike/>
          <w:color w:val="FF0000"/>
        </w:rPr>
        <w:tab/>
        <w:t xml:space="preserve">This clause is made for the purposes of the definition of </w:t>
      </w:r>
      <w:r w:rsidRPr="00693A57">
        <w:rPr>
          <w:b/>
          <w:i/>
          <w:strike/>
          <w:color w:val="FF0000"/>
        </w:rPr>
        <w:t xml:space="preserve">eligible </w:t>
      </w:r>
      <w:r w:rsidRPr="00693A57">
        <w:rPr>
          <w:strike/>
          <w:color w:val="FF0000"/>
        </w:rPr>
        <w:t>in subrule 1.7(1) of these rules.</w:t>
      </w:r>
    </w:p>
    <w:p w14:paraId="7E010A9A" w14:textId="77777777" w:rsidR="00CF0E3D" w:rsidRPr="00693A57" w:rsidRDefault="00CF0E3D" w:rsidP="00CF0E3D">
      <w:pPr>
        <w:pStyle w:val="subsection"/>
        <w:rPr>
          <w:strike/>
          <w:color w:val="FF0000"/>
        </w:rPr>
      </w:pPr>
      <w:r w:rsidRPr="00693A57">
        <w:rPr>
          <w:strike/>
          <w:color w:val="FF0000"/>
        </w:rPr>
        <w:tab/>
        <w:t>(2)</w:t>
      </w:r>
      <w:r w:rsidRPr="00693A57">
        <w:rPr>
          <w:strike/>
          <w:color w:val="FF0000"/>
        </w:rPr>
        <w:tab/>
        <w:t xml:space="preserve">For the banking sector, in relation to a particular data holder at a particular time, a CDR consumer is </w:t>
      </w:r>
      <w:r w:rsidRPr="00693A57">
        <w:rPr>
          <w:b/>
          <w:i/>
          <w:strike/>
          <w:color w:val="FF0000"/>
        </w:rPr>
        <w:t>eligible</w:t>
      </w:r>
      <w:r w:rsidRPr="00693A57">
        <w:rPr>
          <w:strike/>
          <w:color w:val="FF0000"/>
        </w:rPr>
        <w:t xml:space="preserve"> if, at that time, the CDR consumer:</w:t>
      </w:r>
    </w:p>
    <w:p w14:paraId="0900A5E4" w14:textId="77777777" w:rsidR="00CF0E3D" w:rsidRPr="00693A57" w:rsidRDefault="00CF0E3D" w:rsidP="00CF0E3D">
      <w:pPr>
        <w:pStyle w:val="paragraph"/>
        <w:rPr>
          <w:strike/>
          <w:color w:val="FF0000"/>
        </w:rPr>
      </w:pPr>
      <w:r w:rsidRPr="00693A57">
        <w:rPr>
          <w:strike/>
          <w:color w:val="FF0000"/>
        </w:rPr>
        <w:tab/>
        <w:t>(a)</w:t>
      </w:r>
      <w:r w:rsidRPr="00693A57">
        <w:rPr>
          <w:strike/>
          <w:color w:val="FF0000"/>
        </w:rPr>
        <w:tab/>
        <w:t>is either:</w:t>
      </w:r>
    </w:p>
    <w:p w14:paraId="78E8DDB0" w14:textId="77777777" w:rsidR="00CF0E3D" w:rsidRPr="00693A57" w:rsidRDefault="00CF0E3D" w:rsidP="00CF0E3D">
      <w:pPr>
        <w:pStyle w:val="paragraphsub"/>
        <w:rPr>
          <w:strike/>
          <w:color w:val="FF0000"/>
        </w:rPr>
      </w:pPr>
      <w:r w:rsidRPr="00693A57">
        <w:rPr>
          <w:strike/>
          <w:color w:val="FF0000"/>
        </w:rPr>
        <w:tab/>
        <w:t>(i)</w:t>
      </w:r>
      <w:r w:rsidRPr="00693A57">
        <w:rPr>
          <w:strike/>
          <w:color w:val="FF0000"/>
        </w:rPr>
        <w:tab/>
        <w:t>an individual who is 18 years of age or older; or</w:t>
      </w:r>
    </w:p>
    <w:p w14:paraId="188D9C2E" w14:textId="77777777" w:rsidR="00CF0E3D" w:rsidRPr="00693A57" w:rsidRDefault="00CF0E3D" w:rsidP="00CF0E3D">
      <w:pPr>
        <w:pStyle w:val="paragraphsub"/>
        <w:rPr>
          <w:strike/>
          <w:color w:val="FF0000"/>
        </w:rPr>
      </w:pPr>
      <w:r w:rsidRPr="00693A57">
        <w:rPr>
          <w:strike/>
          <w:color w:val="FF0000"/>
        </w:rPr>
        <w:tab/>
        <w:t>(ii)</w:t>
      </w:r>
      <w:r w:rsidRPr="00693A57">
        <w:rPr>
          <w:strike/>
          <w:color w:val="FF0000"/>
        </w:rPr>
        <w:tab/>
        <w:t>a person who is not an individual; and</w:t>
      </w:r>
    </w:p>
    <w:p w14:paraId="0BAD5247" w14:textId="77777777" w:rsidR="00CF0E3D" w:rsidRPr="00693A57" w:rsidRDefault="00CF0E3D" w:rsidP="00CF0E3D">
      <w:pPr>
        <w:pStyle w:val="paragraph"/>
        <w:rPr>
          <w:strike/>
          <w:color w:val="FF0000"/>
        </w:rPr>
      </w:pPr>
      <w:r w:rsidRPr="00693A57">
        <w:rPr>
          <w:strike/>
          <w:color w:val="FF0000"/>
        </w:rPr>
        <w:tab/>
        <w:t>(b)</w:t>
      </w:r>
      <w:r w:rsidRPr="00693A57">
        <w:rPr>
          <w:strike/>
          <w:color w:val="FF0000"/>
        </w:rPr>
        <w:tab/>
        <w:t>is an account holder or a secondary user for an account with the data holder that:</w:t>
      </w:r>
    </w:p>
    <w:p w14:paraId="133A1ECD" w14:textId="77777777" w:rsidR="00CF0E3D" w:rsidRPr="00693A57" w:rsidRDefault="00CF0E3D" w:rsidP="00CF0E3D">
      <w:pPr>
        <w:pStyle w:val="paragraphsub"/>
        <w:rPr>
          <w:strike/>
          <w:color w:val="FF0000"/>
        </w:rPr>
      </w:pPr>
      <w:r w:rsidRPr="00693A57">
        <w:rPr>
          <w:strike/>
          <w:color w:val="FF0000"/>
        </w:rPr>
        <w:tab/>
        <w:t>(i)</w:t>
      </w:r>
      <w:r w:rsidRPr="00693A57">
        <w:rPr>
          <w:strike/>
          <w:color w:val="FF0000"/>
        </w:rPr>
        <w:tab/>
        <w:t>is open; and</w:t>
      </w:r>
    </w:p>
    <w:p w14:paraId="37BC4A02" w14:textId="77777777" w:rsidR="00CF0E3D" w:rsidRPr="00693A57" w:rsidRDefault="00CF0E3D" w:rsidP="00CF0E3D">
      <w:pPr>
        <w:pStyle w:val="paragraphsub"/>
        <w:rPr>
          <w:strike/>
          <w:color w:val="FF0000"/>
        </w:rPr>
      </w:pPr>
      <w:r w:rsidRPr="00693A57">
        <w:rPr>
          <w:strike/>
          <w:color w:val="FF0000"/>
        </w:rPr>
        <w:tab/>
        <w:t>(ii)</w:t>
      </w:r>
      <w:r w:rsidRPr="00693A57">
        <w:rPr>
          <w:strike/>
          <w:color w:val="FF0000"/>
        </w:rPr>
        <w:tab/>
        <w:t>is set up in such a way that it can be accessed online by the CDR consumer.</w:t>
      </w:r>
    </w:p>
    <w:p w14:paraId="4D6FF6A8" w14:textId="77777777" w:rsidR="00CF0E3D" w:rsidRPr="00693A57" w:rsidRDefault="00CF0E3D" w:rsidP="00CF0E3D">
      <w:pPr>
        <w:pStyle w:val="subsection"/>
        <w:rPr>
          <w:strike/>
          <w:color w:val="FF0000"/>
        </w:rPr>
      </w:pPr>
      <w:r w:rsidRPr="00693A57">
        <w:rPr>
          <w:strike/>
          <w:color w:val="FF0000"/>
        </w:rPr>
        <w:tab/>
        <w:t>(3)</w:t>
      </w:r>
      <w:r w:rsidRPr="00693A57">
        <w:rPr>
          <w:strike/>
          <w:color w:val="FF0000"/>
        </w:rPr>
        <w:tab/>
        <w:t xml:space="preserve">For the banking sector, in relation to a particular data holder at a particular time, a CDR consumer is also </w:t>
      </w:r>
      <w:r w:rsidRPr="00693A57">
        <w:rPr>
          <w:b/>
          <w:i/>
          <w:strike/>
          <w:color w:val="FF0000"/>
        </w:rPr>
        <w:t xml:space="preserve">eligible </w:t>
      </w:r>
      <w:r w:rsidRPr="00693A57">
        <w:rPr>
          <w:strike/>
          <w:color w:val="FF0000"/>
        </w:rPr>
        <w:t>if, at that time:</w:t>
      </w:r>
    </w:p>
    <w:p w14:paraId="5B567341" w14:textId="77777777" w:rsidR="00CF0E3D" w:rsidRPr="00693A57" w:rsidRDefault="00CF0E3D" w:rsidP="00CF0E3D">
      <w:pPr>
        <w:pStyle w:val="paragraph"/>
        <w:rPr>
          <w:strike/>
          <w:color w:val="FF0000"/>
        </w:rPr>
      </w:pPr>
      <w:r w:rsidRPr="00693A57">
        <w:rPr>
          <w:strike/>
          <w:color w:val="FF0000"/>
        </w:rPr>
        <w:tab/>
        <w:t>(a)</w:t>
      </w:r>
      <w:r w:rsidRPr="00693A57">
        <w:rPr>
          <w:strike/>
          <w:color w:val="FF0000"/>
        </w:rPr>
        <w:tab/>
        <w:t>the CDR consumer is a partner in a partnership for which there is a partnership account with the data holder; and</w:t>
      </w:r>
    </w:p>
    <w:p w14:paraId="1E9077DB" w14:textId="77777777" w:rsidR="00CF0E3D" w:rsidRPr="00693A57" w:rsidRDefault="00CF0E3D" w:rsidP="00CF0E3D">
      <w:pPr>
        <w:pStyle w:val="paragraph"/>
        <w:rPr>
          <w:strike/>
          <w:color w:val="FF0000"/>
        </w:rPr>
      </w:pPr>
      <w:r w:rsidRPr="00693A57">
        <w:rPr>
          <w:strike/>
          <w:color w:val="FF0000"/>
        </w:rPr>
        <w:tab/>
        <w:t>(b)</w:t>
      </w:r>
      <w:r w:rsidRPr="00693A57">
        <w:rPr>
          <w:strike/>
          <w:color w:val="FF0000"/>
        </w:rPr>
        <w:tab/>
        <w:t>the partnership account:</w:t>
      </w:r>
    </w:p>
    <w:p w14:paraId="2752CDF9" w14:textId="77777777" w:rsidR="00CF0E3D" w:rsidRPr="00693A57" w:rsidRDefault="00CF0E3D" w:rsidP="00CF0E3D">
      <w:pPr>
        <w:pStyle w:val="paragraphsub"/>
        <w:rPr>
          <w:strike/>
          <w:color w:val="FF0000"/>
        </w:rPr>
      </w:pPr>
      <w:r w:rsidRPr="00693A57">
        <w:rPr>
          <w:strike/>
          <w:color w:val="FF0000"/>
        </w:rPr>
        <w:tab/>
        <w:t>(i)</w:t>
      </w:r>
      <w:r w:rsidRPr="00693A57">
        <w:rPr>
          <w:strike/>
          <w:color w:val="FF0000"/>
        </w:rPr>
        <w:tab/>
        <w:t>is open; and</w:t>
      </w:r>
    </w:p>
    <w:p w14:paraId="2EB492E3" w14:textId="77777777" w:rsidR="00CF0E3D" w:rsidRPr="00693A57" w:rsidRDefault="00CF0E3D" w:rsidP="00CF0E3D">
      <w:pPr>
        <w:pStyle w:val="paragraphsub"/>
        <w:rPr>
          <w:strike/>
          <w:color w:val="FF0000"/>
        </w:rPr>
      </w:pPr>
      <w:r w:rsidRPr="00693A57">
        <w:rPr>
          <w:strike/>
          <w:color w:val="FF0000"/>
        </w:rPr>
        <w:tab/>
        <w:t>(ii)</w:t>
      </w:r>
      <w:r w:rsidRPr="00693A57">
        <w:rPr>
          <w:strike/>
          <w:color w:val="FF0000"/>
        </w:rPr>
        <w:tab/>
        <w:t>is set up in such a way that it can be accessed online.</w:t>
      </w:r>
    </w:p>
    <w:p w14:paraId="6073E89A" w14:textId="6E545E4F" w:rsidR="00CF0E3D" w:rsidRPr="00B809E9" w:rsidRDefault="00CF0E3D" w:rsidP="00CF0E3D">
      <w:pPr>
        <w:pStyle w:val="ActHead5"/>
      </w:pPr>
      <w:bookmarkStart w:id="606" w:name="_Toc57219186"/>
      <w:bookmarkStart w:id="607" w:name="_Toc59549176"/>
      <w:bookmarkStart w:id="608" w:name="_Toc77065085"/>
      <w:r w:rsidRPr="00B809E9">
        <w:t xml:space="preserve">2.2  Meaning of </w:t>
      </w:r>
      <w:r w:rsidRPr="00B809E9">
        <w:rPr>
          <w:i/>
        </w:rPr>
        <w:t>account privileges</w:t>
      </w:r>
      <w:r w:rsidRPr="00B809E9">
        <w:t>—banking sector</w:t>
      </w:r>
      <w:bookmarkEnd w:id="606"/>
      <w:bookmarkEnd w:id="607"/>
      <w:bookmarkEnd w:id="608"/>
    </w:p>
    <w:p w14:paraId="59AF497D" w14:textId="77777777" w:rsidR="00CF0E3D" w:rsidRPr="00B809E9" w:rsidRDefault="00CF0E3D" w:rsidP="00CF0E3D">
      <w:pPr>
        <w:pStyle w:val="subsection"/>
      </w:pPr>
      <w:r w:rsidRPr="00B809E9">
        <w:tab/>
        <w:t>(1)</w:t>
      </w:r>
      <w:r w:rsidRPr="00B809E9">
        <w:tab/>
        <w:t xml:space="preserve">This clause is made for the purposes of the definition of </w:t>
      </w:r>
      <w:r w:rsidRPr="00B809E9">
        <w:rPr>
          <w:b/>
          <w:i/>
        </w:rPr>
        <w:t xml:space="preserve">account privileges </w:t>
      </w:r>
      <w:r w:rsidRPr="00B809E9">
        <w:t>in subrule 1.7(1) of these rules.</w:t>
      </w:r>
    </w:p>
    <w:p w14:paraId="34A32FAE" w14:textId="77777777" w:rsidR="00CF0E3D" w:rsidRPr="00B809E9" w:rsidRDefault="00CF0E3D" w:rsidP="00CF0E3D">
      <w:pPr>
        <w:pStyle w:val="subsection"/>
      </w:pPr>
      <w:r w:rsidRPr="00B809E9">
        <w:lastRenderedPageBreak/>
        <w:tab/>
        <w:t>(2)</w:t>
      </w:r>
      <w:r w:rsidRPr="00B809E9">
        <w:tab/>
        <w:t>For the banking sector, a person has account privileges in relation to an account with a data holder if:</w:t>
      </w:r>
    </w:p>
    <w:p w14:paraId="7368F5EF" w14:textId="77777777" w:rsidR="00CF0E3D" w:rsidRPr="00B809E9" w:rsidRDefault="00CF0E3D" w:rsidP="00CF0E3D">
      <w:pPr>
        <w:pStyle w:val="paragraph"/>
      </w:pPr>
      <w:r w:rsidRPr="00B809E9">
        <w:tab/>
        <w:t xml:space="preserve"> (a)</w:t>
      </w:r>
      <w:r w:rsidRPr="00B809E9">
        <w:tab/>
        <w:t>the account is for a phase 1, a phase 2 or a phase 3 product; and</w:t>
      </w:r>
    </w:p>
    <w:p w14:paraId="1CAFB5DB" w14:textId="77777777" w:rsidR="00CF0E3D" w:rsidRDefault="00CF0E3D" w:rsidP="00CF0E3D">
      <w:pPr>
        <w:pStyle w:val="paragraph"/>
      </w:pPr>
      <w:r w:rsidRPr="00B809E9">
        <w:tab/>
        <w:t xml:space="preserve"> (b)</w:t>
      </w:r>
      <w:r w:rsidRPr="00B809E9">
        <w:tab/>
        <w:t>the person is able to make transactions on the account.</w:t>
      </w:r>
    </w:p>
    <w:p w14:paraId="00F74271" w14:textId="61C9378B" w:rsidR="00294510" w:rsidRPr="00693A57" w:rsidRDefault="00294510" w:rsidP="00294510">
      <w:pPr>
        <w:pStyle w:val="ActHead5"/>
        <w:rPr>
          <w:color w:val="FF0000"/>
        </w:rPr>
      </w:pPr>
      <w:bookmarkStart w:id="609" w:name="_Toc77065086"/>
      <w:r w:rsidRPr="00693A57">
        <w:rPr>
          <w:color w:val="FF0000"/>
        </w:rPr>
        <w:t>2.3  Data holder dashboards—application of rule 1.15</w:t>
      </w:r>
      <w:bookmarkEnd w:id="609"/>
    </w:p>
    <w:p w14:paraId="66FB78B5" w14:textId="25897302" w:rsidR="00B809E9" w:rsidRPr="00693A57" w:rsidRDefault="00294510" w:rsidP="006259EB">
      <w:pPr>
        <w:pStyle w:val="subsection"/>
        <w:rPr>
          <w:rFonts w:eastAsia="Calibri"/>
          <w:color w:val="FF0000"/>
        </w:rPr>
      </w:pPr>
      <w:r w:rsidRPr="00693A57">
        <w:rPr>
          <w:rFonts w:eastAsia="Calibri"/>
          <w:color w:val="FF0000"/>
        </w:rPr>
        <w:tab/>
      </w:r>
      <w:r w:rsidRPr="00693A57">
        <w:rPr>
          <w:rFonts w:eastAsia="Calibri"/>
          <w:color w:val="FF0000"/>
        </w:rPr>
        <w:tab/>
        <w:t xml:space="preserve">For subrule 1.15(1), if a </w:t>
      </w:r>
      <w:r w:rsidR="00D55E6A" w:rsidRPr="00693A57">
        <w:rPr>
          <w:rFonts w:eastAsia="Calibri"/>
          <w:color w:val="FF0000"/>
        </w:rPr>
        <w:t>data holder</w:t>
      </w:r>
      <w:r w:rsidRPr="00693A57">
        <w:rPr>
          <w:rFonts w:eastAsia="Calibri"/>
          <w:color w:val="FF0000"/>
        </w:rPr>
        <w:t xml:space="preserve"> receives a consumer data request from an accredited person on behalf of an eligible CDR consumer the </w:t>
      </w:r>
      <w:r w:rsidR="00D55E6A" w:rsidRPr="00693A57">
        <w:rPr>
          <w:rFonts w:eastAsia="Calibri"/>
          <w:color w:val="FF0000"/>
        </w:rPr>
        <w:t xml:space="preserve">data holder </w:t>
      </w:r>
      <w:r w:rsidRPr="00693A57">
        <w:rPr>
          <w:rFonts w:eastAsia="Calibri"/>
          <w:color w:val="FF0000"/>
        </w:rPr>
        <w:t>must provide the CDR consumer with the consumer dashboard.</w:t>
      </w:r>
    </w:p>
    <w:p w14:paraId="08BFF85B" w14:textId="4B4531E9" w:rsidR="00CF0E3D" w:rsidRDefault="00CF0E3D" w:rsidP="00CF0E3D">
      <w:pPr>
        <w:pStyle w:val="ActHead2"/>
        <w:pageBreakBefore/>
      </w:pPr>
      <w:bookmarkStart w:id="610" w:name="_Toc11771728"/>
      <w:bookmarkStart w:id="611" w:name="_Toc77065087"/>
      <w:r>
        <w:lastRenderedPageBreak/>
        <w:t>Part 3—CDR data that may be accessed under these rules—banking sector</w:t>
      </w:r>
      <w:bookmarkEnd w:id="610"/>
      <w:bookmarkEnd w:id="611"/>
    </w:p>
    <w:p w14:paraId="47A76B63" w14:textId="418992BD" w:rsidR="00CF0E3D" w:rsidRPr="0000297B" w:rsidRDefault="00CF0E3D" w:rsidP="00CF0E3D">
      <w:pPr>
        <w:pStyle w:val="ActHead5"/>
      </w:pPr>
      <w:bookmarkStart w:id="612" w:name="_Toc77065088"/>
      <w:r w:rsidRPr="0000297B">
        <w:t>3.1A  Application of Part</w:t>
      </w:r>
      <w:bookmarkEnd w:id="612"/>
    </w:p>
    <w:p w14:paraId="7CCF94DF" w14:textId="77777777" w:rsidR="00CF0E3D" w:rsidRPr="0000297B" w:rsidRDefault="00CF0E3D" w:rsidP="00CF0E3D">
      <w:pPr>
        <w:pStyle w:val="subsection"/>
      </w:pPr>
      <w:r w:rsidRPr="0000297B">
        <w:tab/>
      </w:r>
      <w:r w:rsidRPr="0000297B">
        <w:tab/>
        <w:t>This Part applies in relation to:</w:t>
      </w:r>
    </w:p>
    <w:p w14:paraId="428F1C08" w14:textId="77777777" w:rsidR="00CF0E3D" w:rsidRPr="0000297B" w:rsidRDefault="00CF0E3D" w:rsidP="00CF0E3D">
      <w:pPr>
        <w:pStyle w:val="paragraph"/>
      </w:pPr>
      <w:r w:rsidRPr="0000297B">
        <w:tab/>
        <w:t>(a)</w:t>
      </w:r>
      <w:r w:rsidRPr="0000297B">
        <w:tab/>
        <w:t>phase 1 products; and</w:t>
      </w:r>
    </w:p>
    <w:p w14:paraId="073343D7" w14:textId="77777777" w:rsidR="00CF0E3D" w:rsidRPr="0000297B" w:rsidRDefault="00CF0E3D" w:rsidP="00CF0E3D">
      <w:pPr>
        <w:pStyle w:val="paragraph"/>
      </w:pPr>
      <w:r w:rsidRPr="0000297B">
        <w:tab/>
        <w:t>(b)</w:t>
      </w:r>
      <w:r w:rsidRPr="0000297B">
        <w:tab/>
        <w:t>phase 2 products; and</w:t>
      </w:r>
    </w:p>
    <w:p w14:paraId="54BE35EB" w14:textId="77777777" w:rsidR="00CF0E3D" w:rsidRPr="0000297B" w:rsidRDefault="00CF0E3D" w:rsidP="00CF0E3D">
      <w:pPr>
        <w:pStyle w:val="paragraph"/>
      </w:pPr>
      <w:r w:rsidRPr="0000297B">
        <w:tab/>
        <w:t>(c)</w:t>
      </w:r>
      <w:r w:rsidRPr="0000297B">
        <w:tab/>
        <w:t>phase 3 products.</w:t>
      </w:r>
    </w:p>
    <w:p w14:paraId="202755A9" w14:textId="77777777" w:rsidR="00CF0E3D" w:rsidRPr="0000297B" w:rsidRDefault="00CF0E3D" w:rsidP="00CF0E3D">
      <w:pPr>
        <w:pStyle w:val="notetext"/>
      </w:pPr>
      <w:r w:rsidRPr="0000297B">
        <w:t>Note:</w:t>
      </w:r>
      <w:r w:rsidRPr="0000297B">
        <w:tab/>
        <w:t xml:space="preserve">See </w:t>
      </w:r>
      <w:r>
        <w:t>Part 6</w:t>
      </w:r>
      <w:r w:rsidRPr="0000297B">
        <w:t xml:space="preserve"> of this Schedule for the staged application of these rules to the banking sector. CDR data relating to different phase products will become available at different times, </w:t>
      </w:r>
      <w:r>
        <w:t xml:space="preserve">in accordance with </w:t>
      </w:r>
      <w:r w:rsidRPr="0000297B">
        <w:t>that Part.</w:t>
      </w:r>
    </w:p>
    <w:p w14:paraId="200DED58" w14:textId="5DA803B6" w:rsidR="00CF0E3D" w:rsidRDefault="00CF0E3D" w:rsidP="00CF0E3D">
      <w:pPr>
        <w:pStyle w:val="ActHead5"/>
      </w:pPr>
      <w:bookmarkStart w:id="613" w:name="_Toc11771729"/>
      <w:bookmarkStart w:id="614" w:name="_Toc77065089"/>
      <w:r>
        <w:rPr>
          <w:color w:val="000000"/>
        </w:rPr>
        <w:t>3.1</w:t>
      </w:r>
      <w:r w:rsidRPr="00641354">
        <w:rPr>
          <w:color w:val="000000"/>
        </w:rPr>
        <w:t xml:space="preserve">  </w:t>
      </w:r>
      <w:r w:rsidRPr="0023036E">
        <w:t xml:space="preserve">Meaning of </w:t>
      </w:r>
      <w:r w:rsidRPr="0023036E">
        <w:rPr>
          <w:i/>
        </w:rPr>
        <w:t>required product data</w:t>
      </w:r>
      <w:r w:rsidRPr="0023036E">
        <w:t xml:space="preserve"> and </w:t>
      </w:r>
      <w:r w:rsidRPr="0023036E">
        <w:rPr>
          <w:i/>
        </w:rPr>
        <w:t>voluntary product data</w:t>
      </w:r>
      <w:r w:rsidRPr="0023036E">
        <w:t>—banking sector</w:t>
      </w:r>
      <w:bookmarkEnd w:id="613"/>
      <w:bookmarkEnd w:id="614"/>
    </w:p>
    <w:p w14:paraId="5156FE3E" w14:textId="7C66C34F" w:rsidR="00CF0E3D" w:rsidRPr="0023036E" w:rsidRDefault="00CF0E3D" w:rsidP="00CF0E3D">
      <w:pPr>
        <w:pStyle w:val="subsection"/>
      </w:pPr>
      <w:r w:rsidRPr="0023036E">
        <w:tab/>
      </w:r>
      <w:r>
        <w:t>(1)</w:t>
      </w:r>
      <w:r w:rsidRPr="0023036E">
        <w:tab/>
        <w:t xml:space="preserve">For these rules, </w:t>
      </w:r>
      <w:r w:rsidRPr="0023036E">
        <w:rPr>
          <w:b/>
          <w:i/>
        </w:rPr>
        <w:t>required product data</w:t>
      </w:r>
      <w:r w:rsidRPr="0023036E">
        <w:t>,</w:t>
      </w:r>
      <w:r>
        <w:t xml:space="preserve"> </w:t>
      </w:r>
      <w:r w:rsidRPr="0023036E">
        <w:t xml:space="preserve">in relation to </w:t>
      </w:r>
      <w:r w:rsidR="00A227D9" w:rsidRPr="00693A57">
        <w:rPr>
          <w:color w:val="FF0000"/>
        </w:rPr>
        <w:t xml:space="preserve">a data holder in </w:t>
      </w:r>
      <w:r w:rsidRPr="0023036E">
        <w:t>the banking sector, means CDR data</w:t>
      </w:r>
      <w:r w:rsidRPr="00814B1D">
        <w:t xml:space="preserve"> for which there are no CDR consumers</w:t>
      </w:r>
      <w:r w:rsidRPr="0023036E">
        <w:t>:</w:t>
      </w:r>
    </w:p>
    <w:p w14:paraId="11646FFC" w14:textId="77777777" w:rsidR="00CF0E3D" w:rsidRPr="007E1269" w:rsidRDefault="00CF0E3D" w:rsidP="00CF0E3D">
      <w:pPr>
        <w:pStyle w:val="paragraph"/>
      </w:pPr>
      <w:r w:rsidRPr="007E1269">
        <w:tab/>
      </w:r>
      <w:r>
        <w:t>(a)</w:t>
      </w:r>
      <w:r w:rsidRPr="007E1269">
        <w:tab/>
      </w:r>
      <w:r w:rsidRPr="00814B1D">
        <w:t>that is</w:t>
      </w:r>
      <w:r w:rsidRPr="007E1269">
        <w:t xml:space="preserve"> within a class of information specified in the banking sector designation instrument; and</w:t>
      </w:r>
    </w:p>
    <w:p w14:paraId="5528D9C2" w14:textId="77777777" w:rsidR="00CF0E3D" w:rsidRPr="0023036E" w:rsidRDefault="00CF0E3D" w:rsidP="00CF0E3D">
      <w:pPr>
        <w:pStyle w:val="paragraph"/>
      </w:pPr>
      <w:r w:rsidRPr="0023036E">
        <w:tab/>
      </w:r>
      <w:r>
        <w:t>(b)</w:t>
      </w:r>
      <w:r w:rsidRPr="0023036E">
        <w:tab/>
      </w:r>
      <w:r w:rsidRPr="007E1269">
        <w:t xml:space="preserve">that is </w:t>
      </w:r>
      <w:r w:rsidRPr="0023036E">
        <w:t>about the eligibility criteria, terms and conditions, price, availability or performance of a product; and</w:t>
      </w:r>
    </w:p>
    <w:p w14:paraId="1B36BEB2" w14:textId="77777777" w:rsidR="00CF0E3D" w:rsidRPr="0023036E" w:rsidRDefault="00CF0E3D" w:rsidP="00CF0E3D">
      <w:pPr>
        <w:pStyle w:val="paragraph"/>
      </w:pPr>
      <w:r w:rsidRPr="0023036E">
        <w:tab/>
      </w:r>
      <w:r>
        <w:t>(c)</w:t>
      </w:r>
      <w:r w:rsidRPr="0023036E">
        <w:tab/>
        <w:t>in the case where the CDR data is about availability or performance—</w:t>
      </w:r>
      <w:r w:rsidRPr="007E1269">
        <w:t xml:space="preserve">that is </w:t>
      </w:r>
      <w:r w:rsidRPr="0023036E">
        <w:t>publicly available; and</w:t>
      </w:r>
    </w:p>
    <w:p w14:paraId="1E3E76A0" w14:textId="77777777" w:rsidR="00CF0E3D" w:rsidRPr="0023036E" w:rsidRDefault="00CF0E3D" w:rsidP="00CF0E3D">
      <w:pPr>
        <w:pStyle w:val="paragraph"/>
      </w:pPr>
      <w:r w:rsidRPr="0023036E">
        <w:tab/>
      </w:r>
      <w:r>
        <w:t>(d)</w:t>
      </w:r>
      <w:r w:rsidRPr="0023036E">
        <w:tab/>
      </w:r>
      <w:r w:rsidRPr="007E1269">
        <w:t xml:space="preserve">that is </w:t>
      </w:r>
      <w:r w:rsidRPr="0023036E">
        <w:t>product specific data about</w:t>
      </w:r>
      <w:r>
        <w:t xml:space="preserve"> </w:t>
      </w:r>
      <w:r w:rsidRPr="00814B1D">
        <w:t>a</w:t>
      </w:r>
      <w:r>
        <w:t xml:space="preserve"> </w:t>
      </w:r>
      <w:r w:rsidRPr="0023036E">
        <w:t>product; and</w:t>
      </w:r>
    </w:p>
    <w:p w14:paraId="5D59A84C" w14:textId="77777777" w:rsidR="00CF0E3D" w:rsidRPr="0023036E" w:rsidRDefault="00CF0E3D" w:rsidP="00CF0E3D">
      <w:pPr>
        <w:pStyle w:val="paragraph"/>
      </w:pPr>
      <w:r w:rsidRPr="0023036E">
        <w:tab/>
      </w:r>
      <w:r>
        <w:t>(e)</w:t>
      </w:r>
      <w:r w:rsidRPr="0023036E">
        <w:tab/>
      </w:r>
      <w:r w:rsidRPr="007E1269">
        <w:t xml:space="preserve">that is </w:t>
      </w:r>
      <w:r w:rsidRPr="0023036E">
        <w:t>held in a digital form.</w:t>
      </w:r>
    </w:p>
    <w:p w14:paraId="539A5316" w14:textId="77777777" w:rsidR="00CF0E3D" w:rsidRPr="008E428F" w:rsidRDefault="00CF0E3D" w:rsidP="00CF0E3D">
      <w:pPr>
        <w:pStyle w:val="notetext"/>
      </w:pPr>
      <w:r w:rsidRPr="008E428F">
        <w:t xml:space="preserve">Note: </w:t>
      </w:r>
      <w:r w:rsidRPr="008E428F">
        <w:tab/>
        <w:t>Paragraphs </w:t>
      </w:r>
      <w:r>
        <w:t>(b)</w:t>
      </w:r>
      <w:r w:rsidRPr="008E428F">
        <w:t xml:space="preserve"> and </w:t>
      </w:r>
      <w:r>
        <w:t>(c)</w:t>
      </w:r>
      <w:r w:rsidRPr="008E428F">
        <w:t xml:space="preserve"> are based on subsection 56BF(1) of the Act.</w:t>
      </w:r>
    </w:p>
    <w:p w14:paraId="627246E9" w14:textId="0D5FB061" w:rsidR="00CF0E3D" w:rsidRDefault="00CF0E3D" w:rsidP="00CF0E3D">
      <w:pPr>
        <w:pStyle w:val="subsection"/>
      </w:pPr>
      <w:r w:rsidRPr="0023036E">
        <w:tab/>
      </w:r>
      <w:r>
        <w:t>(2)</w:t>
      </w:r>
      <w:r w:rsidRPr="0023036E">
        <w:tab/>
        <w:t xml:space="preserve">For these rules, </w:t>
      </w:r>
      <w:r w:rsidRPr="0023036E">
        <w:rPr>
          <w:b/>
          <w:i/>
        </w:rPr>
        <w:t>voluntary product data</w:t>
      </w:r>
      <w:r w:rsidRPr="0023036E">
        <w:t xml:space="preserve">, in relation to </w:t>
      </w:r>
      <w:r w:rsidR="00A227D9" w:rsidRPr="00693A57">
        <w:rPr>
          <w:color w:val="FF0000"/>
        </w:rPr>
        <w:t xml:space="preserve">a data holder in </w:t>
      </w:r>
      <w:r w:rsidRPr="0023036E">
        <w:t>the banking sector, means CDR data</w:t>
      </w:r>
      <w:r>
        <w:t xml:space="preserve"> </w:t>
      </w:r>
      <w:r w:rsidRPr="00814B1D">
        <w:t>for which there are no CDR consumers</w:t>
      </w:r>
      <w:r w:rsidRPr="007C39E2">
        <w:t>:</w:t>
      </w:r>
    </w:p>
    <w:p w14:paraId="55174344" w14:textId="77777777" w:rsidR="00CF0E3D" w:rsidRPr="00814B1D" w:rsidRDefault="00CF0E3D" w:rsidP="00CF0E3D">
      <w:pPr>
        <w:pStyle w:val="paragraph"/>
      </w:pPr>
      <w:r w:rsidRPr="00814B1D">
        <w:tab/>
      </w:r>
      <w:r>
        <w:t>(a)</w:t>
      </w:r>
      <w:r w:rsidRPr="00814B1D">
        <w:tab/>
        <w:t>that is within a class of information specified in the banking sector designation instrument; and</w:t>
      </w:r>
    </w:p>
    <w:p w14:paraId="787C73BF" w14:textId="77777777" w:rsidR="00CF0E3D" w:rsidRDefault="00CF0E3D" w:rsidP="00CF0E3D">
      <w:pPr>
        <w:pStyle w:val="paragraph"/>
        <w:rPr>
          <w:color w:val="000000" w:themeColor="text1"/>
        </w:rPr>
      </w:pPr>
      <w:r>
        <w:tab/>
      </w:r>
      <w:r>
        <w:rPr>
          <w:color w:val="000000" w:themeColor="text1"/>
        </w:rPr>
        <w:t>(b)</w:t>
      </w:r>
      <w:r w:rsidRPr="00E53912">
        <w:rPr>
          <w:color w:val="000000" w:themeColor="text1"/>
        </w:rPr>
        <w:tab/>
        <w:t>that is</w:t>
      </w:r>
      <w:r>
        <w:rPr>
          <w:color w:val="000000" w:themeColor="text1"/>
        </w:rPr>
        <w:t xml:space="preserve"> </w:t>
      </w:r>
      <w:r w:rsidRPr="00814B1D">
        <w:t>product specific data</w:t>
      </w:r>
      <w:r w:rsidRPr="00E53912">
        <w:rPr>
          <w:color w:val="000000" w:themeColor="text1"/>
        </w:rPr>
        <w:t xml:space="preserve"> about a product; and</w:t>
      </w:r>
    </w:p>
    <w:p w14:paraId="597163BE" w14:textId="77777777" w:rsidR="00CF0E3D" w:rsidRDefault="00CF0E3D" w:rsidP="00CF0E3D">
      <w:pPr>
        <w:pStyle w:val="paragraph"/>
      </w:pPr>
      <w:r w:rsidRPr="007C39E2">
        <w:tab/>
      </w:r>
      <w:r>
        <w:t>(c)</w:t>
      </w:r>
      <w:r w:rsidRPr="007C39E2">
        <w:tab/>
        <w:t>that is not required product data.</w:t>
      </w:r>
    </w:p>
    <w:p w14:paraId="2AFE2453" w14:textId="7068BCC7" w:rsidR="00A227D9" w:rsidRPr="00693A57" w:rsidRDefault="00A227D9" w:rsidP="00A227D9">
      <w:pPr>
        <w:pStyle w:val="subsection"/>
        <w:rPr>
          <w:color w:val="FF0000"/>
        </w:rPr>
      </w:pPr>
      <w:r w:rsidRPr="00693A57">
        <w:rPr>
          <w:color w:val="FF0000"/>
        </w:rPr>
        <w:tab/>
        <w:t>(3)</w:t>
      </w:r>
      <w:r w:rsidRPr="00693A57">
        <w:rPr>
          <w:color w:val="FF0000"/>
        </w:rPr>
        <w:tab/>
        <w:t xml:space="preserve">In this clause, a reference to a </w:t>
      </w:r>
      <w:r w:rsidRPr="00693A57">
        <w:rPr>
          <w:b/>
          <w:i/>
          <w:color w:val="FF0000"/>
        </w:rPr>
        <w:t>product</w:t>
      </w:r>
      <w:r w:rsidRPr="00693A57">
        <w:rPr>
          <w:color w:val="FF0000"/>
        </w:rPr>
        <w:t xml:space="preserve"> is a reference to a product offered by or on behalf of the data holder.</w:t>
      </w:r>
    </w:p>
    <w:p w14:paraId="6E0C4584" w14:textId="7C13368D" w:rsidR="00CF0E3D" w:rsidRDefault="00CF0E3D" w:rsidP="00CF0E3D">
      <w:pPr>
        <w:pStyle w:val="ActHead5"/>
      </w:pPr>
      <w:bookmarkStart w:id="615" w:name="_Toc11771730"/>
      <w:bookmarkStart w:id="616" w:name="_Toc77065090"/>
      <w:r>
        <w:t>3.2</w:t>
      </w:r>
      <w:r w:rsidRPr="0023036E">
        <w:t xml:space="preserve">  Meaning of </w:t>
      </w:r>
      <w:r w:rsidRPr="0023036E">
        <w:rPr>
          <w:i/>
        </w:rPr>
        <w:t>required consumer data</w:t>
      </w:r>
      <w:r w:rsidRPr="0023036E">
        <w:t xml:space="preserve"> and </w:t>
      </w:r>
      <w:r w:rsidRPr="0023036E">
        <w:rPr>
          <w:i/>
        </w:rPr>
        <w:t>voluntary consumer data</w:t>
      </w:r>
      <w:r w:rsidRPr="0023036E">
        <w:t>—banking sector</w:t>
      </w:r>
      <w:bookmarkEnd w:id="615"/>
      <w:bookmarkEnd w:id="616"/>
    </w:p>
    <w:p w14:paraId="67D3BC75" w14:textId="77777777" w:rsidR="00CF0E3D" w:rsidRPr="00105D54" w:rsidRDefault="00CF0E3D" w:rsidP="00CF0E3D">
      <w:pPr>
        <w:pStyle w:val="subsection"/>
      </w:pPr>
      <w:r w:rsidRPr="00105D54">
        <w:tab/>
      </w:r>
      <w:r>
        <w:t>(1)</w:t>
      </w:r>
      <w:r w:rsidRPr="00105D54">
        <w:tab/>
        <w:t xml:space="preserve">For these rules, subject to this clause, </w:t>
      </w:r>
      <w:r w:rsidRPr="00105D54">
        <w:rPr>
          <w:b/>
          <w:i/>
        </w:rPr>
        <w:t>required consumer data</w:t>
      </w:r>
      <w:r w:rsidRPr="00BF3A1C">
        <w:rPr>
          <w:i/>
        </w:rPr>
        <w:t>,</w:t>
      </w:r>
      <w:r w:rsidRPr="00105D54">
        <w:rPr>
          <w:b/>
          <w:i/>
        </w:rPr>
        <w:t xml:space="preserve"> </w:t>
      </w:r>
      <w:r w:rsidRPr="00105D54">
        <w:t>in relation to the banking sector</w:t>
      </w:r>
      <w:r w:rsidRPr="00814B1D">
        <w:t>, means CDR data for which there are one or more CDR consumers</w:t>
      </w:r>
      <w:r w:rsidRPr="00105D54">
        <w:t>:</w:t>
      </w:r>
    </w:p>
    <w:p w14:paraId="40F1B6BC" w14:textId="77777777" w:rsidR="00CF0E3D" w:rsidRPr="00814B1D" w:rsidRDefault="00CF0E3D" w:rsidP="00CF0E3D">
      <w:pPr>
        <w:pStyle w:val="paragraph"/>
      </w:pPr>
      <w:r w:rsidRPr="00814B1D">
        <w:tab/>
      </w:r>
      <w:r>
        <w:t>(a)</w:t>
      </w:r>
      <w:r w:rsidRPr="00814B1D">
        <w:tab/>
        <w:t>that is within a class of information specified in the banking sector designation instrument; and</w:t>
      </w:r>
    </w:p>
    <w:p w14:paraId="13FC2929" w14:textId="77777777" w:rsidR="00CF0E3D" w:rsidRPr="00105D54" w:rsidRDefault="00CF0E3D" w:rsidP="00CF0E3D">
      <w:pPr>
        <w:pStyle w:val="paragraph"/>
      </w:pPr>
      <w:r w:rsidRPr="00105D54">
        <w:tab/>
      </w:r>
      <w:r>
        <w:t>(b)</w:t>
      </w:r>
      <w:r w:rsidRPr="00105D54">
        <w:tab/>
      </w:r>
      <w:r w:rsidRPr="00814B1D">
        <w:t xml:space="preserve">that </w:t>
      </w:r>
      <w:r w:rsidRPr="00105D54">
        <w:t>is:</w:t>
      </w:r>
    </w:p>
    <w:p w14:paraId="4BC3BBB9" w14:textId="77777777" w:rsidR="00CF0E3D" w:rsidRPr="00105D54" w:rsidRDefault="00CF0E3D" w:rsidP="00CF0E3D">
      <w:pPr>
        <w:pStyle w:val="paragraphsub"/>
      </w:pPr>
      <w:r w:rsidRPr="00105D54">
        <w:lastRenderedPageBreak/>
        <w:tab/>
      </w:r>
      <w:r>
        <w:t>(i)</w:t>
      </w:r>
      <w:r w:rsidRPr="00105D54">
        <w:tab/>
        <w:t xml:space="preserve">customer data in relation to </w:t>
      </w:r>
      <w:r w:rsidRPr="00814B1D">
        <w:t xml:space="preserve">a CDR </w:t>
      </w:r>
      <w:r w:rsidRPr="00105D54">
        <w:t>consumer; or</w:t>
      </w:r>
    </w:p>
    <w:p w14:paraId="2F057A08" w14:textId="77777777" w:rsidR="00CF0E3D" w:rsidRPr="00CA7872" w:rsidRDefault="00CF0E3D" w:rsidP="00CF0E3D">
      <w:pPr>
        <w:pStyle w:val="paragraphsub"/>
      </w:pPr>
      <w:r w:rsidRPr="00CA7872">
        <w:tab/>
        <w:t>(ii)</w:t>
      </w:r>
      <w:r w:rsidRPr="00CA7872">
        <w:tab/>
        <w:t>account data in relation to an account of any of the following types (whether or not the account can be accessed online, and, subject to subclauses (4) and (5), whether or not open):</w:t>
      </w:r>
    </w:p>
    <w:p w14:paraId="002745E0" w14:textId="77777777" w:rsidR="00CF0E3D" w:rsidRPr="00CA7872" w:rsidRDefault="00CF0E3D" w:rsidP="00CF0E3D">
      <w:pPr>
        <w:pStyle w:val="paragraphsub-sub"/>
      </w:pPr>
      <w:r w:rsidRPr="00CA7872">
        <w:tab/>
        <w:t>(A)</w:t>
      </w:r>
      <w:r w:rsidRPr="00CA7872">
        <w:tab/>
        <w:t>an account held by a CDR consumer in their name alone;</w:t>
      </w:r>
    </w:p>
    <w:p w14:paraId="7DB041FE" w14:textId="77777777" w:rsidR="00CF0E3D" w:rsidRPr="00CA7872" w:rsidRDefault="00CF0E3D" w:rsidP="00CF0E3D">
      <w:pPr>
        <w:pStyle w:val="paragraphsub-sub"/>
      </w:pPr>
      <w:r w:rsidRPr="00CA7872">
        <w:tab/>
        <w:t>(B)</w:t>
      </w:r>
      <w:r w:rsidRPr="00CA7872">
        <w:tab/>
        <w:t>a joint account;</w:t>
      </w:r>
    </w:p>
    <w:p w14:paraId="6DE0A023" w14:textId="77777777" w:rsidR="00CF0E3D" w:rsidRPr="00CA7872" w:rsidRDefault="00CF0E3D" w:rsidP="00CF0E3D">
      <w:pPr>
        <w:pStyle w:val="paragraphsub-sub"/>
      </w:pPr>
      <w:r w:rsidRPr="00CA7872">
        <w:tab/>
        <w:t>(C)</w:t>
      </w:r>
      <w:r w:rsidRPr="00CA7872">
        <w:tab/>
        <w:t>a partnership account; or</w:t>
      </w:r>
      <w:r w:rsidRPr="00CA7872">
        <w:tab/>
      </w:r>
    </w:p>
    <w:p w14:paraId="5D6C5879" w14:textId="77777777" w:rsidR="00CF0E3D" w:rsidRPr="00105D54" w:rsidRDefault="00CF0E3D" w:rsidP="00CF0E3D">
      <w:pPr>
        <w:pStyle w:val="paragraphsub"/>
      </w:pPr>
      <w:r w:rsidRPr="00105D54">
        <w:tab/>
      </w:r>
      <w:r>
        <w:t>(iii)</w:t>
      </w:r>
      <w:r w:rsidRPr="00105D54">
        <w:tab/>
        <w:t xml:space="preserve">transaction data in relation to a transaction </w:t>
      </w:r>
      <w:r w:rsidRPr="00AB210C">
        <w:t xml:space="preserve">on any such </w:t>
      </w:r>
      <w:r w:rsidRPr="00105D54">
        <w:t>account; or</w:t>
      </w:r>
    </w:p>
    <w:p w14:paraId="208AFA3E" w14:textId="77777777" w:rsidR="00CF0E3D" w:rsidRDefault="00CF0E3D" w:rsidP="00CF0E3D">
      <w:pPr>
        <w:pStyle w:val="paragraphsub"/>
      </w:pPr>
      <w:r w:rsidRPr="00105D54">
        <w:tab/>
      </w:r>
      <w:r>
        <w:t>(iv)</w:t>
      </w:r>
      <w:r w:rsidRPr="00105D54">
        <w:tab/>
        <w:t xml:space="preserve">product specific data in relation to a product that </w:t>
      </w:r>
      <w:r w:rsidRPr="00814B1D">
        <w:t xml:space="preserve">a CDR </w:t>
      </w:r>
      <w:r w:rsidRPr="00105D54">
        <w:t>consumer uses</w:t>
      </w:r>
      <w:r>
        <w:t xml:space="preserve"> and that relates to any such account</w:t>
      </w:r>
      <w:r w:rsidRPr="00105D54">
        <w:t>; and</w:t>
      </w:r>
    </w:p>
    <w:p w14:paraId="0EAEDFAA" w14:textId="77777777" w:rsidR="00CF0E3D" w:rsidRDefault="00CF0E3D" w:rsidP="00CF0E3D">
      <w:pPr>
        <w:pStyle w:val="paragraph"/>
      </w:pPr>
      <w:r w:rsidRPr="00105D54">
        <w:tab/>
      </w:r>
      <w:r>
        <w:t>(c)</w:t>
      </w:r>
      <w:r w:rsidRPr="00105D54">
        <w:tab/>
        <w:t xml:space="preserve">that is held by the data holder </w:t>
      </w:r>
      <w:r w:rsidRPr="008D4396">
        <w:t>in a digital form</w:t>
      </w:r>
      <w:r w:rsidRPr="007C39E2">
        <w:t>.</w:t>
      </w:r>
    </w:p>
    <w:p w14:paraId="65C726A4" w14:textId="77777777" w:rsidR="00CF0E3D" w:rsidRDefault="00CF0E3D" w:rsidP="00CF0E3D">
      <w:pPr>
        <w:pStyle w:val="notetext"/>
      </w:pPr>
      <w:r>
        <w:t>Note 1:</w:t>
      </w:r>
      <w:r>
        <w:tab/>
        <w:t>For sub</w:t>
      </w:r>
      <w:r>
        <w:noBreakHyphen/>
        <w:t>subparagraph (b)(i</w:t>
      </w:r>
      <w:r w:rsidRPr="00572C56">
        <w:t>i</w:t>
      </w:r>
      <w:r>
        <w:t xml:space="preserve">)(B), consumer data requests cannot be made under these rules in relation to </w:t>
      </w:r>
      <w:r w:rsidRPr="002069FE">
        <w:t xml:space="preserve">any other kinds of </w:t>
      </w:r>
      <w:r>
        <w:t>joint accounts.</w:t>
      </w:r>
    </w:p>
    <w:p w14:paraId="24225006" w14:textId="77777777" w:rsidR="00CF0E3D" w:rsidRDefault="00CF0E3D" w:rsidP="00CF0E3D">
      <w:pPr>
        <w:pStyle w:val="notetext"/>
      </w:pPr>
      <w:r>
        <w:t>Note 2</w:t>
      </w:r>
      <w:r w:rsidRPr="00384313">
        <w:t>:</w:t>
      </w:r>
      <w:r w:rsidRPr="00384313">
        <w:tab/>
      </w:r>
      <w:r>
        <w:t>For subparagraph (b)(iv), for a consumer data request, product specific data could include the following:</w:t>
      </w:r>
    </w:p>
    <w:p w14:paraId="5364C5FA" w14:textId="77777777" w:rsidR="00CF0E3D" w:rsidRDefault="00CF0E3D" w:rsidP="00CF0E3D">
      <w:pPr>
        <w:pStyle w:val="notepara"/>
      </w:pPr>
      <w:r w:rsidRPr="00000C1C">
        <w:sym w:font="Symbol" w:char="F0B7"/>
      </w:r>
      <w:r w:rsidRPr="00000C1C">
        <w:tab/>
      </w:r>
      <w:r>
        <w:t xml:space="preserve">any product prices that were negotiated individually with </w:t>
      </w:r>
      <w:r w:rsidRPr="00814B1D">
        <w:t xml:space="preserve">a CDR </w:t>
      </w:r>
      <w:r>
        <w:t>consumer;</w:t>
      </w:r>
    </w:p>
    <w:p w14:paraId="5C0BF2D1" w14:textId="77777777" w:rsidR="00CF0E3D" w:rsidRDefault="00CF0E3D" w:rsidP="00CF0E3D">
      <w:pPr>
        <w:pStyle w:val="notepara"/>
      </w:pPr>
      <w:r w:rsidRPr="00000C1C">
        <w:sym w:font="Symbol" w:char="F0B7"/>
      </w:r>
      <w:r w:rsidRPr="00000C1C">
        <w:tab/>
      </w:r>
      <w:r>
        <w:t>the interest rates that are current at the time of the request, as well as any other interest rates applicable to the product, and any terms and conditions associated with those interest rates;</w:t>
      </w:r>
    </w:p>
    <w:p w14:paraId="516F2473" w14:textId="77777777" w:rsidR="00CF0E3D" w:rsidRDefault="00CF0E3D" w:rsidP="00CF0E3D">
      <w:pPr>
        <w:pStyle w:val="notepara"/>
      </w:pPr>
      <w:r w:rsidRPr="00000C1C">
        <w:sym w:font="Symbol" w:char="F0B7"/>
      </w:r>
      <w:r w:rsidRPr="00000C1C">
        <w:tab/>
      </w:r>
      <w:r>
        <w:t xml:space="preserve">any features and benefits negotiated individually with </w:t>
      </w:r>
      <w:r w:rsidRPr="00814B1D">
        <w:t xml:space="preserve">a CDR </w:t>
      </w:r>
      <w:r>
        <w:t>consumer.</w:t>
      </w:r>
    </w:p>
    <w:p w14:paraId="2FD63887" w14:textId="77777777" w:rsidR="00CF0E3D" w:rsidRPr="007C39E2" w:rsidRDefault="00CF0E3D" w:rsidP="00CF0E3D">
      <w:pPr>
        <w:pStyle w:val="notetext"/>
      </w:pPr>
      <w:r w:rsidRPr="007C39E2">
        <w:t xml:space="preserve">Note </w:t>
      </w:r>
      <w:r>
        <w:t>3</w:t>
      </w:r>
      <w:r w:rsidRPr="007C39E2">
        <w:t>:</w:t>
      </w:r>
      <w:r w:rsidRPr="007C39E2">
        <w:tab/>
        <w:t xml:space="preserve">So long as the CDR consumer is eligible to make a consumer data request in relation to a particular data holder, they will be able to make or cause to be made a consumer data request that relates to any account they have with the data holder, including closed </w:t>
      </w:r>
      <w:r>
        <w:t xml:space="preserve">accounts (subject to subclauses (4) and (5)) </w:t>
      </w:r>
      <w:r w:rsidRPr="007C39E2">
        <w:t>or accounts that cannot be accessed online.</w:t>
      </w:r>
    </w:p>
    <w:p w14:paraId="48436A56" w14:textId="77777777" w:rsidR="00CF0E3D" w:rsidRPr="007C39E2" w:rsidRDefault="00CF0E3D" w:rsidP="00CF0E3D">
      <w:pPr>
        <w:pStyle w:val="notetext"/>
      </w:pPr>
      <w:r w:rsidRPr="007C39E2">
        <w:t xml:space="preserve">Note </w:t>
      </w:r>
      <w:r>
        <w:t>4</w:t>
      </w:r>
      <w:r w:rsidRPr="007C39E2">
        <w:t>:</w:t>
      </w:r>
      <w:r w:rsidRPr="007C39E2">
        <w:tab/>
        <w:t>A person is not a data holder of CDR data that was held by or on behalf of them before the earliest holding day (see paragraph 56AJ(1)(b) of the Act). Accordingly, such data cannot be requested under these rules.</w:t>
      </w:r>
    </w:p>
    <w:p w14:paraId="5D53302B" w14:textId="77777777" w:rsidR="00CF0E3D" w:rsidRPr="007C39E2" w:rsidRDefault="00CF0E3D" w:rsidP="00CF0E3D">
      <w:pPr>
        <w:pStyle w:val="subsection"/>
      </w:pPr>
      <w:r w:rsidRPr="007C39E2">
        <w:tab/>
      </w:r>
      <w:r>
        <w:t>(2)</w:t>
      </w:r>
      <w:r w:rsidRPr="007C39E2">
        <w:tab/>
        <w:t xml:space="preserve">For these rules, subject to this clause, CDR data is </w:t>
      </w:r>
      <w:r w:rsidRPr="007C39E2">
        <w:rPr>
          <w:b/>
          <w:i/>
        </w:rPr>
        <w:t xml:space="preserve">voluntary consumer data </w:t>
      </w:r>
      <w:r w:rsidRPr="007C39E2">
        <w:t>in relation to the banking sector if:</w:t>
      </w:r>
    </w:p>
    <w:p w14:paraId="5B6BD409" w14:textId="77777777" w:rsidR="00CF0E3D" w:rsidRPr="007C39E2" w:rsidRDefault="00CF0E3D" w:rsidP="00CF0E3D">
      <w:pPr>
        <w:pStyle w:val="paragraph"/>
      </w:pPr>
      <w:r w:rsidRPr="007C39E2">
        <w:tab/>
      </w:r>
      <w:r>
        <w:t>(a)</w:t>
      </w:r>
      <w:r w:rsidRPr="007C39E2">
        <w:tab/>
        <w:t>there is a CDR consumer for the CDR data; and</w:t>
      </w:r>
    </w:p>
    <w:p w14:paraId="52B2451F" w14:textId="77777777" w:rsidR="00CF0E3D" w:rsidRPr="007C39E2" w:rsidRDefault="00CF0E3D" w:rsidP="00CF0E3D">
      <w:pPr>
        <w:pStyle w:val="paragraph"/>
      </w:pPr>
      <w:r w:rsidRPr="007C39E2">
        <w:tab/>
      </w:r>
      <w:r>
        <w:t>(b)</w:t>
      </w:r>
      <w:r w:rsidRPr="007C39E2">
        <w:tab/>
        <w:t>the CDR data is not required consumer data.</w:t>
      </w:r>
    </w:p>
    <w:p w14:paraId="1C1286AA" w14:textId="24D0FCB1" w:rsidR="00CF0E3D" w:rsidRPr="00F07699" w:rsidRDefault="00CF0E3D" w:rsidP="00CF0E3D">
      <w:pPr>
        <w:pStyle w:val="subsection"/>
      </w:pPr>
      <w:r w:rsidRPr="00F07699">
        <w:tab/>
        <w:t>(3)</w:t>
      </w:r>
      <w:r w:rsidRPr="00F07699">
        <w:tab/>
        <w:t>For this clause:</w:t>
      </w:r>
      <w:r w:rsidR="006F0D6C">
        <w:t xml:space="preserve">.  </w:t>
      </w:r>
    </w:p>
    <w:p w14:paraId="0DC4D76A" w14:textId="77777777" w:rsidR="00CF0E3D" w:rsidRPr="00BE51CD" w:rsidRDefault="00CF0E3D" w:rsidP="00CF0E3D">
      <w:pPr>
        <w:pStyle w:val="paragraph"/>
      </w:pPr>
      <w:r w:rsidRPr="00BE51CD">
        <w:tab/>
        <w:t>(a)</w:t>
      </w:r>
      <w:r w:rsidRPr="00BE51CD">
        <w:tab/>
        <w:t xml:space="preserve">CDR data is neither </w:t>
      </w:r>
      <w:r w:rsidRPr="00BE51CD">
        <w:rPr>
          <w:b/>
          <w:i/>
        </w:rPr>
        <w:t xml:space="preserve">required consumer data </w:t>
      </w:r>
      <w:r w:rsidRPr="00BE51CD">
        <w:t xml:space="preserve">nor </w:t>
      </w:r>
      <w:r w:rsidRPr="00BE51CD">
        <w:rPr>
          <w:b/>
          <w:i/>
        </w:rPr>
        <w:t>voluntary consumer data</w:t>
      </w:r>
      <w:r w:rsidRPr="00BE51CD">
        <w:t xml:space="preserve"> at a particular time if the data is:</w:t>
      </w:r>
    </w:p>
    <w:p w14:paraId="5388C510" w14:textId="77777777" w:rsidR="00CF0E3D" w:rsidRPr="00BE51CD" w:rsidRDefault="00CF0E3D" w:rsidP="00CF0E3D">
      <w:pPr>
        <w:pStyle w:val="paragraphsub"/>
      </w:pPr>
      <w:r w:rsidRPr="00BE51CD">
        <w:tab/>
        <w:t>(i)</w:t>
      </w:r>
      <w:r w:rsidRPr="00BE51CD">
        <w:tab/>
        <w:t>account data in relation to an account that is not any of the following:</w:t>
      </w:r>
    </w:p>
    <w:p w14:paraId="40FCE28F" w14:textId="77777777" w:rsidR="00CF0E3D" w:rsidRPr="00BE51CD" w:rsidRDefault="00CF0E3D" w:rsidP="00CF0E3D">
      <w:pPr>
        <w:pStyle w:val="paragraphsub-sub"/>
      </w:pPr>
      <w:r w:rsidRPr="00BE51CD">
        <w:tab/>
        <w:t>(A)</w:t>
      </w:r>
      <w:r w:rsidRPr="00BE51CD">
        <w:tab/>
        <w:t>an account held in the name of a single person;</w:t>
      </w:r>
    </w:p>
    <w:p w14:paraId="408C696E" w14:textId="77777777" w:rsidR="00CF0E3D" w:rsidRPr="00BE51CD" w:rsidRDefault="00CF0E3D" w:rsidP="00CF0E3D">
      <w:pPr>
        <w:pStyle w:val="paragraphsub-sub"/>
      </w:pPr>
      <w:r w:rsidRPr="00BE51CD">
        <w:tab/>
        <w:t>(B)</w:t>
      </w:r>
      <w:r w:rsidRPr="00BE51CD">
        <w:tab/>
        <w:t>a joint account;</w:t>
      </w:r>
    </w:p>
    <w:p w14:paraId="65B586DD" w14:textId="77777777" w:rsidR="00CF0E3D" w:rsidRPr="00BE51CD" w:rsidRDefault="00CF0E3D" w:rsidP="00CF0E3D">
      <w:pPr>
        <w:pStyle w:val="paragraphsub-sub"/>
      </w:pPr>
      <w:r w:rsidRPr="00BE51CD">
        <w:tab/>
        <w:t>(C)</w:t>
      </w:r>
      <w:r w:rsidRPr="00BE51CD">
        <w:tab/>
        <w:t>a partnership account; or</w:t>
      </w:r>
    </w:p>
    <w:p w14:paraId="0003A754" w14:textId="77777777" w:rsidR="00CF0E3D" w:rsidRPr="00BE51CD" w:rsidRDefault="00CF0E3D" w:rsidP="00CF0E3D">
      <w:pPr>
        <w:pStyle w:val="paragraphsub"/>
      </w:pPr>
      <w:r w:rsidRPr="00BE51CD">
        <w:tab/>
        <w:t>(ii)</w:t>
      </w:r>
      <w:r w:rsidRPr="00BE51CD">
        <w:tab/>
        <w:t>account data in relation to a joint account or partnership account for which any of the individuals who are</w:t>
      </w:r>
      <w:r w:rsidRPr="00BE51CD">
        <w:rPr>
          <w:u w:val="words"/>
        </w:rPr>
        <w:t xml:space="preserve"> </w:t>
      </w:r>
      <w:r w:rsidRPr="00BE51CD">
        <w:t>account holders is less than 18 years of age at that time; or</w:t>
      </w:r>
    </w:p>
    <w:p w14:paraId="2736E93B" w14:textId="77777777" w:rsidR="00CF0E3D" w:rsidRPr="00BE51CD" w:rsidRDefault="00CF0E3D" w:rsidP="00CF0E3D">
      <w:pPr>
        <w:pStyle w:val="paragraphsub"/>
      </w:pPr>
      <w:r w:rsidRPr="00BE51CD">
        <w:tab/>
        <w:t>(iv)</w:t>
      </w:r>
      <w:r w:rsidRPr="00BE51CD">
        <w:tab/>
        <w:t>transaction data in relation to a transaction on any such account; or</w:t>
      </w:r>
    </w:p>
    <w:p w14:paraId="009E3A41" w14:textId="77777777" w:rsidR="00CF0E3D" w:rsidRPr="00BE51CD" w:rsidRDefault="00CF0E3D" w:rsidP="00CF0E3D">
      <w:pPr>
        <w:pStyle w:val="paragraphsub"/>
      </w:pPr>
      <w:r w:rsidRPr="00BE51CD">
        <w:tab/>
        <w:t>(v)</w:t>
      </w:r>
      <w:r w:rsidRPr="00BE51CD">
        <w:tab/>
        <w:t>product specific data in relation to a product relating to any such account; and</w:t>
      </w:r>
    </w:p>
    <w:p w14:paraId="512D8B4B" w14:textId="77777777" w:rsidR="00CF0E3D" w:rsidRPr="00BE51CD" w:rsidRDefault="00CF0E3D" w:rsidP="00CF0E3D">
      <w:pPr>
        <w:pStyle w:val="paragraph"/>
      </w:pPr>
      <w:r w:rsidRPr="00BE51CD">
        <w:lastRenderedPageBreak/>
        <w:tab/>
        <w:t>(b)</w:t>
      </w:r>
      <w:r w:rsidRPr="00BE51CD">
        <w:tab/>
        <w:t xml:space="preserve">for a consumer data request made by or on behalf of a particular person, customer data in relation to any account holder or secondary user other than that person is neither </w:t>
      </w:r>
      <w:r w:rsidRPr="00BE51CD">
        <w:rPr>
          <w:b/>
          <w:i/>
        </w:rPr>
        <w:t xml:space="preserve">required consumer data </w:t>
      </w:r>
      <w:r w:rsidRPr="00BE51CD">
        <w:t xml:space="preserve">nor </w:t>
      </w:r>
      <w:r w:rsidRPr="00BE51CD">
        <w:rPr>
          <w:b/>
          <w:i/>
        </w:rPr>
        <w:t>voluntary consumer data</w:t>
      </w:r>
      <w:r w:rsidRPr="00BE51CD">
        <w:t>.</w:t>
      </w:r>
    </w:p>
    <w:p w14:paraId="5B459CDE" w14:textId="77777777" w:rsidR="00CF0E3D" w:rsidRPr="00BE51CD" w:rsidRDefault="00CF0E3D" w:rsidP="00CF0E3D">
      <w:pPr>
        <w:pStyle w:val="SubsectionHead"/>
      </w:pPr>
      <w:r w:rsidRPr="00BE51CD">
        <w:t xml:space="preserve">Exception to </w:t>
      </w:r>
      <w:r w:rsidRPr="00BE51CD">
        <w:rPr>
          <w:b/>
        </w:rPr>
        <w:t>required consumer data</w:t>
      </w:r>
      <w:r w:rsidRPr="00BE51CD">
        <w:t>―open accounts</w:t>
      </w:r>
    </w:p>
    <w:p w14:paraId="189FCB77" w14:textId="77777777" w:rsidR="00CF0E3D" w:rsidRPr="00BE51CD" w:rsidRDefault="00CF0E3D" w:rsidP="00CF0E3D">
      <w:pPr>
        <w:pStyle w:val="subsection"/>
      </w:pPr>
      <w:r w:rsidRPr="00BE51CD">
        <w:tab/>
        <w:t>(4)</w:t>
      </w:r>
      <w:r w:rsidRPr="00BE51CD">
        <w:tab/>
        <w:t xml:space="preserve">Despite subclause (1), for an account that is open at a particular time, the following CDR data is not </w:t>
      </w:r>
      <w:r w:rsidRPr="00BE51CD">
        <w:rPr>
          <w:b/>
          <w:i/>
        </w:rPr>
        <w:t xml:space="preserve">required consumer data </w:t>
      </w:r>
      <w:r w:rsidRPr="00BE51CD">
        <w:t>at that time:</w:t>
      </w:r>
    </w:p>
    <w:p w14:paraId="454D4D67" w14:textId="77777777" w:rsidR="00CF0E3D" w:rsidRPr="00BE51CD" w:rsidRDefault="00CF0E3D" w:rsidP="00CF0E3D">
      <w:pPr>
        <w:pStyle w:val="paragraph"/>
      </w:pPr>
      <w:r w:rsidRPr="00BE51CD">
        <w:tab/>
        <w:t>(a)</w:t>
      </w:r>
      <w:r w:rsidRPr="00BE51CD">
        <w:tab/>
        <w:t>transaction data in relation to a transaction that occurred more than 7 years before that time;</w:t>
      </w:r>
    </w:p>
    <w:p w14:paraId="419F3299" w14:textId="77777777" w:rsidR="00CF0E3D" w:rsidRPr="00BE51CD" w:rsidRDefault="00CF0E3D" w:rsidP="00CF0E3D">
      <w:pPr>
        <w:pStyle w:val="paragraph"/>
      </w:pPr>
      <w:r w:rsidRPr="00BE51CD">
        <w:tab/>
        <w:t>(b)</w:t>
      </w:r>
      <w:r w:rsidRPr="00BE51CD">
        <w:tab/>
        <w:t>account data that relates to an authorisation on an account for a direct debit deduction that occurred more than 13 months before that time.</w:t>
      </w:r>
    </w:p>
    <w:p w14:paraId="1364EAAE" w14:textId="77777777" w:rsidR="00CF0E3D" w:rsidRPr="00BE51CD" w:rsidRDefault="00CF0E3D" w:rsidP="00CF0E3D">
      <w:pPr>
        <w:pStyle w:val="notetext"/>
      </w:pPr>
      <w:r w:rsidRPr="00BE51CD">
        <w:t>Note:</w:t>
      </w:r>
      <w:r w:rsidRPr="00BE51CD">
        <w:tab/>
        <w:t xml:space="preserve">As a result, such CDR data would be </w:t>
      </w:r>
      <w:r w:rsidRPr="00BE51CD">
        <w:rPr>
          <w:b/>
          <w:i/>
        </w:rPr>
        <w:t>voluntary consumer data</w:t>
      </w:r>
      <w:r w:rsidRPr="00BE51CD">
        <w:t>.</w:t>
      </w:r>
    </w:p>
    <w:p w14:paraId="218BD98C" w14:textId="77777777" w:rsidR="00CF0E3D" w:rsidRPr="00BE51CD" w:rsidRDefault="00CF0E3D" w:rsidP="00CF0E3D">
      <w:pPr>
        <w:pStyle w:val="SubsectionHead"/>
      </w:pPr>
      <w:r w:rsidRPr="00BE51CD">
        <w:t xml:space="preserve">Exception to </w:t>
      </w:r>
      <w:r w:rsidRPr="00BE51CD">
        <w:rPr>
          <w:b/>
        </w:rPr>
        <w:t>required consumer data</w:t>
      </w:r>
      <w:r w:rsidRPr="00BE51CD">
        <w:t>―closed accounts</w:t>
      </w:r>
    </w:p>
    <w:p w14:paraId="0D259C84" w14:textId="77777777" w:rsidR="00CF0E3D" w:rsidRPr="00BE51CD" w:rsidRDefault="00CF0E3D" w:rsidP="00CF0E3D">
      <w:pPr>
        <w:pStyle w:val="subsection"/>
      </w:pPr>
      <w:r w:rsidRPr="00BE51CD">
        <w:tab/>
        <w:t>(5)</w:t>
      </w:r>
      <w:r w:rsidRPr="00BE51CD">
        <w:tab/>
        <w:t xml:space="preserve">Despite subclause (1), for an account that is closed at a particular time, the following CDR data is not </w:t>
      </w:r>
      <w:r w:rsidRPr="00BE51CD">
        <w:rPr>
          <w:b/>
          <w:i/>
        </w:rPr>
        <w:t xml:space="preserve">required consumer data </w:t>
      </w:r>
      <w:r w:rsidRPr="00BE51CD">
        <w:t>at that time:</w:t>
      </w:r>
    </w:p>
    <w:p w14:paraId="76F22075" w14:textId="77777777" w:rsidR="00CF0E3D" w:rsidRPr="00BE51CD" w:rsidRDefault="00CF0E3D" w:rsidP="00CF0E3D">
      <w:pPr>
        <w:pStyle w:val="paragraph"/>
      </w:pPr>
      <w:r w:rsidRPr="00BE51CD">
        <w:tab/>
        <w:t>(a)</w:t>
      </w:r>
      <w:r w:rsidRPr="00BE51CD">
        <w:tab/>
        <w:t>account data that relates to an authorisation on an account for direct debit deductions;</w:t>
      </w:r>
    </w:p>
    <w:p w14:paraId="41D424A9" w14:textId="77777777" w:rsidR="00CF0E3D" w:rsidRPr="00BE51CD" w:rsidRDefault="00CF0E3D" w:rsidP="00CF0E3D">
      <w:pPr>
        <w:pStyle w:val="paragraph"/>
      </w:pPr>
      <w:r w:rsidRPr="00BE51CD">
        <w:tab/>
        <w:t>(b)</w:t>
      </w:r>
      <w:r w:rsidRPr="00BE51CD">
        <w:tab/>
        <w:t>where the account was closed no more than 24 months before that time―transaction data in relation to a transaction that occurred more than 12 months before the account was closed;</w:t>
      </w:r>
    </w:p>
    <w:p w14:paraId="028F407D" w14:textId="77777777" w:rsidR="00CF0E3D" w:rsidRPr="00BE51CD" w:rsidRDefault="00CF0E3D" w:rsidP="00CF0E3D">
      <w:pPr>
        <w:pStyle w:val="paragraph"/>
      </w:pPr>
      <w:r w:rsidRPr="00BE51CD">
        <w:tab/>
        <w:t>(c)</w:t>
      </w:r>
      <w:r w:rsidRPr="00BE51CD">
        <w:tab/>
        <w:t>where the account was closed more than 24 months before that time:</w:t>
      </w:r>
    </w:p>
    <w:p w14:paraId="4CA9ADC3" w14:textId="77777777" w:rsidR="00CF0E3D" w:rsidRPr="00BE51CD" w:rsidRDefault="00CF0E3D" w:rsidP="00CF0E3D">
      <w:pPr>
        <w:pStyle w:val="paragraphsub"/>
      </w:pPr>
      <w:r w:rsidRPr="00BE51CD">
        <w:tab/>
        <w:t>(i)</w:t>
      </w:r>
      <w:r w:rsidRPr="00BE51CD">
        <w:tab/>
        <w:t>account data that relates to the account; and</w:t>
      </w:r>
    </w:p>
    <w:p w14:paraId="247BEE15" w14:textId="77777777" w:rsidR="00CF0E3D" w:rsidRPr="00BE51CD" w:rsidRDefault="00CF0E3D" w:rsidP="00CF0E3D">
      <w:pPr>
        <w:pStyle w:val="paragraphsub"/>
      </w:pPr>
      <w:r w:rsidRPr="00BE51CD">
        <w:tab/>
        <w:t>(ii)</w:t>
      </w:r>
      <w:r w:rsidRPr="00BE51CD">
        <w:tab/>
        <w:t>transaction data that relates to any transaction on the account; and</w:t>
      </w:r>
    </w:p>
    <w:p w14:paraId="416956BF" w14:textId="77777777" w:rsidR="00CF0E3D" w:rsidRPr="00BE51CD" w:rsidRDefault="00CF0E3D" w:rsidP="00CF0E3D">
      <w:pPr>
        <w:pStyle w:val="paragraphsub"/>
      </w:pPr>
      <w:r w:rsidRPr="00BE51CD">
        <w:tab/>
        <w:t>(iii)</w:t>
      </w:r>
      <w:r w:rsidRPr="00BE51CD">
        <w:tab/>
        <w:t>product specific data in relation to a product relating to any such account.</w:t>
      </w:r>
    </w:p>
    <w:p w14:paraId="0131C34B" w14:textId="77777777" w:rsidR="00CF0E3D" w:rsidRPr="0096277A" w:rsidRDefault="00CF0E3D" w:rsidP="00CF0E3D">
      <w:pPr>
        <w:pStyle w:val="notetext"/>
      </w:pPr>
      <w:r w:rsidRPr="00BE51CD">
        <w:t>Note:</w:t>
      </w:r>
      <w:r w:rsidRPr="00BE51CD">
        <w:tab/>
        <w:t xml:space="preserve">As a result, such CDR data would be </w:t>
      </w:r>
      <w:r w:rsidRPr="00BE51CD">
        <w:rPr>
          <w:b/>
          <w:i/>
        </w:rPr>
        <w:t>voluntary consumer data</w:t>
      </w:r>
      <w:r>
        <w:t>.</w:t>
      </w:r>
    </w:p>
    <w:p w14:paraId="6D1DC8EB" w14:textId="77777777" w:rsidR="00CF0E3D" w:rsidRPr="00693A57" w:rsidRDefault="00CF0E3D" w:rsidP="00CF0E3D">
      <w:pPr>
        <w:pStyle w:val="ActHead2"/>
        <w:rPr>
          <w:strike/>
          <w:color w:val="0000FF"/>
        </w:rPr>
      </w:pPr>
      <w:bookmarkStart w:id="617" w:name="_Toc59549177"/>
      <w:bookmarkStart w:id="618" w:name="_Toc77065091"/>
      <w:bookmarkStart w:id="619" w:name="_Toc11771731"/>
      <w:r w:rsidRPr="00693A57">
        <w:rPr>
          <w:strike/>
          <w:color w:val="0000FF"/>
        </w:rPr>
        <w:t>Part 4—Joint accounts</w:t>
      </w:r>
      <w:bookmarkEnd w:id="617"/>
      <w:bookmarkEnd w:id="618"/>
    </w:p>
    <w:p w14:paraId="2AB1D3D0" w14:textId="77777777" w:rsidR="00CF0E3D" w:rsidRPr="00693A57" w:rsidRDefault="00CF0E3D" w:rsidP="00CF0E3D">
      <w:pPr>
        <w:pStyle w:val="ActHead3"/>
        <w:rPr>
          <w:strike/>
          <w:color w:val="0000FF"/>
        </w:rPr>
      </w:pPr>
      <w:bookmarkStart w:id="620" w:name="_Toc51337620"/>
      <w:bookmarkStart w:id="621" w:name="_Toc50633228"/>
      <w:bookmarkStart w:id="622" w:name="_Toc57219192"/>
      <w:bookmarkStart w:id="623" w:name="_Toc59549178"/>
      <w:bookmarkStart w:id="624" w:name="_Toc77065092"/>
      <w:r w:rsidRPr="00693A57">
        <w:rPr>
          <w:strike/>
          <w:color w:val="0000FF"/>
        </w:rPr>
        <w:t>Division 4.1—Preliminary</w:t>
      </w:r>
      <w:bookmarkEnd w:id="620"/>
      <w:bookmarkEnd w:id="621"/>
      <w:bookmarkEnd w:id="622"/>
      <w:bookmarkEnd w:id="623"/>
      <w:bookmarkEnd w:id="624"/>
    </w:p>
    <w:p w14:paraId="03179BEC" w14:textId="77777777" w:rsidR="00CF0E3D" w:rsidRPr="00693A57" w:rsidRDefault="00CF0E3D" w:rsidP="00CF0E3D">
      <w:pPr>
        <w:pStyle w:val="ActHead5"/>
        <w:rPr>
          <w:strike/>
          <w:noProof/>
          <w:color w:val="0000FF"/>
          <w:lang w:val="en-US"/>
        </w:rPr>
      </w:pPr>
      <w:bookmarkStart w:id="625" w:name="_Toc51337621"/>
      <w:bookmarkStart w:id="626" w:name="_Toc50633229"/>
      <w:bookmarkStart w:id="627" w:name="_Toc57219193"/>
      <w:bookmarkStart w:id="628" w:name="_Toc59549179"/>
      <w:bookmarkStart w:id="629" w:name="_Toc77065093"/>
      <w:r w:rsidRPr="00693A57">
        <w:rPr>
          <w:strike/>
          <w:noProof/>
          <w:color w:val="0000FF"/>
          <w:lang w:val="en-US"/>
        </w:rPr>
        <w:t>4.1  Purpose of Part</w:t>
      </w:r>
      <w:bookmarkEnd w:id="625"/>
      <w:bookmarkEnd w:id="626"/>
      <w:bookmarkEnd w:id="627"/>
      <w:bookmarkEnd w:id="628"/>
      <w:bookmarkEnd w:id="629"/>
    </w:p>
    <w:p w14:paraId="3BC5598B" w14:textId="77777777" w:rsidR="00CF0E3D" w:rsidRPr="00693A57" w:rsidRDefault="00CF0E3D" w:rsidP="00CF0E3D">
      <w:pPr>
        <w:pStyle w:val="subsection"/>
        <w:rPr>
          <w:strike/>
          <w:color w:val="0000FF"/>
          <w:lang w:val="en-US"/>
        </w:rPr>
      </w:pPr>
      <w:r w:rsidRPr="00693A57">
        <w:rPr>
          <w:strike/>
          <w:color w:val="0000FF"/>
          <w:lang w:val="en-US"/>
        </w:rPr>
        <w:tab/>
      </w:r>
      <w:r w:rsidRPr="00693A57">
        <w:rPr>
          <w:strike/>
          <w:color w:val="0000FF"/>
          <w:lang w:val="en-US"/>
        </w:rPr>
        <w:tab/>
        <w:t>Special rules apply in relation to consumer data requests under Part 4 of these rules under which there is a request for disclosure of CDR data that relates to one or more joint accounts within the banking sector. This Part sets out those rules.</w:t>
      </w:r>
    </w:p>
    <w:p w14:paraId="1D08F4CE" w14:textId="77777777" w:rsidR="00CF0E3D" w:rsidRPr="00693A57" w:rsidRDefault="00CF0E3D" w:rsidP="00CF0E3D">
      <w:pPr>
        <w:pStyle w:val="ActHead5"/>
        <w:rPr>
          <w:strike/>
          <w:color w:val="0000FF"/>
          <w:lang w:val="en-US"/>
        </w:rPr>
      </w:pPr>
      <w:bookmarkStart w:id="630" w:name="_Toc50633230"/>
      <w:bookmarkStart w:id="631" w:name="_Toc51337622"/>
      <w:bookmarkStart w:id="632" w:name="_Toc57219194"/>
      <w:bookmarkStart w:id="633" w:name="_Toc59549180"/>
      <w:bookmarkStart w:id="634" w:name="_Toc77065094"/>
      <w:r w:rsidRPr="00693A57">
        <w:rPr>
          <w:strike/>
          <w:color w:val="0000FF"/>
          <w:lang w:val="en-US"/>
        </w:rPr>
        <w:t xml:space="preserve">4.2  </w:t>
      </w:r>
      <w:bookmarkEnd w:id="630"/>
      <w:r w:rsidRPr="00693A57">
        <w:rPr>
          <w:strike/>
          <w:color w:val="0000FF"/>
          <w:lang w:val="en-US"/>
        </w:rPr>
        <w:t>Application of Part</w:t>
      </w:r>
      <w:bookmarkEnd w:id="631"/>
      <w:bookmarkEnd w:id="632"/>
      <w:bookmarkEnd w:id="633"/>
      <w:bookmarkEnd w:id="634"/>
    </w:p>
    <w:p w14:paraId="7BA43C01" w14:textId="77777777" w:rsidR="00CF0E3D" w:rsidRPr="00693A57" w:rsidRDefault="00CF0E3D" w:rsidP="00CF0E3D">
      <w:pPr>
        <w:pStyle w:val="notemargin"/>
        <w:rPr>
          <w:strike/>
          <w:color w:val="0000FF"/>
          <w:lang w:val="en-US"/>
        </w:rPr>
      </w:pPr>
      <w:r w:rsidRPr="00693A57">
        <w:rPr>
          <w:strike/>
          <w:color w:val="0000FF"/>
          <w:lang w:val="en-US"/>
        </w:rPr>
        <w:t>Note:</w:t>
      </w:r>
      <w:r w:rsidRPr="00693A57">
        <w:rPr>
          <w:strike/>
          <w:color w:val="0000FF"/>
          <w:lang w:val="en-US"/>
        </w:rPr>
        <w:tab/>
        <w:t>This Part does not apply to all joint accounts with data holders. This clause sets out the joint accounts to which this Part applies.</w:t>
      </w:r>
    </w:p>
    <w:p w14:paraId="669EE2E7" w14:textId="77777777" w:rsidR="00CF0E3D" w:rsidRPr="00693A57" w:rsidRDefault="00CF0E3D" w:rsidP="00CF0E3D">
      <w:pPr>
        <w:pStyle w:val="subsection"/>
        <w:rPr>
          <w:strike/>
          <w:color w:val="0000FF"/>
          <w:lang w:val="en-US"/>
        </w:rPr>
      </w:pPr>
      <w:r w:rsidRPr="00693A57">
        <w:rPr>
          <w:strike/>
          <w:color w:val="0000FF"/>
          <w:lang w:val="en-US"/>
        </w:rPr>
        <w:lastRenderedPageBreak/>
        <w:tab/>
      </w:r>
      <w:r w:rsidRPr="00693A57">
        <w:rPr>
          <w:strike/>
          <w:color w:val="0000FF"/>
          <w:lang w:val="en-US"/>
        </w:rPr>
        <w:tab/>
        <w:t>This Part applies to a joint account with a data holder if all joint account holders are eligible in relation to the data holder.</w:t>
      </w:r>
    </w:p>
    <w:p w14:paraId="7873B186" w14:textId="77777777" w:rsidR="00CF0E3D" w:rsidRPr="00693A57" w:rsidRDefault="00CF0E3D" w:rsidP="00CF0E3D">
      <w:pPr>
        <w:pStyle w:val="notetext"/>
        <w:rPr>
          <w:strike/>
          <w:color w:val="0000FF"/>
          <w:shd w:val="clear" w:color="auto" w:fill="FFFFFF"/>
        </w:rPr>
      </w:pPr>
      <w:r w:rsidRPr="00693A57">
        <w:rPr>
          <w:strike/>
          <w:color w:val="0000FF"/>
          <w:shd w:val="clear" w:color="auto" w:fill="FFFFFF"/>
        </w:rPr>
        <w:t>Note:</w:t>
      </w:r>
      <w:r w:rsidRPr="00693A57">
        <w:rPr>
          <w:strike/>
          <w:color w:val="0000FF"/>
          <w:shd w:val="clear" w:color="auto" w:fill="FFFFFF"/>
        </w:rPr>
        <w:tab/>
        <w:t>See subrule 1.7(1) for the meaning of “eligible”. For the banking sector, see clause 2.1 of this Schedule for when a CDR consumer is eligible.</w:t>
      </w:r>
    </w:p>
    <w:p w14:paraId="096E5A51" w14:textId="77777777" w:rsidR="00CF0E3D" w:rsidRPr="00693A57" w:rsidRDefault="00CF0E3D" w:rsidP="00CF0E3D">
      <w:pPr>
        <w:pStyle w:val="ActHead5"/>
        <w:rPr>
          <w:strike/>
          <w:color w:val="0000FF"/>
          <w:lang w:val="en-US"/>
        </w:rPr>
      </w:pPr>
      <w:bookmarkStart w:id="635" w:name="_Toc51329590"/>
      <w:bookmarkStart w:id="636" w:name="_Toc51337623"/>
      <w:bookmarkStart w:id="637" w:name="_Toc57219196"/>
      <w:bookmarkStart w:id="638" w:name="_Toc59549181"/>
      <w:bookmarkStart w:id="639" w:name="_Toc77065095"/>
      <w:r w:rsidRPr="00693A57">
        <w:rPr>
          <w:strike/>
          <w:color w:val="0000FF"/>
          <w:lang w:val="en-US"/>
        </w:rPr>
        <w:t>4.3  Simplified outline of this Part</w:t>
      </w:r>
      <w:bookmarkEnd w:id="635"/>
      <w:bookmarkEnd w:id="636"/>
      <w:bookmarkEnd w:id="637"/>
      <w:bookmarkEnd w:id="638"/>
      <w:bookmarkEnd w:id="639"/>
    </w:p>
    <w:p w14:paraId="698B99FC" w14:textId="77777777" w:rsidR="00CF0E3D" w:rsidRPr="00693A57" w:rsidRDefault="00CF0E3D" w:rsidP="00CF0E3D">
      <w:pPr>
        <w:pStyle w:val="SOText"/>
        <w:pBdr>
          <w:right w:val="single" w:sz="6" w:space="10" w:color="auto"/>
        </w:pBdr>
        <w:rPr>
          <w:strike/>
          <w:color w:val="0000FF"/>
        </w:rPr>
      </w:pPr>
      <w:r w:rsidRPr="00693A57">
        <w:rPr>
          <w:strike/>
          <w:color w:val="0000FF"/>
        </w:rPr>
        <w:t>This Part does not apply to all joint accounts in the banking sector. Division 4.1 of this Part sets out, among other things, the joint accounts to which this Part applies.</w:t>
      </w:r>
    </w:p>
    <w:p w14:paraId="2B9F3A1B" w14:textId="77777777" w:rsidR="00CF0E3D" w:rsidRPr="00693A57" w:rsidRDefault="00CF0E3D" w:rsidP="00CF0E3D">
      <w:pPr>
        <w:pStyle w:val="SOText"/>
        <w:pBdr>
          <w:right w:val="single" w:sz="6" w:space="10" w:color="auto"/>
        </w:pBdr>
        <w:rPr>
          <w:strike/>
          <w:color w:val="0000FF"/>
        </w:rPr>
      </w:pPr>
      <w:r w:rsidRPr="00693A57">
        <w:rPr>
          <w:strike/>
          <w:color w:val="0000FF"/>
        </w:rPr>
        <w:t>CDR data that relates to a joint account to which this Part applies can be disclosed under these rules only if, among other things, an available disclosure option applies to the account. Division 4.2 of this Part sets out:</w:t>
      </w:r>
    </w:p>
    <w:p w14:paraId="1684E452" w14:textId="77777777" w:rsidR="00CF0E3D" w:rsidRPr="00693A57" w:rsidRDefault="00CF0E3D" w:rsidP="00CF0E3D">
      <w:pPr>
        <w:pStyle w:val="SOPara"/>
        <w:pBdr>
          <w:right w:val="single" w:sz="6" w:space="10" w:color="auto"/>
        </w:pBdr>
        <w:rPr>
          <w:strike/>
          <w:color w:val="0000FF"/>
        </w:rPr>
      </w:pPr>
      <w:r w:rsidRPr="00693A57">
        <w:rPr>
          <w:strike/>
          <w:color w:val="0000FF"/>
        </w:rPr>
        <w:tab/>
        <w:t>•</w:t>
      </w:r>
      <w:r w:rsidRPr="00693A57">
        <w:rPr>
          <w:strike/>
          <w:color w:val="0000FF"/>
        </w:rPr>
        <w:tab/>
        <w:t>what the available disclosure options are; and</w:t>
      </w:r>
    </w:p>
    <w:p w14:paraId="0337CE59" w14:textId="77777777" w:rsidR="00CF0E3D" w:rsidRPr="00693A57" w:rsidRDefault="00CF0E3D" w:rsidP="00CF0E3D">
      <w:pPr>
        <w:pStyle w:val="SOPara"/>
        <w:pBdr>
          <w:right w:val="single" w:sz="6" w:space="10" w:color="auto"/>
        </w:pBdr>
        <w:rPr>
          <w:strike/>
          <w:color w:val="0000FF"/>
        </w:rPr>
      </w:pPr>
      <w:r w:rsidRPr="00693A57">
        <w:rPr>
          <w:strike/>
          <w:color w:val="0000FF"/>
        </w:rPr>
        <w:tab/>
        <w:t>•</w:t>
      </w:r>
      <w:r w:rsidRPr="00693A57">
        <w:rPr>
          <w:strike/>
          <w:color w:val="0000FF"/>
        </w:rPr>
        <w:tab/>
        <w:t>an obligation for data holders to provide a service (a joint account management service) for all joint accounts to which this Part applies through which joint account holders can indicate the disclosure option they would like to apply to the account; and</w:t>
      </w:r>
    </w:p>
    <w:p w14:paraId="0EF3D46C" w14:textId="77777777" w:rsidR="00CF0E3D" w:rsidRPr="00693A57" w:rsidRDefault="00CF0E3D" w:rsidP="00CF0E3D">
      <w:pPr>
        <w:pStyle w:val="SOPara"/>
        <w:pBdr>
          <w:right w:val="single" w:sz="6" w:space="10" w:color="auto"/>
        </w:pBdr>
        <w:rPr>
          <w:strike/>
          <w:color w:val="0000FF"/>
        </w:rPr>
      </w:pPr>
      <w:r w:rsidRPr="00693A57">
        <w:rPr>
          <w:strike/>
          <w:color w:val="0000FF"/>
        </w:rPr>
        <w:tab/>
        <w:t>•</w:t>
      </w:r>
      <w:r w:rsidRPr="00693A57">
        <w:rPr>
          <w:strike/>
          <w:color w:val="0000FF"/>
        </w:rPr>
        <w:tab/>
        <w:t>when one joint account holder selects a disclosure option to apply to a joint account―a process by which the other joint account holders can select a disclosure option to apply; and</w:t>
      </w:r>
    </w:p>
    <w:p w14:paraId="3B28ED88" w14:textId="77777777" w:rsidR="00CF0E3D" w:rsidRPr="00693A57" w:rsidRDefault="00CF0E3D" w:rsidP="00CF0E3D">
      <w:pPr>
        <w:pStyle w:val="SOPara"/>
        <w:pBdr>
          <w:right w:val="single" w:sz="6" w:space="10" w:color="auto"/>
        </w:pBdr>
        <w:rPr>
          <w:strike/>
          <w:color w:val="0000FF"/>
        </w:rPr>
      </w:pPr>
      <w:r w:rsidRPr="00693A57">
        <w:rPr>
          <w:strike/>
          <w:color w:val="0000FF"/>
        </w:rPr>
        <w:tab/>
        <w:t>•</w:t>
      </w:r>
      <w:r w:rsidRPr="00693A57">
        <w:rPr>
          <w:strike/>
          <w:color w:val="0000FF"/>
        </w:rPr>
        <w:tab/>
        <w:t>some associated notification requirements.</w:t>
      </w:r>
    </w:p>
    <w:p w14:paraId="2C2D5106" w14:textId="77777777" w:rsidR="00CF0E3D" w:rsidRPr="00693A57" w:rsidRDefault="00CF0E3D" w:rsidP="00CF0E3D">
      <w:pPr>
        <w:pStyle w:val="SOText"/>
        <w:pBdr>
          <w:right w:val="single" w:sz="6" w:space="10" w:color="auto"/>
        </w:pBdr>
        <w:rPr>
          <w:strike/>
          <w:color w:val="0000FF"/>
        </w:rPr>
      </w:pPr>
      <w:r w:rsidRPr="00693A57">
        <w:rPr>
          <w:strike/>
          <w:color w:val="0000FF"/>
        </w:rPr>
        <w:t>All joint account holders must indicate that they would like the same disclosure option to apply to the joint account in order for the disclosure option to apply.</w:t>
      </w:r>
    </w:p>
    <w:p w14:paraId="618A2C1E" w14:textId="77777777" w:rsidR="00CF0E3D" w:rsidRPr="00693A57" w:rsidRDefault="00CF0E3D" w:rsidP="00CF0E3D">
      <w:pPr>
        <w:pStyle w:val="SOText"/>
        <w:pBdr>
          <w:right w:val="single" w:sz="6" w:space="10" w:color="auto"/>
        </w:pBdr>
        <w:rPr>
          <w:strike/>
          <w:color w:val="0000FF"/>
        </w:rPr>
      </w:pPr>
      <w:r w:rsidRPr="00693A57">
        <w:rPr>
          <w:strike/>
          <w:color w:val="0000FF"/>
        </w:rPr>
        <w:t>When an accredited person makes a consumer data request under Part 4 of these rules on behalf of a CDR consumer, and the request includes CDR data relating to one or more joint accounts of which the CDR consumer is a joint account holder, Division 4.3 deals with how the request is processed.</w:t>
      </w:r>
    </w:p>
    <w:p w14:paraId="0CCB6C0B" w14:textId="77777777" w:rsidR="00CF0E3D" w:rsidRPr="00693A57" w:rsidRDefault="00CF0E3D" w:rsidP="00CF0E3D">
      <w:pPr>
        <w:pStyle w:val="SOText"/>
        <w:pBdr>
          <w:right w:val="single" w:sz="6" w:space="10" w:color="auto"/>
        </w:pBdr>
        <w:rPr>
          <w:strike/>
          <w:color w:val="0000FF"/>
        </w:rPr>
      </w:pPr>
      <w:r w:rsidRPr="00693A57">
        <w:rPr>
          <w:strike/>
          <w:color w:val="0000FF"/>
        </w:rPr>
        <w:t>Division 4.3 also deals with how requests are processed when the accredited person makes a consumer data request on behalf of a secondary user of the joint account.</w:t>
      </w:r>
    </w:p>
    <w:p w14:paraId="72FCA01C" w14:textId="77777777" w:rsidR="00CF0E3D" w:rsidRPr="00693A57" w:rsidRDefault="00CF0E3D" w:rsidP="00CF0E3D">
      <w:pPr>
        <w:pStyle w:val="ActHead3"/>
        <w:rPr>
          <w:strike/>
          <w:color w:val="0000FF"/>
          <w:lang w:val="en-US"/>
        </w:rPr>
      </w:pPr>
      <w:bookmarkStart w:id="640" w:name="_Toc51329591"/>
      <w:bookmarkStart w:id="641" w:name="_Toc51337624"/>
      <w:bookmarkStart w:id="642" w:name="_Toc57219197"/>
      <w:bookmarkStart w:id="643" w:name="_Toc59549182"/>
      <w:bookmarkStart w:id="644" w:name="_Toc77065096"/>
      <w:r w:rsidRPr="00693A57">
        <w:rPr>
          <w:strike/>
          <w:color w:val="0000FF"/>
          <w:lang w:val="en-US"/>
        </w:rPr>
        <w:t>Division 4.2—Disclosure options, joint account management service and notification requirements</w:t>
      </w:r>
      <w:bookmarkEnd w:id="640"/>
      <w:bookmarkEnd w:id="641"/>
      <w:bookmarkEnd w:id="642"/>
      <w:bookmarkEnd w:id="643"/>
      <w:bookmarkEnd w:id="644"/>
    </w:p>
    <w:p w14:paraId="60974243" w14:textId="77777777" w:rsidR="00CF0E3D" w:rsidRPr="00693A57" w:rsidRDefault="00CF0E3D" w:rsidP="00CF0E3D">
      <w:pPr>
        <w:pStyle w:val="ActHead5"/>
        <w:rPr>
          <w:strike/>
          <w:color w:val="0000FF"/>
          <w:lang w:val="en-US"/>
        </w:rPr>
      </w:pPr>
      <w:bookmarkStart w:id="645" w:name="_Toc51329592"/>
      <w:bookmarkStart w:id="646" w:name="_Toc51337625"/>
      <w:bookmarkStart w:id="647" w:name="_Toc57219198"/>
      <w:bookmarkStart w:id="648" w:name="_Toc59549183"/>
      <w:bookmarkStart w:id="649" w:name="_Toc77065097"/>
      <w:r w:rsidRPr="00693A57">
        <w:rPr>
          <w:strike/>
          <w:color w:val="0000FF"/>
          <w:lang w:val="en-US"/>
        </w:rPr>
        <w:t>4.4  Simplified outline of this Division</w:t>
      </w:r>
      <w:bookmarkEnd w:id="645"/>
      <w:bookmarkEnd w:id="646"/>
      <w:bookmarkEnd w:id="647"/>
      <w:bookmarkEnd w:id="648"/>
      <w:bookmarkEnd w:id="649"/>
    </w:p>
    <w:p w14:paraId="25D5FA5B" w14:textId="77777777" w:rsidR="00CF0E3D" w:rsidRPr="00693A57" w:rsidRDefault="00CF0E3D" w:rsidP="00CF0E3D">
      <w:pPr>
        <w:pStyle w:val="SOText"/>
        <w:rPr>
          <w:strike/>
          <w:color w:val="0000FF"/>
        </w:rPr>
      </w:pPr>
      <w:r w:rsidRPr="00693A57">
        <w:rPr>
          <w:strike/>
          <w:color w:val="0000FF"/>
        </w:rPr>
        <w:t xml:space="preserve">This Division sets out the disclosure options that can apply to a joint account. These disclosure options are relevant when an </w:t>
      </w:r>
      <w:r w:rsidRPr="00693A57">
        <w:rPr>
          <w:strike/>
          <w:color w:val="0000FF"/>
          <w:lang w:val="en-US"/>
        </w:rPr>
        <w:t>accredited person makes a consumer data request on behalf of one joint account holder or a secondary user under Part 4 of these rules.</w:t>
      </w:r>
    </w:p>
    <w:p w14:paraId="1CF22BC2" w14:textId="77777777" w:rsidR="00CF0E3D" w:rsidRPr="00693A57" w:rsidRDefault="00CF0E3D" w:rsidP="00CF0E3D">
      <w:pPr>
        <w:pStyle w:val="SOText"/>
        <w:rPr>
          <w:strike/>
          <w:color w:val="0000FF"/>
          <w:lang w:val="en-US"/>
        </w:rPr>
      </w:pPr>
      <w:r w:rsidRPr="00693A57">
        <w:rPr>
          <w:strike/>
          <w:color w:val="0000FF"/>
          <w:lang w:val="en-US"/>
        </w:rPr>
        <w:lastRenderedPageBreak/>
        <w:t>One is a pre</w:t>
      </w:r>
      <w:r w:rsidRPr="00693A57">
        <w:rPr>
          <w:strike/>
          <w:color w:val="0000FF"/>
          <w:lang w:val="en-US"/>
        </w:rPr>
        <w:noBreakHyphen/>
        <w:t xml:space="preserve">approval option. If all </w:t>
      </w:r>
      <w:r w:rsidRPr="00693A57">
        <w:rPr>
          <w:strike/>
          <w:color w:val="0000FF"/>
        </w:rPr>
        <w:t xml:space="preserve">joint account holders indicate that they would like a </w:t>
      </w:r>
      <w:r w:rsidRPr="00693A57">
        <w:rPr>
          <w:strike/>
          <w:color w:val="0000FF"/>
          <w:lang w:val="en-US"/>
        </w:rPr>
        <w:t>pre</w:t>
      </w:r>
      <w:r w:rsidRPr="00693A57">
        <w:rPr>
          <w:strike/>
          <w:color w:val="0000FF"/>
          <w:lang w:val="en-US"/>
        </w:rPr>
        <w:noBreakHyphen/>
        <w:t xml:space="preserve">approval </w:t>
      </w:r>
      <w:r w:rsidRPr="00693A57">
        <w:rPr>
          <w:strike/>
          <w:color w:val="0000FF"/>
        </w:rPr>
        <w:t xml:space="preserve">option to apply to a joint account, </w:t>
      </w:r>
      <w:r w:rsidRPr="00693A57">
        <w:rPr>
          <w:strike/>
          <w:color w:val="0000FF"/>
          <w:lang w:val="en-US"/>
        </w:rPr>
        <w:t>CDR data relating to the joint account can be disclosed in response to the request without the approval of the other account holder, but the other account holders can revoke the pre</w:t>
      </w:r>
      <w:r w:rsidRPr="00693A57">
        <w:rPr>
          <w:strike/>
          <w:color w:val="0000FF"/>
          <w:lang w:val="en-US"/>
        </w:rPr>
        <w:noBreakHyphen/>
        <w:t>approval in relation to a particular consumer data request at any time.</w:t>
      </w:r>
    </w:p>
    <w:p w14:paraId="11857BE2" w14:textId="77777777" w:rsidR="00CF0E3D" w:rsidRPr="00693A57" w:rsidRDefault="00CF0E3D" w:rsidP="00CF0E3D">
      <w:pPr>
        <w:pStyle w:val="SOText"/>
        <w:rPr>
          <w:strike/>
          <w:color w:val="0000FF"/>
          <w:lang w:val="en-US"/>
        </w:rPr>
      </w:pPr>
      <w:r w:rsidRPr="00693A57">
        <w:rPr>
          <w:strike/>
          <w:color w:val="0000FF"/>
          <w:lang w:val="en-US"/>
        </w:rPr>
        <w:t>Another is a co</w:t>
      </w:r>
      <w:r w:rsidRPr="00693A57">
        <w:rPr>
          <w:strike/>
          <w:color w:val="0000FF"/>
          <w:lang w:val="en-US"/>
        </w:rPr>
        <w:noBreakHyphen/>
        <w:t>approval option. If all joint account holders indicate that they would like a co</w:t>
      </w:r>
      <w:r w:rsidRPr="00693A57">
        <w:rPr>
          <w:strike/>
          <w:color w:val="0000FF"/>
          <w:lang w:val="en-US"/>
        </w:rPr>
        <w:noBreakHyphen/>
        <w:t>approval option to apply to a joint account, CDR data relating to the joint account can be disclosed under these rules only with the approval of the all the account holders.</w:t>
      </w:r>
    </w:p>
    <w:p w14:paraId="48EE4EBD" w14:textId="77777777" w:rsidR="00CF0E3D" w:rsidRPr="00693A57" w:rsidRDefault="00CF0E3D" w:rsidP="00CF0E3D">
      <w:pPr>
        <w:pStyle w:val="SOText"/>
        <w:rPr>
          <w:strike/>
          <w:color w:val="0000FF"/>
          <w:lang w:val="en-US"/>
        </w:rPr>
      </w:pPr>
      <w:r w:rsidRPr="00693A57">
        <w:rPr>
          <w:strike/>
          <w:color w:val="0000FF"/>
          <w:lang w:val="en-US"/>
        </w:rPr>
        <w:t>Data holders must offer pre</w:t>
      </w:r>
      <w:r w:rsidRPr="00693A57">
        <w:rPr>
          <w:strike/>
          <w:color w:val="0000FF"/>
          <w:lang w:val="en-US"/>
        </w:rPr>
        <w:noBreakHyphen/>
        <w:t>approval options on joint accounts, and may offer co</w:t>
      </w:r>
      <w:r w:rsidRPr="00693A57">
        <w:rPr>
          <w:strike/>
          <w:color w:val="0000FF"/>
          <w:lang w:val="en-US"/>
        </w:rPr>
        <w:noBreakHyphen/>
        <w:t>approval options.</w:t>
      </w:r>
    </w:p>
    <w:p w14:paraId="794F86FE" w14:textId="77777777" w:rsidR="00CF0E3D" w:rsidRPr="00693A57" w:rsidRDefault="00CF0E3D" w:rsidP="00CF0E3D">
      <w:pPr>
        <w:pStyle w:val="SOText"/>
        <w:rPr>
          <w:strike/>
          <w:color w:val="0000FF"/>
          <w:lang w:val="en-US"/>
        </w:rPr>
      </w:pPr>
      <w:r w:rsidRPr="00693A57">
        <w:rPr>
          <w:strike/>
          <w:color w:val="0000FF"/>
          <w:lang w:val="en-US"/>
        </w:rPr>
        <w:t>Neither disclosure option applies to a joint account if:</w:t>
      </w:r>
    </w:p>
    <w:p w14:paraId="7AFAB269" w14:textId="77777777" w:rsidR="00CF0E3D" w:rsidRPr="00693A57" w:rsidRDefault="00CF0E3D" w:rsidP="00CF0E3D">
      <w:pPr>
        <w:pStyle w:val="SOPara"/>
        <w:rPr>
          <w:strike/>
          <w:color w:val="0000FF"/>
        </w:rPr>
      </w:pPr>
      <w:r w:rsidRPr="00693A57">
        <w:rPr>
          <w:strike/>
          <w:color w:val="0000FF"/>
        </w:rPr>
        <w:tab/>
        <w:t>•</w:t>
      </w:r>
      <w:r w:rsidRPr="00693A57">
        <w:rPr>
          <w:strike/>
          <w:color w:val="0000FF"/>
        </w:rPr>
        <w:tab/>
        <w:t>the joint account holders indicate that they would like different disclosure options to apply to the account; or</w:t>
      </w:r>
    </w:p>
    <w:p w14:paraId="7E9B54F6" w14:textId="77777777" w:rsidR="00CF0E3D" w:rsidRPr="00693A57" w:rsidRDefault="00CF0E3D" w:rsidP="00CF0E3D">
      <w:pPr>
        <w:pStyle w:val="SOPara"/>
        <w:rPr>
          <w:strike/>
          <w:color w:val="0000FF"/>
        </w:rPr>
      </w:pPr>
      <w:r w:rsidRPr="00693A57">
        <w:rPr>
          <w:strike/>
          <w:color w:val="0000FF"/>
        </w:rPr>
        <w:tab/>
        <w:t>•</w:t>
      </w:r>
      <w:r w:rsidRPr="00693A57">
        <w:rPr>
          <w:strike/>
          <w:color w:val="0000FF"/>
        </w:rPr>
        <w:tab/>
        <w:t>any of the joint account holders do not indicate a disclosure option they would like to apply.</w:t>
      </w:r>
    </w:p>
    <w:p w14:paraId="28175416" w14:textId="77777777" w:rsidR="00CF0E3D" w:rsidRPr="00693A57" w:rsidRDefault="00CF0E3D" w:rsidP="00CF0E3D">
      <w:pPr>
        <w:pStyle w:val="SOText"/>
        <w:rPr>
          <w:strike/>
          <w:color w:val="0000FF"/>
        </w:rPr>
      </w:pPr>
      <w:r w:rsidRPr="00693A57">
        <w:rPr>
          <w:strike/>
          <w:color w:val="0000FF"/>
        </w:rPr>
        <w:t>For each joint account to which this Part applies, a data holder must offer a joint account management service that can be used by joint account holders to select and manage these disclosure options.</w:t>
      </w:r>
    </w:p>
    <w:p w14:paraId="22018711" w14:textId="77777777" w:rsidR="00CF0E3D" w:rsidRPr="00693A57" w:rsidRDefault="00CF0E3D" w:rsidP="00CF0E3D">
      <w:pPr>
        <w:pStyle w:val="ActHead5"/>
        <w:rPr>
          <w:strike/>
          <w:color w:val="0000FF"/>
          <w:lang w:val="en-US"/>
        </w:rPr>
      </w:pPr>
      <w:bookmarkStart w:id="650" w:name="_Toc51337626"/>
      <w:bookmarkStart w:id="651" w:name="_Toc57219199"/>
      <w:bookmarkStart w:id="652" w:name="_Toc59549184"/>
      <w:bookmarkStart w:id="653" w:name="_Toc77065098"/>
      <w:r w:rsidRPr="00693A57">
        <w:rPr>
          <w:strike/>
          <w:color w:val="0000FF"/>
          <w:lang w:val="en-US"/>
        </w:rPr>
        <w:t>4.5  Disclosure options that can apply to joint accounts</w:t>
      </w:r>
      <w:bookmarkEnd w:id="650"/>
      <w:bookmarkEnd w:id="651"/>
      <w:bookmarkEnd w:id="652"/>
      <w:bookmarkEnd w:id="653"/>
    </w:p>
    <w:p w14:paraId="2FA75E0F" w14:textId="77777777" w:rsidR="00CF0E3D" w:rsidRPr="00693A57" w:rsidRDefault="00CF0E3D" w:rsidP="00CF0E3D">
      <w:pPr>
        <w:pStyle w:val="subsection"/>
        <w:rPr>
          <w:strike/>
          <w:color w:val="0000FF"/>
          <w:lang w:val="en-US"/>
        </w:rPr>
      </w:pPr>
      <w:r w:rsidRPr="00693A57">
        <w:rPr>
          <w:strike/>
          <w:color w:val="0000FF"/>
          <w:lang w:val="en-US"/>
        </w:rPr>
        <w:tab/>
        <w:t>(1)</w:t>
      </w:r>
      <w:r w:rsidRPr="00693A57">
        <w:rPr>
          <w:strike/>
          <w:color w:val="0000FF"/>
          <w:lang w:val="en-US"/>
        </w:rPr>
        <w:tab/>
        <w:t xml:space="preserve">For this Part, a </w:t>
      </w:r>
      <w:r w:rsidRPr="00693A57">
        <w:rPr>
          <w:b/>
          <w:i/>
          <w:strike/>
          <w:color w:val="0000FF"/>
          <w:lang w:val="en-US"/>
        </w:rPr>
        <w:t>pre</w:t>
      </w:r>
      <w:r w:rsidRPr="00693A57">
        <w:rPr>
          <w:b/>
          <w:i/>
          <w:strike/>
          <w:color w:val="0000FF"/>
          <w:lang w:val="en-US"/>
        </w:rPr>
        <w:noBreakHyphen/>
        <w:t>approval option</w:t>
      </w:r>
      <w:r w:rsidRPr="00693A57">
        <w:rPr>
          <w:strike/>
          <w:color w:val="0000FF"/>
          <w:lang w:val="en-US"/>
        </w:rPr>
        <w:t xml:space="preserve"> applies to a joint account at a particular time if, at that time:</w:t>
      </w:r>
    </w:p>
    <w:p w14:paraId="42D038D8" w14:textId="77777777" w:rsidR="00CF0E3D" w:rsidRPr="00693A57" w:rsidRDefault="00CF0E3D" w:rsidP="00CF0E3D">
      <w:pPr>
        <w:pStyle w:val="paragraph"/>
        <w:rPr>
          <w:strike/>
          <w:color w:val="0000FF"/>
          <w:lang w:val="en-US"/>
        </w:rPr>
      </w:pPr>
      <w:r w:rsidRPr="00693A57">
        <w:rPr>
          <w:strike/>
          <w:color w:val="0000FF"/>
          <w:lang w:val="en-US"/>
        </w:rPr>
        <w:tab/>
        <w:t>(a)</w:t>
      </w:r>
      <w:r w:rsidRPr="00693A57">
        <w:rPr>
          <w:strike/>
          <w:color w:val="0000FF"/>
          <w:lang w:val="en-US"/>
        </w:rPr>
        <w:tab/>
        <w:t>all joint account holders have indicated that they would like that disclosure option to apply to the account; and</w:t>
      </w:r>
    </w:p>
    <w:p w14:paraId="492196AD" w14:textId="77777777" w:rsidR="00CF0E3D" w:rsidRPr="00693A57" w:rsidRDefault="00CF0E3D" w:rsidP="00CF0E3D">
      <w:pPr>
        <w:pStyle w:val="paragraph"/>
        <w:rPr>
          <w:strike/>
          <w:color w:val="0000FF"/>
          <w:lang w:val="en-US"/>
        </w:rPr>
      </w:pPr>
      <w:r w:rsidRPr="00693A57">
        <w:rPr>
          <w:strike/>
          <w:color w:val="0000FF"/>
          <w:lang w:val="en-US"/>
        </w:rPr>
        <w:tab/>
        <w:t>(b)</w:t>
      </w:r>
      <w:r w:rsidRPr="00693A57">
        <w:rPr>
          <w:strike/>
          <w:color w:val="0000FF"/>
          <w:lang w:val="en-US"/>
        </w:rPr>
        <w:tab/>
        <w:t>none has indicated that they no longer want that disclosure option to apply.</w:t>
      </w:r>
    </w:p>
    <w:p w14:paraId="289E4D61" w14:textId="77777777" w:rsidR="00CF0E3D" w:rsidRPr="00693A57" w:rsidRDefault="00CF0E3D" w:rsidP="00CF0E3D">
      <w:pPr>
        <w:pStyle w:val="subsection"/>
        <w:rPr>
          <w:strike/>
          <w:color w:val="0000FF"/>
          <w:lang w:val="en-US"/>
        </w:rPr>
      </w:pPr>
      <w:r w:rsidRPr="00693A57">
        <w:rPr>
          <w:strike/>
          <w:color w:val="0000FF"/>
          <w:lang w:val="en-US"/>
        </w:rPr>
        <w:tab/>
        <w:t>(2)</w:t>
      </w:r>
      <w:r w:rsidRPr="00693A57">
        <w:rPr>
          <w:strike/>
          <w:color w:val="0000FF"/>
          <w:lang w:val="en-US"/>
        </w:rPr>
        <w:tab/>
        <w:t xml:space="preserve">For this Part, a </w:t>
      </w:r>
      <w:r w:rsidRPr="00693A57">
        <w:rPr>
          <w:b/>
          <w:i/>
          <w:strike/>
          <w:color w:val="0000FF"/>
          <w:lang w:val="en-US"/>
        </w:rPr>
        <w:t>co</w:t>
      </w:r>
      <w:r w:rsidRPr="00693A57">
        <w:rPr>
          <w:b/>
          <w:i/>
          <w:strike/>
          <w:color w:val="0000FF"/>
          <w:lang w:val="en-US"/>
        </w:rPr>
        <w:noBreakHyphen/>
        <w:t xml:space="preserve">approval option </w:t>
      </w:r>
      <w:r w:rsidRPr="00693A57">
        <w:rPr>
          <w:strike/>
          <w:color w:val="0000FF"/>
          <w:lang w:val="en-US"/>
        </w:rPr>
        <w:t>applies to a joint account at a particular time if, at that time:</w:t>
      </w:r>
    </w:p>
    <w:p w14:paraId="5C0B569B" w14:textId="77777777" w:rsidR="00CF0E3D" w:rsidRPr="00693A57" w:rsidRDefault="00CF0E3D" w:rsidP="00CF0E3D">
      <w:pPr>
        <w:pStyle w:val="paragraph"/>
        <w:rPr>
          <w:strike/>
          <w:color w:val="0000FF"/>
          <w:lang w:val="en-US"/>
        </w:rPr>
      </w:pPr>
      <w:r w:rsidRPr="00693A57">
        <w:rPr>
          <w:strike/>
          <w:color w:val="0000FF"/>
          <w:lang w:val="en-US"/>
        </w:rPr>
        <w:tab/>
        <w:t>(a)</w:t>
      </w:r>
      <w:r w:rsidRPr="00693A57">
        <w:rPr>
          <w:strike/>
          <w:color w:val="0000FF"/>
          <w:lang w:val="en-US"/>
        </w:rPr>
        <w:tab/>
        <w:t>that disclosure option is offered on the account; and</w:t>
      </w:r>
    </w:p>
    <w:p w14:paraId="3A066661" w14:textId="77777777" w:rsidR="00CF0E3D" w:rsidRPr="00693A57" w:rsidRDefault="00CF0E3D" w:rsidP="00CF0E3D">
      <w:pPr>
        <w:pStyle w:val="paragraph"/>
        <w:rPr>
          <w:strike/>
          <w:color w:val="0000FF"/>
          <w:lang w:val="en-US"/>
        </w:rPr>
      </w:pPr>
      <w:r w:rsidRPr="00693A57">
        <w:rPr>
          <w:strike/>
          <w:color w:val="0000FF"/>
          <w:lang w:val="en-US"/>
        </w:rPr>
        <w:tab/>
        <w:t>(b)</w:t>
      </w:r>
      <w:r w:rsidRPr="00693A57">
        <w:rPr>
          <w:strike/>
          <w:color w:val="0000FF"/>
          <w:lang w:val="en-US"/>
        </w:rPr>
        <w:tab/>
        <w:t>all joint account holders have indicated that they would like that disclosure option to apply to the account; and</w:t>
      </w:r>
    </w:p>
    <w:p w14:paraId="22926A90" w14:textId="77777777" w:rsidR="00CF0E3D" w:rsidRPr="00693A57" w:rsidRDefault="00CF0E3D" w:rsidP="00CF0E3D">
      <w:pPr>
        <w:pStyle w:val="paragraph"/>
        <w:rPr>
          <w:strike/>
          <w:color w:val="0000FF"/>
          <w:lang w:val="en-US"/>
        </w:rPr>
      </w:pPr>
      <w:r w:rsidRPr="00693A57">
        <w:rPr>
          <w:strike/>
          <w:color w:val="0000FF"/>
          <w:lang w:val="en-US"/>
        </w:rPr>
        <w:tab/>
        <w:t>(c)</w:t>
      </w:r>
      <w:r w:rsidRPr="00693A57">
        <w:rPr>
          <w:strike/>
          <w:color w:val="0000FF"/>
          <w:lang w:val="en-US"/>
        </w:rPr>
        <w:tab/>
        <w:t>none has indicated that they no longer want that disclosure option to apply.</w:t>
      </w:r>
    </w:p>
    <w:p w14:paraId="660EC930" w14:textId="77777777" w:rsidR="00CF0E3D" w:rsidRPr="00693A57" w:rsidRDefault="00CF0E3D" w:rsidP="00CF0E3D">
      <w:pPr>
        <w:pStyle w:val="subsection"/>
        <w:rPr>
          <w:strike/>
          <w:color w:val="0000FF"/>
          <w:lang w:val="en-US"/>
        </w:rPr>
      </w:pPr>
      <w:r w:rsidRPr="00693A57">
        <w:rPr>
          <w:strike/>
          <w:color w:val="0000FF"/>
          <w:lang w:val="en-US"/>
        </w:rPr>
        <w:tab/>
        <w:t>(3)</w:t>
      </w:r>
      <w:r w:rsidRPr="00693A57">
        <w:rPr>
          <w:strike/>
          <w:color w:val="0000FF"/>
          <w:lang w:val="en-US"/>
        </w:rPr>
        <w:tab/>
        <w:t xml:space="preserve">For this Part, a </w:t>
      </w:r>
      <w:r w:rsidRPr="00693A57">
        <w:rPr>
          <w:b/>
          <w:i/>
          <w:strike/>
          <w:color w:val="0000FF"/>
          <w:lang w:val="en-US"/>
        </w:rPr>
        <w:t>disclosure option</w:t>
      </w:r>
      <w:r w:rsidRPr="00693A57">
        <w:rPr>
          <w:strike/>
          <w:color w:val="0000FF"/>
          <w:lang w:val="en-US"/>
        </w:rPr>
        <w:t xml:space="preserve"> applies to a joint account</w:t>
      </w:r>
      <w:r w:rsidRPr="00693A57">
        <w:rPr>
          <w:b/>
          <w:i/>
          <w:strike/>
          <w:color w:val="0000FF"/>
          <w:lang w:val="en-US"/>
        </w:rPr>
        <w:t xml:space="preserve"> </w:t>
      </w:r>
      <w:r w:rsidRPr="00693A57">
        <w:rPr>
          <w:strike/>
          <w:color w:val="0000FF"/>
          <w:lang w:val="en-US"/>
        </w:rPr>
        <w:t>if a pre</w:t>
      </w:r>
      <w:r w:rsidRPr="00693A57">
        <w:rPr>
          <w:strike/>
          <w:color w:val="0000FF"/>
          <w:lang w:val="en-US"/>
        </w:rPr>
        <w:noBreakHyphen/>
        <w:t>approval option or a co</w:t>
      </w:r>
      <w:r w:rsidRPr="00693A57">
        <w:rPr>
          <w:strike/>
          <w:color w:val="0000FF"/>
          <w:lang w:val="en-US"/>
        </w:rPr>
        <w:noBreakHyphen/>
        <w:t>approval option applies to the joint account.</w:t>
      </w:r>
    </w:p>
    <w:p w14:paraId="60491D16" w14:textId="77777777" w:rsidR="00CF0E3D" w:rsidRPr="00693A57" w:rsidRDefault="00CF0E3D" w:rsidP="00CF0E3D">
      <w:pPr>
        <w:pStyle w:val="ActHead5"/>
        <w:rPr>
          <w:strike/>
          <w:color w:val="0000FF"/>
          <w:lang w:val="en-US"/>
        </w:rPr>
      </w:pPr>
      <w:bookmarkStart w:id="654" w:name="_Toc51337627"/>
      <w:bookmarkStart w:id="655" w:name="_Toc57219200"/>
      <w:bookmarkStart w:id="656" w:name="_Toc59549185"/>
      <w:bookmarkStart w:id="657" w:name="_Toc77065099"/>
      <w:r w:rsidRPr="00693A57">
        <w:rPr>
          <w:strike/>
          <w:color w:val="0000FF"/>
          <w:lang w:val="en-US"/>
        </w:rPr>
        <w:lastRenderedPageBreak/>
        <w:t>4.6  Obligation to provide joint account management service</w:t>
      </w:r>
      <w:bookmarkEnd w:id="654"/>
      <w:bookmarkEnd w:id="655"/>
      <w:bookmarkEnd w:id="656"/>
      <w:bookmarkEnd w:id="657"/>
    </w:p>
    <w:p w14:paraId="6FEDCF59" w14:textId="77777777" w:rsidR="00CF0E3D" w:rsidRPr="00693A57" w:rsidRDefault="00CF0E3D" w:rsidP="00CF0E3D">
      <w:pPr>
        <w:pStyle w:val="SubsectionHead"/>
        <w:rPr>
          <w:strike/>
          <w:color w:val="0000FF"/>
          <w:lang w:val="en-US"/>
        </w:rPr>
      </w:pPr>
      <w:r w:rsidRPr="00693A57">
        <w:rPr>
          <w:strike/>
          <w:color w:val="0000FF"/>
          <w:lang w:val="en-US"/>
        </w:rPr>
        <w:t>Obligation to provide joint account management service</w:t>
      </w:r>
    </w:p>
    <w:p w14:paraId="11387AED" w14:textId="77777777" w:rsidR="00CF0E3D" w:rsidRPr="00693A57" w:rsidRDefault="00CF0E3D" w:rsidP="00CF0E3D">
      <w:pPr>
        <w:pStyle w:val="subsection"/>
        <w:rPr>
          <w:strike/>
          <w:color w:val="0000FF"/>
          <w:lang w:val="en-US"/>
        </w:rPr>
      </w:pPr>
      <w:r w:rsidRPr="00693A57">
        <w:rPr>
          <w:strike/>
          <w:color w:val="0000FF"/>
          <w:lang w:val="en-US"/>
        </w:rPr>
        <w:tab/>
        <w:t>(1)</w:t>
      </w:r>
      <w:r w:rsidRPr="00693A57">
        <w:rPr>
          <w:strike/>
          <w:color w:val="0000FF"/>
          <w:lang w:val="en-US"/>
        </w:rPr>
        <w:tab/>
        <w:t>For each joint account to which this Part applies, the data holder must provide a service to each joint account holder that:</w:t>
      </w:r>
    </w:p>
    <w:p w14:paraId="3ED097A9" w14:textId="77777777" w:rsidR="00CF0E3D" w:rsidRPr="00693A57" w:rsidRDefault="00CF0E3D" w:rsidP="00CF0E3D">
      <w:pPr>
        <w:pStyle w:val="paragraph"/>
        <w:rPr>
          <w:strike/>
          <w:color w:val="0000FF"/>
          <w:lang w:val="en-US"/>
        </w:rPr>
      </w:pPr>
      <w:r w:rsidRPr="00693A57">
        <w:rPr>
          <w:strike/>
          <w:color w:val="0000FF"/>
          <w:lang w:val="en-US"/>
        </w:rPr>
        <w:tab/>
        <w:t>(a)</w:t>
      </w:r>
      <w:r w:rsidRPr="00693A57">
        <w:rPr>
          <w:strike/>
          <w:color w:val="0000FF"/>
          <w:lang w:val="en-US"/>
        </w:rPr>
        <w:tab/>
        <w:t>allows the joint account holder to indicate whether they would like:</w:t>
      </w:r>
    </w:p>
    <w:p w14:paraId="635705C2" w14:textId="77777777" w:rsidR="00CF0E3D" w:rsidRPr="00693A57" w:rsidRDefault="00CF0E3D" w:rsidP="00CF0E3D">
      <w:pPr>
        <w:pStyle w:val="paragraphsub"/>
        <w:rPr>
          <w:strike/>
          <w:color w:val="0000FF"/>
          <w:lang w:val="en-US"/>
        </w:rPr>
      </w:pPr>
      <w:r w:rsidRPr="00693A57">
        <w:rPr>
          <w:strike/>
          <w:color w:val="0000FF"/>
          <w:lang w:val="en-US"/>
        </w:rPr>
        <w:tab/>
        <w:t>(i)</w:t>
      </w:r>
      <w:r w:rsidRPr="00693A57">
        <w:rPr>
          <w:strike/>
          <w:color w:val="0000FF"/>
          <w:lang w:val="en-US"/>
        </w:rPr>
        <w:tab/>
        <w:t>the pre</w:t>
      </w:r>
      <w:r w:rsidRPr="00693A57">
        <w:rPr>
          <w:strike/>
          <w:color w:val="0000FF"/>
          <w:lang w:val="en-US"/>
        </w:rPr>
        <w:noBreakHyphen/>
        <w:t>approval option to apply; or</w:t>
      </w:r>
    </w:p>
    <w:p w14:paraId="1C84DBBD" w14:textId="77777777" w:rsidR="00CF0E3D" w:rsidRPr="00693A57" w:rsidRDefault="00CF0E3D" w:rsidP="00CF0E3D">
      <w:pPr>
        <w:pStyle w:val="paragraphsub"/>
        <w:rPr>
          <w:strike/>
          <w:color w:val="0000FF"/>
          <w:lang w:val="en-US"/>
        </w:rPr>
      </w:pPr>
      <w:r w:rsidRPr="00693A57">
        <w:rPr>
          <w:strike/>
          <w:color w:val="0000FF"/>
          <w:lang w:val="en-US"/>
        </w:rPr>
        <w:tab/>
        <w:t>(ii)</w:t>
      </w:r>
      <w:r w:rsidRPr="00693A57">
        <w:rPr>
          <w:strike/>
          <w:color w:val="0000FF"/>
          <w:lang w:val="en-US"/>
        </w:rPr>
        <w:tab/>
        <w:t>if offered by the data holder―the co</w:t>
      </w:r>
      <w:r w:rsidRPr="00693A57">
        <w:rPr>
          <w:strike/>
          <w:color w:val="0000FF"/>
          <w:lang w:val="en-US"/>
        </w:rPr>
        <w:noBreakHyphen/>
        <w:t>approval option to apply; and</w:t>
      </w:r>
    </w:p>
    <w:p w14:paraId="2FEEA998" w14:textId="77777777" w:rsidR="00CF0E3D" w:rsidRPr="00693A57" w:rsidRDefault="00CF0E3D" w:rsidP="00CF0E3D">
      <w:pPr>
        <w:pStyle w:val="paragraph"/>
        <w:rPr>
          <w:strike/>
          <w:color w:val="0000FF"/>
          <w:lang w:val="en-US"/>
        </w:rPr>
      </w:pPr>
      <w:r w:rsidRPr="00693A57">
        <w:rPr>
          <w:strike/>
          <w:color w:val="0000FF"/>
          <w:lang w:val="en-US"/>
        </w:rPr>
        <w:tab/>
        <w:t>(b)</w:t>
      </w:r>
      <w:r w:rsidRPr="00693A57">
        <w:rPr>
          <w:strike/>
          <w:color w:val="0000FF"/>
          <w:lang w:val="en-US"/>
        </w:rPr>
        <w:tab/>
        <w:t>allows the joint account holder to indicate whether they would like a different disclosure option, or no disclosure option, to apply; and</w:t>
      </w:r>
    </w:p>
    <w:p w14:paraId="71ECEE14" w14:textId="77777777" w:rsidR="00CF0E3D" w:rsidRPr="00693A57" w:rsidRDefault="00CF0E3D" w:rsidP="00CF0E3D">
      <w:pPr>
        <w:pStyle w:val="paragraph"/>
        <w:rPr>
          <w:strike/>
          <w:color w:val="0000FF"/>
          <w:lang w:val="en-US"/>
        </w:rPr>
      </w:pPr>
      <w:r w:rsidRPr="00693A57">
        <w:rPr>
          <w:strike/>
          <w:color w:val="0000FF"/>
          <w:lang w:val="en-US"/>
        </w:rPr>
        <w:tab/>
        <w:t>(c)</w:t>
      </w:r>
      <w:r w:rsidRPr="00693A57">
        <w:rPr>
          <w:strike/>
          <w:color w:val="0000FF"/>
          <w:lang w:val="en-US"/>
        </w:rPr>
        <w:tab/>
        <w:t>complies with this clause.</w:t>
      </w:r>
    </w:p>
    <w:p w14:paraId="29766882" w14:textId="77777777" w:rsidR="00CF0E3D" w:rsidRPr="00693A57" w:rsidRDefault="00CF0E3D" w:rsidP="00CF0E3D">
      <w:pPr>
        <w:pStyle w:val="notetext"/>
        <w:rPr>
          <w:strike/>
          <w:color w:val="0000FF"/>
        </w:rPr>
      </w:pPr>
      <w:r w:rsidRPr="00693A57">
        <w:rPr>
          <w:strike/>
          <w:color w:val="0000FF"/>
        </w:rPr>
        <w:t>Note 1:</w:t>
      </w:r>
      <w:r w:rsidRPr="00693A57">
        <w:rPr>
          <w:strike/>
          <w:color w:val="0000FF"/>
        </w:rPr>
        <w:tab/>
        <w:t>This subclause is a civil penalty provision (see rule 9.8).</w:t>
      </w:r>
    </w:p>
    <w:p w14:paraId="3E9404CA" w14:textId="77777777" w:rsidR="00CF0E3D" w:rsidRPr="00693A57" w:rsidRDefault="00CF0E3D" w:rsidP="00CF0E3D">
      <w:pPr>
        <w:pStyle w:val="notetext"/>
        <w:rPr>
          <w:strike/>
          <w:color w:val="0000FF"/>
        </w:rPr>
      </w:pPr>
      <w:r w:rsidRPr="00693A57">
        <w:rPr>
          <w:strike/>
          <w:color w:val="0000FF"/>
        </w:rPr>
        <w:t>Note 2:</w:t>
      </w:r>
      <w:r w:rsidRPr="00693A57">
        <w:rPr>
          <w:strike/>
          <w:color w:val="0000FF"/>
        </w:rPr>
        <w:tab/>
      </w:r>
      <w:r w:rsidRPr="00693A57">
        <w:rPr>
          <w:strike/>
          <w:color w:val="0000FF"/>
          <w:lang w:val="en-US"/>
        </w:rPr>
        <w:t xml:space="preserve">All </w:t>
      </w:r>
      <w:r w:rsidRPr="00693A57">
        <w:rPr>
          <w:strike/>
          <w:color w:val="0000FF"/>
        </w:rPr>
        <w:t>joint account holders must indicate that they would like the same disclosure option to apply in order for the disclosure option to apply to the joint account: see subclauses 4.5(1) and (2) of this Schedule.</w:t>
      </w:r>
    </w:p>
    <w:p w14:paraId="4F8890C0"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 xml:space="preserve">Such a service is a </w:t>
      </w:r>
      <w:r w:rsidRPr="00693A57">
        <w:rPr>
          <w:b/>
          <w:i/>
          <w:strike/>
          <w:color w:val="0000FF"/>
        </w:rPr>
        <w:t>joint account management service</w:t>
      </w:r>
      <w:r w:rsidRPr="00693A57">
        <w:rPr>
          <w:strike/>
          <w:color w:val="0000FF"/>
        </w:rPr>
        <w:t>.</w:t>
      </w:r>
    </w:p>
    <w:p w14:paraId="4525E7A6" w14:textId="77777777" w:rsidR="00CF0E3D" w:rsidRPr="00693A57" w:rsidRDefault="00CF0E3D" w:rsidP="00CF0E3D">
      <w:pPr>
        <w:pStyle w:val="SubsectionHead"/>
        <w:rPr>
          <w:strike/>
          <w:color w:val="0000FF"/>
        </w:rPr>
      </w:pPr>
      <w:r w:rsidRPr="00693A57">
        <w:rPr>
          <w:strike/>
          <w:color w:val="0000FF"/>
        </w:rPr>
        <w:t>Requirements for joint account management service</w:t>
      </w:r>
    </w:p>
    <w:p w14:paraId="5A34933C" w14:textId="77777777" w:rsidR="00CF0E3D" w:rsidRPr="00693A57" w:rsidRDefault="00CF0E3D" w:rsidP="00CF0E3D">
      <w:pPr>
        <w:pStyle w:val="subsection"/>
        <w:rPr>
          <w:strike/>
          <w:color w:val="0000FF"/>
        </w:rPr>
      </w:pPr>
      <w:r w:rsidRPr="00693A57">
        <w:rPr>
          <w:strike/>
          <w:color w:val="0000FF"/>
        </w:rPr>
        <w:tab/>
        <w:t>(3)</w:t>
      </w:r>
      <w:r w:rsidRPr="00693A57">
        <w:rPr>
          <w:strike/>
          <w:color w:val="0000FF"/>
        </w:rPr>
        <w:tab/>
        <w:t>The service must be provided online and, if there is a data holder’s consumer dashboard for a joint account holder, may be included in the dashboard.</w:t>
      </w:r>
    </w:p>
    <w:p w14:paraId="2E014D06" w14:textId="77777777" w:rsidR="00CF0E3D" w:rsidRPr="00693A57" w:rsidRDefault="00CF0E3D" w:rsidP="00CF0E3D">
      <w:pPr>
        <w:pStyle w:val="subsection"/>
        <w:rPr>
          <w:strike/>
          <w:color w:val="0000FF"/>
        </w:rPr>
      </w:pPr>
      <w:r w:rsidRPr="00693A57">
        <w:rPr>
          <w:strike/>
          <w:color w:val="0000FF"/>
        </w:rPr>
        <w:tab/>
        <w:t>(4)</w:t>
      </w:r>
      <w:r w:rsidRPr="00693A57">
        <w:rPr>
          <w:strike/>
          <w:color w:val="0000FF"/>
        </w:rPr>
        <w:tab/>
        <w:t>The service may, but need not, also be provided other than online.</w:t>
      </w:r>
    </w:p>
    <w:p w14:paraId="02F4AC0F" w14:textId="77777777" w:rsidR="00CF0E3D" w:rsidRPr="00693A57" w:rsidRDefault="00CF0E3D" w:rsidP="00CF0E3D">
      <w:pPr>
        <w:pStyle w:val="subsection"/>
        <w:rPr>
          <w:strike/>
          <w:color w:val="0000FF"/>
        </w:rPr>
      </w:pPr>
      <w:r w:rsidRPr="00693A57">
        <w:rPr>
          <w:strike/>
          <w:color w:val="0000FF"/>
        </w:rPr>
        <w:tab/>
        <w:t>(5)</w:t>
      </w:r>
      <w:r w:rsidRPr="00693A57">
        <w:rPr>
          <w:strike/>
          <w:color w:val="0000FF"/>
        </w:rPr>
        <w:tab/>
        <w:t>The service must give effect to a disclosure option applying or no longer applying as soon as practicable.</w:t>
      </w:r>
    </w:p>
    <w:p w14:paraId="7F797CDC" w14:textId="77777777" w:rsidR="00CF0E3D" w:rsidRPr="00693A57" w:rsidRDefault="00CF0E3D" w:rsidP="00CF0E3D">
      <w:pPr>
        <w:pStyle w:val="subsection"/>
        <w:rPr>
          <w:strike/>
          <w:color w:val="0000FF"/>
        </w:rPr>
      </w:pPr>
      <w:r w:rsidRPr="00693A57">
        <w:rPr>
          <w:strike/>
          <w:color w:val="0000FF"/>
        </w:rPr>
        <w:tab/>
        <w:t>(6)</w:t>
      </w:r>
      <w:r w:rsidRPr="00693A57">
        <w:rPr>
          <w:strike/>
          <w:color w:val="0000FF"/>
        </w:rPr>
        <w:tab/>
        <w:t>The service must not, when allowing joint account holders to indicate which disclosure option they would like to apply, do any of the following:</w:t>
      </w:r>
    </w:p>
    <w:p w14:paraId="72B7F3B7"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add any requirements to the process beyond those specified in the data standards and these rules;</w:t>
      </w:r>
    </w:p>
    <w:p w14:paraId="160DA4B3"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offer additional or alternative services as part of the process;</w:t>
      </w:r>
    </w:p>
    <w:p w14:paraId="24742C30" w14:textId="77777777" w:rsidR="00CF0E3D" w:rsidRPr="00693A57" w:rsidRDefault="00CF0E3D" w:rsidP="00CF0E3D">
      <w:pPr>
        <w:pStyle w:val="paragraph"/>
        <w:rPr>
          <w:strike/>
          <w:color w:val="0000FF"/>
          <w:szCs w:val="22"/>
          <w:shd w:val="clear" w:color="auto" w:fill="FFFFFF"/>
        </w:rPr>
      </w:pPr>
      <w:r w:rsidRPr="00693A57">
        <w:rPr>
          <w:strike/>
          <w:color w:val="0000FF"/>
        </w:rPr>
        <w:tab/>
        <w:t>(c)</w:t>
      </w:r>
      <w:r w:rsidRPr="00693A57">
        <w:rPr>
          <w:strike/>
          <w:color w:val="0000FF"/>
        </w:rPr>
        <w:tab/>
        <w:t xml:space="preserve">include or refer to other documents, or provide any other information, </w:t>
      </w:r>
      <w:r w:rsidRPr="00693A57">
        <w:rPr>
          <w:strike/>
          <w:color w:val="0000FF"/>
          <w:szCs w:val="22"/>
          <w:shd w:val="clear" w:color="auto" w:fill="FFFFFF"/>
        </w:rPr>
        <w:t>so as to reduce comprehensibility;</w:t>
      </w:r>
    </w:p>
    <w:p w14:paraId="17CFFA04" w14:textId="77777777" w:rsidR="00CF0E3D" w:rsidRPr="00693A57" w:rsidRDefault="00CF0E3D" w:rsidP="00CF0E3D">
      <w:pPr>
        <w:pStyle w:val="paragraph"/>
        <w:rPr>
          <w:strike/>
          <w:color w:val="0000FF"/>
        </w:rPr>
      </w:pPr>
      <w:r w:rsidRPr="00693A57">
        <w:rPr>
          <w:strike/>
          <w:color w:val="0000FF"/>
        </w:rPr>
        <w:tab/>
        <w:t>(d)</w:t>
      </w:r>
      <w:r w:rsidRPr="00693A57">
        <w:rPr>
          <w:strike/>
          <w:color w:val="0000FF"/>
        </w:rPr>
        <w:tab/>
        <w:t>offer any pre</w:t>
      </w:r>
      <w:r w:rsidRPr="00693A57">
        <w:rPr>
          <w:strike/>
          <w:color w:val="0000FF"/>
        </w:rPr>
        <w:noBreakHyphen/>
        <w:t>selected options.</w:t>
      </w:r>
    </w:p>
    <w:p w14:paraId="20B7375C" w14:textId="77777777" w:rsidR="00CF0E3D" w:rsidRPr="00693A57" w:rsidRDefault="00CF0E3D" w:rsidP="00CF0E3D">
      <w:pPr>
        <w:pStyle w:val="subsection"/>
        <w:rPr>
          <w:strike/>
          <w:color w:val="0000FF"/>
        </w:rPr>
      </w:pPr>
      <w:r w:rsidRPr="00693A57">
        <w:rPr>
          <w:strike/>
          <w:color w:val="0000FF"/>
        </w:rPr>
        <w:tab/>
        <w:t>(7)</w:t>
      </w:r>
      <w:r w:rsidRPr="00693A57">
        <w:rPr>
          <w:strike/>
          <w:color w:val="0000FF"/>
        </w:rPr>
        <w:tab/>
        <w:t>The service must, when allowing a joint account holder to indicate which disclosure option they would like to apply, notify them:</w:t>
      </w:r>
    </w:p>
    <w:p w14:paraId="2FD377F9"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of the following information about each disclosure option offered using the service:</w:t>
      </w:r>
    </w:p>
    <w:p w14:paraId="5EAE6418" w14:textId="77777777" w:rsidR="00CF0E3D" w:rsidRPr="00693A57" w:rsidRDefault="00CF0E3D" w:rsidP="00CF0E3D">
      <w:pPr>
        <w:pStyle w:val="paragraphsub"/>
        <w:rPr>
          <w:strike/>
          <w:color w:val="0000FF"/>
        </w:rPr>
      </w:pPr>
      <w:r w:rsidRPr="00693A57">
        <w:rPr>
          <w:strike/>
          <w:color w:val="0000FF"/>
        </w:rPr>
        <w:tab/>
        <w:t>(i)</w:t>
      </w:r>
      <w:r w:rsidRPr="00693A57">
        <w:rPr>
          <w:strike/>
          <w:color w:val="0000FF"/>
        </w:rPr>
        <w:tab/>
        <w:t>what the effect of the disclosure option applying is;</w:t>
      </w:r>
    </w:p>
    <w:p w14:paraId="6342E859"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that they can indicate at any time that they would no longer like the disclosure option to apply;</w:t>
      </w:r>
    </w:p>
    <w:p w14:paraId="18D8934C" w14:textId="77777777" w:rsidR="00CF0E3D" w:rsidRPr="00693A57" w:rsidRDefault="00CF0E3D" w:rsidP="00CF0E3D">
      <w:pPr>
        <w:pStyle w:val="paragraphsub"/>
        <w:rPr>
          <w:strike/>
          <w:color w:val="0000FF"/>
        </w:rPr>
      </w:pPr>
      <w:r w:rsidRPr="00693A57">
        <w:rPr>
          <w:strike/>
          <w:color w:val="0000FF"/>
        </w:rPr>
        <w:tab/>
        <w:t>(iii)</w:t>
      </w:r>
      <w:r w:rsidRPr="00693A57">
        <w:rPr>
          <w:strike/>
          <w:color w:val="0000FF"/>
        </w:rPr>
        <w:tab/>
        <w:t>how they can indicate this;</w:t>
      </w:r>
    </w:p>
    <w:p w14:paraId="479792D7" w14:textId="77777777" w:rsidR="00CF0E3D" w:rsidRPr="00693A57" w:rsidRDefault="00CF0E3D" w:rsidP="00CF0E3D">
      <w:pPr>
        <w:pStyle w:val="paragraphsub"/>
        <w:rPr>
          <w:strike/>
          <w:color w:val="0000FF"/>
        </w:rPr>
      </w:pPr>
      <w:r w:rsidRPr="00693A57">
        <w:rPr>
          <w:strike/>
          <w:color w:val="0000FF"/>
        </w:rPr>
        <w:tab/>
        <w:t>(iv)</w:t>
      </w:r>
      <w:r w:rsidRPr="00693A57">
        <w:rPr>
          <w:strike/>
          <w:color w:val="0000FF"/>
        </w:rPr>
        <w:tab/>
        <w:t xml:space="preserve">what the effect of indicating this is; </w:t>
      </w:r>
    </w:p>
    <w:p w14:paraId="1CE91FD8" w14:textId="77777777" w:rsidR="00CF0E3D" w:rsidRPr="00693A57" w:rsidRDefault="00CF0E3D" w:rsidP="00CF0E3D">
      <w:pPr>
        <w:pStyle w:val="paragraphsub"/>
        <w:rPr>
          <w:strike/>
          <w:color w:val="0000FF"/>
        </w:rPr>
      </w:pPr>
      <w:r w:rsidRPr="00693A57">
        <w:rPr>
          <w:strike/>
          <w:color w:val="0000FF"/>
        </w:rPr>
        <w:lastRenderedPageBreak/>
        <w:tab/>
        <w:t>(v)</w:t>
      </w:r>
      <w:r w:rsidRPr="00693A57">
        <w:rPr>
          <w:strike/>
          <w:color w:val="0000FF"/>
        </w:rPr>
        <w:tab/>
        <w:t>how the disclosure option operates if there is a secondary user for the joint account; and</w:t>
      </w:r>
    </w:p>
    <w:p w14:paraId="36775DDD"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if more than one disclosure option is available―of the difference between the available disclosure options; and</w:t>
      </w:r>
    </w:p>
    <w:p w14:paraId="1C58AA33"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that, if joint account holders do not indicate that they would like the same disclosure option to apply to the joint account, disclosure of joint account data relating to the account will ordinarily not be authorised under these rules; and</w:t>
      </w:r>
    </w:p>
    <w:p w14:paraId="108621E0" w14:textId="77777777" w:rsidR="00CF0E3D" w:rsidRPr="00693A57" w:rsidRDefault="00CF0E3D" w:rsidP="00CF0E3D">
      <w:pPr>
        <w:pStyle w:val="paragraph"/>
        <w:rPr>
          <w:strike/>
          <w:color w:val="0000FF"/>
        </w:rPr>
      </w:pPr>
      <w:r w:rsidRPr="00693A57">
        <w:rPr>
          <w:strike/>
          <w:color w:val="0000FF"/>
        </w:rPr>
        <w:tab/>
        <w:t>(d)</w:t>
      </w:r>
      <w:r w:rsidRPr="00693A57">
        <w:rPr>
          <w:strike/>
          <w:color w:val="0000FF"/>
        </w:rPr>
        <w:tab/>
        <w:t xml:space="preserve">that when CDR data relating to the joint account is disclosed under these rules, the data holder will ordinarily provide </w:t>
      </w:r>
      <w:r w:rsidRPr="00693A57">
        <w:rPr>
          <w:strike/>
          <w:color w:val="0000FF"/>
          <w:lang w:val="en-US"/>
        </w:rPr>
        <w:t xml:space="preserve">each </w:t>
      </w:r>
      <w:r w:rsidRPr="00693A57">
        <w:rPr>
          <w:strike/>
          <w:color w:val="0000FF"/>
        </w:rPr>
        <w:t>joint account holder and, if applicable, each secondary user, with a consumer dashboard through which they will be able to see information about the disclosure.</w:t>
      </w:r>
    </w:p>
    <w:p w14:paraId="04CE3C76" w14:textId="77777777" w:rsidR="00CF0E3D" w:rsidRPr="00693A57" w:rsidRDefault="00CF0E3D" w:rsidP="00CF0E3D">
      <w:pPr>
        <w:pStyle w:val="subsection"/>
        <w:rPr>
          <w:strike/>
          <w:color w:val="0000FF"/>
        </w:rPr>
      </w:pPr>
      <w:r w:rsidRPr="00693A57">
        <w:rPr>
          <w:strike/>
          <w:color w:val="0000FF"/>
        </w:rPr>
        <w:tab/>
        <w:t>(8)</w:t>
      </w:r>
      <w:r w:rsidRPr="00693A57">
        <w:rPr>
          <w:strike/>
          <w:color w:val="0000FF"/>
        </w:rPr>
        <w:tab/>
        <w:t>The service must be in accordance with the data standards.</w:t>
      </w:r>
    </w:p>
    <w:p w14:paraId="76F2232D" w14:textId="77777777" w:rsidR="00CF0E3D" w:rsidRPr="00693A57" w:rsidRDefault="00CF0E3D" w:rsidP="00CF0E3D">
      <w:pPr>
        <w:pStyle w:val="ActHead5"/>
        <w:rPr>
          <w:strike/>
          <w:color w:val="0000FF"/>
        </w:rPr>
      </w:pPr>
      <w:bookmarkStart w:id="658" w:name="_Toc51337628"/>
      <w:bookmarkStart w:id="659" w:name="_Toc57219201"/>
      <w:bookmarkStart w:id="660" w:name="_Toc59549186"/>
      <w:bookmarkStart w:id="661" w:name="_Toc77065100"/>
      <w:r w:rsidRPr="00693A57">
        <w:rPr>
          <w:strike/>
          <w:color w:val="0000FF"/>
        </w:rPr>
        <w:t>4.7  Asking other joint account holders to indicate disclosure option for joint account</w:t>
      </w:r>
      <w:bookmarkEnd w:id="658"/>
      <w:bookmarkEnd w:id="659"/>
      <w:bookmarkEnd w:id="660"/>
      <w:bookmarkEnd w:id="661"/>
    </w:p>
    <w:p w14:paraId="423C6AE9" w14:textId="77777777" w:rsidR="00CF0E3D" w:rsidRPr="00693A57" w:rsidRDefault="00CF0E3D" w:rsidP="00CF0E3D">
      <w:pPr>
        <w:pStyle w:val="SubsectionHead"/>
        <w:rPr>
          <w:strike/>
          <w:color w:val="0000FF"/>
        </w:rPr>
      </w:pPr>
      <w:r w:rsidRPr="00693A57">
        <w:rPr>
          <w:strike/>
          <w:color w:val="0000FF"/>
        </w:rPr>
        <w:t>Application of clause</w:t>
      </w:r>
    </w:p>
    <w:p w14:paraId="22DE4656"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This clause applies in relation to a particular joint account to which this Part applies if a joint account holder (</w:t>
      </w:r>
      <w:r w:rsidRPr="00693A57">
        <w:rPr>
          <w:b/>
          <w:i/>
          <w:strike/>
          <w:color w:val="0000FF"/>
        </w:rPr>
        <w:t>account holder A</w:t>
      </w:r>
      <w:r w:rsidRPr="00693A57">
        <w:rPr>
          <w:strike/>
          <w:color w:val="0000FF"/>
        </w:rPr>
        <w:t>) indicates, using the joint account management service, that they would like:</w:t>
      </w:r>
    </w:p>
    <w:p w14:paraId="443D14FA"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if no disclosure option applies to the account―a particular disclosure option to apply; or</w:t>
      </w:r>
    </w:p>
    <w:p w14:paraId="765A9C73"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if a disclosure option applies to the account―a different, or no, disclosure option to apply.</w:t>
      </w:r>
    </w:p>
    <w:p w14:paraId="0D30DB9F" w14:textId="77777777" w:rsidR="00CF0E3D" w:rsidRPr="00693A57" w:rsidRDefault="00CF0E3D" w:rsidP="00CF0E3D">
      <w:pPr>
        <w:pStyle w:val="SubsectionHead"/>
        <w:rPr>
          <w:strike/>
          <w:color w:val="0000FF"/>
        </w:rPr>
      </w:pPr>
      <w:r w:rsidRPr="00693A57">
        <w:rPr>
          <w:strike/>
          <w:color w:val="0000FF"/>
        </w:rPr>
        <w:t>Obligation to invite other account holders to indicate disclosure option</w:t>
      </w:r>
    </w:p>
    <w:p w14:paraId="26660F59"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The data holder must, through its ordinary methods for contacting the other joint account holders:</w:t>
      </w:r>
    </w:p>
    <w:p w14:paraId="34677FBB"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explain to each of them what the consumer data right is; and</w:t>
      </w:r>
    </w:p>
    <w:p w14:paraId="019BFDD5"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inform them that account holder A has indicated that they would like the disclosure option referred to in subclause (1), or no disclosure option, to apply to the account, as applicable; and</w:t>
      </w:r>
    </w:p>
    <w:p w14:paraId="58658023"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inform them that, at present, no disclosure option applies to the account; and</w:t>
      </w:r>
    </w:p>
    <w:p w14:paraId="48F19B8D" w14:textId="77777777" w:rsidR="00CF0E3D" w:rsidRPr="00693A57" w:rsidRDefault="00CF0E3D" w:rsidP="00CF0E3D">
      <w:pPr>
        <w:pStyle w:val="paragraph"/>
        <w:rPr>
          <w:strike/>
          <w:color w:val="0000FF"/>
        </w:rPr>
      </w:pPr>
      <w:r w:rsidRPr="00693A57">
        <w:rPr>
          <w:strike/>
          <w:color w:val="0000FF"/>
        </w:rPr>
        <w:tab/>
        <w:t>(d)</w:t>
      </w:r>
      <w:r w:rsidRPr="00693A57">
        <w:rPr>
          <w:strike/>
          <w:color w:val="0000FF"/>
        </w:rPr>
        <w:tab/>
        <w:t>explain to them that no disclosure option will apply to the account unless all account holders have indicated that they would like the same disclosure option to apply; and</w:t>
      </w:r>
    </w:p>
    <w:p w14:paraId="77E9578C" w14:textId="77777777" w:rsidR="00CF0E3D" w:rsidRPr="00693A57" w:rsidRDefault="00CF0E3D" w:rsidP="00CF0E3D">
      <w:pPr>
        <w:pStyle w:val="paragraph"/>
        <w:rPr>
          <w:strike/>
          <w:color w:val="0000FF"/>
        </w:rPr>
      </w:pPr>
      <w:r w:rsidRPr="00693A57">
        <w:rPr>
          <w:strike/>
          <w:color w:val="0000FF"/>
        </w:rPr>
        <w:tab/>
        <w:t>(e)</w:t>
      </w:r>
      <w:r w:rsidRPr="00693A57">
        <w:rPr>
          <w:strike/>
          <w:color w:val="0000FF"/>
        </w:rPr>
        <w:tab/>
        <w:t>if account holder A selected a particular disclosure option―invite them to indicate that they would like the same disclosure option as indicated by account holder A to apply to the account; and</w:t>
      </w:r>
    </w:p>
    <w:p w14:paraId="4DD08235" w14:textId="77777777" w:rsidR="00CF0E3D" w:rsidRPr="00693A57" w:rsidRDefault="00CF0E3D" w:rsidP="00CF0E3D">
      <w:pPr>
        <w:pStyle w:val="paragraph"/>
        <w:rPr>
          <w:strike/>
          <w:color w:val="0000FF"/>
        </w:rPr>
      </w:pPr>
      <w:r w:rsidRPr="00693A57">
        <w:rPr>
          <w:strike/>
          <w:color w:val="0000FF"/>
        </w:rPr>
        <w:tab/>
        <w:t xml:space="preserve"> (f)</w:t>
      </w:r>
      <w:r w:rsidRPr="00693A57">
        <w:rPr>
          <w:strike/>
          <w:color w:val="0000FF"/>
        </w:rPr>
        <w:tab/>
        <w:t>if account holder A gave an indication pursuant to clause 4.10 of this Schedule—identify the accredited person.</w:t>
      </w:r>
    </w:p>
    <w:p w14:paraId="531FF7E8"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This subclause is a civil penalty provision (see rule 9.8).</w:t>
      </w:r>
    </w:p>
    <w:p w14:paraId="0C765228" w14:textId="77777777" w:rsidR="00CF0E3D" w:rsidRPr="00693A57" w:rsidRDefault="00CF0E3D" w:rsidP="00CF0E3D">
      <w:pPr>
        <w:pStyle w:val="ActHead3"/>
        <w:rPr>
          <w:strike/>
          <w:color w:val="0000FF"/>
        </w:rPr>
      </w:pPr>
      <w:bookmarkStart w:id="662" w:name="_Toc51337629"/>
      <w:bookmarkStart w:id="663" w:name="_Toc50633231"/>
      <w:bookmarkStart w:id="664" w:name="_Toc57219202"/>
      <w:bookmarkStart w:id="665" w:name="_Toc59549187"/>
      <w:bookmarkStart w:id="666" w:name="_Toc77065101"/>
      <w:r w:rsidRPr="00693A57">
        <w:rPr>
          <w:strike/>
          <w:color w:val="0000FF"/>
        </w:rPr>
        <w:lastRenderedPageBreak/>
        <w:t>Division 4.3—Consumer data requests that relate to joint accounts</w:t>
      </w:r>
      <w:bookmarkEnd w:id="662"/>
      <w:bookmarkEnd w:id="663"/>
      <w:bookmarkEnd w:id="664"/>
      <w:bookmarkEnd w:id="665"/>
      <w:bookmarkEnd w:id="666"/>
    </w:p>
    <w:p w14:paraId="323A77F6" w14:textId="77777777" w:rsidR="00CF0E3D" w:rsidRPr="00693A57" w:rsidRDefault="00CF0E3D" w:rsidP="00CF0E3D">
      <w:pPr>
        <w:pStyle w:val="ActHead4"/>
        <w:rPr>
          <w:strike/>
          <w:color w:val="0000FF"/>
        </w:rPr>
      </w:pPr>
      <w:bookmarkStart w:id="667" w:name="_Toc51337630"/>
      <w:bookmarkStart w:id="668" w:name="_Toc57219203"/>
      <w:bookmarkStart w:id="669" w:name="_Toc59549188"/>
      <w:bookmarkStart w:id="670" w:name="_Toc77065102"/>
      <w:r w:rsidRPr="00693A57">
        <w:rPr>
          <w:strike/>
          <w:color w:val="0000FF"/>
        </w:rPr>
        <w:t>Subdivision 4.3.1—Preliminary</w:t>
      </w:r>
      <w:bookmarkEnd w:id="667"/>
      <w:bookmarkEnd w:id="668"/>
      <w:bookmarkEnd w:id="669"/>
      <w:bookmarkEnd w:id="670"/>
    </w:p>
    <w:p w14:paraId="0818F163" w14:textId="77777777" w:rsidR="00CF0E3D" w:rsidRPr="00693A57" w:rsidRDefault="00CF0E3D" w:rsidP="00CF0E3D">
      <w:pPr>
        <w:pStyle w:val="ActHead5"/>
        <w:rPr>
          <w:strike/>
          <w:color w:val="0000FF"/>
          <w:lang w:val="en-US"/>
        </w:rPr>
      </w:pPr>
      <w:bookmarkStart w:id="671" w:name="_Toc51337631"/>
      <w:bookmarkStart w:id="672" w:name="_Toc57219204"/>
      <w:bookmarkStart w:id="673" w:name="_Toc59549189"/>
      <w:bookmarkStart w:id="674" w:name="_Toc77065103"/>
      <w:r w:rsidRPr="00693A57">
        <w:rPr>
          <w:strike/>
          <w:color w:val="0000FF"/>
          <w:lang w:val="en-US"/>
        </w:rPr>
        <w:t>4.8  Application of Division</w:t>
      </w:r>
      <w:bookmarkEnd w:id="671"/>
      <w:bookmarkEnd w:id="672"/>
      <w:bookmarkEnd w:id="673"/>
      <w:bookmarkEnd w:id="674"/>
    </w:p>
    <w:p w14:paraId="3FF10E59" w14:textId="77777777" w:rsidR="00CF0E3D" w:rsidRPr="00693A57" w:rsidRDefault="00CF0E3D" w:rsidP="00CF0E3D">
      <w:pPr>
        <w:pStyle w:val="subsection"/>
        <w:rPr>
          <w:strike/>
          <w:color w:val="0000FF"/>
          <w:lang w:val="en-US"/>
        </w:rPr>
      </w:pPr>
      <w:r w:rsidRPr="00693A57">
        <w:rPr>
          <w:strike/>
          <w:color w:val="0000FF"/>
          <w:lang w:val="en-US"/>
        </w:rPr>
        <w:tab/>
        <w:t>(1)</w:t>
      </w:r>
      <w:r w:rsidRPr="00693A57">
        <w:rPr>
          <w:strike/>
          <w:color w:val="0000FF"/>
          <w:lang w:val="en-US"/>
        </w:rPr>
        <w:tab/>
        <w:t>This Division applies in relation to a consumer data request to a data holder under Part 4 of these rules that is for disclosure of any of the following CDR data in relation to a particular joint account to which this Part applies:</w:t>
      </w:r>
    </w:p>
    <w:p w14:paraId="1DC04CB1" w14:textId="77777777" w:rsidR="00CF0E3D" w:rsidRPr="00693A57" w:rsidRDefault="00CF0E3D" w:rsidP="00CF0E3D">
      <w:pPr>
        <w:pStyle w:val="paragraph"/>
        <w:rPr>
          <w:strike/>
          <w:color w:val="0000FF"/>
          <w:lang w:val="en-US"/>
        </w:rPr>
      </w:pPr>
      <w:r w:rsidRPr="00693A57">
        <w:rPr>
          <w:strike/>
          <w:color w:val="0000FF"/>
          <w:lang w:val="en-US"/>
        </w:rPr>
        <w:tab/>
        <w:t xml:space="preserve">(a) </w:t>
      </w:r>
      <w:r w:rsidRPr="00693A57">
        <w:rPr>
          <w:strike/>
          <w:color w:val="0000FF"/>
          <w:lang w:val="en-US"/>
        </w:rPr>
        <w:tab/>
        <w:t>account data in relation to the joint account;</w:t>
      </w:r>
    </w:p>
    <w:p w14:paraId="754AEC67" w14:textId="77777777" w:rsidR="00CF0E3D" w:rsidRPr="00693A57" w:rsidRDefault="00CF0E3D" w:rsidP="00CF0E3D">
      <w:pPr>
        <w:pStyle w:val="paragraph"/>
        <w:rPr>
          <w:strike/>
          <w:color w:val="0000FF"/>
          <w:lang w:val="en-US"/>
        </w:rPr>
      </w:pPr>
      <w:r w:rsidRPr="00693A57">
        <w:rPr>
          <w:strike/>
          <w:color w:val="0000FF"/>
          <w:lang w:val="en-US"/>
        </w:rPr>
        <w:tab/>
        <w:t>(b)</w:t>
      </w:r>
      <w:r w:rsidRPr="00693A57">
        <w:rPr>
          <w:strike/>
          <w:color w:val="0000FF"/>
          <w:lang w:val="en-US"/>
        </w:rPr>
        <w:tab/>
        <w:t>transaction data in relation to the joint account;</w:t>
      </w:r>
    </w:p>
    <w:p w14:paraId="565C1DE8" w14:textId="77777777" w:rsidR="00CF0E3D" w:rsidRPr="00693A57" w:rsidRDefault="00CF0E3D" w:rsidP="00CF0E3D">
      <w:pPr>
        <w:pStyle w:val="paragraph"/>
        <w:rPr>
          <w:strike/>
          <w:color w:val="0000FF"/>
          <w:lang w:val="en-US"/>
        </w:rPr>
      </w:pPr>
      <w:r w:rsidRPr="00693A57">
        <w:rPr>
          <w:strike/>
          <w:color w:val="0000FF"/>
          <w:lang w:val="en-US"/>
        </w:rPr>
        <w:tab/>
        <w:t>(c)</w:t>
      </w:r>
      <w:r w:rsidRPr="00693A57">
        <w:rPr>
          <w:strike/>
          <w:color w:val="0000FF"/>
          <w:lang w:val="en-US"/>
        </w:rPr>
        <w:tab/>
        <w:t>product specific data in relation to a product that a joint account holder uses and that relates to the joint account.</w:t>
      </w:r>
    </w:p>
    <w:p w14:paraId="26F43C1A" w14:textId="77777777" w:rsidR="00CF0E3D" w:rsidRPr="00693A57" w:rsidRDefault="00CF0E3D" w:rsidP="00CF0E3D">
      <w:pPr>
        <w:pStyle w:val="subsection"/>
        <w:rPr>
          <w:strike/>
          <w:color w:val="0000FF"/>
          <w:lang w:val="en-US"/>
        </w:rPr>
      </w:pPr>
      <w:r w:rsidRPr="00693A57">
        <w:rPr>
          <w:strike/>
          <w:color w:val="0000FF"/>
          <w:lang w:val="en-US"/>
        </w:rPr>
        <w:tab/>
        <w:t>(2)</w:t>
      </w:r>
      <w:r w:rsidRPr="00693A57">
        <w:rPr>
          <w:strike/>
          <w:color w:val="0000FF"/>
          <w:lang w:val="en-US"/>
        </w:rPr>
        <w:tab/>
        <w:t>This Division applies whether or not the request is also for disclosure of other CDR data.</w:t>
      </w:r>
    </w:p>
    <w:p w14:paraId="02B27DBA" w14:textId="77777777" w:rsidR="00CF0E3D" w:rsidRPr="00693A57" w:rsidRDefault="00CF0E3D" w:rsidP="00CF0E3D">
      <w:pPr>
        <w:pStyle w:val="subsection"/>
        <w:rPr>
          <w:strike/>
          <w:color w:val="0000FF"/>
          <w:lang w:val="en-US"/>
        </w:rPr>
      </w:pPr>
      <w:r w:rsidRPr="00693A57">
        <w:rPr>
          <w:strike/>
          <w:color w:val="0000FF"/>
          <w:lang w:val="en-US"/>
        </w:rPr>
        <w:tab/>
        <w:t>(3)</w:t>
      </w:r>
      <w:r w:rsidRPr="00693A57">
        <w:rPr>
          <w:strike/>
          <w:color w:val="0000FF"/>
          <w:lang w:val="en-US"/>
        </w:rPr>
        <w:tab/>
        <w:t>If a particular consumer data request to a data holder under Part 4 of these rules relates to more than one joint account to which this Part applies, this Division applies separately in relation to each such joint account.</w:t>
      </w:r>
    </w:p>
    <w:p w14:paraId="148DF89A" w14:textId="77777777" w:rsidR="00CF0E3D" w:rsidRPr="00693A57" w:rsidRDefault="00CF0E3D" w:rsidP="00CF0E3D">
      <w:pPr>
        <w:pStyle w:val="ActHead5"/>
        <w:rPr>
          <w:strike/>
          <w:color w:val="0000FF"/>
          <w:lang w:val="en-US"/>
        </w:rPr>
      </w:pPr>
      <w:bookmarkStart w:id="675" w:name="_Toc51337632"/>
      <w:bookmarkStart w:id="676" w:name="_Toc57219205"/>
      <w:bookmarkStart w:id="677" w:name="_Toc59549190"/>
      <w:bookmarkStart w:id="678" w:name="_Toc77065104"/>
      <w:r w:rsidRPr="00693A57">
        <w:rPr>
          <w:strike/>
          <w:color w:val="0000FF"/>
          <w:lang w:val="en-US"/>
        </w:rPr>
        <w:t>4.9  Interpretation</w:t>
      </w:r>
      <w:bookmarkEnd w:id="675"/>
      <w:bookmarkEnd w:id="676"/>
      <w:bookmarkEnd w:id="677"/>
      <w:bookmarkEnd w:id="678"/>
    </w:p>
    <w:p w14:paraId="2586EFFC" w14:textId="77777777" w:rsidR="00CF0E3D" w:rsidRPr="00693A57" w:rsidRDefault="00CF0E3D" w:rsidP="00CF0E3D">
      <w:pPr>
        <w:pStyle w:val="subsection"/>
        <w:rPr>
          <w:strike/>
          <w:color w:val="0000FF"/>
          <w:lang w:val="en-US"/>
        </w:rPr>
      </w:pPr>
      <w:r w:rsidRPr="00693A57">
        <w:rPr>
          <w:strike/>
          <w:color w:val="0000FF"/>
          <w:lang w:val="en-US"/>
        </w:rPr>
        <w:tab/>
      </w:r>
      <w:r w:rsidRPr="00693A57">
        <w:rPr>
          <w:strike/>
          <w:color w:val="0000FF"/>
          <w:lang w:val="en-US"/>
        </w:rPr>
        <w:tab/>
        <w:t>For this Division:</w:t>
      </w:r>
    </w:p>
    <w:p w14:paraId="44B15E54" w14:textId="77777777" w:rsidR="00CF0E3D" w:rsidRPr="00693A57" w:rsidRDefault="00CF0E3D" w:rsidP="00CF0E3D">
      <w:pPr>
        <w:pStyle w:val="paragraph"/>
        <w:rPr>
          <w:strike/>
          <w:color w:val="0000FF"/>
          <w:lang w:val="en-US"/>
        </w:rPr>
      </w:pPr>
      <w:r w:rsidRPr="00693A57">
        <w:rPr>
          <w:strike/>
          <w:color w:val="0000FF"/>
          <w:lang w:val="en-US"/>
        </w:rPr>
        <w:tab/>
        <w:t>(a)</w:t>
      </w:r>
      <w:r w:rsidRPr="00693A57">
        <w:rPr>
          <w:strike/>
          <w:color w:val="0000FF"/>
          <w:lang w:val="en-US"/>
        </w:rPr>
        <w:tab/>
        <w:t>the</w:t>
      </w:r>
      <w:r w:rsidRPr="00693A57">
        <w:rPr>
          <w:b/>
          <w:i/>
          <w:strike/>
          <w:color w:val="0000FF"/>
          <w:lang w:val="en-US"/>
        </w:rPr>
        <w:t xml:space="preserve"> requester </w:t>
      </w:r>
      <w:r w:rsidRPr="00693A57">
        <w:rPr>
          <w:strike/>
          <w:color w:val="0000FF"/>
          <w:lang w:val="en-US"/>
        </w:rPr>
        <w:t>is the person on whose behalf the consumer data request referred to in clause 4.8 was made; and</w:t>
      </w:r>
    </w:p>
    <w:p w14:paraId="637C96CD" w14:textId="77777777" w:rsidR="00CF0E3D" w:rsidRPr="00693A57" w:rsidRDefault="00CF0E3D" w:rsidP="00CF0E3D">
      <w:pPr>
        <w:pStyle w:val="paragraph"/>
        <w:rPr>
          <w:strike/>
          <w:color w:val="0000FF"/>
          <w:lang w:val="en-US"/>
        </w:rPr>
      </w:pPr>
      <w:r w:rsidRPr="00693A57">
        <w:rPr>
          <w:strike/>
          <w:color w:val="0000FF"/>
          <w:lang w:val="en-US"/>
        </w:rPr>
        <w:tab/>
        <w:t>(b)</w:t>
      </w:r>
      <w:r w:rsidRPr="00693A57">
        <w:rPr>
          <w:strike/>
          <w:color w:val="0000FF"/>
          <w:lang w:val="en-US"/>
        </w:rPr>
        <w:tab/>
        <w:t xml:space="preserve">the </w:t>
      </w:r>
      <w:r w:rsidRPr="00693A57">
        <w:rPr>
          <w:b/>
          <w:i/>
          <w:strike/>
          <w:color w:val="0000FF"/>
          <w:lang w:val="en-US"/>
        </w:rPr>
        <w:t>relevant account holders</w:t>
      </w:r>
      <w:r w:rsidRPr="00693A57">
        <w:rPr>
          <w:strike/>
          <w:color w:val="0000FF"/>
          <w:lang w:val="en-US"/>
        </w:rPr>
        <w:t xml:space="preserve"> are:</w:t>
      </w:r>
    </w:p>
    <w:p w14:paraId="3DB231F4" w14:textId="77777777" w:rsidR="00CF0E3D" w:rsidRPr="00693A57" w:rsidRDefault="00CF0E3D" w:rsidP="00CF0E3D">
      <w:pPr>
        <w:pStyle w:val="paragraphsub"/>
        <w:rPr>
          <w:strike/>
          <w:color w:val="0000FF"/>
          <w:lang w:val="en-US"/>
        </w:rPr>
      </w:pPr>
      <w:r w:rsidRPr="00693A57">
        <w:rPr>
          <w:strike/>
          <w:color w:val="0000FF"/>
          <w:lang w:val="en-US"/>
        </w:rPr>
        <w:tab/>
        <w:t>(i)</w:t>
      </w:r>
      <w:r w:rsidRPr="00693A57">
        <w:rPr>
          <w:strike/>
          <w:color w:val="0000FF"/>
          <w:lang w:val="en-US"/>
        </w:rPr>
        <w:tab/>
        <w:t>if the requester is a secondary user―all joint account holders; and</w:t>
      </w:r>
    </w:p>
    <w:p w14:paraId="783344AA" w14:textId="77777777" w:rsidR="00CF0E3D" w:rsidRPr="00693A57" w:rsidRDefault="00CF0E3D" w:rsidP="00CF0E3D">
      <w:pPr>
        <w:pStyle w:val="paragraphsub"/>
        <w:rPr>
          <w:strike/>
          <w:color w:val="0000FF"/>
          <w:lang w:val="en-US"/>
        </w:rPr>
      </w:pPr>
      <w:r w:rsidRPr="00693A57">
        <w:rPr>
          <w:strike/>
          <w:color w:val="0000FF"/>
          <w:lang w:val="en-US"/>
        </w:rPr>
        <w:tab/>
        <w:t>(ii)</w:t>
      </w:r>
      <w:r w:rsidRPr="00693A57">
        <w:rPr>
          <w:strike/>
          <w:color w:val="0000FF"/>
          <w:lang w:val="en-US"/>
        </w:rPr>
        <w:tab/>
        <w:t>if the requester is a joint account holder―the other joint account holders; and</w:t>
      </w:r>
    </w:p>
    <w:p w14:paraId="61DE2498" w14:textId="77777777" w:rsidR="00CF0E3D" w:rsidRPr="00693A57" w:rsidRDefault="00CF0E3D" w:rsidP="00CF0E3D">
      <w:pPr>
        <w:pStyle w:val="paragraph"/>
        <w:rPr>
          <w:strike/>
          <w:color w:val="0000FF"/>
          <w:lang w:val="en-US"/>
        </w:rPr>
      </w:pPr>
      <w:r w:rsidRPr="00693A57">
        <w:rPr>
          <w:strike/>
          <w:color w:val="0000FF"/>
          <w:lang w:val="en-US"/>
        </w:rPr>
        <w:tab/>
        <w:t>(c)</w:t>
      </w:r>
      <w:r w:rsidRPr="00693A57">
        <w:rPr>
          <w:strike/>
          <w:color w:val="0000FF"/>
          <w:lang w:val="en-US"/>
        </w:rPr>
        <w:tab/>
      </w:r>
      <w:r w:rsidRPr="00693A57">
        <w:rPr>
          <w:b/>
          <w:i/>
          <w:strike/>
          <w:color w:val="0000FF"/>
          <w:lang w:val="en-US"/>
        </w:rPr>
        <w:t xml:space="preserve">joint account data </w:t>
      </w:r>
      <w:r w:rsidRPr="00693A57">
        <w:rPr>
          <w:strike/>
          <w:color w:val="0000FF"/>
          <w:lang w:val="en-US"/>
        </w:rPr>
        <w:t>is the CDR data that is referred to in subrule 4.8(1) of this Schedule that was the subject of the request.</w:t>
      </w:r>
    </w:p>
    <w:p w14:paraId="222EB85B" w14:textId="77777777" w:rsidR="00CF0E3D" w:rsidRPr="00693A57" w:rsidRDefault="00CF0E3D" w:rsidP="00CF0E3D">
      <w:pPr>
        <w:pStyle w:val="ActHead4"/>
        <w:rPr>
          <w:strike/>
          <w:color w:val="0000FF"/>
        </w:rPr>
      </w:pPr>
      <w:bookmarkStart w:id="679" w:name="_Toc51337633"/>
      <w:bookmarkStart w:id="680" w:name="_Toc57219206"/>
      <w:bookmarkStart w:id="681" w:name="_Toc59549191"/>
      <w:bookmarkStart w:id="682" w:name="_Toc77065105"/>
      <w:r w:rsidRPr="00693A57">
        <w:rPr>
          <w:strike/>
          <w:color w:val="0000FF"/>
          <w:lang w:val="en-US"/>
        </w:rPr>
        <w:t xml:space="preserve">Subdivision 4.3.2—How </w:t>
      </w:r>
      <w:r w:rsidRPr="00693A57">
        <w:rPr>
          <w:strike/>
          <w:color w:val="0000FF"/>
        </w:rPr>
        <w:t>consumer data requests to data holders under Part 4 of these rules that relate to joint accounts are handled</w:t>
      </w:r>
      <w:bookmarkEnd w:id="679"/>
      <w:bookmarkEnd w:id="680"/>
      <w:bookmarkEnd w:id="681"/>
      <w:bookmarkEnd w:id="682"/>
    </w:p>
    <w:p w14:paraId="75634C6E" w14:textId="77777777" w:rsidR="00CF0E3D" w:rsidRPr="00693A57" w:rsidRDefault="00CF0E3D" w:rsidP="00CF0E3D">
      <w:pPr>
        <w:pStyle w:val="ActHead5"/>
        <w:rPr>
          <w:strike/>
          <w:color w:val="0000FF"/>
        </w:rPr>
      </w:pPr>
      <w:bookmarkStart w:id="683" w:name="_Toc51337634"/>
      <w:bookmarkStart w:id="684" w:name="_Toc57219207"/>
      <w:bookmarkStart w:id="685" w:name="_Toc59549192"/>
      <w:bookmarkStart w:id="686" w:name="_Toc77065106"/>
      <w:r w:rsidRPr="00693A57">
        <w:rPr>
          <w:strike/>
          <w:color w:val="0000FF"/>
        </w:rPr>
        <w:t>4.10  Asking requesting account holder to indicate disclosure option for joint account</w:t>
      </w:r>
      <w:bookmarkEnd w:id="683"/>
      <w:bookmarkEnd w:id="684"/>
      <w:bookmarkEnd w:id="685"/>
      <w:bookmarkEnd w:id="686"/>
    </w:p>
    <w:p w14:paraId="7D77FBD6"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This clause applies if:</w:t>
      </w:r>
    </w:p>
    <w:p w14:paraId="7F0545E3"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the requester is a joint account holder; and</w:t>
      </w:r>
    </w:p>
    <w:p w14:paraId="08570D21"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a data holder asks the requester to authorise disclosure in accordance with Division 4.4 of these rules; and</w:t>
      </w:r>
    </w:p>
    <w:p w14:paraId="0E9F619D"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the requester has not indicated which disclosure option they would like to apply to the account.</w:t>
      </w:r>
    </w:p>
    <w:p w14:paraId="13708779"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The data holder must also ask the requester to indicate:</w:t>
      </w:r>
    </w:p>
    <w:p w14:paraId="5F09F2B7" w14:textId="77777777" w:rsidR="00CF0E3D" w:rsidRPr="00693A57" w:rsidRDefault="00CF0E3D" w:rsidP="00CF0E3D">
      <w:pPr>
        <w:pStyle w:val="paragraph"/>
        <w:rPr>
          <w:strike/>
          <w:color w:val="0000FF"/>
        </w:rPr>
      </w:pPr>
      <w:r w:rsidRPr="00693A57">
        <w:rPr>
          <w:strike/>
          <w:color w:val="0000FF"/>
        </w:rPr>
        <w:lastRenderedPageBreak/>
        <w:tab/>
        <w:t>(a)</w:t>
      </w:r>
      <w:r w:rsidRPr="00693A57">
        <w:rPr>
          <w:strike/>
          <w:color w:val="0000FF"/>
        </w:rPr>
        <w:tab/>
        <w:t>through the joint account management service; and</w:t>
      </w:r>
    </w:p>
    <w:p w14:paraId="1BB13471"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in accordance with the data standards;</w:t>
      </w:r>
    </w:p>
    <w:p w14:paraId="7835A458" w14:textId="77777777" w:rsidR="00CF0E3D" w:rsidRPr="00693A57" w:rsidRDefault="00CF0E3D" w:rsidP="002D51A1">
      <w:pPr>
        <w:pStyle w:val="subsection20"/>
        <w:rPr>
          <w:strike/>
          <w:color w:val="0000FF"/>
        </w:rPr>
      </w:pPr>
      <w:r w:rsidRPr="00693A57">
        <w:rPr>
          <w:strike/>
          <w:color w:val="0000FF"/>
        </w:rPr>
        <w:tab/>
      </w:r>
      <w:r w:rsidRPr="00693A57">
        <w:rPr>
          <w:strike/>
          <w:color w:val="0000FF"/>
        </w:rPr>
        <w:tab/>
        <w:t>the disclosure option they would like to apply to the account.</w:t>
      </w:r>
    </w:p>
    <w:p w14:paraId="3CEEC73E" w14:textId="77777777" w:rsidR="00CF0E3D" w:rsidRPr="00693A57" w:rsidRDefault="00CF0E3D" w:rsidP="00CF0E3D">
      <w:pPr>
        <w:pStyle w:val="notetext"/>
        <w:rPr>
          <w:strike/>
          <w:color w:val="0000FF"/>
        </w:rPr>
      </w:pPr>
      <w:r w:rsidRPr="00693A57">
        <w:rPr>
          <w:strike/>
          <w:color w:val="0000FF"/>
        </w:rPr>
        <w:t>Note 1:</w:t>
      </w:r>
      <w:r w:rsidRPr="00693A57">
        <w:rPr>
          <w:strike/>
          <w:color w:val="0000FF"/>
        </w:rPr>
        <w:tab/>
        <w:t>This subclause is a civil penalty provision (see rule 9.8).</w:t>
      </w:r>
    </w:p>
    <w:p w14:paraId="2F5E785B" w14:textId="77777777" w:rsidR="00CF0E3D" w:rsidRPr="00693A57" w:rsidRDefault="00CF0E3D" w:rsidP="00CF0E3D">
      <w:pPr>
        <w:pStyle w:val="notetext"/>
        <w:rPr>
          <w:strike/>
          <w:color w:val="0000FF"/>
        </w:rPr>
      </w:pPr>
      <w:r w:rsidRPr="00693A57">
        <w:rPr>
          <w:strike/>
          <w:color w:val="0000FF"/>
        </w:rPr>
        <w:t>Note 2:</w:t>
      </w:r>
      <w:r w:rsidRPr="00693A57">
        <w:rPr>
          <w:strike/>
          <w:color w:val="0000FF"/>
        </w:rPr>
        <w:tab/>
        <w:t>The disclosure option will not apply to the account unless the relevant account holders indicate that they would like the same disclosure option to apply.</w:t>
      </w:r>
    </w:p>
    <w:p w14:paraId="563C04F0" w14:textId="77777777" w:rsidR="00CF0E3D" w:rsidRPr="00693A57" w:rsidRDefault="00CF0E3D" w:rsidP="00CF0E3D">
      <w:pPr>
        <w:pStyle w:val="notetext"/>
        <w:rPr>
          <w:strike/>
          <w:color w:val="0000FF"/>
        </w:rPr>
      </w:pPr>
      <w:r w:rsidRPr="00693A57">
        <w:rPr>
          <w:strike/>
          <w:color w:val="0000FF"/>
        </w:rPr>
        <w:t>Note 3:</w:t>
      </w:r>
      <w:r w:rsidRPr="00693A57">
        <w:rPr>
          <w:strike/>
          <w:color w:val="0000FF"/>
        </w:rPr>
        <w:tab/>
        <w:t>If the requester indicates a disclosure option that they would like to apply to the joint account, the data holder would then need to ask the relevant account holders to indicate which disclosure option they would like to apply to the joint account in accordance with clause 4.7 of this Schedule.</w:t>
      </w:r>
    </w:p>
    <w:p w14:paraId="579648C6" w14:textId="77777777" w:rsidR="00CF0E3D" w:rsidRPr="00693A57" w:rsidRDefault="00CF0E3D" w:rsidP="00CF0E3D">
      <w:pPr>
        <w:pStyle w:val="notetext"/>
        <w:rPr>
          <w:strike/>
          <w:color w:val="0000FF"/>
        </w:rPr>
      </w:pPr>
      <w:r w:rsidRPr="00693A57">
        <w:rPr>
          <w:strike/>
          <w:color w:val="0000FF"/>
        </w:rPr>
        <w:t>Note 4:</w:t>
      </w:r>
      <w:r w:rsidRPr="00693A57">
        <w:rPr>
          <w:strike/>
          <w:color w:val="0000FF"/>
        </w:rPr>
        <w:tab/>
        <w:t>See paragraph 4.16(1)(b) of this Schedule for a similar requirement in the case that the requester is a secondary user of the joint account.</w:t>
      </w:r>
    </w:p>
    <w:p w14:paraId="3B72A8C0" w14:textId="77777777" w:rsidR="00CF0E3D" w:rsidRPr="00693A57" w:rsidRDefault="00CF0E3D" w:rsidP="00CF0E3D">
      <w:pPr>
        <w:pStyle w:val="ActHead5"/>
        <w:rPr>
          <w:strike/>
          <w:color w:val="0000FF"/>
        </w:rPr>
      </w:pPr>
      <w:bookmarkStart w:id="687" w:name="_Toc51337635"/>
      <w:bookmarkStart w:id="688" w:name="_Toc57219208"/>
      <w:bookmarkStart w:id="689" w:name="_Toc59549193"/>
      <w:bookmarkStart w:id="690" w:name="_Toc77065107"/>
      <w:r w:rsidRPr="00693A57">
        <w:rPr>
          <w:strike/>
          <w:color w:val="0000FF"/>
        </w:rPr>
        <w:t>4.11  Asking relevant account holders for approval to disclose joint account data</w:t>
      </w:r>
      <w:bookmarkEnd w:id="687"/>
      <w:bookmarkEnd w:id="688"/>
      <w:bookmarkEnd w:id="689"/>
      <w:bookmarkEnd w:id="690"/>
    </w:p>
    <w:p w14:paraId="38C098E7"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This clause applies if:</w:t>
      </w:r>
    </w:p>
    <w:p w14:paraId="4FB6B6E0"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the requester has authorised, under Division 4.4 of these rules, the disclosure of the joint account data; and</w:t>
      </w:r>
    </w:p>
    <w:p w14:paraId="2F928ADD"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a co</w:t>
      </w:r>
      <w:r w:rsidRPr="00693A57">
        <w:rPr>
          <w:strike/>
          <w:color w:val="0000FF"/>
        </w:rPr>
        <w:noBreakHyphen/>
        <w:t>approval option applies to the joint account.</w:t>
      </w:r>
    </w:p>
    <w:p w14:paraId="23E611CF"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The data holder must, through its ordinary methods for contacting the relevant account holders:</w:t>
      </w:r>
    </w:p>
    <w:p w14:paraId="4C45FDA7"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indicate that an accredited person has requested disclosure of CDR data that relates to the joint account on behalf of the requester; and</w:t>
      </w:r>
    </w:p>
    <w:p w14:paraId="3420C623"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outline the matters referred to in subclause (1); and</w:t>
      </w:r>
    </w:p>
    <w:p w14:paraId="685DF7B7"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indicate the matters referred to in paragraphs 4.23(a), (b), (c), (d) and (e) of these rules so far as they relate to the request; and</w:t>
      </w:r>
    </w:p>
    <w:p w14:paraId="77F520DC" w14:textId="77777777" w:rsidR="00CF0E3D" w:rsidRPr="00693A57" w:rsidRDefault="00CF0E3D" w:rsidP="00CF0E3D">
      <w:pPr>
        <w:pStyle w:val="paragraph"/>
        <w:rPr>
          <w:strike/>
          <w:color w:val="0000FF"/>
        </w:rPr>
      </w:pPr>
      <w:r w:rsidRPr="00693A57">
        <w:rPr>
          <w:strike/>
          <w:color w:val="0000FF"/>
        </w:rPr>
        <w:tab/>
        <w:t>(d)</w:t>
      </w:r>
      <w:r w:rsidRPr="00693A57">
        <w:rPr>
          <w:strike/>
          <w:color w:val="0000FF"/>
        </w:rPr>
        <w:tab/>
        <w:t>ask the relevant account holders whether they approve the joint account data being disclosed; and</w:t>
      </w:r>
    </w:p>
    <w:p w14:paraId="11FAA205" w14:textId="77777777" w:rsidR="00CF0E3D" w:rsidRPr="00693A57" w:rsidRDefault="00CF0E3D" w:rsidP="00CF0E3D">
      <w:pPr>
        <w:pStyle w:val="paragraph"/>
        <w:rPr>
          <w:strike/>
          <w:color w:val="0000FF"/>
        </w:rPr>
      </w:pPr>
      <w:r w:rsidRPr="00693A57">
        <w:rPr>
          <w:strike/>
          <w:color w:val="0000FF"/>
        </w:rPr>
        <w:tab/>
        <w:t>(e)</w:t>
      </w:r>
      <w:r w:rsidRPr="00693A57">
        <w:rPr>
          <w:strike/>
          <w:color w:val="0000FF"/>
        </w:rPr>
        <w:tab/>
        <w:t>indicate the time by which the data holder needs the relevant account holders to give this approval; and</w:t>
      </w:r>
    </w:p>
    <w:p w14:paraId="5726444D" w14:textId="77777777" w:rsidR="00CF0E3D" w:rsidRPr="00693A57" w:rsidRDefault="00CF0E3D" w:rsidP="00CF0E3D">
      <w:pPr>
        <w:pStyle w:val="paragraph"/>
        <w:rPr>
          <w:strike/>
          <w:color w:val="0000FF"/>
        </w:rPr>
      </w:pPr>
      <w:r w:rsidRPr="00693A57">
        <w:rPr>
          <w:strike/>
          <w:color w:val="0000FF"/>
        </w:rPr>
        <w:tab/>
        <w:t>(f)</w:t>
      </w:r>
      <w:r w:rsidRPr="00693A57">
        <w:rPr>
          <w:strike/>
          <w:color w:val="0000FF"/>
        </w:rPr>
        <w:tab/>
        <w:t>inform them that any one of them may, at any time, remove the approval; and</w:t>
      </w:r>
    </w:p>
    <w:p w14:paraId="7217176F" w14:textId="77777777" w:rsidR="00CF0E3D" w:rsidRPr="00693A57" w:rsidRDefault="00CF0E3D" w:rsidP="00CF0E3D">
      <w:pPr>
        <w:pStyle w:val="paragraph"/>
        <w:rPr>
          <w:strike/>
          <w:color w:val="0000FF"/>
        </w:rPr>
      </w:pPr>
      <w:r w:rsidRPr="00693A57">
        <w:rPr>
          <w:strike/>
          <w:color w:val="0000FF"/>
        </w:rPr>
        <w:tab/>
        <w:t>(g)</w:t>
      </w:r>
      <w:r w:rsidRPr="00693A57">
        <w:rPr>
          <w:strike/>
          <w:color w:val="0000FF"/>
        </w:rPr>
        <w:tab/>
        <w:t>provide them with instructions for how to remove the approval; and</w:t>
      </w:r>
    </w:p>
    <w:p w14:paraId="7AEAF8E1" w14:textId="77777777" w:rsidR="00CF0E3D" w:rsidRPr="00693A57" w:rsidRDefault="00CF0E3D" w:rsidP="00CF0E3D">
      <w:pPr>
        <w:pStyle w:val="paragraph"/>
        <w:rPr>
          <w:strike/>
          <w:color w:val="0000FF"/>
        </w:rPr>
      </w:pPr>
      <w:r w:rsidRPr="00693A57">
        <w:rPr>
          <w:strike/>
          <w:color w:val="0000FF"/>
        </w:rPr>
        <w:tab/>
        <w:t>(h)</w:t>
      </w:r>
      <w:r w:rsidRPr="00693A57">
        <w:rPr>
          <w:strike/>
          <w:color w:val="0000FF"/>
        </w:rPr>
        <w:tab/>
        <w:t>indicate what the effect of removing the approval would be.</w:t>
      </w:r>
    </w:p>
    <w:p w14:paraId="235ABDCF"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For removal of an approval, see clause 4.14 of this Schedule.</w:t>
      </w:r>
    </w:p>
    <w:p w14:paraId="6B308198" w14:textId="77777777" w:rsidR="00CF0E3D" w:rsidRPr="00693A57" w:rsidRDefault="00CF0E3D" w:rsidP="00CF0E3D">
      <w:pPr>
        <w:pStyle w:val="ActHead5"/>
        <w:rPr>
          <w:strike/>
          <w:color w:val="0000FF"/>
        </w:rPr>
      </w:pPr>
      <w:bookmarkStart w:id="691" w:name="_Toc51337636"/>
      <w:bookmarkStart w:id="692" w:name="_Toc57219209"/>
      <w:bookmarkStart w:id="693" w:name="_Toc59549194"/>
      <w:bookmarkStart w:id="694" w:name="_Toc77065108"/>
      <w:r w:rsidRPr="00693A57">
        <w:rPr>
          <w:strike/>
          <w:color w:val="0000FF"/>
        </w:rPr>
        <w:t>4.12  Continuation and removal of approvals</w:t>
      </w:r>
      <w:bookmarkEnd w:id="691"/>
      <w:bookmarkEnd w:id="692"/>
      <w:bookmarkEnd w:id="693"/>
      <w:bookmarkEnd w:id="694"/>
    </w:p>
    <w:p w14:paraId="3EE8846D"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Any relevant account holder may remove an approval given under this Division at any time (regardless of whether the approval was given expressly under a co</w:t>
      </w:r>
      <w:r w:rsidRPr="00693A57">
        <w:rPr>
          <w:strike/>
          <w:color w:val="0000FF"/>
        </w:rPr>
        <w:noBreakHyphen/>
        <w:t>approval option or whether a pre</w:t>
      </w:r>
      <w:r w:rsidRPr="00693A57">
        <w:rPr>
          <w:strike/>
          <w:color w:val="0000FF"/>
        </w:rPr>
        <w:noBreakHyphen/>
        <w:t>approval option applies).</w:t>
      </w:r>
    </w:p>
    <w:p w14:paraId="792D2C20"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If each relevant account holder approves of the disclosure in accordance with this Division, the approval is taken to apply while the authorisation referred to in paragraph 4.11(1)(a) of this Schedule is current, unless removed sooner in accordance with this Division.</w:t>
      </w:r>
    </w:p>
    <w:p w14:paraId="5502C25B" w14:textId="77777777" w:rsidR="00CF0E3D" w:rsidRPr="00693A57" w:rsidRDefault="00CF0E3D" w:rsidP="00CF0E3D">
      <w:pPr>
        <w:pStyle w:val="ActHead5"/>
        <w:rPr>
          <w:strike/>
          <w:color w:val="0000FF"/>
          <w:lang w:val="en-US"/>
        </w:rPr>
      </w:pPr>
      <w:bookmarkStart w:id="695" w:name="_Toc51337637"/>
      <w:bookmarkStart w:id="696" w:name="_Toc57219210"/>
      <w:bookmarkStart w:id="697" w:name="_Toc59549195"/>
      <w:bookmarkStart w:id="698" w:name="_Toc77065109"/>
      <w:r w:rsidRPr="00693A57">
        <w:rPr>
          <w:strike/>
          <w:color w:val="0000FF"/>
          <w:lang w:val="en-US"/>
        </w:rPr>
        <w:lastRenderedPageBreak/>
        <w:t>4.13  Joint account data the data holder is authorised to disclose</w:t>
      </w:r>
      <w:bookmarkEnd w:id="695"/>
      <w:bookmarkEnd w:id="696"/>
      <w:bookmarkEnd w:id="697"/>
      <w:bookmarkEnd w:id="698"/>
    </w:p>
    <w:p w14:paraId="65E70B47" w14:textId="77777777" w:rsidR="00CF0E3D" w:rsidRPr="00693A57" w:rsidRDefault="00CF0E3D" w:rsidP="00CF0E3D">
      <w:pPr>
        <w:pStyle w:val="subsection"/>
        <w:rPr>
          <w:strike/>
          <w:color w:val="0000FF"/>
          <w:lang w:val="en-US"/>
        </w:rPr>
      </w:pPr>
      <w:r w:rsidRPr="00693A57">
        <w:rPr>
          <w:strike/>
          <w:color w:val="0000FF"/>
          <w:lang w:val="en-US"/>
        </w:rPr>
        <w:tab/>
        <w:t>(1)</w:t>
      </w:r>
      <w:r w:rsidRPr="00693A57">
        <w:rPr>
          <w:strike/>
          <w:color w:val="0000FF"/>
          <w:lang w:val="en-US"/>
        </w:rPr>
        <w:tab/>
        <w:t>For paragraph 4.6A(2) of these rules, the data holder must not disclose joint account data to the accredited person unless:</w:t>
      </w:r>
    </w:p>
    <w:p w14:paraId="6BA8840C" w14:textId="77777777" w:rsidR="00CF0E3D" w:rsidRPr="00693A57" w:rsidRDefault="00CF0E3D" w:rsidP="00CF0E3D">
      <w:pPr>
        <w:pStyle w:val="paragraph"/>
        <w:rPr>
          <w:strike/>
          <w:color w:val="0000FF"/>
        </w:rPr>
      </w:pPr>
      <w:r w:rsidRPr="00693A57">
        <w:rPr>
          <w:strike/>
          <w:color w:val="0000FF"/>
          <w:lang w:val="en-US"/>
        </w:rPr>
        <w:tab/>
        <w:t>(a)</w:t>
      </w:r>
      <w:r w:rsidRPr="00693A57">
        <w:rPr>
          <w:strike/>
          <w:color w:val="0000FF"/>
          <w:lang w:val="en-US"/>
        </w:rPr>
        <w:tab/>
        <w:t xml:space="preserve">the requester </w:t>
      </w:r>
      <w:r w:rsidRPr="00693A57">
        <w:rPr>
          <w:strike/>
          <w:color w:val="0000FF"/>
        </w:rPr>
        <w:t>has authorised the data holder to disclose that CDR data under Division 4.4 of these rules; and</w:t>
      </w:r>
    </w:p>
    <w:p w14:paraId="3ADEB7B9"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subclause (2), (3) or (4) applies.</w:t>
      </w:r>
    </w:p>
    <w:p w14:paraId="0D3AF553" w14:textId="77777777" w:rsidR="00CF0E3D" w:rsidRPr="00693A57" w:rsidRDefault="00CF0E3D" w:rsidP="00CF0E3D">
      <w:pPr>
        <w:pStyle w:val="SubsectionHead"/>
        <w:rPr>
          <w:strike/>
          <w:color w:val="0000FF"/>
        </w:rPr>
      </w:pPr>
      <w:r w:rsidRPr="00693A57">
        <w:rPr>
          <w:strike/>
          <w:color w:val="0000FF"/>
        </w:rPr>
        <w:t>Pre</w:t>
      </w:r>
      <w:r w:rsidRPr="00693A57">
        <w:rPr>
          <w:strike/>
          <w:color w:val="0000FF"/>
        </w:rPr>
        <w:noBreakHyphen/>
        <w:t>approval option</w:t>
      </w:r>
    </w:p>
    <w:p w14:paraId="29E21EB6"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This subclause applies if:</w:t>
      </w:r>
    </w:p>
    <w:p w14:paraId="62C0F060"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a pre</w:t>
      </w:r>
      <w:r w:rsidRPr="00693A57">
        <w:rPr>
          <w:strike/>
          <w:color w:val="0000FF"/>
        </w:rPr>
        <w:noBreakHyphen/>
        <w:t>approval option applies to the joint account; and</w:t>
      </w:r>
    </w:p>
    <w:p w14:paraId="1ED27EED"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no relevant account holder has removed the approval using its consumer dashboard.</w:t>
      </w:r>
    </w:p>
    <w:p w14:paraId="0C5BFABB" w14:textId="77777777" w:rsidR="00CF0E3D" w:rsidRPr="00693A57" w:rsidRDefault="00CF0E3D" w:rsidP="00CF0E3D">
      <w:pPr>
        <w:pStyle w:val="SubsectionHead"/>
        <w:rPr>
          <w:strike/>
          <w:color w:val="0000FF"/>
        </w:rPr>
      </w:pPr>
      <w:r w:rsidRPr="00693A57">
        <w:rPr>
          <w:strike/>
          <w:color w:val="0000FF"/>
        </w:rPr>
        <w:t>Co</w:t>
      </w:r>
      <w:r w:rsidRPr="00693A57">
        <w:rPr>
          <w:strike/>
          <w:color w:val="0000FF"/>
        </w:rPr>
        <w:noBreakHyphen/>
        <w:t>approval option</w:t>
      </w:r>
    </w:p>
    <w:p w14:paraId="3FAE86FD" w14:textId="77777777" w:rsidR="00CF0E3D" w:rsidRPr="00693A57" w:rsidRDefault="00CF0E3D" w:rsidP="00CF0E3D">
      <w:pPr>
        <w:pStyle w:val="subsection"/>
        <w:rPr>
          <w:strike/>
          <w:color w:val="0000FF"/>
        </w:rPr>
      </w:pPr>
      <w:r w:rsidRPr="00693A57">
        <w:rPr>
          <w:strike/>
          <w:color w:val="0000FF"/>
        </w:rPr>
        <w:tab/>
        <w:t>(3)</w:t>
      </w:r>
      <w:r w:rsidRPr="00693A57">
        <w:rPr>
          <w:strike/>
          <w:color w:val="0000FF"/>
        </w:rPr>
        <w:tab/>
        <w:t>This subclause applies if:</w:t>
      </w:r>
    </w:p>
    <w:p w14:paraId="257D7473"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a co</w:t>
      </w:r>
      <w:r w:rsidRPr="00693A57">
        <w:rPr>
          <w:strike/>
          <w:color w:val="0000FF"/>
        </w:rPr>
        <w:noBreakHyphen/>
        <w:t>approval option applies to the joint account; and</w:t>
      </w:r>
    </w:p>
    <w:p w14:paraId="58E91FC4"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for each relevant account holder, either:</w:t>
      </w:r>
    </w:p>
    <w:p w14:paraId="027480B1" w14:textId="77777777" w:rsidR="00CF0E3D" w:rsidRPr="00693A57" w:rsidRDefault="00CF0E3D" w:rsidP="00CF0E3D">
      <w:pPr>
        <w:pStyle w:val="paragraphsub"/>
        <w:rPr>
          <w:strike/>
          <w:color w:val="0000FF"/>
        </w:rPr>
      </w:pPr>
      <w:r w:rsidRPr="00693A57">
        <w:rPr>
          <w:strike/>
          <w:color w:val="0000FF"/>
        </w:rPr>
        <w:tab/>
        <w:t>(i)</w:t>
      </w:r>
      <w:r w:rsidRPr="00693A57">
        <w:rPr>
          <w:strike/>
          <w:color w:val="0000FF"/>
        </w:rPr>
        <w:tab/>
        <w:t>the relevant account holder approved the disclosure in accordance with clause 4.11 of this Schedule within the time frame referred to in paragraph 4.11(2)(e) of this Schedule and has not removed the approval using their consumer dashboard; or</w:t>
      </w:r>
    </w:p>
    <w:p w14:paraId="4A79BBA6"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the data holder considers it necessary to avoid seeking the approval of the relevant account holder in order to prevent physical or financial harm or abuse.</w:t>
      </w:r>
    </w:p>
    <w:p w14:paraId="3B20B5BC"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Data holders are required to offer the disclosure option referred to in subclause (2). Data holders may, but are not required to, offer the disclosure option referred to in subclause (3). See subclause 4.6(1) of this Schedule.</w:t>
      </w:r>
    </w:p>
    <w:p w14:paraId="70E8C363" w14:textId="77777777" w:rsidR="00CF0E3D" w:rsidRPr="00693A57" w:rsidRDefault="00CF0E3D" w:rsidP="00CF0E3D">
      <w:pPr>
        <w:pStyle w:val="SubsectionHead"/>
        <w:rPr>
          <w:strike/>
          <w:color w:val="0000FF"/>
        </w:rPr>
      </w:pPr>
      <w:r w:rsidRPr="00693A57">
        <w:rPr>
          <w:strike/>
          <w:color w:val="0000FF"/>
        </w:rPr>
        <w:t>No disclosure option applies but circumstances of physical or financial harm or abuse might exist</w:t>
      </w:r>
    </w:p>
    <w:p w14:paraId="2C9CA1DB" w14:textId="77777777" w:rsidR="00CF0E3D" w:rsidRPr="00693A57" w:rsidRDefault="00CF0E3D" w:rsidP="00CF0E3D">
      <w:pPr>
        <w:pStyle w:val="subsection"/>
        <w:rPr>
          <w:strike/>
          <w:color w:val="0000FF"/>
        </w:rPr>
      </w:pPr>
      <w:r w:rsidRPr="00693A57">
        <w:rPr>
          <w:strike/>
          <w:color w:val="0000FF"/>
        </w:rPr>
        <w:tab/>
        <w:t>(4)</w:t>
      </w:r>
      <w:r w:rsidRPr="00693A57">
        <w:rPr>
          <w:strike/>
          <w:color w:val="0000FF"/>
        </w:rPr>
        <w:tab/>
      </w:r>
      <w:bookmarkStart w:id="699" w:name="_Ref48226337"/>
      <w:bookmarkEnd w:id="699"/>
      <w:r w:rsidRPr="00693A57">
        <w:rPr>
          <w:strike/>
          <w:color w:val="0000FF"/>
        </w:rPr>
        <w:t>This subclause applies if:</w:t>
      </w:r>
    </w:p>
    <w:p w14:paraId="0FFA0FD3"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no disclosure option applies to the joint account; and</w:t>
      </w:r>
    </w:p>
    <w:p w14:paraId="073DCD26"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the data holder considers it necessary to avoid inviting at least one of the relevant account holders to choose a disclosure option in order to prevent physical or financial harm or abuse.</w:t>
      </w:r>
    </w:p>
    <w:p w14:paraId="68F3E6D2" w14:textId="77777777" w:rsidR="00CF0E3D" w:rsidRPr="00693A57" w:rsidRDefault="00CF0E3D" w:rsidP="00CF0E3D">
      <w:pPr>
        <w:pStyle w:val="ActHead5"/>
        <w:rPr>
          <w:strike/>
          <w:color w:val="0000FF"/>
        </w:rPr>
      </w:pPr>
      <w:bookmarkStart w:id="700" w:name="_Toc41042950"/>
      <w:bookmarkStart w:id="701" w:name="_Toc57219211"/>
      <w:bookmarkStart w:id="702" w:name="_Toc59549196"/>
      <w:bookmarkStart w:id="703" w:name="_Toc77065110"/>
      <w:bookmarkStart w:id="704" w:name="_Toc51337638"/>
      <w:r w:rsidRPr="00693A57">
        <w:rPr>
          <w:strike/>
          <w:color w:val="0000FF"/>
        </w:rPr>
        <w:t xml:space="preserve">4.14  Consumer dashboard </w:t>
      </w:r>
      <w:bookmarkEnd w:id="700"/>
      <w:r w:rsidRPr="00693A57">
        <w:rPr>
          <w:strike/>
          <w:color w:val="0000FF"/>
        </w:rPr>
        <w:t>for relevant account holders</w:t>
      </w:r>
      <w:bookmarkEnd w:id="701"/>
      <w:bookmarkEnd w:id="702"/>
      <w:bookmarkEnd w:id="703"/>
      <w:r w:rsidRPr="00693A57">
        <w:rPr>
          <w:strike/>
          <w:color w:val="0000FF"/>
        </w:rPr>
        <w:t xml:space="preserve"> </w:t>
      </w:r>
      <w:bookmarkEnd w:id="704"/>
    </w:p>
    <w:p w14:paraId="6FEAF315" w14:textId="77777777" w:rsidR="00CF0E3D" w:rsidRPr="00693A57" w:rsidRDefault="00CF0E3D" w:rsidP="00CF0E3D">
      <w:pPr>
        <w:pStyle w:val="SubsectionHead"/>
        <w:rPr>
          <w:strike/>
          <w:color w:val="0000FF"/>
        </w:rPr>
      </w:pPr>
      <w:r w:rsidRPr="00693A57">
        <w:rPr>
          <w:strike/>
          <w:color w:val="0000FF"/>
        </w:rPr>
        <w:t>Obligation for data holder to provide relevant account holders with consumer dashboard</w:t>
      </w:r>
    </w:p>
    <w:p w14:paraId="237C62F1"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If a disclosure option applies or has applied to the joint account, the data holder must ensure that each relevant account holder has an online service that:</w:t>
      </w:r>
    </w:p>
    <w:p w14:paraId="75EC8A32" w14:textId="77777777" w:rsidR="00CF0E3D" w:rsidRPr="00693A57" w:rsidRDefault="00CF0E3D" w:rsidP="00CF0E3D">
      <w:pPr>
        <w:pStyle w:val="paragraph"/>
        <w:rPr>
          <w:strike/>
          <w:color w:val="0000FF"/>
        </w:rPr>
      </w:pPr>
      <w:r w:rsidRPr="00693A57">
        <w:rPr>
          <w:strike/>
          <w:color w:val="0000FF"/>
        </w:rPr>
        <w:lastRenderedPageBreak/>
        <w:tab/>
        <w:t>(a)</w:t>
      </w:r>
      <w:r w:rsidRPr="00693A57">
        <w:rPr>
          <w:strike/>
          <w:color w:val="0000FF"/>
        </w:rPr>
        <w:tab/>
        <w:t>if a disclosure option applies to the account―can be used by the relevant account holders to manage approvals to disclose CDR data in response to consumer data requests under Part 4 of these rules for CDR in relation to the joint account; and</w:t>
      </w:r>
    </w:p>
    <w:p w14:paraId="0E7E876B"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contains the details referred to in paragraph 1.15(1)(b) of these rules that relate to requests for CDR data under Part 4 of these rules in relation to the joint account; and</w:t>
      </w:r>
    </w:p>
    <w:p w14:paraId="271DD30A"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if a disclosure option applies to the account―has the functionality referred to in paragraph 1.15(1)(c) of these rules, as if:</w:t>
      </w:r>
    </w:p>
    <w:p w14:paraId="3E35DED4" w14:textId="77777777" w:rsidR="00CF0E3D" w:rsidRPr="00693A57" w:rsidRDefault="00CF0E3D" w:rsidP="00CF0E3D">
      <w:pPr>
        <w:pStyle w:val="paragraphsub"/>
        <w:rPr>
          <w:strike/>
          <w:color w:val="0000FF"/>
        </w:rPr>
      </w:pPr>
      <w:r w:rsidRPr="00693A57">
        <w:rPr>
          <w:strike/>
          <w:color w:val="0000FF"/>
        </w:rPr>
        <w:tab/>
        <w:t>(i)</w:t>
      </w:r>
      <w:r w:rsidRPr="00693A57">
        <w:rPr>
          <w:strike/>
          <w:color w:val="0000FF"/>
        </w:rPr>
        <w:tab/>
        <w:t>references in that paragraph to authorisations were instead references to approvals; and</w:t>
      </w:r>
    </w:p>
    <w:p w14:paraId="33B24DB2"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references in that paragraph to withdrawals were instead references to removals.</w:t>
      </w:r>
    </w:p>
    <w:p w14:paraId="5A5B87F8"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This subclause is a civil penalty provision (see rule 9.8).</w:t>
      </w:r>
    </w:p>
    <w:p w14:paraId="047C1AED" w14:textId="77777777" w:rsidR="00CF0E3D" w:rsidRPr="00693A57" w:rsidRDefault="00CF0E3D" w:rsidP="00CF0E3D">
      <w:pPr>
        <w:pStyle w:val="subsection"/>
        <w:rPr>
          <w:strike/>
          <w:color w:val="0000FF"/>
        </w:rPr>
      </w:pPr>
      <w:bookmarkStart w:id="705" w:name="_Toc50633233"/>
      <w:r w:rsidRPr="00693A57">
        <w:rPr>
          <w:strike/>
          <w:color w:val="0000FF"/>
        </w:rPr>
        <w:tab/>
        <w:t>(2)</w:t>
      </w:r>
      <w:r w:rsidRPr="00693A57">
        <w:rPr>
          <w:strike/>
          <w:color w:val="0000FF"/>
        </w:rPr>
        <w:tab/>
        <w:t xml:space="preserve">Such a service is the data holder’s </w:t>
      </w:r>
      <w:r w:rsidRPr="00693A57">
        <w:rPr>
          <w:b/>
          <w:i/>
          <w:strike/>
          <w:color w:val="0000FF"/>
        </w:rPr>
        <w:t>consumer dashboard</w:t>
      </w:r>
      <w:r w:rsidRPr="00693A57">
        <w:rPr>
          <w:strike/>
          <w:color w:val="0000FF"/>
        </w:rPr>
        <w:t xml:space="preserve"> for </w:t>
      </w:r>
      <w:bookmarkEnd w:id="705"/>
      <w:r w:rsidRPr="00693A57">
        <w:rPr>
          <w:strike/>
          <w:color w:val="0000FF"/>
        </w:rPr>
        <w:t>the relevant account holder.</w:t>
      </w:r>
    </w:p>
    <w:p w14:paraId="2821A3CE" w14:textId="77777777" w:rsidR="00CF0E3D" w:rsidRPr="00693A57" w:rsidRDefault="00CF0E3D" w:rsidP="00CF0E3D">
      <w:pPr>
        <w:pStyle w:val="subsection"/>
        <w:rPr>
          <w:strike/>
          <w:color w:val="0000FF"/>
        </w:rPr>
      </w:pPr>
      <w:r w:rsidRPr="00693A57">
        <w:rPr>
          <w:strike/>
          <w:color w:val="0000FF"/>
        </w:rPr>
        <w:tab/>
        <w:t>(3)</w:t>
      </w:r>
      <w:r w:rsidRPr="00693A57">
        <w:rPr>
          <w:strike/>
          <w:color w:val="0000FF"/>
        </w:rPr>
        <w:tab/>
        <w:t>A data holder does not contravene subrule (1) in relation to subparagraphs 1.15(1)(c)(ii) and (iii) of these rules as referenced by paragraph (1)(c) so long as it takes reasonable steps to ensure that the functionality complies with those subparagraphs.</w:t>
      </w:r>
    </w:p>
    <w:p w14:paraId="2D95E809" w14:textId="77777777" w:rsidR="00CF0E3D" w:rsidRPr="00693A57" w:rsidRDefault="00CF0E3D" w:rsidP="00CF0E3D">
      <w:pPr>
        <w:pStyle w:val="SubsectionHead"/>
        <w:rPr>
          <w:strike/>
          <w:color w:val="0000FF"/>
        </w:rPr>
      </w:pPr>
      <w:r w:rsidRPr="00693A57">
        <w:rPr>
          <w:strike/>
          <w:color w:val="0000FF"/>
        </w:rPr>
        <w:t>Exception in the case of physical or financial harm or abuse</w:t>
      </w:r>
    </w:p>
    <w:p w14:paraId="6AF35EB5" w14:textId="77777777" w:rsidR="00CF0E3D" w:rsidRPr="00693A57" w:rsidRDefault="00CF0E3D" w:rsidP="00CF0E3D">
      <w:pPr>
        <w:pStyle w:val="subsection"/>
        <w:rPr>
          <w:strike/>
          <w:color w:val="0000FF"/>
        </w:rPr>
      </w:pPr>
      <w:r w:rsidRPr="00693A57">
        <w:rPr>
          <w:strike/>
          <w:color w:val="0000FF"/>
        </w:rPr>
        <w:tab/>
        <w:t>(4)</w:t>
      </w:r>
      <w:r w:rsidRPr="00693A57">
        <w:rPr>
          <w:strike/>
          <w:color w:val="0000FF"/>
        </w:rPr>
        <w:tab/>
        <w:t>Despite this clause and clause 4.15 of this Schedule, the data holder may decline:</w:t>
      </w:r>
    </w:p>
    <w:p w14:paraId="158543DC"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to provide a relevant account holder with a consumer dashboard; or</w:t>
      </w:r>
    </w:p>
    <w:p w14:paraId="34891D5F"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if a relevant account holder already has a consumer dashboard―to reflect details of the request relating to the joint account in their dashboard;</w:t>
      </w:r>
    </w:p>
    <w:p w14:paraId="0B38A62C" w14:textId="77777777" w:rsidR="00CF0E3D" w:rsidRPr="00693A57" w:rsidRDefault="00CF0E3D" w:rsidP="00CF0E3D">
      <w:pPr>
        <w:pStyle w:val="subsection"/>
        <w:spacing w:before="40"/>
        <w:rPr>
          <w:strike/>
          <w:color w:val="0000FF"/>
        </w:rPr>
      </w:pPr>
      <w:r w:rsidRPr="00693A57">
        <w:rPr>
          <w:strike/>
          <w:color w:val="0000FF"/>
        </w:rPr>
        <w:tab/>
      </w:r>
      <w:r w:rsidRPr="00693A57">
        <w:rPr>
          <w:strike/>
          <w:color w:val="0000FF"/>
        </w:rPr>
        <w:tab/>
        <w:t>if it considers it necessary to do either in order to prevent physical or financial harm or abuse.</w:t>
      </w:r>
    </w:p>
    <w:p w14:paraId="174BA59A" w14:textId="77777777" w:rsidR="00CF0E3D" w:rsidRPr="00693A57" w:rsidRDefault="00CF0E3D" w:rsidP="00CF0E3D">
      <w:pPr>
        <w:pStyle w:val="ActHead5"/>
        <w:rPr>
          <w:strike/>
          <w:color w:val="0000FF"/>
        </w:rPr>
      </w:pPr>
      <w:bookmarkStart w:id="706" w:name="_Toc51337639"/>
      <w:bookmarkStart w:id="707" w:name="_Toc57219212"/>
      <w:bookmarkStart w:id="708" w:name="_Toc59549197"/>
      <w:bookmarkStart w:id="709" w:name="_Toc77065111"/>
      <w:r w:rsidRPr="00693A57">
        <w:rPr>
          <w:strike/>
          <w:color w:val="0000FF"/>
        </w:rPr>
        <w:t>4.15  Consumer dashboard for the requester</w:t>
      </w:r>
      <w:bookmarkEnd w:id="706"/>
      <w:bookmarkEnd w:id="707"/>
      <w:bookmarkEnd w:id="708"/>
      <w:bookmarkEnd w:id="709"/>
    </w:p>
    <w:p w14:paraId="4C1CC096" w14:textId="77777777" w:rsidR="00CF0E3D" w:rsidRPr="00693A57" w:rsidRDefault="00CF0E3D" w:rsidP="00CF0E3D">
      <w:pPr>
        <w:pStyle w:val="subsection"/>
        <w:rPr>
          <w:strike/>
          <w:color w:val="0000FF"/>
        </w:rPr>
      </w:pPr>
      <w:r w:rsidRPr="00693A57">
        <w:rPr>
          <w:strike/>
          <w:color w:val="0000FF"/>
        </w:rPr>
        <w:tab/>
      </w:r>
      <w:r w:rsidRPr="00693A57">
        <w:rPr>
          <w:strike/>
          <w:color w:val="0000FF"/>
        </w:rPr>
        <w:tab/>
        <w:t>For paragraph 1.15(1)(d) of these rules, if a relevant account holder’s consumer dashboard contains details of approvals under clause 4.14 of this Schedule, the dashboards of the other joint account holders must contain those details.</w:t>
      </w:r>
    </w:p>
    <w:p w14:paraId="06152AD0" w14:textId="77777777" w:rsidR="00CF0E3D" w:rsidRPr="00693A57" w:rsidRDefault="00CF0E3D" w:rsidP="00CF0E3D">
      <w:pPr>
        <w:pStyle w:val="ActHead5"/>
        <w:rPr>
          <w:strike/>
          <w:color w:val="0000FF"/>
        </w:rPr>
      </w:pPr>
      <w:bookmarkStart w:id="710" w:name="_Toc51337640"/>
      <w:bookmarkStart w:id="711" w:name="_Toc57219213"/>
      <w:bookmarkStart w:id="712" w:name="_Toc59549198"/>
      <w:bookmarkStart w:id="713" w:name="_Toc77065112"/>
      <w:r w:rsidRPr="00693A57">
        <w:rPr>
          <w:strike/>
          <w:color w:val="0000FF"/>
        </w:rPr>
        <w:t>4.16  Notification requirements for consumer data requests on joint accounts</w:t>
      </w:r>
      <w:bookmarkEnd w:id="710"/>
      <w:bookmarkEnd w:id="711"/>
      <w:bookmarkEnd w:id="712"/>
      <w:bookmarkEnd w:id="713"/>
    </w:p>
    <w:p w14:paraId="75182BC0" w14:textId="77777777" w:rsidR="00CF0E3D" w:rsidRPr="00693A57" w:rsidRDefault="00CF0E3D" w:rsidP="00CF0E3D">
      <w:pPr>
        <w:pStyle w:val="subsection"/>
        <w:rPr>
          <w:strike/>
          <w:color w:val="0000FF"/>
        </w:rPr>
      </w:pPr>
      <w:r w:rsidRPr="00693A57">
        <w:rPr>
          <w:strike/>
          <w:color w:val="0000FF"/>
        </w:rPr>
        <w:tab/>
        <w:t>(1)</w:t>
      </w:r>
      <w:r w:rsidRPr="00693A57">
        <w:rPr>
          <w:strike/>
          <w:color w:val="0000FF"/>
        </w:rPr>
        <w:tab/>
        <w:t>If the requester gives, amends or withdraws an authorisation, or if an authorisation expires, the data holder must:</w:t>
      </w:r>
    </w:p>
    <w:p w14:paraId="3B535BD0"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as soon as practicable, notify each relevant account holder through its ordinary means of contacting them; and</w:t>
      </w:r>
    </w:p>
    <w:p w14:paraId="07F6062B"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if:</w:t>
      </w:r>
    </w:p>
    <w:p w14:paraId="04575DAA" w14:textId="77777777" w:rsidR="00CF0E3D" w:rsidRPr="00693A57" w:rsidRDefault="00CF0E3D" w:rsidP="00CF0E3D">
      <w:pPr>
        <w:pStyle w:val="paragraphsub"/>
        <w:rPr>
          <w:strike/>
          <w:color w:val="0000FF"/>
        </w:rPr>
      </w:pPr>
      <w:r w:rsidRPr="00693A57">
        <w:rPr>
          <w:strike/>
          <w:color w:val="0000FF"/>
        </w:rPr>
        <w:tab/>
        <w:t>(i)</w:t>
      </w:r>
      <w:r w:rsidRPr="00693A57">
        <w:rPr>
          <w:strike/>
          <w:color w:val="0000FF"/>
        </w:rPr>
        <w:tab/>
        <w:t>the requester is a secondary user of the joint account; and</w:t>
      </w:r>
    </w:p>
    <w:p w14:paraId="26B10585"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no disclosure option applies to the joint account;</w:t>
      </w:r>
    </w:p>
    <w:p w14:paraId="702D9315" w14:textId="77777777" w:rsidR="00CF0E3D" w:rsidRPr="00693A57" w:rsidRDefault="00CF0E3D" w:rsidP="00CF0E3D">
      <w:pPr>
        <w:pStyle w:val="paragraph"/>
        <w:rPr>
          <w:strike/>
          <w:color w:val="0000FF"/>
        </w:rPr>
      </w:pPr>
      <w:r w:rsidRPr="00693A57">
        <w:rPr>
          <w:strike/>
          <w:color w:val="0000FF"/>
        </w:rPr>
        <w:lastRenderedPageBreak/>
        <w:tab/>
      </w:r>
      <w:r w:rsidRPr="00693A57">
        <w:rPr>
          <w:strike/>
          <w:color w:val="0000FF"/>
        </w:rPr>
        <w:tab/>
        <w:t>ask the relevant account holders to indicate which disclosure option they would like to apply to the account:</w:t>
      </w:r>
    </w:p>
    <w:p w14:paraId="1F708FAE" w14:textId="77777777" w:rsidR="00CF0E3D" w:rsidRPr="00693A57" w:rsidRDefault="00CF0E3D" w:rsidP="00CF0E3D">
      <w:pPr>
        <w:pStyle w:val="paragraphsub"/>
        <w:rPr>
          <w:strike/>
          <w:color w:val="0000FF"/>
        </w:rPr>
      </w:pPr>
      <w:r w:rsidRPr="00693A57">
        <w:rPr>
          <w:strike/>
          <w:color w:val="0000FF"/>
        </w:rPr>
        <w:tab/>
        <w:t>(iii)</w:t>
      </w:r>
      <w:r w:rsidRPr="00693A57">
        <w:rPr>
          <w:strike/>
          <w:color w:val="0000FF"/>
        </w:rPr>
        <w:tab/>
        <w:t>through the joint account management service; and</w:t>
      </w:r>
    </w:p>
    <w:p w14:paraId="3C44D436" w14:textId="77777777" w:rsidR="00CF0E3D" w:rsidRPr="00693A57" w:rsidRDefault="00CF0E3D" w:rsidP="00CF0E3D">
      <w:pPr>
        <w:pStyle w:val="paragraphsub"/>
        <w:rPr>
          <w:strike/>
          <w:color w:val="0000FF"/>
        </w:rPr>
      </w:pPr>
      <w:r w:rsidRPr="00693A57">
        <w:rPr>
          <w:strike/>
          <w:color w:val="0000FF"/>
        </w:rPr>
        <w:tab/>
        <w:t>(iv)</w:t>
      </w:r>
      <w:r w:rsidRPr="00693A57">
        <w:rPr>
          <w:strike/>
          <w:color w:val="0000FF"/>
        </w:rPr>
        <w:tab/>
        <w:t>in accordance with the data standards; and</w:t>
      </w:r>
    </w:p>
    <w:p w14:paraId="378DF8D4" w14:textId="77777777" w:rsidR="00CF0E3D" w:rsidRPr="00693A57" w:rsidRDefault="00CF0E3D" w:rsidP="00CF0E3D">
      <w:pPr>
        <w:pStyle w:val="paragraph"/>
        <w:rPr>
          <w:strike/>
          <w:color w:val="0000FF"/>
        </w:rPr>
      </w:pPr>
      <w:r w:rsidRPr="00693A57">
        <w:rPr>
          <w:strike/>
          <w:color w:val="0000FF"/>
        </w:rPr>
        <w:tab/>
        <w:t>(c)</w:t>
      </w:r>
      <w:r w:rsidRPr="00693A57">
        <w:rPr>
          <w:strike/>
          <w:color w:val="0000FF"/>
        </w:rPr>
        <w:tab/>
        <w:t>if a co</w:t>
      </w:r>
      <w:r w:rsidRPr="00693A57">
        <w:rPr>
          <w:strike/>
          <w:color w:val="0000FF"/>
        </w:rPr>
        <w:noBreakHyphen/>
        <w:t>approval option applies to the account―in the case of an amendment, include in the notification:</w:t>
      </w:r>
    </w:p>
    <w:p w14:paraId="5C8FB55B" w14:textId="77777777" w:rsidR="00CF0E3D" w:rsidRPr="00693A57" w:rsidRDefault="00CF0E3D" w:rsidP="00CF0E3D">
      <w:pPr>
        <w:pStyle w:val="paragraphsub"/>
        <w:rPr>
          <w:strike/>
          <w:color w:val="0000FF"/>
        </w:rPr>
      </w:pPr>
      <w:r w:rsidRPr="00693A57">
        <w:rPr>
          <w:strike/>
          <w:color w:val="0000FF"/>
        </w:rPr>
        <w:tab/>
        <w:t>(i)</w:t>
      </w:r>
      <w:r w:rsidRPr="00693A57">
        <w:rPr>
          <w:strike/>
          <w:color w:val="0000FF"/>
        </w:rPr>
        <w:tab/>
        <w:t>the nature of the amendment; and</w:t>
      </w:r>
    </w:p>
    <w:p w14:paraId="102D43D2" w14:textId="77777777" w:rsidR="00CF0E3D" w:rsidRPr="00693A57" w:rsidRDefault="00CF0E3D" w:rsidP="00CF0E3D">
      <w:pPr>
        <w:pStyle w:val="paragraphsub"/>
        <w:rPr>
          <w:strike/>
          <w:color w:val="0000FF"/>
        </w:rPr>
      </w:pPr>
      <w:r w:rsidRPr="00693A57">
        <w:rPr>
          <w:strike/>
          <w:color w:val="0000FF"/>
        </w:rPr>
        <w:tab/>
        <w:t>(ii)</w:t>
      </w:r>
      <w:r w:rsidRPr="00693A57">
        <w:rPr>
          <w:strike/>
          <w:color w:val="0000FF"/>
        </w:rPr>
        <w:tab/>
        <w:t>how they can remove an approval to prevent further CDR data relating to the joint account being disclosed under these rules.</w:t>
      </w:r>
    </w:p>
    <w:p w14:paraId="338F8803"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This subclause is a civil penalty provision (see rule 9.8).</w:t>
      </w:r>
    </w:p>
    <w:p w14:paraId="2461A1D3" w14:textId="77777777" w:rsidR="00CF0E3D" w:rsidRPr="00693A57" w:rsidRDefault="00CF0E3D" w:rsidP="00CF0E3D">
      <w:pPr>
        <w:pStyle w:val="subsection"/>
        <w:rPr>
          <w:strike/>
          <w:color w:val="0000FF"/>
        </w:rPr>
      </w:pPr>
      <w:r w:rsidRPr="00693A57">
        <w:rPr>
          <w:strike/>
          <w:color w:val="0000FF"/>
        </w:rPr>
        <w:tab/>
        <w:t>(2)</w:t>
      </w:r>
      <w:r w:rsidRPr="00693A57">
        <w:rPr>
          <w:strike/>
          <w:color w:val="0000FF"/>
        </w:rPr>
        <w:tab/>
        <w:t>If a relevant account holder:</w:t>
      </w:r>
    </w:p>
    <w:p w14:paraId="5089E11C" w14:textId="77777777" w:rsidR="00CF0E3D" w:rsidRPr="00693A57" w:rsidRDefault="00CF0E3D" w:rsidP="00CF0E3D">
      <w:pPr>
        <w:pStyle w:val="paragraph"/>
        <w:rPr>
          <w:strike/>
          <w:color w:val="0000FF"/>
        </w:rPr>
      </w:pPr>
      <w:r w:rsidRPr="00693A57">
        <w:rPr>
          <w:strike/>
          <w:color w:val="0000FF"/>
        </w:rPr>
        <w:tab/>
        <w:t>(a)</w:t>
      </w:r>
      <w:r w:rsidRPr="00693A57">
        <w:rPr>
          <w:strike/>
          <w:color w:val="0000FF"/>
        </w:rPr>
        <w:tab/>
        <w:t>using their consumer dashboard, gives or removes an approval; or</w:t>
      </w:r>
    </w:p>
    <w:p w14:paraId="548DD79F" w14:textId="77777777" w:rsidR="00CF0E3D" w:rsidRPr="00693A57" w:rsidRDefault="00CF0E3D" w:rsidP="00CF0E3D">
      <w:pPr>
        <w:pStyle w:val="paragraph"/>
        <w:rPr>
          <w:strike/>
          <w:color w:val="0000FF"/>
        </w:rPr>
      </w:pPr>
      <w:r w:rsidRPr="00693A57">
        <w:rPr>
          <w:strike/>
          <w:color w:val="0000FF"/>
        </w:rPr>
        <w:tab/>
        <w:t>(b)</w:t>
      </w:r>
      <w:r w:rsidRPr="00693A57">
        <w:rPr>
          <w:strike/>
          <w:color w:val="0000FF"/>
        </w:rPr>
        <w:tab/>
        <w:t xml:space="preserve">does not provide an approval within </w:t>
      </w:r>
      <w:r w:rsidRPr="00693A57">
        <w:rPr>
          <w:strike/>
          <w:color w:val="0000FF"/>
          <w:lang w:val="en-US"/>
        </w:rPr>
        <w:t xml:space="preserve">the time frame referred to in paragraph 4.11(2)(e) </w:t>
      </w:r>
      <w:r w:rsidRPr="00693A57">
        <w:rPr>
          <w:strike/>
          <w:color w:val="0000FF"/>
        </w:rPr>
        <w:t>of this Schedule;</w:t>
      </w:r>
    </w:p>
    <w:p w14:paraId="6095D08B" w14:textId="77777777" w:rsidR="00CF0E3D" w:rsidRPr="00693A57" w:rsidRDefault="00CF0E3D" w:rsidP="002D51A1">
      <w:pPr>
        <w:pStyle w:val="subsection20"/>
        <w:rPr>
          <w:strike/>
          <w:color w:val="0000FF"/>
        </w:rPr>
      </w:pPr>
      <w:r w:rsidRPr="00693A57">
        <w:rPr>
          <w:strike/>
          <w:color w:val="0000FF"/>
        </w:rPr>
        <w:tab/>
      </w:r>
      <w:r w:rsidRPr="00693A57">
        <w:rPr>
          <w:strike/>
          <w:color w:val="0000FF"/>
        </w:rPr>
        <w:tab/>
        <w:t>the data holder must notify the requester and any other relevant account holder through its ordinary means of contacting them.</w:t>
      </w:r>
    </w:p>
    <w:p w14:paraId="6E6E3FE8" w14:textId="77777777" w:rsidR="00CF0E3D" w:rsidRPr="00693A57" w:rsidRDefault="00CF0E3D" w:rsidP="00CF0E3D">
      <w:pPr>
        <w:pStyle w:val="notetext"/>
        <w:rPr>
          <w:strike/>
          <w:color w:val="0000FF"/>
        </w:rPr>
      </w:pPr>
      <w:r w:rsidRPr="00693A57">
        <w:rPr>
          <w:strike/>
          <w:color w:val="0000FF"/>
        </w:rPr>
        <w:t>Note:</w:t>
      </w:r>
      <w:r w:rsidRPr="00693A57">
        <w:rPr>
          <w:strike/>
          <w:color w:val="0000FF"/>
        </w:rPr>
        <w:tab/>
        <w:t>This subclause is a civil penalty provision (see rule 9.8).</w:t>
      </w:r>
    </w:p>
    <w:p w14:paraId="16969833" w14:textId="77777777" w:rsidR="00CF0E3D" w:rsidRPr="00693A57" w:rsidRDefault="00CF0E3D" w:rsidP="00CF0E3D">
      <w:pPr>
        <w:pStyle w:val="subsection"/>
        <w:rPr>
          <w:strike/>
          <w:color w:val="0000FF"/>
          <w:shd w:val="clear" w:color="auto" w:fill="FFFFFF"/>
        </w:rPr>
      </w:pPr>
      <w:r w:rsidRPr="00693A57">
        <w:rPr>
          <w:strike/>
          <w:color w:val="0000FF"/>
          <w:shd w:val="clear" w:color="auto" w:fill="FFFFFF"/>
        </w:rPr>
        <w:tab/>
        <w:t>(3)</w:t>
      </w:r>
      <w:r w:rsidRPr="00693A57">
        <w:rPr>
          <w:strike/>
          <w:color w:val="0000FF"/>
          <w:shd w:val="clear" w:color="auto" w:fill="FFFFFF"/>
        </w:rPr>
        <w:tab/>
        <w:t>However, a notification to a particular account holder under this clause is not required if the data holder considers it necessary to avoid notifying that account holder in order to prevent physical or financial harm or abuse.</w:t>
      </w:r>
    </w:p>
    <w:bookmarkEnd w:id="619"/>
    <w:p w14:paraId="2A59AC2E" w14:textId="2F106E72" w:rsidR="00A81512" w:rsidRDefault="00CF0E3D" w:rsidP="00CF0E3D">
      <w:pPr>
        <w:pStyle w:val="subsection"/>
        <w:spacing w:before="40"/>
      </w:pPr>
      <w:r>
        <w:tab/>
      </w:r>
      <w:r>
        <w:tab/>
      </w:r>
    </w:p>
    <w:p w14:paraId="17259DB5" w14:textId="77777777" w:rsidR="00A81512" w:rsidRPr="00A81512" w:rsidRDefault="00A81512" w:rsidP="00A81512">
      <w:pPr>
        <w:rPr>
          <w:lang w:eastAsia="en-AU"/>
        </w:rPr>
      </w:pPr>
    </w:p>
    <w:p w14:paraId="77590934" w14:textId="77777777" w:rsidR="00A81512" w:rsidRPr="00A81512" w:rsidRDefault="00A81512" w:rsidP="00A81512">
      <w:pPr>
        <w:rPr>
          <w:lang w:eastAsia="en-AU"/>
        </w:rPr>
      </w:pPr>
    </w:p>
    <w:p w14:paraId="2FE8737C" w14:textId="77777777" w:rsidR="00A81512" w:rsidRPr="00A81512" w:rsidRDefault="00A81512" w:rsidP="00A81512">
      <w:pPr>
        <w:rPr>
          <w:lang w:eastAsia="en-AU"/>
        </w:rPr>
      </w:pPr>
    </w:p>
    <w:p w14:paraId="2469E149" w14:textId="03A31DB0" w:rsidR="00A81512" w:rsidRDefault="00A81512" w:rsidP="00A81512">
      <w:pPr>
        <w:rPr>
          <w:lang w:eastAsia="en-AU"/>
        </w:rPr>
      </w:pPr>
    </w:p>
    <w:p w14:paraId="23B6A0E9" w14:textId="77777777" w:rsidR="00CF0E3D" w:rsidRPr="00A81512" w:rsidRDefault="00CF0E3D" w:rsidP="00A81512">
      <w:pPr>
        <w:jc w:val="center"/>
        <w:rPr>
          <w:lang w:eastAsia="en-AU"/>
        </w:rPr>
      </w:pPr>
    </w:p>
    <w:p w14:paraId="4D2F1768" w14:textId="681686A2" w:rsidR="00CF0E3D" w:rsidRPr="00E1300D" w:rsidRDefault="00CF0E3D" w:rsidP="00CF0E3D">
      <w:pPr>
        <w:pStyle w:val="ActHead2"/>
        <w:pageBreakBefore/>
        <w:rPr>
          <w:color w:val="000000" w:themeColor="text1"/>
        </w:rPr>
      </w:pPr>
      <w:bookmarkStart w:id="714" w:name="_Toc77065113"/>
      <w:r>
        <w:rPr>
          <w:color w:val="000000" w:themeColor="text1"/>
        </w:rPr>
        <w:lastRenderedPageBreak/>
        <w:t>Part 5</w:t>
      </w:r>
      <w:r w:rsidRPr="00E1300D">
        <w:rPr>
          <w:color w:val="000000" w:themeColor="text1"/>
        </w:rPr>
        <w:t>—Internal dispute resolution―banking sector</w:t>
      </w:r>
      <w:bookmarkEnd w:id="714"/>
    </w:p>
    <w:p w14:paraId="22A1E18D" w14:textId="77777777" w:rsidR="00CF0E3D" w:rsidRDefault="00CF0E3D" w:rsidP="00CF0E3D">
      <w:pPr>
        <w:pStyle w:val="notemargin"/>
        <w:rPr>
          <w:color w:val="000000" w:themeColor="text1"/>
        </w:rPr>
      </w:pPr>
      <w:r w:rsidRPr="00E1300D">
        <w:rPr>
          <w:color w:val="000000" w:themeColor="text1"/>
        </w:rPr>
        <w:t>Note:</w:t>
      </w:r>
      <w:r w:rsidRPr="00E1300D">
        <w:rPr>
          <w:color w:val="000000" w:themeColor="text1"/>
        </w:rPr>
        <w:tab/>
        <w:t>See the definition of “meets the internal dispute resolution requirements” in subrule </w:t>
      </w:r>
      <w:r>
        <w:rPr>
          <w:color w:val="000000" w:themeColor="text1"/>
        </w:rPr>
        <w:t>1.7(1)</w:t>
      </w:r>
      <w:r w:rsidRPr="00E1300D">
        <w:rPr>
          <w:color w:val="000000" w:themeColor="text1"/>
        </w:rPr>
        <w:t xml:space="preserve"> of these rules, paragraph </w:t>
      </w:r>
      <w:r>
        <w:rPr>
          <w:color w:val="000000" w:themeColor="text1"/>
        </w:rPr>
        <w:t>5.12(b)</w:t>
      </w:r>
      <w:r w:rsidRPr="00E1300D">
        <w:rPr>
          <w:color w:val="000000" w:themeColor="text1"/>
        </w:rPr>
        <w:t xml:space="preserve"> of these rules, and rule </w:t>
      </w:r>
      <w:r>
        <w:rPr>
          <w:color w:val="000000" w:themeColor="text1"/>
        </w:rPr>
        <w:t>6.1</w:t>
      </w:r>
      <w:r w:rsidRPr="00E1300D">
        <w:rPr>
          <w:color w:val="000000" w:themeColor="text1"/>
        </w:rPr>
        <w:t xml:space="preserve"> of these rules.</w:t>
      </w:r>
    </w:p>
    <w:p w14:paraId="4C200173" w14:textId="10F9C9FB" w:rsidR="00BA7582" w:rsidRPr="00693A57" w:rsidRDefault="00BA7582" w:rsidP="00BA7582">
      <w:pPr>
        <w:pStyle w:val="ActHead5"/>
        <w:rPr>
          <w:color w:val="FF0000"/>
        </w:rPr>
      </w:pPr>
      <w:bookmarkStart w:id="715" w:name="_Toc77065114"/>
      <w:r w:rsidRPr="00693A57">
        <w:rPr>
          <w:color w:val="FF0000"/>
        </w:rPr>
        <w:t>5.1  Meeting internal dispute resolution ―banking sector</w:t>
      </w:r>
      <w:bookmarkEnd w:id="715"/>
    </w:p>
    <w:p w14:paraId="37569FDC" w14:textId="02E47219" w:rsidR="00CF0E3D" w:rsidRPr="00693A57" w:rsidRDefault="00CF0E3D" w:rsidP="00CF0E3D">
      <w:pPr>
        <w:pStyle w:val="ActHead5"/>
        <w:rPr>
          <w:strike/>
          <w:color w:val="FF0000"/>
        </w:rPr>
      </w:pPr>
      <w:bookmarkStart w:id="716" w:name="_Toc77065115"/>
      <w:r w:rsidRPr="00693A57">
        <w:rPr>
          <w:strike/>
          <w:color w:val="FF0000"/>
        </w:rPr>
        <w:t>5.1  Internal dispute resolution―banking sector</w:t>
      </w:r>
      <w:bookmarkEnd w:id="716"/>
    </w:p>
    <w:p w14:paraId="113F9943"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(1)</w:t>
      </w:r>
      <w:r w:rsidRPr="00E1300D">
        <w:rPr>
          <w:color w:val="000000" w:themeColor="text1"/>
        </w:rPr>
        <w:tab/>
        <w:t xml:space="preserve">For the banking sector, a </w:t>
      </w:r>
      <w:r w:rsidRPr="00814B1D">
        <w:t xml:space="preserve">CDR participant </w:t>
      </w:r>
      <w:r w:rsidRPr="00E1300D">
        <w:rPr>
          <w:b/>
          <w:i/>
          <w:color w:val="000000" w:themeColor="text1"/>
        </w:rPr>
        <w:t>meets the internal dispute resolution requirements</w:t>
      </w:r>
      <w:r w:rsidRPr="00E1300D">
        <w:rPr>
          <w:color w:val="000000" w:themeColor="text1"/>
        </w:rPr>
        <w:t xml:space="preserve"> if </w:t>
      </w:r>
      <w:r w:rsidRPr="00814B1D">
        <w:t xml:space="preserve">its </w:t>
      </w:r>
      <w:r w:rsidRPr="00E1300D">
        <w:rPr>
          <w:color w:val="000000" w:themeColor="text1"/>
        </w:rPr>
        <w:t>internal dispute resolution processes comply with provisions of Regulatory Guide 165 that deal with the following:</w:t>
      </w:r>
    </w:p>
    <w:p w14:paraId="4FE746C0"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(a)</w:t>
      </w:r>
      <w:r w:rsidRPr="00E1300D">
        <w:rPr>
          <w:color w:val="000000" w:themeColor="text1"/>
        </w:rPr>
        <w:tab/>
        <w:t xml:space="preserve">guiding principles or standards that </w:t>
      </w:r>
      <w:r w:rsidRPr="00814B1D">
        <w:t xml:space="preserve">its </w:t>
      </w:r>
      <w:r w:rsidRPr="00E1300D">
        <w:rPr>
          <w:color w:val="000000" w:themeColor="text1"/>
        </w:rPr>
        <w:t>internal dispute resolution</w:t>
      </w:r>
      <w:r>
        <w:rPr>
          <w:color w:val="000000" w:themeColor="text1"/>
        </w:rPr>
        <w:t xml:space="preserve"> procedures</w:t>
      </w:r>
      <w:r w:rsidRPr="00E1300D">
        <w:rPr>
          <w:color w:val="000000" w:themeColor="text1"/>
        </w:rPr>
        <w:t xml:space="preserve"> </w:t>
      </w:r>
      <w:r>
        <w:rPr>
          <w:color w:val="000000" w:themeColor="text1"/>
        </w:rPr>
        <w:t xml:space="preserve">or processes </w:t>
      </w:r>
      <w:r w:rsidRPr="00E1300D">
        <w:rPr>
          <w:color w:val="000000" w:themeColor="text1"/>
        </w:rPr>
        <w:t>must meet regarding the following:</w:t>
      </w:r>
    </w:p>
    <w:p w14:paraId="7692226B"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w:t>
      </w:r>
      <w:r w:rsidRPr="00E1300D">
        <w:rPr>
          <w:color w:val="000000" w:themeColor="text1"/>
        </w:rPr>
        <w:tab/>
        <w:t xml:space="preserve">commitment and culture; </w:t>
      </w:r>
    </w:p>
    <w:p w14:paraId="5F3F4793"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(ii)</w:t>
      </w:r>
      <w:r w:rsidRPr="00E1300D">
        <w:rPr>
          <w:color w:val="000000" w:themeColor="text1"/>
        </w:rPr>
        <w:tab/>
        <w:t>the enabling of complaints;</w:t>
      </w:r>
    </w:p>
    <w:p w14:paraId="19A9B10A"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(iii)</w:t>
      </w:r>
      <w:r w:rsidRPr="00E1300D">
        <w:rPr>
          <w:color w:val="000000" w:themeColor="text1"/>
        </w:rPr>
        <w:tab/>
        <w:t>resourcing;</w:t>
      </w:r>
    </w:p>
    <w:p w14:paraId="1DF98FEC"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(iv)</w:t>
      </w:r>
      <w:r w:rsidRPr="00E1300D">
        <w:rPr>
          <w:color w:val="000000" w:themeColor="text1"/>
        </w:rPr>
        <w:tab/>
        <w:t>responsiveness;</w:t>
      </w:r>
    </w:p>
    <w:p w14:paraId="0A13088F"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w:t>
      </w:r>
      <w:r w:rsidRPr="00E1300D">
        <w:rPr>
          <w:color w:val="000000" w:themeColor="text1"/>
        </w:rPr>
        <w:tab/>
        <w:t>objectivity;</w:t>
      </w:r>
    </w:p>
    <w:p w14:paraId="173C15CA"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w:t>
      </w:r>
      <w:r w:rsidRPr="00E1300D">
        <w:rPr>
          <w:color w:val="000000" w:themeColor="text1"/>
        </w:rPr>
        <w:tab/>
        <w:t>fairness;</w:t>
      </w:r>
    </w:p>
    <w:p w14:paraId="771CB6ED"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(vii)</w:t>
      </w:r>
      <w:r w:rsidRPr="00E1300D">
        <w:rPr>
          <w:color w:val="000000" w:themeColor="text1"/>
        </w:rPr>
        <w:tab/>
        <w:t>complaint data collection or recording;</w:t>
      </w:r>
    </w:p>
    <w:p w14:paraId="23A2AC6B"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(viii)</w:t>
      </w:r>
      <w:r w:rsidRPr="00E1300D">
        <w:rPr>
          <w:color w:val="000000" w:themeColor="text1"/>
        </w:rPr>
        <w:tab/>
        <w:t>internal reporting and analysis of complaint data;</w:t>
      </w:r>
    </w:p>
    <w:p w14:paraId="32BD4456"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(b)</w:t>
      </w:r>
      <w:r w:rsidRPr="00E1300D">
        <w:rPr>
          <w:color w:val="000000" w:themeColor="text1"/>
        </w:rPr>
        <w:tab/>
        <w:t xml:space="preserve">outsourcing internal dispute resolution </w:t>
      </w:r>
      <w:r>
        <w:rPr>
          <w:color w:val="000000" w:themeColor="text1"/>
        </w:rPr>
        <w:t>procedures</w:t>
      </w:r>
      <w:r w:rsidRPr="00E1300D">
        <w:rPr>
          <w:color w:val="000000" w:themeColor="text1"/>
        </w:rPr>
        <w:t>;</w:t>
      </w:r>
    </w:p>
    <w:p w14:paraId="21F36B50"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t xml:space="preserve">the manner in which, and timeframes within which, </w:t>
      </w:r>
      <w:r w:rsidRPr="00814B1D">
        <w:t xml:space="preserve">it </w:t>
      </w:r>
      <w:r w:rsidRPr="00E1300D">
        <w:rPr>
          <w:color w:val="000000" w:themeColor="text1"/>
        </w:rPr>
        <w:t>should acknowledge, respond to and seek to resolve complaints;</w:t>
      </w:r>
    </w:p>
    <w:p w14:paraId="1268AE43"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(d)</w:t>
      </w:r>
      <w:r w:rsidRPr="00E1300D">
        <w:rPr>
          <w:color w:val="000000" w:themeColor="text1"/>
        </w:rPr>
        <w:tab/>
        <w:t xml:space="preserve">multi-tiered internal dispute resolution </w:t>
      </w:r>
      <w:r>
        <w:rPr>
          <w:color w:val="000000" w:themeColor="text1"/>
        </w:rPr>
        <w:t>procedures</w:t>
      </w:r>
      <w:r w:rsidRPr="00E1300D">
        <w:rPr>
          <w:color w:val="000000" w:themeColor="text1"/>
        </w:rPr>
        <w:t>;</w:t>
      </w:r>
    </w:p>
    <w:p w14:paraId="54F1FDC8"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(e)</w:t>
      </w:r>
      <w:r w:rsidRPr="00E1300D">
        <w:rPr>
          <w:color w:val="000000" w:themeColor="text1"/>
        </w:rPr>
        <w:tab/>
        <w:t xml:space="preserve">tailoring internal dispute resolution </w:t>
      </w:r>
      <w:r>
        <w:rPr>
          <w:color w:val="000000" w:themeColor="text1"/>
        </w:rPr>
        <w:t>procedures</w:t>
      </w:r>
      <w:r w:rsidRPr="00E1300D">
        <w:rPr>
          <w:color w:val="000000" w:themeColor="text1"/>
        </w:rPr>
        <w:t xml:space="preserve"> to </w:t>
      </w:r>
      <w:r w:rsidRPr="00814B1D">
        <w:t xml:space="preserve">its </w:t>
      </w:r>
      <w:r w:rsidRPr="00E1300D">
        <w:rPr>
          <w:color w:val="000000" w:themeColor="text1"/>
        </w:rPr>
        <w:t>business;</w:t>
      </w:r>
    </w:p>
    <w:p w14:paraId="62A1B965" w14:textId="77777777" w:rsidR="00CF0E3D" w:rsidRDefault="00CF0E3D" w:rsidP="00CF0E3D">
      <w:pPr>
        <w:pStyle w:val="paragraph"/>
        <w:rPr>
          <w:color w:val="000000" w:themeColor="text1"/>
        </w:rPr>
      </w:pPr>
      <w:r w:rsidRPr="00E1300D">
        <w:rPr>
          <w:color w:val="000000" w:themeColor="text1"/>
        </w:rPr>
        <w:tab/>
      </w:r>
      <w:r>
        <w:rPr>
          <w:color w:val="000000" w:themeColor="text1"/>
        </w:rPr>
        <w:t>(f)</w:t>
      </w:r>
      <w:r w:rsidRPr="00E1300D">
        <w:rPr>
          <w:color w:val="000000" w:themeColor="text1"/>
        </w:rPr>
        <w:tab/>
        <w:t>documenting internal facing internal dispute resolution processes</w:t>
      </w:r>
      <w:r w:rsidRPr="009556C6">
        <w:t>, policies and/or procedures</w:t>
      </w:r>
      <w:r w:rsidRPr="00E1300D">
        <w:rPr>
          <w:color w:val="000000" w:themeColor="text1"/>
        </w:rPr>
        <w:t>;</w:t>
      </w:r>
    </w:p>
    <w:p w14:paraId="71524C6D"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(g)</w:t>
      </w:r>
      <w:r w:rsidRPr="00E1300D">
        <w:rPr>
          <w:color w:val="000000" w:themeColor="text1"/>
        </w:rPr>
        <w:tab/>
        <w:t>establishing appropriate links between internal dispute resolution and external dispute resolution;</w:t>
      </w:r>
    </w:p>
    <w:p w14:paraId="7D4AF1A6" w14:textId="77777777" w:rsidR="00CF0E3D" w:rsidRPr="00E1300D" w:rsidRDefault="00CF0E3D" w:rsidP="00CF0E3D">
      <w:pPr>
        <w:pStyle w:val="subsection"/>
        <w:spacing w:before="40"/>
        <w:rPr>
          <w:color w:val="000000" w:themeColor="text1"/>
        </w:rPr>
      </w:pPr>
      <w:r w:rsidRPr="00E1300D">
        <w:rPr>
          <w:color w:val="000000" w:themeColor="text1"/>
        </w:rPr>
        <w:tab/>
      </w:r>
      <w:r w:rsidRPr="00E1300D">
        <w:rPr>
          <w:color w:val="000000" w:themeColor="text1"/>
        </w:rPr>
        <w:tab/>
        <w:t>as if</w:t>
      </w:r>
      <w:r>
        <w:rPr>
          <w:color w:val="000000" w:themeColor="text1"/>
        </w:rPr>
        <w:t xml:space="preserve"> </w:t>
      </w:r>
      <w:r w:rsidRPr="00814B1D">
        <w:t xml:space="preserve">references in </w:t>
      </w:r>
      <w:r w:rsidRPr="00C55EF2">
        <w:rPr>
          <w:rFonts w:eastAsia="Calibri"/>
        </w:rPr>
        <w:t>Regulatory Guide 165</w:t>
      </w:r>
      <w:r w:rsidRPr="00C55EF2">
        <w:rPr>
          <w:rFonts w:eastAsia="Calibri"/>
          <w:i/>
        </w:rPr>
        <w:t xml:space="preserve"> </w:t>
      </w:r>
      <w:r w:rsidRPr="00814B1D">
        <w:t>to</w:t>
      </w:r>
      <w:r w:rsidRPr="00E1300D">
        <w:rPr>
          <w:color w:val="000000" w:themeColor="text1"/>
        </w:rPr>
        <w:t>:</w:t>
      </w:r>
    </w:p>
    <w:p w14:paraId="3F25577A"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(h)</w:t>
      </w:r>
      <w:r w:rsidRPr="00E1300D">
        <w:rPr>
          <w:color w:val="000000" w:themeColor="text1"/>
        </w:rPr>
        <w:tab/>
        <w:t>complaints or disputes were references to CDR consumer complaints; and</w:t>
      </w:r>
    </w:p>
    <w:p w14:paraId="1699CBFF" w14:textId="77777777" w:rsidR="00CF0E3D" w:rsidRPr="00CF0686" w:rsidRDefault="00CF0E3D" w:rsidP="00CF0E3D">
      <w:pPr>
        <w:pStyle w:val="paragraph"/>
        <w:rPr>
          <w:color w:val="000000" w:themeColor="text1"/>
        </w:rPr>
      </w:pPr>
      <w:r w:rsidRPr="00E1300D">
        <w:rPr>
          <w:color w:val="000000" w:themeColor="text1"/>
        </w:rPr>
        <w:tab/>
      </w:r>
      <w:r>
        <w:rPr>
          <w:color w:val="000000" w:themeColor="text1"/>
        </w:rPr>
        <w:t>(i)</w:t>
      </w:r>
      <w:r>
        <w:rPr>
          <w:color w:val="000000" w:themeColor="text1"/>
        </w:rPr>
        <w:tab/>
      </w:r>
      <w:r w:rsidRPr="00814B1D">
        <w:t xml:space="preserve">financial firms and financial service providers </w:t>
      </w:r>
      <w:r w:rsidRPr="00E1300D">
        <w:rPr>
          <w:color w:val="000000" w:themeColor="text1"/>
        </w:rPr>
        <w:t>were references to CDR participants.</w:t>
      </w:r>
    </w:p>
    <w:p w14:paraId="2533C5F6"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r>
      <w:r w:rsidRPr="00814B1D">
        <w:t xml:space="preserve">In </w:t>
      </w:r>
      <w:r w:rsidRPr="00E1300D">
        <w:rPr>
          <w:color w:val="000000" w:themeColor="text1"/>
        </w:rPr>
        <w:t>this clause:</w:t>
      </w:r>
    </w:p>
    <w:p w14:paraId="4E3E3D6A" w14:textId="77777777" w:rsidR="00CF0E3D" w:rsidRPr="00E1300D" w:rsidRDefault="00CF0E3D" w:rsidP="00CF0E3D">
      <w:pPr>
        <w:pStyle w:val="Definition"/>
        <w:rPr>
          <w:rFonts w:eastAsia="Calibri"/>
          <w:color w:val="000000" w:themeColor="text1"/>
        </w:rPr>
      </w:pPr>
      <w:r w:rsidRPr="00E1300D">
        <w:rPr>
          <w:rFonts w:eastAsia="Calibri"/>
          <w:b/>
          <w:i/>
          <w:color w:val="000000" w:themeColor="text1"/>
        </w:rPr>
        <w:t xml:space="preserve">Regulatory Guide 165 </w:t>
      </w:r>
      <w:r w:rsidRPr="00E1300D">
        <w:rPr>
          <w:rFonts w:eastAsia="Calibri"/>
          <w:color w:val="000000" w:themeColor="text1"/>
        </w:rPr>
        <w:t>means Regulatory Guide 165</w:t>
      </w:r>
      <w:r w:rsidRPr="00E1300D">
        <w:rPr>
          <w:rFonts w:eastAsia="Calibri"/>
          <w:i/>
          <w:color w:val="000000" w:themeColor="text1"/>
        </w:rPr>
        <w:t xml:space="preserve"> </w:t>
      </w:r>
      <w:r w:rsidRPr="00E1300D">
        <w:rPr>
          <w:rFonts w:eastAsia="Calibri"/>
          <w:color w:val="000000" w:themeColor="text1"/>
        </w:rPr>
        <w:t>published by the Australian Securities &amp; Investments Commission, as in force from time to time.</w:t>
      </w:r>
    </w:p>
    <w:p w14:paraId="44C6FD8C" w14:textId="77777777" w:rsidR="00CF0E3D" w:rsidRPr="00E1300D" w:rsidRDefault="00CF0E3D" w:rsidP="00CF0E3D">
      <w:pPr>
        <w:pStyle w:val="notetext"/>
        <w:rPr>
          <w:rFonts w:eastAsia="Calibri"/>
          <w:color w:val="000000" w:themeColor="text1"/>
        </w:rPr>
      </w:pPr>
      <w:r w:rsidRPr="00E1300D">
        <w:rPr>
          <w:rFonts w:eastAsia="Calibri"/>
          <w:color w:val="000000" w:themeColor="text1"/>
        </w:rPr>
        <w:t>Note:</w:t>
      </w:r>
      <w:r w:rsidRPr="00E1300D">
        <w:rPr>
          <w:rFonts w:eastAsia="Calibri"/>
          <w:color w:val="000000" w:themeColor="text1"/>
        </w:rPr>
        <w:tab/>
        <w:t>Regulatory Guide 165</w:t>
      </w:r>
      <w:r w:rsidRPr="00E1300D">
        <w:rPr>
          <w:rFonts w:eastAsia="Calibri"/>
          <w:i/>
          <w:color w:val="000000" w:themeColor="text1"/>
        </w:rPr>
        <w:t xml:space="preserve"> </w:t>
      </w:r>
      <w:r w:rsidRPr="00E1300D">
        <w:rPr>
          <w:rFonts w:eastAsia="Calibri"/>
          <w:color w:val="000000" w:themeColor="text1"/>
        </w:rPr>
        <w:t xml:space="preserve">could in </w:t>
      </w:r>
      <w:r>
        <w:rPr>
          <w:rFonts w:eastAsia="Calibri"/>
          <w:color w:val="000000" w:themeColor="text1"/>
        </w:rPr>
        <w:t>2020</w:t>
      </w:r>
      <w:r w:rsidRPr="00E1300D">
        <w:rPr>
          <w:rFonts w:eastAsia="Calibri"/>
          <w:color w:val="000000" w:themeColor="text1"/>
        </w:rPr>
        <w:t xml:space="preserve"> be accessed from the Australian Securities &amp; Investments Commission’s website (https://asic.gov.au).</w:t>
      </w:r>
    </w:p>
    <w:p w14:paraId="20F9CF3C" w14:textId="1F9C4ABB" w:rsidR="00CF0E3D" w:rsidRDefault="00CF0E3D" w:rsidP="00CF0E3D">
      <w:pPr>
        <w:pStyle w:val="ActHead2"/>
        <w:pageBreakBefore/>
      </w:pPr>
      <w:bookmarkStart w:id="717" w:name="_Toc11771743"/>
      <w:bookmarkStart w:id="718" w:name="_Toc77065116"/>
      <w:r>
        <w:lastRenderedPageBreak/>
        <w:t>Part 6—Staged application of these rules to the banking sector</w:t>
      </w:r>
      <w:bookmarkEnd w:id="717"/>
      <w:bookmarkEnd w:id="718"/>
    </w:p>
    <w:p w14:paraId="2A8FEF70" w14:textId="3C0AA885" w:rsidR="00CF0E3D" w:rsidRPr="00961618" w:rsidRDefault="00CF0E3D" w:rsidP="00CF0E3D">
      <w:pPr>
        <w:pStyle w:val="ActHead3"/>
      </w:pPr>
      <w:bookmarkStart w:id="719" w:name="_Toc77065117"/>
      <w:r>
        <w:t>Division 6.1</w:t>
      </w:r>
      <w:r w:rsidRPr="0072242E">
        <w:t>—</w:t>
      </w:r>
      <w:r w:rsidRPr="00961618">
        <w:t>Preliminary</w:t>
      </w:r>
      <w:bookmarkEnd w:id="719"/>
    </w:p>
    <w:p w14:paraId="6EE16FD4" w14:textId="515977AB" w:rsidR="00CF0E3D" w:rsidRPr="00961618" w:rsidRDefault="00CF0E3D" w:rsidP="00CF0E3D">
      <w:pPr>
        <w:pStyle w:val="ActHead5"/>
      </w:pPr>
      <w:bookmarkStart w:id="720" w:name="_Toc77065118"/>
      <w:r>
        <w:t>6.1</w:t>
      </w:r>
      <w:r w:rsidRPr="00961618">
        <w:t xml:space="preserve">  Interpretation</w:t>
      </w:r>
      <w:bookmarkEnd w:id="720"/>
    </w:p>
    <w:p w14:paraId="598C178B" w14:textId="77777777" w:rsidR="00CF0E3D" w:rsidRPr="00961618" w:rsidRDefault="00CF0E3D" w:rsidP="00CF0E3D">
      <w:pPr>
        <w:pStyle w:val="subsection"/>
      </w:pPr>
      <w:r w:rsidRPr="00961618">
        <w:tab/>
      </w:r>
      <w:r w:rsidRPr="00961618">
        <w:tab/>
        <w:t>In this Part:</w:t>
      </w:r>
    </w:p>
    <w:p w14:paraId="6E700F54" w14:textId="77777777" w:rsidR="00CF0E3D" w:rsidRPr="00961618" w:rsidRDefault="00CF0E3D" w:rsidP="00CF0E3D">
      <w:pPr>
        <w:pStyle w:val="Definition"/>
      </w:pPr>
      <w:r w:rsidRPr="00961618">
        <w:rPr>
          <w:b/>
          <w:i/>
        </w:rPr>
        <w:t xml:space="preserve">commencement table </w:t>
      </w:r>
      <w:r w:rsidRPr="00961618">
        <w:t>has the meaning given by clause </w:t>
      </w:r>
      <w:r>
        <w:t>6.6</w:t>
      </w:r>
      <w:r w:rsidRPr="00961618">
        <w:t>.</w:t>
      </w:r>
    </w:p>
    <w:p w14:paraId="5C08EF91" w14:textId="77777777" w:rsidR="00CF0E3D" w:rsidRPr="00961618" w:rsidRDefault="00CF0E3D" w:rsidP="00CF0E3D">
      <w:pPr>
        <w:pStyle w:val="Definition"/>
      </w:pPr>
      <w:r w:rsidRPr="00961618">
        <w:rPr>
          <w:b/>
          <w:i/>
        </w:rPr>
        <w:t xml:space="preserve">Phase 1 </w:t>
      </w:r>
      <w:r w:rsidRPr="00961618">
        <w:t>means phase 1 product.</w:t>
      </w:r>
    </w:p>
    <w:p w14:paraId="5DDB76CC" w14:textId="77777777" w:rsidR="00CF0E3D" w:rsidRDefault="00CF0E3D" w:rsidP="00CF0E3D">
      <w:pPr>
        <w:pStyle w:val="Definition"/>
      </w:pPr>
      <w:r w:rsidRPr="00961618">
        <w:rPr>
          <w:b/>
          <w:i/>
        </w:rPr>
        <w:t xml:space="preserve">Phase 2 </w:t>
      </w:r>
      <w:r>
        <w:t>means phase 2 product.</w:t>
      </w:r>
    </w:p>
    <w:p w14:paraId="47696A3E" w14:textId="77777777" w:rsidR="00CF0E3D" w:rsidRPr="00EC5815" w:rsidRDefault="00CF0E3D" w:rsidP="00CF0E3D">
      <w:pPr>
        <w:pStyle w:val="ActHead5"/>
      </w:pPr>
      <w:bookmarkStart w:id="721" w:name="_Toc11771744"/>
      <w:bookmarkStart w:id="722" w:name="_Toc77065119"/>
      <w:r>
        <w:t xml:space="preserve">6.2  Meaning of </w:t>
      </w:r>
      <w:r w:rsidRPr="00961618">
        <w:rPr>
          <w:i/>
        </w:rPr>
        <w:t>initial data holder</w:t>
      </w:r>
      <w:r>
        <w:t>,</w:t>
      </w:r>
      <w:r>
        <w:rPr>
          <w:i/>
        </w:rPr>
        <w:t xml:space="preserve"> </w:t>
      </w:r>
      <w:r w:rsidRPr="00814B1D">
        <w:rPr>
          <w:i/>
        </w:rPr>
        <w:t>accredited ADI</w:t>
      </w:r>
      <w:r w:rsidRPr="00814B1D">
        <w:t xml:space="preserve">, </w:t>
      </w:r>
      <w:r w:rsidRPr="00814B1D">
        <w:rPr>
          <w:i/>
        </w:rPr>
        <w:t>any other relevant ADI</w:t>
      </w:r>
      <w:bookmarkEnd w:id="721"/>
      <w:r>
        <w:t xml:space="preserve"> and </w:t>
      </w:r>
      <w:r w:rsidRPr="00976E52">
        <w:rPr>
          <w:i/>
        </w:rPr>
        <w:t>accredited non</w:t>
      </w:r>
      <w:r w:rsidRPr="00976E52">
        <w:rPr>
          <w:i/>
        </w:rPr>
        <w:noBreakHyphen/>
        <w:t>ADI</w:t>
      </w:r>
      <w:bookmarkEnd w:id="722"/>
      <w:r>
        <w:t xml:space="preserve"> </w:t>
      </w:r>
    </w:p>
    <w:p w14:paraId="321DA936" w14:textId="77777777" w:rsidR="00CF0E3D" w:rsidRDefault="00CF0E3D" w:rsidP="00CF0E3D">
      <w:pPr>
        <w:pStyle w:val="subsection"/>
      </w:pPr>
      <w:r>
        <w:tab/>
      </w:r>
      <w:r>
        <w:tab/>
        <w:t>For this Part, a term listed in column 1 of the table has the meaning given by column 2.</w:t>
      </w:r>
    </w:p>
    <w:p w14:paraId="36F14A8B" w14:textId="77777777" w:rsidR="00CF0E3D" w:rsidRDefault="00CF0E3D" w:rsidP="00CF0E3D">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
        <w:gridCol w:w="2088"/>
        <w:gridCol w:w="5761"/>
      </w:tblGrid>
      <w:tr w:rsidR="00CF0E3D" w:rsidRPr="00976E52" w14:paraId="72B50B1E" w14:textId="77777777" w:rsidTr="007941AE">
        <w:trPr>
          <w:tblHeader/>
        </w:trPr>
        <w:tc>
          <w:tcPr>
            <w:tcW w:w="5000" w:type="pct"/>
            <w:gridSpan w:val="3"/>
            <w:tcBorders>
              <w:top w:val="single" w:sz="12" w:space="0" w:color="auto"/>
              <w:bottom w:val="single" w:sz="2" w:space="0" w:color="auto"/>
            </w:tcBorders>
          </w:tcPr>
          <w:p w14:paraId="61C58CBD" w14:textId="77777777" w:rsidR="00CF0E3D" w:rsidRPr="00976E52" w:rsidRDefault="00CF0E3D" w:rsidP="007941AE">
            <w:pPr>
              <w:pStyle w:val="TableHeading"/>
              <w:jc w:val="center"/>
            </w:pPr>
            <w:r>
              <w:t xml:space="preserve">Meaning of </w:t>
            </w:r>
            <w:r w:rsidRPr="00961618">
              <w:rPr>
                <w:i/>
              </w:rPr>
              <w:t>initial data holder</w:t>
            </w:r>
            <w:r w:rsidRPr="00961618">
              <w:t xml:space="preserve">, </w:t>
            </w:r>
            <w:r w:rsidRPr="00814B1D">
              <w:rPr>
                <w:i/>
              </w:rPr>
              <w:t>accredited ADI</w:t>
            </w:r>
            <w:r w:rsidRPr="00814B1D">
              <w:t xml:space="preserve">, </w:t>
            </w:r>
            <w:r w:rsidRPr="00814B1D">
              <w:rPr>
                <w:i/>
              </w:rPr>
              <w:t>any other relevant ADI</w:t>
            </w:r>
            <w:r>
              <w:rPr>
                <w:i/>
              </w:rPr>
              <w:t xml:space="preserve"> </w:t>
            </w:r>
            <w:r>
              <w:t xml:space="preserve">and </w:t>
            </w:r>
            <w:r w:rsidRPr="00976E52">
              <w:rPr>
                <w:i/>
              </w:rPr>
              <w:t>accredited non</w:t>
            </w:r>
            <w:r w:rsidRPr="00976E52">
              <w:rPr>
                <w:i/>
              </w:rPr>
              <w:noBreakHyphen/>
              <w:t>ADI</w:t>
            </w:r>
          </w:p>
        </w:tc>
      </w:tr>
      <w:tr w:rsidR="00CF0E3D" w14:paraId="42CF9B01" w14:textId="77777777" w:rsidTr="007941AE">
        <w:trPr>
          <w:tblHeader/>
        </w:trPr>
        <w:tc>
          <w:tcPr>
            <w:tcW w:w="279" w:type="pct"/>
            <w:tcBorders>
              <w:top w:val="single" w:sz="2" w:space="0" w:color="auto"/>
              <w:bottom w:val="single" w:sz="12" w:space="0" w:color="auto"/>
              <w:right w:val="nil"/>
            </w:tcBorders>
          </w:tcPr>
          <w:p w14:paraId="267883A6" w14:textId="77777777" w:rsidR="00CF0E3D" w:rsidRDefault="00CF0E3D" w:rsidP="007941AE">
            <w:pPr>
              <w:pStyle w:val="TableHeading"/>
            </w:pPr>
          </w:p>
        </w:tc>
        <w:tc>
          <w:tcPr>
            <w:tcW w:w="1256" w:type="pct"/>
            <w:tcBorders>
              <w:top w:val="single" w:sz="2" w:space="0" w:color="auto"/>
              <w:left w:val="nil"/>
              <w:bottom w:val="single" w:sz="12" w:space="0" w:color="auto"/>
              <w:right w:val="nil"/>
            </w:tcBorders>
          </w:tcPr>
          <w:p w14:paraId="785F339E" w14:textId="77777777" w:rsidR="00CF0E3D" w:rsidRDefault="00CF0E3D" w:rsidP="007941AE">
            <w:pPr>
              <w:pStyle w:val="TableHeading"/>
            </w:pPr>
            <w:r>
              <w:t>Column 1</w:t>
            </w:r>
          </w:p>
        </w:tc>
        <w:tc>
          <w:tcPr>
            <w:tcW w:w="3465" w:type="pct"/>
            <w:tcBorders>
              <w:top w:val="single" w:sz="2" w:space="0" w:color="auto"/>
              <w:left w:val="nil"/>
              <w:bottom w:val="single" w:sz="12" w:space="0" w:color="auto"/>
              <w:right w:val="nil"/>
            </w:tcBorders>
          </w:tcPr>
          <w:p w14:paraId="774C3D11" w14:textId="77777777" w:rsidR="00CF0E3D" w:rsidRDefault="00CF0E3D" w:rsidP="007941AE">
            <w:pPr>
              <w:pStyle w:val="TableHeading"/>
            </w:pPr>
            <w:r>
              <w:t>Column 2</w:t>
            </w:r>
          </w:p>
        </w:tc>
      </w:tr>
      <w:tr w:rsidR="00CF0E3D" w14:paraId="584A3B7E" w14:textId="77777777" w:rsidTr="007941AE">
        <w:tc>
          <w:tcPr>
            <w:tcW w:w="279" w:type="pct"/>
            <w:tcBorders>
              <w:top w:val="single" w:sz="2" w:space="0" w:color="auto"/>
              <w:bottom w:val="single" w:sz="4" w:space="0" w:color="auto"/>
              <w:right w:val="nil"/>
            </w:tcBorders>
          </w:tcPr>
          <w:p w14:paraId="317A4982" w14:textId="77777777" w:rsidR="00CF0E3D" w:rsidRPr="00961618" w:rsidRDefault="00CF0E3D" w:rsidP="007941AE">
            <w:pPr>
              <w:pStyle w:val="Tabletext"/>
            </w:pPr>
            <w:r w:rsidRPr="00961618">
              <w:t>1</w:t>
            </w:r>
          </w:p>
        </w:tc>
        <w:tc>
          <w:tcPr>
            <w:tcW w:w="1256" w:type="pct"/>
            <w:tcBorders>
              <w:top w:val="single" w:sz="2" w:space="0" w:color="auto"/>
              <w:left w:val="nil"/>
              <w:bottom w:val="single" w:sz="4" w:space="0" w:color="auto"/>
              <w:right w:val="nil"/>
            </w:tcBorders>
          </w:tcPr>
          <w:p w14:paraId="3B62D964" w14:textId="77777777" w:rsidR="00CF0E3D" w:rsidRPr="00961618" w:rsidRDefault="00CF0E3D" w:rsidP="007941AE">
            <w:pPr>
              <w:pStyle w:val="Tabletext"/>
              <w:rPr>
                <w:b/>
                <w:i/>
              </w:rPr>
            </w:pPr>
            <w:r w:rsidRPr="00961618">
              <w:rPr>
                <w:b/>
                <w:i/>
              </w:rPr>
              <w:t>initial data holder</w:t>
            </w:r>
          </w:p>
        </w:tc>
        <w:tc>
          <w:tcPr>
            <w:tcW w:w="3465" w:type="pct"/>
            <w:tcBorders>
              <w:top w:val="single" w:sz="2" w:space="0" w:color="auto"/>
              <w:left w:val="nil"/>
              <w:bottom w:val="single" w:sz="4" w:space="0" w:color="auto"/>
              <w:right w:val="nil"/>
            </w:tcBorders>
          </w:tcPr>
          <w:p w14:paraId="5A3AB103" w14:textId="77777777" w:rsidR="00CF0E3D" w:rsidRPr="00961618" w:rsidRDefault="00CF0E3D" w:rsidP="007941AE">
            <w:pPr>
              <w:pStyle w:val="Tabletext"/>
            </w:pPr>
            <w:r w:rsidRPr="00961618">
              <w:t>Any of the following ADIs:</w:t>
            </w:r>
          </w:p>
          <w:p w14:paraId="18A59835" w14:textId="77777777" w:rsidR="00CF0E3D" w:rsidRPr="00961618" w:rsidRDefault="00CF0E3D" w:rsidP="007941AE">
            <w:pPr>
              <w:pStyle w:val="Tablea"/>
            </w:pPr>
            <w:r w:rsidRPr="00961618">
              <w:t>(a)</w:t>
            </w:r>
            <w:r w:rsidRPr="00961618">
              <w:tab/>
              <w:t>Australia and New Zealand Banking Group Limited (ANZ);</w:t>
            </w:r>
          </w:p>
          <w:p w14:paraId="23CCF41C" w14:textId="77777777" w:rsidR="00CF0E3D" w:rsidRPr="00961618" w:rsidRDefault="00CF0E3D" w:rsidP="007941AE">
            <w:pPr>
              <w:pStyle w:val="Tablea"/>
            </w:pPr>
            <w:r w:rsidRPr="00961618">
              <w:t>(b)</w:t>
            </w:r>
            <w:r w:rsidRPr="00961618">
              <w:tab/>
              <w:t>Commonwealth Bank of Australia (CBA);</w:t>
            </w:r>
          </w:p>
          <w:p w14:paraId="08BD9B42" w14:textId="77777777" w:rsidR="00CF0E3D" w:rsidRPr="00961618" w:rsidRDefault="00CF0E3D" w:rsidP="007941AE">
            <w:pPr>
              <w:pStyle w:val="Tablea"/>
            </w:pPr>
            <w:r w:rsidRPr="00961618">
              <w:t>(c)</w:t>
            </w:r>
            <w:r w:rsidRPr="00961618">
              <w:tab/>
              <w:t>National Australia Bank Limited (NAB);</w:t>
            </w:r>
          </w:p>
          <w:p w14:paraId="6CF9F895" w14:textId="77777777" w:rsidR="00CF0E3D" w:rsidRPr="00961618" w:rsidRDefault="00CF0E3D" w:rsidP="007941AE">
            <w:pPr>
              <w:pStyle w:val="Tablea"/>
            </w:pPr>
            <w:r w:rsidRPr="00961618">
              <w:t>(d)</w:t>
            </w:r>
            <w:r w:rsidRPr="00961618">
              <w:tab/>
              <w:t>Westpac Banking Corporation (Westpac).</w:t>
            </w:r>
          </w:p>
          <w:p w14:paraId="4CC26284" w14:textId="77777777" w:rsidR="00CF0E3D" w:rsidRPr="00961618" w:rsidRDefault="00CF0E3D" w:rsidP="007941AE">
            <w:pPr>
              <w:pStyle w:val="Tablea"/>
            </w:pPr>
          </w:p>
        </w:tc>
      </w:tr>
      <w:tr w:rsidR="00CF0E3D" w14:paraId="22989380" w14:textId="77777777" w:rsidTr="007941AE">
        <w:tc>
          <w:tcPr>
            <w:tcW w:w="279" w:type="pct"/>
            <w:tcBorders>
              <w:top w:val="single" w:sz="2" w:space="0" w:color="auto"/>
              <w:bottom w:val="single" w:sz="4" w:space="0" w:color="auto"/>
              <w:right w:val="nil"/>
            </w:tcBorders>
          </w:tcPr>
          <w:p w14:paraId="32D92CF0" w14:textId="77777777" w:rsidR="00CF0E3D" w:rsidRPr="00961618" w:rsidRDefault="00CF0E3D" w:rsidP="007941AE">
            <w:pPr>
              <w:pStyle w:val="Tabletext"/>
            </w:pPr>
            <w:r w:rsidRPr="00961618">
              <w:t>2</w:t>
            </w:r>
          </w:p>
        </w:tc>
        <w:tc>
          <w:tcPr>
            <w:tcW w:w="1256" w:type="pct"/>
            <w:tcBorders>
              <w:top w:val="single" w:sz="2" w:space="0" w:color="auto"/>
              <w:left w:val="nil"/>
              <w:bottom w:val="single" w:sz="4" w:space="0" w:color="auto"/>
              <w:right w:val="nil"/>
            </w:tcBorders>
          </w:tcPr>
          <w:p w14:paraId="509DB6B2" w14:textId="77777777" w:rsidR="00CF0E3D" w:rsidRDefault="00CF0E3D" w:rsidP="007941AE">
            <w:pPr>
              <w:pStyle w:val="Tabletext"/>
            </w:pPr>
            <w:r>
              <w:rPr>
                <w:b/>
                <w:i/>
              </w:rPr>
              <w:t>accredited ADI</w:t>
            </w:r>
          </w:p>
        </w:tc>
        <w:tc>
          <w:tcPr>
            <w:tcW w:w="3465" w:type="pct"/>
            <w:tcBorders>
              <w:top w:val="single" w:sz="2" w:space="0" w:color="auto"/>
              <w:left w:val="nil"/>
              <w:bottom w:val="single" w:sz="4" w:space="0" w:color="auto"/>
              <w:right w:val="nil"/>
            </w:tcBorders>
          </w:tcPr>
          <w:p w14:paraId="4D76BDC1" w14:textId="77777777" w:rsidR="00CF0E3D" w:rsidRDefault="00CF0E3D" w:rsidP="007941AE">
            <w:pPr>
              <w:pStyle w:val="Tabletext"/>
            </w:pPr>
            <w:r>
              <w:t>An ADI that:</w:t>
            </w:r>
          </w:p>
          <w:p w14:paraId="5F5A6EF3" w14:textId="77777777" w:rsidR="00CF0E3D" w:rsidRPr="00EA1E07" w:rsidRDefault="00CF0E3D" w:rsidP="007941AE">
            <w:pPr>
              <w:pStyle w:val="Tablea"/>
            </w:pPr>
            <w:r>
              <w:t>(a)</w:t>
            </w:r>
            <w:r>
              <w:tab/>
              <w:t xml:space="preserve">is </w:t>
            </w:r>
            <w:r w:rsidRPr="00EA1E07">
              <w:t>an accredited person; and</w:t>
            </w:r>
          </w:p>
          <w:p w14:paraId="2B5F5850" w14:textId="77777777" w:rsidR="00CF0E3D" w:rsidRDefault="00CF0E3D" w:rsidP="007941AE">
            <w:pPr>
              <w:pStyle w:val="Tablea"/>
            </w:pPr>
            <w:r>
              <w:t>(b)</w:t>
            </w:r>
            <w:r>
              <w:tab/>
              <w:t>is not:</w:t>
            </w:r>
          </w:p>
          <w:p w14:paraId="03CBCE75" w14:textId="77777777" w:rsidR="00CF0E3D" w:rsidRDefault="00CF0E3D" w:rsidP="007941AE">
            <w:pPr>
              <w:pStyle w:val="Tablei"/>
            </w:pPr>
            <w:r>
              <w:tab/>
              <w:t>(i)</w:t>
            </w:r>
            <w:r>
              <w:tab/>
            </w:r>
            <w:r w:rsidRPr="00B3173B">
              <w:t xml:space="preserve">an initial </w:t>
            </w:r>
            <w:r>
              <w:t>data holder; or</w:t>
            </w:r>
          </w:p>
          <w:p w14:paraId="3CBC065E" w14:textId="77777777" w:rsidR="00CF0E3D" w:rsidRPr="00956176" w:rsidRDefault="00CF0E3D" w:rsidP="007941AE">
            <w:pPr>
              <w:pStyle w:val="Tablei"/>
            </w:pPr>
            <w:r w:rsidRPr="00956176">
              <w:tab/>
              <w:t>(ii)</w:t>
            </w:r>
            <w:r w:rsidRPr="00956176">
              <w:tab/>
              <w:t>a foreign ADI; or</w:t>
            </w:r>
          </w:p>
          <w:p w14:paraId="144D0FE7" w14:textId="77777777" w:rsidR="00CF0E3D" w:rsidRPr="00956176" w:rsidRDefault="00CF0E3D" w:rsidP="007941AE">
            <w:pPr>
              <w:pStyle w:val="Tablei"/>
            </w:pPr>
            <w:r w:rsidRPr="00956176">
              <w:tab/>
              <w:t>(iii)</w:t>
            </w:r>
            <w:r w:rsidRPr="00956176">
              <w:tab/>
              <w:t>a foreign branch of a domestic bank.</w:t>
            </w:r>
          </w:p>
          <w:p w14:paraId="6B67DCE5" w14:textId="77777777" w:rsidR="00CF0E3D" w:rsidRPr="00956176" w:rsidRDefault="00CF0E3D" w:rsidP="007941AE">
            <w:pPr>
              <w:pStyle w:val="notemargin"/>
            </w:pPr>
            <w:r w:rsidRPr="00956176">
              <w:t>Note:</w:t>
            </w:r>
            <w:r w:rsidRPr="00956176">
              <w:tab/>
              <w:t>A restricted ADI could be an “accredited ADI”. However, a restricted ADI could not be an “initial data holder”, a “voluntarily participating ADI” or “any other relevant ADI”.</w:t>
            </w:r>
          </w:p>
          <w:p w14:paraId="0A921E14" w14:textId="77777777" w:rsidR="00CF0E3D" w:rsidRDefault="00CF0E3D" w:rsidP="007941AE">
            <w:pPr>
              <w:pStyle w:val="notetext"/>
              <w:ind w:left="851"/>
            </w:pPr>
          </w:p>
        </w:tc>
      </w:tr>
      <w:tr w:rsidR="00CF0E3D" w14:paraId="30FBF456" w14:textId="77777777" w:rsidTr="007941AE">
        <w:tc>
          <w:tcPr>
            <w:tcW w:w="279" w:type="pct"/>
            <w:tcBorders>
              <w:top w:val="single" w:sz="4" w:space="0" w:color="auto"/>
              <w:bottom w:val="single" w:sz="4" w:space="0" w:color="auto"/>
              <w:right w:val="nil"/>
            </w:tcBorders>
          </w:tcPr>
          <w:p w14:paraId="525F4BBF" w14:textId="77777777" w:rsidR="00CF0E3D" w:rsidRPr="00961618" w:rsidRDefault="00CF0E3D" w:rsidP="007941AE">
            <w:pPr>
              <w:pStyle w:val="Tabletext"/>
            </w:pPr>
            <w:r w:rsidRPr="00961618">
              <w:t>4</w:t>
            </w:r>
          </w:p>
        </w:tc>
        <w:tc>
          <w:tcPr>
            <w:tcW w:w="1256" w:type="pct"/>
            <w:tcBorders>
              <w:top w:val="single" w:sz="4" w:space="0" w:color="auto"/>
              <w:left w:val="nil"/>
              <w:bottom w:val="single" w:sz="4" w:space="0" w:color="auto"/>
              <w:right w:val="nil"/>
            </w:tcBorders>
          </w:tcPr>
          <w:p w14:paraId="2CE9CBB5" w14:textId="77777777" w:rsidR="00CF0E3D" w:rsidRPr="00EA1E07" w:rsidRDefault="00CF0E3D" w:rsidP="007941AE">
            <w:pPr>
              <w:pStyle w:val="Tabletext"/>
              <w:rPr>
                <w:b/>
                <w:i/>
              </w:rPr>
            </w:pPr>
            <w:r>
              <w:rPr>
                <w:b/>
                <w:i/>
              </w:rPr>
              <w:t>any other relevant ADI</w:t>
            </w:r>
          </w:p>
        </w:tc>
        <w:tc>
          <w:tcPr>
            <w:tcW w:w="3465" w:type="pct"/>
            <w:tcBorders>
              <w:top w:val="single" w:sz="4" w:space="0" w:color="auto"/>
              <w:left w:val="nil"/>
              <w:bottom w:val="single" w:sz="4" w:space="0" w:color="auto"/>
              <w:right w:val="nil"/>
            </w:tcBorders>
          </w:tcPr>
          <w:p w14:paraId="2038B91F" w14:textId="77777777" w:rsidR="00CF0E3D" w:rsidRDefault="00CF0E3D" w:rsidP="007941AE">
            <w:pPr>
              <w:pStyle w:val="Tabletext"/>
            </w:pPr>
            <w:r>
              <w:t>An ADI that is not:</w:t>
            </w:r>
          </w:p>
          <w:p w14:paraId="3B228FFC" w14:textId="77777777" w:rsidR="00CF0E3D" w:rsidRDefault="00CF0E3D" w:rsidP="007941AE">
            <w:pPr>
              <w:pStyle w:val="Tablea"/>
            </w:pPr>
            <w:r>
              <w:t>(a)</w:t>
            </w:r>
            <w:r>
              <w:tab/>
              <w:t>an initial data holder; or</w:t>
            </w:r>
          </w:p>
          <w:p w14:paraId="37FA9974" w14:textId="77777777" w:rsidR="00CF0E3D" w:rsidRDefault="00CF0E3D" w:rsidP="007941AE">
            <w:pPr>
              <w:pStyle w:val="Tablea"/>
            </w:pPr>
            <w:r>
              <w:t>(c)</w:t>
            </w:r>
            <w:r>
              <w:tab/>
              <w:t>an accredited ADI; or</w:t>
            </w:r>
          </w:p>
          <w:p w14:paraId="23DDC7FE" w14:textId="77777777" w:rsidR="00CF0E3D" w:rsidRPr="00956176" w:rsidRDefault="00CF0E3D" w:rsidP="007941AE">
            <w:pPr>
              <w:pStyle w:val="Tablea"/>
            </w:pPr>
            <w:r>
              <w:t>(d)</w:t>
            </w:r>
            <w:r>
              <w:tab/>
              <w:t>a</w:t>
            </w:r>
            <w:r w:rsidRPr="00956176">
              <w:t xml:space="preserve"> foreign ADI; or</w:t>
            </w:r>
          </w:p>
          <w:p w14:paraId="0E4E0E61" w14:textId="77777777" w:rsidR="00CF0E3D" w:rsidRPr="00956176" w:rsidRDefault="00CF0E3D" w:rsidP="007941AE">
            <w:pPr>
              <w:pStyle w:val="Tablea"/>
            </w:pPr>
            <w:r w:rsidRPr="00956176">
              <w:tab/>
              <w:t>(e)</w:t>
            </w:r>
            <w:r w:rsidRPr="00956176">
              <w:tab/>
              <w:t>a foreign bank branch of a domestic bank; or</w:t>
            </w:r>
          </w:p>
          <w:p w14:paraId="638A4E11" w14:textId="77777777" w:rsidR="00CF0E3D" w:rsidRPr="00956176" w:rsidRDefault="00CF0E3D" w:rsidP="007941AE">
            <w:pPr>
              <w:pStyle w:val="Tablea"/>
            </w:pPr>
            <w:r w:rsidRPr="00956176">
              <w:lastRenderedPageBreak/>
              <w:t>(f)</w:t>
            </w:r>
            <w:r w:rsidRPr="00956176">
              <w:tab/>
              <w:t>a restricted ADI.</w:t>
            </w:r>
          </w:p>
          <w:p w14:paraId="4BE1D02C" w14:textId="77777777" w:rsidR="00CF0E3D" w:rsidRDefault="00CF0E3D" w:rsidP="007941AE">
            <w:pPr>
              <w:pStyle w:val="Tablea"/>
            </w:pPr>
          </w:p>
        </w:tc>
      </w:tr>
      <w:tr w:rsidR="00CF0E3D" w:rsidRPr="00814B1D" w14:paraId="10A6DA8F" w14:textId="77777777" w:rsidTr="007941AE">
        <w:tc>
          <w:tcPr>
            <w:tcW w:w="279" w:type="pct"/>
            <w:tcBorders>
              <w:top w:val="single" w:sz="4" w:space="0" w:color="auto"/>
              <w:bottom w:val="single" w:sz="12" w:space="0" w:color="auto"/>
              <w:right w:val="nil"/>
            </w:tcBorders>
          </w:tcPr>
          <w:p w14:paraId="4CD9649A" w14:textId="77777777" w:rsidR="00CF0E3D" w:rsidRPr="00961618" w:rsidRDefault="00CF0E3D" w:rsidP="007941AE">
            <w:pPr>
              <w:pStyle w:val="Tabletext"/>
            </w:pPr>
            <w:r w:rsidRPr="00961618">
              <w:lastRenderedPageBreak/>
              <w:t>5</w:t>
            </w:r>
          </w:p>
        </w:tc>
        <w:tc>
          <w:tcPr>
            <w:tcW w:w="1256" w:type="pct"/>
            <w:tcBorders>
              <w:top w:val="single" w:sz="4" w:space="0" w:color="auto"/>
              <w:left w:val="nil"/>
              <w:bottom w:val="single" w:sz="12" w:space="0" w:color="auto"/>
              <w:right w:val="nil"/>
            </w:tcBorders>
          </w:tcPr>
          <w:p w14:paraId="4AF54E39" w14:textId="77777777" w:rsidR="00CF0E3D" w:rsidRPr="005F3D40" w:rsidRDefault="00CF0E3D" w:rsidP="007941AE">
            <w:pPr>
              <w:pStyle w:val="Tabletext"/>
              <w:rPr>
                <w:b/>
                <w:i/>
                <w:color w:val="000000" w:themeColor="text1"/>
              </w:rPr>
            </w:pPr>
            <w:r w:rsidRPr="00814B1D">
              <w:rPr>
                <w:b/>
                <w:i/>
              </w:rPr>
              <w:t>accredited non</w:t>
            </w:r>
            <w:r w:rsidRPr="00814B1D">
              <w:rPr>
                <w:b/>
                <w:i/>
              </w:rPr>
              <w:noBreakHyphen/>
              <w:t>ADI</w:t>
            </w:r>
          </w:p>
        </w:tc>
        <w:tc>
          <w:tcPr>
            <w:tcW w:w="3465" w:type="pct"/>
            <w:tcBorders>
              <w:top w:val="single" w:sz="4" w:space="0" w:color="auto"/>
              <w:left w:val="nil"/>
              <w:bottom w:val="single" w:sz="12" w:space="0" w:color="auto"/>
              <w:right w:val="nil"/>
            </w:tcBorders>
          </w:tcPr>
          <w:p w14:paraId="3FC6B839" w14:textId="77777777" w:rsidR="00CF0E3D" w:rsidRPr="00814B1D" w:rsidRDefault="00CF0E3D" w:rsidP="007941AE">
            <w:pPr>
              <w:pStyle w:val="Tabletext"/>
            </w:pPr>
            <w:r w:rsidRPr="00814B1D">
              <w:t>An accredited person that is:</w:t>
            </w:r>
          </w:p>
          <w:p w14:paraId="4596428A" w14:textId="77777777" w:rsidR="00CF0E3D" w:rsidRPr="00814B1D" w:rsidRDefault="00CF0E3D" w:rsidP="007941AE">
            <w:pPr>
              <w:pStyle w:val="Tablea"/>
            </w:pPr>
            <w:r w:rsidRPr="00814B1D">
              <w:t>(a)</w:t>
            </w:r>
            <w:r w:rsidRPr="00814B1D">
              <w:tab/>
              <w:t>a data holder; but</w:t>
            </w:r>
          </w:p>
          <w:p w14:paraId="30838E30" w14:textId="77777777" w:rsidR="00CF0E3D" w:rsidRPr="00814B1D" w:rsidRDefault="00CF0E3D" w:rsidP="007941AE">
            <w:pPr>
              <w:pStyle w:val="Tablea"/>
            </w:pPr>
            <w:r w:rsidRPr="00814B1D">
              <w:t>(b)</w:t>
            </w:r>
            <w:r w:rsidRPr="00814B1D">
              <w:tab/>
              <w:t>not an ADI.</w:t>
            </w:r>
          </w:p>
          <w:p w14:paraId="41F28A0D" w14:textId="77777777" w:rsidR="00CF0E3D" w:rsidRPr="00814B1D" w:rsidRDefault="00CF0E3D" w:rsidP="007941AE">
            <w:pPr>
              <w:pStyle w:val="Tablea"/>
            </w:pPr>
          </w:p>
        </w:tc>
      </w:tr>
    </w:tbl>
    <w:p w14:paraId="6C1B5E83" w14:textId="77777777" w:rsidR="00CF0E3D" w:rsidRDefault="00CF0E3D" w:rsidP="00CF0E3D">
      <w:pPr>
        <w:pStyle w:val="subsection"/>
      </w:pPr>
    </w:p>
    <w:p w14:paraId="7105BB20" w14:textId="7D5C0120" w:rsidR="00CF0E3D" w:rsidRDefault="00CF0E3D" w:rsidP="00CF0E3D">
      <w:pPr>
        <w:pStyle w:val="ActHead3"/>
        <w:pageBreakBefore/>
        <w:rPr>
          <w:color w:val="000000" w:themeColor="text1"/>
        </w:rPr>
      </w:pPr>
      <w:bookmarkStart w:id="723" w:name="_Toc77065120"/>
      <w:r>
        <w:rPr>
          <w:color w:val="000000" w:themeColor="text1"/>
        </w:rPr>
        <w:lastRenderedPageBreak/>
        <w:t>Division 6.2</w:t>
      </w:r>
      <w:r w:rsidRPr="0072242E">
        <w:rPr>
          <w:color w:val="000000" w:themeColor="text1"/>
        </w:rPr>
        <w:t>—Staged application of rules</w:t>
      </w:r>
      <w:bookmarkEnd w:id="723"/>
    </w:p>
    <w:p w14:paraId="03E8BE6E" w14:textId="357C2E1C" w:rsidR="00CF0E3D" w:rsidRPr="004166C9" w:rsidRDefault="00CF0E3D" w:rsidP="00CF0E3D">
      <w:pPr>
        <w:pStyle w:val="ActHead5"/>
      </w:pPr>
      <w:bookmarkStart w:id="724" w:name="_Toc77065121"/>
      <w:r>
        <w:t>6.4</w:t>
      </w:r>
      <w:r w:rsidRPr="004166C9">
        <w:t xml:space="preserve">  Staged application of rules―requirement to disclose CDR data</w:t>
      </w:r>
      <w:bookmarkEnd w:id="724"/>
    </w:p>
    <w:p w14:paraId="12DE228F" w14:textId="77777777" w:rsidR="00CF0E3D" w:rsidRPr="004166C9" w:rsidRDefault="00CF0E3D" w:rsidP="00CF0E3D">
      <w:pPr>
        <w:pStyle w:val="subsection"/>
      </w:pPr>
      <w:r w:rsidRPr="004166C9">
        <w:tab/>
      </w:r>
      <w:r>
        <w:t>(1)</w:t>
      </w:r>
      <w:r w:rsidRPr="004166C9">
        <w:tab/>
        <w:t>This clause applies if:</w:t>
      </w:r>
    </w:p>
    <w:p w14:paraId="6EE07BF2" w14:textId="77777777" w:rsidR="00CF0E3D" w:rsidRPr="0087060A" w:rsidRDefault="00CF0E3D" w:rsidP="00CF0E3D">
      <w:pPr>
        <w:pStyle w:val="paragraph"/>
      </w:pPr>
      <w:r w:rsidRPr="0087060A">
        <w:tab/>
        <w:t>(a)</w:t>
      </w:r>
      <w:r w:rsidRPr="0087060A">
        <w:tab/>
        <w:t>a product data request or a consumer data request is made to a data holder of a kind referred to in column 1 of the commencement table; and</w:t>
      </w:r>
    </w:p>
    <w:p w14:paraId="34FFF55D" w14:textId="77777777" w:rsidR="00CF0E3D" w:rsidRPr="004166C9" w:rsidRDefault="00CF0E3D" w:rsidP="00CF0E3D">
      <w:pPr>
        <w:pStyle w:val="paragraph"/>
      </w:pPr>
      <w:r w:rsidRPr="004166C9">
        <w:tab/>
      </w:r>
      <w:r>
        <w:t>(b)</w:t>
      </w:r>
      <w:r w:rsidRPr="004166C9">
        <w:tab/>
        <w:t>the request is made under a Part of these rules referred to in column 2 of the commencement table; and</w:t>
      </w:r>
    </w:p>
    <w:p w14:paraId="5A74D3C4" w14:textId="77777777" w:rsidR="00CF0E3D" w:rsidRPr="004166C9" w:rsidRDefault="00CF0E3D" w:rsidP="00CF0E3D">
      <w:pPr>
        <w:pStyle w:val="paragraph"/>
      </w:pPr>
      <w:r w:rsidRPr="004166C9">
        <w:tab/>
      </w:r>
      <w:r>
        <w:t>(c)</w:t>
      </w:r>
      <w:r w:rsidRPr="004166C9">
        <w:tab/>
        <w:t xml:space="preserve">the request is </w:t>
      </w:r>
      <w:r w:rsidRPr="00F275B4">
        <w:t xml:space="preserve">made after the commencement of these rules and during </w:t>
      </w:r>
      <w:r w:rsidRPr="004166C9">
        <w:t xml:space="preserve">a period referred to in any of </w:t>
      </w:r>
      <w:r>
        <w:t>the other columns</w:t>
      </w:r>
      <w:r w:rsidRPr="004166C9">
        <w:t xml:space="preserve"> of the commencement table.</w:t>
      </w:r>
    </w:p>
    <w:p w14:paraId="4EECDE05" w14:textId="77777777" w:rsidR="00CF0E3D" w:rsidRPr="004166C9" w:rsidRDefault="00CF0E3D" w:rsidP="00CF0E3D">
      <w:pPr>
        <w:pStyle w:val="subsection"/>
      </w:pPr>
      <w:r w:rsidRPr="004166C9">
        <w:tab/>
      </w:r>
      <w:r>
        <w:t>(2)</w:t>
      </w:r>
      <w:r w:rsidRPr="004166C9">
        <w:tab/>
        <w:t xml:space="preserve">Despite clause 3.1A of this Schedule, for the request, </w:t>
      </w:r>
      <w:r>
        <w:t>Part 3</w:t>
      </w:r>
      <w:r w:rsidRPr="004166C9">
        <w:t xml:space="preserve"> of this Schedule applies in relation to the kinds of product referred to in the relevant cell of the commencement table.</w:t>
      </w:r>
    </w:p>
    <w:p w14:paraId="5506FEFE" w14:textId="1D8EFF41" w:rsidR="00AD3411" w:rsidRPr="00037F3B" w:rsidRDefault="00AD3411" w:rsidP="00AD3411">
      <w:pPr>
        <w:pStyle w:val="subsection"/>
        <w:rPr>
          <w:color w:val="CC00CC"/>
        </w:rPr>
      </w:pPr>
      <w:r w:rsidRPr="00037F3B">
        <w:rPr>
          <w:color w:val="CC00CC"/>
        </w:rPr>
        <w:tab/>
        <w:t>(3)</w:t>
      </w:r>
      <w:r w:rsidRPr="00037F3B">
        <w:rPr>
          <w:color w:val="CC00CC"/>
        </w:rPr>
        <w:tab/>
        <w:t xml:space="preserve">Where a table cell includes the term </w:t>
      </w:r>
      <w:r w:rsidRPr="00037F3B">
        <w:rPr>
          <w:b/>
          <w:i/>
          <w:color w:val="CC00CC"/>
        </w:rPr>
        <w:t>JAE</w:t>
      </w:r>
      <w:r w:rsidRPr="00037F3B">
        <w:rPr>
          <w:i/>
          <w:color w:val="CC00CC"/>
        </w:rPr>
        <w:t xml:space="preserve"> </w:t>
      </w:r>
      <w:r w:rsidRPr="00037F3B">
        <w:rPr>
          <w:color w:val="CC00CC"/>
        </w:rPr>
        <w:t>(for “joint accounts excepted”), despite these rules, the data holder is not required to disclose required consumer data about a product that relates to joint accounts.</w:t>
      </w:r>
    </w:p>
    <w:p w14:paraId="64001F97" w14:textId="29F8606D" w:rsidR="00AD3411" w:rsidRPr="00037F3B" w:rsidRDefault="00AD3411" w:rsidP="00AD3411">
      <w:pPr>
        <w:pStyle w:val="subsection"/>
        <w:rPr>
          <w:color w:val="CC00CC"/>
        </w:rPr>
      </w:pPr>
      <w:r w:rsidRPr="00037F3B">
        <w:rPr>
          <w:color w:val="CC00CC"/>
        </w:rPr>
        <w:tab/>
        <w:t>(4)</w:t>
      </w:r>
      <w:r w:rsidRPr="00037F3B">
        <w:rPr>
          <w:color w:val="CC00CC"/>
        </w:rPr>
        <w:tab/>
        <w:t xml:space="preserve">Where a table cell includes the term </w:t>
      </w:r>
      <w:r w:rsidR="005D3DB0" w:rsidRPr="00037F3B">
        <w:rPr>
          <w:b/>
          <w:i/>
          <w:color w:val="CC00CC"/>
        </w:rPr>
        <w:t>COD</w:t>
      </w:r>
      <w:r w:rsidRPr="00037F3B">
        <w:rPr>
          <w:b/>
          <w:i/>
          <w:color w:val="CC00CC"/>
        </w:rPr>
        <w:t>E</w:t>
      </w:r>
      <w:r w:rsidRPr="00037F3B">
        <w:rPr>
          <w:i/>
          <w:color w:val="CC00CC"/>
        </w:rPr>
        <w:t xml:space="preserve"> </w:t>
      </w:r>
      <w:r w:rsidRPr="00037F3B">
        <w:rPr>
          <w:color w:val="CC00CC"/>
        </w:rPr>
        <w:t>(for “</w:t>
      </w:r>
      <w:r w:rsidR="005D3DB0" w:rsidRPr="00037F3B">
        <w:rPr>
          <w:color w:val="CC00CC"/>
        </w:rPr>
        <w:t xml:space="preserve">certain </w:t>
      </w:r>
      <w:r w:rsidRPr="00037F3B">
        <w:rPr>
          <w:color w:val="CC00CC"/>
        </w:rPr>
        <w:t xml:space="preserve">other </w:t>
      </w:r>
      <w:r w:rsidR="005D3DB0" w:rsidRPr="00037F3B">
        <w:rPr>
          <w:color w:val="CC00CC"/>
        </w:rPr>
        <w:t>data</w:t>
      </w:r>
      <w:r w:rsidRPr="00037F3B">
        <w:rPr>
          <w:color w:val="CC00CC"/>
        </w:rPr>
        <w:t xml:space="preserve"> excepted”), despite these rules, the data holder is not required to disclose required consumer data about </w:t>
      </w:r>
      <w:r w:rsidR="006B07B6" w:rsidRPr="00037F3B">
        <w:rPr>
          <w:color w:val="CC00CC"/>
        </w:rPr>
        <w:t xml:space="preserve">a phase 1 </w:t>
      </w:r>
      <w:r w:rsidRPr="00037F3B">
        <w:rPr>
          <w:color w:val="CC00CC"/>
        </w:rPr>
        <w:t>product that:</w:t>
      </w:r>
    </w:p>
    <w:p w14:paraId="73C8D5D2" w14:textId="77777777" w:rsidR="00AD3411" w:rsidRPr="00037F3B" w:rsidRDefault="00AD3411" w:rsidP="00AD3411">
      <w:pPr>
        <w:pStyle w:val="paragraph"/>
        <w:rPr>
          <w:color w:val="CC00CC"/>
        </w:rPr>
      </w:pPr>
      <w:r w:rsidRPr="00037F3B">
        <w:rPr>
          <w:color w:val="CC00CC"/>
        </w:rPr>
        <w:tab/>
        <w:t>(a)</w:t>
      </w:r>
      <w:r w:rsidRPr="00037F3B">
        <w:rPr>
          <w:color w:val="CC00CC"/>
        </w:rPr>
        <w:tab/>
        <w:t>relates to any of the following:</w:t>
      </w:r>
    </w:p>
    <w:p w14:paraId="28DD186D" w14:textId="7017011F" w:rsidR="00AD3411" w:rsidRPr="00037F3B" w:rsidRDefault="00AD3411" w:rsidP="00AD3411">
      <w:pPr>
        <w:pStyle w:val="paragraphsub"/>
        <w:rPr>
          <w:color w:val="CC00CC"/>
        </w:rPr>
      </w:pPr>
      <w:r w:rsidRPr="00037F3B">
        <w:rPr>
          <w:color w:val="CC00CC"/>
        </w:rPr>
        <w:tab/>
        <w:t>(i)</w:t>
      </w:r>
      <w:r w:rsidRPr="00037F3B">
        <w:rPr>
          <w:color w:val="CC00CC"/>
        </w:rPr>
        <w:tab/>
        <w:t>closed accounts;</w:t>
      </w:r>
    </w:p>
    <w:p w14:paraId="44FEE171" w14:textId="3D9305FC" w:rsidR="00AD3411" w:rsidRPr="00037F3B" w:rsidRDefault="00AD3411" w:rsidP="00AD3411">
      <w:pPr>
        <w:pStyle w:val="paragraphsub"/>
        <w:rPr>
          <w:color w:val="CC00CC"/>
        </w:rPr>
      </w:pPr>
      <w:r w:rsidRPr="00037F3B">
        <w:rPr>
          <w:color w:val="CC00CC"/>
        </w:rPr>
        <w:tab/>
        <w:t>(ii)</w:t>
      </w:r>
      <w:r w:rsidRPr="00037F3B">
        <w:rPr>
          <w:color w:val="CC00CC"/>
        </w:rPr>
        <w:tab/>
        <w:t>direct debits;</w:t>
      </w:r>
    </w:p>
    <w:p w14:paraId="011B8FB6" w14:textId="1FCF87EA" w:rsidR="00AD3411" w:rsidRPr="00037F3B" w:rsidRDefault="00AD3411" w:rsidP="00AD3411">
      <w:pPr>
        <w:pStyle w:val="paragraphsub"/>
        <w:rPr>
          <w:color w:val="CC00CC"/>
        </w:rPr>
      </w:pPr>
      <w:r w:rsidRPr="00037F3B">
        <w:rPr>
          <w:color w:val="CC00CC"/>
        </w:rPr>
        <w:tab/>
        <w:t>(iii)</w:t>
      </w:r>
      <w:r w:rsidRPr="00037F3B">
        <w:rPr>
          <w:color w:val="CC00CC"/>
        </w:rPr>
        <w:tab/>
        <w:t>scheduled payments;</w:t>
      </w:r>
    </w:p>
    <w:p w14:paraId="1964DC90" w14:textId="779DCD3C" w:rsidR="00AD3411" w:rsidRPr="00037F3B" w:rsidRDefault="00AD3411" w:rsidP="00AD3411">
      <w:pPr>
        <w:pStyle w:val="paragraphsub"/>
        <w:rPr>
          <w:color w:val="CC00CC"/>
        </w:rPr>
      </w:pPr>
      <w:r w:rsidRPr="00037F3B">
        <w:rPr>
          <w:color w:val="CC00CC"/>
        </w:rPr>
        <w:tab/>
        <w:t>(iv)</w:t>
      </w:r>
      <w:r w:rsidRPr="00037F3B">
        <w:rPr>
          <w:color w:val="CC00CC"/>
        </w:rPr>
        <w:tab/>
        <w:t>payees; or</w:t>
      </w:r>
    </w:p>
    <w:p w14:paraId="4D6E3091" w14:textId="77777777" w:rsidR="00AD3411" w:rsidRPr="00037F3B" w:rsidRDefault="00AD3411" w:rsidP="00AD3411">
      <w:pPr>
        <w:pStyle w:val="paragraph"/>
        <w:rPr>
          <w:color w:val="CC00CC"/>
        </w:rPr>
      </w:pPr>
      <w:r w:rsidRPr="00037F3B">
        <w:rPr>
          <w:color w:val="CC00CC"/>
        </w:rPr>
        <w:tab/>
        <w:t>(b)</w:t>
      </w:r>
      <w:r w:rsidRPr="00037F3B">
        <w:rPr>
          <w:color w:val="CC00CC"/>
        </w:rPr>
        <w:tab/>
        <w:t>is “get account detail” or “get customer detail” data within the meaning of the data standards.</w:t>
      </w:r>
    </w:p>
    <w:p w14:paraId="700E3B28" w14:textId="42F55AE7" w:rsidR="00CF0E3D" w:rsidRPr="00037F3B" w:rsidRDefault="00AD3411" w:rsidP="00AD3411">
      <w:pPr>
        <w:pStyle w:val="subsection"/>
        <w:rPr>
          <w:strike/>
          <w:color w:val="CC00CC"/>
        </w:rPr>
      </w:pPr>
      <w:r w:rsidRPr="00037F3B">
        <w:rPr>
          <w:strike/>
          <w:color w:val="CC00CC"/>
        </w:rPr>
        <w:t xml:space="preserve"> </w:t>
      </w:r>
      <w:r w:rsidRPr="00037F3B">
        <w:rPr>
          <w:strike/>
          <w:color w:val="CC00CC"/>
        </w:rPr>
        <w:tab/>
      </w:r>
      <w:r w:rsidR="00CF0E3D" w:rsidRPr="00037F3B">
        <w:rPr>
          <w:strike/>
          <w:color w:val="CC00CC"/>
        </w:rPr>
        <w:t>(3)</w:t>
      </w:r>
      <w:r w:rsidR="00CF0E3D" w:rsidRPr="00037F3B">
        <w:rPr>
          <w:strike/>
          <w:color w:val="CC00CC"/>
        </w:rPr>
        <w:tab/>
        <w:t>Where a table cell refers to this subclause, despite these rules, the data holder is not required to disclose required consumer data about a phase 1 product that:</w:t>
      </w:r>
    </w:p>
    <w:p w14:paraId="6D006976" w14:textId="77777777" w:rsidR="00CF0E3D" w:rsidRPr="00037F3B" w:rsidRDefault="00CF0E3D" w:rsidP="00CF0E3D">
      <w:pPr>
        <w:pStyle w:val="paragraph"/>
        <w:rPr>
          <w:strike/>
          <w:color w:val="CC00CC"/>
        </w:rPr>
      </w:pPr>
      <w:r w:rsidRPr="00037F3B">
        <w:rPr>
          <w:strike/>
          <w:color w:val="CC00CC"/>
        </w:rPr>
        <w:tab/>
        <w:t>(a)</w:t>
      </w:r>
      <w:r w:rsidRPr="00037F3B">
        <w:rPr>
          <w:strike/>
          <w:color w:val="CC00CC"/>
        </w:rPr>
        <w:tab/>
        <w:t>relates to any of the following:</w:t>
      </w:r>
    </w:p>
    <w:p w14:paraId="43DABE7E" w14:textId="77777777" w:rsidR="00CF0E3D" w:rsidRPr="00037F3B" w:rsidRDefault="00CF0E3D" w:rsidP="00CF0E3D">
      <w:pPr>
        <w:pStyle w:val="paragraphsub"/>
        <w:rPr>
          <w:strike/>
          <w:color w:val="CC00CC"/>
        </w:rPr>
      </w:pPr>
      <w:r w:rsidRPr="00037F3B">
        <w:rPr>
          <w:strike/>
          <w:color w:val="CC00CC"/>
        </w:rPr>
        <w:tab/>
        <w:t>(i)</w:t>
      </w:r>
      <w:r w:rsidRPr="00037F3B">
        <w:rPr>
          <w:strike/>
          <w:color w:val="CC00CC"/>
        </w:rPr>
        <w:tab/>
        <w:t>joint accounts;</w:t>
      </w:r>
    </w:p>
    <w:p w14:paraId="39CAAD88" w14:textId="77777777" w:rsidR="00CF0E3D" w:rsidRPr="00037F3B" w:rsidRDefault="00CF0E3D" w:rsidP="00CF0E3D">
      <w:pPr>
        <w:pStyle w:val="paragraphsub"/>
        <w:rPr>
          <w:strike/>
          <w:color w:val="CC00CC"/>
        </w:rPr>
      </w:pPr>
      <w:r w:rsidRPr="00037F3B">
        <w:rPr>
          <w:strike/>
          <w:color w:val="CC00CC"/>
        </w:rPr>
        <w:tab/>
        <w:t>(ii)</w:t>
      </w:r>
      <w:r w:rsidRPr="00037F3B">
        <w:rPr>
          <w:strike/>
          <w:color w:val="CC00CC"/>
        </w:rPr>
        <w:tab/>
        <w:t>closed accounts;</w:t>
      </w:r>
    </w:p>
    <w:p w14:paraId="2F70185E" w14:textId="77777777" w:rsidR="00CF0E3D" w:rsidRPr="00037F3B" w:rsidRDefault="00CF0E3D" w:rsidP="00CF0E3D">
      <w:pPr>
        <w:pStyle w:val="paragraphsub"/>
        <w:rPr>
          <w:strike/>
          <w:color w:val="CC00CC"/>
        </w:rPr>
      </w:pPr>
      <w:r w:rsidRPr="00037F3B">
        <w:rPr>
          <w:strike/>
          <w:color w:val="CC00CC"/>
        </w:rPr>
        <w:tab/>
        <w:t>(iii)</w:t>
      </w:r>
      <w:r w:rsidRPr="00037F3B">
        <w:rPr>
          <w:strike/>
          <w:color w:val="CC00CC"/>
        </w:rPr>
        <w:tab/>
        <w:t>direct debits;</w:t>
      </w:r>
    </w:p>
    <w:p w14:paraId="7A639F71" w14:textId="77777777" w:rsidR="00CF0E3D" w:rsidRPr="00037F3B" w:rsidRDefault="00CF0E3D" w:rsidP="00CF0E3D">
      <w:pPr>
        <w:pStyle w:val="paragraphsub"/>
        <w:rPr>
          <w:strike/>
          <w:color w:val="CC00CC"/>
        </w:rPr>
      </w:pPr>
      <w:r w:rsidRPr="00037F3B">
        <w:rPr>
          <w:strike/>
          <w:color w:val="CC00CC"/>
        </w:rPr>
        <w:tab/>
        <w:t>(iv)</w:t>
      </w:r>
      <w:r w:rsidRPr="00037F3B">
        <w:rPr>
          <w:strike/>
          <w:color w:val="CC00CC"/>
        </w:rPr>
        <w:tab/>
        <w:t>scheduled payments;</w:t>
      </w:r>
    </w:p>
    <w:p w14:paraId="5AE8B553" w14:textId="77777777" w:rsidR="00CF0E3D" w:rsidRPr="00037F3B" w:rsidRDefault="00CF0E3D" w:rsidP="00CF0E3D">
      <w:pPr>
        <w:pStyle w:val="paragraphsub"/>
        <w:rPr>
          <w:strike/>
          <w:color w:val="CC00CC"/>
        </w:rPr>
      </w:pPr>
      <w:r w:rsidRPr="00037F3B">
        <w:rPr>
          <w:strike/>
          <w:color w:val="CC00CC"/>
        </w:rPr>
        <w:tab/>
        <w:t>(v)</w:t>
      </w:r>
      <w:r w:rsidRPr="00037F3B">
        <w:rPr>
          <w:strike/>
          <w:color w:val="CC00CC"/>
        </w:rPr>
        <w:tab/>
        <w:t>payees; or</w:t>
      </w:r>
    </w:p>
    <w:p w14:paraId="2C8113FC" w14:textId="77777777" w:rsidR="00CF0E3D" w:rsidRPr="00037F3B" w:rsidRDefault="00CF0E3D" w:rsidP="00CF0E3D">
      <w:pPr>
        <w:pStyle w:val="paragraph"/>
        <w:rPr>
          <w:strike/>
          <w:color w:val="CC00CC"/>
        </w:rPr>
      </w:pPr>
      <w:r w:rsidRPr="00037F3B">
        <w:rPr>
          <w:strike/>
          <w:color w:val="CC00CC"/>
        </w:rPr>
        <w:tab/>
        <w:t>(b)</w:t>
      </w:r>
      <w:r w:rsidRPr="00037F3B">
        <w:rPr>
          <w:strike/>
          <w:color w:val="CC00CC"/>
        </w:rPr>
        <w:tab/>
        <w:t>is “get account detail” or “get customer detail” data within the meaning of the data standards.</w:t>
      </w:r>
    </w:p>
    <w:p w14:paraId="6EE8746C" w14:textId="638F935F" w:rsidR="00CF0E3D" w:rsidRPr="0087060A" w:rsidRDefault="00CF0E3D" w:rsidP="00CF0E3D">
      <w:pPr>
        <w:pStyle w:val="ActHead5"/>
      </w:pPr>
      <w:bookmarkStart w:id="725" w:name="_Toc50633245"/>
      <w:bookmarkStart w:id="726" w:name="_Toc57219222"/>
      <w:bookmarkStart w:id="727" w:name="_Toc57219453"/>
      <w:bookmarkStart w:id="728" w:name="_Toc59549199"/>
      <w:bookmarkStart w:id="729" w:name="_Toc77065122"/>
      <w:r w:rsidRPr="0087060A">
        <w:t>6.5  Authorisation to disclose CDR data before required to do so</w:t>
      </w:r>
      <w:bookmarkEnd w:id="725"/>
      <w:bookmarkEnd w:id="726"/>
      <w:bookmarkEnd w:id="727"/>
      <w:bookmarkEnd w:id="728"/>
      <w:bookmarkEnd w:id="729"/>
    </w:p>
    <w:p w14:paraId="66C7572E" w14:textId="77777777" w:rsidR="00CF0E3D" w:rsidRPr="0087060A" w:rsidRDefault="00CF0E3D" w:rsidP="00CF0E3D">
      <w:pPr>
        <w:pStyle w:val="subsection"/>
        <w:rPr>
          <w:sz w:val="20"/>
        </w:rPr>
      </w:pPr>
      <w:r w:rsidRPr="0087060A">
        <w:tab/>
        <w:t>(1)</w:t>
      </w:r>
      <w:r w:rsidRPr="0087060A">
        <w:tab/>
        <w:t>This clause applies if:</w:t>
      </w:r>
    </w:p>
    <w:p w14:paraId="08687AF9" w14:textId="77777777" w:rsidR="00CF0E3D" w:rsidRPr="0087060A" w:rsidRDefault="00CF0E3D" w:rsidP="00CF0E3D">
      <w:pPr>
        <w:pStyle w:val="paragraph"/>
      </w:pPr>
      <w:r w:rsidRPr="0087060A">
        <w:lastRenderedPageBreak/>
        <w:tab/>
        <w:t>(a)</w:t>
      </w:r>
      <w:r w:rsidRPr="0087060A">
        <w:tab/>
        <w:t xml:space="preserve">a request for disclosure of CDR data has been made in accordance with Part 2, Part 3 or Part 4 of these rules (the </w:t>
      </w:r>
      <w:r w:rsidRPr="0087060A">
        <w:rPr>
          <w:b/>
          <w:bCs/>
          <w:i/>
          <w:iCs/>
        </w:rPr>
        <w:t>relevant data request Part</w:t>
      </w:r>
      <w:r w:rsidRPr="0087060A">
        <w:t>); and</w:t>
      </w:r>
    </w:p>
    <w:p w14:paraId="2B424E37" w14:textId="77777777" w:rsidR="00CF0E3D" w:rsidRPr="0087060A" w:rsidRDefault="00CF0E3D" w:rsidP="00CF0E3D">
      <w:pPr>
        <w:pStyle w:val="paragraph"/>
      </w:pPr>
      <w:r w:rsidRPr="0087060A">
        <w:tab/>
        <w:t>(b)</w:t>
      </w:r>
      <w:r w:rsidRPr="0087060A">
        <w:tab/>
        <w:t>the requested CDR data is any of the following:</w:t>
      </w:r>
    </w:p>
    <w:p w14:paraId="29BF70D1" w14:textId="77777777" w:rsidR="00CF0E3D" w:rsidRPr="0087060A" w:rsidRDefault="00CF0E3D" w:rsidP="00CF0E3D">
      <w:pPr>
        <w:pStyle w:val="paragraphsub"/>
      </w:pPr>
      <w:r w:rsidRPr="0087060A">
        <w:tab/>
        <w:t>(i)</w:t>
      </w:r>
      <w:r w:rsidRPr="0087060A">
        <w:tab/>
        <w:t>required product data;</w:t>
      </w:r>
    </w:p>
    <w:p w14:paraId="3057DDCA" w14:textId="77777777" w:rsidR="00CF0E3D" w:rsidRPr="0087060A" w:rsidRDefault="00CF0E3D" w:rsidP="00CF0E3D">
      <w:pPr>
        <w:pStyle w:val="paragraphsub"/>
      </w:pPr>
      <w:r w:rsidRPr="0087060A">
        <w:tab/>
        <w:t>(ii)</w:t>
      </w:r>
      <w:r w:rsidRPr="0087060A">
        <w:tab/>
        <w:t>voluntary product data;</w:t>
      </w:r>
    </w:p>
    <w:p w14:paraId="35E45C62" w14:textId="77777777" w:rsidR="00CF0E3D" w:rsidRPr="0087060A" w:rsidRDefault="00CF0E3D" w:rsidP="00CF0E3D">
      <w:pPr>
        <w:pStyle w:val="paragraphsub"/>
      </w:pPr>
      <w:r w:rsidRPr="0087060A">
        <w:tab/>
        <w:t>(iii)</w:t>
      </w:r>
      <w:r w:rsidRPr="0087060A">
        <w:tab/>
        <w:t>required consumer data;</w:t>
      </w:r>
    </w:p>
    <w:p w14:paraId="14B8F8D1" w14:textId="77777777" w:rsidR="00CF0E3D" w:rsidRPr="0087060A" w:rsidRDefault="00CF0E3D" w:rsidP="00CF0E3D">
      <w:pPr>
        <w:pStyle w:val="paragraphsub"/>
      </w:pPr>
      <w:r w:rsidRPr="0087060A">
        <w:tab/>
        <w:t>(iv)</w:t>
      </w:r>
      <w:r w:rsidRPr="0087060A">
        <w:tab/>
        <w:t>voluntary consumer data; and</w:t>
      </w:r>
    </w:p>
    <w:p w14:paraId="172E1BE8" w14:textId="77777777" w:rsidR="00CF0E3D" w:rsidRPr="0087060A" w:rsidRDefault="00CF0E3D" w:rsidP="00CF0E3D">
      <w:pPr>
        <w:pStyle w:val="paragraph"/>
      </w:pPr>
      <w:r w:rsidRPr="0087060A">
        <w:tab/>
        <w:t>(c)</w:t>
      </w:r>
      <w:r w:rsidRPr="0087060A">
        <w:tab/>
        <w:t>the requested CDR data includes some pre</w:t>
      </w:r>
      <w:r w:rsidRPr="0087060A">
        <w:noBreakHyphen/>
        <w:t>application CDR data.</w:t>
      </w:r>
    </w:p>
    <w:p w14:paraId="5EF14CAD" w14:textId="77777777" w:rsidR="00CF0E3D" w:rsidRPr="0087060A" w:rsidRDefault="00CF0E3D" w:rsidP="00CF0E3D">
      <w:pPr>
        <w:pStyle w:val="subsection"/>
      </w:pPr>
      <w:r w:rsidRPr="0087060A">
        <w:tab/>
        <w:t>(2)</w:t>
      </w:r>
      <w:r w:rsidRPr="0087060A">
        <w:tab/>
        <w:t>For these rules, the data holder may disclose any or all of the pre</w:t>
      </w:r>
      <w:r w:rsidRPr="0087060A">
        <w:noBreakHyphen/>
        <w:t>application CDR data in response to the request in accordance with the relevant data request Part.</w:t>
      </w:r>
    </w:p>
    <w:p w14:paraId="6A1767EE" w14:textId="77777777" w:rsidR="00CF0E3D" w:rsidRDefault="00CF0E3D" w:rsidP="00CF0E3D">
      <w:pPr>
        <w:pStyle w:val="subsection"/>
      </w:pPr>
      <w:r w:rsidRPr="0087060A">
        <w:tab/>
        <w:t>(3)</w:t>
      </w:r>
      <w:r w:rsidRPr="0087060A">
        <w:tab/>
        <w:t xml:space="preserve">In this clause, </w:t>
      </w:r>
      <w:r w:rsidRPr="0087060A">
        <w:rPr>
          <w:b/>
          <w:bCs/>
          <w:i/>
          <w:iCs/>
        </w:rPr>
        <w:t>pre-application CDR data</w:t>
      </w:r>
      <w:r w:rsidRPr="0087060A">
        <w:t xml:space="preserve"> means CDR data that, but for the operation of this Part, the data holder would be required or authorised by the relevant data request Part to disclose in response to the request.</w:t>
      </w:r>
    </w:p>
    <w:p w14:paraId="1EFB028F" w14:textId="01D04A17" w:rsidR="00CF0E3D" w:rsidRPr="00F07699" w:rsidRDefault="00CF0E3D" w:rsidP="00CF0E3D">
      <w:pPr>
        <w:pStyle w:val="ActHead5"/>
        <w:pageBreakBefore/>
      </w:pPr>
      <w:bookmarkStart w:id="730" w:name="_Toc50633246"/>
      <w:bookmarkStart w:id="731" w:name="_Toc57219223"/>
      <w:bookmarkStart w:id="732" w:name="_Toc57219454"/>
      <w:bookmarkStart w:id="733" w:name="_Toc59549200"/>
      <w:bookmarkStart w:id="734" w:name="_Toc77065123"/>
      <w:r w:rsidRPr="00F07699">
        <w:lastRenderedPageBreak/>
        <w:t>6.6  Commencement table</w:t>
      </w:r>
      <w:bookmarkEnd w:id="730"/>
      <w:bookmarkEnd w:id="731"/>
      <w:bookmarkEnd w:id="732"/>
      <w:bookmarkEnd w:id="733"/>
      <w:bookmarkEnd w:id="734"/>
    </w:p>
    <w:p w14:paraId="3233383B" w14:textId="77777777" w:rsidR="00CF3449" w:rsidRDefault="00CF0E3D" w:rsidP="00CF3449">
      <w:pPr>
        <w:pStyle w:val="subsection"/>
        <w:spacing w:after="120"/>
      </w:pPr>
      <w:r w:rsidRPr="0087060A">
        <w:tab/>
      </w:r>
      <w:r w:rsidR="00CF3449" w:rsidRPr="0087060A">
        <w:tab/>
        <w:t>(1)</w:t>
      </w:r>
      <w:r w:rsidR="00CF3449" w:rsidRPr="0087060A">
        <w:tab/>
        <w:t xml:space="preserve">For this Part, the </w:t>
      </w:r>
      <w:r w:rsidR="00CF3449" w:rsidRPr="0087060A">
        <w:rPr>
          <w:b/>
          <w:i/>
        </w:rPr>
        <w:t xml:space="preserve">commencement table </w:t>
      </w:r>
      <w:r w:rsidR="00CF3449" w:rsidRPr="0087060A">
        <w:t>is: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58"/>
        <w:gridCol w:w="992"/>
        <w:gridCol w:w="993"/>
        <w:gridCol w:w="850"/>
      </w:tblGrid>
      <w:tr w:rsidR="00CF3449" w:rsidRPr="00CF3449" w14:paraId="654EF961" w14:textId="77777777" w:rsidTr="00B16C6E">
        <w:trPr>
          <w:tblHeader/>
        </w:trPr>
        <w:tc>
          <w:tcPr>
            <w:tcW w:w="1139" w:type="dxa"/>
            <w:tcBorders>
              <w:top w:val="single" w:sz="18" w:space="0" w:color="auto"/>
              <w:bottom w:val="single" w:sz="18" w:space="0" w:color="auto"/>
            </w:tcBorders>
            <w:vAlign w:val="center"/>
          </w:tcPr>
          <w:p w14:paraId="720105C0" w14:textId="77777777" w:rsidR="00CF3449" w:rsidRPr="00CF3449" w:rsidRDefault="00CF3449" w:rsidP="00B16C6E">
            <w:pPr>
              <w:pStyle w:val="TableHeading"/>
              <w:jc w:val="center"/>
              <w:rPr>
                <w:color w:val="7030A0"/>
                <w:szCs w:val="18"/>
              </w:rPr>
            </w:pPr>
            <w:r w:rsidRPr="00693A57">
              <w:rPr>
                <w:color w:val="0000FF"/>
                <w:szCs w:val="18"/>
              </w:rPr>
              <w:t>Data holder</w:t>
            </w:r>
          </w:p>
        </w:tc>
        <w:tc>
          <w:tcPr>
            <w:tcW w:w="1134" w:type="dxa"/>
            <w:tcBorders>
              <w:top w:val="single" w:sz="18" w:space="0" w:color="auto"/>
              <w:bottom w:val="single" w:sz="18" w:space="0" w:color="auto"/>
            </w:tcBorders>
            <w:vAlign w:val="center"/>
          </w:tcPr>
          <w:p w14:paraId="2C467A2E" w14:textId="77777777" w:rsidR="00CF3449" w:rsidRPr="00CF3449" w:rsidRDefault="00CF3449" w:rsidP="00B16C6E">
            <w:pPr>
              <w:pStyle w:val="TableHeading"/>
              <w:jc w:val="center"/>
              <w:rPr>
                <w:color w:val="7030A0"/>
                <w:szCs w:val="18"/>
              </w:rPr>
            </w:pPr>
            <w:r w:rsidRPr="00693A57">
              <w:rPr>
                <w:color w:val="0000FF"/>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26CA120D" w14:textId="77777777" w:rsidR="00CF3449" w:rsidRPr="00CF3449" w:rsidRDefault="00CF3449" w:rsidP="00B16C6E">
            <w:pPr>
              <w:pStyle w:val="TableHeading"/>
              <w:jc w:val="center"/>
              <w:rPr>
                <w:color w:val="7030A0"/>
                <w:szCs w:val="18"/>
              </w:rPr>
            </w:pPr>
            <w:r w:rsidRPr="00693A57">
              <w:rPr>
                <w:color w:val="0000FF"/>
                <w:szCs w:val="18"/>
              </w:rPr>
              <w:t xml:space="preserve">Start date </w:t>
            </w:r>
            <w:r w:rsidRPr="00693A57">
              <w:rPr>
                <w:color w:val="0000FF"/>
                <w:szCs w:val="18"/>
              </w:rPr>
              <w:br/>
              <w:t>to</w:t>
            </w:r>
            <w:r w:rsidRPr="00693A57">
              <w:rPr>
                <w:color w:val="0000FF"/>
                <w:szCs w:val="18"/>
              </w:rPr>
              <w:br/>
              <w:t>31 Jan 2021</w:t>
            </w:r>
          </w:p>
        </w:tc>
        <w:tc>
          <w:tcPr>
            <w:tcW w:w="1016" w:type="dxa"/>
            <w:tcBorders>
              <w:top w:val="single" w:sz="18" w:space="0" w:color="auto"/>
              <w:bottom w:val="single" w:sz="18" w:space="0" w:color="auto"/>
            </w:tcBorders>
            <w:vAlign w:val="center"/>
          </w:tcPr>
          <w:p w14:paraId="3123404F" w14:textId="77777777" w:rsidR="00CF3449" w:rsidRPr="00CF3449" w:rsidRDefault="00CF3449" w:rsidP="00B16C6E">
            <w:pPr>
              <w:pStyle w:val="TableHeading"/>
              <w:jc w:val="center"/>
              <w:rPr>
                <w:color w:val="7030A0"/>
                <w:szCs w:val="18"/>
              </w:rPr>
            </w:pPr>
            <w:r w:rsidRPr="00693A57">
              <w:rPr>
                <w:color w:val="0000FF"/>
                <w:szCs w:val="18"/>
              </w:rPr>
              <w:t>1 Feb 2021</w:t>
            </w:r>
            <w:r w:rsidRPr="00693A57">
              <w:rPr>
                <w:color w:val="0000FF"/>
                <w:szCs w:val="18"/>
              </w:rPr>
              <w:br/>
              <w:t>to</w:t>
            </w:r>
            <w:r w:rsidRPr="00693A57">
              <w:rPr>
                <w:color w:val="0000FF"/>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3066EA65" w14:textId="77777777" w:rsidR="00CF3449" w:rsidRPr="00CF3449" w:rsidRDefault="00CF3449" w:rsidP="00B16C6E">
            <w:pPr>
              <w:pStyle w:val="TableHeading"/>
              <w:jc w:val="center"/>
              <w:rPr>
                <w:color w:val="7030A0"/>
                <w:szCs w:val="18"/>
              </w:rPr>
            </w:pPr>
            <w:r w:rsidRPr="00693A57">
              <w:rPr>
                <w:color w:val="0000FF"/>
                <w:szCs w:val="18"/>
              </w:rPr>
              <w:t>1 Mar 2021</w:t>
            </w:r>
            <w:r w:rsidRPr="00693A57">
              <w:rPr>
                <w:color w:val="0000FF"/>
                <w:szCs w:val="18"/>
              </w:rPr>
              <w:br/>
              <w:t>to</w:t>
            </w:r>
            <w:r w:rsidRPr="00693A57">
              <w:rPr>
                <w:color w:val="0000FF"/>
                <w:szCs w:val="18"/>
              </w:rPr>
              <w:br/>
              <w:t>30 Jun 2021</w:t>
            </w:r>
          </w:p>
        </w:tc>
        <w:tc>
          <w:tcPr>
            <w:tcW w:w="1058" w:type="dxa"/>
            <w:tcBorders>
              <w:top w:val="single" w:sz="18" w:space="0" w:color="auto"/>
              <w:bottom w:val="single" w:sz="18" w:space="0" w:color="auto"/>
            </w:tcBorders>
            <w:vAlign w:val="center"/>
          </w:tcPr>
          <w:p w14:paraId="773AFA68" w14:textId="77777777" w:rsidR="00CF3449" w:rsidRPr="00CF3449" w:rsidRDefault="00CF3449" w:rsidP="00B16C6E">
            <w:pPr>
              <w:pStyle w:val="TableHeading"/>
              <w:jc w:val="center"/>
              <w:rPr>
                <w:color w:val="7030A0"/>
                <w:szCs w:val="18"/>
              </w:rPr>
            </w:pPr>
            <w:r w:rsidRPr="00693A57">
              <w:rPr>
                <w:color w:val="0000FF"/>
                <w:szCs w:val="18"/>
              </w:rPr>
              <w:t>1 Jul 2021</w:t>
            </w:r>
            <w:r w:rsidRPr="00693A57">
              <w:rPr>
                <w:color w:val="0000FF"/>
                <w:szCs w:val="18"/>
              </w:rPr>
              <w:br/>
              <w:t>to</w:t>
            </w:r>
            <w:r w:rsidRPr="00693A57">
              <w:rPr>
                <w:color w:val="0000FF"/>
                <w:szCs w:val="18"/>
              </w:rPr>
              <w:br/>
              <w:t>31 Oct 2021</w:t>
            </w:r>
          </w:p>
        </w:tc>
        <w:tc>
          <w:tcPr>
            <w:tcW w:w="992" w:type="dxa"/>
            <w:tcBorders>
              <w:top w:val="single" w:sz="18" w:space="0" w:color="auto"/>
              <w:bottom w:val="single" w:sz="18" w:space="0" w:color="auto"/>
            </w:tcBorders>
            <w:shd w:val="clear" w:color="auto" w:fill="D9D9D9" w:themeFill="background1" w:themeFillShade="D9"/>
            <w:vAlign w:val="center"/>
          </w:tcPr>
          <w:p w14:paraId="2CA56031" w14:textId="77777777" w:rsidR="00CF3449" w:rsidRPr="00CF3449" w:rsidRDefault="00CF3449" w:rsidP="00B16C6E">
            <w:pPr>
              <w:pStyle w:val="TableHeading"/>
              <w:jc w:val="center"/>
              <w:rPr>
                <w:color w:val="7030A0"/>
                <w:szCs w:val="18"/>
              </w:rPr>
            </w:pPr>
            <w:r w:rsidRPr="00693A57">
              <w:rPr>
                <w:color w:val="0000FF"/>
                <w:szCs w:val="18"/>
              </w:rPr>
              <w:t xml:space="preserve">1 Nov 2021 </w:t>
            </w:r>
            <w:r w:rsidRPr="00693A57">
              <w:rPr>
                <w:color w:val="0000FF"/>
                <w:szCs w:val="18"/>
              </w:rPr>
              <w:br/>
              <w:t>to</w:t>
            </w:r>
            <w:r w:rsidRPr="00693A57">
              <w:rPr>
                <w:color w:val="0000FF"/>
                <w:szCs w:val="18"/>
              </w:rPr>
              <w:br/>
              <w:t>31 Jan 2022</w:t>
            </w:r>
          </w:p>
        </w:tc>
        <w:tc>
          <w:tcPr>
            <w:tcW w:w="993" w:type="dxa"/>
            <w:tcBorders>
              <w:top w:val="single" w:sz="18" w:space="0" w:color="auto"/>
              <w:bottom w:val="single" w:sz="18" w:space="0" w:color="auto"/>
            </w:tcBorders>
            <w:vAlign w:val="center"/>
          </w:tcPr>
          <w:p w14:paraId="5F680DBE" w14:textId="77777777" w:rsidR="00CF3449" w:rsidRPr="00693A57" w:rsidRDefault="00CF3449" w:rsidP="00B16C6E">
            <w:pPr>
              <w:pStyle w:val="TableHeading"/>
              <w:jc w:val="center"/>
              <w:rPr>
                <w:color w:val="0000FF"/>
                <w:szCs w:val="18"/>
              </w:rPr>
            </w:pPr>
            <w:r w:rsidRPr="00693A57">
              <w:rPr>
                <w:color w:val="0000FF"/>
                <w:szCs w:val="18"/>
              </w:rPr>
              <w:t xml:space="preserve">1 Feb 2022 </w:t>
            </w:r>
            <w:r w:rsidRPr="00693A57">
              <w:rPr>
                <w:color w:val="0000FF"/>
                <w:szCs w:val="18"/>
              </w:rPr>
              <w:br/>
              <w:t>to</w:t>
            </w:r>
          </w:p>
          <w:p w14:paraId="35E418FA" w14:textId="77777777" w:rsidR="00CF3449" w:rsidRPr="00693A57" w:rsidRDefault="00CF3449" w:rsidP="00B16C6E">
            <w:pPr>
              <w:pStyle w:val="TableHeading"/>
              <w:jc w:val="center"/>
              <w:rPr>
                <w:color w:val="0000FF"/>
                <w:szCs w:val="18"/>
              </w:rPr>
            </w:pPr>
            <w:r w:rsidRPr="00693A57">
              <w:rPr>
                <w:color w:val="0000FF"/>
                <w:szCs w:val="18"/>
              </w:rPr>
              <w:t>31 Mar</w:t>
            </w:r>
          </w:p>
          <w:p w14:paraId="0A9EF854" w14:textId="77777777" w:rsidR="00CF3449" w:rsidRPr="00CF3449" w:rsidRDefault="00CF3449" w:rsidP="00B16C6E">
            <w:pPr>
              <w:pStyle w:val="TableHeading"/>
              <w:jc w:val="center"/>
              <w:rPr>
                <w:color w:val="7030A0"/>
                <w:szCs w:val="18"/>
              </w:rPr>
            </w:pPr>
            <w:r w:rsidRPr="00693A57">
              <w:rPr>
                <w:color w:val="0000FF"/>
                <w:szCs w:val="18"/>
              </w:rPr>
              <w:t xml:space="preserve">2022 </w:t>
            </w:r>
          </w:p>
        </w:tc>
        <w:tc>
          <w:tcPr>
            <w:tcW w:w="850" w:type="dxa"/>
            <w:tcBorders>
              <w:top w:val="single" w:sz="18" w:space="0" w:color="auto"/>
              <w:bottom w:val="single" w:sz="18" w:space="0" w:color="auto"/>
            </w:tcBorders>
          </w:tcPr>
          <w:p w14:paraId="0FA96943" w14:textId="77777777" w:rsidR="00CF3449" w:rsidRPr="00693A57" w:rsidRDefault="00CF3449" w:rsidP="00B16C6E">
            <w:pPr>
              <w:pStyle w:val="TableHeading"/>
              <w:jc w:val="center"/>
              <w:rPr>
                <w:color w:val="0000FF"/>
                <w:szCs w:val="18"/>
              </w:rPr>
            </w:pPr>
          </w:p>
          <w:p w14:paraId="7137F266" w14:textId="77777777" w:rsidR="00CF3449" w:rsidRPr="00693A57" w:rsidRDefault="00CF3449" w:rsidP="00B16C6E">
            <w:pPr>
              <w:pStyle w:val="TableHeading"/>
              <w:jc w:val="center"/>
              <w:rPr>
                <w:color w:val="0000FF"/>
                <w:szCs w:val="18"/>
              </w:rPr>
            </w:pPr>
            <w:r w:rsidRPr="00693A57">
              <w:rPr>
                <w:color w:val="0000FF"/>
                <w:szCs w:val="18"/>
              </w:rPr>
              <w:t>1 Apr 2022</w:t>
            </w:r>
          </w:p>
          <w:p w14:paraId="0A5B22B4" w14:textId="77777777" w:rsidR="00CF3449" w:rsidRPr="00693A57" w:rsidRDefault="00CF3449" w:rsidP="00B16C6E">
            <w:pPr>
              <w:pStyle w:val="TableHeading"/>
              <w:jc w:val="center"/>
              <w:rPr>
                <w:color w:val="0000FF"/>
                <w:szCs w:val="18"/>
              </w:rPr>
            </w:pPr>
            <w:r w:rsidRPr="00693A57">
              <w:rPr>
                <w:color w:val="0000FF"/>
                <w:szCs w:val="18"/>
              </w:rPr>
              <w:t xml:space="preserve"> onward</w:t>
            </w:r>
          </w:p>
        </w:tc>
      </w:tr>
      <w:tr w:rsidR="00CF3449" w:rsidRPr="00CF3449" w14:paraId="234740F0" w14:textId="77777777" w:rsidTr="00B16C6E">
        <w:tc>
          <w:tcPr>
            <w:tcW w:w="1139" w:type="dxa"/>
            <w:vMerge w:val="restart"/>
            <w:tcBorders>
              <w:top w:val="single" w:sz="18" w:space="0" w:color="auto"/>
            </w:tcBorders>
            <w:vAlign w:val="center"/>
          </w:tcPr>
          <w:p w14:paraId="21C1DB9A" w14:textId="77777777" w:rsidR="00CF3449" w:rsidRPr="00CF3449" w:rsidRDefault="00CF3449" w:rsidP="00B16C6E">
            <w:pPr>
              <w:pStyle w:val="Tabletext"/>
              <w:rPr>
                <w:color w:val="7030A0"/>
                <w:szCs w:val="18"/>
              </w:rPr>
            </w:pPr>
            <w:r w:rsidRPr="00693A57">
              <w:rPr>
                <w:color w:val="0000FF"/>
                <w:szCs w:val="18"/>
              </w:rPr>
              <w:t>Initial data holders (NAB, CBA, ANZ, Westpac branded products)</w:t>
            </w:r>
          </w:p>
        </w:tc>
        <w:tc>
          <w:tcPr>
            <w:tcW w:w="1134" w:type="dxa"/>
            <w:tcBorders>
              <w:top w:val="single" w:sz="18" w:space="0" w:color="auto"/>
              <w:bottom w:val="single" w:sz="2" w:space="0" w:color="auto"/>
            </w:tcBorders>
            <w:vAlign w:val="center"/>
          </w:tcPr>
          <w:p w14:paraId="251262DC" w14:textId="77777777" w:rsidR="00CF3449" w:rsidRPr="00CF3449" w:rsidRDefault="00CF3449" w:rsidP="00B16C6E">
            <w:pPr>
              <w:pStyle w:val="Tabletext"/>
              <w:rPr>
                <w:color w:val="7030A0"/>
                <w:szCs w:val="18"/>
              </w:rPr>
            </w:pPr>
            <w:r w:rsidRPr="00693A57">
              <w:rPr>
                <w:color w:val="0000FF"/>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14:paraId="4D676970"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16" w:type="dxa"/>
            <w:tcBorders>
              <w:top w:val="single" w:sz="18" w:space="0" w:color="auto"/>
              <w:bottom w:val="single" w:sz="2" w:space="0" w:color="auto"/>
            </w:tcBorders>
          </w:tcPr>
          <w:p w14:paraId="1344CD86"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518D4D5E"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58" w:type="dxa"/>
            <w:tcBorders>
              <w:top w:val="single" w:sz="18" w:space="0" w:color="auto"/>
              <w:bottom w:val="single" w:sz="2" w:space="0" w:color="auto"/>
            </w:tcBorders>
          </w:tcPr>
          <w:p w14:paraId="34DDF820"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2" w:type="dxa"/>
            <w:tcBorders>
              <w:top w:val="single" w:sz="18" w:space="0" w:color="auto"/>
              <w:bottom w:val="single" w:sz="2" w:space="0" w:color="auto"/>
            </w:tcBorders>
            <w:shd w:val="clear" w:color="auto" w:fill="D9D9D9" w:themeFill="background1" w:themeFillShade="D9"/>
          </w:tcPr>
          <w:p w14:paraId="4284A975"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3" w:type="dxa"/>
            <w:tcBorders>
              <w:top w:val="single" w:sz="18" w:space="0" w:color="auto"/>
              <w:bottom w:val="single" w:sz="2" w:space="0" w:color="auto"/>
            </w:tcBorders>
          </w:tcPr>
          <w:p w14:paraId="7665D26E"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850" w:type="dxa"/>
            <w:tcBorders>
              <w:top w:val="single" w:sz="18" w:space="0" w:color="auto"/>
              <w:bottom w:val="single" w:sz="2" w:space="0" w:color="auto"/>
            </w:tcBorders>
          </w:tcPr>
          <w:p w14:paraId="3B46B980" w14:textId="77777777" w:rsidR="00CF3449" w:rsidRPr="00693A57" w:rsidRDefault="00CF3449" w:rsidP="00B16C6E">
            <w:pPr>
              <w:pStyle w:val="Tabletext"/>
              <w:rPr>
                <w:color w:val="0000FF"/>
                <w:szCs w:val="18"/>
              </w:rPr>
            </w:pPr>
            <w:r w:rsidRPr="00693A57">
              <w:rPr>
                <w:color w:val="0000FF"/>
                <w:szCs w:val="18"/>
              </w:rPr>
              <w:t xml:space="preserve">All product phases </w:t>
            </w:r>
          </w:p>
        </w:tc>
      </w:tr>
      <w:tr w:rsidR="00CF3449" w:rsidRPr="00CF3449" w14:paraId="356D65D0" w14:textId="77777777" w:rsidTr="00B16C6E">
        <w:tc>
          <w:tcPr>
            <w:tcW w:w="1139" w:type="dxa"/>
            <w:vMerge/>
            <w:vAlign w:val="center"/>
          </w:tcPr>
          <w:p w14:paraId="7F92FE11" w14:textId="77777777" w:rsidR="00CF3449" w:rsidRPr="00CF3449" w:rsidRDefault="00CF3449" w:rsidP="00B16C6E">
            <w:pPr>
              <w:pStyle w:val="Tabletext"/>
              <w:rPr>
                <w:color w:val="7030A0"/>
                <w:szCs w:val="18"/>
              </w:rPr>
            </w:pPr>
          </w:p>
        </w:tc>
        <w:tc>
          <w:tcPr>
            <w:tcW w:w="1134" w:type="dxa"/>
            <w:tcBorders>
              <w:top w:val="single" w:sz="2" w:space="0" w:color="auto"/>
              <w:bottom w:val="single" w:sz="2" w:space="0" w:color="auto"/>
            </w:tcBorders>
            <w:vAlign w:val="center"/>
          </w:tcPr>
          <w:p w14:paraId="4529CBEF" w14:textId="77777777" w:rsidR="00CF3449" w:rsidRPr="00CF3449" w:rsidRDefault="00CF3449" w:rsidP="00B16C6E">
            <w:pPr>
              <w:pStyle w:val="Tabletext"/>
              <w:rPr>
                <w:color w:val="7030A0"/>
                <w:szCs w:val="18"/>
              </w:rPr>
            </w:pPr>
            <w:r w:rsidRPr="00693A57">
              <w:rPr>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6F81701B"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vAlign w:val="center"/>
          </w:tcPr>
          <w:p w14:paraId="53B6A54F"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20F097F3" w14:textId="77777777" w:rsidR="00CF3449" w:rsidRPr="00CF3449" w:rsidRDefault="00CF3449" w:rsidP="00B16C6E">
            <w:pPr>
              <w:pStyle w:val="Tabletext"/>
              <w:rPr>
                <w:color w:val="7030A0"/>
                <w:szCs w:val="18"/>
              </w:rPr>
            </w:pPr>
            <w:r w:rsidRPr="00693A57">
              <w:rPr>
                <w:color w:val="0000FF"/>
                <w:szCs w:val="18"/>
              </w:rPr>
              <w:t>-</w:t>
            </w:r>
          </w:p>
        </w:tc>
        <w:tc>
          <w:tcPr>
            <w:tcW w:w="1058" w:type="dxa"/>
            <w:tcBorders>
              <w:top w:val="single" w:sz="2" w:space="0" w:color="auto"/>
              <w:bottom w:val="single" w:sz="2" w:space="0" w:color="auto"/>
            </w:tcBorders>
            <w:vAlign w:val="center"/>
          </w:tcPr>
          <w:p w14:paraId="49020D5C" w14:textId="77777777" w:rsidR="00CF3449" w:rsidRPr="00CF3449" w:rsidRDefault="00CF3449" w:rsidP="00B16C6E">
            <w:pPr>
              <w:pStyle w:val="Tabletext"/>
              <w:rPr>
                <w:color w:val="7030A0"/>
                <w:szCs w:val="18"/>
              </w:rPr>
            </w:pPr>
            <w:r w:rsidRPr="00693A57">
              <w:rPr>
                <w:color w:val="0000FF"/>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6EC75238" w14:textId="77777777" w:rsidR="00CF3449" w:rsidRPr="00CF3449" w:rsidRDefault="00CF3449" w:rsidP="00B16C6E">
            <w:pPr>
              <w:pStyle w:val="Tabletext"/>
              <w:rPr>
                <w:color w:val="7030A0"/>
                <w:szCs w:val="18"/>
              </w:rPr>
            </w:pPr>
            <w:r w:rsidRPr="00693A57">
              <w:rPr>
                <w:color w:val="0000FF"/>
                <w:szCs w:val="18"/>
              </w:rPr>
              <w:t>-</w:t>
            </w:r>
          </w:p>
        </w:tc>
        <w:tc>
          <w:tcPr>
            <w:tcW w:w="993" w:type="dxa"/>
            <w:tcBorders>
              <w:top w:val="single" w:sz="2" w:space="0" w:color="auto"/>
              <w:bottom w:val="single" w:sz="2" w:space="0" w:color="auto"/>
            </w:tcBorders>
            <w:vAlign w:val="center"/>
          </w:tcPr>
          <w:p w14:paraId="6FAA1957" w14:textId="77777777" w:rsidR="00CF3449" w:rsidRPr="00CF3449" w:rsidRDefault="00CF3449" w:rsidP="00B16C6E">
            <w:pPr>
              <w:pStyle w:val="Tabletext"/>
              <w:rPr>
                <w:color w:val="7030A0"/>
                <w:szCs w:val="18"/>
              </w:rPr>
            </w:pPr>
            <w:r w:rsidRPr="00693A57">
              <w:rPr>
                <w:color w:val="0000FF"/>
                <w:szCs w:val="18"/>
              </w:rPr>
              <w:t>-</w:t>
            </w:r>
          </w:p>
        </w:tc>
        <w:tc>
          <w:tcPr>
            <w:tcW w:w="850" w:type="dxa"/>
            <w:tcBorders>
              <w:top w:val="single" w:sz="2" w:space="0" w:color="auto"/>
              <w:bottom w:val="single" w:sz="2" w:space="0" w:color="auto"/>
            </w:tcBorders>
            <w:vAlign w:val="center"/>
          </w:tcPr>
          <w:p w14:paraId="6B9B0721" w14:textId="77777777" w:rsidR="00CF3449" w:rsidRPr="00693A57" w:rsidRDefault="00CF3449" w:rsidP="00B16C6E">
            <w:pPr>
              <w:pStyle w:val="Tabletext"/>
              <w:rPr>
                <w:color w:val="0000FF"/>
                <w:szCs w:val="18"/>
              </w:rPr>
            </w:pPr>
            <w:r w:rsidRPr="00693A57">
              <w:rPr>
                <w:color w:val="0000FF"/>
                <w:szCs w:val="18"/>
              </w:rPr>
              <w:t>-</w:t>
            </w:r>
          </w:p>
        </w:tc>
      </w:tr>
      <w:tr w:rsidR="00CF3449" w:rsidRPr="00CF3449" w14:paraId="6DC07991" w14:textId="77777777" w:rsidTr="00B16C6E">
        <w:tc>
          <w:tcPr>
            <w:tcW w:w="1139" w:type="dxa"/>
            <w:vMerge/>
            <w:tcBorders>
              <w:bottom w:val="single" w:sz="12" w:space="0" w:color="auto"/>
            </w:tcBorders>
            <w:vAlign w:val="center"/>
          </w:tcPr>
          <w:p w14:paraId="40E7BAE6" w14:textId="77777777" w:rsidR="00CF3449" w:rsidRPr="00CF3449" w:rsidRDefault="00CF3449" w:rsidP="00B16C6E">
            <w:pPr>
              <w:pStyle w:val="Tabletext"/>
              <w:rPr>
                <w:color w:val="7030A0"/>
                <w:szCs w:val="18"/>
              </w:rPr>
            </w:pPr>
          </w:p>
        </w:tc>
        <w:tc>
          <w:tcPr>
            <w:tcW w:w="1134" w:type="dxa"/>
            <w:tcBorders>
              <w:top w:val="single" w:sz="2" w:space="0" w:color="auto"/>
              <w:bottom w:val="single" w:sz="12" w:space="0" w:color="auto"/>
            </w:tcBorders>
            <w:vAlign w:val="center"/>
          </w:tcPr>
          <w:p w14:paraId="14F9D755" w14:textId="77777777" w:rsidR="00CF3449" w:rsidRPr="00CF3449" w:rsidRDefault="00CF3449" w:rsidP="00B16C6E">
            <w:pPr>
              <w:pStyle w:val="Tabletext"/>
              <w:rPr>
                <w:color w:val="7030A0"/>
                <w:szCs w:val="18"/>
              </w:rPr>
            </w:pPr>
            <w:r w:rsidRPr="00693A57">
              <w:rPr>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4FC6A02F" w14:textId="77777777" w:rsidR="00CF3449" w:rsidRPr="00CF3449" w:rsidRDefault="00CF3449" w:rsidP="00B16C6E">
            <w:pPr>
              <w:pStyle w:val="Tabletext"/>
              <w:rPr>
                <w:color w:val="7030A0"/>
                <w:szCs w:val="18"/>
              </w:rPr>
            </w:pPr>
            <w:r w:rsidRPr="00693A57">
              <w:rPr>
                <w:color w:val="0000FF"/>
                <w:szCs w:val="18"/>
              </w:rPr>
              <w:t>Phase 1</w:t>
            </w:r>
            <w:r w:rsidRPr="00693A57">
              <w:rPr>
                <w:color w:val="0000FF"/>
                <w:szCs w:val="18"/>
              </w:rPr>
              <w:br/>
              <w:t xml:space="preserve">Phase 2 </w:t>
            </w:r>
          </w:p>
        </w:tc>
        <w:tc>
          <w:tcPr>
            <w:tcW w:w="1016" w:type="dxa"/>
            <w:tcBorders>
              <w:top w:val="single" w:sz="2" w:space="0" w:color="auto"/>
              <w:bottom w:val="single" w:sz="12" w:space="0" w:color="auto"/>
            </w:tcBorders>
          </w:tcPr>
          <w:p w14:paraId="11FC0FC8" w14:textId="77777777" w:rsidR="00CF3449" w:rsidRPr="00CF3449" w:rsidRDefault="00CF3449" w:rsidP="00B16C6E">
            <w:pPr>
              <w:pStyle w:val="Tabletext"/>
              <w:rPr>
                <w:color w:val="7030A0"/>
                <w:szCs w:val="18"/>
              </w:rPr>
            </w:pPr>
            <w:r w:rsidRPr="00693A57">
              <w:rPr>
                <w:color w:val="0000FF"/>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0DF623EE"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58" w:type="dxa"/>
            <w:tcBorders>
              <w:top w:val="single" w:sz="2" w:space="0" w:color="auto"/>
              <w:bottom w:val="single" w:sz="12" w:space="0" w:color="auto"/>
            </w:tcBorders>
          </w:tcPr>
          <w:p w14:paraId="36CD24BF"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2" w:type="dxa"/>
            <w:tcBorders>
              <w:top w:val="single" w:sz="2" w:space="0" w:color="auto"/>
              <w:bottom w:val="single" w:sz="12" w:space="0" w:color="auto"/>
            </w:tcBorders>
            <w:shd w:val="clear" w:color="auto" w:fill="D9D9D9" w:themeFill="background1" w:themeFillShade="D9"/>
          </w:tcPr>
          <w:p w14:paraId="77079192"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3" w:type="dxa"/>
            <w:tcBorders>
              <w:top w:val="single" w:sz="2" w:space="0" w:color="auto"/>
              <w:bottom w:val="single" w:sz="12" w:space="0" w:color="auto"/>
            </w:tcBorders>
          </w:tcPr>
          <w:p w14:paraId="7868743D"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850" w:type="dxa"/>
            <w:tcBorders>
              <w:top w:val="single" w:sz="2" w:space="0" w:color="auto"/>
              <w:bottom w:val="single" w:sz="12" w:space="0" w:color="auto"/>
            </w:tcBorders>
          </w:tcPr>
          <w:p w14:paraId="5A403F12" w14:textId="77777777" w:rsidR="00CF3449" w:rsidRPr="00693A57" w:rsidRDefault="00CF3449" w:rsidP="00B16C6E">
            <w:pPr>
              <w:pStyle w:val="Tabletext"/>
              <w:rPr>
                <w:color w:val="0000FF"/>
                <w:szCs w:val="18"/>
              </w:rPr>
            </w:pPr>
            <w:r w:rsidRPr="00693A57">
              <w:rPr>
                <w:color w:val="0000FF"/>
                <w:szCs w:val="18"/>
              </w:rPr>
              <w:t xml:space="preserve">All product phases </w:t>
            </w:r>
          </w:p>
        </w:tc>
      </w:tr>
      <w:tr w:rsidR="00CF3449" w:rsidRPr="00CF3449" w14:paraId="4F4963F5" w14:textId="77777777" w:rsidTr="00B16C6E">
        <w:tc>
          <w:tcPr>
            <w:tcW w:w="1139" w:type="dxa"/>
            <w:vMerge w:val="restart"/>
            <w:tcBorders>
              <w:top w:val="single" w:sz="12" w:space="0" w:color="auto"/>
            </w:tcBorders>
            <w:vAlign w:val="center"/>
          </w:tcPr>
          <w:p w14:paraId="0C049C53" w14:textId="77777777" w:rsidR="00CF3449" w:rsidRPr="00CF3449" w:rsidRDefault="00CF3449" w:rsidP="00B16C6E">
            <w:pPr>
              <w:pStyle w:val="Tabletext"/>
              <w:rPr>
                <w:color w:val="7030A0"/>
                <w:szCs w:val="18"/>
              </w:rPr>
            </w:pPr>
            <w:r w:rsidRPr="00693A57">
              <w:rPr>
                <w:color w:val="0000FF"/>
                <w:szCs w:val="18"/>
              </w:rPr>
              <w:t>Any other relevant ADI and initial data holders for non-primary brands</w:t>
            </w:r>
          </w:p>
        </w:tc>
        <w:tc>
          <w:tcPr>
            <w:tcW w:w="1134" w:type="dxa"/>
            <w:tcBorders>
              <w:top w:val="single" w:sz="12" w:space="0" w:color="auto"/>
              <w:bottom w:val="single" w:sz="2" w:space="0" w:color="auto"/>
            </w:tcBorders>
            <w:vAlign w:val="center"/>
          </w:tcPr>
          <w:p w14:paraId="27EDDE51" w14:textId="77777777" w:rsidR="00CF3449" w:rsidRPr="00CF3449" w:rsidRDefault="00CF3449" w:rsidP="00B16C6E">
            <w:pPr>
              <w:pStyle w:val="Tabletext"/>
              <w:rPr>
                <w:color w:val="7030A0"/>
                <w:szCs w:val="18"/>
              </w:rPr>
            </w:pPr>
            <w:r w:rsidRPr="00693A57">
              <w:rPr>
                <w:color w:val="0000FF"/>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6B768BCF" w14:textId="77777777" w:rsidR="00CF3449" w:rsidRPr="00CF3449" w:rsidRDefault="00CF3449" w:rsidP="00B16C6E">
            <w:pPr>
              <w:pStyle w:val="Tabletext"/>
              <w:rPr>
                <w:color w:val="7030A0"/>
                <w:szCs w:val="18"/>
              </w:rPr>
            </w:pPr>
            <w:r w:rsidRPr="00693A57">
              <w:rPr>
                <w:color w:val="0000FF"/>
                <w:szCs w:val="18"/>
              </w:rPr>
              <w:t>Phase 1</w:t>
            </w:r>
          </w:p>
        </w:tc>
        <w:tc>
          <w:tcPr>
            <w:tcW w:w="1016" w:type="dxa"/>
            <w:tcBorders>
              <w:top w:val="single" w:sz="12" w:space="0" w:color="auto"/>
              <w:bottom w:val="single" w:sz="2" w:space="0" w:color="auto"/>
            </w:tcBorders>
          </w:tcPr>
          <w:p w14:paraId="3DDE81DB" w14:textId="77777777" w:rsidR="00CF3449" w:rsidRPr="00CF3449" w:rsidRDefault="00CF3449" w:rsidP="00B16C6E">
            <w:pPr>
              <w:pStyle w:val="Tabletext"/>
              <w:rPr>
                <w:color w:val="7030A0"/>
                <w:szCs w:val="18"/>
              </w:rPr>
            </w:pPr>
            <w:r w:rsidRPr="00693A57">
              <w:rPr>
                <w:color w:val="0000FF"/>
                <w:szCs w:val="18"/>
              </w:rPr>
              <w:t>Phase 1</w:t>
            </w:r>
            <w:r w:rsidRPr="00693A57">
              <w:rPr>
                <w:color w:val="0000FF"/>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1C287990" w14:textId="77777777" w:rsidR="00CF3449" w:rsidRPr="00CF3449" w:rsidRDefault="00CF3449" w:rsidP="00B16C6E">
            <w:pPr>
              <w:pStyle w:val="Tabletext"/>
              <w:rPr>
                <w:color w:val="7030A0"/>
                <w:szCs w:val="18"/>
              </w:rPr>
            </w:pPr>
            <w:r w:rsidRPr="00693A57">
              <w:rPr>
                <w:color w:val="0000FF"/>
                <w:szCs w:val="18"/>
              </w:rPr>
              <w:t>Phase 1</w:t>
            </w:r>
            <w:r w:rsidRPr="00693A57">
              <w:rPr>
                <w:color w:val="0000FF"/>
                <w:szCs w:val="18"/>
              </w:rPr>
              <w:br/>
              <w:t xml:space="preserve">Phase 2 </w:t>
            </w:r>
          </w:p>
        </w:tc>
        <w:tc>
          <w:tcPr>
            <w:tcW w:w="1058" w:type="dxa"/>
            <w:tcBorders>
              <w:top w:val="single" w:sz="12" w:space="0" w:color="auto"/>
              <w:bottom w:val="single" w:sz="2" w:space="0" w:color="auto"/>
            </w:tcBorders>
          </w:tcPr>
          <w:p w14:paraId="57CC5C55" w14:textId="77777777" w:rsidR="00CF3449" w:rsidRPr="00CF3449" w:rsidRDefault="00CF3449" w:rsidP="00B16C6E">
            <w:pPr>
              <w:pStyle w:val="Tabletext"/>
              <w:rPr>
                <w:color w:val="7030A0"/>
                <w:szCs w:val="18"/>
              </w:rPr>
            </w:pPr>
            <w:r w:rsidRPr="00693A57">
              <w:rPr>
                <w:color w:val="0000FF"/>
                <w:szCs w:val="18"/>
              </w:rPr>
              <w:t>All product phases</w:t>
            </w:r>
          </w:p>
        </w:tc>
        <w:tc>
          <w:tcPr>
            <w:tcW w:w="992" w:type="dxa"/>
            <w:tcBorders>
              <w:top w:val="single" w:sz="12" w:space="0" w:color="auto"/>
              <w:bottom w:val="single" w:sz="2" w:space="0" w:color="auto"/>
            </w:tcBorders>
            <w:shd w:val="clear" w:color="auto" w:fill="D9D9D9" w:themeFill="background1" w:themeFillShade="D9"/>
          </w:tcPr>
          <w:p w14:paraId="55FF0C9C"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3" w:type="dxa"/>
            <w:tcBorders>
              <w:top w:val="single" w:sz="12" w:space="0" w:color="auto"/>
              <w:bottom w:val="single" w:sz="2" w:space="0" w:color="auto"/>
            </w:tcBorders>
          </w:tcPr>
          <w:p w14:paraId="34938D72"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850" w:type="dxa"/>
            <w:tcBorders>
              <w:top w:val="single" w:sz="12" w:space="0" w:color="auto"/>
              <w:bottom w:val="single" w:sz="2" w:space="0" w:color="auto"/>
            </w:tcBorders>
          </w:tcPr>
          <w:p w14:paraId="1BA620EA" w14:textId="77777777" w:rsidR="00CF3449" w:rsidRPr="00693A57" w:rsidRDefault="00CF3449" w:rsidP="00B16C6E">
            <w:pPr>
              <w:pStyle w:val="Tabletext"/>
              <w:rPr>
                <w:color w:val="0000FF"/>
                <w:szCs w:val="18"/>
              </w:rPr>
            </w:pPr>
            <w:r w:rsidRPr="00693A57">
              <w:rPr>
                <w:color w:val="0000FF"/>
                <w:szCs w:val="18"/>
              </w:rPr>
              <w:t xml:space="preserve">All product phases </w:t>
            </w:r>
          </w:p>
        </w:tc>
      </w:tr>
      <w:tr w:rsidR="00CF3449" w:rsidRPr="00CF3449" w14:paraId="4DF0670F" w14:textId="77777777" w:rsidTr="00B16C6E">
        <w:tc>
          <w:tcPr>
            <w:tcW w:w="1139" w:type="dxa"/>
            <w:vMerge/>
            <w:vAlign w:val="center"/>
          </w:tcPr>
          <w:p w14:paraId="4D8C9BA0" w14:textId="77777777" w:rsidR="00CF3449" w:rsidRPr="00CF3449" w:rsidRDefault="00CF3449" w:rsidP="00B16C6E">
            <w:pPr>
              <w:pStyle w:val="Tabletext"/>
              <w:rPr>
                <w:color w:val="7030A0"/>
                <w:szCs w:val="18"/>
              </w:rPr>
            </w:pPr>
          </w:p>
        </w:tc>
        <w:tc>
          <w:tcPr>
            <w:tcW w:w="1134" w:type="dxa"/>
            <w:tcBorders>
              <w:top w:val="single" w:sz="2" w:space="0" w:color="auto"/>
              <w:bottom w:val="single" w:sz="2" w:space="0" w:color="auto"/>
            </w:tcBorders>
            <w:vAlign w:val="center"/>
          </w:tcPr>
          <w:p w14:paraId="263B1900" w14:textId="77777777" w:rsidR="00CF3449" w:rsidRPr="00CF3449" w:rsidRDefault="00CF3449" w:rsidP="00B16C6E">
            <w:pPr>
              <w:pStyle w:val="Tabletext"/>
              <w:rPr>
                <w:color w:val="7030A0"/>
                <w:szCs w:val="18"/>
              </w:rPr>
            </w:pPr>
            <w:r w:rsidRPr="00693A57">
              <w:rPr>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43AE09A"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vAlign w:val="center"/>
          </w:tcPr>
          <w:p w14:paraId="21C7585A"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77953774" w14:textId="77777777" w:rsidR="00CF3449" w:rsidRPr="00CF3449" w:rsidRDefault="00CF3449" w:rsidP="00B16C6E">
            <w:pPr>
              <w:pStyle w:val="Tabletext"/>
              <w:rPr>
                <w:color w:val="7030A0"/>
                <w:szCs w:val="18"/>
              </w:rPr>
            </w:pPr>
            <w:r w:rsidRPr="00693A57">
              <w:rPr>
                <w:color w:val="0000FF"/>
                <w:szCs w:val="18"/>
              </w:rPr>
              <w:t>-</w:t>
            </w:r>
          </w:p>
        </w:tc>
        <w:tc>
          <w:tcPr>
            <w:tcW w:w="1058" w:type="dxa"/>
            <w:tcBorders>
              <w:top w:val="single" w:sz="2" w:space="0" w:color="auto"/>
              <w:bottom w:val="single" w:sz="2" w:space="0" w:color="auto"/>
            </w:tcBorders>
            <w:vAlign w:val="center"/>
          </w:tcPr>
          <w:p w14:paraId="327D5746" w14:textId="77777777" w:rsidR="00CF3449" w:rsidRPr="00CF3449" w:rsidRDefault="00CF3449" w:rsidP="00B16C6E">
            <w:pPr>
              <w:pStyle w:val="Tabletext"/>
              <w:rPr>
                <w:color w:val="7030A0"/>
                <w:szCs w:val="18"/>
              </w:rPr>
            </w:pPr>
            <w:r w:rsidRPr="00693A57">
              <w:rPr>
                <w:color w:val="0000FF"/>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0D89F545" w14:textId="77777777" w:rsidR="00CF3449" w:rsidRPr="00CF3449" w:rsidRDefault="00CF3449" w:rsidP="00B16C6E">
            <w:pPr>
              <w:pStyle w:val="Tabletext"/>
              <w:rPr>
                <w:color w:val="7030A0"/>
                <w:szCs w:val="18"/>
              </w:rPr>
            </w:pPr>
            <w:r w:rsidRPr="00693A57">
              <w:rPr>
                <w:color w:val="0000FF"/>
                <w:szCs w:val="18"/>
              </w:rPr>
              <w:t>-</w:t>
            </w:r>
          </w:p>
        </w:tc>
        <w:tc>
          <w:tcPr>
            <w:tcW w:w="993" w:type="dxa"/>
            <w:tcBorders>
              <w:top w:val="single" w:sz="2" w:space="0" w:color="auto"/>
              <w:bottom w:val="single" w:sz="2" w:space="0" w:color="auto"/>
            </w:tcBorders>
            <w:vAlign w:val="center"/>
          </w:tcPr>
          <w:p w14:paraId="00930D92" w14:textId="77777777" w:rsidR="00CF3449" w:rsidRPr="00CF3449" w:rsidRDefault="00CF3449" w:rsidP="00B16C6E">
            <w:pPr>
              <w:pStyle w:val="Tabletext"/>
              <w:rPr>
                <w:color w:val="7030A0"/>
                <w:szCs w:val="18"/>
              </w:rPr>
            </w:pPr>
            <w:r w:rsidRPr="00693A57">
              <w:rPr>
                <w:color w:val="0000FF"/>
                <w:szCs w:val="18"/>
              </w:rPr>
              <w:t>-</w:t>
            </w:r>
          </w:p>
        </w:tc>
        <w:tc>
          <w:tcPr>
            <w:tcW w:w="850" w:type="dxa"/>
            <w:tcBorders>
              <w:top w:val="single" w:sz="2" w:space="0" w:color="auto"/>
              <w:bottom w:val="single" w:sz="2" w:space="0" w:color="auto"/>
            </w:tcBorders>
            <w:vAlign w:val="center"/>
          </w:tcPr>
          <w:p w14:paraId="247C41AE" w14:textId="77777777" w:rsidR="00CF3449" w:rsidRPr="00693A57" w:rsidRDefault="00CF3449" w:rsidP="00B16C6E">
            <w:pPr>
              <w:pStyle w:val="Tabletext"/>
              <w:rPr>
                <w:color w:val="0000FF"/>
                <w:szCs w:val="18"/>
              </w:rPr>
            </w:pPr>
            <w:r w:rsidRPr="00693A57">
              <w:rPr>
                <w:color w:val="0000FF"/>
                <w:szCs w:val="18"/>
              </w:rPr>
              <w:t>-</w:t>
            </w:r>
          </w:p>
        </w:tc>
      </w:tr>
      <w:tr w:rsidR="00CF3449" w:rsidRPr="00CF3449" w14:paraId="38304A7C" w14:textId="77777777" w:rsidTr="00B16C6E">
        <w:tc>
          <w:tcPr>
            <w:tcW w:w="1139" w:type="dxa"/>
            <w:vMerge/>
            <w:tcBorders>
              <w:bottom w:val="single" w:sz="12" w:space="0" w:color="auto"/>
            </w:tcBorders>
            <w:vAlign w:val="center"/>
          </w:tcPr>
          <w:p w14:paraId="1AAE8E4B" w14:textId="77777777" w:rsidR="00CF3449" w:rsidRPr="00CF3449" w:rsidRDefault="00CF3449" w:rsidP="00B16C6E">
            <w:pPr>
              <w:pStyle w:val="Tabletext"/>
              <w:rPr>
                <w:color w:val="7030A0"/>
                <w:szCs w:val="18"/>
              </w:rPr>
            </w:pPr>
          </w:p>
        </w:tc>
        <w:tc>
          <w:tcPr>
            <w:tcW w:w="1134" w:type="dxa"/>
            <w:tcBorders>
              <w:top w:val="single" w:sz="2" w:space="0" w:color="auto"/>
              <w:bottom w:val="single" w:sz="12" w:space="0" w:color="auto"/>
            </w:tcBorders>
            <w:vAlign w:val="center"/>
          </w:tcPr>
          <w:p w14:paraId="35959B54" w14:textId="77777777" w:rsidR="00CF3449" w:rsidRPr="00CF3449" w:rsidRDefault="00CF3449" w:rsidP="00B16C6E">
            <w:pPr>
              <w:pStyle w:val="Tabletext"/>
              <w:rPr>
                <w:color w:val="7030A0"/>
                <w:szCs w:val="18"/>
              </w:rPr>
            </w:pPr>
            <w:r w:rsidRPr="00693A57">
              <w:rPr>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4774B550"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12" w:space="0" w:color="auto"/>
            </w:tcBorders>
            <w:vAlign w:val="center"/>
          </w:tcPr>
          <w:p w14:paraId="635CA90F"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12" w:space="0" w:color="auto"/>
            </w:tcBorders>
            <w:shd w:val="clear" w:color="auto" w:fill="D9D9D9" w:themeFill="background1" w:themeFillShade="D9"/>
            <w:vAlign w:val="center"/>
          </w:tcPr>
          <w:p w14:paraId="74CE8CF9" w14:textId="77777777" w:rsidR="00CF3449" w:rsidRPr="00CF3449" w:rsidRDefault="00CF3449" w:rsidP="00B16C6E">
            <w:pPr>
              <w:pStyle w:val="Tabletext"/>
              <w:rPr>
                <w:color w:val="7030A0"/>
                <w:szCs w:val="18"/>
              </w:rPr>
            </w:pPr>
            <w:r w:rsidRPr="00693A57">
              <w:rPr>
                <w:color w:val="0000FF"/>
                <w:szCs w:val="18"/>
              </w:rPr>
              <w:t>-</w:t>
            </w:r>
          </w:p>
        </w:tc>
        <w:tc>
          <w:tcPr>
            <w:tcW w:w="1058" w:type="dxa"/>
            <w:tcBorders>
              <w:top w:val="single" w:sz="2" w:space="0" w:color="auto"/>
              <w:bottom w:val="single" w:sz="12" w:space="0" w:color="auto"/>
            </w:tcBorders>
          </w:tcPr>
          <w:p w14:paraId="33031535" w14:textId="77777777" w:rsidR="00CF3449" w:rsidRPr="00693A57" w:rsidRDefault="00CF3449" w:rsidP="00B16C6E">
            <w:pPr>
              <w:pStyle w:val="Tabletext"/>
              <w:rPr>
                <w:color w:val="0000FF"/>
                <w:szCs w:val="18"/>
              </w:rPr>
            </w:pPr>
            <w:r w:rsidRPr="00693A57">
              <w:rPr>
                <w:color w:val="0000FF"/>
                <w:szCs w:val="18"/>
              </w:rPr>
              <w:t>Phase 1 JAE</w:t>
            </w:r>
          </w:p>
          <w:p w14:paraId="185169B3" w14:textId="77777777" w:rsidR="00CF3449" w:rsidRPr="00CF3449" w:rsidRDefault="00CF3449" w:rsidP="00B16C6E">
            <w:pPr>
              <w:pStyle w:val="Tabletext"/>
              <w:rPr>
                <w:color w:val="7030A0"/>
                <w:szCs w:val="18"/>
              </w:rPr>
            </w:pPr>
            <w:r w:rsidRPr="00693A57">
              <w:rPr>
                <w:color w:val="0000FF"/>
                <w:szCs w:val="18"/>
              </w:rPr>
              <w:t xml:space="preserve">CODE  </w:t>
            </w:r>
          </w:p>
        </w:tc>
        <w:tc>
          <w:tcPr>
            <w:tcW w:w="992" w:type="dxa"/>
            <w:tcBorders>
              <w:top w:val="single" w:sz="2" w:space="0" w:color="auto"/>
              <w:bottom w:val="single" w:sz="12" w:space="0" w:color="auto"/>
            </w:tcBorders>
            <w:shd w:val="clear" w:color="auto" w:fill="D9D9D9" w:themeFill="background1" w:themeFillShade="D9"/>
          </w:tcPr>
          <w:p w14:paraId="0650AA88" w14:textId="77777777" w:rsidR="00CF3449" w:rsidRPr="00CF3449" w:rsidRDefault="00CF3449" w:rsidP="00B16C6E">
            <w:pPr>
              <w:pStyle w:val="Tabletext"/>
              <w:rPr>
                <w:color w:val="7030A0"/>
                <w:szCs w:val="18"/>
              </w:rPr>
            </w:pPr>
            <w:r w:rsidRPr="00693A57">
              <w:rPr>
                <w:color w:val="0000FF"/>
                <w:szCs w:val="18"/>
              </w:rPr>
              <w:t>Phase 1</w:t>
            </w:r>
            <w:r w:rsidRPr="00693A57">
              <w:rPr>
                <w:color w:val="0000FF"/>
                <w:szCs w:val="18"/>
              </w:rPr>
              <w:br/>
              <w:t>Phase 2</w:t>
            </w:r>
            <w:r w:rsidRPr="00693A57">
              <w:rPr>
                <w:color w:val="0000FF"/>
                <w:szCs w:val="18"/>
              </w:rPr>
              <w:br/>
              <w:t xml:space="preserve"> JAE</w:t>
            </w:r>
          </w:p>
        </w:tc>
        <w:tc>
          <w:tcPr>
            <w:tcW w:w="993" w:type="dxa"/>
            <w:tcBorders>
              <w:top w:val="single" w:sz="2" w:space="0" w:color="auto"/>
              <w:bottom w:val="single" w:sz="12" w:space="0" w:color="auto"/>
            </w:tcBorders>
          </w:tcPr>
          <w:p w14:paraId="5FAAE737" w14:textId="77777777" w:rsidR="00CF3449" w:rsidRPr="00CF3449" w:rsidRDefault="00CF3449" w:rsidP="00B16C6E">
            <w:pPr>
              <w:pStyle w:val="Tabletext"/>
              <w:rPr>
                <w:color w:val="7030A0"/>
                <w:szCs w:val="18"/>
              </w:rPr>
            </w:pPr>
            <w:r w:rsidRPr="00693A57">
              <w:rPr>
                <w:color w:val="0000FF"/>
                <w:szCs w:val="18"/>
              </w:rPr>
              <w:t>All product phases</w:t>
            </w:r>
            <w:r w:rsidRPr="00693A57">
              <w:rPr>
                <w:color w:val="0000FF"/>
                <w:szCs w:val="18"/>
              </w:rPr>
              <w:br/>
              <w:t>JAE</w:t>
            </w:r>
          </w:p>
        </w:tc>
        <w:tc>
          <w:tcPr>
            <w:tcW w:w="850" w:type="dxa"/>
            <w:tcBorders>
              <w:top w:val="single" w:sz="2" w:space="0" w:color="auto"/>
              <w:bottom w:val="single" w:sz="12" w:space="0" w:color="auto"/>
            </w:tcBorders>
          </w:tcPr>
          <w:p w14:paraId="3A751195" w14:textId="77777777" w:rsidR="00CF3449" w:rsidRPr="00693A57" w:rsidRDefault="00CF3449" w:rsidP="00B16C6E">
            <w:pPr>
              <w:pStyle w:val="Tabletext"/>
              <w:rPr>
                <w:color w:val="0000FF"/>
                <w:szCs w:val="18"/>
              </w:rPr>
            </w:pPr>
            <w:r w:rsidRPr="00693A57">
              <w:rPr>
                <w:color w:val="0000FF"/>
                <w:szCs w:val="18"/>
              </w:rPr>
              <w:t>All product phases</w:t>
            </w:r>
          </w:p>
        </w:tc>
      </w:tr>
      <w:tr w:rsidR="00CF3449" w:rsidRPr="00CF3449" w14:paraId="38F07F85" w14:textId="77777777" w:rsidTr="00B16C6E">
        <w:tc>
          <w:tcPr>
            <w:tcW w:w="1139" w:type="dxa"/>
            <w:vMerge w:val="restart"/>
            <w:tcBorders>
              <w:top w:val="single" w:sz="12" w:space="0" w:color="auto"/>
            </w:tcBorders>
            <w:vAlign w:val="center"/>
          </w:tcPr>
          <w:p w14:paraId="2FA64A38" w14:textId="77777777" w:rsidR="00CF3449" w:rsidRPr="00CF3449" w:rsidRDefault="00CF3449" w:rsidP="00B16C6E">
            <w:pPr>
              <w:pStyle w:val="Tabletext"/>
              <w:rPr>
                <w:color w:val="7030A0"/>
                <w:szCs w:val="18"/>
              </w:rPr>
            </w:pPr>
            <w:r w:rsidRPr="00693A57">
              <w:rPr>
                <w:color w:val="0000FF"/>
                <w:szCs w:val="18"/>
              </w:rPr>
              <w:t>Accredited ADI and accredited non-ADI (reciprocal data holder)</w:t>
            </w:r>
          </w:p>
        </w:tc>
        <w:tc>
          <w:tcPr>
            <w:tcW w:w="1134" w:type="dxa"/>
            <w:tcBorders>
              <w:top w:val="single" w:sz="12" w:space="0" w:color="auto"/>
              <w:bottom w:val="single" w:sz="2" w:space="0" w:color="auto"/>
            </w:tcBorders>
            <w:vAlign w:val="center"/>
          </w:tcPr>
          <w:p w14:paraId="197A11A6" w14:textId="77777777" w:rsidR="00CF3449" w:rsidRPr="00CF3449" w:rsidRDefault="00CF3449" w:rsidP="00B16C6E">
            <w:pPr>
              <w:pStyle w:val="Tabletext"/>
              <w:rPr>
                <w:color w:val="7030A0"/>
                <w:szCs w:val="18"/>
              </w:rPr>
            </w:pPr>
            <w:r w:rsidRPr="00693A57">
              <w:rPr>
                <w:color w:val="0000FF"/>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7B03D5D5"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16" w:type="dxa"/>
            <w:tcBorders>
              <w:top w:val="single" w:sz="12" w:space="0" w:color="auto"/>
              <w:bottom w:val="single" w:sz="2" w:space="0" w:color="auto"/>
            </w:tcBorders>
          </w:tcPr>
          <w:p w14:paraId="5D2F45FC"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799CCD41"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1058" w:type="dxa"/>
            <w:tcBorders>
              <w:top w:val="single" w:sz="12" w:space="0" w:color="auto"/>
              <w:bottom w:val="single" w:sz="2" w:space="0" w:color="auto"/>
            </w:tcBorders>
          </w:tcPr>
          <w:p w14:paraId="0F7B285C"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2" w:type="dxa"/>
            <w:tcBorders>
              <w:top w:val="single" w:sz="12" w:space="0" w:color="auto"/>
              <w:bottom w:val="single" w:sz="2" w:space="0" w:color="auto"/>
            </w:tcBorders>
            <w:shd w:val="clear" w:color="auto" w:fill="D9D9D9" w:themeFill="background1" w:themeFillShade="D9"/>
          </w:tcPr>
          <w:p w14:paraId="02C7FAB6"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993" w:type="dxa"/>
            <w:tcBorders>
              <w:top w:val="single" w:sz="12" w:space="0" w:color="auto"/>
              <w:bottom w:val="single" w:sz="2" w:space="0" w:color="auto"/>
            </w:tcBorders>
          </w:tcPr>
          <w:p w14:paraId="4CE9CED0" w14:textId="77777777" w:rsidR="00CF3449" w:rsidRPr="00CF3449" w:rsidRDefault="00CF3449" w:rsidP="00B16C6E">
            <w:pPr>
              <w:pStyle w:val="Tabletext"/>
              <w:rPr>
                <w:color w:val="7030A0"/>
                <w:szCs w:val="18"/>
              </w:rPr>
            </w:pPr>
            <w:r w:rsidRPr="00693A57">
              <w:rPr>
                <w:color w:val="0000FF"/>
                <w:szCs w:val="18"/>
              </w:rPr>
              <w:t xml:space="preserve">All product phases </w:t>
            </w:r>
          </w:p>
        </w:tc>
        <w:tc>
          <w:tcPr>
            <w:tcW w:w="850" w:type="dxa"/>
            <w:tcBorders>
              <w:top w:val="single" w:sz="12" w:space="0" w:color="auto"/>
              <w:bottom w:val="single" w:sz="2" w:space="0" w:color="auto"/>
            </w:tcBorders>
          </w:tcPr>
          <w:p w14:paraId="40AFF255" w14:textId="77777777" w:rsidR="00CF3449" w:rsidRPr="00693A57" w:rsidRDefault="00CF3449" w:rsidP="00B16C6E">
            <w:pPr>
              <w:pStyle w:val="Tabletext"/>
              <w:rPr>
                <w:color w:val="0000FF"/>
                <w:szCs w:val="18"/>
              </w:rPr>
            </w:pPr>
            <w:r w:rsidRPr="00693A57">
              <w:rPr>
                <w:color w:val="0000FF"/>
                <w:szCs w:val="18"/>
              </w:rPr>
              <w:t xml:space="preserve">All product phases </w:t>
            </w:r>
          </w:p>
        </w:tc>
      </w:tr>
      <w:tr w:rsidR="00CF3449" w:rsidRPr="00CF3449" w14:paraId="3CD74505" w14:textId="77777777" w:rsidTr="00B16C6E">
        <w:tc>
          <w:tcPr>
            <w:tcW w:w="1139" w:type="dxa"/>
            <w:vMerge/>
            <w:vAlign w:val="center"/>
          </w:tcPr>
          <w:p w14:paraId="7D58E695" w14:textId="77777777" w:rsidR="00CF3449" w:rsidRPr="00CF3449" w:rsidRDefault="00CF3449" w:rsidP="00B16C6E">
            <w:pPr>
              <w:pStyle w:val="Tabletext"/>
              <w:rPr>
                <w:color w:val="7030A0"/>
                <w:szCs w:val="18"/>
              </w:rPr>
            </w:pPr>
          </w:p>
        </w:tc>
        <w:tc>
          <w:tcPr>
            <w:tcW w:w="1134" w:type="dxa"/>
            <w:tcBorders>
              <w:top w:val="single" w:sz="2" w:space="0" w:color="auto"/>
              <w:bottom w:val="single" w:sz="2" w:space="0" w:color="auto"/>
            </w:tcBorders>
            <w:vAlign w:val="center"/>
          </w:tcPr>
          <w:p w14:paraId="5692D717" w14:textId="77777777" w:rsidR="00CF3449" w:rsidRPr="00CF3449" w:rsidRDefault="00CF3449" w:rsidP="00B16C6E">
            <w:pPr>
              <w:pStyle w:val="Tabletext"/>
              <w:rPr>
                <w:color w:val="7030A0"/>
                <w:szCs w:val="18"/>
              </w:rPr>
            </w:pPr>
            <w:r w:rsidRPr="00693A57">
              <w:rPr>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5A527C06"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vAlign w:val="center"/>
          </w:tcPr>
          <w:p w14:paraId="296CD6E3"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4F7C7ABC" w14:textId="77777777" w:rsidR="00CF3449" w:rsidRPr="00CF3449" w:rsidRDefault="00CF3449" w:rsidP="00B16C6E">
            <w:pPr>
              <w:pStyle w:val="Tabletext"/>
              <w:rPr>
                <w:color w:val="7030A0"/>
                <w:szCs w:val="18"/>
              </w:rPr>
            </w:pPr>
            <w:r w:rsidRPr="00693A57">
              <w:rPr>
                <w:color w:val="0000FF"/>
                <w:szCs w:val="18"/>
              </w:rPr>
              <w:t>-</w:t>
            </w:r>
          </w:p>
        </w:tc>
        <w:tc>
          <w:tcPr>
            <w:tcW w:w="1058" w:type="dxa"/>
            <w:tcBorders>
              <w:top w:val="single" w:sz="2" w:space="0" w:color="auto"/>
              <w:bottom w:val="single" w:sz="2" w:space="0" w:color="auto"/>
            </w:tcBorders>
            <w:vAlign w:val="center"/>
          </w:tcPr>
          <w:p w14:paraId="757D67F1" w14:textId="77777777" w:rsidR="00CF3449" w:rsidRPr="00CF3449" w:rsidRDefault="00CF3449" w:rsidP="00B16C6E">
            <w:pPr>
              <w:pStyle w:val="Tabletext"/>
              <w:rPr>
                <w:color w:val="7030A0"/>
                <w:szCs w:val="18"/>
              </w:rPr>
            </w:pPr>
            <w:r w:rsidRPr="00693A57">
              <w:rPr>
                <w:color w:val="0000FF"/>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67098D19" w14:textId="77777777" w:rsidR="00CF3449" w:rsidRPr="00CF3449" w:rsidRDefault="00CF3449" w:rsidP="00B16C6E">
            <w:pPr>
              <w:pStyle w:val="Tabletext"/>
              <w:rPr>
                <w:strike/>
                <w:color w:val="7030A0"/>
                <w:szCs w:val="18"/>
              </w:rPr>
            </w:pPr>
            <w:r w:rsidRPr="00693A57">
              <w:rPr>
                <w:color w:val="0000FF"/>
                <w:szCs w:val="18"/>
              </w:rPr>
              <w:t>-</w:t>
            </w:r>
          </w:p>
        </w:tc>
        <w:tc>
          <w:tcPr>
            <w:tcW w:w="993" w:type="dxa"/>
            <w:tcBorders>
              <w:top w:val="single" w:sz="2" w:space="0" w:color="auto"/>
              <w:bottom w:val="single" w:sz="2" w:space="0" w:color="auto"/>
            </w:tcBorders>
            <w:vAlign w:val="center"/>
          </w:tcPr>
          <w:p w14:paraId="7476DE5B" w14:textId="77777777" w:rsidR="00CF3449" w:rsidRPr="00CF3449" w:rsidRDefault="00CF3449" w:rsidP="00B16C6E">
            <w:pPr>
              <w:pStyle w:val="Tabletext"/>
              <w:rPr>
                <w:strike/>
                <w:color w:val="7030A0"/>
                <w:szCs w:val="18"/>
              </w:rPr>
            </w:pPr>
            <w:r w:rsidRPr="00693A57">
              <w:rPr>
                <w:color w:val="0000FF"/>
                <w:szCs w:val="18"/>
              </w:rPr>
              <w:t>-</w:t>
            </w:r>
          </w:p>
        </w:tc>
        <w:tc>
          <w:tcPr>
            <w:tcW w:w="850" w:type="dxa"/>
            <w:tcBorders>
              <w:top w:val="single" w:sz="2" w:space="0" w:color="auto"/>
              <w:bottom w:val="single" w:sz="2" w:space="0" w:color="auto"/>
            </w:tcBorders>
            <w:vAlign w:val="center"/>
          </w:tcPr>
          <w:p w14:paraId="0F3D46F1" w14:textId="77777777" w:rsidR="00CF3449" w:rsidRPr="00693A57" w:rsidRDefault="00CF3449" w:rsidP="00B16C6E">
            <w:pPr>
              <w:pStyle w:val="Tabletext"/>
              <w:rPr>
                <w:color w:val="0000FF"/>
                <w:szCs w:val="18"/>
              </w:rPr>
            </w:pPr>
            <w:r w:rsidRPr="00693A57">
              <w:rPr>
                <w:color w:val="0000FF"/>
                <w:szCs w:val="18"/>
              </w:rPr>
              <w:t>-</w:t>
            </w:r>
          </w:p>
        </w:tc>
      </w:tr>
      <w:tr w:rsidR="00CF3449" w:rsidRPr="00CF3449" w14:paraId="66201CFF" w14:textId="77777777" w:rsidTr="00B16C6E">
        <w:tc>
          <w:tcPr>
            <w:tcW w:w="1139" w:type="dxa"/>
            <w:vMerge/>
            <w:tcBorders>
              <w:bottom w:val="single" w:sz="12" w:space="0" w:color="auto"/>
            </w:tcBorders>
            <w:vAlign w:val="center"/>
          </w:tcPr>
          <w:p w14:paraId="297FB6DF" w14:textId="77777777" w:rsidR="00CF3449" w:rsidRPr="00CF3449" w:rsidRDefault="00CF3449" w:rsidP="00B16C6E">
            <w:pPr>
              <w:pStyle w:val="Tabletext"/>
              <w:rPr>
                <w:color w:val="7030A0"/>
                <w:szCs w:val="18"/>
              </w:rPr>
            </w:pPr>
          </w:p>
        </w:tc>
        <w:tc>
          <w:tcPr>
            <w:tcW w:w="1134" w:type="dxa"/>
            <w:tcBorders>
              <w:top w:val="single" w:sz="2" w:space="0" w:color="auto"/>
              <w:bottom w:val="single" w:sz="12" w:space="0" w:color="auto"/>
            </w:tcBorders>
            <w:vAlign w:val="center"/>
          </w:tcPr>
          <w:p w14:paraId="23974BA0" w14:textId="77777777" w:rsidR="00CF3449" w:rsidRPr="00CF3449" w:rsidRDefault="00CF3449" w:rsidP="00B16C6E">
            <w:pPr>
              <w:pStyle w:val="Tabletext"/>
              <w:rPr>
                <w:color w:val="7030A0"/>
                <w:szCs w:val="18"/>
              </w:rPr>
            </w:pPr>
            <w:r w:rsidRPr="00693A57">
              <w:rPr>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7E3CFEF4"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12" w:space="0" w:color="auto"/>
            </w:tcBorders>
            <w:vAlign w:val="center"/>
          </w:tcPr>
          <w:p w14:paraId="050DE1F0" w14:textId="77777777" w:rsidR="00CF3449" w:rsidRPr="00CF3449" w:rsidRDefault="00CF3449" w:rsidP="00B16C6E">
            <w:pPr>
              <w:pStyle w:val="Tabletext"/>
              <w:rPr>
                <w:color w:val="7030A0"/>
                <w:szCs w:val="18"/>
              </w:rPr>
            </w:pPr>
            <w:r w:rsidRPr="00693A57">
              <w:rPr>
                <w:color w:val="0000FF"/>
                <w:szCs w:val="18"/>
              </w:rPr>
              <w:t>-</w:t>
            </w:r>
          </w:p>
        </w:tc>
        <w:tc>
          <w:tcPr>
            <w:tcW w:w="1016" w:type="dxa"/>
            <w:tcBorders>
              <w:top w:val="single" w:sz="2" w:space="0" w:color="auto"/>
              <w:bottom w:val="single" w:sz="12" w:space="0" w:color="auto"/>
            </w:tcBorders>
            <w:shd w:val="clear" w:color="auto" w:fill="D9D9D9" w:themeFill="background1" w:themeFillShade="D9"/>
          </w:tcPr>
          <w:p w14:paraId="00A15B14" w14:textId="77777777" w:rsidR="00CF3449" w:rsidRPr="00693A57" w:rsidRDefault="00CF3449" w:rsidP="00B16C6E">
            <w:pPr>
              <w:pStyle w:val="Tabletext"/>
              <w:rPr>
                <w:color w:val="0000FF"/>
                <w:szCs w:val="18"/>
              </w:rPr>
            </w:pPr>
            <w:r w:rsidRPr="00693A57">
              <w:rPr>
                <w:color w:val="0000FF"/>
                <w:szCs w:val="18"/>
              </w:rPr>
              <w:t>Phase 1 JAE</w:t>
            </w:r>
          </w:p>
          <w:p w14:paraId="492FCC28" w14:textId="77777777" w:rsidR="00CF3449" w:rsidRPr="00CF3449" w:rsidRDefault="00CF3449" w:rsidP="00B16C6E">
            <w:pPr>
              <w:pStyle w:val="Tabletext"/>
              <w:rPr>
                <w:color w:val="7030A0"/>
                <w:szCs w:val="18"/>
              </w:rPr>
            </w:pPr>
            <w:r w:rsidRPr="00693A57">
              <w:rPr>
                <w:color w:val="0000FF"/>
                <w:szCs w:val="18"/>
              </w:rPr>
              <w:t>CODE</w:t>
            </w:r>
          </w:p>
        </w:tc>
        <w:tc>
          <w:tcPr>
            <w:tcW w:w="1058" w:type="dxa"/>
            <w:tcBorders>
              <w:top w:val="single" w:sz="2" w:space="0" w:color="auto"/>
              <w:bottom w:val="single" w:sz="12" w:space="0" w:color="auto"/>
            </w:tcBorders>
          </w:tcPr>
          <w:p w14:paraId="49B7F5B8" w14:textId="77777777" w:rsidR="00CF3449" w:rsidRPr="00CF3449" w:rsidRDefault="00CF3449" w:rsidP="00B16C6E">
            <w:pPr>
              <w:pStyle w:val="Tabletext"/>
              <w:rPr>
                <w:color w:val="7030A0"/>
                <w:szCs w:val="18"/>
              </w:rPr>
            </w:pPr>
            <w:r w:rsidRPr="00693A57">
              <w:rPr>
                <w:color w:val="0000FF"/>
                <w:szCs w:val="18"/>
              </w:rPr>
              <w:t>All product phases</w:t>
            </w:r>
            <w:r w:rsidRPr="00693A57">
              <w:rPr>
                <w:color w:val="0000FF"/>
                <w:szCs w:val="18"/>
              </w:rPr>
              <w:br/>
              <w:t xml:space="preserve">JAE </w:t>
            </w:r>
          </w:p>
        </w:tc>
        <w:tc>
          <w:tcPr>
            <w:tcW w:w="992" w:type="dxa"/>
            <w:tcBorders>
              <w:top w:val="single" w:sz="2" w:space="0" w:color="auto"/>
              <w:bottom w:val="single" w:sz="12" w:space="0" w:color="auto"/>
            </w:tcBorders>
            <w:shd w:val="clear" w:color="auto" w:fill="D9D9D9" w:themeFill="background1" w:themeFillShade="D9"/>
          </w:tcPr>
          <w:p w14:paraId="315A7B52" w14:textId="77777777" w:rsidR="00CF3449" w:rsidRPr="00CF3449" w:rsidRDefault="00CF3449" w:rsidP="00B16C6E">
            <w:pPr>
              <w:pStyle w:val="Tabletext"/>
              <w:rPr>
                <w:color w:val="7030A0"/>
                <w:szCs w:val="18"/>
              </w:rPr>
            </w:pPr>
            <w:r w:rsidRPr="00693A57">
              <w:rPr>
                <w:color w:val="0000FF"/>
                <w:szCs w:val="18"/>
              </w:rPr>
              <w:t>All product phases</w:t>
            </w:r>
            <w:r w:rsidRPr="00693A57">
              <w:rPr>
                <w:color w:val="0000FF"/>
                <w:szCs w:val="18"/>
              </w:rPr>
              <w:br/>
              <w:t>JAE</w:t>
            </w:r>
          </w:p>
        </w:tc>
        <w:tc>
          <w:tcPr>
            <w:tcW w:w="993" w:type="dxa"/>
            <w:tcBorders>
              <w:top w:val="single" w:sz="2" w:space="0" w:color="auto"/>
              <w:bottom w:val="single" w:sz="12" w:space="0" w:color="auto"/>
            </w:tcBorders>
          </w:tcPr>
          <w:p w14:paraId="7739CCB5" w14:textId="77777777" w:rsidR="00CF3449" w:rsidRPr="00CF3449" w:rsidRDefault="00CF3449" w:rsidP="00B16C6E">
            <w:pPr>
              <w:pStyle w:val="Tabletext"/>
              <w:rPr>
                <w:color w:val="7030A0"/>
                <w:szCs w:val="18"/>
              </w:rPr>
            </w:pPr>
            <w:r w:rsidRPr="00693A57">
              <w:rPr>
                <w:color w:val="0000FF"/>
                <w:szCs w:val="18"/>
              </w:rPr>
              <w:t>All product phases</w:t>
            </w:r>
            <w:r w:rsidRPr="00693A57">
              <w:rPr>
                <w:color w:val="0000FF"/>
                <w:szCs w:val="18"/>
              </w:rPr>
              <w:br/>
              <w:t>JAE</w:t>
            </w:r>
          </w:p>
        </w:tc>
        <w:tc>
          <w:tcPr>
            <w:tcW w:w="850" w:type="dxa"/>
            <w:tcBorders>
              <w:top w:val="single" w:sz="2" w:space="0" w:color="auto"/>
              <w:bottom w:val="single" w:sz="12" w:space="0" w:color="auto"/>
            </w:tcBorders>
          </w:tcPr>
          <w:p w14:paraId="7F6F2660" w14:textId="77777777" w:rsidR="00CF3449" w:rsidRPr="00693A57" w:rsidRDefault="00CF3449" w:rsidP="00B16C6E">
            <w:pPr>
              <w:pStyle w:val="Tabletext"/>
              <w:rPr>
                <w:color w:val="0000FF"/>
                <w:szCs w:val="18"/>
              </w:rPr>
            </w:pPr>
            <w:r w:rsidRPr="00693A57">
              <w:rPr>
                <w:color w:val="0000FF"/>
                <w:szCs w:val="18"/>
              </w:rPr>
              <w:t>All product phases</w:t>
            </w:r>
          </w:p>
        </w:tc>
      </w:tr>
    </w:tbl>
    <w:p w14:paraId="790540AB" w14:textId="77777777" w:rsidR="00CF3449" w:rsidRPr="00693A57" w:rsidRDefault="00CF3449" w:rsidP="00CF3449">
      <w:pPr>
        <w:pStyle w:val="subsection"/>
        <w:spacing w:after="120"/>
        <w:rPr>
          <w:color w:val="0000FF"/>
        </w:rPr>
      </w:pP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16"/>
        <w:gridCol w:w="1016"/>
        <w:gridCol w:w="1016"/>
      </w:tblGrid>
      <w:tr w:rsidR="00CF3449" w:rsidRPr="00CF3449" w14:paraId="6E8760B6" w14:textId="77777777" w:rsidTr="00B16C6E">
        <w:trPr>
          <w:tblHeader/>
        </w:trPr>
        <w:tc>
          <w:tcPr>
            <w:tcW w:w="1139" w:type="dxa"/>
            <w:tcBorders>
              <w:top w:val="single" w:sz="18" w:space="0" w:color="auto"/>
              <w:bottom w:val="single" w:sz="18" w:space="0" w:color="auto"/>
            </w:tcBorders>
            <w:vAlign w:val="center"/>
          </w:tcPr>
          <w:p w14:paraId="598EDEC0" w14:textId="77777777" w:rsidR="00CF3449" w:rsidRPr="00CF3449" w:rsidRDefault="00CF3449" w:rsidP="00B16C6E">
            <w:pPr>
              <w:pStyle w:val="TableHeading"/>
              <w:jc w:val="center"/>
              <w:rPr>
                <w:strike/>
                <w:color w:val="7030A0"/>
                <w:szCs w:val="18"/>
              </w:rPr>
            </w:pPr>
            <w:r w:rsidRPr="00693A57">
              <w:rPr>
                <w:strike/>
                <w:color w:val="0000FF"/>
                <w:szCs w:val="18"/>
              </w:rPr>
              <w:t>Data holder</w:t>
            </w:r>
          </w:p>
        </w:tc>
        <w:tc>
          <w:tcPr>
            <w:tcW w:w="1134" w:type="dxa"/>
            <w:tcBorders>
              <w:top w:val="single" w:sz="18" w:space="0" w:color="auto"/>
              <w:bottom w:val="single" w:sz="18" w:space="0" w:color="auto"/>
            </w:tcBorders>
            <w:vAlign w:val="center"/>
          </w:tcPr>
          <w:p w14:paraId="590444B0" w14:textId="77777777" w:rsidR="00CF3449" w:rsidRPr="00CF3449" w:rsidRDefault="00CF3449" w:rsidP="00B16C6E">
            <w:pPr>
              <w:pStyle w:val="TableHeading"/>
              <w:jc w:val="center"/>
              <w:rPr>
                <w:strike/>
                <w:color w:val="7030A0"/>
                <w:szCs w:val="18"/>
              </w:rPr>
            </w:pPr>
            <w:r w:rsidRPr="00693A57">
              <w:rPr>
                <w:strike/>
                <w:color w:val="0000FF"/>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13CC0515" w14:textId="77777777" w:rsidR="00CF3449" w:rsidRPr="00CF3449" w:rsidRDefault="00CF3449" w:rsidP="00B16C6E">
            <w:pPr>
              <w:pStyle w:val="TableHeading"/>
              <w:jc w:val="center"/>
              <w:rPr>
                <w:strike/>
                <w:color w:val="7030A0"/>
                <w:szCs w:val="18"/>
              </w:rPr>
            </w:pPr>
            <w:r w:rsidRPr="00693A57">
              <w:rPr>
                <w:strike/>
                <w:color w:val="0000FF"/>
                <w:szCs w:val="18"/>
              </w:rPr>
              <w:t xml:space="preserve">Start date </w:t>
            </w:r>
            <w:r w:rsidRPr="00693A57">
              <w:rPr>
                <w:strike/>
                <w:color w:val="0000FF"/>
                <w:szCs w:val="18"/>
              </w:rPr>
              <w:br/>
              <w:t>to</w:t>
            </w:r>
            <w:r w:rsidRPr="00693A57">
              <w:rPr>
                <w:strike/>
                <w:color w:val="0000FF"/>
                <w:szCs w:val="18"/>
              </w:rPr>
              <w:br/>
              <w:t>31 Jan 2021</w:t>
            </w:r>
          </w:p>
        </w:tc>
        <w:tc>
          <w:tcPr>
            <w:tcW w:w="1016" w:type="dxa"/>
            <w:tcBorders>
              <w:top w:val="single" w:sz="18" w:space="0" w:color="auto"/>
              <w:bottom w:val="single" w:sz="18" w:space="0" w:color="auto"/>
            </w:tcBorders>
            <w:vAlign w:val="center"/>
          </w:tcPr>
          <w:p w14:paraId="14EBB4BF" w14:textId="77777777" w:rsidR="00CF3449" w:rsidRPr="00CF3449" w:rsidRDefault="00CF3449" w:rsidP="00B16C6E">
            <w:pPr>
              <w:pStyle w:val="TableHeading"/>
              <w:jc w:val="center"/>
              <w:rPr>
                <w:strike/>
                <w:color w:val="7030A0"/>
                <w:szCs w:val="18"/>
              </w:rPr>
            </w:pPr>
            <w:r w:rsidRPr="00693A57">
              <w:rPr>
                <w:strike/>
                <w:color w:val="0000FF"/>
                <w:szCs w:val="18"/>
              </w:rPr>
              <w:t>1 Feb 2021</w:t>
            </w:r>
            <w:r w:rsidRPr="00693A57">
              <w:rPr>
                <w:strike/>
                <w:color w:val="0000FF"/>
                <w:szCs w:val="18"/>
              </w:rPr>
              <w:br/>
              <w:t>to</w:t>
            </w:r>
            <w:r w:rsidRPr="00693A57">
              <w:rPr>
                <w:strike/>
                <w:color w:val="0000FF"/>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3181CD1E" w14:textId="77777777" w:rsidR="00CF3449" w:rsidRPr="00CF3449" w:rsidRDefault="00CF3449" w:rsidP="00B16C6E">
            <w:pPr>
              <w:pStyle w:val="TableHeading"/>
              <w:jc w:val="center"/>
              <w:rPr>
                <w:strike/>
                <w:color w:val="7030A0"/>
                <w:szCs w:val="18"/>
              </w:rPr>
            </w:pPr>
            <w:r w:rsidRPr="00693A57">
              <w:rPr>
                <w:strike/>
                <w:color w:val="0000FF"/>
                <w:szCs w:val="18"/>
              </w:rPr>
              <w:t>1 Mar 2021</w:t>
            </w:r>
            <w:r w:rsidRPr="00693A57">
              <w:rPr>
                <w:strike/>
                <w:color w:val="0000FF"/>
                <w:szCs w:val="18"/>
              </w:rPr>
              <w:br/>
              <w:t>to</w:t>
            </w:r>
            <w:r w:rsidRPr="00693A57">
              <w:rPr>
                <w:strike/>
                <w:color w:val="0000FF"/>
                <w:szCs w:val="18"/>
              </w:rPr>
              <w:br/>
              <w:t>30 Jun 2021</w:t>
            </w:r>
          </w:p>
        </w:tc>
        <w:tc>
          <w:tcPr>
            <w:tcW w:w="1016" w:type="dxa"/>
            <w:tcBorders>
              <w:top w:val="single" w:sz="18" w:space="0" w:color="auto"/>
              <w:bottom w:val="single" w:sz="18" w:space="0" w:color="auto"/>
            </w:tcBorders>
            <w:vAlign w:val="center"/>
          </w:tcPr>
          <w:p w14:paraId="5BA6C78C" w14:textId="77777777" w:rsidR="00CF3449" w:rsidRPr="00CF3449" w:rsidRDefault="00CF3449" w:rsidP="00B16C6E">
            <w:pPr>
              <w:pStyle w:val="TableHeading"/>
              <w:jc w:val="center"/>
              <w:rPr>
                <w:strike/>
                <w:color w:val="7030A0"/>
                <w:szCs w:val="18"/>
              </w:rPr>
            </w:pPr>
            <w:r w:rsidRPr="00693A57">
              <w:rPr>
                <w:strike/>
                <w:color w:val="0000FF"/>
                <w:szCs w:val="18"/>
              </w:rPr>
              <w:t>1 Jul 2021</w:t>
            </w:r>
            <w:r w:rsidRPr="00693A57">
              <w:rPr>
                <w:strike/>
                <w:color w:val="0000FF"/>
                <w:szCs w:val="18"/>
              </w:rPr>
              <w:br/>
              <w:t>to</w:t>
            </w:r>
            <w:r w:rsidRPr="00693A57">
              <w:rPr>
                <w:strike/>
                <w:color w:val="0000FF"/>
                <w:szCs w:val="18"/>
              </w:rPr>
              <w:br/>
              <w:t>31 Oct 2021</w:t>
            </w:r>
          </w:p>
        </w:tc>
        <w:tc>
          <w:tcPr>
            <w:tcW w:w="1016" w:type="dxa"/>
            <w:tcBorders>
              <w:top w:val="single" w:sz="18" w:space="0" w:color="auto"/>
              <w:bottom w:val="single" w:sz="18" w:space="0" w:color="auto"/>
            </w:tcBorders>
            <w:shd w:val="clear" w:color="auto" w:fill="D9D9D9" w:themeFill="background1" w:themeFillShade="D9"/>
            <w:vAlign w:val="center"/>
          </w:tcPr>
          <w:p w14:paraId="284222EC" w14:textId="77777777" w:rsidR="00CF3449" w:rsidRPr="00CF3449" w:rsidRDefault="00CF3449" w:rsidP="00B16C6E">
            <w:pPr>
              <w:pStyle w:val="TableHeading"/>
              <w:jc w:val="center"/>
              <w:rPr>
                <w:strike/>
                <w:color w:val="7030A0"/>
                <w:szCs w:val="18"/>
              </w:rPr>
            </w:pPr>
            <w:r w:rsidRPr="00693A57">
              <w:rPr>
                <w:strike/>
                <w:color w:val="0000FF"/>
                <w:szCs w:val="18"/>
              </w:rPr>
              <w:t xml:space="preserve">1 Nov 2021 </w:t>
            </w:r>
            <w:r w:rsidRPr="00693A57">
              <w:rPr>
                <w:strike/>
                <w:color w:val="0000FF"/>
                <w:szCs w:val="18"/>
              </w:rPr>
              <w:br/>
              <w:t>to</w:t>
            </w:r>
            <w:r w:rsidRPr="00693A57">
              <w:rPr>
                <w:strike/>
                <w:color w:val="0000FF"/>
                <w:szCs w:val="18"/>
              </w:rPr>
              <w:br/>
              <w:t>31 Jan 2022</w:t>
            </w:r>
          </w:p>
        </w:tc>
        <w:tc>
          <w:tcPr>
            <w:tcW w:w="1016" w:type="dxa"/>
            <w:tcBorders>
              <w:top w:val="single" w:sz="18" w:space="0" w:color="auto"/>
              <w:bottom w:val="single" w:sz="18" w:space="0" w:color="auto"/>
            </w:tcBorders>
            <w:vAlign w:val="center"/>
          </w:tcPr>
          <w:p w14:paraId="0C428224" w14:textId="77777777" w:rsidR="00CF3449" w:rsidRPr="00693A57" w:rsidRDefault="00CF3449" w:rsidP="00B16C6E">
            <w:pPr>
              <w:pStyle w:val="TableHeading"/>
              <w:jc w:val="center"/>
              <w:rPr>
                <w:strike/>
                <w:color w:val="0000FF"/>
                <w:szCs w:val="18"/>
              </w:rPr>
            </w:pPr>
            <w:r w:rsidRPr="00693A57">
              <w:rPr>
                <w:strike/>
                <w:color w:val="0000FF"/>
                <w:szCs w:val="18"/>
              </w:rPr>
              <w:t>1 Feb 2022 onward</w:t>
            </w:r>
          </w:p>
        </w:tc>
      </w:tr>
      <w:tr w:rsidR="00CF3449" w:rsidRPr="00CF3449" w14:paraId="582596C9" w14:textId="77777777" w:rsidTr="00B16C6E">
        <w:tc>
          <w:tcPr>
            <w:tcW w:w="1139" w:type="dxa"/>
            <w:vMerge w:val="restart"/>
            <w:tcBorders>
              <w:top w:val="single" w:sz="18" w:space="0" w:color="auto"/>
            </w:tcBorders>
            <w:vAlign w:val="center"/>
          </w:tcPr>
          <w:p w14:paraId="5A962AD0" w14:textId="77777777" w:rsidR="00CF3449" w:rsidRPr="00CF3449" w:rsidRDefault="00CF3449" w:rsidP="00B16C6E">
            <w:pPr>
              <w:pStyle w:val="Tabletext"/>
              <w:rPr>
                <w:strike/>
                <w:color w:val="7030A0"/>
                <w:szCs w:val="18"/>
              </w:rPr>
            </w:pPr>
            <w:r w:rsidRPr="00693A57">
              <w:rPr>
                <w:strike/>
                <w:color w:val="0000FF"/>
                <w:szCs w:val="18"/>
              </w:rPr>
              <w:t xml:space="preserve">Initial data holders (NAB, CBA, ANZ, Westpac </w:t>
            </w:r>
            <w:r w:rsidRPr="00693A57">
              <w:rPr>
                <w:strike/>
                <w:color w:val="0000FF"/>
                <w:szCs w:val="18"/>
              </w:rPr>
              <w:lastRenderedPageBreak/>
              <w:t>branded products)</w:t>
            </w:r>
          </w:p>
        </w:tc>
        <w:tc>
          <w:tcPr>
            <w:tcW w:w="1134" w:type="dxa"/>
            <w:tcBorders>
              <w:top w:val="single" w:sz="18" w:space="0" w:color="auto"/>
              <w:bottom w:val="single" w:sz="2" w:space="0" w:color="auto"/>
            </w:tcBorders>
            <w:vAlign w:val="center"/>
          </w:tcPr>
          <w:p w14:paraId="4DF561C7" w14:textId="77777777" w:rsidR="00CF3449" w:rsidRPr="00CF3449" w:rsidRDefault="00CF3449" w:rsidP="00B16C6E">
            <w:pPr>
              <w:pStyle w:val="Tabletext"/>
              <w:rPr>
                <w:strike/>
                <w:color w:val="7030A0"/>
                <w:szCs w:val="18"/>
              </w:rPr>
            </w:pPr>
            <w:r w:rsidRPr="00693A57">
              <w:rPr>
                <w:strike/>
                <w:color w:val="0000FF"/>
                <w:szCs w:val="18"/>
              </w:rPr>
              <w:lastRenderedPageBreak/>
              <w:t xml:space="preserve">Part 2 </w:t>
            </w:r>
          </w:p>
        </w:tc>
        <w:tc>
          <w:tcPr>
            <w:tcW w:w="1016" w:type="dxa"/>
            <w:tcBorders>
              <w:top w:val="single" w:sz="18" w:space="0" w:color="auto"/>
              <w:bottom w:val="single" w:sz="2" w:space="0" w:color="auto"/>
            </w:tcBorders>
            <w:shd w:val="clear" w:color="auto" w:fill="D9D9D9" w:themeFill="background1" w:themeFillShade="D9"/>
          </w:tcPr>
          <w:p w14:paraId="59B4DE91"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8" w:space="0" w:color="auto"/>
              <w:bottom w:val="single" w:sz="2" w:space="0" w:color="auto"/>
            </w:tcBorders>
          </w:tcPr>
          <w:p w14:paraId="0ACB4143"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32935FFD"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8" w:space="0" w:color="auto"/>
              <w:bottom w:val="single" w:sz="2" w:space="0" w:color="auto"/>
            </w:tcBorders>
          </w:tcPr>
          <w:p w14:paraId="5AD62CAC"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657CB26D"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8" w:space="0" w:color="auto"/>
              <w:bottom w:val="single" w:sz="2" w:space="0" w:color="auto"/>
            </w:tcBorders>
          </w:tcPr>
          <w:p w14:paraId="7BD5E7AB" w14:textId="77777777" w:rsidR="00CF3449" w:rsidRPr="00693A57" w:rsidRDefault="00CF3449" w:rsidP="00B16C6E">
            <w:pPr>
              <w:pStyle w:val="Tabletext"/>
              <w:rPr>
                <w:strike/>
                <w:color w:val="0000FF"/>
                <w:szCs w:val="18"/>
              </w:rPr>
            </w:pPr>
            <w:r w:rsidRPr="00693A57">
              <w:rPr>
                <w:strike/>
                <w:color w:val="0000FF"/>
                <w:szCs w:val="18"/>
              </w:rPr>
              <w:t xml:space="preserve">All product phases </w:t>
            </w:r>
          </w:p>
        </w:tc>
      </w:tr>
      <w:tr w:rsidR="00CF3449" w:rsidRPr="00CF3449" w14:paraId="675AD8F0" w14:textId="77777777" w:rsidTr="00B16C6E">
        <w:tc>
          <w:tcPr>
            <w:tcW w:w="1139" w:type="dxa"/>
            <w:vMerge/>
            <w:vAlign w:val="center"/>
          </w:tcPr>
          <w:p w14:paraId="35168D0A"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2" w:space="0" w:color="auto"/>
            </w:tcBorders>
            <w:vAlign w:val="center"/>
          </w:tcPr>
          <w:p w14:paraId="3D2D8150" w14:textId="77777777" w:rsidR="00CF3449" w:rsidRPr="00CF3449" w:rsidRDefault="00CF3449" w:rsidP="00B16C6E">
            <w:pPr>
              <w:pStyle w:val="Tabletext"/>
              <w:rPr>
                <w:strike/>
                <w:color w:val="7030A0"/>
                <w:szCs w:val="18"/>
              </w:rPr>
            </w:pPr>
            <w:r w:rsidRPr="00693A57">
              <w:rPr>
                <w:strike/>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15C6BB3F"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040A29EB"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14F6E188"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5E36EAFB"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tcPr>
          <w:p w14:paraId="7BE19172" w14:textId="77777777" w:rsidR="00CF3449" w:rsidRPr="00CF3449" w:rsidRDefault="00CF3449" w:rsidP="00B16C6E">
            <w:pPr>
              <w:pStyle w:val="Tabletext"/>
              <w:rPr>
                <w:strike/>
                <w:color w:val="7030A0"/>
                <w:szCs w:val="18"/>
              </w:rPr>
            </w:pPr>
            <w:r w:rsidRPr="00693A57">
              <w:rPr>
                <w:strike/>
                <w:color w:val="0000FF"/>
                <w:szCs w:val="18"/>
              </w:rPr>
              <w:t>All product phases</w:t>
            </w:r>
          </w:p>
        </w:tc>
        <w:tc>
          <w:tcPr>
            <w:tcW w:w="1016" w:type="dxa"/>
            <w:tcBorders>
              <w:top w:val="single" w:sz="2" w:space="0" w:color="auto"/>
              <w:bottom w:val="single" w:sz="2" w:space="0" w:color="auto"/>
            </w:tcBorders>
          </w:tcPr>
          <w:p w14:paraId="1795C2B2" w14:textId="77777777" w:rsidR="00CF3449" w:rsidRPr="00693A57" w:rsidRDefault="00CF3449" w:rsidP="00B16C6E">
            <w:pPr>
              <w:pStyle w:val="Tabletext"/>
              <w:rPr>
                <w:strike/>
                <w:color w:val="0000FF"/>
                <w:szCs w:val="18"/>
              </w:rPr>
            </w:pPr>
            <w:r w:rsidRPr="00693A57">
              <w:rPr>
                <w:strike/>
                <w:color w:val="0000FF"/>
                <w:szCs w:val="18"/>
              </w:rPr>
              <w:t>All product phases</w:t>
            </w:r>
          </w:p>
        </w:tc>
      </w:tr>
      <w:tr w:rsidR="00CF3449" w:rsidRPr="00CF3449" w14:paraId="57CF70A6" w14:textId="77777777" w:rsidTr="00B16C6E">
        <w:tc>
          <w:tcPr>
            <w:tcW w:w="1139" w:type="dxa"/>
            <w:vMerge/>
            <w:tcBorders>
              <w:bottom w:val="single" w:sz="12" w:space="0" w:color="auto"/>
            </w:tcBorders>
            <w:vAlign w:val="center"/>
          </w:tcPr>
          <w:p w14:paraId="23416AD2"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12" w:space="0" w:color="auto"/>
            </w:tcBorders>
            <w:vAlign w:val="center"/>
          </w:tcPr>
          <w:p w14:paraId="1FABC8E4" w14:textId="77777777" w:rsidR="00CF3449" w:rsidRPr="00CF3449" w:rsidRDefault="00CF3449" w:rsidP="00B16C6E">
            <w:pPr>
              <w:pStyle w:val="Tabletext"/>
              <w:rPr>
                <w:strike/>
                <w:color w:val="7030A0"/>
                <w:szCs w:val="18"/>
              </w:rPr>
            </w:pPr>
            <w:r w:rsidRPr="00693A57">
              <w:rPr>
                <w:strike/>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1C469B10" w14:textId="77777777" w:rsidR="00CF3449" w:rsidRPr="00CF3449" w:rsidRDefault="00CF3449" w:rsidP="00B16C6E">
            <w:pPr>
              <w:pStyle w:val="Tabletext"/>
              <w:rPr>
                <w:strike/>
                <w:color w:val="7030A0"/>
                <w:szCs w:val="18"/>
              </w:rPr>
            </w:pPr>
            <w:r w:rsidRPr="00693A57">
              <w:rPr>
                <w:strike/>
                <w:color w:val="0000FF"/>
                <w:szCs w:val="18"/>
              </w:rPr>
              <w:t>Phase 1</w:t>
            </w:r>
            <w:r w:rsidRPr="00693A57">
              <w:rPr>
                <w:strike/>
                <w:color w:val="0000FF"/>
                <w:szCs w:val="18"/>
              </w:rPr>
              <w:br/>
              <w:t xml:space="preserve">Phase 2 </w:t>
            </w:r>
          </w:p>
        </w:tc>
        <w:tc>
          <w:tcPr>
            <w:tcW w:w="1016" w:type="dxa"/>
            <w:tcBorders>
              <w:top w:val="single" w:sz="2" w:space="0" w:color="auto"/>
              <w:bottom w:val="single" w:sz="12" w:space="0" w:color="auto"/>
            </w:tcBorders>
          </w:tcPr>
          <w:p w14:paraId="5BB76C2F" w14:textId="77777777" w:rsidR="00CF3449" w:rsidRPr="00CF3449" w:rsidRDefault="00CF3449" w:rsidP="00B16C6E">
            <w:pPr>
              <w:pStyle w:val="Tabletext"/>
              <w:rPr>
                <w:strike/>
                <w:color w:val="7030A0"/>
                <w:szCs w:val="18"/>
              </w:rPr>
            </w:pPr>
            <w:r w:rsidRPr="00693A57">
              <w:rPr>
                <w:strike/>
                <w:color w:val="0000FF"/>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26BE29D5"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2" w:space="0" w:color="auto"/>
              <w:bottom w:val="single" w:sz="12" w:space="0" w:color="auto"/>
            </w:tcBorders>
          </w:tcPr>
          <w:p w14:paraId="6857934A"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2" w:space="0" w:color="auto"/>
              <w:bottom w:val="single" w:sz="12" w:space="0" w:color="auto"/>
            </w:tcBorders>
            <w:shd w:val="clear" w:color="auto" w:fill="D9D9D9" w:themeFill="background1" w:themeFillShade="D9"/>
          </w:tcPr>
          <w:p w14:paraId="02BA5F98"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2" w:space="0" w:color="auto"/>
              <w:bottom w:val="single" w:sz="12" w:space="0" w:color="auto"/>
            </w:tcBorders>
          </w:tcPr>
          <w:p w14:paraId="42F1F84D" w14:textId="77777777" w:rsidR="00CF3449" w:rsidRPr="00693A57" w:rsidRDefault="00CF3449" w:rsidP="00B16C6E">
            <w:pPr>
              <w:pStyle w:val="Tabletext"/>
              <w:rPr>
                <w:strike/>
                <w:color w:val="0000FF"/>
                <w:szCs w:val="18"/>
              </w:rPr>
            </w:pPr>
            <w:r w:rsidRPr="00693A57">
              <w:rPr>
                <w:strike/>
                <w:color w:val="0000FF"/>
                <w:szCs w:val="18"/>
              </w:rPr>
              <w:t xml:space="preserve">All product phases </w:t>
            </w:r>
          </w:p>
        </w:tc>
      </w:tr>
      <w:tr w:rsidR="00CF3449" w:rsidRPr="00CF3449" w14:paraId="165ADA57" w14:textId="77777777" w:rsidTr="00B16C6E">
        <w:tc>
          <w:tcPr>
            <w:tcW w:w="1139" w:type="dxa"/>
            <w:vMerge w:val="restart"/>
            <w:tcBorders>
              <w:top w:val="single" w:sz="12" w:space="0" w:color="auto"/>
            </w:tcBorders>
            <w:vAlign w:val="center"/>
          </w:tcPr>
          <w:p w14:paraId="4C217682" w14:textId="77777777" w:rsidR="00CF3449" w:rsidRPr="00CF3449" w:rsidRDefault="00CF3449" w:rsidP="00B16C6E">
            <w:pPr>
              <w:pStyle w:val="Tabletext"/>
              <w:rPr>
                <w:strike/>
                <w:color w:val="7030A0"/>
                <w:szCs w:val="18"/>
              </w:rPr>
            </w:pPr>
            <w:r w:rsidRPr="00693A57">
              <w:rPr>
                <w:strike/>
                <w:color w:val="0000FF"/>
                <w:szCs w:val="18"/>
              </w:rPr>
              <w:t>Any other relevant ADI and initial data holders for non-primary brands</w:t>
            </w:r>
          </w:p>
        </w:tc>
        <w:tc>
          <w:tcPr>
            <w:tcW w:w="1134" w:type="dxa"/>
            <w:tcBorders>
              <w:top w:val="single" w:sz="12" w:space="0" w:color="auto"/>
              <w:bottom w:val="single" w:sz="2" w:space="0" w:color="auto"/>
            </w:tcBorders>
            <w:vAlign w:val="center"/>
          </w:tcPr>
          <w:p w14:paraId="3ACC29C6" w14:textId="77777777" w:rsidR="00CF3449" w:rsidRPr="00CF3449" w:rsidRDefault="00CF3449" w:rsidP="00B16C6E">
            <w:pPr>
              <w:pStyle w:val="Tabletext"/>
              <w:rPr>
                <w:strike/>
                <w:color w:val="7030A0"/>
                <w:szCs w:val="18"/>
              </w:rPr>
            </w:pPr>
            <w:r w:rsidRPr="00693A57">
              <w:rPr>
                <w:strike/>
                <w:color w:val="0000FF"/>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456B74E2" w14:textId="77777777" w:rsidR="00CF3449" w:rsidRPr="00CF3449" w:rsidRDefault="00CF3449" w:rsidP="00B16C6E">
            <w:pPr>
              <w:pStyle w:val="Tabletext"/>
              <w:rPr>
                <w:strike/>
                <w:color w:val="7030A0"/>
                <w:szCs w:val="18"/>
              </w:rPr>
            </w:pPr>
            <w:r w:rsidRPr="00693A57">
              <w:rPr>
                <w:strike/>
                <w:color w:val="0000FF"/>
                <w:szCs w:val="18"/>
              </w:rPr>
              <w:t>Phase 1</w:t>
            </w:r>
          </w:p>
        </w:tc>
        <w:tc>
          <w:tcPr>
            <w:tcW w:w="1016" w:type="dxa"/>
            <w:tcBorders>
              <w:top w:val="single" w:sz="12" w:space="0" w:color="auto"/>
              <w:bottom w:val="single" w:sz="2" w:space="0" w:color="auto"/>
            </w:tcBorders>
          </w:tcPr>
          <w:p w14:paraId="466FE7C7" w14:textId="77777777" w:rsidR="00CF3449" w:rsidRPr="00CF3449" w:rsidRDefault="00CF3449" w:rsidP="00B16C6E">
            <w:pPr>
              <w:pStyle w:val="Tabletext"/>
              <w:rPr>
                <w:strike/>
                <w:color w:val="7030A0"/>
                <w:szCs w:val="18"/>
              </w:rPr>
            </w:pPr>
            <w:r w:rsidRPr="00693A57">
              <w:rPr>
                <w:strike/>
                <w:color w:val="0000FF"/>
                <w:szCs w:val="18"/>
              </w:rPr>
              <w:t>Phase 1</w:t>
            </w:r>
            <w:r w:rsidRPr="00693A57">
              <w:rPr>
                <w:strike/>
                <w:color w:val="0000FF"/>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4E1BA9CA" w14:textId="77777777" w:rsidR="00CF3449" w:rsidRPr="00CF3449" w:rsidRDefault="00CF3449" w:rsidP="00B16C6E">
            <w:pPr>
              <w:pStyle w:val="Tabletext"/>
              <w:rPr>
                <w:strike/>
                <w:color w:val="7030A0"/>
                <w:szCs w:val="18"/>
              </w:rPr>
            </w:pPr>
            <w:r w:rsidRPr="00693A57">
              <w:rPr>
                <w:strike/>
                <w:color w:val="0000FF"/>
                <w:szCs w:val="18"/>
              </w:rPr>
              <w:t>Phase 1</w:t>
            </w:r>
            <w:r w:rsidRPr="00693A57">
              <w:rPr>
                <w:strike/>
                <w:color w:val="0000FF"/>
                <w:szCs w:val="18"/>
              </w:rPr>
              <w:br/>
              <w:t xml:space="preserve">Phase 2 </w:t>
            </w:r>
          </w:p>
        </w:tc>
        <w:tc>
          <w:tcPr>
            <w:tcW w:w="1016" w:type="dxa"/>
            <w:tcBorders>
              <w:top w:val="single" w:sz="12" w:space="0" w:color="auto"/>
              <w:bottom w:val="single" w:sz="2" w:space="0" w:color="auto"/>
            </w:tcBorders>
          </w:tcPr>
          <w:p w14:paraId="164D84D3" w14:textId="77777777" w:rsidR="00CF3449" w:rsidRPr="00CF3449" w:rsidRDefault="00CF3449" w:rsidP="00B16C6E">
            <w:pPr>
              <w:pStyle w:val="Tabletext"/>
              <w:rPr>
                <w:strike/>
                <w:color w:val="7030A0"/>
                <w:szCs w:val="18"/>
              </w:rPr>
            </w:pPr>
            <w:r w:rsidRPr="00693A57">
              <w:rPr>
                <w:strike/>
                <w:color w:val="0000FF"/>
                <w:szCs w:val="18"/>
              </w:rPr>
              <w:t>All product phases</w:t>
            </w:r>
          </w:p>
        </w:tc>
        <w:tc>
          <w:tcPr>
            <w:tcW w:w="1016" w:type="dxa"/>
            <w:tcBorders>
              <w:top w:val="single" w:sz="12" w:space="0" w:color="auto"/>
              <w:bottom w:val="single" w:sz="2" w:space="0" w:color="auto"/>
            </w:tcBorders>
            <w:shd w:val="clear" w:color="auto" w:fill="D9D9D9" w:themeFill="background1" w:themeFillShade="D9"/>
          </w:tcPr>
          <w:p w14:paraId="36ED4F58"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tcPr>
          <w:p w14:paraId="4909C1C1" w14:textId="77777777" w:rsidR="00CF3449" w:rsidRPr="00693A57" w:rsidRDefault="00CF3449" w:rsidP="00B16C6E">
            <w:pPr>
              <w:pStyle w:val="Tabletext"/>
              <w:rPr>
                <w:strike/>
                <w:color w:val="0000FF"/>
                <w:szCs w:val="18"/>
              </w:rPr>
            </w:pPr>
            <w:r w:rsidRPr="00693A57">
              <w:rPr>
                <w:strike/>
                <w:color w:val="0000FF"/>
                <w:szCs w:val="18"/>
              </w:rPr>
              <w:t xml:space="preserve">All product phases </w:t>
            </w:r>
          </w:p>
        </w:tc>
      </w:tr>
      <w:tr w:rsidR="00CF3449" w:rsidRPr="00CF3449" w14:paraId="1B8BFEEE" w14:textId="77777777" w:rsidTr="00B16C6E">
        <w:tc>
          <w:tcPr>
            <w:tcW w:w="1139" w:type="dxa"/>
            <w:vMerge/>
            <w:vAlign w:val="center"/>
          </w:tcPr>
          <w:p w14:paraId="3676EB30"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2" w:space="0" w:color="auto"/>
            </w:tcBorders>
            <w:vAlign w:val="center"/>
          </w:tcPr>
          <w:p w14:paraId="0B295107" w14:textId="77777777" w:rsidR="00CF3449" w:rsidRPr="00CF3449" w:rsidRDefault="00CF3449" w:rsidP="00B16C6E">
            <w:pPr>
              <w:pStyle w:val="Tabletext"/>
              <w:rPr>
                <w:strike/>
                <w:color w:val="7030A0"/>
                <w:szCs w:val="18"/>
              </w:rPr>
            </w:pPr>
            <w:r w:rsidRPr="00693A57">
              <w:rPr>
                <w:strike/>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B16430C"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30170478"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7E1332A7"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418B2050"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tcPr>
          <w:p w14:paraId="1163696B" w14:textId="77777777" w:rsidR="00CF3449" w:rsidRPr="00CF3449" w:rsidRDefault="00CF3449" w:rsidP="00B16C6E">
            <w:pPr>
              <w:pStyle w:val="Tabletext"/>
              <w:rPr>
                <w:strike/>
                <w:color w:val="7030A0"/>
                <w:szCs w:val="18"/>
              </w:rPr>
            </w:pPr>
            <w:r w:rsidRPr="00693A57">
              <w:rPr>
                <w:strike/>
                <w:color w:val="0000FF"/>
                <w:szCs w:val="18"/>
              </w:rPr>
              <w:t>All product phases</w:t>
            </w:r>
          </w:p>
        </w:tc>
        <w:tc>
          <w:tcPr>
            <w:tcW w:w="1016" w:type="dxa"/>
            <w:tcBorders>
              <w:top w:val="single" w:sz="2" w:space="0" w:color="auto"/>
              <w:bottom w:val="single" w:sz="2" w:space="0" w:color="auto"/>
            </w:tcBorders>
          </w:tcPr>
          <w:p w14:paraId="2DCFE4DF" w14:textId="77777777" w:rsidR="00CF3449" w:rsidRPr="00693A57" w:rsidRDefault="00CF3449" w:rsidP="00B16C6E">
            <w:pPr>
              <w:pStyle w:val="Tabletext"/>
              <w:rPr>
                <w:strike/>
                <w:color w:val="0000FF"/>
                <w:szCs w:val="18"/>
              </w:rPr>
            </w:pPr>
            <w:r w:rsidRPr="00693A57">
              <w:rPr>
                <w:strike/>
                <w:color w:val="0000FF"/>
                <w:szCs w:val="18"/>
              </w:rPr>
              <w:t>All product phases</w:t>
            </w:r>
          </w:p>
        </w:tc>
      </w:tr>
      <w:tr w:rsidR="00CF3449" w:rsidRPr="00CF3449" w14:paraId="18194A60" w14:textId="77777777" w:rsidTr="00B16C6E">
        <w:tc>
          <w:tcPr>
            <w:tcW w:w="1139" w:type="dxa"/>
            <w:vMerge/>
            <w:tcBorders>
              <w:bottom w:val="single" w:sz="12" w:space="0" w:color="auto"/>
            </w:tcBorders>
            <w:vAlign w:val="center"/>
          </w:tcPr>
          <w:p w14:paraId="64BFA19D"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12" w:space="0" w:color="auto"/>
            </w:tcBorders>
            <w:vAlign w:val="center"/>
          </w:tcPr>
          <w:p w14:paraId="26A7E3DF" w14:textId="77777777" w:rsidR="00CF3449" w:rsidRPr="00CF3449" w:rsidRDefault="00CF3449" w:rsidP="00B16C6E">
            <w:pPr>
              <w:pStyle w:val="Tabletext"/>
              <w:rPr>
                <w:strike/>
                <w:color w:val="7030A0"/>
                <w:szCs w:val="18"/>
              </w:rPr>
            </w:pPr>
            <w:r w:rsidRPr="00693A57">
              <w:rPr>
                <w:strike/>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11DDA1B4"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12" w:space="0" w:color="auto"/>
            </w:tcBorders>
            <w:vAlign w:val="center"/>
          </w:tcPr>
          <w:p w14:paraId="7E913900"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12" w:space="0" w:color="auto"/>
            </w:tcBorders>
            <w:shd w:val="clear" w:color="auto" w:fill="D9D9D9" w:themeFill="background1" w:themeFillShade="D9"/>
            <w:vAlign w:val="center"/>
          </w:tcPr>
          <w:p w14:paraId="2444A133"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12" w:space="0" w:color="auto"/>
            </w:tcBorders>
          </w:tcPr>
          <w:p w14:paraId="77E8E017" w14:textId="77777777" w:rsidR="00CF3449" w:rsidRPr="00CF3449" w:rsidRDefault="00CF3449" w:rsidP="00B16C6E">
            <w:pPr>
              <w:pStyle w:val="Tabletext"/>
              <w:rPr>
                <w:strike/>
                <w:color w:val="7030A0"/>
                <w:szCs w:val="18"/>
              </w:rPr>
            </w:pPr>
            <w:r w:rsidRPr="00693A57">
              <w:rPr>
                <w:strike/>
                <w:color w:val="0000FF"/>
                <w:szCs w:val="18"/>
              </w:rPr>
              <w:t xml:space="preserve">Phase 1 (see sc 6.4(3))  </w:t>
            </w:r>
          </w:p>
        </w:tc>
        <w:tc>
          <w:tcPr>
            <w:tcW w:w="1016" w:type="dxa"/>
            <w:tcBorders>
              <w:top w:val="single" w:sz="2" w:space="0" w:color="auto"/>
              <w:bottom w:val="single" w:sz="12" w:space="0" w:color="auto"/>
            </w:tcBorders>
            <w:shd w:val="clear" w:color="auto" w:fill="D9D9D9" w:themeFill="background1" w:themeFillShade="D9"/>
          </w:tcPr>
          <w:p w14:paraId="3BE9C5E5" w14:textId="77777777" w:rsidR="00CF3449" w:rsidRPr="00CF3449" w:rsidRDefault="00CF3449" w:rsidP="00B16C6E">
            <w:pPr>
              <w:pStyle w:val="Tabletext"/>
              <w:rPr>
                <w:strike/>
                <w:color w:val="7030A0"/>
                <w:szCs w:val="18"/>
              </w:rPr>
            </w:pPr>
            <w:r w:rsidRPr="00693A57">
              <w:rPr>
                <w:strike/>
                <w:color w:val="0000FF"/>
                <w:szCs w:val="18"/>
              </w:rPr>
              <w:t>Phase 1</w:t>
            </w:r>
            <w:r w:rsidRPr="00693A57">
              <w:rPr>
                <w:strike/>
                <w:color w:val="0000FF"/>
                <w:szCs w:val="18"/>
              </w:rPr>
              <w:br/>
              <w:t xml:space="preserve">Phase 2 </w:t>
            </w:r>
          </w:p>
        </w:tc>
        <w:tc>
          <w:tcPr>
            <w:tcW w:w="1016" w:type="dxa"/>
            <w:tcBorders>
              <w:top w:val="single" w:sz="2" w:space="0" w:color="auto"/>
              <w:bottom w:val="single" w:sz="12" w:space="0" w:color="auto"/>
            </w:tcBorders>
          </w:tcPr>
          <w:p w14:paraId="1259BFA1" w14:textId="77777777" w:rsidR="00CF3449" w:rsidRPr="00693A57" w:rsidRDefault="00CF3449" w:rsidP="00B16C6E">
            <w:pPr>
              <w:pStyle w:val="Tabletext"/>
              <w:rPr>
                <w:strike/>
                <w:color w:val="0000FF"/>
                <w:szCs w:val="18"/>
              </w:rPr>
            </w:pPr>
            <w:r w:rsidRPr="00693A57">
              <w:rPr>
                <w:strike/>
                <w:color w:val="0000FF"/>
                <w:szCs w:val="18"/>
              </w:rPr>
              <w:t>All product phases</w:t>
            </w:r>
          </w:p>
        </w:tc>
      </w:tr>
      <w:tr w:rsidR="00CF3449" w:rsidRPr="00CF3449" w14:paraId="47509248" w14:textId="77777777" w:rsidTr="00B16C6E">
        <w:tc>
          <w:tcPr>
            <w:tcW w:w="1139" w:type="dxa"/>
            <w:vMerge w:val="restart"/>
            <w:tcBorders>
              <w:top w:val="single" w:sz="12" w:space="0" w:color="auto"/>
            </w:tcBorders>
            <w:vAlign w:val="center"/>
          </w:tcPr>
          <w:p w14:paraId="1D46F1E9" w14:textId="77777777" w:rsidR="00CF3449" w:rsidRPr="00CF3449" w:rsidRDefault="00CF3449" w:rsidP="00B16C6E">
            <w:pPr>
              <w:pStyle w:val="Tabletext"/>
              <w:rPr>
                <w:strike/>
                <w:color w:val="7030A0"/>
                <w:szCs w:val="18"/>
              </w:rPr>
            </w:pPr>
            <w:r w:rsidRPr="00693A57">
              <w:rPr>
                <w:strike/>
                <w:color w:val="0000FF"/>
                <w:szCs w:val="18"/>
              </w:rPr>
              <w:t>Accredited ADI and accredited non-ADI (reciprocal data holder)</w:t>
            </w:r>
          </w:p>
        </w:tc>
        <w:tc>
          <w:tcPr>
            <w:tcW w:w="1134" w:type="dxa"/>
            <w:tcBorders>
              <w:top w:val="single" w:sz="12" w:space="0" w:color="auto"/>
              <w:bottom w:val="single" w:sz="2" w:space="0" w:color="auto"/>
            </w:tcBorders>
            <w:vAlign w:val="center"/>
          </w:tcPr>
          <w:p w14:paraId="45BB317D" w14:textId="77777777" w:rsidR="00CF3449" w:rsidRPr="00CF3449" w:rsidRDefault="00CF3449" w:rsidP="00B16C6E">
            <w:pPr>
              <w:pStyle w:val="Tabletext"/>
              <w:rPr>
                <w:strike/>
                <w:color w:val="7030A0"/>
                <w:szCs w:val="18"/>
              </w:rPr>
            </w:pPr>
            <w:r w:rsidRPr="00693A57">
              <w:rPr>
                <w:strike/>
                <w:color w:val="0000FF"/>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39666AF1"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tcPr>
          <w:p w14:paraId="292173EC"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0368EC72"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tcPr>
          <w:p w14:paraId="6B437E5E"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1753DBC1"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12" w:space="0" w:color="auto"/>
              <w:bottom w:val="single" w:sz="2" w:space="0" w:color="auto"/>
            </w:tcBorders>
          </w:tcPr>
          <w:p w14:paraId="07223B7B" w14:textId="77777777" w:rsidR="00CF3449" w:rsidRPr="00693A57" w:rsidRDefault="00CF3449" w:rsidP="00B16C6E">
            <w:pPr>
              <w:pStyle w:val="Tabletext"/>
              <w:rPr>
                <w:strike/>
                <w:color w:val="0000FF"/>
                <w:szCs w:val="18"/>
              </w:rPr>
            </w:pPr>
            <w:r w:rsidRPr="00693A57">
              <w:rPr>
                <w:strike/>
                <w:color w:val="0000FF"/>
                <w:szCs w:val="18"/>
              </w:rPr>
              <w:t xml:space="preserve">All product phases </w:t>
            </w:r>
          </w:p>
        </w:tc>
      </w:tr>
      <w:tr w:rsidR="00CF3449" w:rsidRPr="00CF3449" w14:paraId="3A4B3791" w14:textId="77777777" w:rsidTr="00B16C6E">
        <w:tc>
          <w:tcPr>
            <w:tcW w:w="1139" w:type="dxa"/>
            <w:vMerge/>
            <w:vAlign w:val="center"/>
          </w:tcPr>
          <w:p w14:paraId="7908C1A0"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2" w:space="0" w:color="auto"/>
            </w:tcBorders>
            <w:vAlign w:val="center"/>
          </w:tcPr>
          <w:p w14:paraId="5FF8FF6C" w14:textId="77777777" w:rsidR="00CF3449" w:rsidRPr="00CF3449" w:rsidRDefault="00CF3449" w:rsidP="00B16C6E">
            <w:pPr>
              <w:pStyle w:val="Tabletext"/>
              <w:rPr>
                <w:strike/>
                <w:color w:val="7030A0"/>
                <w:szCs w:val="18"/>
              </w:rPr>
            </w:pPr>
            <w:r w:rsidRPr="00693A57">
              <w:rPr>
                <w:strike/>
                <w:color w:val="0000FF"/>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6E6BCC71"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388EEEB5"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5E685FB5"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vAlign w:val="center"/>
          </w:tcPr>
          <w:p w14:paraId="652C874E"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2" w:space="0" w:color="auto"/>
            </w:tcBorders>
            <w:shd w:val="clear" w:color="auto" w:fill="D9D9D9" w:themeFill="background1" w:themeFillShade="D9"/>
          </w:tcPr>
          <w:p w14:paraId="784FB265"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2" w:space="0" w:color="auto"/>
              <w:bottom w:val="single" w:sz="2" w:space="0" w:color="auto"/>
            </w:tcBorders>
          </w:tcPr>
          <w:p w14:paraId="247BBE96" w14:textId="77777777" w:rsidR="00CF3449" w:rsidRPr="00693A57" w:rsidRDefault="00CF3449" w:rsidP="00B16C6E">
            <w:pPr>
              <w:pStyle w:val="Tabletext"/>
              <w:rPr>
                <w:strike/>
                <w:color w:val="0000FF"/>
                <w:szCs w:val="18"/>
              </w:rPr>
            </w:pPr>
            <w:r w:rsidRPr="00693A57">
              <w:rPr>
                <w:strike/>
                <w:color w:val="0000FF"/>
                <w:szCs w:val="18"/>
              </w:rPr>
              <w:t xml:space="preserve">All product phases </w:t>
            </w:r>
          </w:p>
        </w:tc>
      </w:tr>
      <w:tr w:rsidR="00CF3449" w:rsidRPr="00CF3449" w14:paraId="360B4EA7" w14:textId="77777777" w:rsidTr="00B16C6E">
        <w:tc>
          <w:tcPr>
            <w:tcW w:w="1139" w:type="dxa"/>
            <w:vMerge/>
            <w:tcBorders>
              <w:bottom w:val="single" w:sz="12" w:space="0" w:color="auto"/>
            </w:tcBorders>
            <w:vAlign w:val="center"/>
          </w:tcPr>
          <w:p w14:paraId="729F7C8E" w14:textId="77777777" w:rsidR="00CF3449" w:rsidRPr="00CF3449" w:rsidRDefault="00CF3449" w:rsidP="00B16C6E">
            <w:pPr>
              <w:pStyle w:val="Tabletext"/>
              <w:rPr>
                <w:strike/>
                <w:color w:val="7030A0"/>
                <w:szCs w:val="18"/>
              </w:rPr>
            </w:pPr>
          </w:p>
        </w:tc>
        <w:tc>
          <w:tcPr>
            <w:tcW w:w="1134" w:type="dxa"/>
            <w:tcBorders>
              <w:top w:val="single" w:sz="2" w:space="0" w:color="auto"/>
              <w:bottom w:val="single" w:sz="12" w:space="0" w:color="auto"/>
            </w:tcBorders>
            <w:vAlign w:val="center"/>
          </w:tcPr>
          <w:p w14:paraId="6B7A4D58" w14:textId="77777777" w:rsidR="00CF3449" w:rsidRPr="00CF3449" w:rsidRDefault="00CF3449" w:rsidP="00B16C6E">
            <w:pPr>
              <w:pStyle w:val="Tabletext"/>
              <w:rPr>
                <w:strike/>
                <w:color w:val="7030A0"/>
                <w:szCs w:val="18"/>
              </w:rPr>
            </w:pPr>
            <w:r w:rsidRPr="00693A57">
              <w:rPr>
                <w:strike/>
                <w:color w:val="0000FF"/>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4DF60940"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12" w:space="0" w:color="auto"/>
            </w:tcBorders>
            <w:vAlign w:val="center"/>
          </w:tcPr>
          <w:p w14:paraId="72CDC5D2" w14:textId="77777777" w:rsidR="00CF3449" w:rsidRPr="00CF3449" w:rsidRDefault="00CF3449" w:rsidP="00B16C6E">
            <w:pPr>
              <w:pStyle w:val="Tabletext"/>
              <w:rPr>
                <w:strike/>
                <w:color w:val="7030A0"/>
                <w:szCs w:val="18"/>
              </w:rPr>
            </w:pPr>
            <w:r w:rsidRPr="00693A57">
              <w:rPr>
                <w:strike/>
                <w:color w:val="0000FF"/>
                <w:szCs w:val="18"/>
              </w:rPr>
              <w:t>-</w:t>
            </w:r>
          </w:p>
        </w:tc>
        <w:tc>
          <w:tcPr>
            <w:tcW w:w="1016" w:type="dxa"/>
            <w:tcBorders>
              <w:top w:val="single" w:sz="2" w:space="0" w:color="auto"/>
              <w:bottom w:val="single" w:sz="12" w:space="0" w:color="auto"/>
            </w:tcBorders>
            <w:shd w:val="clear" w:color="auto" w:fill="D9D9D9" w:themeFill="background1" w:themeFillShade="D9"/>
          </w:tcPr>
          <w:p w14:paraId="5B2B06DE" w14:textId="77777777" w:rsidR="00CF3449" w:rsidRPr="00CF3449" w:rsidRDefault="00CF3449" w:rsidP="00B16C6E">
            <w:pPr>
              <w:pStyle w:val="Tabletext"/>
              <w:rPr>
                <w:strike/>
                <w:color w:val="7030A0"/>
                <w:szCs w:val="18"/>
              </w:rPr>
            </w:pPr>
            <w:r w:rsidRPr="00693A57">
              <w:rPr>
                <w:strike/>
                <w:color w:val="0000FF"/>
                <w:szCs w:val="18"/>
              </w:rPr>
              <w:t>Phase 1 (see sc 6.4(3))</w:t>
            </w:r>
          </w:p>
        </w:tc>
        <w:tc>
          <w:tcPr>
            <w:tcW w:w="1016" w:type="dxa"/>
            <w:tcBorders>
              <w:top w:val="single" w:sz="2" w:space="0" w:color="auto"/>
              <w:bottom w:val="single" w:sz="12" w:space="0" w:color="auto"/>
            </w:tcBorders>
          </w:tcPr>
          <w:p w14:paraId="1CB35CF9" w14:textId="77777777" w:rsidR="00CF3449" w:rsidRPr="00CF3449" w:rsidRDefault="00CF3449" w:rsidP="00B16C6E">
            <w:pPr>
              <w:pStyle w:val="Tabletext"/>
              <w:rPr>
                <w:strike/>
                <w:color w:val="7030A0"/>
                <w:szCs w:val="18"/>
              </w:rPr>
            </w:pPr>
            <w:r w:rsidRPr="00693A57">
              <w:rPr>
                <w:strike/>
                <w:color w:val="0000FF"/>
                <w:szCs w:val="18"/>
              </w:rPr>
              <w:t xml:space="preserve">All product phases  </w:t>
            </w:r>
          </w:p>
        </w:tc>
        <w:tc>
          <w:tcPr>
            <w:tcW w:w="1016" w:type="dxa"/>
            <w:tcBorders>
              <w:top w:val="single" w:sz="2" w:space="0" w:color="auto"/>
              <w:bottom w:val="single" w:sz="12" w:space="0" w:color="auto"/>
            </w:tcBorders>
            <w:shd w:val="clear" w:color="auto" w:fill="D9D9D9" w:themeFill="background1" w:themeFillShade="D9"/>
          </w:tcPr>
          <w:p w14:paraId="28028CA2" w14:textId="77777777" w:rsidR="00CF3449" w:rsidRPr="00CF3449" w:rsidRDefault="00CF3449" w:rsidP="00B16C6E">
            <w:pPr>
              <w:pStyle w:val="Tabletext"/>
              <w:rPr>
                <w:strike/>
                <w:color w:val="7030A0"/>
                <w:szCs w:val="18"/>
              </w:rPr>
            </w:pPr>
            <w:r w:rsidRPr="00693A57">
              <w:rPr>
                <w:strike/>
                <w:color w:val="0000FF"/>
                <w:szCs w:val="18"/>
              </w:rPr>
              <w:t>All product phases</w:t>
            </w:r>
          </w:p>
        </w:tc>
        <w:tc>
          <w:tcPr>
            <w:tcW w:w="1016" w:type="dxa"/>
            <w:tcBorders>
              <w:top w:val="single" w:sz="2" w:space="0" w:color="auto"/>
              <w:bottom w:val="single" w:sz="12" w:space="0" w:color="auto"/>
            </w:tcBorders>
          </w:tcPr>
          <w:p w14:paraId="04D9E3F8" w14:textId="77777777" w:rsidR="00CF3449" w:rsidRPr="00693A57" w:rsidRDefault="00CF3449" w:rsidP="00B16C6E">
            <w:pPr>
              <w:pStyle w:val="Tabletext"/>
              <w:rPr>
                <w:strike/>
                <w:color w:val="0000FF"/>
                <w:szCs w:val="18"/>
              </w:rPr>
            </w:pPr>
            <w:r w:rsidRPr="00693A57">
              <w:rPr>
                <w:strike/>
                <w:color w:val="0000FF"/>
                <w:szCs w:val="18"/>
              </w:rPr>
              <w:t>All product phases</w:t>
            </w:r>
          </w:p>
        </w:tc>
      </w:tr>
    </w:tbl>
    <w:p w14:paraId="6AD520ED" w14:textId="77777777" w:rsidR="00CF3449" w:rsidRDefault="00CF3449" w:rsidP="00CF3449">
      <w:pPr>
        <w:pStyle w:val="notemargin"/>
      </w:pPr>
    </w:p>
    <w:p w14:paraId="0D5D1026" w14:textId="77777777" w:rsidR="00CF3449" w:rsidRPr="0087060A" w:rsidRDefault="00CF3449" w:rsidP="00CF3449">
      <w:pPr>
        <w:pStyle w:val="notemargin"/>
      </w:pPr>
      <w:r w:rsidRPr="0087060A">
        <w:t>Note:</w:t>
      </w:r>
      <w:r w:rsidRPr="0087060A">
        <w:tab/>
        <w:t>Part 2 of these rules deals with product reference data. Part 3 of these rules deals with consumer data requests made by eligible CDR consumers. Part 4 of these rules deals with consumer data requests made by accredited persons.</w:t>
      </w:r>
    </w:p>
    <w:p w14:paraId="01D62C8C" w14:textId="2D410395" w:rsidR="00CF0E3D" w:rsidRPr="0087060A" w:rsidRDefault="00CF0E3D" w:rsidP="00CF3449">
      <w:pPr>
        <w:pStyle w:val="subsection"/>
        <w:spacing w:after="120"/>
      </w:pPr>
      <w:r w:rsidRPr="0087060A">
        <w:tab/>
        <w:t>(2)</w:t>
      </w:r>
      <w:r w:rsidRPr="0087060A">
        <w:tab/>
        <w:t xml:space="preserve">For this clause, the </w:t>
      </w:r>
      <w:r w:rsidRPr="0087060A">
        <w:rPr>
          <w:b/>
          <w:i/>
        </w:rPr>
        <w:t xml:space="preserve">start date </w:t>
      </w:r>
      <w:r w:rsidRPr="0087060A">
        <w:t xml:space="preserve">is the day the </w:t>
      </w:r>
      <w:r w:rsidRPr="0087060A">
        <w:rPr>
          <w:i/>
        </w:rPr>
        <w:t>Competition and Consumer (Consumer Data Right) Amendment Rules (No. 3) 2020</w:t>
      </w:r>
      <w:r w:rsidRPr="0087060A">
        <w:t xml:space="preserve"> commenced.</w:t>
      </w:r>
    </w:p>
    <w:p w14:paraId="1077A565" w14:textId="44935F88" w:rsidR="00CF0E3D" w:rsidRPr="00703CC8" w:rsidRDefault="00CF0E3D" w:rsidP="00CF0E3D">
      <w:pPr>
        <w:pStyle w:val="ActHead5"/>
        <w:tabs>
          <w:tab w:val="center" w:pos="3929"/>
        </w:tabs>
      </w:pPr>
      <w:bookmarkStart w:id="735" w:name="_Toc57391204"/>
      <w:bookmarkStart w:id="736" w:name="_Toc59549201"/>
      <w:bookmarkStart w:id="737" w:name="_Toc77065124"/>
      <w:r w:rsidRPr="00703CC8">
        <w:t>6.7  Application of certain rules</w:t>
      </w:r>
      <w:bookmarkEnd w:id="735"/>
      <w:bookmarkEnd w:id="736"/>
      <w:bookmarkEnd w:id="737"/>
    </w:p>
    <w:p w14:paraId="5910BF73" w14:textId="77777777" w:rsidR="00CF0E3D" w:rsidRPr="00703CC8" w:rsidRDefault="00CF0E3D" w:rsidP="00CF0E3D">
      <w:pPr>
        <w:pStyle w:val="subsection"/>
      </w:pPr>
      <w:r w:rsidRPr="00703CC8">
        <w:tab/>
        <w:t>(1)</w:t>
      </w:r>
      <w:r w:rsidRPr="00703CC8">
        <w:tab/>
        <w:t xml:space="preserve">In this clause, the </w:t>
      </w:r>
      <w:r w:rsidRPr="00703CC8">
        <w:rPr>
          <w:b/>
          <w:i/>
        </w:rPr>
        <w:t xml:space="preserve">affected provisions </w:t>
      </w:r>
      <w:r w:rsidRPr="00703CC8">
        <w:t>are provisions of these rules that impose obligations on data holders in relation to:</w:t>
      </w:r>
    </w:p>
    <w:p w14:paraId="728D929D" w14:textId="77777777" w:rsidR="00CF0E3D" w:rsidRPr="00703CC8" w:rsidRDefault="00CF0E3D" w:rsidP="00CF0E3D">
      <w:pPr>
        <w:pStyle w:val="paragraph"/>
      </w:pPr>
      <w:r w:rsidRPr="00703CC8">
        <w:tab/>
        <w:t>(a)</w:t>
      </w:r>
      <w:r w:rsidRPr="00703CC8">
        <w:tab/>
        <w:t>CDR consumers that are not individuals; or</w:t>
      </w:r>
    </w:p>
    <w:p w14:paraId="3C3E8A32" w14:textId="77777777" w:rsidR="00CF0E3D" w:rsidRPr="00703CC8" w:rsidRDefault="00CF0E3D" w:rsidP="00CF0E3D">
      <w:pPr>
        <w:pStyle w:val="paragraph"/>
      </w:pPr>
      <w:r w:rsidRPr="00703CC8">
        <w:tab/>
        <w:t>(b)</w:t>
      </w:r>
      <w:r w:rsidRPr="00703CC8">
        <w:tab/>
        <w:t>partnerships; or</w:t>
      </w:r>
    </w:p>
    <w:p w14:paraId="46486F10" w14:textId="77777777" w:rsidR="00CF0E3D" w:rsidRPr="00703CC8" w:rsidRDefault="00CF0E3D" w:rsidP="00CF0E3D">
      <w:pPr>
        <w:pStyle w:val="paragraph"/>
      </w:pPr>
      <w:r w:rsidRPr="00703CC8">
        <w:tab/>
        <w:t>(c)</w:t>
      </w:r>
      <w:r w:rsidRPr="00703CC8">
        <w:tab/>
        <w:t>nominated representatives; or</w:t>
      </w:r>
    </w:p>
    <w:p w14:paraId="63D99CEA" w14:textId="77777777" w:rsidR="00CF0E3D" w:rsidRPr="00703CC8" w:rsidRDefault="00CF0E3D" w:rsidP="00CF0E3D">
      <w:pPr>
        <w:pStyle w:val="paragraph"/>
      </w:pPr>
      <w:r w:rsidRPr="00703CC8">
        <w:tab/>
        <w:t>(d)</w:t>
      </w:r>
      <w:r w:rsidRPr="00703CC8">
        <w:tab/>
        <w:t>secondary users.</w:t>
      </w:r>
    </w:p>
    <w:p w14:paraId="2E65B0A0" w14:textId="77777777" w:rsidR="00CF0E3D" w:rsidRPr="00C81620" w:rsidRDefault="00CF0E3D" w:rsidP="00CF0E3D">
      <w:pPr>
        <w:pStyle w:val="subsection"/>
      </w:pPr>
      <w:r w:rsidRPr="00C81620">
        <w:tab/>
        <w:t>(2)</w:t>
      </w:r>
      <w:r w:rsidRPr="00C81620">
        <w:tab/>
        <w:t xml:space="preserve">The affected provisions apply in relation to initial data holders in respect of </w:t>
      </w:r>
      <w:r w:rsidRPr="004F7FBE">
        <w:rPr>
          <w:szCs w:val="18"/>
        </w:rPr>
        <w:t>NAB, CBA, ANZ, Westpac branded products</w:t>
      </w:r>
      <w:r w:rsidRPr="004F7FBE">
        <w:t xml:space="preserve"> </w:t>
      </w:r>
      <w:r w:rsidRPr="00C81620">
        <w:t>on and from 1 November 2021.</w:t>
      </w:r>
    </w:p>
    <w:p w14:paraId="0E35A805" w14:textId="77777777" w:rsidR="00CF0E3D" w:rsidRDefault="00CF0E3D" w:rsidP="00CF0E3D">
      <w:pPr>
        <w:pStyle w:val="subsection"/>
      </w:pPr>
      <w:r w:rsidRPr="00703CC8">
        <w:lastRenderedPageBreak/>
        <w:tab/>
        <w:t>(3)</w:t>
      </w:r>
      <w:r w:rsidRPr="00703CC8">
        <w:tab/>
        <w:t>Otherwise, the affected provisions apply in relation to data holders on and from 1 November 2022.</w:t>
      </w:r>
    </w:p>
    <w:p w14:paraId="3B7B7CA4" w14:textId="23477372" w:rsidR="00CF0E3D" w:rsidRPr="001164F0" w:rsidRDefault="00CF0E3D" w:rsidP="00CF0E3D">
      <w:pPr>
        <w:pStyle w:val="ActHead2"/>
        <w:pageBreakBefore/>
      </w:pPr>
      <w:bookmarkStart w:id="738" w:name="_Toc11771748"/>
      <w:bookmarkStart w:id="739" w:name="_Toc77065125"/>
      <w:r>
        <w:rPr>
          <w:color w:val="000000" w:themeColor="text1"/>
        </w:rPr>
        <w:lastRenderedPageBreak/>
        <w:t>Part 7</w:t>
      </w:r>
      <w:r w:rsidRPr="0072242E">
        <w:rPr>
          <w:color w:val="000000" w:themeColor="text1"/>
        </w:rPr>
        <w:t xml:space="preserve">—Other </w:t>
      </w:r>
      <w:r w:rsidRPr="001164F0">
        <w:t>rules, and modifications of these rules, for the banking sector</w:t>
      </w:r>
      <w:bookmarkEnd w:id="738"/>
      <w:bookmarkEnd w:id="739"/>
    </w:p>
    <w:p w14:paraId="0B697B98" w14:textId="13C6CA04" w:rsidR="00CF0E3D" w:rsidRPr="001164F0" w:rsidRDefault="00CF0E3D" w:rsidP="00CF0E3D">
      <w:pPr>
        <w:pStyle w:val="ActHead5"/>
      </w:pPr>
      <w:bookmarkStart w:id="740" w:name="_Toc11771749"/>
      <w:bookmarkStart w:id="741" w:name="_Toc17301639"/>
      <w:bookmarkStart w:id="742" w:name="_Toc77065126"/>
      <w:r>
        <w:t>7.1</w:t>
      </w:r>
      <w:r w:rsidRPr="001164F0">
        <w:t xml:space="preserve">  Laws relevant to the management of CDR data—banking sector</w:t>
      </w:r>
      <w:bookmarkEnd w:id="740"/>
      <w:bookmarkEnd w:id="741"/>
      <w:bookmarkEnd w:id="742"/>
    </w:p>
    <w:p w14:paraId="68B72BCA" w14:textId="77777777" w:rsidR="00CF0E3D" w:rsidRPr="001164F0" w:rsidRDefault="00CF0E3D" w:rsidP="00CF0E3D">
      <w:pPr>
        <w:pStyle w:val="subsection"/>
      </w:pPr>
      <w:r>
        <w:tab/>
      </w:r>
      <w:r>
        <w:tab/>
      </w:r>
      <w:r w:rsidRPr="001164F0">
        <w:t>For paragraph (f) of the definition of “law relevant to the management of CDR data” in rule </w:t>
      </w:r>
      <w:r>
        <w:t>1.7</w:t>
      </w:r>
      <w:r w:rsidRPr="001164F0">
        <w:t xml:space="preserve"> of these rules, the </w:t>
      </w:r>
      <w:r w:rsidRPr="001164F0">
        <w:rPr>
          <w:i/>
          <w:iCs/>
        </w:rPr>
        <w:t xml:space="preserve">Australian Securities and Investments Commission Act 2001 </w:t>
      </w:r>
      <w:r w:rsidRPr="001164F0">
        <w:t>is a law relevant to the management of CDR data in relation to the banking sector.</w:t>
      </w:r>
    </w:p>
    <w:p w14:paraId="5617DFB7" w14:textId="502C8347" w:rsidR="00CF0E3D" w:rsidRPr="00D476C3" w:rsidRDefault="00CF0E3D" w:rsidP="00CF0E3D">
      <w:pPr>
        <w:pStyle w:val="ActHead5"/>
      </w:pPr>
      <w:bookmarkStart w:id="743" w:name="_Toc77065127"/>
      <w:r>
        <w:t>7.2</w:t>
      </w:r>
      <w:r w:rsidRPr="00D476C3">
        <w:t xml:space="preserve">  Conditions for accredited person to be data holder</w:t>
      </w:r>
      <w:bookmarkEnd w:id="743"/>
    </w:p>
    <w:p w14:paraId="6CEE4891" w14:textId="77777777" w:rsidR="00CF0E3D" w:rsidRDefault="00CF0E3D" w:rsidP="00CF0E3D">
      <w:pPr>
        <w:pStyle w:val="subsection"/>
      </w:pPr>
      <w:r w:rsidRPr="00D476C3">
        <w:tab/>
      </w:r>
      <w:r>
        <w:t>(1)</w:t>
      </w:r>
      <w:r w:rsidRPr="00D476C3">
        <w:tab/>
        <w:t xml:space="preserve">For paragraph 56AJ(4)(c) of the Act, this clause sets out conditions for a person that has collected CDR data in accordance with a consumer data request under </w:t>
      </w:r>
      <w:r>
        <w:t>Part 4</w:t>
      </w:r>
      <w:r w:rsidRPr="00EF1C66">
        <w:t xml:space="preserve"> </w:t>
      </w:r>
      <w:r w:rsidRPr="00D476C3">
        <w:t xml:space="preserve">of these rules to be a data holder (rather than an accredited data recipient) of that CDR data and any CDR data that it directly or indirectly derived from that CDR data (together, the </w:t>
      </w:r>
      <w:r w:rsidRPr="00D476C3">
        <w:rPr>
          <w:b/>
          <w:i/>
        </w:rPr>
        <w:t xml:space="preserve">relevant </w:t>
      </w:r>
      <w:r w:rsidRPr="00D476C3">
        <w:t>CDR data</w:t>
      </w:r>
      <w:r w:rsidRPr="00D476C3">
        <w:rPr>
          <w:b/>
        </w:rPr>
        <w:t>)</w:t>
      </w:r>
      <w:r w:rsidRPr="00D476C3">
        <w:t>.</w:t>
      </w:r>
    </w:p>
    <w:p w14:paraId="0C62E1C2" w14:textId="77777777" w:rsidR="00CF0E3D" w:rsidRPr="00FA14C2" w:rsidRDefault="00CF0E3D" w:rsidP="00CF0E3D">
      <w:pPr>
        <w:pStyle w:val="subsection"/>
      </w:pPr>
      <w:r w:rsidRPr="00FA14C2">
        <w:tab/>
      </w:r>
      <w:r>
        <w:t>(2)</w:t>
      </w:r>
      <w:r w:rsidRPr="00FA14C2">
        <w:tab/>
        <w:t>The conditions are that:</w:t>
      </w:r>
    </w:p>
    <w:p w14:paraId="487B855A" w14:textId="77777777" w:rsidR="00CF0E3D" w:rsidRPr="00FA14C2" w:rsidRDefault="00CF0E3D" w:rsidP="00CF0E3D">
      <w:pPr>
        <w:pStyle w:val="paragraph"/>
      </w:pPr>
      <w:r w:rsidRPr="00FA14C2">
        <w:tab/>
      </w:r>
      <w:r>
        <w:t>(a)</w:t>
      </w:r>
      <w:r w:rsidRPr="00FA14C2">
        <w:tab/>
        <w:t>the person is an ADI; and</w:t>
      </w:r>
    </w:p>
    <w:p w14:paraId="45B7982D" w14:textId="77777777" w:rsidR="00CF0E3D" w:rsidRPr="00FA14C2" w:rsidRDefault="00CF0E3D" w:rsidP="00CF0E3D">
      <w:pPr>
        <w:pStyle w:val="paragraph"/>
      </w:pPr>
      <w:r w:rsidRPr="00FA14C2">
        <w:tab/>
      </w:r>
      <w:r>
        <w:t>(b)</w:t>
      </w:r>
      <w:r w:rsidRPr="00FA14C2">
        <w:tab/>
        <w:t>the CDR consumer has acquired a product from the person; and</w:t>
      </w:r>
    </w:p>
    <w:p w14:paraId="2F55BEF4" w14:textId="77777777" w:rsidR="00CF0E3D" w:rsidRPr="00FA14C2" w:rsidRDefault="00CF0E3D" w:rsidP="00CF0E3D">
      <w:pPr>
        <w:pStyle w:val="paragraph"/>
      </w:pPr>
      <w:r w:rsidRPr="00FA14C2">
        <w:tab/>
      </w:r>
      <w:r>
        <w:t>(c)</w:t>
      </w:r>
      <w:r w:rsidRPr="00FA14C2">
        <w:tab/>
        <w:t>the person:</w:t>
      </w:r>
    </w:p>
    <w:p w14:paraId="078B70DC" w14:textId="77777777" w:rsidR="00CF0E3D" w:rsidRPr="00FA14C2" w:rsidRDefault="00CF0E3D" w:rsidP="00CF0E3D">
      <w:pPr>
        <w:pStyle w:val="paragraphsub"/>
      </w:pPr>
      <w:r w:rsidRPr="00FA14C2">
        <w:tab/>
      </w:r>
      <w:r>
        <w:t>(i)</w:t>
      </w:r>
      <w:r w:rsidRPr="00FA14C2">
        <w:tab/>
        <w:t>reasonably believes that the relevant CDR data is relevant to its provision of the product to the CDR consumer; and</w:t>
      </w:r>
    </w:p>
    <w:p w14:paraId="0B754FB6" w14:textId="77777777" w:rsidR="00CF0E3D" w:rsidRPr="00FA14C2" w:rsidRDefault="00CF0E3D" w:rsidP="00CF0E3D">
      <w:pPr>
        <w:pStyle w:val="paragraphsub"/>
      </w:pPr>
      <w:r w:rsidRPr="00FA14C2">
        <w:tab/>
      </w:r>
      <w:r>
        <w:t>(ii)</w:t>
      </w:r>
      <w:r w:rsidRPr="00FA14C2">
        <w:tab/>
        <w:t>has asked the CDR consumer to agree to the person being a data holder, rather than an accredited data recipient, of the relevant CDR data; and</w:t>
      </w:r>
    </w:p>
    <w:p w14:paraId="2E7FBDE7" w14:textId="77777777" w:rsidR="00CF0E3D" w:rsidRPr="00FA14C2" w:rsidRDefault="00CF0E3D" w:rsidP="00CF0E3D">
      <w:pPr>
        <w:pStyle w:val="paragraphsub"/>
      </w:pPr>
      <w:r w:rsidRPr="00FA14C2">
        <w:tab/>
      </w:r>
      <w:r>
        <w:t>(iii)</w:t>
      </w:r>
      <w:r w:rsidRPr="00FA14C2">
        <w:tab/>
        <w:t>has explained to the CDR consumer:</w:t>
      </w:r>
    </w:p>
    <w:p w14:paraId="75A51703" w14:textId="77777777" w:rsidR="00CF0E3D" w:rsidRPr="00FA14C2" w:rsidRDefault="00CF0E3D" w:rsidP="00CF0E3D">
      <w:pPr>
        <w:pStyle w:val="paragraphsub-sub"/>
      </w:pPr>
      <w:r w:rsidRPr="00FA14C2">
        <w:tab/>
      </w:r>
      <w:r>
        <w:t>(A)</w:t>
      </w:r>
      <w:r w:rsidRPr="00FA14C2">
        <w:tab/>
        <w:t>that, as a result, the privacy safeguards, to the extent that they apply to an accredited data recipient of CDR data, would no longer apply to the person in relation to the relevant CDR data; and</w:t>
      </w:r>
    </w:p>
    <w:p w14:paraId="5970D4F6" w14:textId="77777777" w:rsidR="00CF0E3D" w:rsidRPr="00FA14C2" w:rsidRDefault="00CF0E3D" w:rsidP="00CF0E3D">
      <w:pPr>
        <w:pStyle w:val="paragraphsub-sub"/>
      </w:pPr>
      <w:r w:rsidRPr="00FA14C2">
        <w:tab/>
      </w:r>
      <w:r>
        <w:t>(B)</w:t>
      </w:r>
      <w:r w:rsidRPr="00FA14C2">
        <w:tab/>
        <w:t>the manner in which it proposes to treat the relevant CDR data; and</w:t>
      </w:r>
    </w:p>
    <w:p w14:paraId="58A6B968" w14:textId="77777777" w:rsidR="00CF0E3D" w:rsidRPr="00FA14C2" w:rsidRDefault="00CF0E3D" w:rsidP="00CF0E3D">
      <w:pPr>
        <w:pStyle w:val="paragraphsub-sub"/>
      </w:pPr>
      <w:r w:rsidRPr="00FA14C2">
        <w:tab/>
      </w:r>
      <w:r>
        <w:t>(C)</w:t>
      </w:r>
      <w:r w:rsidRPr="00FA14C2">
        <w:tab/>
        <w:t>why it is entitled to provide the CDR consumer with this option; and</w:t>
      </w:r>
    </w:p>
    <w:p w14:paraId="0F23B508" w14:textId="77777777" w:rsidR="00CF0E3D" w:rsidRPr="00FA14C2" w:rsidRDefault="00CF0E3D" w:rsidP="00CF0E3D">
      <w:pPr>
        <w:pStyle w:val="paragraphsub"/>
      </w:pPr>
      <w:r w:rsidRPr="00FA14C2">
        <w:tab/>
      </w:r>
      <w:r>
        <w:t>(iv)</w:t>
      </w:r>
      <w:r w:rsidRPr="00FA14C2">
        <w:tab/>
        <w:t>has outlined the consequences, to the CDR consumer, of not agreeing to this; and</w:t>
      </w:r>
    </w:p>
    <w:p w14:paraId="67E4BD1C" w14:textId="77777777" w:rsidR="00CF0E3D" w:rsidRPr="00FA14C2" w:rsidRDefault="00CF0E3D" w:rsidP="00CF0E3D">
      <w:pPr>
        <w:pStyle w:val="paragraph"/>
      </w:pPr>
      <w:r w:rsidRPr="00FA14C2">
        <w:tab/>
      </w:r>
      <w:r>
        <w:t>(d)</w:t>
      </w:r>
      <w:r w:rsidRPr="00FA14C2">
        <w:tab/>
        <w:t>the CDR consumer has agreed to the person being a data holder, rather than an accredited data recipient, of the relevant CDR data.</w:t>
      </w:r>
    </w:p>
    <w:p w14:paraId="4D37C6C5" w14:textId="77777777" w:rsidR="00CF0E3D" w:rsidRPr="00D476C3" w:rsidRDefault="00CF0E3D" w:rsidP="00CF0E3D">
      <w:pPr>
        <w:pStyle w:val="SubsectionHead"/>
      </w:pPr>
      <w:r w:rsidRPr="00D476C3">
        <w:t>Related modifications of these rules</w:t>
      </w:r>
    </w:p>
    <w:p w14:paraId="6FD1471C" w14:textId="77777777" w:rsidR="00CF0E3D" w:rsidRPr="00D476C3" w:rsidRDefault="00CF0E3D" w:rsidP="00CF0E3D">
      <w:pPr>
        <w:pStyle w:val="subsection"/>
      </w:pPr>
      <w:r w:rsidRPr="00D476C3">
        <w:tab/>
      </w:r>
      <w:r>
        <w:t>(3)</w:t>
      </w:r>
      <w:r w:rsidRPr="00D476C3">
        <w:tab/>
        <w:t>If a person becomes a data holder, rather than an accredited data recipient, of CDR data as a result of subsection 56AJ(4) of the Act and this clause:</w:t>
      </w:r>
    </w:p>
    <w:p w14:paraId="4AA1EB51" w14:textId="77777777" w:rsidR="00CF0E3D" w:rsidRPr="00D476C3" w:rsidRDefault="00CF0E3D" w:rsidP="00CF0E3D">
      <w:pPr>
        <w:pStyle w:val="paragraph"/>
      </w:pPr>
      <w:r w:rsidRPr="00D476C3">
        <w:lastRenderedPageBreak/>
        <w:tab/>
      </w:r>
      <w:r>
        <w:t>(b)</w:t>
      </w:r>
      <w:r w:rsidRPr="00D476C3">
        <w:tab/>
      </w:r>
      <w:r w:rsidRPr="00EC5815">
        <w:t>for paragraph </w:t>
      </w:r>
      <w:r>
        <w:t>4.26(1)(h)</w:t>
      </w:r>
      <w:r w:rsidRPr="00EC5815">
        <w:t xml:space="preserve"> of these rules,</w:t>
      </w:r>
      <w:r w:rsidRPr="009C222D">
        <w:rPr>
          <w:color w:val="000000" w:themeColor="text1"/>
        </w:rPr>
        <w:t xml:space="preserve"> </w:t>
      </w:r>
      <w:r w:rsidRPr="00D476C3">
        <w:t>any authorisations to disclose CDR data in relation to the consumer data request expire; and</w:t>
      </w:r>
    </w:p>
    <w:p w14:paraId="40CD5CDD" w14:textId="77777777" w:rsidR="00CF0E3D" w:rsidRPr="00D476C3" w:rsidRDefault="00CF0E3D" w:rsidP="00CF0E3D">
      <w:pPr>
        <w:pStyle w:val="paragraph"/>
      </w:pPr>
      <w:r w:rsidRPr="00D476C3">
        <w:tab/>
      </w:r>
      <w:r>
        <w:t>(c)</w:t>
      </w:r>
      <w:r w:rsidRPr="00D476C3">
        <w:tab/>
        <w:t>if the person’s accreditation has been surrendered or revoked, the following do not apply to the person in relation to that CDR data:</w:t>
      </w:r>
    </w:p>
    <w:p w14:paraId="21706D58" w14:textId="77777777" w:rsidR="00CF0E3D" w:rsidRPr="00D476C3" w:rsidRDefault="00CF0E3D" w:rsidP="00CF0E3D">
      <w:pPr>
        <w:pStyle w:val="paragraphsub"/>
      </w:pPr>
      <w:r w:rsidRPr="00D476C3">
        <w:tab/>
      </w:r>
      <w:r>
        <w:t>(i)</w:t>
      </w:r>
      <w:r w:rsidRPr="00D476C3">
        <w:tab/>
        <w:t>subrule </w:t>
      </w:r>
      <w:r>
        <w:t>5.23(2)</w:t>
      </w:r>
      <w:r w:rsidRPr="00D476C3">
        <w:t>;</w:t>
      </w:r>
    </w:p>
    <w:p w14:paraId="711F8163" w14:textId="77777777" w:rsidR="00CF0E3D" w:rsidRDefault="00CF0E3D" w:rsidP="00CF0E3D">
      <w:pPr>
        <w:pStyle w:val="paragraphsub"/>
      </w:pPr>
      <w:r w:rsidRPr="00D476C3">
        <w:tab/>
      </w:r>
      <w:r>
        <w:t>(ii)</w:t>
      </w:r>
      <w:r w:rsidRPr="00D476C3">
        <w:tab/>
        <w:t>paragraph </w:t>
      </w:r>
      <w:r>
        <w:t>5.23(3)(b)</w:t>
      </w:r>
      <w:r w:rsidRPr="00D476C3">
        <w:t>.</w:t>
      </w:r>
    </w:p>
    <w:p w14:paraId="60B3AA8C" w14:textId="7F75B96C" w:rsidR="00CF0E3D" w:rsidRPr="0072242E" w:rsidRDefault="00CF0E3D" w:rsidP="00CF0E3D">
      <w:pPr>
        <w:pStyle w:val="ActHead5"/>
        <w:rPr>
          <w:color w:val="000000" w:themeColor="text1"/>
        </w:rPr>
      </w:pPr>
      <w:bookmarkStart w:id="744" w:name="_Toc77065128"/>
      <w:r>
        <w:rPr>
          <w:color w:val="000000" w:themeColor="text1"/>
        </w:rPr>
        <w:t>7.3</w:t>
      </w:r>
      <w:r w:rsidRPr="0072242E">
        <w:rPr>
          <w:color w:val="000000" w:themeColor="text1"/>
        </w:rPr>
        <w:t xml:space="preserve">  Streamlined accreditation—banking sector</w:t>
      </w:r>
      <w:bookmarkEnd w:id="744"/>
    </w:p>
    <w:p w14:paraId="67A2B92A" w14:textId="77777777" w:rsidR="00CF0E3D" w:rsidRPr="0072242E" w:rsidRDefault="00CF0E3D" w:rsidP="00CF0E3D">
      <w:pPr>
        <w:pStyle w:val="subsection"/>
        <w:rPr>
          <w:color w:val="000000" w:themeColor="text1"/>
        </w:rPr>
      </w:pPr>
      <w:r w:rsidRPr="0072242E">
        <w:rPr>
          <w:color w:val="000000" w:themeColor="text1"/>
        </w:rPr>
        <w:tab/>
      </w:r>
      <w:r w:rsidRPr="0072242E">
        <w:rPr>
          <w:color w:val="000000" w:themeColor="text1"/>
        </w:rPr>
        <w:tab/>
        <w:t>For paragraph </w:t>
      </w:r>
      <w:r>
        <w:rPr>
          <w:color w:val="000000" w:themeColor="text1"/>
        </w:rPr>
        <w:t>5.5</w:t>
      </w:r>
      <w:r>
        <w:t>(b)</w:t>
      </w:r>
      <w:r w:rsidRPr="0072242E">
        <w:rPr>
          <w:color w:val="000000" w:themeColor="text1"/>
        </w:rPr>
        <w:t xml:space="preserve"> of these rules, for the banking sector, the criteria for streamlined accreditation are that the accreditation applicant:</w:t>
      </w:r>
    </w:p>
    <w:p w14:paraId="68A66735"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(a)</w:t>
      </w:r>
      <w:r w:rsidRPr="0072242E">
        <w:rPr>
          <w:color w:val="000000" w:themeColor="text1"/>
        </w:rPr>
        <w:tab/>
        <w:t>is an ADI; but</w:t>
      </w:r>
    </w:p>
    <w:p w14:paraId="52D24C1F"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(b)</w:t>
      </w:r>
      <w:r w:rsidRPr="0072242E">
        <w:rPr>
          <w:color w:val="000000" w:themeColor="text1"/>
        </w:rPr>
        <w:tab/>
        <w:t>is not a restricted ADI.</w:t>
      </w:r>
    </w:p>
    <w:p w14:paraId="68BF225E" w14:textId="3B3A6743" w:rsidR="00CF0E3D" w:rsidRPr="0072242E" w:rsidRDefault="00CF0E3D" w:rsidP="00CF0E3D">
      <w:pPr>
        <w:pStyle w:val="ActHead5"/>
        <w:rPr>
          <w:color w:val="000000" w:themeColor="text1"/>
        </w:rPr>
      </w:pPr>
      <w:bookmarkStart w:id="745" w:name="_Toc11771750"/>
      <w:bookmarkStart w:id="746" w:name="_Toc77065129"/>
      <w:r>
        <w:rPr>
          <w:color w:val="000000" w:themeColor="text1"/>
        </w:rPr>
        <w:t>7.4</w:t>
      </w:r>
      <w:r w:rsidRPr="0072242E">
        <w:rPr>
          <w:color w:val="000000" w:themeColor="text1"/>
        </w:rPr>
        <w:t xml:space="preserve">  Exemptions to accreditation criteria—banking sector</w:t>
      </w:r>
      <w:bookmarkEnd w:id="745"/>
      <w:bookmarkEnd w:id="746"/>
    </w:p>
    <w:p w14:paraId="07965994" w14:textId="77777777" w:rsidR="00CF0E3D" w:rsidRPr="0072242E" w:rsidRDefault="00CF0E3D" w:rsidP="00CF0E3D">
      <w:pPr>
        <w:pStyle w:val="subsection"/>
        <w:rPr>
          <w:color w:val="000000" w:themeColor="text1"/>
        </w:rPr>
      </w:pPr>
      <w:r w:rsidRPr="0072242E">
        <w:rPr>
          <w:color w:val="000000" w:themeColor="text1"/>
        </w:rPr>
        <w:tab/>
      </w:r>
      <w:r>
        <w:rPr>
          <w:color w:val="000000" w:themeColor="text1"/>
        </w:rPr>
        <w:t>(1)</w:t>
      </w:r>
      <w:r w:rsidRPr="0072242E">
        <w:rPr>
          <w:color w:val="000000" w:themeColor="text1"/>
        </w:rPr>
        <w:tab/>
        <w:t xml:space="preserve">This clause sets out how the accreditation criteria operate in relation to the banking sector, for the purposes of rule </w:t>
      </w:r>
      <w:r>
        <w:rPr>
          <w:color w:val="000000" w:themeColor="text1"/>
        </w:rPr>
        <w:t>5.12</w:t>
      </w:r>
      <w:r w:rsidRPr="0072242E">
        <w:rPr>
          <w:color w:val="000000" w:themeColor="text1"/>
        </w:rPr>
        <w:t xml:space="preserve"> of these rules.</w:t>
      </w:r>
    </w:p>
    <w:p w14:paraId="2DF725AF" w14:textId="77777777" w:rsidR="00CF0E3D" w:rsidRPr="0072242E" w:rsidRDefault="00CF0E3D" w:rsidP="00CF0E3D">
      <w:pPr>
        <w:pStyle w:val="subsection"/>
        <w:rPr>
          <w:color w:val="000000" w:themeColor="text1"/>
        </w:rPr>
      </w:pPr>
      <w:r w:rsidRPr="0072242E">
        <w:rPr>
          <w:color w:val="000000" w:themeColor="text1"/>
        </w:rPr>
        <w:tab/>
      </w:r>
      <w:r>
        <w:rPr>
          <w:color w:val="000000" w:themeColor="text1"/>
        </w:rPr>
        <w:t>(2)</w:t>
      </w:r>
      <w:r w:rsidRPr="0072242E">
        <w:rPr>
          <w:color w:val="000000" w:themeColor="text1"/>
        </w:rPr>
        <w:tab/>
        <w:t>An accredited person that:</w:t>
      </w:r>
    </w:p>
    <w:p w14:paraId="7D6D76C6"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(a)</w:t>
      </w:r>
      <w:r w:rsidRPr="0072242E">
        <w:rPr>
          <w:color w:val="000000" w:themeColor="text1"/>
        </w:rPr>
        <w:tab/>
        <w:t>is an ADI; but</w:t>
      </w:r>
    </w:p>
    <w:p w14:paraId="6B727FB7"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(b)</w:t>
      </w:r>
      <w:r w:rsidRPr="0072242E">
        <w:rPr>
          <w:color w:val="000000" w:themeColor="text1"/>
        </w:rPr>
        <w:tab/>
        <w:t>is not a restricted ADI;</w:t>
      </w:r>
    </w:p>
    <w:p w14:paraId="229A7E00" w14:textId="77777777" w:rsidR="00CF0E3D" w:rsidRDefault="00CF0E3D" w:rsidP="00CF0E3D">
      <w:pPr>
        <w:pStyle w:val="subsection"/>
        <w:spacing w:before="40" w:after="100" w:afterAutospacing="1"/>
        <w:rPr>
          <w:color w:val="000000" w:themeColor="text1"/>
        </w:rPr>
      </w:pPr>
      <w:r w:rsidRPr="0072242E">
        <w:rPr>
          <w:color w:val="000000" w:themeColor="text1"/>
        </w:rPr>
        <w:tab/>
      </w:r>
      <w:r w:rsidRPr="0072242E">
        <w:rPr>
          <w:color w:val="000000" w:themeColor="text1"/>
        </w:rPr>
        <w:tab/>
        <w:t>need not comply with paragraph </w:t>
      </w:r>
      <w:r>
        <w:rPr>
          <w:color w:val="000000" w:themeColor="text1"/>
        </w:rPr>
        <w:t>5.12(2)(b) of these rules.</w:t>
      </w:r>
    </w:p>
    <w:p w14:paraId="5B57BF5D" w14:textId="27A88D30" w:rsidR="00D51F64" w:rsidRPr="00693A57" w:rsidRDefault="00D51F64" w:rsidP="00D51F64">
      <w:pPr>
        <w:pStyle w:val="ActHead5"/>
        <w:rPr>
          <w:color w:val="FF0000"/>
        </w:rPr>
      </w:pPr>
      <w:bookmarkStart w:id="747" w:name="_Toc77065130"/>
      <w:r w:rsidRPr="00693A57">
        <w:rPr>
          <w:color w:val="FF0000"/>
        </w:rPr>
        <w:t>7</w:t>
      </w:r>
      <w:r w:rsidR="00A440D3" w:rsidRPr="00693A57">
        <w:rPr>
          <w:color w:val="FF0000"/>
        </w:rPr>
        <w:t>.5</w:t>
      </w:r>
      <w:r w:rsidRPr="00693A57">
        <w:rPr>
          <w:color w:val="FF0000"/>
        </w:rPr>
        <w:t xml:space="preserve">  Grounds for revocation, suspension and surrender of accreditation—</w:t>
      </w:r>
      <w:r w:rsidR="00CE69BB" w:rsidRPr="00693A57">
        <w:rPr>
          <w:color w:val="FF0000"/>
        </w:rPr>
        <w:t>banking</w:t>
      </w:r>
      <w:r w:rsidRPr="00693A57">
        <w:rPr>
          <w:color w:val="FF0000"/>
        </w:rPr>
        <w:t xml:space="preserve"> sector</w:t>
      </w:r>
      <w:bookmarkEnd w:id="747"/>
    </w:p>
    <w:p w14:paraId="50552B20" w14:textId="77777777" w:rsidR="00D51F64" w:rsidRPr="00693A57" w:rsidRDefault="00D51F64" w:rsidP="00D51F64">
      <w:pPr>
        <w:pStyle w:val="subsection"/>
        <w:rPr>
          <w:color w:val="FF0000"/>
        </w:rPr>
      </w:pPr>
      <w:r w:rsidRPr="00693A57">
        <w:rPr>
          <w:color w:val="FF0000"/>
        </w:rPr>
        <w:tab/>
      </w:r>
      <w:r w:rsidRPr="00693A57">
        <w:rPr>
          <w:color w:val="FF0000"/>
        </w:rPr>
        <w:tab/>
        <w:t>For item 5 of the table in rule 5.17:</w:t>
      </w:r>
    </w:p>
    <w:p w14:paraId="6E644A61" w14:textId="585BDDFD" w:rsidR="00D51F64" w:rsidRPr="00693A57" w:rsidRDefault="00D51F64" w:rsidP="00D51F64">
      <w:pPr>
        <w:pStyle w:val="paragraph"/>
        <w:rPr>
          <w:color w:val="FF0000"/>
        </w:rPr>
      </w:pPr>
      <w:r w:rsidRPr="00693A57">
        <w:rPr>
          <w:color w:val="FF0000"/>
        </w:rPr>
        <w:tab/>
      </w:r>
      <w:r w:rsidR="00832060" w:rsidRPr="00693A57">
        <w:rPr>
          <w:color w:val="FF0000"/>
        </w:rPr>
        <w:t>(b)</w:t>
      </w:r>
      <w:r w:rsidRPr="00693A57">
        <w:rPr>
          <w:color w:val="FF0000"/>
        </w:rPr>
        <w:tab/>
        <w:t>the relevant condition is that the accredited person was, at the time of the accreditation</w:t>
      </w:r>
      <w:r w:rsidR="00A440D3" w:rsidRPr="00693A57">
        <w:rPr>
          <w:color w:val="FF0000"/>
        </w:rPr>
        <w:t>,</w:t>
      </w:r>
      <w:r w:rsidRPr="00693A57">
        <w:rPr>
          <w:color w:val="FF0000"/>
        </w:rPr>
        <w:t xml:space="preserve"> a</w:t>
      </w:r>
      <w:r w:rsidR="00A440D3" w:rsidRPr="00693A57">
        <w:rPr>
          <w:color w:val="FF0000"/>
        </w:rPr>
        <w:t>n ADI</w:t>
      </w:r>
      <w:r w:rsidRPr="00693A57">
        <w:rPr>
          <w:color w:val="FF0000"/>
        </w:rPr>
        <w:t>; and</w:t>
      </w:r>
    </w:p>
    <w:p w14:paraId="188670B0" w14:textId="60D764ED" w:rsidR="00D51F64" w:rsidRPr="00693A57" w:rsidRDefault="00D51F64" w:rsidP="00D51F64">
      <w:pPr>
        <w:pStyle w:val="paragraph"/>
        <w:rPr>
          <w:color w:val="FF0000"/>
        </w:rPr>
      </w:pPr>
      <w:r w:rsidRPr="00693A57">
        <w:rPr>
          <w:color w:val="FF0000"/>
        </w:rPr>
        <w:tab/>
      </w:r>
      <w:r w:rsidR="00832060" w:rsidRPr="00693A57">
        <w:rPr>
          <w:color w:val="FF0000"/>
        </w:rPr>
        <w:t>(c)</w:t>
      </w:r>
      <w:r w:rsidRPr="00693A57">
        <w:rPr>
          <w:color w:val="FF0000"/>
        </w:rPr>
        <w:tab/>
        <w:t>the accredited person ceases to satisfy the condition if  its</w:t>
      </w:r>
      <w:r w:rsidR="00A440D3" w:rsidRPr="00693A57">
        <w:rPr>
          <w:color w:val="FF0000"/>
        </w:rPr>
        <w:t xml:space="preserve"> authority to carry on banking business is no longer in force</w:t>
      </w:r>
      <w:r w:rsidRPr="00693A57">
        <w:rPr>
          <w:color w:val="FF0000"/>
        </w:rPr>
        <w:t>.</w:t>
      </w:r>
    </w:p>
    <w:p w14:paraId="47626438" w14:textId="77777777" w:rsidR="00A81512" w:rsidRDefault="00A81512" w:rsidP="00A81512">
      <w:pPr>
        <w:pStyle w:val="subsection"/>
        <w:sectPr w:rsidR="00A81512" w:rsidSect="00A81512">
          <w:headerReference w:type="default" r:id="rId24"/>
          <w:pgSz w:w="11907" w:h="16839" w:code="9"/>
          <w:pgMar w:top="2234" w:right="1797" w:bottom="1440" w:left="1797" w:header="720" w:footer="709" w:gutter="0"/>
          <w:cols w:space="708"/>
          <w:docGrid w:linePitch="360"/>
        </w:sectPr>
      </w:pPr>
    </w:p>
    <w:p w14:paraId="6F280770" w14:textId="6AC4EB3B" w:rsidR="00250B4B" w:rsidRPr="00693A57" w:rsidRDefault="00250B4B" w:rsidP="00250B4B">
      <w:pPr>
        <w:pStyle w:val="ActHead1"/>
        <w:rPr>
          <w:color w:val="FF0000"/>
        </w:rPr>
      </w:pPr>
      <w:bookmarkStart w:id="748" w:name="_Toc77065131"/>
      <w:r w:rsidRPr="00693A57">
        <w:rPr>
          <w:color w:val="FF0000"/>
        </w:rPr>
        <w:lastRenderedPageBreak/>
        <w:t>Schedule 4—Provisions relevant to the energy sector</w:t>
      </w:r>
      <w:bookmarkEnd w:id="748"/>
    </w:p>
    <w:p w14:paraId="51ECD576" w14:textId="55EDA7BA" w:rsidR="00F57283" w:rsidRPr="00693A57" w:rsidRDefault="00F57283" w:rsidP="00F57283">
      <w:pPr>
        <w:pStyle w:val="ActHead2"/>
        <w:rPr>
          <w:color w:val="FF0000"/>
        </w:rPr>
      </w:pPr>
      <w:r w:rsidRPr="00693A57">
        <w:rPr>
          <w:color w:val="FF0000"/>
        </w:rPr>
        <w:fldChar w:fldCharType="begin"/>
      </w:r>
      <w:r w:rsidRPr="00693A57">
        <w:rPr>
          <w:color w:val="FF0000"/>
        </w:rPr>
        <w:instrText xml:space="preserve">  LISTNUM "main numbering" \l 2 \s 1 \* MERGEFORMAT </w:instrText>
      </w:r>
      <w:bookmarkStart w:id="749" w:name="_Toc77065132"/>
      <w:r w:rsidRPr="00693A57">
        <w:rPr>
          <w:color w:val="FF0000"/>
        </w:rPr>
        <w:fldChar w:fldCharType="end">
          <w:numberingChange w:id="750" w:author="Author" w:original="Part 1"/>
        </w:fldChar>
      </w:r>
      <w:r w:rsidRPr="00693A57">
        <w:rPr>
          <w:color w:val="FF0000"/>
        </w:rPr>
        <w:t>—Preliminary</w:t>
      </w:r>
      <w:bookmarkEnd w:id="749"/>
    </w:p>
    <w:p w14:paraId="05C5E55D" w14:textId="7AC54AD7"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751" w:name="_Toc77065133"/>
      <w:r w:rsidRPr="00693A57">
        <w:rPr>
          <w:color w:val="FF0000"/>
        </w:rPr>
        <w:fldChar w:fldCharType="end">
          <w:numberingChange w:id="752" w:author="Author" w:original="1.1"/>
        </w:fldChar>
      </w:r>
      <w:r w:rsidRPr="00693A57">
        <w:rPr>
          <w:color w:val="FF0000"/>
        </w:rPr>
        <w:t xml:space="preserve">  Simplified outline of this Schedule</w:t>
      </w:r>
      <w:bookmarkEnd w:id="751"/>
    </w:p>
    <w:p w14:paraId="13FCDDEE" w14:textId="77777777" w:rsidR="00F57283" w:rsidRPr="00693A57" w:rsidRDefault="00F57283" w:rsidP="00F57283">
      <w:pPr>
        <w:pStyle w:val="SOText"/>
        <w:rPr>
          <w:color w:val="FF0000"/>
        </w:rPr>
      </w:pPr>
      <w:r w:rsidRPr="00693A57">
        <w:rPr>
          <w:color w:val="FF0000"/>
        </w:rPr>
        <w:t>This Schedule deals with how these rules apply in relation to the energy sector.</w:t>
      </w:r>
    </w:p>
    <w:p w14:paraId="66DAAF54" w14:textId="77777777" w:rsidR="00F57283" w:rsidRPr="00693A57" w:rsidRDefault="00F57283" w:rsidP="00F57283">
      <w:pPr>
        <w:pStyle w:val="SOText"/>
        <w:rPr>
          <w:color w:val="FF0000"/>
        </w:rPr>
      </w:pPr>
      <w:r w:rsidRPr="00693A57">
        <w:rPr>
          <w:color w:val="FF0000"/>
        </w:rPr>
        <w:t>Some defined terms apply only in relation to the energy sector. These are defined in Part 1 of this Schedule.</w:t>
      </w:r>
    </w:p>
    <w:p w14:paraId="6E85085F" w14:textId="77777777" w:rsidR="00F57283" w:rsidRPr="00693A57" w:rsidRDefault="00F57283" w:rsidP="00F57283">
      <w:pPr>
        <w:pStyle w:val="SOText"/>
        <w:rPr>
          <w:color w:val="FF0000"/>
        </w:rPr>
      </w:pPr>
      <w:r w:rsidRPr="00693A57">
        <w:rPr>
          <w:color w:val="FF0000"/>
        </w:rPr>
        <w:t>Part 2 of this Schedule deals with eligible CDR consumers in relation to the energy sector.</w:t>
      </w:r>
    </w:p>
    <w:p w14:paraId="3B74A5FD" w14:textId="77777777" w:rsidR="000A48BA" w:rsidRPr="00693A57" w:rsidRDefault="00F57283" w:rsidP="00F57283">
      <w:pPr>
        <w:pStyle w:val="SOText"/>
        <w:rPr>
          <w:color w:val="FF0000"/>
        </w:rPr>
      </w:pPr>
      <w:r w:rsidRPr="00693A57">
        <w:rPr>
          <w:color w:val="FF0000"/>
        </w:rPr>
        <w:t xml:space="preserve">Part 3 of this Schedule deals with CDR data that can or must be disclosed when product data requests and consumer data requests are made in relation to the energy sector. </w:t>
      </w:r>
    </w:p>
    <w:p w14:paraId="009F2312" w14:textId="6675D9DE" w:rsidR="00F57283" w:rsidRPr="00693A57" w:rsidRDefault="000A48BA" w:rsidP="00F57283">
      <w:pPr>
        <w:pStyle w:val="SOText"/>
        <w:rPr>
          <w:color w:val="FF0000"/>
        </w:rPr>
      </w:pPr>
      <w:r w:rsidRPr="00693A57">
        <w:rPr>
          <w:color w:val="FF0000"/>
        </w:rPr>
        <w:t>Part 4 of this Schedule deals with the t</w:t>
      </w:r>
      <w:r w:rsidR="00F57283" w:rsidRPr="00693A57">
        <w:rPr>
          <w:color w:val="FF0000"/>
        </w:rPr>
        <w:t>hree agencies</w:t>
      </w:r>
      <w:r w:rsidRPr="00693A57">
        <w:rPr>
          <w:color w:val="FF0000"/>
        </w:rPr>
        <w:t xml:space="preserve"> that </w:t>
      </w:r>
      <w:r w:rsidR="00F57283" w:rsidRPr="00693A57">
        <w:rPr>
          <w:color w:val="FF0000"/>
        </w:rPr>
        <w:t>have special functions in the energy sector. The AER and the Victorian agency hold product data and respond to product data requests. AEMO holds AEMO data.</w:t>
      </w:r>
    </w:p>
    <w:p w14:paraId="74111512" w14:textId="77777777" w:rsidR="00F57283" w:rsidRPr="00693A57" w:rsidRDefault="00F57283" w:rsidP="00F57283">
      <w:pPr>
        <w:pStyle w:val="SOText"/>
        <w:rPr>
          <w:color w:val="FF0000"/>
        </w:rPr>
      </w:pPr>
      <w:r w:rsidRPr="00693A57">
        <w:rPr>
          <w:color w:val="FF0000"/>
        </w:rPr>
        <w:t>AEMO data is specified as SR data for these rules, so that AEMO is the secondary data holder for this CDR data, and the relevant retailer is specified as the primary data holder.  Division 1.5 of these rules applies to an SR data request.</w:t>
      </w:r>
    </w:p>
    <w:p w14:paraId="4E6241D6" w14:textId="77777777" w:rsidR="00F57283" w:rsidRPr="00693A57" w:rsidRDefault="00F57283" w:rsidP="00F57283">
      <w:pPr>
        <w:pStyle w:val="SOText"/>
        <w:rPr>
          <w:color w:val="FF0000"/>
        </w:rPr>
      </w:pPr>
      <w:r w:rsidRPr="00693A57">
        <w:rPr>
          <w:color w:val="FF0000"/>
        </w:rPr>
        <w:t>Part 5 of this Schedule deals with internal dispute resolution requirements in relation to the energy sector.</w:t>
      </w:r>
    </w:p>
    <w:p w14:paraId="3433E035" w14:textId="55F4371B" w:rsidR="00F80367" w:rsidRPr="00693A57" w:rsidRDefault="00F57283" w:rsidP="00F57283">
      <w:pPr>
        <w:pStyle w:val="SOText"/>
        <w:rPr>
          <w:color w:val="FF0000"/>
        </w:rPr>
      </w:pPr>
      <w:r w:rsidRPr="00693A57">
        <w:rPr>
          <w:color w:val="FF0000"/>
        </w:rPr>
        <w:t xml:space="preserve">Part 6 of this Schedule deals with the </w:t>
      </w:r>
      <w:r w:rsidR="00F80367" w:rsidRPr="00693A57">
        <w:rPr>
          <w:color w:val="FF0000"/>
        </w:rPr>
        <w:t>correction of data in compliance with the privacy safeguards.</w:t>
      </w:r>
    </w:p>
    <w:p w14:paraId="379B6345" w14:textId="47B0EFBA" w:rsidR="00F57283" w:rsidRPr="00693A57" w:rsidRDefault="00F57283" w:rsidP="00F57283">
      <w:pPr>
        <w:pStyle w:val="SOText"/>
        <w:rPr>
          <w:color w:val="FF0000"/>
        </w:rPr>
      </w:pPr>
      <w:r w:rsidRPr="00693A57">
        <w:rPr>
          <w:color w:val="FF0000"/>
        </w:rPr>
        <w:t xml:space="preserve">Part 7 </w:t>
      </w:r>
      <w:r w:rsidR="000A48BA" w:rsidRPr="00693A57">
        <w:rPr>
          <w:color w:val="FF0000"/>
        </w:rPr>
        <w:t xml:space="preserve">of this Schedule </w:t>
      </w:r>
      <w:r w:rsidRPr="00693A57">
        <w:rPr>
          <w:color w:val="FF0000"/>
        </w:rPr>
        <w:t xml:space="preserve">deals with </w:t>
      </w:r>
      <w:r w:rsidR="000A48BA" w:rsidRPr="00693A57">
        <w:rPr>
          <w:color w:val="FF0000"/>
        </w:rPr>
        <w:t xml:space="preserve">reporting and record keeping requirements </w:t>
      </w:r>
      <w:r w:rsidRPr="00693A57">
        <w:rPr>
          <w:color w:val="FF0000"/>
        </w:rPr>
        <w:t>of these rules that apply differently in relation to the energy sector.</w:t>
      </w:r>
    </w:p>
    <w:p w14:paraId="2CD8F791" w14:textId="51ECD98D" w:rsidR="000A48BA" w:rsidRPr="00693A57" w:rsidRDefault="000A48BA" w:rsidP="000A48BA">
      <w:pPr>
        <w:pStyle w:val="SOText"/>
        <w:rPr>
          <w:color w:val="FF0000"/>
        </w:rPr>
      </w:pPr>
      <w:r w:rsidRPr="00693A57">
        <w:rPr>
          <w:color w:val="FF0000"/>
        </w:rPr>
        <w:t xml:space="preserve">Part 8 of this Schedule deals with the staged application of these rules to the </w:t>
      </w:r>
      <w:r w:rsidR="00F80367" w:rsidRPr="00693A57">
        <w:rPr>
          <w:color w:val="FF0000"/>
        </w:rPr>
        <w:t xml:space="preserve">energy </w:t>
      </w:r>
      <w:r w:rsidRPr="00693A57">
        <w:rPr>
          <w:color w:val="FF0000"/>
        </w:rPr>
        <w:t>sector. Over time, as set out in this Part, these rules will apply to a progressively broader range of data holders within the energy sector.</w:t>
      </w:r>
    </w:p>
    <w:p w14:paraId="1A9E48A0" w14:textId="69E9807E" w:rsidR="000A48BA" w:rsidRPr="00693A57" w:rsidRDefault="000A48BA" w:rsidP="000A48BA">
      <w:pPr>
        <w:pStyle w:val="SOText"/>
        <w:rPr>
          <w:color w:val="FF0000"/>
        </w:rPr>
      </w:pPr>
      <w:r w:rsidRPr="00693A57">
        <w:rPr>
          <w:color w:val="FF0000"/>
        </w:rPr>
        <w:t>Part 9 of this Schedule deals with other provisions of these rules that apply differently in relation to the energy sector.</w:t>
      </w:r>
    </w:p>
    <w:p w14:paraId="024504E2" w14:textId="77777777" w:rsidR="000A48BA" w:rsidRPr="00693A57" w:rsidRDefault="000A48BA" w:rsidP="00F57283">
      <w:pPr>
        <w:pStyle w:val="SOText"/>
        <w:rPr>
          <w:strike/>
          <w:color w:val="FF0000"/>
        </w:rPr>
      </w:pPr>
    </w:p>
    <w:p w14:paraId="5F3C2103" w14:textId="69A74BD3" w:rsidR="00F57283" w:rsidRPr="00693A57" w:rsidRDefault="00F57283" w:rsidP="00F57283">
      <w:pPr>
        <w:pStyle w:val="ActHead5"/>
        <w:rPr>
          <w:color w:val="FF0000"/>
        </w:rPr>
      </w:pPr>
      <w:r w:rsidRPr="00693A57">
        <w:rPr>
          <w:color w:val="FF0000"/>
        </w:rPr>
        <w:lastRenderedPageBreak/>
        <w:fldChar w:fldCharType="begin"/>
      </w:r>
      <w:r w:rsidRPr="00693A57">
        <w:rPr>
          <w:color w:val="FF0000"/>
        </w:rPr>
        <w:instrText xml:space="preserve">  LISTNUM "main numbering" \l 5 \* MERGEFORMAT </w:instrText>
      </w:r>
      <w:bookmarkStart w:id="753" w:name="_Toc77065134"/>
      <w:r w:rsidRPr="00693A57">
        <w:rPr>
          <w:color w:val="FF0000"/>
        </w:rPr>
        <w:fldChar w:fldCharType="end">
          <w:numberingChange w:id="754" w:author="Author" w:original="1.2"/>
        </w:fldChar>
      </w:r>
      <w:r w:rsidRPr="00693A57">
        <w:rPr>
          <w:color w:val="FF0000"/>
        </w:rPr>
        <w:t xml:space="preserve">  Interpretation</w:t>
      </w:r>
      <w:bookmarkEnd w:id="753"/>
    </w:p>
    <w:p w14:paraId="20CB4CDA" w14:textId="77777777" w:rsidR="00F57283" w:rsidRPr="00693A57" w:rsidRDefault="00F57283" w:rsidP="00F57283">
      <w:pPr>
        <w:pStyle w:val="subsection"/>
        <w:rPr>
          <w:color w:val="FF0000"/>
        </w:rPr>
      </w:pPr>
      <w:r w:rsidRPr="00693A57">
        <w:rPr>
          <w:color w:val="FF0000"/>
        </w:rPr>
        <w:tab/>
      </w:r>
      <w:r w:rsidRPr="00693A57">
        <w:rPr>
          <w:color w:val="FF0000"/>
        </w:rPr>
        <w:tab/>
        <w:t>In this Schedule:</w:t>
      </w:r>
    </w:p>
    <w:p w14:paraId="32501C17" w14:textId="77777777" w:rsidR="00F57283" w:rsidRPr="00693A57" w:rsidRDefault="00F57283" w:rsidP="00F57283">
      <w:pPr>
        <w:pStyle w:val="Definition"/>
        <w:rPr>
          <w:color w:val="FF0000"/>
        </w:rPr>
      </w:pPr>
      <w:r w:rsidRPr="00693A57">
        <w:rPr>
          <w:b/>
          <w:bCs/>
          <w:i/>
          <w:iCs/>
          <w:color w:val="FF0000"/>
        </w:rPr>
        <w:t>AEMO </w:t>
      </w:r>
      <w:r w:rsidRPr="00693A57">
        <w:rPr>
          <w:color w:val="FF0000"/>
        </w:rPr>
        <w:t>means the Australian Energy Market Operator Limited (ACN 072 010 327).</w:t>
      </w:r>
    </w:p>
    <w:p w14:paraId="4652707A" w14:textId="77777777" w:rsidR="00F57283" w:rsidRPr="00693A57" w:rsidRDefault="00F57283" w:rsidP="00F57283">
      <w:pPr>
        <w:pStyle w:val="Definition"/>
        <w:rPr>
          <w:color w:val="FF0000"/>
        </w:rPr>
      </w:pPr>
      <w:r w:rsidRPr="00693A57">
        <w:rPr>
          <w:b/>
          <w:i/>
          <w:iCs/>
          <w:color w:val="FF0000"/>
        </w:rPr>
        <w:t>AEMO data</w:t>
      </w:r>
      <w:r w:rsidRPr="00AE57B6">
        <w:t xml:space="preserve"> </w:t>
      </w:r>
      <w:r w:rsidRPr="00693A57">
        <w:rPr>
          <w:color w:val="FF0000"/>
        </w:rPr>
        <w:t>means:</w:t>
      </w:r>
    </w:p>
    <w:p w14:paraId="63B1D528" w14:textId="77777777" w:rsidR="00F57283" w:rsidRPr="00693A57" w:rsidRDefault="00F57283" w:rsidP="00F57283">
      <w:pPr>
        <w:pStyle w:val="paragraph"/>
        <w:rPr>
          <w:color w:val="FF0000"/>
        </w:rPr>
      </w:pPr>
      <w:r w:rsidRPr="00693A57">
        <w:rPr>
          <w:color w:val="FF0000"/>
        </w:rPr>
        <w:tab/>
        <w:t>(a)</w:t>
      </w:r>
      <w:r w:rsidRPr="00693A57">
        <w:rPr>
          <w:color w:val="FF0000"/>
        </w:rPr>
        <w:tab/>
        <w:t>in relation to a retailer:</w:t>
      </w:r>
    </w:p>
    <w:p w14:paraId="384B3B65" w14:textId="77777777" w:rsidR="00F57283" w:rsidRPr="00693A57" w:rsidRDefault="00F57283" w:rsidP="00F57283">
      <w:pPr>
        <w:pStyle w:val="paragraphsub"/>
        <w:rPr>
          <w:color w:val="FF0000"/>
        </w:rPr>
      </w:pPr>
      <w:r w:rsidRPr="00693A57">
        <w:rPr>
          <w:color w:val="FF0000"/>
        </w:rPr>
        <w:tab/>
        <w:t>(i)</w:t>
      </w:r>
      <w:r w:rsidRPr="00693A57">
        <w:rPr>
          <w:color w:val="FF0000"/>
        </w:rPr>
        <w:tab/>
        <w:t>NMI standing data; or</w:t>
      </w:r>
    </w:p>
    <w:p w14:paraId="39325FB1" w14:textId="572A70FE" w:rsidR="00F57283" w:rsidRPr="00693A57" w:rsidRDefault="00F57283" w:rsidP="00F57283">
      <w:pPr>
        <w:pStyle w:val="paragraphsub"/>
        <w:rPr>
          <w:color w:val="FF0000"/>
        </w:rPr>
      </w:pPr>
      <w:r w:rsidRPr="00693A57">
        <w:rPr>
          <w:color w:val="FF0000"/>
        </w:rPr>
        <w:tab/>
        <w:t>(ii)</w:t>
      </w:r>
      <w:r w:rsidRPr="00693A57">
        <w:rPr>
          <w:color w:val="FF0000"/>
        </w:rPr>
        <w:tab/>
        <w:t>metering data; or</w:t>
      </w:r>
    </w:p>
    <w:p w14:paraId="5C8DE683" w14:textId="198667FE" w:rsidR="00F57283" w:rsidRPr="00693A57" w:rsidRDefault="00F57283" w:rsidP="00F57283">
      <w:pPr>
        <w:pStyle w:val="paragraphsub"/>
        <w:rPr>
          <w:color w:val="FF0000"/>
        </w:rPr>
      </w:pPr>
      <w:r w:rsidRPr="00693A57">
        <w:rPr>
          <w:color w:val="FF0000"/>
        </w:rPr>
        <w:tab/>
        <w:t>(iii)</w:t>
      </w:r>
      <w:r w:rsidRPr="00693A57">
        <w:rPr>
          <w:color w:val="FF0000"/>
        </w:rPr>
        <w:tab/>
        <w:t xml:space="preserve">DER register </w:t>
      </w:r>
      <w:r w:rsidR="00C24890" w:rsidRPr="00693A57">
        <w:rPr>
          <w:color w:val="FF0000"/>
        </w:rPr>
        <w:t>data</w:t>
      </w:r>
      <w:r w:rsidRPr="00693A57">
        <w:rPr>
          <w:color w:val="FF0000"/>
        </w:rPr>
        <w:t>;</w:t>
      </w:r>
    </w:p>
    <w:p w14:paraId="4AD107EE" w14:textId="77777777" w:rsidR="00F57283" w:rsidRPr="00693A57" w:rsidRDefault="00F57283" w:rsidP="00F57283">
      <w:pPr>
        <w:pStyle w:val="paragraph"/>
        <w:rPr>
          <w:color w:val="FF0000"/>
        </w:rPr>
      </w:pPr>
      <w:r w:rsidRPr="00693A57">
        <w:rPr>
          <w:color w:val="FF0000"/>
        </w:rPr>
        <w:tab/>
      </w:r>
      <w:r w:rsidRPr="00693A57">
        <w:rPr>
          <w:color w:val="FF0000"/>
        </w:rPr>
        <w:tab/>
        <w:t>that relates to an arrangement with the retailer; and</w:t>
      </w:r>
    </w:p>
    <w:p w14:paraId="502A1538" w14:textId="77777777" w:rsidR="00F57283" w:rsidRPr="00693A57" w:rsidRDefault="00F57283" w:rsidP="00F57283">
      <w:pPr>
        <w:pStyle w:val="paragraph"/>
        <w:rPr>
          <w:color w:val="FF0000"/>
        </w:rPr>
      </w:pPr>
      <w:r w:rsidRPr="00693A57">
        <w:rPr>
          <w:color w:val="FF0000"/>
        </w:rPr>
        <w:tab/>
        <w:t>(b)</w:t>
      </w:r>
      <w:r w:rsidRPr="00693A57">
        <w:rPr>
          <w:color w:val="FF0000"/>
        </w:rPr>
        <w:tab/>
        <w:t>in relation to a customer—information covered by paragraph (a) that relates to the arrangement relevant to the customer.</w:t>
      </w:r>
    </w:p>
    <w:p w14:paraId="797CE46D" w14:textId="77777777" w:rsidR="00F57283" w:rsidRPr="00693A57" w:rsidRDefault="00F57283" w:rsidP="00F57283">
      <w:pPr>
        <w:pStyle w:val="notetext"/>
        <w:rPr>
          <w:color w:val="FF0000"/>
        </w:rPr>
      </w:pPr>
      <w:r w:rsidRPr="00693A57">
        <w:rPr>
          <w:color w:val="FF0000"/>
        </w:rPr>
        <w:t>Note:</w:t>
      </w:r>
      <w:r w:rsidRPr="00693A57">
        <w:rPr>
          <w:color w:val="FF0000"/>
        </w:rPr>
        <w:tab/>
        <w:t>This is data for which AEMO is the designated data holder under the energy sector designation instrument.</w:t>
      </w:r>
    </w:p>
    <w:p w14:paraId="475416B1" w14:textId="77777777" w:rsidR="00F57283" w:rsidRPr="00693A57" w:rsidRDefault="00F57283" w:rsidP="00F57283">
      <w:pPr>
        <w:pStyle w:val="Definition"/>
        <w:rPr>
          <w:color w:val="FF0000"/>
        </w:rPr>
      </w:pPr>
      <w:r w:rsidRPr="00693A57">
        <w:rPr>
          <w:b/>
          <w:i/>
          <w:color w:val="FF0000"/>
        </w:rPr>
        <w:t>AER</w:t>
      </w:r>
      <w:r w:rsidRPr="00693A57">
        <w:rPr>
          <w:color w:val="FF0000"/>
        </w:rPr>
        <w:t xml:space="preserve"> means the Australian Energy Regulator</w:t>
      </w:r>
    </w:p>
    <w:p w14:paraId="7FF7701E" w14:textId="77777777" w:rsidR="00F57283" w:rsidRPr="00693A57" w:rsidRDefault="00F57283" w:rsidP="00F57283">
      <w:pPr>
        <w:pStyle w:val="Definition"/>
        <w:rPr>
          <w:color w:val="FF0000"/>
        </w:rPr>
      </w:pPr>
      <w:r w:rsidRPr="00693A57">
        <w:rPr>
          <w:b/>
          <w:i/>
          <w:color w:val="FF0000"/>
        </w:rPr>
        <w:t>account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52953DB6" w14:textId="77777777" w:rsidR="00F57283" w:rsidRPr="00693A57" w:rsidRDefault="00F57283" w:rsidP="00F57283">
      <w:pPr>
        <w:pStyle w:val="Definition"/>
        <w:rPr>
          <w:color w:val="FF0000"/>
        </w:rPr>
      </w:pPr>
      <w:r w:rsidRPr="00693A57">
        <w:rPr>
          <w:b/>
          <w:i/>
          <w:iCs/>
          <w:color w:val="FF0000"/>
        </w:rPr>
        <w:t xml:space="preserve">arrangement </w:t>
      </w:r>
      <w:r w:rsidRPr="00693A57">
        <w:rPr>
          <w:color w:val="FF0000"/>
        </w:rPr>
        <w:t xml:space="preserve">has the meaning given by subsection 5(1) of the energy sector designation instrument; </w:t>
      </w:r>
    </w:p>
    <w:p w14:paraId="426D510C" w14:textId="77777777" w:rsidR="00F57283" w:rsidRPr="00693A57" w:rsidRDefault="00F57283" w:rsidP="00F57283">
      <w:pPr>
        <w:pStyle w:val="Definition"/>
        <w:rPr>
          <w:color w:val="FF0000"/>
        </w:rPr>
      </w:pPr>
      <w:r w:rsidRPr="00693A57">
        <w:rPr>
          <w:b/>
          <w:i/>
          <w:color w:val="FF0000"/>
        </w:rPr>
        <w:t>billing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76CB22B5" w14:textId="77777777" w:rsidR="00F57283" w:rsidRPr="00693A57" w:rsidRDefault="00F57283" w:rsidP="00F57283">
      <w:pPr>
        <w:pStyle w:val="Definition"/>
        <w:rPr>
          <w:color w:val="FF0000"/>
        </w:rPr>
      </w:pPr>
      <w:r w:rsidRPr="00693A57">
        <w:rPr>
          <w:b/>
          <w:i/>
          <w:iCs/>
          <w:color w:val="FF0000"/>
        </w:rPr>
        <w:t xml:space="preserve">customer </w:t>
      </w:r>
      <w:r w:rsidRPr="00693A57">
        <w:rPr>
          <w:color w:val="FF0000"/>
        </w:rPr>
        <w:t xml:space="preserve">has the meaning given by subsection 5(1) of the energy sector designation instrument; </w:t>
      </w:r>
    </w:p>
    <w:p w14:paraId="69FF626D" w14:textId="77777777" w:rsidR="00F57283" w:rsidRPr="00693A57" w:rsidRDefault="00F57283" w:rsidP="00F57283">
      <w:pPr>
        <w:pStyle w:val="Definition"/>
        <w:rPr>
          <w:color w:val="FF0000"/>
        </w:rPr>
      </w:pPr>
      <w:r w:rsidRPr="00693A57">
        <w:rPr>
          <w:b/>
          <w:i/>
          <w:color w:val="FF0000"/>
        </w:rPr>
        <w:t>customer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056FE65D" w14:textId="77777777" w:rsidR="00F57283" w:rsidRPr="00693A57" w:rsidRDefault="00F57283" w:rsidP="00F57283">
      <w:pPr>
        <w:pStyle w:val="Definition"/>
        <w:rPr>
          <w:iCs/>
          <w:color w:val="FF0000"/>
        </w:rPr>
      </w:pPr>
      <w:r w:rsidRPr="00693A57">
        <w:rPr>
          <w:b/>
          <w:i/>
          <w:iCs/>
          <w:color w:val="FF0000"/>
        </w:rPr>
        <w:t xml:space="preserve">DER </w:t>
      </w:r>
      <w:r w:rsidRPr="00693A57">
        <w:rPr>
          <w:iCs/>
          <w:color w:val="FF0000"/>
        </w:rPr>
        <w:t>(for distributed energy resources), in relation to an account, means any energy resources that are covered by the arrangement for the account and registered on the DER Register.</w:t>
      </w:r>
    </w:p>
    <w:p w14:paraId="30E52D71" w14:textId="77777777" w:rsidR="00F57283" w:rsidRPr="00693A57" w:rsidRDefault="00F57283" w:rsidP="00F57283">
      <w:pPr>
        <w:pStyle w:val="Definition"/>
        <w:rPr>
          <w:color w:val="FF0000"/>
        </w:rPr>
      </w:pPr>
      <w:r w:rsidRPr="00693A57">
        <w:rPr>
          <w:b/>
          <w:i/>
          <w:iCs/>
          <w:color w:val="FF0000"/>
        </w:rPr>
        <w:t xml:space="preserve">DER Register </w:t>
      </w:r>
      <w:r w:rsidRPr="00693A57">
        <w:rPr>
          <w:iCs/>
          <w:color w:val="FF0000"/>
        </w:rPr>
        <w:t>means the DER Register maintained under the National Electricity Rules.</w:t>
      </w:r>
      <w:r w:rsidRPr="00693A57">
        <w:rPr>
          <w:color w:val="FF0000"/>
        </w:rPr>
        <w:t xml:space="preserve"> </w:t>
      </w:r>
    </w:p>
    <w:p w14:paraId="630D0F9B" w14:textId="77777777" w:rsidR="00F57283" w:rsidRPr="00693A57" w:rsidRDefault="00F57283" w:rsidP="00F57283">
      <w:pPr>
        <w:pStyle w:val="Definition"/>
        <w:rPr>
          <w:color w:val="FF0000"/>
        </w:rPr>
      </w:pPr>
      <w:r w:rsidRPr="00693A57">
        <w:rPr>
          <w:b/>
          <w:i/>
          <w:color w:val="FF0000"/>
        </w:rPr>
        <w:t>DER register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071C990F" w14:textId="77777777" w:rsidR="00F57283" w:rsidRPr="00693A57" w:rsidRDefault="00F57283" w:rsidP="00F57283">
      <w:pPr>
        <w:pStyle w:val="Definition"/>
        <w:rPr>
          <w:color w:val="FF0000"/>
        </w:rPr>
      </w:pPr>
      <w:r w:rsidRPr="00693A57">
        <w:rPr>
          <w:b/>
          <w:i/>
          <w:iCs/>
          <w:color w:val="FF0000"/>
        </w:rPr>
        <w:t xml:space="preserve">energy sector </w:t>
      </w:r>
      <w:r w:rsidRPr="00693A57">
        <w:rPr>
          <w:color w:val="FF0000"/>
        </w:rPr>
        <w:t>means the sector of the Australian economy that is designated by the energy sector designation instrument.</w:t>
      </w:r>
    </w:p>
    <w:p w14:paraId="6F288F91" w14:textId="77777777" w:rsidR="00F57283" w:rsidRPr="00693A57" w:rsidRDefault="00F57283" w:rsidP="00F57283">
      <w:pPr>
        <w:pStyle w:val="Definition"/>
        <w:rPr>
          <w:color w:val="FF0000"/>
        </w:rPr>
      </w:pPr>
      <w:r w:rsidRPr="00693A57">
        <w:rPr>
          <w:b/>
          <w:i/>
          <w:iCs/>
          <w:color w:val="FF0000"/>
        </w:rPr>
        <w:t xml:space="preserve">energy sector data </w:t>
      </w:r>
      <w:r w:rsidRPr="00693A57">
        <w:rPr>
          <w:color w:val="FF0000"/>
        </w:rPr>
        <w:t>means CDR data covered by the energy sector designation instrument.</w:t>
      </w:r>
    </w:p>
    <w:p w14:paraId="02189395" w14:textId="77777777" w:rsidR="00F57283" w:rsidRPr="00693A57" w:rsidRDefault="00F57283" w:rsidP="00F57283">
      <w:pPr>
        <w:pStyle w:val="Definition"/>
        <w:rPr>
          <w:color w:val="FF0000"/>
        </w:rPr>
      </w:pPr>
      <w:r w:rsidRPr="00693A57">
        <w:rPr>
          <w:b/>
          <w:i/>
          <w:iCs/>
          <w:color w:val="FF0000"/>
        </w:rPr>
        <w:t xml:space="preserve">energy sector designation instrument </w:t>
      </w:r>
      <w:r w:rsidRPr="00693A57">
        <w:rPr>
          <w:color w:val="FF0000"/>
        </w:rPr>
        <w:t xml:space="preserve">means the </w:t>
      </w:r>
      <w:r w:rsidRPr="00693A57">
        <w:rPr>
          <w:i/>
          <w:iCs/>
          <w:color w:val="FF0000"/>
        </w:rPr>
        <w:t>Consumer Data Right (Energy Sector) Designation 2020</w:t>
      </w:r>
      <w:r w:rsidRPr="00693A57">
        <w:rPr>
          <w:color w:val="FF0000"/>
        </w:rPr>
        <w:t>.</w:t>
      </w:r>
    </w:p>
    <w:p w14:paraId="03E26FCF" w14:textId="77777777" w:rsidR="00F57283" w:rsidRPr="00693A57" w:rsidRDefault="00F57283" w:rsidP="00F57283">
      <w:pPr>
        <w:pStyle w:val="Definition"/>
        <w:rPr>
          <w:color w:val="FF0000"/>
        </w:rPr>
      </w:pPr>
      <w:r w:rsidRPr="00693A57">
        <w:rPr>
          <w:b/>
          <w:i/>
          <w:color w:val="FF0000"/>
        </w:rPr>
        <w:t>metering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20E7FFEA" w14:textId="77777777" w:rsidR="00F57283" w:rsidRPr="00693A57" w:rsidRDefault="00F57283" w:rsidP="00F57283">
      <w:pPr>
        <w:pStyle w:val="Definition"/>
        <w:rPr>
          <w:color w:val="FF0000"/>
        </w:rPr>
      </w:pPr>
      <w:r w:rsidRPr="00693A57">
        <w:rPr>
          <w:b/>
          <w:i/>
          <w:color w:val="FF0000"/>
        </w:rPr>
        <w:lastRenderedPageBreak/>
        <w:t>National Energy Retail Law</w:t>
      </w:r>
      <w:r w:rsidRPr="00693A57">
        <w:rPr>
          <w:color w:val="FF0000"/>
        </w:rPr>
        <w:t xml:space="preserve"> has the meaning given by the energy sector designation instrument. </w:t>
      </w:r>
    </w:p>
    <w:p w14:paraId="7F5188D0" w14:textId="77777777" w:rsidR="00F57283" w:rsidRPr="00693A57" w:rsidRDefault="00F57283" w:rsidP="00F57283">
      <w:pPr>
        <w:pStyle w:val="Definition"/>
        <w:rPr>
          <w:color w:val="FF0000"/>
        </w:rPr>
      </w:pPr>
      <w:r w:rsidRPr="00693A57">
        <w:rPr>
          <w:b/>
          <w:bCs/>
          <w:i/>
          <w:iCs/>
          <w:color w:val="FF0000"/>
          <w:shd w:val="clear" w:color="auto" w:fill="FFFFFF"/>
        </w:rPr>
        <w:t>National Electricity Rules</w:t>
      </w:r>
      <w:r w:rsidRPr="00693A57">
        <w:rPr>
          <w:color w:val="FF0000"/>
          <w:shd w:val="clear" w:color="auto" w:fill="FFFFFF"/>
        </w:rPr>
        <w:t> </w:t>
      </w:r>
      <w:r w:rsidRPr="00693A57">
        <w:rPr>
          <w:color w:val="FF0000"/>
        </w:rPr>
        <w:t>has the meaning given by the energy sector designation instrument</w:t>
      </w:r>
      <w:r w:rsidRPr="00693A57">
        <w:rPr>
          <w:color w:val="FF0000"/>
          <w:shd w:val="clear" w:color="auto" w:fill="FFFFFF"/>
        </w:rPr>
        <w:t>.</w:t>
      </w:r>
    </w:p>
    <w:p w14:paraId="75FA9C31" w14:textId="77777777" w:rsidR="00F57283" w:rsidRPr="00693A57" w:rsidRDefault="00F57283" w:rsidP="00F57283">
      <w:pPr>
        <w:pStyle w:val="Definition"/>
        <w:rPr>
          <w:color w:val="FF0000"/>
        </w:rPr>
      </w:pPr>
      <w:r w:rsidRPr="00693A57">
        <w:rPr>
          <w:b/>
          <w:bCs/>
          <w:i/>
          <w:iCs/>
          <w:color w:val="FF0000"/>
          <w:shd w:val="clear" w:color="auto" w:fill="FFFFFF"/>
        </w:rPr>
        <w:t>National Electricity Law</w:t>
      </w:r>
      <w:r w:rsidRPr="00693A57">
        <w:rPr>
          <w:color w:val="FF0000"/>
          <w:shd w:val="clear" w:color="auto" w:fill="FFFFFF"/>
        </w:rPr>
        <w:t> means the National Electricity Law set out in the Schedule to the </w:t>
      </w:r>
      <w:r w:rsidRPr="00693A57">
        <w:rPr>
          <w:i/>
          <w:iCs/>
          <w:color w:val="FF0000"/>
          <w:shd w:val="clear" w:color="auto" w:fill="FFFFFF"/>
        </w:rPr>
        <w:t>National Electricity (South Australia) Act 1996</w:t>
      </w:r>
      <w:r w:rsidRPr="00693A57">
        <w:rPr>
          <w:color w:val="FF0000"/>
          <w:shd w:val="clear" w:color="auto" w:fill="FFFFFF"/>
        </w:rPr>
        <w:t> (SA).</w:t>
      </w:r>
    </w:p>
    <w:p w14:paraId="2A46F95D" w14:textId="77777777" w:rsidR="00F57283" w:rsidRPr="00693A57" w:rsidRDefault="00F57283" w:rsidP="00F57283">
      <w:pPr>
        <w:pStyle w:val="Definition"/>
        <w:rPr>
          <w:color w:val="FF0000"/>
        </w:rPr>
      </w:pPr>
      <w:r w:rsidRPr="00693A57">
        <w:rPr>
          <w:b/>
          <w:i/>
          <w:color w:val="FF0000"/>
        </w:rPr>
        <w:t xml:space="preserve">National Electricity Market </w:t>
      </w:r>
      <w:r w:rsidRPr="00693A57">
        <w:rPr>
          <w:color w:val="FF0000"/>
        </w:rPr>
        <w:t>has the meaning given by the National Electricity Law. </w:t>
      </w:r>
    </w:p>
    <w:p w14:paraId="7FD93E79" w14:textId="77777777" w:rsidR="00F57283" w:rsidRPr="00693A57" w:rsidRDefault="00F57283" w:rsidP="00F57283">
      <w:pPr>
        <w:pStyle w:val="Definition"/>
        <w:rPr>
          <w:color w:val="FF0000"/>
        </w:rPr>
      </w:pPr>
      <w:r w:rsidRPr="00693A57">
        <w:rPr>
          <w:b/>
          <w:i/>
          <w:color w:val="FF0000"/>
        </w:rPr>
        <w:t>NMI standing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4C3E920E" w14:textId="77777777" w:rsidR="00F57283" w:rsidRPr="00693A57" w:rsidRDefault="00F57283" w:rsidP="00F57283">
      <w:pPr>
        <w:pStyle w:val="Definition"/>
        <w:rPr>
          <w:color w:val="FF0000"/>
        </w:rPr>
      </w:pPr>
      <w:r w:rsidRPr="00693A57">
        <w:rPr>
          <w:b/>
          <w:i/>
          <w:iCs/>
          <w:color w:val="FF0000"/>
        </w:rPr>
        <w:t xml:space="preserve">plan </w:t>
      </w:r>
      <w:r w:rsidRPr="00693A57">
        <w:rPr>
          <w:color w:val="FF0000"/>
        </w:rPr>
        <w:t>means a form of arrangement that is offered to, or has been supplied to, customers by a retailer.</w:t>
      </w:r>
    </w:p>
    <w:p w14:paraId="177604B8" w14:textId="77777777" w:rsidR="00F57283" w:rsidRPr="00693A57" w:rsidRDefault="00F57283" w:rsidP="00F57283">
      <w:pPr>
        <w:pStyle w:val="Definition"/>
        <w:rPr>
          <w:color w:val="FF0000"/>
        </w:rPr>
      </w:pPr>
      <w:r w:rsidRPr="00693A57">
        <w:rPr>
          <w:b/>
          <w:i/>
          <w:color w:val="FF0000"/>
        </w:rPr>
        <w:t>product specific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259FD452" w14:textId="77777777" w:rsidR="00F57283" w:rsidRPr="00693A57" w:rsidRDefault="00F57283" w:rsidP="00F57283">
      <w:pPr>
        <w:pStyle w:val="Definition"/>
        <w:rPr>
          <w:color w:val="FF0000"/>
        </w:rPr>
      </w:pPr>
      <w:r w:rsidRPr="00693A57">
        <w:rPr>
          <w:b/>
          <w:bCs/>
          <w:i/>
          <w:iCs/>
          <w:color w:val="FF0000"/>
        </w:rPr>
        <w:t>retailer</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_Ref62476137 \n </w:instrText>
      </w:r>
      <w:r w:rsidRPr="00693A57">
        <w:rPr>
          <w:color w:val="FF0000"/>
        </w:rPr>
        <w:fldChar w:fldCharType="separate"/>
      </w:r>
      <w:r w:rsidR="000F7228">
        <w:rPr>
          <w:color w:val="FF0000"/>
        </w:rPr>
        <w:t>1.4</w:t>
      </w:r>
      <w:r w:rsidRPr="00693A57">
        <w:rPr>
          <w:color w:val="FF0000"/>
        </w:rPr>
        <w:fldChar w:fldCharType="end"/>
      </w:r>
      <w:r w:rsidRPr="00693A57">
        <w:rPr>
          <w:color w:val="FF0000"/>
        </w:rPr>
        <w:t xml:space="preserve"> of this Schedule.</w:t>
      </w:r>
    </w:p>
    <w:p w14:paraId="7FA12095" w14:textId="77777777" w:rsidR="00F57283" w:rsidRPr="00693A57" w:rsidRDefault="00F57283" w:rsidP="00F57283">
      <w:pPr>
        <w:pStyle w:val="Definition"/>
        <w:rPr>
          <w:color w:val="FF0000"/>
        </w:rPr>
      </w:pPr>
      <w:r w:rsidRPr="00693A57">
        <w:rPr>
          <w:b/>
          <w:i/>
          <w:color w:val="FF0000"/>
        </w:rPr>
        <w:t>tailored tariff data</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_Ref69711968 \n </w:instrText>
      </w:r>
      <w:r w:rsidRPr="00693A57">
        <w:rPr>
          <w:color w:val="FF0000"/>
        </w:rPr>
        <w:fldChar w:fldCharType="separate"/>
      </w:r>
      <w:r w:rsidR="000F7228">
        <w:rPr>
          <w:color w:val="FF0000"/>
        </w:rPr>
        <w:t>1.3</w:t>
      </w:r>
      <w:r w:rsidRPr="00693A57">
        <w:rPr>
          <w:color w:val="FF0000"/>
        </w:rPr>
        <w:fldChar w:fldCharType="end"/>
      </w:r>
      <w:r w:rsidRPr="00693A57">
        <w:rPr>
          <w:color w:val="FF0000"/>
        </w:rPr>
        <w:t xml:space="preserve"> of this Schedule.</w:t>
      </w:r>
    </w:p>
    <w:p w14:paraId="636BE951" w14:textId="77777777" w:rsidR="00F57283" w:rsidRPr="00693A57" w:rsidRDefault="00F57283" w:rsidP="00F57283">
      <w:pPr>
        <w:pStyle w:val="Definition"/>
        <w:rPr>
          <w:color w:val="FF0000"/>
          <w:shd w:val="clear" w:color="auto" w:fill="FFFFFF"/>
        </w:rPr>
      </w:pPr>
      <w:r w:rsidRPr="00693A57">
        <w:rPr>
          <w:b/>
          <w:i/>
          <w:iCs/>
          <w:color w:val="FF0000"/>
        </w:rPr>
        <w:t>Victorian agency</w:t>
      </w:r>
      <w:r w:rsidRPr="00693A57">
        <w:rPr>
          <w:bCs/>
          <w:color w:val="FF0000"/>
        </w:rPr>
        <w:t xml:space="preserve"> means </w:t>
      </w:r>
      <w:r w:rsidRPr="00693A57">
        <w:rPr>
          <w:color w:val="FF0000"/>
          <w:shd w:val="clear" w:color="auto" w:fill="FFFFFF"/>
        </w:rPr>
        <w:t>the Department of State administered by the Minister of Victoria administering the </w:t>
      </w:r>
      <w:r w:rsidRPr="00693A57">
        <w:rPr>
          <w:i/>
          <w:iCs/>
          <w:color w:val="FF0000"/>
        </w:rPr>
        <w:t>National Electricity (Victoria) Act 2005</w:t>
      </w:r>
      <w:r w:rsidRPr="00693A57">
        <w:rPr>
          <w:color w:val="FF0000"/>
          <w:shd w:val="clear" w:color="auto" w:fill="FFFFFF"/>
        </w:rPr>
        <w:t> (Vic).</w:t>
      </w:r>
    </w:p>
    <w:p w14:paraId="3DE2A590" w14:textId="77777777" w:rsidR="00F57283" w:rsidRPr="00693A57" w:rsidRDefault="00F57283" w:rsidP="00F57283">
      <w:pPr>
        <w:pStyle w:val="notetext"/>
        <w:rPr>
          <w:rFonts w:eastAsia="Calibri"/>
          <w:color w:val="FF0000"/>
        </w:rPr>
      </w:pPr>
      <w:r w:rsidRPr="00693A57">
        <w:rPr>
          <w:rFonts w:eastAsia="Calibri"/>
          <w:color w:val="FF0000"/>
        </w:rPr>
        <w:t>Note:</w:t>
      </w:r>
      <w:r w:rsidRPr="00693A57">
        <w:rPr>
          <w:rFonts w:eastAsia="Calibri"/>
          <w:color w:val="FF0000"/>
        </w:rPr>
        <w:tab/>
        <w:t>The relevant Victorian agency must be declared a participating entity under section 56AS of the Act.</w:t>
      </w:r>
    </w:p>
    <w:p w14:paraId="3AF656AF" w14:textId="5030CE5F" w:rsidR="00F57283" w:rsidRPr="00693A57" w:rsidRDefault="00F57283" w:rsidP="00F57283">
      <w:pPr>
        <w:pStyle w:val="ActHead5"/>
        <w:rPr>
          <w:i/>
          <w:color w:val="FF0000"/>
        </w:rPr>
      </w:pPr>
      <w:r w:rsidRPr="00693A57">
        <w:rPr>
          <w:color w:val="FF0000"/>
        </w:rPr>
        <w:fldChar w:fldCharType="begin"/>
      </w:r>
      <w:bookmarkStart w:id="755" w:name="_Ref69711968"/>
      <w:bookmarkEnd w:id="755"/>
      <w:r w:rsidRPr="00693A57">
        <w:rPr>
          <w:color w:val="FF0000"/>
        </w:rPr>
        <w:instrText xml:space="preserve">  LISTNUM "main numbering" \l 5 \* MERGEFORMAT </w:instrText>
      </w:r>
      <w:bookmarkStart w:id="756" w:name="_Toc77065135"/>
      <w:r w:rsidRPr="00693A57">
        <w:rPr>
          <w:color w:val="FF0000"/>
        </w:rPr>
        <w:fldChar w:fldCharType="end">
          <w:numberingChange w:id="757" w:author="Author" w:original="1.3"/>
        </w:fldChar>
      </w:r>
      <w:r w:rsidRPr="00693A57">
        <w:rPr>
          <w:color w:val="FF0000"/>
        </w:rPr>
        <w:t xml:space="preserve">  Meaning of terms for types of data</w:t>
      </w:r>
      <w:bookmarkEnd w:id="756"/>
    </w:p>
    <w:p w14:paraId="17685B75" w14:textId="77777777" w:rsidR="00F57283" w:rsidRPr="00693A57" w:rsidRDefault="00F57283" w:rsidP="00F57283">
      <w:pPr>
        <w:pStyle w:val="subsection"/>
        <w:rPr>
          <w:color w:val="FF0000"/>
        </w:rPr>
      </w:pPr>
      <w:r w:rsidRPr="00693A57">
        <w:rPr>
          <w:color w:val="FF0000"/>
        </w:rPr>
        <w:tab/>
      </w:r>
      <w:r w:rsidRPr="00693A57">
        <w:rPr>
          <w:color w:val="FF0000"/>
        </w:rPr>
        <w:tab/>
        <w:t>For this Schedule, a term listed in column 1 of the table has the meaning given by column 2.</w:t>
      </w:r>
    </w:p>
    <w:p w14:paraId="19894FDA" w14:textId="77777777" w:rsidR="00F57283" w:rsidRPr="00693A57" w:rsidRDefault="00F57283" w:rsidP="00F57283">
      <w:pPr>
        <w:pStyle w:val="subsection"/>
        <w:rPr>
          <w:color w:val="FF0000"/>
        </w:rPr>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F57283" w:rsidRPr="009433A0" w14:paraId="17219DD8" w14:textId="77777777" w:rsidTr="00306F9F">
        <w:trPr>
          <w:tblHeader/>
        </w:trPr>
        <w:tc>
          <w:tcPr>
            <w:tcW w:w="5000" w:type="pct"/>
            <w:gridSpan w:val="3"/>
            <w:tcBorders>
              <w:top w:val="single" w:sz="12" w:space="0" w:color="auto"/>
              <w:bottom w:val="single" w:sz="2" w:space="0" w:color="auto"/>
            </w:tcBorders>
          </w:tcPr>
          <w:p w14:paraId="43C92873" w14:textId="77777777" w:rsidR="00F57283" w:rsidRPr="00693A57" w:rsidRDefault="00F57283" w:rsidP="00306F9F">
            <w:pPr>
              <w:pStyle w:val="TableHeading"/>
              <w:jc w:val="center"/>
              <w:rPr>
                <w:i/>
                <w:color w:val="FF0000"/>
              </w:rPr>
            </w:pPr>
            <w:r w:rsidRPr="00693A57">
              <w:rPr>
                <w:color w:val="FF0000"/>
              </w:rPr>
              <w:t xml:space="preserve">Meaning of </w:t>
            </w:r>
            <w:r w:rsidRPr="00693A57">
              <w:rPr>
                <w:i/>
                <w:color w:val="FF0000"/>
              </w:rPr>
              <w:t>customer data</w:t>
            </w:r>
            <w:r w:rsidRPr="00693A57">
              <w:rPr>
                <w:color w:val="FF0000"/>
              </w:rPr>
              <w:t xml:space="preserve">, </w:t>
            </w:r>
            <w:r w:rsidRPr="00693A57">
              <w:rPr>
                <w:i/>
                <w:color w:val="FF0000"/>
              </w:rPr>
              <w:t>account data</w:t>
            </w:r>
            <w:r w:rsidRPr="00693A57">
              <w:rPr>
                <w:b w:val="0"/>
                <w:color w:val="FF0000"/>
              </w:rPr>
              <w:t xml:space="preserve">, </w:t>
            </w:r>
            <w:r w:rsidRPr="00693A57">
              <w:rPr>
                <w:i/>
                <w:color w:val="FF0000"/>
              </w:rPr>
              <w:t>billing data</w:t>
            </w:r>
            <w:r w:rsidRPr="00693A57">
              <w:rPr>
                <w:b w:val="0"/>
                <w:color w:val="FF0000"/>
              </w:rPr>
              <w:t xml:space="preserve">, </w:t>
            </w:r>
            <w:r w:rsidRPr="00693A57">
              <w:rPr>
                <w:i/>
                <w:color w:val="FF0000"/>
              </w:rPr>
              <w:t>metering data</w:t>
            </w:r>
            <w:r w:rsidRPr="00693A57">
              <w:rPr>
                <w:b w:val="0"/>
                <w:color w:val="FF0000"/>
              </w:rPr>
              <w:t xml:space="preserve">, </w:t>
            </w:r>
            <w:r w:rsidRPr="00693A57">
              <w:rPr>
                <w:i/>
                <w:color w:val="FF0000"/>
              </w:rPr>
              <w:t>NMI standing data</w:t>
            </w:r>
            <w:r w:rsidRPr="00693A57">
              <w:rPr>
                <w:b w:val="0"/>
                <w:color w:val="FF0000"/>
              </w:rPr>
              <w:t xml:space="preserve">, </w:t>
            </w:r>
            <w:r w:rsidRPr="00693A57">
              <w:rPr>
                <w:i/>
                <w:color w:val="FF0000"/>
              </w:rPr>
              <w:t>DER register data</w:t>
            </w:r>
            <w:r w:rsidRPr="00693A57">
              <w:rPr>
                <w:b w:val="0"/>
                <w:color w:val="FF0000"/>
              </w:rPr>
              <w:t xml:space="preserve">, </w:t>
            </w:r>
            <w:r w:rsidRPr="00693A57">
              <w:rPr>
                <w:i/>
                <w:color w:val="FF0000"/>
              </w:rPr>
              <w:t>product specific</w:t>
            </w:r>
            <w:r w:rsidRPr="00693A57">
              <w:rPr>
                <w:b w:val="0"/>
                <w:i/>
                <w:color w:val="FF0000"/>
              </w:rPr>
              <w:t xml:space="preserve"> </w:t>
            </w:r>
            <w:r w:rsidRPr="00693A57">
              <w:rPr>
                <w:i/>
                <w:color w:val="FF0000"/>
              </w:rPr>
              <w:t>data</w:t>
            </w:r>
            <w:r w:rsidRPr="00693A57">
              <w:rPr>
                <w:b w:val="0"/>
                <w:color w:val="FF0000"/>
              </w:rPr>
              <w:t xml:space="preserve"> and </w:t>
            </w:r>
            <w:r w:rsidRPr="00693A57">
              <w:rPr>
                <w:i/>
                <w:color w:val="FF0000"/>
              </w:rPr>
              <w:t>tailored tariff data</w:t>
            </w:r>
          </w:p>
        </w:tc>
      </w:tr>
      <w:tr w:rsidR="00F57283" w:rsidRPr="009433A0" w14:paraId="6FD314CB" w14:textId="77777777" w:rsidTr="00306F9F">
        <w:trPr>
          <w:tblHeader/>
        </w:trPr>
        <w:tc>
          <w:tcPr>
            <w:tcW w:w="256" w:type="pct"/>
            <w:tcBorders>
              <w:top w:val="single" w:sz="2" w:space="0" w:color="auto"/>
              <w:bottom w:val="single" w:sz="12" w:space="0" w:color="auto"/>
              <w:right w:val="nil"/>
            </w:tcBorders>
          </w:tcPr>
          <w:p w14:paraId="7FB127AE" w14:textId="77777777" w:rsidR="00F57283" w:rsidRPr="00D83C7A" w:rsidRDefault="00F57283" w:rsidP="00306F9F">
            <w:pPr>
              <w:pStyle w:val="TableHeading"/>
              <w:rPr>
                <w:color w:val="0000FF"/>
              </w:rPr>
            </w:pPr>
          </w:p>
        </w:tc>
        <w:tc>
          <w:tcPr>
            <w:tcW w:w="1187" w:type="pct"/>
            <w:tcBorders>
              <w:top w:val="single" w:sz="2" w:space="0" w:color="auto"/>
              <w:left w:val="nil"/>
              <w:bottom w:val="single" w:sz="12" w:space="0" w:color="auto"/>
              <w:right w:val="nil"/>
            </w:tcBorders>
          </w:tcPr>
          <w:p w14:paraId="4A4C319A" w14:textId="77777777" w:rsidR="00F57283" w:rsidRPr="00D83C7A" w:rsidRDefault="00F57283" w:rsidP="00306F9F">
            <w:pPr>
              <w:pStyle w:val="TableHeading"/>
              <w:rPr>
                <w:color w:val="0000FF"/>
              </w:rPr>
            </w:pPr>
            <w:r w:rsidRPr="00693A57">
              <w:rPr>
                <w:color w:val="FF0000"/>
              </w:rPr>
              <w:t>Column 1</w:t>
            </w:r>
          </w:p>
        </w:tc>
        <w:tc>
          <w:tcPr>
            <w:tcW w:w="3557" w:type="pct"/>
            <w:tcBorders>
              <w:top w:val="single" w:sz="2" w:space="0" w:color="auto"/>
              <w:left w:val="nil"/>
              <w:bottom w:val="single" w:sz="12" w:space="0" w:color="auto"/>
              <w:right w:val="nil"/>
            </w:tcBorders>
          </w:tcPr>
          <w:p w14:paraId="6817B04B" w14:textId="77777777" w:rsidR="00F57283" w:rsidRPr="00693A57" w:rsidRDefault="00F57283" w:rsidP="00306F9F">
            <w:pPr>
              <w:pStyle w:val="TableHeading"/>
              <w:rPr>
                <w:color w:val="FF0000"/>
              </w:rPr>
            </w:pPr>
            <w:r w:rsidRPr="00693A57">
              <w:rPr>
                <w:color w:val="FF0000"/>
              </w:rPr>
              <w:t>Column 2</w:t>
            </w:r>
          </w:p>
        </w:tc>
      </w:tr>
      <w:tr w:rsidR="00F57283" w:rsidRPr="009433A0" w14:paraId="2FA162EB" w14:textId="77777777" w:rsidTr="00306F9F">
        <w:tc>
          <w:tcPr>
            <w:tcW w:w="256" w:type="pct"/>
            <w:tcBorders>
              <w:top w:val="single" w:sz="12" w:space="0" w:color="auto"/>
              <w:bottom w:val="single" w:sz="2" w:space="0" w:color="auto"/>
              <w:right w:val="nil"/>
            </w:tcBorders>
          </w:tcPr>
          <w:p w14:paraId="0FD1B100" w14:textId="77777777" w:rsidR="00F57283" w:rsidRPr="00D83C7A" w:rsidRDefault="00F57283" w:rsidP="00306F9F">
            <w:pPr>
              <w:pStyle w:val="Tabletext"/>
              <w:rPr>
                <w:color w:val="0000FF"/>
              </w:rPr>
            </w:pPr>
            <w:r w:rsidRPr="00693A57">
              <w:rPr>
                <w:color w:val="FF0000"/>
              </w:rPr>
              <w:t>1</w:t>
            </w:r>
          </w:p>
        </w:tc>
        <w:tc>
          <w:tcPr>
            <w:tcW w:w="1187" w:type="pct"/>
            <w:tcBorders>
              <w:top w:val="single" w:sz="12" w:space="0" w:color="auto"/>
              <w:left w:val="nil"/>
              <w:bottom w:val="single" w:sz="2" w:space="0" w:color="auto"/>
              <w:right w:val="nil"/>
            </w:tcBorders>
          </w:tcPr>
          <w:p w14:paraId="7A800D36" w14:textId="77777777" w:rsidR="00F57283" w:rsidRPr="00D83C7A" w:rsidRDefault="00F57283" w:rsidP="00306F9F">
            <w:pPr>
              <w:pStyle w:val="Tabletext"/>
              <w:rPr>
                <w:color w:val="0000FF"/>
              </w:rPr>
            </w:pPr>
            <w:r w:rsidRPr="00693A57">
              <w:rPr>
                <w:b/>
                <w:i/>
                <w:color w:val="FF0000"/>
              </w:rPr>
              <w:t>customer data</w:t>
            </w:r>
            <w:r w:rsidRPr="00693A57">
              <w:rPr>
                <w:color w:val="FF0000"/>
              </w:rPr>
              <w:t>, in relation to a particular person</w:t>
            </w:r>
          </w:p>
        </w:tc>
        <w:tc>
          <w:tcPr>
            <w:tcW w:w="3557" w:type="pct"/>
            <w:tcBorders>
              <w:top w:val="single" w:sz="12" w:space="0" w:color="auto"/>
              <w:left w:val="nil"/>
              <w:bottom w:val="single" w:sz="2" w:space="0" w:color="auto"/>
              <w:right w:val="nil"/>
            </w:tcBorders>
          </w:tcPr>
          <w:p w14:paraId="1D87C402" w14:textId="77777777" w:rsidR="00F57283" w:rsidRPr="00693A57" w:rsidRDefault="00F57283" w:rsidP="00306F9F">
            <w:pPr>
              <w:pStyle w:val="Tablea"/>
              <w:rPr>
                <w:color w:val="FF0000"/>
              </w:rPr>
            </w:pPr>
            <w:r w:rsidRPr="00693A57">
              <w:rPr>
                <w:color w:val="FF0000"/>
              </w:rPr>
              <w:t>(a)</w:t>
            </w:r>
            <w:r w:rsidRPr="00693A57">
              <w:rPr>
                <w:color w:val="FF0000"/>
              </w:rPr>
              <w:tab/>
              <w:t>means information that identifies or is about the person; and</w:t>
            </w:r>
          </w:p>
          <w:p w14:paraId="7C775012" w14:textId="77777777" w:rsidR="00F57283" w:rsidRPr="00693A57" w:rsidRDefault="00F57283" w:rsidP="00306F9F">
            <w:pPr>
              <w:pStyle w:val="Tablea"/>
              <w:rPr>
                <w:color w:val="FF0000"/>
              </w:rPr>
            </w:pPr>
            <w:r w:rsidRPr="00693A57">
              <w:rPr>
                <w:color w:val="FF0000"/>
              </w:rPr>
              <w:tab/>
              <w:t>(b)</w:t>
            </w:r>
            <w:r w:rsidRPr="00693A57">
              <w:rPr>
                <w:color w:val="FF0000"/>
              </w:rPr>
              <w:tab/>
              <w:t>includes:</w:t>
            </w:r>
          </w:p>
          <w:p w14:paraId="0847D075" w14:textId="77777777" w:rsidR="00F57283" w:rsidRPr="00693A57" w:rsidRDefault="00F57283" w:rsidP="00306F9F">
            <w:pPr>
              <w:pStyle w:val="Tablei"/>
              <w:rPr>
                <w:color w:val="FF0000"/>
              </w:rPr>
            </w:pPr>
            <w:r w:rsidRPr="00693A57">
              <w:rPr>
                <w:color w:val="FF0000"/>
              </w:rPr>
              <w:tab/>
              <w:t>(i)</w:t>
            </w:r>
            <w:r w:rsidRPr="00693A57">
              <w:rPr>
                <w:color w:val="FF0000"/>
              </w:rPr>
              <w:tab/>
              <w:t>the person’s name; and</w:t>
            </w:r>
          </w:p>
          <w:p w14:paraId="4614CD2E" w14:textId="77777777" w:rsidR="00F57283" w:rsidRPr="00693A57" w:rsidRDefault="00F57283" w:rsidP="00306F9F">
            <w:pPr>
              <w:pStyle w:val="Tablei"/>
              <w:rPr>
                <w:color w:val="FF0000"/>
              </w:rPr>
            </w:pPr>
            <w:r w:rsidRPr="00693A57">
              <w:rPr>
                <w:color w:val="FF0000"/>
              </w:rPr>
              <w:tab/>
              <w:t>(ii)</w:t>
            </w:r>
            <w:r w:rsidRPr="00693A57">
              <w:rPr>
                <w:color w:val="FF0000"/>
              </w:rPr>
              <w:tab/>
              <w:t>the person’s contact details, including their:</w:t>
            </w:r>
          </w:p>
          <w:p w14:paraId="27102BCA" w14:textId="77777777" w:rsidR="00F57283" w:rsidRPr="00693A57" w:rsidRDefault="00F57283" w:rsidP="00306F9F">
            <w:pPr>
              <w:pStyle w:val="TableAA"/>
              <w:rPr>
                <w:color w:val="FF0000"/>
              </w:rPr>
            </w:pPr>
            <w:r w:rsidRPr="00693A57">
              <w:rPr>
                <w:color w:val="FF0000"/>
              </w:rPr>
              <w:tab/>
              <w:t>(A)</w:t>
            </w:r>
            <w:r w:rsidRPr="00693A57">
              <w:rPr>
                <w:color w:val="FF0000"/>
              </w:rPr>
              <w:tab/>
              <w:t>telephone number; and</w:t>
            </w:r>
          </w:p>
          <w:p w14:paraId="326CA233" w14:textId="77777777" w:rsidR="00F57283" w:rsidRPr="00693A57" w:rsidRDefault="00F57283" w:rsidP="00306F9F">
            <w:pPr>
              <w:pStyle w:val="TableAA"/>
              <w:rPr>
                <w:color w:val="FF0000"/>
              </w:rPr>
            </w:pPr>
            <w:r w:rsidRPr="00693A57">
              <w:rPr>
                <w:color w:val="FF0000"/>
              </w:rPr>
              <w:tab/>
              <w:t>(B)</w:t>
            </w:r>
            <w:r w:rsidRPr="00693A57">
              <w:rPr>
                <w:color w:val="FF0000"/>
              </w:rPr>
              <w:tab/>
              <w:t>email address; and</w:t>
            </w:r>
          </w:p>
          <w:p w14:paraId="0C9752C0" w14:textId="77777777" w:rsidR="00F57283" w:rsidRPr="00693A57" w:rsidRDefault="00F57283" w:rsidP="00306F9F">
            <w:pPr>
              <w:pStyle w:val="TableAA"/>
              <w:rPr>
                <w:color w:val="FF0000"/>
              </w:rPr>
            </w:pPr>
            <w:r w:rsidRPr="00693A57">
              <w:rPr>
                <w:color w:val="FF0000"/>
              </w:rPr>
              <w:tab/>
              <w:t>(C)</w:t>
            </w:r>
            <w:r w:rsidRPr="00693A57">
              <w:rPr>
                <w:color w:val="FF0000"/>
              </w:rPr>
              <w:tab/>
              <w:t>physical address; and</w:t>
            </w:r>
          </w:p>
          <w:p w14:paraId="244E4986" w14:textId="77777777" w:rsidR="00F57283" w:rsidRPr="00693A57" w:rsidRDefault="00F57283" w:rsidP="00306F9F">
            <w:pPr>
              <w:pStyle w:val="Tablei"/>
              <w:rPr>
                <w:color w:val="FF0000"/>
              </w:rPr>
            </w:pPr>
            <w:r w:rsidRPr="00693A57">
              <w:rPr>
                <w:color w:val="FF0000"/>
              </w:rPr>
              <w:tab/>
              <w:t>(iii)</w:t>
            </w:r>
            <w:r w:rsidRPr="00693A57">
              <w:rPr>
                <w:color w:val="FF0000"/>
              </w:rPr>
              <w:tab/>
              <w:t>any information that:</w:t>
            </w:r>
          </w:p>
          <w:p w14:paraId="6A674EE0" w14:textId="77777777" w:rsidR="00F57283" w:rsidRPr="00693A57" w:rsidRDefault="00F57283" w:rsidP="00306F9F">
            <w:pPr>
              <w:pStyle w:val="TableAA"/>
              <w:rPr>
                <w:color w:val="FF0000"/>
              </w:rPr>
            </w:pPr>
            <w:r w:rsidRPr="00693A57">
              <w:rPr>
                <w:color w:val="FF0000"/>
              </w:rPr>
              <w:tab/>
              <w:t>(A)</w:t>
            </w:r>
            <w:r w:rsidRPr="00693A57">
              <w:rPr>
                <w:color w:val="FF0000"/>
              </w:rPr>
              <w:tab/>
              <w:t>the person provided at the time of acquiring a particular product; and</w:t>
            </w:r>
          </w:p>
          <w:p w14:paraId="1849E63B" w14:textId="77777777" w:rsidR="00F57283" w:rsidRPr="00693A57" w:rsidRDefault="00F57283" w:rsidP="00306F9F">
            <w:pPr>
              <w:pStyle w:val="TableAA"/>
              <w:rPr>
                <w:color w:val="FF0000"/>
              </w:rPr>
            </w:pPr>
            <w:r w:rsidRPr="00693A57">
              <w:rPr>
                <w:color w:val="FF0000"/>
              </w:rPr>
              <w:tab/>
              <w:t>(B)</w:t>
            </w:r>
            <w:r w:rsidRPr="00693A57">
              <w:rPr>
                <w:color w:val="FF0000"/>
              </w:rPr>
              <w:tab/>
              <w:t>relates to their eligibility to acquire that product; and</w:t>
            </w:r>
          </w:p>
          <w:p w14:paraId="66122CC3" w14:textId="77777777" w:rsidR="00F57283" w:rsidRPr="00693A57" w:rsidRDefault="00F57283" w:rsidP="00306F9F">
            <w:pPr>
              <w:pStyle w:val="Tablei"/>
              <w:rPr>
                <w:color w:val="FF0000"/>
              </w:rPr>
            </w:pPr>
            <w:r w:rsidRPr="00693A57">
              <w:rPr>
                <w:color w:val="FF0000"/>
              </w:rPr>
              <w:lastRenderedPageBreak/>
              <w:tab/>
              <w:t>(iv)</w:t>
            </w:r>
            <w:r w:rsidRPr="00693A57">
              <w:rPr>
                <w:color w:val="FF0000"/>
              </w:rPr>
              <w:tab/>
              <w:t>if the person operates a business—the following:</w:t>
            </w:r>
          </w:p>
          <w:p w14:paraId="624C320B" w14:textId="77777777" w:rsidR="00F57283" w:rsidRPr="00693A57" w:rsidRDefault="00F57283" w:rsidP="00306F9F">
            <w:pPr>
              <w:pStyle w:val="TableAA"/>
              <w:rPr>
                <w:color w:val="FF0000"/>
              </w:rPr>
            </w:pPr>
            <w:r w:rsidRPr="00693A57">
              <w:rPr>
                <w:color w:val="FF0000"/>
              </w:rPr>
              <w:tab/>
              <w:t>(A)</w:t>
            </w:r>
            <w:r w:rsidRPr="00693A57">
              <w:rPr>
                <w:color w:val="FF0000"/>
              </w:rPr>
              <w:tab/>
              <w:t xml:space="preserve">the person’s business name; </w:t>
            </w:r>
          </w:p>
          <w:p w14:paraId="2028BDD8" w14:textId="77777777" w:rsidR="00F57283" w:rsidRPr="00693A57" w:rsidRDefault="00F57283" w:rsidP="00306F9F">
            <w:pPr>
              <w:pStyle w:val="TableAA"/>
              <w:rPr>
                <w:color w:val="FF0000"/>
              </w:rPr>
            </w:pPr>
            <w:r w:rsidRPr="00693A57">
              <w:rPr>
                <w:color w:val="FF0000"/>
              </w:rPr>
              <w:tab/>
              <w:t>(B)</w:t>
            </w:r>
            <w:r w:rsidRPr="00693A57">
              <w:rPr>
                <w:color w:val="FF0000"/>
              </w:rPr>
              <w:tab/>
              <w:t xml:space="preserve">the person’s ABN (within the meaning of the </w:t>
            </w:r>
            <w:r w:rsidRPr="00693A57">
              <w:rPr>
                <w:i/>
                <w:color w:val="FF0000"/>
              </w:rPr>
              <w:t>A New Tax System (Australian Business Number) Act 1999</w:t>
            </w:r>
            <w:r w:rsidRPr="00693A57">
              <w:rPr>
                <w:color w:val="FF0000"/>
              </w:rPr>
              <w:t>); and</w:t>
            </w:r>
          </w:p>
          <w:p w14:paraId="5607C5E2" w14:textId="77777777" w:rsidR="00F57283" w:rsidRPr="00693A57" w:rsidRDefault="00F57283" w:rsidP="00306F9F">
            <w:pPr>
              <w:pStyle w:val="Tablea"/>
              <w:rPr>
                <w:color w:val="FF0000"/>
              </w:rPr>
            </w:pPr>
            <w:r w:rsidRPr="00693A57">
              <w:rPr>
                <w:color w:val="FF0000"/>
              </w:rPr>
              <w:t xml:space="preserve">(c) </w:t>
            </w:r>
            <w:r w:rsidRPr="00693A57">
              <w:rPr>
                <w:color w:val="FF0000"/>
              </w:rPr>
              <w:tab/>
              <w:t>if the person is an individual―does not include the person’s date of birth.</w:t>
            </w:r>
          </w:p>
          <w:p w14:paraId="033F54B5" w14:textId="77777777" w:rsidR="00F57283" w:rsidRPr="00693A57" w:rsidRDefault="00F57283" w:rsidP="00306F9F">
            <w:pPr>
              <w:pStyle w:val="Tablea"/>
              <w:rPr>
                <w:color w:val="FF0000"/>
              </w:rPr>
            </w:pPr>
          </w:p>
        </w:tc>
      </w:tr>
      <w:tr w:rsidR="00F57283" w:rsidRPr="009433A0" w14:paraId="01485025" w14:textId="77777777" w:rsidTr="00306F9F">
        <w:tc>
          <w:tcPr>
            <w:tcW w:w="256" w:type="pct"/>
            <w:tcBorders>
              <w:top w:val="single" w:sz="2" w:space="0" w:color="auto"/>
              <w:bottom w:val="single" w:sz="4" w:space="0" w:color="auto"/>
              <w:right w:val="nil"/>
            </w:tcBorders>
          </w:tcPr>
          <w:p w14:paraId="5D5CAFEE" w14:textId="77777777" w:rsidR="00F57283" w:rsidRPr="00D83C7A" w:rsidRDefault="00F57283" w:rsidP="00306F9F">
            <w:pPr>
              <w:pStyle w:val="Tabletext"/>
              <w:rPr>
                <w:color w:val="0000FF"/>
              </w:rPr>
            </w:pPr>
            <w:r w:rsidRPr="00693A57">
              <w:rPr>
                <w:color w:val="FF0000"/>
              </w:rPr>
              <w:lastRenderedPageBreak/>
              <w:t>2</w:t>
            </w:r>
          </w:p>
        </w:tc>
        <w:tc>
          <w:tcPr>
            <w:tcW w:w="1187" w:type="pct"/>
            <w:tcBorders>
              <w:top w:val="single" w:sz="2" w:space="0" w:color="auto"/>
              <w:left w:val="nil"/>
              <w:bottom w:val="single" w:sz="4" w:space="0" w:color="auto"/>
              <w:right w:val="nil"/>
            </w:tcBorders>
          </w:tcPr>
          <w:p w14:paraId="47D63725" w14:textId="77777777" w:rsidR="00F57283" w:rsidRPr="00D83C7A" w:rsidRDefault="00F57283" w:rsidP="00306F9F">
            <w:pPr>
              <w:pStyle w:val="Tabletext"/>
              <w:rPr>
                <w:color w:val="0000FF"/>
              </w:rPr>
            </w:pPr>
            <w:r w:rsidRPr="00693A57">
              <w:rPr>
                <w:b/>
                <w:i/>
                <w:color w:val="FF0000"/>
              </w:rPr>
              <w:t>account data</w:t>
            </w:r>
            <w:r w:rsidRPr="00693A57">
              <w:rPr>
                <w:color w:val="FF0000"/>
              </w:rPr>
              <w:t>, in relation to a particular account</w:t>
            </w:r>
          </w:p>
        </w:tc>
        <w:tc>
          <w:tcPr>
            <w:tcW w:w="3557" w:type="pct"/>
            <w:tcBorders>
              <w:top w:val="single" w:sz="2" w:space="0" w:color="auto"/>
              <w:left w:val="nil"/>
              <w:bottom w:val="single" w:sz="4" w:space="0" w:color="auto"/>
              <w:right w:val="nil"/>
            </w:tcBorders>
          </w:tcPr>
          <w:p w14:paraId="000E5FAF" w14:textId="77777777" w:rsidR="00F57283" w:rsidRPr="00693A57" w:rsidRDefault="00F57283" w:rsidP="00306F9F">
            <w:pPr>
              <w:pStyle w:val="Tablea"/>
              <w:rPr>
                <w:color w:val="FF0000"/>
              </w:rPr>
            </w:pPr>
            <w:r w:rsidRPr="00693A57">
              <w:rPr>
                <w:color w:val="FF0000"/>
              </w:rPr>
              <w:t>(a)</w:t>
            </w:r>
            <w:r w:rsidRPr="00693A57">
              <w:rPr>
                <w:color w:val="FF0000"/>
              </w:rPr>
              <w:tab/>
              <w:t>means information that identifies or is about the operation of the account; and</w:t>
            </w:r>
          </w:p>
          <w:p w14:paraId="42797CDD" w14:textId="77777777" w:rsidR="00F57283" w:rsidRPr="00693A57" w:rsidRDefault="00F57283" w:rsidP="00306F9F">
            <w:pPr>
              <w:pStyle w:val="Tablea"/>
              <w:rPr>
                <w:color w:val="FF0000"/>
              </w:rPr>
            </w:pPr>
            <w:r w:rsidRPr="00693A57">
              <w:rPr>
                <w:color w:val="FF0000"/>
              </w:rPr>
              <w:t>(b)</w:t>
            </w:r>
            <w:r w:rsidRPr="00693A57">
              <w:rPr>
                <w:color w:val="FF0000"/>
              </w:rPr>
              <w:tab/>
              <w:t>includes:</w:t>
            </w:r>
          </w:p>
          <w:p w14:paraId="49B7FE48" w14:textId="77777777" w:rsidR="00F57283" w:rsidRPr="00693A57" w:rsidRDefault="00F57283" w:rsidP="00306F9F">
            <w:pPr>
              <w:pStyle w:val="Tablei"/>
              <w:rPr>
                <w:color w:val="FF0000"/>
              </w:rPr>
            </w:pPr>
            <w:r w:rsidRPr="00693A57">
              <w:rPr>
                <w:color w:val="FF0000"/>
              </w:rPr>
              <w:tab/>
              <w:t>(i)</w:t>
            </w:r>
            <w:r w:rsidRPr="00693A57">
              <w:rPr>
                <w:color w:val="FF0000"/>
              </w:rPr>
              <w:tab/>
              <w:t>the account number, other than to the extent that an account number is masked (whether as required by law or in accordance with any applicable standard or industry practice); and</w:t>
            </w:r>
          </w:p>
          <w:p w14:paraId="32A2E906" w14:textId="77777777" w:rsidR="00F57283" w:rsidRPr="00693A57" w:rsidRDefault="00F57283" w:rsidP="00306F9F">
            <w:pPr>
              <w:pStyle w:val="Tablei"/>
              <w:rPr>
                <w:color w:val="FF0000"/>
              </w:rPr>
            </w:pPr>
            <w:r w:rsidRPr="00693A57">
              <w:rPr>
                <w:color w:val="FF0000"/>
              </w:rPr>
              <w:tab/>
              <w:t>(ii)</w:t>
            </w:r>
            <w:r w:rsidRPr="00693A57">
              <w:rPr>
                <w:color w:val="FF0000"/>
              </w:rPr>
              <w:tab/>
              <w:t>the date the account was created; and</w:t>
            </w:r>
          </w:p>
          <w:p w14:paraId="2ED24EFE" w14:textId="77777777" w:rsidR="00F57283" w:rsidRPr="00693A57" w:rsidRDefault="00F57283" w:rsidP="00306F9F">
            <w:pPr>
              <w:pStyle w:val="Tablei"/>
              <w:rPr>
                <w:color w:val="FF0000"/>
              </w:rPr>
            </w:pPr>
            <w:r w:rsidRPr="00693A57">
              <w:rPr>
                <w:color w:val="FF0000"/>
              </w:rPr>
              <w:tab/>
              <w:t>(iii)</w:t>
            </w:r>
            <w:r w:rsidRPr="00693A57">
              <w:rPr>
                <w:color w:val="FF0000"/>
              </w:rPr>
              <w:tab/>
              <w:t>the unique identifiers that represent the connection points associated with the account; and</w:t>
            </w:r>
          </w:p>
          <w:p w14:paraId="552D2882" w14:textId="77777777" w:rsidR="00F57283" w:rsidRPr="00693A57" w:rsidRDefault="00F57283" w:rsidP="00306F9F">
            <w:pPr>
              <w:pStyle w:val="Tablei"/>
              <w:rPr>
                <w:color w:val="FF0000"/>
              </w:rPr>
            </w:pPr>
            <w:r w:rsidRPr="00693A57">
              <w:rPr>
                <w:color w:val="FF0000"/>
              </w:rPr>
              <w:tab/>
              <w:t>(iv)</w:t>
            </w:r>
            <w:r w:rsidRPr="00693A57">
              <w:rPr>
                <w:color w:val="FF0000"/>
              </w:rPr>
              <w:tab/>
            </w:r>
            <w:r w:rsidRPr="00693A57">
              <w:rPr>
                <w:rFonts w:eastAsia="Calibri"/>
                <w:color w:val="FF0000"/>
              </w:rPr>
              <w:t>any payment schedule associated with the account (including payment method and  frequency of payments)</w:t>
            </w:r>
            <w:r w:rsidRPr="00693A57">
              <w:rPr>
                <w:color w:val="FF0000"/>
              </w:rPr>
              <w:t>; and</w:t>
            </w:r>
          </w:p>
          <w:p w14:paraId="4077F2F2" w14:textId="77777777" w:rsidR="00F57283" w:rsidRPr="00693A57" w:rsidRDefault="00F57283" w:rsidP="00306F9F">
            <w:pPr>
              <w:pStyle w:val="Tablei"/>
              <w:rPr>
                <w:rFonts w:eastAsia="Calibri"/>
                <w:color w:val="FF0000"/>
              </w:rPr>
            </w:pPr>
            <w:r w:rsidRPr="00693A57">
              <w:rPr>
                <w:color w:val="FF0000"/>
              </w:rPr>
              <w:tab/>
              <w:t>(v)</w:t>
            </w:r>
            <w:r w:rsidRPr="00693A57">
              <w:rPr>
                <w:color w:val="FF0000"/>
              </w:rPr>
              <w:tab/>
              <w:t>a</w:t>
            </w:r>
            <w:r w:rsidRPr="00693A57">
              <w:rPr>
                <w:rFonts w:eastAsia="Calibri"/>
                <w:color w:val="FF0000"/>
              </w:rPr>
              <w:t>ny concessions, rebates or grants applied to the account</w:t>
            </w:r>
            <w:r w:rsidRPr="00693A57">
              <w:rPr>
                <w:color w:val="FF0000"/>
              </w:rPr>
              <w:t>; and</w:t>
            </w:r>
          </w:p>
          <w:p w14:paraId="54B00115" w14:textId="77777777" w:rsidR="00F57283" w:rsidRPr="00693A57" w:rsidRDefault="00F57283" w:rsidP="00306F9F">
            <w:pPr>
              <w:pStyle w:val="Tablea"/>
              <w:rPr>
                <w:color w:val="FF0000"/>
              </w:rPr>
            </w:pPr>
            <w:r w:rsidRPr="00693A57">
              <w:rPr>
                <w:color w:val="FF0000"/>
              </w:rPr>
              <w:t xml:space="preserve">(c) </w:t>
            </w:r>
            <w:r w:rsidRPr="00693A57">
              <w:rPr>
                <w:color w:val="FF0000"/>
              </w:rPr>
              <w:tab/>
              <w:t>does not include information about whether the account is associated with a hardship program.</w:t>
            </w:r>
          </w:p>
          <w:p w14:paraId="7F26744B" w14:textId="77777777" w:rsidR="00F57283" w:rsidRPr="00693A57" w:rsidRDefault="00F57283" w:rsidP="00306F9F">
            <w:pPr>
              <w:pStyle w:val="Tablei"/>
              <w:rPr>
                <w:color w:val="FF0000"/>
              </w:rPr>
            </w:pPr>
          </w:p>
        </w:tc>
      </w:tr>
      <w:tr w:rsidR="00F57283" w:rsidRPr="009433A0" w14:paraId="50CB3202" w14:textId="77777777" w:rsidTr="00306F9F">
        <w:tc>
          <w:tcPr>
            <w:tcW w:w="256" w:type="pct"/>
            <w:tcBorders>
              <w:top w:val="single" w:sz="4" w:space="0" w:color="auto"/>
              <w:bottom w:val="single" w:sz="4" w:space="0" w:color="auto"/>
              <w:right w:val="nil"/>
            </w:tcBorders>
          </w:tcPr>
          <w:p w14:paraId="4E374853" w14:textId="77777777" w:rsidR="00F57283" w:rsidRPr="00D83C7A" w:rsidRDefault="00F57283" w:rsidP="00306F9F">
            <w:pPr>
              <w:pStyle w:val="Tabletext"/>
              <w:rPr>
                <w:color w:val="0000FF"/>
              </w:rPr>
            </w:pPr>
            <w:r w:rsidRPr="00693A57">
              <w:rPr>
                <w:color w:val="FF0000"/>
              </w:rPr>
              <w:t>3</w:t>
            </w:r>
          </w:p>
        </w:tc>
        <w:tc>
          <w:tcPr>
            <w:tcW w:w="1187" w:type="pct"/>
            <w:tcBorders>
              <w:top w:val="single" w:sz="4" w:space="0" w:color="auto"/>
              <w:left w:val="nil"/>
              <w:bottom w:val="single" w:sz="4" w:space="0" w:color="auto"/>
              <w:right w:val="nil"/>
            </w:tcBorders>
          </w:tcPr>
          <w:p w14:paraId="39DE6A6D" w14:textId="77777777" w:rsidR="00F57283" w:rsidRPr="00D83C7A" w:rsidRDefault="00F57283" w:rsidP="00306F9F">
            <w:pPr>
              <w:pStyle w:val="Tabletext"/>
              <w:rPr>
                <w:color w:val="0000FF"/>
              </w:rPr>
            </w:pPr>
            <w:r w:rsidRPr="00693A57">
              <w:rPr>
                <w:b/>
                <w:i/>
                <w:color w:val="FF0000"/>
              </w:rPr>
              <w:t>billing data</w:t>
            </w:r>
            <w:r w:rsidRPr="00693A57">
              <w:rPr>
                <w:color w:val="FF0000"/>
              </w:rPr>
              <w:t>, in relation to a particular account</w:t>
            </w:r>
          </w:p>
        </w:tc>
        <w:tc>
          <w:tcPr>
            <w:tcW w:w="3557" w:type="pct"/>
            <w:tcBorders>
              <w:top w:val="single" w:sz="4" w:space="0" w:color="auto"/>
              <w:left w:val="nil"/>
              <w:bottom w:val="single" w:sz="4" w:space="0" w:color="auto"/>
              <w:right w:val="nil"/>
            </w:tcBorders>
          </w:tcPr>
          <w:p w14:paraId="24A5A779" w14:textId="77777777" w:rsidR="00F57283" w:rsidRPr="00693A57" w:rsidRDefault="00F57283" w:rsidP="00306F9F">
            <w:pPr>
              <w:pStyle w:val="Tablea"/>
              <w:rPr>
                <w:color w:val="FF0000"/>
              </w:rPr>
            </w:pPr>
            <w:r w:rsidRPr="00693A57">
              <w:rPr>
                <w:color w:val="FF0000"/>
              </w:rPr>
              <w:t>means:</w:t>
            </w:r>
          </w:p>
          <w:p w14:paraId="02169890" w14:textId="77777777" w:rsidR="00F57283" w:rsidRPr="00693A57" w:rsidRDefault="00F57283" w:rsidP="00306F9F">
            <w:pPr>
              <w:pStyle w:val="Tablea"/>
              <w:rPr>
                <w:color w:val="FF0000"/>
              </w:rPr>
            </w:pPr>
            <w:r w:rsidRPr="00693A57">
              <w:rPr>
                <w:color w:val="FF0000"/>
              </w:rPr>
              <w:t>(a)</w:t>
            </w:r>
            <w:r w:rsidRPr="00693A57">
              <w:rPr>
                <w:color w:val="FF0000"/>
              </w:rPr>
              <w:tab/>
              <w:t>information about a bill that has been issued in relation to the arrangement to which the account relates, including:</w:t>
            </w:r>
          </w:p>
          <w:p w14:paraId="37E78A5B" w14:textId="77777777" w:rsidR="00F57283" w:rsidRPr="00693A57" w:rsidRDefault="00F57283" w:rsidP="00306F9F">
            <w:pPr>
              <w:pStyle w:val="Tablei"/>
              <w:rPr>
                <w:rFonts w:eastAsia="Calibri"/>
                <w:color w:val="FF0000"/>
              </w:rPr>
            </w:pPr>
            <w:r w:rsidRPr="00693A57">
              <w:rPr>
                <w:color w:val="FF0000"/>
              </w:rPr>
              <w:tab/>
              <w:t>(i)</w:t>
            </w:r>
            <w:r w:rsidRPr="00693A57">
              <w:rPr>
                <w:color w:val="FF0000"/>
              </w:rPr>
              <w:tab/>
            </w:r>
            <w:r w:rsidRPr="00693A57">
              <w:rPr>
                <w:rFonts w:eastAsia="Calibri"/>
                <w:color w:val="FF0000"/>
              </w:rPr>
              <w:t>the account number; and</w:t>
            </w:r>
          </w:p>
          <w:p w14:paraId="48B387D2" w14:textId="77777777" w:rsidR="00F57283" w:rsidRPr="00693A57" w:rsidRDefault="00F57283" w:rsidP="00306F9F">
            <w:pPr>
              <w:pStyle w:val="Tablei"/>
              <w:rPr>
                <w:rFonts w:eastAsia="Calibri"/>
                <w:color w:val="FF0000"/>
              </w:rPr>
            </w:pPr>
            <w:r w:rsidRPr="00693A57">
              <w:rPr>
                <w:color w:val="FF0000"/>
              </w:rPr>
              <w:tab/>
              <w:t>(ii)</w:t>
            </w:r>
            <w:r w:rsidRPr="00693A57">
              <w:rPr>
                <w:color w:val="FF0000"/>
              </w:rPr>
              <w:tab/>
              <w:t xml:space="preserve">the </w:t>
            </w:r>
            <w:r w:rsidRPr="00693A57">
              <w:rPr>
                <w:rFonts w:eastAsia="Calibri"/>
                <w:color w:val="FF0000"/>
              </w:rPr>
              <w:t>billing period; and</w:t>
            </w:r>
          </w:p>
          <w:p w14:paraId="2A6E6E10" w14:textId="77777777" w:rsidR="00F57283" w:rsidRPr="00693A57" w:rsidRDefault="00F57283" w:rsidP="00306F9F">
            <w:pPr>
              <w:pStyle w:val="Tablei"/>
              <w:rPr>
                <w:rFonts w:eastAsia="Calibri"/>
                <w:color w:val="FF0000"/>
              </w:rPr>
            </w:pPr>
            <w:r w:rsidRPr="00693A57">
              <w:rPr>
                <w:color w:val="FF0000"/>
              </w:rPr>
              <w:tab/>
              <w:t>(iii)</w:t>
            </w:r>
            <w:r w:rsidRPr="00693A57">
              <w:rPr>
                <w:color w:val="FF0000"/>
              </w:rPr>
              <w:tab/>
              <w:t>the d</w:t>
            </w:r>
            <w:r w:rsidRPr="00693A57">
              <w:rPr>
                <w:rFonts w:eastAsia="Calibri"/>
                <w:color w:val="FF0000"/>
              </w:rPr>
              <w:t>ate the bill was issued; and</w:t>
            </w:r>
          </w:p>
          <w:p w14:paraId="69812F6E" w14:textId="77777777" w:rsidR="00F57283" w:rsidRPr="00693A57" w:rsidRDefault="00F57283" w:rsidP="00306F9F">
            <w:pPr>
              <w:pStyle w:val="Tablei"/>
              <w:rPr>
                <w:rFonts w:eastAsia="Calibri"/>
                <w:color w:val="FF0000"/>
              </w:rPr>
            </w:pPr>
            <w:r w:rsidRPr="00693A57">
              <w:rPr>
                <w:color w:val="FF0000"/>
              </w:rPr>
              <w:tab/>
              <w:t>(iv)</w:t>
            </w:r>
            <w:r w:rsidRPr="00693A57">
              <w:rPr>
                <w:color w:val="FF0000"/>
              </w:rPr>
              <w:tab/>
              <w:t>the t</w:t>
            </w:r>
            <w:r w:rsidRPr="00693A57">
              <w:rPr>
                <w:rFonts w:eastAsia="Calibri"/>
                <w:color w:val="FF0000"/>
              </w:rPr>
              <w:t>otal amount payable; and</w:t>
            </w:r>
          </w:p>
          <w:p w14:paraId="1C058414" w14:textId="77777777" w:rsidR="00F57283" w:rsidRPr="00693A57" w:rsidRDefault="00F57283" w:rsidP="00306F9F">
            <w:pPr>
              <w:pStyle w:val="Tablei"/>
              <w:rPr>
                <w:rFonts w:eastAsia="Calibri"/>
                <w:color w:val="FF0000"/>
              </w:rPr>
            </w:pPr>
            <w:r w:rsidRPr="00693A57">
              <w:rPr>
                <w:color w:val="FF0000"/>
              </w:rPr>
              <w:tab/>
              <w:t>(v)</w:t>
            </w:r>
            <w:r w:rsidRPr="00693A57">
              <w:rPr>
                <w:color w:val="FF0000"/>
              </w:rPr>
              <w:tab/>
            </w:r>
            <w:r w:rsidRPr="00693A57">
              <w:rPr>
                <w:rFonts w:eastAsia="Calibri"/>
                <w:color w:val="FF0000"/>
              </w:rPr>
              <w:t>the tariffs and charges applicable; and</w:t>
            </w:r>
          </w:p>
          <w:p w14:paraId="1AA8A313" w14:textId="77777777" w:rsidR="00F57283" w:rsidRPr="00693A57" w:rsidRDefault="00F57283" w:rsidP="00306F9F">
            <w:pPr>
              <w:pStyle w:val="Tablei"/>
              <w:rPr>
                <w:rFonts w:eastAsia="Calibri"/>
                <w:color w:val="FF0000"/>
              </w:rPr>
            </w:pPr>
            <w:r w:rsidRPr="00693A57">
              <w:rPr>
                <w:color w:val="FF0000"/>
              </w:rPr>
              <w:tab/>
              <w:t>(vi)</w:t>
            </w:r>
            <w:r w:rsidRPr="00693A57">
              <w:rPr>
                <w:color w:val="FF0000"/>
              </w:rPr>
              <w:tab/>
            </w:r>
            <w:r w:rsidRPr="00693A57">
              <w:rPr>
                <w:rFonts w:eastAsia="Calibri"/>
                <w:color w:val="FF0000"/>
              </w:rPr>
              <w:t>details of consumption or estimated consumption of energy; and</w:t>
            </w:r>
          </w:p>
          <w:p w14:paraId="5284BF08" w14:textId="77777777" w:rsidR="00F57283" w:rsidRPr="00693A57" w:rsidRDefault="00F57283" w:rsidP="00306F9F">
            <w:pPr>
              <w:pStyle w:val="Tablea"/>
              <w:rPr>
                <w:color w:val="FF0000"/>
              </w:rPr>
            </w:pPr>
            <w:r w:rsidRPr="00693A57">
              <w:rPr>
                <w:color w:val="FF0000"/>
              </w:rPr>
              <w:t>(b)</w:t>
            </w:r>
            <w:r w:rsidRPr="00693A57">
              <w:rPr>
                <w:color w:val="FF0000"/>
              </w:rPr>
              <w:tab/>
              <w:t>information about a payment or other transaction made in relation to the arrangement, including:</w:t>
            </w:r>
          </w:p>
          <w:p w14:paraId="49A17969" w14:textId="77777777" w:rsidR="00F57283" w:rsidRPr="00693A57" w:rsidRDefault="00F57283" w:rsidP="00306F9F">
            <w:pPr>
              <w:pStyle w:val="Tablei"/>
              <w:rPr>
                <w:color w:val="FF0000"/>
              </w:rPr>
            </w:pPr>
            <w:r w:rsidRPr="00693A57">
              <w:rPr>
                <w:color w:val="FF0000"/>
              </w:rPr>
              <w:tab/>
              <w:t>(i)</w:t>
            </w:r>
            <w:r w:rsidRPr="00693A57">
              <w:rPr>
                <w:color w:val="FF0000"/>
              </w:rPr>
              <w:tab/>
              <w:t xml:space="preserve">the nature of the transaction; </w:t>
            </w:r>
            <w:r w:rsidRPr="00693A57">
              <w:rPr>
                <w:rFonts w:eastAsia="Calibri"/>
                <w:color w:val="FF0000"/>
              </w:rPr>
              <w:t>and</w:t>
            </w:r>
          </w:p>
          <w:p w14:paraId="52BB9360" w14:textId="77777777" w:rsidR="00F57283" w:rsidRPr="00693A57" w:rsidRDefault="00F57283" w:rsidP="00306F9F">
            <w:pPr>
              <w:pStyle w:val="Tablei"/>
              <w:rPr>
                <w:rFonts w:eastAsia="Calibri"/>
                <w:color w:val="FF0000"/>
              </w:rPr>
            </w:pPr>
            <w:r w:rsidRPr="00693A57">
              <w:rPr>
                <w:color w:val="FF0000"/>
              </w:rPr>
              <w:tab/>
              <w:t>(ii)</w:t>
            </w:r>
            <w:r w:rsidRPr="00693A57">
              <w:rPr>
                <w:color w:val="FF0000"/>
              </w:rPr>
              <w:tab/>
            </w:r>
            <w:r w:rsidRPr="00693A57">
              <w:rPr>
                <w:rFonts w:eastAsia="Calibri"/>
                <w:color w:val="FF0000"/>
              </w:rPr>
              <w:t>the date and time of the transaction; and</w:t>
            </w:r>
          </w:p>
          <w:p w14:paraId="0111A8BD" w14:textId="77777777" w:rsidR="00F57283" w:rsidRPr="00693A57" w:rsidRDefault="00F57283" w:rsidP="00306F9F">
            <w:pPr>
              <w:pStyle w:val="Tablei"/>
              <w:rPr>
                <w:color w:val="FF0000"/>
              </w:rPr>
            </w:pPr>
            <w:r w:rsidRPr="00693A57">
              <w:rPr>
                <w:color w:val="FF0000"/>
              </w:rPr>
              <w:tab/>
              <w:t>(iii)</w:t>
            </w:r>
            <w:r w:rsidRPr="00693A57">
              <w:rPr>
                <w:color w:val="FF0000"/>
              </w:rPr>
              <w:tab/>
              <w:t>the amount paid</w:t>
            </w:r>
            <w:r w:rsidRPr="00693A57">
              <w:rPr>
                <w:rFonts w:eastAsia="Calibri"/>
                <w:color w:val="FF0000"/>
              </w:rPr>
              <w:t>; and</w:t>
            </w:r>
          </w:p>
          <w:p w14:paraId="1D830C7D" w14:textId="77777777" w:rsidR="00F57283" w:rsidRPr="00693A57" w:rsidRDefault="00F57283" w:rsidP="00306F9F">
            <w:pPr>
              <w:pStyle w:val="Tablei"/>
              <w:rPr>
                <w:rFonts w:eastAsia="Calibri"/>
                <w:color w:val="FF0000"/>
              </w:rPr>
            </w:pPr>
            <w:r w:rsidRPr="00693A57">
              <w:rPr>
                <w:color w:val="FF0000"/>
              </w:rPr>
              <w:tab/>
              <w:t>(iv)</w:t>
            </w:r>
            <w:r w:rsidRPr="00693A57">
              <w:rPr>
                <w:color w:val="FF0000"/>
              </w:rPr>
              <w:tab/>
              <w:t>the payment method</w:t>
            </w:r>
            <w:r w:rsidRPr="00693A57">
              <w:rPr>
                <w:rFonts w:eastAsia="Calibri"/>
                <w:color w:val="FF0000"/>
              </w:rPr>
              <w:t>; and</w:t>
            </w:r>
          </w:p>
          <w:p w14:paraId="4782E93C" w14:textId="77777777" w:rsidR="00F57283" w:rsidRPr="00693A57" w:rsidRDefault="00F57283" w:rsidP="00306F9F">
            <w:pPr>
              <w:pStyle w:val="Tablea"/>
              <w:rPr>
                <w:color w:val="FF0000"/>
              </w:rPr>
            </w:pPr>
            <w:r w:rsidRPr="00693A57">
              <w:rPr>
                <w:color w:val="FF0000"/>
              </w:rPr>
              <w:t>(c)</w:t>
            </w:r>
            <w:r w:rsidRPr="00693A57">
              <w:rPr>
                <w:color w:val="FF0000"/>
              </w:rPr>
              <w:tab/>
              <w:t>the account balance at any time.</w:t>
            </w:r>
          </w:p>
          <w:p w14:paraId="043A6F44" w14:textId="77777777" w:rsidR="00F57283" w:rsidRPr="00693A57" w:rsidRDefault="00F57283" w:rsidP="00306F9F">
            <w:pPr>
              <w:pStyle w:val="Tablea"/>
              <w:rPr>
                <w:color w:val="FF0000"/>
              </w:rPr>
            </w:pPr>
          </w:p>
        </w:tc>
      </w:tr>
      <w:tr w:rsidR="00F57283" w:rsidRPr="009433A0" w14:paraId="2EEF8C4A" w14:textId="77777777" w:rsidTr="00306F9F">
        <w:tc>
          <w:tcPr>
            <w:tcW w:w="256" w:type="pct"/>
            <w:tcBorders>
              <w:top w:val="single" w:sz="4" w:space="0" w:color="auto"/>
              <w:bottom w:val="single" w:sz="4" w:space="0" w:color="auto"/>
              <w:right w:val="nil"/>
            </w:tcBorders>
          </w:tcPr>
          <w:p w14:paraId="1E4A5A4F" w14:textId="77777777" w:rsidR="00F57283" w:rsidRPr="00D83C7A" w:rsidRDefault="00F57283" w:rsidP="00306F9F">
            <w:pPr>
              <w:pStyle w:val="Tabletext"/>
              <w:rPr>
                <w:color w:val="0000FF"/>
              </w:rPr>
            </w:pPr>
            <w:r w:rsidRPr="00693A57">
              <w:rPr>
                <w:color w:val="FF0000"/>
              </w:rPr>
              <w:lastRenderedPageBreak/>
              <w:t>4</w:t>
            </w:r>
          </w:p>
        </w:tc>
        <w:tc>
          <w:tcPr>
            <w:tcW w:w="1187" w:type="pct"/>
            <w:tcBorders>
              <w:top w:val="single" w:sz="4" w:space="0" w:color="auto"/>
              <w:left w:val="nil"/>
              <w:bottom w:val="single" w:sz="4" w:space="0" w:color="auto"/>
              <w:right w:val="nil"/>
            </w:tcBorders>
          </w:tcPr>
          <w:p w14:paraId="25774B8A" w14:textId="77777777" w:rsidR="00F57283" w:rsidRPr="00D83C7A" w:rsidRDefault="00F57283" w:rsidP="00306F9F">
            <w:pPr>
              <w:pStyle w:val="Tabletext"/>
              <w:rPr>
                <w:color w:val="0000FF"/>
              </w:rPr>
            </w:pPr>
            <w:r w:rsidRPr="00693A57">
              <w:rPr>
                <w:b/>
                <w:i/>
                <w:color w:val="FF0000"/>
              </w:rPr>
              <w:t>metering data</w:t>
            </w:r>
            <w:r w:rsidRPr="00693A57">
              <w:rPr>
                <w:color w:val="FF0000"/>
              </w:rPr>
              <w:t>, in relation to a particular account</w:t>
            </w:r>
          </w:p>
        </w:tc>
        <w:tc>
          <w:tcPr>
            <w:tcW w:w="3557" w:type="pct"/>
            <w:tcBorders>
              <w:top w:val="single" w:sz="4" w:space="0" w:color="auto"/>
              <w:left w:val="nil"/>
              <w:bottom w:val="single" w:sz="4" w:space="0" w:color="auto"/>
              <w:right w:val="nil"/>
            </w:tcBorders>
          </w:tcPr>
          <w:p w14:paraId="6C99A181" w14:textId="77777777" w:rsidR="00F57283" w:rsidRPr="00693A57" w:rsidRDefault="00F57283" w:rsidP="00306F9F">
            <w:pPr>
              <w:pStyle w:val="Tablea"/>
              <w:rPr>
                <w:color w:val="FF0000"/>
              </w:rPr>
            </w:pPr>
            <w:r w:rsidRPr="00693A57">
              <w:rPr>
                <w:color w:val="FF0000"/>
              </w:rPr>
              <w:t>(a)</w:t>
            </w:r>
            <w:r w:rsidRPr="00693A57">
              <w:rPr>
                <w:color w:val="FF0000"/>
              </w:rPr>
              <w:tab/>
              <w:t>means metering data, other than metering data for a type 7 metering installation, within the meaning given by the National Electricity Rules, that relates to the account; and</w:t>
            </w:r>
          </w:p>
          <w:p w14:paraId="5CD5D0CA" w14:textId="77777777" w:rsidR="00F57283" w:rsidRPr="00693A57" w:rsidRDefault="00F57283" w:rsidP="00306F9F">
            <w:pPr>
              <w:pStyle w:val="Tablea"/>
              <w:rPr>
                <w:color w:val="FF0000"/>
              </w:rPr>
            </w:pPr>
            <w:r w:rsidRPr="00693A57">
              <w:rPr>
                <w:color w:val="FF0000"/>
              </w:rPr>
              <w:t>(b)</w:t>
            </w:r>
            <w:r w:rsidRPr="00693A57">
              <w:rPr>
                <w:color w:val="FF0000"/>
              </w:rPr>
              <w:tab/>
              <w:t>includes:</w:t>
            </w:r>
          </w:p>
          <w:p w14:paraId="11B7CA33" w14:textId="77777777" w:rsidR="00F57283" w:rsidRPr="00693A57" w:rsidRDefault="00F57283" w:rsidP="00306F9F">
            <w:pPr>
              <w:pStyle w:val="Tablei"/>
              <w:rPr>
                <w:color w:val="FF0000"/>
              </w:rPr>
            </w:pPr>
            <w:r w:rsidRPr="00693A57">
              <w:rPr>
                <w:color w:val="FF0000"/>
              </w:rPr>
              <w:tab/>
              <w:t>(i)</w:t>
            </w:r>
            <w:r w:rsidRPr="00693A57">
              <w:rPr>
                <w:color w:val="FF0000"/>
              </w:rPr>
              <w:tab/>
              <w:t>t</w:t>
            </w:r>
            <w:r w:rsidRPr="00693A57">
              <w:rPr>
                <w:rFonts w:eastAsia="Calibri"/>
                <w:color w:val="FF0000"/>
              </w:rPr>
              <w:t xml:space="preserve">he unique identifier for each connection point associated with the metering data; and </w:t>
            </w:r>
          </w:p>
          <w:p w14:paraId="52D4C0D2" w14:textId="77777777" w:rsidR="00F57283" w:rsidRPr="00693A57" w:rsidRDefault="00F57283" w:rsidP="00306F9F">
            <w:pPr>
              <w:pStyle w:val="Tablei"/>
              <w:rPr>
                <w:color w:val="FF0000"/>
              </w:rPr>
            </w:pPr>
            <w:r w:rsidRPr="00693A57">
              <w:rPr>
                <w:color w:val="FF0000"/>
              </w:rPr>
              <w:tab/>
              <w:t>(ii)</w:t>
            </w:r>
            <w:r w:rsidRPr="00693A57">
              <w:rPr>
                <w:color w:val="FF0000"/>
              </w:rPr>
              <w:tab/>
              <w:t xml:space="preserve">the </w:t>
            </w:r>
            <w:r w:rsidRPr="00693A57">
              <w:rPr>
                <w:rFonts w:eastAsia="Calibri"/>
                <w:color w:val="FF0000"/>
              </w:rPr>
              <w:t>meter serial number; and</w:t>
            </w:r>
          </w:p>
          <w:p w14:paraId="46F61E44" w14:textId="77777777" w:rsidR="00F57283" w:rsidRPr="00693A57" w:rsidRDefault="00F57283" w:rsidP="00306F9F">
            <w:pPr>
              <w:pStyle w:val="Tablei"/>
              <w:rPr>
                <w:color w:val="FF0000"/>
              </w:rPr>
            </w:pPr>
            <w:r w:rsidRPr="00693A57">
              <w:rPr>
                <w:color w:val="FF0000"/>
              </w:rPr>
              <w:tab/>
              <w:t>(iii)</w:t>
            </w:r>
            <w:r w:rsidRPr="00693A57">
              <w:rPr>
                <w:color w:val="FF0000"/>
              </w:rPr>
              <w:tab/>
              <w:t xml:space="preserve">the </w:t>
            </w:r>
            <w:r w:rsidRPr="00693A57">
              <w:rPr>
                <w:rFonts w:eastAsia="Calibri"/>
                <w:color w:val="FF0000"/>
              </w:rPr>
              <w:t>meter read start and end date; and</w:t>
            </w:r>
          </w:p>
          <w:p w14:paraId="6AF3F8B5" w14:textId="77777777" w:rsidR="00F57283" w:rsidRPr="00693A57" w:rsidRDefault="00F57283" w:rsidP="00306F9F">
            <w:pPr>
              <w:pStyle w:val="Tablei"/>
              <w:rPr>
                <w:color w:val="FF0000"/>
              </w:rPr>
            </w:pPr>
            <w:r w:rsidRPr="00693A57">
              <w:rPr>
                <w:color w:val="FF0000"/>
              </w:rPr>
              <w:tab/>
              <w:t>(iv)</w:t>
            </w:r>
            <w:r w:rsidRPr="00693A57">
              <w:rPr>
                <w:color w:val="FF0000"/>
              </w:rPr>
              <w:tab/>
              <w:t xml:space="preserve">for a basic meter read—that fact and the </w:t>
            </w:r>
            <w:r w:rsidRPr="00693A57">
              <w:rPr>
                <w:rFonts w:eastAsia="Calibri"/>
                <w:color w:val="FF0000"/>
              </w:rPr>
              <w:t>meter read value; and</w:t>
            </w:r>
          </w:p>
          <w:p w14:paraId="2C992813" w14:textId="77777777" w:rsidR="00F57283" w:rsidRPr="00693A57" w:rsidRDefault="00F57283" w:rsidP="00306F9F">
            <w:pPr>
              <w:pStyle w:val="Tablei"/>
              <w:rPr>
                <w:rFonts w:eastAsia="Calibri"/>
                <w:color w:val="FF0000"/>
              </w:rPr>
            </w:pPr>
            <w:r w:rsidRPr="00693A57">
              <w:rPr>
                <w:color w:val="FF0000"/>
              </w:rPr>
              <w:tab/>
              <w:t>(v)</w:t>
            </w:r>
            <w:r w:rsidRPr="00693A57">
              <w:rPr>
                <w:color w:val="FF0000"/>
              </w:rPr>
              <w:tab/>
            </w:r>
            <w:r w:rsidRPr="00693A57">
              <w:rPr>
                <w:rFonts w:eastAsia="Calibri"/>
                <w:color w:val="FF0000"/>
              </w:rPr>
              <w:t>for an interval meter read—that fact and the interval length, meter read per interval and sum of meter reads per interval.</w:t>
            </w:r>
            <w:r w:rsidRPr="00693A57">
              <w:rPr>
                <w:color w:val="FF0000"/>
              </w:rPr>
              <w:t xml:space="preserve"> </w:t>
            </w:r>
          </w:p>
          <w:p w14:paraId="0AA31F2C" w14:textId="77777777" w:rsidR="00F57283" w:rsidRPr="00693A57" w:rsidRDefault="00F57283" w:rsidP="00306F9F">
            <w:pPr>
              <w:pStyle w:val="Tablei"/>
              <w:rPr>
                <w:color w:val="FF0000"/>
              </w:rPr>
            </w:pPr>
          </w:p>
        </w:tc>
      </w:tr>
      <w:tr w:rsidR="00F57283" w:rsidRPr="009433A0" w14:paraId="6C8A23C0" w14:textId="77777777" w:rsidTr="00306F9F">
        <w:tc>
          <w:tcPr>
            <w:tcW w:w="256" w:type="pct"/>
            <w:tcBorders>
              <w:top w:val="single" w:sz="4" w:space="0" w:color="auto"/>
              <w:bottom w:val="single" w:sz="4" w:space="0" w:color="auto"/>
              <w:right w:val="nil"/>
            </w:tcBorders>
          </w:tcPr>
          <w:p w14:paraId="36E5BA4A" w14:textId="77777777" w:rsidR="00F57283" w:rsidRPr="00D83C7A" w:rsidRDefault="00F57283" w:rsidP="00306F9F">
            <w:pPr>
              <w:pStyle w:val="Tabletext"/>
              <w:rPr>
                <w:color w:val="0000FF"/>
              </w:rPr>
            </w:pPr>
            <w:r w:rsidRPr="00693A57">
              <w:rPr>
                <w:color w:val="FF0000"/>
              </w:rPr>
              <w:t>5</w:t>
            </w:r>
          </w:p>
        </w:tc>
        <w:tc>
          <w:tcPr>
            <w:tcW w:w="1187" w:type="pct"/>
            <w:tcBorders>
              <w:top w:val="single" w:sz="4" w:space="0" w:color="auto"/>
              <w:left w:val="nil"/>
              <w:bottom w:val="single" w:sz="4" w:space="0" w:color="auto"/>
              <w:right w:val="nil"/>
            </w:tcBorders>
          </w:tcPr>
          <w:p w14:paraId="262886B2" w14:textId="77777777" w:rsidR="00F57283" w:rsidRPr="00D83C7A" w:rsidRDefault="00F57283" w:rsidP="00306F9F">
            <w:pPr>
              <w:pStyle w:val="Tabletext"/>
              <w:rPr>
                <w:color w:val="0000FF"/>
              </w:rPr>
            </w:pPr>
            <w:r w:rsidRPr="00693A57">
              <w:rPr>
                <w:b/>
                <w:i/>
                <w:color w:val="FF0000"/>
              </w:rPr>
              <w:t>NMI standing data</w:t>
            </w:r>
            <w:r w:rsidRPr="00693A57">
              <w:rPr>
                <w:color w:val="FF0000"/>
              </w:rPr>
              <w:t xml:space="preserve">, in relation to a particular account </w:t>
            </w:r>
          </w:p>
        </w:tc>
        <w:tc>
          <w:tcPr>
            <w:tcW w:w="3557" w:type="pct"/>
            <w:tcBorders>
              <w:top w:val="single" w:sz="4" w:space="0" w:color="auto"/>
              <w:left w:val="nil"/>
              <w:bottom w:val="single" w:sz="4" w:space="0" w:color="auto"/>
              <w:right w:val="nil"/>
            </w:tcBorders>
          </w:tcPr>
          <w:p w14:paraId="7BC41E05" w14:textId="77777777" w:rsidR="00F57283" w:rsidRPr="00693A57" w:rsidRDefault="00F57283" w:rsidP="00306F9F">
            <w:pPr>
              <w:pStyle w:val="Tablea"/>
              <w:rPr>
                <w:color w:val="FF0000"/>
              </w:rPr>
            </w:pPr>
            <w:r w:rsidRPr="00693A57">
              <w:rPr>
                <w:color w:val="FF0000"/>
              </w:rPr>
              <w:t>(a)</w:t>
            </w:r>
            <w:r w:rsidRPr="00693A57">
              <w:rPr>
                <w:color w:val="FF0000"/>
              </w:rPr>
              <w:tab/>
              <w:t>means NMI standing data, within the meaning given by the National Electricity Rules, that relates to a connection point associated with the account; and</w:t>
            </w:r>
          </w:p>
          <w:p w14:paraId="2DC0B156" w14:textId="2A987E6B" w:rsidR="00F57283" w:rsidRPr="00693A57" w:rsidRDefault="00F57283" w:rsidP="00306F9F">
            <w:pPr>
              <w:pStyle w:val="Tablea"/>
              <w:rPr>
                <w:color w:val="FF0000"/>
              </w:rPr>
            </w:pPr>
            <w:r w:rsidRPr="00693A57">
              <w:rPr>
                <w:color w:val="FF0000"/>
              </w:rPr>
              <w:t>(b)</w:t>
            </w:r>
            <w:r w:rsidRPr="00693A57">
              <w:rPr>
                <w:color w:val="FF0000"/>
              </w:rPr>
              <w:tab/>
              <w:t>includes the following:</w:t>
            </w:r>
          </w:p>
          <w:p w14:paraId="4570D30F" w14:textId="3BBED2ED" w:rsidR="00A55282" w:rsidRPr="00693A57" w:rsidRDefault="00A55282" w:rsidP="00A55282">
            <w:pPr>
              <w:pStyle w:val="Tablei"/>
              <w:rPr>
                <w:rFonts w:eastAsia="Calibri"/>
                <w:color w:val="FF0000"/>
              </w:rPr>
            </w:pPr>
            <w:r w:rsidRPr="00693A57">
              <w:rPr>
                <w:color w:val="FF0000"/>
              </w:rPr>
              <w:tab/>
              <w:t>(i)</w:t>
            </w:r>
            <w:r w:rsidRPr="00693A57">
              <w:rPr>
                <w:color w:val="FF0000"/>
              </w:rPr>
              <w:tab/>
              <w:t>the network tariff code;</w:t>
            </w:r>
          </w:p>
          <w:p w14:paraId="545FEC1C" w14:textId="12E14CB4" w:rsidR="00F57283" w:rsidRPr="00693A57" w:rsidRDefault="00F57283" w:rsidP="00306F9F">
            <w:pPr>
              <w:pStyle w:val="Tablei"/>
              <w:rPr>
                <w:rFonts w:eastAsia="Calibri"/>
                <w:color w:val="FF0000"/>
              </w:rPr>
            </w:pPr>
            <w:r w:rsidRPr="00693A57">
              <w:rPr>
                <w:color w:val="FF0000"/>
              </w:rPr>
              <w:tab/>
            </w:r>
            <w:r w:rsidR="00A55282" w:rsidRPr="00693A57">
              <w:rPr>
                <w:color w:val="FF0000"/>
              </w:rPr>
              <w:t>(ii)</w:t>
            </w:r>
            <w:r w:rsidRPr="00693A57">
              <w:rPr>
                <w:color w:val="FF0000"/>
              </w:rPr>
              <w:tab/>
              <w:t>t</w:t>
            </w:r>
            <w:r w:rsidRPr="00693A57">
              <w:rPr>
                <w:rFonts w:eastAsia="Calibri"/>
                <w:color w:val="FF0000"/>
              </w:rPr>
              <w:t>he unique ident</w:t>
            </w:r>
            <w:r w:rsidR="00A55282" w:rsidRPr="00693A57">
              <w:rPr>
                <w:rFonts w:eastAsia="Calibri"/>
                <w:color w:val="FF0000"/>
              </w:rPr>
              <w:t>ifier for the connection point;</w:t>
            </w:r>
          </w:p>
          <w:p w14:paraId="7EF1CD07" w14:textId="738EDA14" w:rsidR="00F57283" w:rsidRPr="00693A57" w:rsidRDefault="00F57283" w:rsidP="00306F9F">
            <w:pPr>
              <w:pStyle w:val="Tablei"/>
              <w:rPr>
                <w:color w:val="FF0000"/>
              </w:rPr>
            </w:pPr>
            <w:r w:rsidRPr="00693A57">
              <w:rPr>
                <w:color w:val="FF0000"/>
              </w:rPr>
              <w:tab/>
            </w:r>
            <w:r w:rsidR="00A55282" w:rsidRPr="00693A57">
              <w:rPr>
                <w:color w:val="FF0000"/>
              </w:rPr>
              <w:t>(iii)</w:t>
            </w:r>
            <w:r w:rsidRPr="00693A57">
              <w:rPr>
                <w:color w:val="FF0000"/>
              </w:rPr>
              <w:tab/>
              <w:t xml:space="preserve">the </w:t>
            </w:r>
            <w:r w:rsidR="00A55282" w:rsidRPr="00693A57">
              <w:rPr>
                <w:rFonts w:eastAsia="Calibri"/>
                <w:color w:val="FF0000"/>
              </w:rPr>
              <w:t>NMI;</w:t>
            </w:r>
          </w:p>
          <w:p w14:paraId="1D538419" w14:textId="4A512002" w:rsidR="00F57283" w:rsidRPr="00693A57" w:rsidRDefault="00F57283" w:rsidP="00306F9F">
            <w:pPr>
              <w:pStyle w:val="Tablei"/>
              <w:rPr>
                <w:color w:val="FF0000"/>
              </w:rPr>
            </w:pPr>
            <w:r w:rsidRPr="00693A57">
              <w:rPr>
                <w:color w:val="FF0000"/>
              </w:rPr>
              <w:tab/>
            </w:r>
            <w:r w:rsidR="00A55282" w:rsidRPr="00693A57">
              <w:rPr>
                <w:color w:val="FF0000"/>
              </w:rPr>
              <w:t>(iv)</w:t>
            </w:r>
            <w:r w:rsidRPr="00693A57">
              <w:rPr>
                <w:color w:val="FF0000"/>
              </w:rPr>
              <w:tab/>
              <w:t xml:space="preserve">the </w:t>
            </w:r>
            <w:r w:rsidRPr="00693A57">
              <w:rPr>
                <w:rFonts w:eastAsia="Calibri"/>
                <w:color w:val="FF0000"/>
              </w:rPr>
              <w:t>NMI classification code;</w:t>
            </w:r>
          </w:p>
          <w:p w14:paraId="27FF84FB" w14:textId="2545D88D" w:rsidR="00F57283" w:rsidRPr="00693A57" w:rsidRDefault="00F57283" w:rsidP="00306F9F">
            <w:pPr>
              <w:pStyle w:val="Tablei"/>
              <w:rPr>
                <w:color w:val="FF0000"/>
              </w:rPr>
            </w:pPr>
            <w:r w:rsidRPr="00693A57">
              <w:rPr>
                <w:color w:val="FF0000"/>
              </w:rPr>
              <w:tab/>
            </w:r>
            <w:r w:rsidR="00A55282" w:rsidRPr="00693A57">
              <w:rPr>
                <w:color w:val="FF0000"/>
              </w:rPr>
              <w:t>(v)</w:t>
            </w:r>
            <w:r w:rsidRPr="00693A57">
              <w:rPr>
                <w:color w:val="FF0000"/>
              </w:rPr>
              <w:tab/>
              <w:t xml:space="preserve">the </w:t>
            </w:r>
            <w:r w:rsidRPr="00693A57">
              <w:rPr>
                <w:rFonts w:eastAsia="Calibri"/>
                <w:color w:val="FF0000"/>
              </w:rPr>
              <w:t>NMI status code;</w:t>
            </w:r>
          </w:p>
          <w:p w14:paraId="109D591E" w14:textId="20B99519" w:rsidR="00F57283" w:rsidRPr="00693A57" w:rsidRDefault="00F57283" w:rsidP="00306F9F">
            <w:pPr>
              <w:pStyle w:val="Tablei"/>
              <w:rPr>
                <w:color w:val="FF0000"/>
              </w:rPr>
            </w:pPr>
            <w:r w:rsidRPr="00693A57">
              <w:rPr>
                <w:color w:val="FF0000"/>
              </w:rPr>
              <w:tab/>
            </w:r>
            <w:r w:rsidR="00A55282" w:rsidRPr="00693A57">
              <w:rPr>
                <w:color w:val="FF0000"/>
              </w:rPr>
              <w:t>(vi)</w:t>
            </w:r>
            <w:r w:rsidRPr="00693A57">
              <w:rPr>
                <w:color w:val="FF0000"/>
              </w:rPr>
              <w:tab/>
              <w:t>the relevant j</w:t>
            </w:r>
            <w:r w:rsidR="00A55282" w:rsidRPr="00693A57">
              <w:rPr>
                <w:rFonts w:eastAsia="Calibri"/>
                <w:color w:val="FF0000"/>
              </w:rPr>
              <w:t>urisdiction code;</w:t>
            </w:r>
          </w:p>
          <w:p w14:paraId="19C2617A" w14:textId="77777777" w:rsidR="00A55282" w:rsidRPr="00693A57" w:rsidRDefault="00F57283" w:rsidP="00306F9F">
            <w:pPr>
              <w:pStyle w:val="Tablei"/>
              <w:rPr>
                <w:rFonts w:eastAsia="Calibri"/>
                <w:color w:val="FF0000"/>
              </w:rPr>
            </w:pPr>
            <w:r w:rsidRPr="00693A57">
              <w:rPr>
                <w:color w:val="FF0000"/>
              </w:rPr>
              <w:tab/>
            </w:r>
            <w:r w:rsidR="00A55282" w:rsidRPr="00693A57">
              <w:rPr>
                <w:color w:val="FF0000"/>
              </w:rPr>
              <w:t>(vii)</w:t>
            </w:r>
            <w:r w:rsidRPr="00693A57">
              <w:rPr>
                <w:color w:val="FF0000"/>
              </w:rPr>
              <w:tab/>
              <w:t>t</w:t>
            </w:r>
            <w:r w:rsidRPr="00693A57">
              <w:rPr>
                <w:rFonts w:eastAsia="Calibri"/>
                <w:color w:val="FF0000"/>
              </w:rPr>
              <w:t>he start date from which the information for this NMI is valid;</w:t>
            </w:r>
          </w:p>
          <w:p w14:paraId="1D2E26B8" w14:textId="2CF76D19" w:rsidR="00F57283" w:rsidRPr="00693A57" w:rsidRDefault="00F57283" w:rsidP="00306F9F">
            <w:pPr>
              <w:pStyle w:val="Tablei"/>
              <w:rPr>
                <w:color w:val="FF0000"/>
              </w:rPr>
            </w:pPr>
            <w:r w:rsidRPr="00693A57">
              <w:rPr>
                <w:color w:val="FF0000"/>
              </w:rPr>
              <w:tab/>
            </w:r>
            <w:r w:rsidR="00A55282" w:rsidRPr="00693A57">
              <w:rPr>
                <w:color w:val="FF0000"/>
              </w:rPr>
              <w:t>(viii)</w:t>
            </w:r>
            <w:r w:rsidRPr="00693A57">
              <w:rPr>
                <w:color w:val="FF0000"/>
              </w:rPr>
              <w:tab/>
              <w:t>the c</w:t>
            </w:r>
            <w:r w:rsidRPr="00693A57">
              <w:rPr>
                <w:rFonts w:eastAsia="Calibri"/>
                <w:color w:val="FF0000"/>
              </w:rPr>
              <w:t>ustomer classification code;</w:t>
            </w:r>
          </w:p>
          <w:p w14:paraId="0E902269" w14:textId="2B211394" w:rsidR="00F57283" w:rsidRPr="00693A57" w:rsidRDefault="00F57283" w:rsidP="00306F9F">
            <w:pPr>
              <w:pStyle w:val="Tablei"/>
              <w:rPr>
                <w:color w:val="FF0000"/>
              </w:rPr>
            </w:pPr>
            <w:r w:rsidRPr="00693A57">
              <w:rPr>
                <w:color w:val="FF0000"/>
              </w:rPr>
              <w:tab/>
            </w:r>
            <w:r w:rsidR="00A55282" w:rsidRPr="00693A57">
              <w:rPr>
                <w:color w:val="FF0000"/>
              </w:rPr>
              <w:t>(ix)</w:t>
            </w:r>
            <w:r w:rsidRPr="00693A57">
              <w:rPr>
                <w:color w:val="FF0000"/>
              </w:rPr>
              <w:tab/>
              <w:t>the c</w:t>
            </w:r>
            <w:r w:rsidRPr="00693A57">
              <w:rPr>
                <w:rFonts w:eastAsia="Calibri"/>
                <w:color w:val="FF0000"/>
              </w:rPr>
              <w:t>ustomer threshold code;</w:t>
            </w:r>
          </w:p>
          <w:p w14:paraId="4A84C726" w14:textId="2EF8D0C9" w:rsidR="00F57283" w:rsidRPr="00693A57" w:rsidRDefault="00F57283" w:rsidP="00306F9F">
            <w:pPr>
              <w:pStyle w:val="Tablei"/>
              <w:rPr>
                <w:color w:val="FF0000"/>
              </w:rPr>
            </w:pPr>
            <w:r w:rsidRPr="00693A57">
              <w:rPr>
                <w:color w:val="FF0000"/>
              </w:rPr>
              <w:tab/>
            </w:r>
            <w:r w:rsidR="00A55282" w:rsidRPr="00693A57">
              <w:rPr>
                <w:color w:val="FF0000"/>
              </w:rPr>
              <w:t>(x)</w:t>
            </w:r>
            <w:r w:rsidRPr="00693A57">
              <w:rPr>
                <w:color w:val="FF0000"/>
              </w:rPr>
              <w:tab/>
              <w:t>i</w:t>
            </w:r>
            <w:r w:rsidRPr="00693A57">
              <w:rPr>
                <w:rFonts w:eastAsia="Calibri"/>
                <w:color w:val="FF0000"/>
              </w:rPr>
              <w:t>nformation about the distribution loss factor;</w:t>
            </w:r>
          </w:p>
          <w:p w14:paraId="088F4BEE" w14:textId="77777777" w:rsidR="00A55282" w:rsidRPr="00693A57" w:rsidRDefault="00F57283" w:rsidP="00306F9F">
            <w:pPr>
              <w:pStyle w:val="Tablei"/>
              <w:rPr>
                <w:rFonts w:eastAsia="Calibri"/>
                <w:color w:val="FF0000"/>
              </w:rPr>
            </w:pPr>
            <w:r w:rsidRPr="00693A57">
              <w:rPr>
                <w:color w:val="FF0000"/>
              </w:rPr>
              <w:tab/>
            </w:r>
            <w:r w:rsidR="00A55282" w:rsidRPr="00693A57">
              <w:rPr>
                <w:color w:val="FF0000"/>
              </w:rPr>
              <w:t>(xi)</w:t>
            </w:r>
            <w:r w:rsidRPr="00693A57">
              <w:rPr>
                <w:color w:val="FF0000"/>
              </w:rPr>
              <w:tab/>
              <w:t>i</w:t>
            </w:r>
            <w:r w:rsidRPr="00693A57">
              <w:rPr>
                <w:rFonts w:eastAsia="Calibri"/>
                <w:color w:val="FF0000"/>
              </w:rPr>
              <w:t>nformation about related participants associated with the NMI;</w:t>
            </w:r>
          </w:p>
          <w:p w14:paraId="741EBDB9" w14:textId="77777777" w:rsidR="00A55282" w:rsidRPr="00693A57" w:rsidRDefault="00F57283" w:rsidP="00306F9F">
            <w:pPr>
              <w:pStyle w:val="Tablei"/>
              <w:rPr>
                <w:rFonts w:eastAsia="Calibri"/>
                <w:color w:val="FF0000"/>
              </w:rPr>
            </w:pPr>
            <w:r w:rsidRPr="00693A57">
              <w:rPr>
                <w:color w:val="FF0000"/>
              </w:rPr>
              <w:tab/>
            </w:r>
            <w:r w:rsidR="00A55282" w:rsidRPr="00693A57">
              <w:rPr>
                <w:color w:val="FF0000"/>
              </w:rPr>
              <w:t>(xii)</w:t>
            </w:r>
            <w:r w:rsidRPr="00693A57">
              <w:rPr>
                <w:color w:val="FF0000"/>
              </w:rPr>
              <w:tab/>
              <w:t>the s</w:t>
            </w:r>
            <w:r w:rsidRPr="00693A57">
              <w:rPr>
                <w:rFonts w:eastAsia="Calibri"/>
                <w:color w:val="FF0000"/>
              </w:rPr>
              <w:t>treet address associated with the NMI;</w:t>
            </w:r>
          </w:p>
          <w:p w14:paraId="3D800D04" w14:textId="6387F938" w:rsidR="00F57283" w:rsidRPr="00693A57" w:rsidRDefault="00F57283" w:rsidP="00306F9F">
            <w:pPr>
              <w:pStyle w:val="Tablei"/>
              <w:rPr>
                <w:color w:val="FF0000"/>
              </w:rPr>
            </w:pPr>
            <w:r w:rsidRPr="00693A57">
              <w:rPr>
                <w:color w:val="FF0000"/>
              </w:rPr>
              <w:tab/>
            </w:r>
            <w:r w:rsidR="00A55282" w:rsidRPr="00693A57">
              <w:rPr>
                <w:color w:val="FF0000"/>
              </w:rPr>
              <w:t>(xiii)</w:t>
            </w:r>
            <w:r w:rsidRPr="00693A57">
              <w:rPr>
                <w:color w:val="FF0000"/>
              </w:rPr>
              <w:tab/>
              <w:t>i</w:t>
            </w:r>
            <w:r w:rsidRPr="00693A57">
              <w:rPr>
                <w:rFonts w:eastAsia="Calibri"/>
                <w:color w:val="FF0000"/>
              </w:rPr>
              <w:t>nformation about the meters associated with the NMI;</w:t>
            </w:r>
          </w:p>
          <w:p w14:paraId="74801F54" w14:textId="0F76EAC2" w:rsidR="00F57283" w:rsidRPr="00693A57" w:rsidRDefault="00F57283" w:rsidP="00306F9F">
            <w:pPr>
              <w:pStyle w:val="Tablei"/>
              <w:rPr>
                <w:rFonts w:eastAsia="Calibri"/>
                <w:color w:val="FF0000"/>
              </w:rPr>
            </w:pPr>
            <w:r w:rsidRPr="00693A57">
              <w:rPr>
                <w:color w:val="FF0000"/>
              </w:rPr>
              <w:tab/>
            </w:r>
            <w:r w:rsidR="00A55282" w:rsidRPr="00693A57">
              <w:rPr>
                <w:color w:val="FF0000"/>
              </w:rPr>
              <w:t>(xiv)</w:t>
            </w:r>
            <w:r w:rsidRPr="00693A57">
              <w:rPr>
                <w:color w:val="FF0000"/>
              </w:rPr>
              <w:tab/>
            </w:r>
            <w:r w:rsidRPr="00693A57">
              <w:rPr>
                <w:rFonts w:eastAsia="Calibri"/>
                <w:color w:val="FF0000"/>
              </w:rPr>
              <w:t>information about the usage data streams available from the meters.</w:t>
            </w:r>
          </w:p>
          <w:p w14:paraId="723EC14A" w14:textId="77777777" w:rsidR="00F57283" w:rsidRPr="00693A57" w:rsidRDefault="00F57283" w:rsidP="00306F9F">
            <w:pPr>
              <w:pStyle w:val="Tablei"/>
              <w:rPr>
                <w:color w:val="FF0000"/>
              </w:rPr>
            </w:pPr>
          </w:p>
        </w:tc>
      </w:tr>
      <w:tr w:rsidR="00F57283" w:rsidRPr="009433A0" w14:paraId="516285B1" w14:textId="77777777" w:rsidTr="00306F9F">
        <w:tc>
          <w:tcPr>
            <w:tcW w:w="256" w:type="pct"/>
            <w:tcBorders>
              <w:top w:val="single" w:sz="4" w:space="0" w:color="auto"/>
              <w:bottom w:val="single" w:sz="4" w:space="0" w:color="auto"/>
              <w:right w:val="nil"/>
            </w:tcBorders>
          </w:tcPr>
          <w:p w14:paraId="0A8A5DF0" w14:textId="3830ADC5" w:rsidR="00F57283" w:rsidRPr="00D83C7A" w:rsidRDefault="00103320" w:rsidP="00306F9F">
            <w:pPr>
              <w:pStyle w:val="Tabletext"/>
              <w:rPr>
                <w:color w:val="0000FF"/>
              </w:rPr>
            </w:pPr>
            <w:r w:rsidRPr="00693A57">
              <w:rPr>
                <w:color w:val="FF0000"/>
              </w:rPr>
              <w:t>6</w:t>
            </w:r>
          </w:p>
        </w:tc>
        <w:tc>
          <w:tcPr>
            <w:tcW w:w="1187" w:type="pct"/>
            <w:tcBorders>
              <w:top w:val="single" w:sz="4" w:space="0" w:color="auto"/>
              <w:left w:val="nil"/>
              <w:bottom w:val="single" w:sz="4" w:space="0" w:color="auto"/>
              <w:right w:val="nil"/>
            </w:tcBorders>
          </w:tcPr>
          <w:p w14:paraId="794263ED" w14:textId="77777777" w:rsidR="00F57283" w:rsidRPr="00D83C7A" w:rsidRDefault="00F57283" w:rsidP="00306F9F">
            <w:pPr>
              <w:pStyle w:val="Tabletext"/>
              <w:rPr>
                <w:b/>
                <w:i/>
                <w:color w:val="0000FF"/>
              </w:rPr>
            </w:pPr>
            <w:r w:rsidRPr="00693A57">
              <w:rPr>
                <w:b/>
                <w:i/>
                <w:color w:val="FF0000"/>
              </w:rPr>
              <w:t>DER register data</w:t>
            </w:r>
            <w:r w:rsidRPr="00693A57">
              <w:rPr>
                <w:color w:val="FF0000"/>
              </w:rPr>
              <w:t>, in relation to a particular account</w:t>
            </w:r>
          </w:p>
        </w:tc>
        <w:tc>
          <w:tcPr>
            <w:tcW w:w="3557" w:type="pct"/>
            <w:tcBorders>
              <w:top w:val="single" w:sz="4" w:space="0" w:color="auto"/>
              <w:left w:val="nil"/>
              <w:bottom w:val="single" w:sz="4" w:space="0" w:color="auto"/>
              <w:right w:val="nil"/>
            </w:tcBorders>
          </w:tcPr>
          <w:p w14:paraId="03006D98" w14:textId="77777777" w:rsidR="00F57283" w:rsidRPr="00693A57" w:rsidRDefault="00F57283" w:rsidP="00306F9F">
            <w:pPr>
              <w:pStyle w:val="Tablea"/>
              <w:rPr>
                <w:color w:val="FF0000"/>
              </w:rPr>
            </w:pPr>
            <w:r w:rsidRPr="00693A57">
              <w:rPr>
                <w:color w:val="FF0000"/>
              </w:rPr>
              <w:t>(a)</w:t>
            </w:r>
            <w:r w:rsidRPr="00693A57">
              <w:rPr>
                <w:color w:val="FF0000"/>
              </w:rPr>
              <w:tab/>
              <w:t xml:space="preserve">means DER register information, within the meaning given by the National Electricity Rules, for DER that relate to the account; and </w:t>
            </w:r>
          </w:p>
          <w:p w14:paraId="42790250" w14:textId="77777777" w:rsidR="00F57283" w:rsidRPr="00693A57" w:rsidRDefault="00F57283" w:rsidP="00306F9F">
            <w:pPr>
              <w:pStyle w:val="Tablea"/>
              <w:rPr>
                <w:color w:val="FF0000"/>
              </w:rPr>
            </w:pPr>
            <w:r w:rsidRPr="00693A57">
              <w:rPr>
                <w:color w:val="FF0000"/>
              </w:rPr>
              <w:t>(b)</w:t>
            </w:r>
            <w:r w:rsidRPr="00693A57">
              <w:rPr>
                <w:color w:val="FF0000"/>
              </w:rPr>
              <w:tab/>
              <w:t>includes:</w:t>
            </w:r>
          </w:p>
          <w:p w14:paraId="375A8358" w14:textId="77777777" w:rsidR="00F57283" w:rsidRPr="00693A57" w:rsidRDefault="00F57283" w:rsidP="00306F9F">
            <w:pPr>
              <w:pStyle w:val="Tablei"/>
              <w:rPr>
                <w:color w:val="FF0000"/>
              </w:rPr>
            </w:pPr>
            <w:r w:rsidRPr="00693A57">
              <w:rPr>
                <w:color w:val="FF0000"/>
              </w:rPr>
              <w:tab/>
              <w:t>(i)</w:t>
            </w:r>
            <w:r w:rsidRPr="00693A57">
              <w:rPr>
                <w:color w:val="FF0000"/>
              </w:rPr>
              <w:tab/>
              <w:t>t</w:t>
            </w:r>
            <w:r w:rsidRPr="00693A57">
              <w:rPr>
                <w:rFonts w:eastAsia="Calibri"/>
                <w:color w:val="FF0000"/>
              </w:rPr>
              <w:t xml:space="preserve">he unique identifier for each connection point associated with the metering data that relates to the DER; and </w:t>
            </w:r>
          </w:p>
          <w:p w14:paraId="266D8E01" w14:textId="2721D669" w:rsidR="00F57283" w:rsidRPr="00693A57" w:rsidRDefault="00F57283" w:rsidP="00306F9F">
            <w:pPr>
              <w:pStyle w:val="Tablei"/>
              <w:rPr>
                <w:color w:val="FF0000"/>
              </w:rPr>
            </w:pPr>
            <w:r w:rsidRPr="00693A57">
              <w:rPr>
                <w:color w:val="FF0000"/>
              </w:rPr>
              <w:tab/>
              <w:t>(ii)</w:t>
            </w:r>
            <w:r w:rsidRPr="00693A57">
              <w:rPr>
                <w:color w:val="FF0000"/>
              </w:rPr>
              <w:tab/>
              <w:t>the a</w:t>
            </w:r>
            <w:r w:rsidRPr="00693A57">
              <w:rPr>
                <w:rFonts w:eastAsia="Calibri"/>
                <w:color w:val="FF0000"/>
              </w:rPr>
              <w:t xml:space="preserve">pproved small generating unit capacity as agreed with </w:t>
            </w:r>
            <w:r w:rsidR="00A55282" w:rsidRPr="00693A57">
              <w:rPr>
                <w:rFonts w:eastAsia="Calibri"/>
                <w:color w:val="FF0000"/>
              </w:rPr>
              <w:t xml:space="preserve">a </w:t>
            </w:r>
            <w:r w:rsidRPr="00693A57">
              <w:rPr>
                <w:rFonts w:eastAsia="Calibri"/>
                <w:color w:val="FF0000"/>
              </w:rPr>
              <w:t xml:space="preserve">network service provider in the connection agreement; and </w:t>
            </w:r>
          </w:p>
          <w:p w14:paraId="53ED7755" w14:textId="77777777" w:rsidR="00F57283" w:rsidRPr="00693A57" w:rsidRDefault="00F57283" w:rsidP="00306F9F">
            <w:pPr>
              <w:pStyle w:val="Tablei"/>
              <w:rPr>
                <w:color w:val="FF0000"/>
              </w:rPr>
            </w:pPr>
            <w:r w:rsidRPr="00693A57">
              <w:rPr>
                <w:color w:val="FF0000"/>
              </w:rPr>
              <w:tab/>
              <w:t>(iii)</w:t>
            </w:r>
            <w:r w:rsidRPr="00693A57">
              <w:rPr>
                <w:color w:val="FF0000"/>
              </w:rPr>
              <w:tab/>
              <w:t>the n</w:t>
            </w:r>
            <w:r w:rsidRPr="00693A57">
              <w:rPr>
                <w:rFonts w:eastAsia="Calibri"/>
                <w:color w:val="FF0000"/>
              </w:rPr>
              <w:t xml:space="preserve">umber of phases available for the installation of DER; and </w:t>
            </w:r>
          </w:p>
          <w:p w14:paraId="5807CFD8" w14:textId="77777777" w:rsidR="00F57283" w:rsidRPr="00693A57" w:rsidRDefault="00F57283" w:rsidP="00306F9F">
            <w:pPr>
              <w:pStyle w:val="Tablei"/>
              <w:rPr>
                <w:color w:val="FF0000"/>
              </w:rPr>
            </w:pPr>
            <w:r w:rsidRPr="00693A57">
              <w:rPr>
                <w:color w:val="FF0000"/>
              </w:rPr>
              <w:lastRenderedPageBreak/>
              <w:tab/>
              <w:t>(iv)</w:t>
            </w:r>
            <w:r w:rsidRPr="00693A57">
              <w:rPr>
                <w:color w:val="FF0000"/>
              </w:rPr>
              <w:tab/>
              <w:t xml:space="preserve">the </w:t>
            </w:r>
            <w:r w:rsidRPr="00693A57">
              <w:rPr>
                <w:rFonts w:eastAsia="Calibri"/>
                <w:color w:val="FF0000"/>
              </w:rPr>
              <w:t xml:space="preserve">number of phases the DER are connected to; and </w:t>
            </w:r>
          </w:p>
          <w:p w14:paraId="3EBD74C0" w14:textId="77777777" w:rsidR="00F57283" w:rsidRPr="00693A57" w:rsidRDefault="00F57283" w:rsidP="00306F9F">
            <w:pPr>
              <w:pStyle w:val="Tablei"/>
              <w:rPr>
                <w:color w:val="FF0000"/>
              </w:rPr>
            </w:pPr>
            <w:r w:rsidRPr="00693A57">
              <w:rPr>
                <w:color w:val="FF0000"/>
              </w:rPr>
              <w:tab/>
              <w:t>(v)</w:t>
            </w:r>
            <w:r w:rsidRPr="00693A57">
              <w:rPr>
                <w:color w:val="FF0000"/>
              </w:rPr>
              <w:tab/>
              <w:t>i</w:t>
            </w:r>
            <w:r w:rsidRPr="00693A57">
              <w:rPr>
                <w:rFonts w:eastAsia="Calibri"/>
                <w:color w:val="FF0000"/>
              </w:rPr>
              <w:t xml:space="preserve">nformation identifying small generating units designed with the ability to operate in islanded mode; and </w:t>
            </w:r>
          </w:p>
          <w:p w14:paraId="0534B714" w14:textId="77777777" w:rsidR="00F57283" w:rsidRPr="00693A57" w:rsidRDefault="00F57283" w:rsidP="00306F9F">
            <w:pPr>
              <w:pStyle w:val="Tablea"/>
              <w:rPr>
                <w:color w:val="FF0000"/>
              </w:rPr>
            </w:pPr>
            <w:r w:rsidRPr="00693A57">
              <w:rPr>
                <w:color w:val="FF0000"/>
              </w:rPr>
              <w:t>(c)</w:t>
            </w:r>
            <w:r w:rsidRPr="00693A57">
              <w:rPr>
                <w:color w:val="FF0000"/>
              </w:rPr>
              <w:tab/>
              <w:t xml:space="preserve">excludes </w:t>
            </w:r>
            <w:r w:rsidRPr="00693A57">
              <w:rPr>
                <w:rFonts w:eastAsia="Calibri"/>
                <w:color w:val="FF0000"/>
              </w:rPr>
              <w:t xml:space="preserve">any personal information of third parties, including contractors and individuals who install or repair DER. </w:t>
            </w:r>
          </w:p>
          <w:p w14:paraId="52603F20" w14:textId="77777777" w:rsidR="00F57283" w:rsidRPr="00693A57" w:rsidRDefault="00F57283" w:rsidP="00306F9F">
            <w:pPr>
              <w:pStyle w:val="Tablea"/>
              <w:rPr>
                <w:color w:val="FF0000"/>
              </w:rPr>
            </w:pPr>
            <w:r w:rsidRPr="00693A57">
              <w:rPr>
                <w:color w:val="FF0000"/>
              </w:rPr>
              <w:tab/>
            </w:r>
          </w:p>
        </w:tc>
      </w:tr>
      <w:tr w:rsidR="00F57283" w:rsidRPr="009433A0" w14:paraId="7D8E7EAB" w14:textId="77777777" w:rsidTr="00306F9F">
        <w:tc>
          <w:tcPr>
            <w:tcW w:w="256" w:type="pct"/>
            <w:tcBorders>
              <w:top w:val="single" w:sz="4" w:space="0" w:color="auto"/>
              <w:bottom w:val="single" w:sz="4" w:space="0" w:color="auto"/>
              <w:right w:val="nil"/>
            </w:tcBorders>
          </w:tcPr>
          <w:p w14:paraId="4BAFB3B0" w14:textId="77777777" w:rsidR="00F57283" w:rsidRPr="00D83C7A" w:rsidRDefault="00F57283" w:rsidP="00306F9F">
            <w:pPr>
              <w:pStyle w:val="Tabletext"/>
              <w:rPr>
                <w:color w:val="0000FF"/>
              </w:rPr>
            </w:pPr>
            <w:r w:rsidRPr="00693A57">
              <w:rPr>
                <w:color w:val="FF0000"/>
              </w:rPr>
              <w:lastRenderedPageBreak/>
              <w:t>7</w:t>
            </w:r>
          </w:p>
        </w:tc>
        <w:tc>
          <w:tcPr>
            <w:tcW w:w="1187" w:type="pct"/>
            <w:tcBorders>
              <w:top w:val="single" w:sz="4" w:space="0" w:color="auto"/>
              <w:left w:val="nil"/>
              <w:bottom w:val="single" w:sz="4" w:space="0" w:color="auto"/>
              <w:right w:val="nil"/>
            </w:tcBorders>
          </w:tcPr>
          <w:p w14:paraId="2E8D3F5B" w14:textId="77777777" w:rsidR="00F57283" w:rsidRPr="00D83C7A" w:rsidRDefault="00F57283" w:rsidP="00306F9F">
            <w:pPr>
              <w:pStyle w:val="Tabletext"/>
              <w:rPr>
                <w:color w:val="0000FF"/>
              </w:rPr>
            </w:pPr>
            <w:r w:rsidRPr="00693A57">
              <w:rPr>
                <w:b/>
                <w:i/>
                <w:color w:val="FF0000"/>
              </w:rPr>
              <w:t>product specific data</w:t>
            </w:r>
            <w:r w:rsidRPr="00693A57">
              <w:rPr>
                <w:color w:val="FF0000"/>
              </w:rPr>
              <w:t xml:space="preserve">, in relation to a particular plan </w:t>
            </w:r>
          </w:p>
        </w:tc>
        <w:tc>
          <w:tcPr>
            <w:tcW w:w="3557" w:type="pct"/>
            <w:tcBorders>
              <w:top w:val="single" w:sz="4" w:space="0" w:color="auto"/>
              <w:left w:val="nil"/>
              <w:bottom w:val="single" w:sz="4" w:space="0" w:color="auto"/>
              <w:right w:val="nil"/>
            </w:tcBorders>
          </w:tcPr>
          <w:p w14:paraId="7BC4466B" w14:textId="77777777" w:rsidR="00F57283" w:rsidRPr="00693A57" w:rsidRDefault="00F57283" w:rsidP="00306F9F">
            <w:pPr>
              <w:pStyle w:val="Tablea"/>
              <w:rPr>
                <w:color w:val="FF0000"/>
              </w:rPr>
            </w:pPr>
            <w:r w:rsidRPr="00693A57">
              <w:rPr>
                <w:color w:val="FF0000"/>
              </w:rPr>
              <w:t>(a)</w:t>
            </w:r>
            <w:r w:rsidRPr="00693A57">
              <w:rPr>
                <w:color w:val="FF0000"/>
              </w:rPr>
              <w:tab/>
              <w:t>means information that identifies or describes the characteristics of the plan; and</w:t>
            </w:r>
          </w:p>
          <w:p w14:paraId="33CE7833" w14:textId="77777777" w:rsidR="00F57283" w:rsidRPr="00693A57" w:rsidRDefault="00F57283" w:rsidP="00306F9F">
            <w:pPr>
              <w:pStyle w:val="Tablea"/>
              <w:rPr>
                <w:color w:val="FF0000"/>
              </w:rPr>
            </w:pPr>
            <w:r w:rsidRPr="00693A57">
              <w:rPr>
                <w:color w:val="FF0000"/>
              </w:rPr>
              <w:t>(b)</w:t>
            </w:r>
            <w:r w:rsidRPr="00693A57">
              <w:rPr>
                <w:color w:val="FF0000"/>
              </w:rPr>
              <w:tab/>
              <w:t>includes the following data about the plan:</w:t>
            </w:r>
          </w:p>
          <w:p w14:paraId="12E603CA" w14:textId="77777777" w:rsidR="00F57283" w:rsidRPr="00693A57" w:rsidRDefault="00F57283" w:rsidP="00306F9F">
            <w:pPr>
              <w:pStyle w:val="Tablei"/>
              <w:rPr>
                <w:color w:val="FF0000"/>
              </w:rPr>
            </w:pPr>
            <w:r w:rsidRPr="00693A57">
              <w:rPr>
                <w:color w:val="FF0000"/>
              </w:rPr>
              <w:tab/>
              <w:t>(i)</w:t>
            </w:r>
            <w:r w:rsidRPr="00693A57">
              <w:rPr>
                <w:color w:val="FF0000"/>
              </w:rPr>
              <w:tab/>
              <w:t>its type (whether standing, market or regulated); and</w:t>
            </w:r>
          </w:p>
          <w:p w14:paraId="1D2C05E5" w14:textId="77777777" w:rsidR="00F57283" w:rsidRPr="00693A57" w:rsidRDefault="00F57283" w:rsidP="00306F9F">
            <w:pPr>
              <w:pStyle w:val="Tablei"/>
              <w:rPr>
                <w:color w:val="FF0000"/>
              </w:rPr>
            </w:pPr>
            <w:r w:rsidRPr="00693A57">
              <w:rPr>
                <w:color w:val="FF0000"/>
              </w:rPr>
              <w:tab/>
              <w:t>(ii)</w:t>
            </w:r>
            <w:r w:rsidRPr="00693A57">
              <w:rPr>
                <w:color w:val="FF0000"/>
              </w:rPr>
              <w:tab/>
              <w:t>its</w:t>
            </w:r>
            <w:r w:rsidRPr="00693A57">
              <w:rPr>
                <w:rFonts w:eastAsia="Calibri"/>
                <w:color w:val="FF0000"/>
              </w:rPr>
              <w:t xml:space="preserve"> name</w:t>
            </w:r>
            <w:r w:rsidRPr="00693A57">
              <w:rPr>
                <w:color w:val="FF0000"/>
              </w:rPr>
              <w:t>; and</w:t>
            </w:r>
          </w:p>
          <w:p w14:paraId="3CEAEDCB" w14:textId="77777777" w:rsidR="00F57283" w:rsidRPr="00693A57" w:rsidRDefault="00F57283" w:rsidP="00306F9F">
            <w:pPr>
              <w:pStyle w:val="Tablei"/>
              <w:rPr>
                <w:color w:val="FF0000"/>
              </w:rPr>
            </w:pPr>
            <w:r w:rsidRPr="00693A57">
              <w:rPr>
                <w:color w:val="FF0000"/>
              </w:rPr>
              <w:tab/>
              <w:t>(iii)</w:t>
            </w:r>
            <w:r w:rsidRPr="00693A57">
              <w:rPr>
                <w:color w:val="FF0000"/>
              </w:rPr>
              <w:tab/>
              <w:t>f</w:t>
            </w:r>
            <w:r w:rsidRPr="00693A57">
              <w:rPr>
                <w:rFonts w:eastAsia="Calibri"/>
                <w:color w:val="FF0000"/>
              </w:rPr>
              <w:t>uel the plan applies to</w:t>
            </w:r>
            <w:r w:rsidRPr="00693A57">
              <w:rPr>
                <w:color w:val="FF0000"/>
              </w:rPr>
              <w:t>; and</w:t>
            </w:r>
          </w:p>
          <w:p w14:paraId="1BB16927" w14:textId="77777777" w:rsidR="00F57283" w:rsidRPr="00693A57" w:rsidRDefault="00F57283" w:rsidP="00306F9F">
            <w:pPr>
              <w:pStyle w:val="Tablei"/>
              <w:rPr>
                <w:color w:val="FF0000"/>
              </w:rPr>
            </w:pPr>
            <w:r w:rsidRPr="00693A57">
              <w:rPr>
                <w:color w:val="FF0000"/>
              </w:rPr>
              <w:tab/>
              <w:t>(iv)</w:t>
            </w:r>
            <w:r w:rsidRPr="00693A57">
              <w:rPr>
                <w:color w:val="FF0000"/>
              </w:rPr>
              <w:tab/>
            </w:r>
            <w:r w:rsidRPr="00693A57">
              <w:rPr>
                <w:rFonts w:eastAsia="Calibri"/>
                <w:color w:val="FF0000"/>
              </w:rPr>
              <w:t>the retailer brand offering the plan</w:t>
            </w:r>
            <w:r w:rsidRPr="00693A57">
              <w:rPr>
                <w:color w:val="FF0000"/>
              </w:rPr>
              <w:t>; and</w:t>
            </w:r>
          </w:p>
          <w:p w14:paraId="001BBFEF" w14:textId="77777777" w:rsidR="00F57283" w:rsidRPr="00693A57" w:rsidRDefault="00F57283" w:rsidP="00306F9F">
            <w:pPr>
              <w:pStyle w:val="Tablei"/>
              <w:rPr>
                <w:color w:val="FF0000"/>
              </w:rPr>
            </w:pPr>
            <w:r w:rsidRPr="00693A57">
              <w:rPr>
                <w:color w:val="FF0000"/>
              </w:rPr>
              <w:tab/>
              <w:t>(v)</w:t>
            </w:r>
            <w:r w:rsidRPr="00693A57">
              <w:rPr>
                <w:color w:val="FF0000"/>
              </w:rPr>
              <w:tab/>
              <w:t>the distribution zone</w:t>
            </w:r>
            <w:r w:rsidRPr="00693A57">
              <w:rPr>
                <w:rFonts w:eastAsia="Calibri"/>
                <w:color w:val="FF0000"/>
              </w:rPr>
              <w:t xml:space="preserve"> that the plan is offered in</w:t>
            </w:r>
            <w:r w:rsidRPr="00693A57">
              <w:rPr>
                <w:color w:val="FF0000"/>
              </w:rPr>
              <w:t>; and</w:t>
            </w:r>
          </w:p>
          <w:p w14:paraId="439EE13B" w14:textId="77777777" w:rsidR="00F57283" w:rsidRPr="00693A57" w:rsidRDefault="00F57283" w:rsidP="00306F9F">
            <w:pPr>
              <w:pStyle w:val="Tablei"/>
              <w:rPr>
                <w:color w:val="FF0000"/>
              </w:rPr>
            </w:pPr>
            <w:r w:rsidRPr="00693A57">
              <w:rPr>
                <w:color w:val="FF0000"/>
              </w:rPr>
              <w:tab/>
              <w:t>(vi)</w:t>
            </w:r>
            <w:r w:rsidRPr="00693A57">
              <w:rPr>
                <w:color w:val="FF0000"/>
              </w:rPr>
              <w:tab/>
              <w:t>the t</w:t>
            </w:r>
            <w:r w:rsidRPr="00693A57">
              <w:rPr>
                <w:rFonts w:eastAsia="Calibri"/>
                <w:color w:val="FF0000"/>
              </w:rPr>
              <w:t>ariff type</w:t>
            </w:r>
            <w:r w:rsidRPr="00693A57">
              <w:rPr>
                <w:color w:val="FF0000"/>
              </w:rPr>
              <w:t>; and</w:t>
            </w:r>
          </w:p>
          <w:p w14:paraId="4133711F" w14:textId="77777777" w:rsidR="00F57283" w:rsidRPr="00693A57" w:rsidRDefault="00F57283" w:rsidP="00306F9F">
            <w:pPr>
              <w:pStyle w:val="Tablei"/>
              <w:rPr>
                <w:color w:val="FF0000"/>
              </w:rPr>
            </w:pPr>
            <w:r w:rsidRPr="00693A57">
              <w:rPr>
                <w:color w:val="FF0000"/>
              </w:rPr>
              <w:tab/>
              <w:t>(vii)</w:t>
            </w:r>
            <w:r w:rsidRPr="00693A57">
              <w:rPr>
                <w:color w:val="FF0000"/>
              </w:rPr>
              <w:tab/>
              <w:t>i</w:t>
            </w:r>
            <w:r w:rsidRPr="00693A57">
              <w:rPr>
                <w:rFonts w:eastAsia="Calibri"/>
                <w:color w:val="FF0000"/>
              </w:rPr>
              <w:t>nformation about the pricing associated with the plan, including unit rates, metering charges, daily supply charges and fees</w:t>
            </w:r>
            <w:r w:rsidRPr="00693A57">
              <w:rPr>
                <w:color w:val="FF0000"/>
              </w:rPr>
              <w:t>; and</w:t>
            </w:r>
          </w:p>
          <w:p w14:paraId="6D878E92" w14:textId="77777777" w:rsidR="00F57283" w:rsidRPr="00693A57" w:rsidRDefault="00F57283" w:rsidP="00306F9F">
            <w:pPr>
              <w:pStyle w:val="Tablei"/>
              <w:rPr>
                <w:color w:val="FF0000"/>
              </w:rPr>
            </w:pPr>
            <w:r w:rsidRPr="00693A57">
              <w:rPr>
                <w:color w:val="FF0000"/>
              </w:rPr>
              <w:tab/>
              <w:t>(viii)</w:t>
            </w:r>
            <w:r w:rsidRPr="00693A57">
              <w:rPr>
                <w:color w:val="FF0000"/>
              </w:rPr>
              <w:tab/>
              <w:t>f</w:t>
            </w:r>
            <w:r w:rsidRPr="00693A57">
              <w:rPr>
                <w:rFonts w:eastAsia="Calibri"/>
                <w:color w:val="FF0000"/>
              </w:rPr>
              <w:t>eatures and benefits, including discounts, incentives and bundles.</w:t>
            </w:r>
          </w:p>
          <w:p w14:paraId="04756EDA" w14:textId="77777777" w:rsidR="00F57283" w:rsidRPr="00693A57" w:rsidRDefault="00F57283" w:rsidP="00306F9F">
            <w:pPr>
              <w:pStyle w:val="Tablei"/>
              <w:rPr>
                <w:color w:val="FF0000"/>
              </w:rPr>
            </w:pPr>
          </w:p>
          <w:p w14:paraId="282A65C2" w14:textId="77777777" w:rsidR="00F57283" w:rsidRPr="00693A57" w:rsidRDefault="00F57283" w:rsidP="00306F9F">
            <w:pPr>
              <w:pStyle w:val="Tablea"/>
              <w:rPr>
                <w:color w:val="FF0000"/>
              </w:rPr>
            </w:pPr>
          </w:p>
        </w:tc>
      </w:tr>
      <w:tr w:rsidR="00F57283" w:rsidRPr="009433A0" w14:paraId="2BE48077" w14:textId="77777777" w:rsidTr="00306F9F">
        <w:tc>
          <w:tcPr>
            <w:tcW w:w="256" w:type="pct"/>
            <w:tcBorders>
              <w:top w:val="single" w:sz="4" w:space="0" w:color="auto"/>
              <w:bottom w:val="single" w:sz="12" w:space="0" w:color="auto"/>
              <w:right w:val="nil"/>
            </w:tcBorders>
          </w:tcPr>
          <w:p w14:paraId="5E9E52FE" w14:textId="77777777" w:rsidR="00F57283" w:rsidRPr="00D83C7A" w:rsidRDefault="00F57283" w:rsidP="00306F9F">
            <w:pPr>
              <w:pStyle w:val="Tabletext"/>
              <w:rPr>
                <w:color w:val="0000FF"/>
              </w:rPr>
            </w:pPr>
            <w:r w:rsidRPr="00693A57">
              <w:rPr>
                <w:color w:val="FF0000"/>
              </w:rPr>
              <w:t>8</w:t>
            </w:r>
          </w:p>
        </w:tc>
        <w:tc>
          <w:tcPr>
            <w:tcW w:w="1187" w:type="pct"/>
            <w:tcBorders>
              <w:top w:val="single" w:sz="4" w:space="0" w:color="auto"/>
              <w:left w:val="nil"/>
              <w:bottom w:val="single" w:sz="12" w:space="0" w:color="auto"/>
              <w:right w:val="nil"/>
            </w:tcBorders>
          </w:tcPr>
          <w:p w14:paraId="7AE2B143" w14:textId="77777777" w:rsidR="00F57283" w:rsidRPr="00D83C7A" w:rsidRDefault="00F57283" w:rsidP="00306F9F">
            <w:pPr>
              <w:pStyle w:val="Tabletext"/>
              <w:rPr>
                <w:b/>
                <w:i/>
                <w:color w:val="0000FF"/>
              </w:rPr>
            </w:pPr>
            <w:r w:rsidRPr="00693A57">
              <w:rPr>
                <w:b/>
                <w:i/>
                <w:color w:val="FF0000"/>
              </w:rPr>
              <w:t>tailored tariff data</w:t>
            </w:r>
            <w:r w:rsidRPr="00693A57">
              <w:rPr>
                <w:color w:val="FF0000"/>
              </w:rPr>
              <w:t xml:space="preserve">, in relation to a particular account </w:t>
            </w:r>
          </w:p>
        </w:tc>
        <w:tc>
          <w:tcPr>
            <w:tcW w:w="3557" w:type="pct"/>
            <w:tcBorders>
              <w:top w:val="single" w:sz="4" w:space="0" w:color="auto"/>
              <w:left w:val="nil"/>
              <w:bottom w:val="single" w:sz="12" w:space="0" w:color="auto"/>
              <w:right w:val="nil"/>
            </w:tcBorders>
          </w:tcPr>
          <w:p w14:paraId="65B7531F" w14:textId="77777777" w:rsidR="00F57283" w:rsidRPr="00693A57" w:rsidRDefault="00F57283" w:rsidP="00306F9F">
            <w:pPr>
              <w:pStyle w:val="Tablea"/>
              <w:rPr>
                <w:color w:val="FF0000"/>
              </w:rPr>
            </w:pPr>
            <w:r w:rsidRPr="00693A57">
              <w:rPr>
                <w:color w:val="FF0000"/>
              </w:rPr>
              <w:t xml:space="preserve">   </w:t>
            </w:r>
            <w:r w:rsidRPr="00693A57">
              <w:rPr>
                <w:color w:val="FF0000"/>
              </w:rPr>
              <w:tab/>
              <w:t>means product specific information in relation to the plan that that applies to, and as tailored to, the arrangement to which the account relates.</w:t>
            </w:r>
          </w:p>
          <w:p w14:paraId="44FCA8CC" w14:textId="77777777" w:rsidR="00F57283" w:rsidRPr="00693A57" w:rsidRDefault="00F57283" w:rsidP="00306F9F">
            <w:pPr>
              <w:pStyle w:val="Tablea"/>
              <w:rPr>
                <w:color w:val="FF0000"/>
              </w:rPr>
            </w:pPr>
          </w:p>
        </w:tc>
      </w:tr>
    </w:tbl>
    <w:p w14:paraId="78210D59" w14:textId="77777777" w:rsidR="00F57283" w:rsidRPr="00693A57" w:rsidRDefault="00F57283" w:rsidP="00F57283">
      <w:pPr>
        <w:pStyle w:val="paragraph"/>
        <w:rPr>
          <w:color w:val="0000FF"/>
          <w:shd w:val="clear" w:color="auto" w:fill="FFFFFF"/>
        </w:rPr>
      </w:pPr>
    </w:p>
    <w:p w14:paraId="484AA935" w14:textId="5028676A" w:rsidR="00F57283" w:rsidRPr="00693A57" w:rsidRDefault="00F57283" w:rsidP="00F57283">
      <w:pPr>
        <w:pStyle w:val="ActHead5"/>
        <w:rPr>
          <w:i/>
          <w:iCs/>
          <w:color w:val="FF0000"/>
        </w:rPr>
      </w:pPr>
      <w:r w:rsidRPr="00693A57">
        <w:rPr>
          <w:color w:val="FF0000"/>
        </w:rPr>
        <w:fldChar w:fldCharType="begin"/>
      </w:r>
      <w:bookmarkStart w:id="758" w:name="_Ref62476137"/>
      <w:bookmarkEnd w:id="758"/>
      <w:r w:rsidRPr="00693A57">
        <w:rPr>
          <w:color w:val="FF0000"/>
        </w:rPr>
        <w:instrText xml:space="preserve">  LISTNUM "main numbering" \l 5 \* MERGEFORMAT </w:instrText>
      </w:r>
      <w:bookmarkStart w:id="759" w:name="_Toc77065136"/>
      <w:r w:rsidRPr="00693A57">
        <w:rPr>
          <w:color w:val="FF0000"/>
        </w:rPr>
        <w:fldChar w:fldCharType="end">
          <w:numberingChange w:id="760" w:author="Author" w:original="1.4"/>
        </w:fldChar>
      </w:r>
      <w:r w:rsidRPr="00693A57">
        <w:rPr>
          <w:color w:val="FF0000"/>
        </w:rPr>
        <w:t xml:space="preserve">  Meaning of </w:t>
      </w:r>
      <w:r w:rsidRPr="00693A57">
        <w:rPr>
          <w:i/>
          <w:iCs/>
          <w:color w:val="FF0000"/>
        </w:rPr>
        <w:t>retailer</w:t>
      </w:r>
      <w:bookmarkEnd w:id="759"/>
    </w:p>
    <w:p w14:paraId="64B09695" w14:textId="77777777" w:rsidR="00103320" w:rsidRPr="00693A57" w:rsidRDefault="00F57283" w:rsidP="00F57283">
      <w:pPr>
        <w:pStyle w:val="subsection"/>
        <w:rPr>
          <w:color w:val="FF0000"/>
        </w:rPr>
      </w:pPr>
      <w:r w:rsidRPr="00693A57">
        <w:rPr>
          <w:color w:val="FF0000"/>
        </w:rPr>
        <w:tab/>
      </w:r>
      <w:r w:rsidRPr="00693A57">
        <w:rPr>
          <w:color w:val="FF0000"/>
        </w:rPr>
        <w:tab/>
        <w:t xml:space="preserve">For this Schedule, a data holder of energy sector data is a </w:t>
      </w:r>
      <w:r w:rsidRPr="00693A57">
        <w:rPr>
          <w:b/>
          <w:bCs/>
          <w:i/>
          <w:iCs/>
          <w:color w:val="FF0000"/>
        </w:rPr>
        <w:t>retailer</w:t>
      </w:r>
      <w:r w:rsidRPr="00693A57">
        <w:rPr>
          <w:color w:val="FF0000"/>
        </w:rPr>
        <w:t xml:space="preserve"> if</w:t>
      </w:r>
      <w:r w:rsidR="00103320" w:rsidRPr="00693A57">
        <w:rPr>
          <w:color w:val="FF0000"/>
        </w:rPr>
        <w:t>:</w:t>
      </w:r>
    </w:p>
    <w:p w14:paraId="734A3BB4" w14:textId="17FA704F" w:rsidR="00F57283" w:rsidRPr="00693A57" w:rsidRDefault="00103320" w:rsidP="00103320">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61" w:author="Author" w:original="(a)"/>
        </w:fldChar>
      </w:r>
      <w:r w:rsidRPr="00693A57">
        <w:rPr>
          <w:color w:val="FF0000"/>
        </w:rPr>
        <w:tab/>
      </w:r>
      <w:r w:rsidR="00F57283" w:rsidRPr="00693A57">
        <w:rPr>
          <w:color w:val="FF0000"/>
        </w:rPr>
        <w:t>it retails electricity to connection points in the National Electricity Market</w:t>
      </w:r>
      <w:r w:rsidRPr="00693A57">
        <w:rPr>
          <w:color w:val="FF0000"/>
        </w:rPr>
        <w:t>; and</w:t>
      </w:r>
    </w:p>
    <w:p w14:paraId="3DF6080F" w14:textId="0C9969B9" w:rsidR="00103320" w:rsidRPr="00693A57" w:rsidRDefault="00103320" w:rsidP="00103320">
      <w:pPr>
        <w:pStyle w:val="paragraph"/>
        <w:rPr>
          <w:color w:val="FF0000"/>
          <w:szCs w:val="22"/>
          <w:lang w:eastAsia="en-GB"/>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62" w:author="Author" w:original="(b)"/>
        </w:fldChar>
      </w:r>
      <w:r w:rsidRPr="00693A57">
        <w:rPr>
          <w:color w:val="FF0000"/>
        </w:rPr>
        <w:tab/>
        <w:t>it is either</w:t>
      </w:r>
      <w:r w:rsidRPr="00693A57">
        <w:rPr>
          <w:color w:val="FF0000"/>
          <w:szCs w:val="22"/>
          <w:lang w:eastAsia="en-GB"/>
        </w:rPr>
        <w:t>:</w:t>
      </w:r>
    </w:p>
    <w:p w14:paraId="229FEA83" w14:textId="74799D38" w:rsidR="00103320" w:rsidRPr="00693A57" w:rsidRDefault="00103320" w:rsidP="00103320">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763" w:author="Author" w:original="(i)"/>
        </w:fldChar>
      </w:r>
      <w:r w:rsidRPr="00693A57">
        <w:rPr>
          <w:color w:val="FF0000"/>
        </w:rPr>
        <w:tab/>
        <w:t>the holder of a retailer authorisation issued under the National Energy Retail Law (as it applies in a State or Territory) in respect of the sale of electricity; or</w:t>
      </w:r>
    </w:p>
    <w:p w14:paraId="6BF46CDE" w14:textId="7CC2D56F" w:rsidR="00103320" w:rsidRPr="00693A57" w:rsidRDefault="00103320" w:rsidP="00103320">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764" w:author="Author" w:original="(ii)"/>
        </w:fldChar>
      </w:r>
      <w:r w:rsidRPr="00693A57">
        <w:rPr>
          <w:color w:val="FF0000"/>
        </w:rPr>
        <w:tab/>
        <w:t>a retailer within the meaning of the </w:t>
      </w:r>
      <w:r w:rsidRPr="00693A57">
        <w:rPr>
          <w:i/>
          <w:iCs/>
          <w:color w:val="FF0000"/>
        </w:rPr>
        <w:t>Electricity Industry Act 2000 </w:t>
      </w:r>
      <w:r w:rsidRPr="00693A57">
        <w:rPr>
          <w:color w:val="FF0000"/>
        </w:rPr>
        <w:t>(Vic).</w:t>
      </w:r>
    </w:p>
    <w:p w14:paraId="39556639" w14:textId="49F205C2" w:rsidR="00F57283" w:rsidRPr="00693A57" w:rsidRDefault="00F500AC" w:rsidP="00F57283">
      <w:pPr>
        <w:pStyle w:val="ActHead2"/>
        <w:rPr>
          <w:color w:val="FF0000"/>
        </w:rPr>
      </w:pPr>
      <w:r w:rsidRPr="00693A57">
        <w:rPr>
          <w:color w:val="FF0000"/>
        </w:rPr>
        <w:lastRenderedPageBreak/>
        <w:fldChar w:fldCharType="begin"/>
      </w:r>
      <w:r w:rsidRPr="00693A57">
        <w:rPr>
          <w:color w:val="FF0000"/>
        </w:rPr>
        <w:instrText xml:space="preserve">  LISTNUM "main numbering" \l 2 \* MERGEFORMAT </w:instrText>
      </w:r>
      <w:bookmarkStart w:id="765" w:name="_Toc77065137"/>
      <w:r w:rsidRPr="00693A57">
        <w:rPr>
          <w:color w:val="FF0000"/>
        </w:rPr>
        <w:fldChar w:fldCharType="end">
          <w:numberingChange w:id="766" w:author="Author" w:original="Part 2"/>
        </w:fldChar>
      </w:r>
      <w:r w:rsidR="00F57283" w:rsidRPr="00693A57">
        <w:rPr>
          <w:color w:val="FF0000"/>
        </w:rPr>
        <w:t>—Eligible CDR consumers—energy sector</w:t>
      </w:r>
      <w:bookmarkEnd w:id="765"/>
    </w:p>
    <w:p w14:paraId="1C3F6656" w14:textId="1E5F2B8C" w:rsidR="00F57283" w:rsidRPr="00693A57" w:rsidRDefault="00F500AC" w:rsidP="00F57283">
      <w:pPr>
        <w:pStyle w:val="ActHead5"/>
        <w:rPr>
          <w:color w:val="FF0000"/>
        </w:rPr>
      </w:pPr>
      <w:r w:rsidRPr="00693A57">
        <w:rPr>
          <w:color w:val="FF0000"/>
        </w:rPr>
        <w:fldChar w:fldCharType="begin"/>
      </w:r>
      <w:bookmarkStart w:id="767" w:name="_Ref76551273"/>
      <w:bookmarkEnd w:id="767"/>
      <w:r w:rsidRPr="00693A57">
        <w:rPr>
          <w:color w:val="FF0000"/>
        </w:rPr>
        <w:instrText xml:space="preserve">  LISTNUM "main numbering" \l 5 \* MERGEFORMAT </w:instrText>
      </w:r>
      <w:bookmarkStart w:id="768" w:name="_Toc77065138"/>
      <w:r w:rsidRPr="00693A57">
        <w:rPr>
          <w:color w:val="FF0000"/>
        </w:rPr>
        <w:fldChar w:fldCharType="end">
          <w:numberingChange w:id="769" w:author="Author" w:original="2.1"/>
        </w:fldChar>
      </w:r>
      <w:r w:rsidR="00F57283" w:rsidRPr="00693A57">
        <w:rPr>
          <w:color w:val="FF0000"/>
        </w:rPr>
        <w:t xml:space="preserve">  Additional criteria for eligibility—energy sector</w:t>
      </w:r>
      <w:bookmarkEnd w:id="768"/>
    </w:p>
    <w:p w14:paraId="4745AB9C" w14:textId="7B3142F0" w:rsidR="00F57283" w:rsidRPr="00693A57" w:rsidRDefault="00F57283" w:rsidP="00F57283">
      <w:pPr>
        <w:pStyle w:val="subsection"/>
        <w:rPr>
          <w:color w:val="FF0000"/>
        </w:rPr>
      </w:pPr>
      <w:r w:rsidRPr="00693A57">
        <w:rPr>
          <w:color w:val="FF0000"/>
        </w:rPr>
        <w:tab/>
      </w:r>
      <w:r w:rsidR="00FA57E5" w:rsidRPr="00693A57">
        <w:rPr>
          <w:color w:val="FF0000"/>
        </w:rPr>
        <w:t>(1)</w:t>
      </w:r>
      <w:r w:rsidRPr="00693A57">
        <w:rPr>
          <w:color w:val="FF0000"/>
        </w:rPr>
        <w:tab/>
        <w:t xml:space="preserve">For subrules 1.10B(1) and (2), the additional criteria for a CDR consumer to be </w:t>
      </w:r>
      <w:r w:rsidRPr="00693A57">
        <w:rPr>
          <w:b/>
          <w:i/>
          <w:color w:val="FF0000"/>
        </w:rPr>
        <w:t>eligible</w:t>
      </w:r>
      <w:r w:rsidRPr="00693A57">
        <w:rPr>
          <w:color w:val="FF0000"/>
        </w:rPr>
        <w:t>, in relation to a retailer at a particular time, are that:</w:t>
      </w:r>
    </w:p>
    <w:p w14:paraId="56D56C9E" w14:textId="50A7C03B" w:rsidR="00F57283" w:rsidRPr="00693A57" w:rsidRDefault="00F57283" w:rsidP="00F57283">
      <w:pPr>
        <w:pStyle w:val="paragraph"/>
        <w:rPr>
          <w:color w:val="FF0000"/>
        </w:rPr>
      </w:pPr>
      <w:r w:rsidRPr="00693A57">
        <w:rPr>
          <w:color w:val="FF0000"/>
        </w:rPr>
        <w:tab/>
        <w:t>(a)</w:t>
      </w:r>
      <w:r w:rsidRPr="00693A57">
        <w:rPr>
          <w:color w:val="FF0000"/>
        </w:rPr>
        <w:tab/>
        <w:t xml:space="preserve">the CDR consumer is a customer of the retailer in relation to an </w:t>
      </w:r>
      <w:r w:rsidR="00FA57E5" w:rsidRPr="00693A57">
        <w:rPr>
          <w:color w:val="FF0000"/>
        </w:rPr>
        <w:t xml:space="preserve">eligible </w:t>
      </w:r>
      <w:r w:rsidRPr="00693A57">
        <w:rPr>
          <w:color w:val="FF0000"/>
        </w:rPr>
        <w:t>arrangement; and</w:t>
      </w:r>
    </w:p>
    <w:p w14:paraId="68478CFA" w14:textId="7172D922" w:rsidR="00F500AC" w:rsidRPr="00693A57" w:rsidRDefault="00F57283" w:rsidP="00F57283">
      <w:pPr>
        <w:pStyle w:val="paragraph"/>
        <w:rPr>
          <w:color w:val="FF0000"/>
        </w:rPr>
      </w:pPr>
      <w:r w:rsidRPr="00693A57">
        <w:rPr>
          <w:color w:val="FF0000"/>
        </w:rPr>
        <w:tab/>
        <w:t>(b)</w:t>
      </w:r>
      <w:r w:rsidRPr="00693A57">
        <w:rPr>
          <w:color w:val="FF0000"/>
        </w:rPr>
        <w:tab/>
        <w:t>the account relates to the arrangement</w:t>
      </w:r>
      <w:r w:rsidR="00F500AC" w:rsidRPr="00693A57">
        <w:rPr>
          <w:color w:val="FF0000"/>
        </w:rPr>
        <w:t>.</w:t>
      </w:r>
    </w:p>
    <w:p w14:paraId="1D18F628" w14:textId="6ADDAA1F" w:rsidR="003649E2" w:rsidRPr="00693A57" w:rsidRDefault="003649E2" w:rsidP="003649E2">
      <w:pPr>
        <w:pStyle w:val="subsection"/>
        <w:rPr>
          <w:color w:val="FF0000"/>
        </w:rPr>
      </w:pPr>
      <w:r w:rsidRPr="00693A57">
        <w:rPr>
          <w:color w:val="FF0000"/>
        </w:rPr>
        <w:tab/>
      </w:r>
      <w:r w:rsidR="00FA57E5" w:rsidRPr="00693A57">
        <w:rPr>
          <w:color w:val="FF0000"/>
        </w:rPr>
        <w:t>(2)</w:t>
      </w:r>
      <w:r w:rsidR="00FA57E5" w:rsidRPr="00693A57">
        <w:rPr>
          <w:color w:val="FF0000"/>
        </w:rPr>
        <w:tab/>
      </w:r>
      <w:r w:rsidRPr="00693A57">
        <w:rPr>
          <w:color w:val="FF0000"/>
        </w:rPr>
        <w:t>For this clause, a</w:t>
      </w:r>
      <w:r w:rsidR="00FA57E5" w:rsidRPr="00693A57">
        <w:rPr>
          <w:color w:val="FF0000"/>
        </w:rPr>
        <w:t xml:space="preserve">n </w:t>
      </w:r>
      <w:r w:rsidR="00FA57E5" w:rsidRPr="00693A57">
        <w:rPr>
          <w:b/>
          <w:i/>
          <w:color w:val="FF0000"/>
        </w:rPr>
        <w:t>eligible arrangement</w:t>
      </w:r>
      <w:r w:rsidR="00FA57E5" w:rsidRPr="00693A57">
        <w:rPr>
          <w:color w:val="FF0000"/>
        </w:rPr>
        <w:t xml:space="preserve"> is an </w:t>
      </w:r>
      <w:r w:rsidRPr="00693A57">
        <w:rPr>
          <w:color w:val="FF0000"/>
        </w:rPr>
        <w:t xml:space="preserve">arrangement </w:t>
      </w:r>
      <w:r w:rsidR="009108DD">
        <w:rPr>
          <w:color w:val="FF0000"/>
        </w:rPr>
        <w:t>that</w:t>
      </w:r>
      <w:r w:rsidRPr="00693A57">
        <w:rPr>
          <w:color w:val="FF0000"/>
        </w:rPr>
        <w:t xml:space="preserve"> </w:t>
      </w:r>
      <w:r w:rsidR="00FA57E5" w:rsidRPr="00693A57">
        <w:rPr>
          <w:color w:val="FF0000"/>
        </w:rPr>
        <w:t xml:space="preserve">relates to one or more </w:t>
      </w:r>
      <w:r w:rsidRPr="00693A57">
        <w:rPr>
          <w:color w:val="FF0000"/>
        </w:rPr>
        <w:t>connection points or child connection points for which there is a financially responsible market participant in the National Electricity Market.</w:t>
      </w:r>
    </w:p>
    <w:p w14:paraId="1ADAE581" w14:textId="3F3C1C1D" w:rsidR="00930BF8" w:rsidRPr="00693A57" w:rsidRDefault="001023EA" w:rsidP="00930BF8">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770" w:name="_Toc77065139"/>
      <w:r w:rsidRPr="00693A57">
        <w:rPr>
          <w:color w:val="FF0000"/>
        </w:rPr>
        <w:fldChar w:fldCharType="end">
          <w:numberingChange w:id="771" w:author="Author" w:original="2.2"/>
        </w:fldChar>
      </w:r>
      <w:r w:rsidRPr="00693A57">
        <w:rPr>
          <w:color w:val="FF0000"/>
        </w:rPr>
        <w:t xml:space="preserve">  Meaning of </w:t>
      </w:r>
      <w:r w:rsidRPr="00693A57">
        <w:rPr>
          <w:i/>
          <w:color w:val="FF0000"/>
        </w:rPr>
        <w:t>account privileges</w:t>
      </w:r>
      <w:r w:rsidRPr="00693A57">
        <w:rPr>
          <w:color w:val="FF0000"/>
        </w:rPr>
        <w:t>—energy sector</w:t>
      </w:r>
      <w:bookmarkEnd w:id="770"/>
    </w:p>
    <w:p w14:paraId="124E0A69" w14:textId="77777777" w:rsidR="001023EA" w:rsidRPr="00693A57" w:rsidRDefault="001023EA" w:rsidP="001023EA">
      <w:pPr>
        <w:pStyle w:val="subsection"/>
        <w:rPr>
          <w:color w:val="FF0000"/>
        </w:rPr>
      </w:pPr>
      <w:r w:rsidRPr="00693A57">
        <w:rPr>
          <w:color w:val="FF0000"/>
        </w:rPr>
        <w:tab/>
        <w:t>(1)</w:t>
      </w:r>
      <w:r w:rsidRPr="00693A57">
        <w:rPr>
          <w:color w:val="FF0000"/>
        </w:rPr>
        <w:tab/>
        <w:t xml:space="preserve">This clause is made for the purposes of the definition of </w:t>
      </w:r>
      <w:r w:rsidRPr="00693A57">
        <w:rPr>
          <w:b/>
          <w:i/>
          <w:color w:val="FF0000"/>
        </w:rPr>
        <w:t xml:space="preserve">account privileges </w:t>
      </w:r>
      <w:r w:rsidRPr="00693A57">
        <w:rPr>
          <w:color w:val="FF0000"/>
        </w:rPr>
        <w:t>in subrule 1.7(1) of these rules.</w:t>
      </w:r>
    </w:p>
    <w:p w14:paraId="6DA1117E" w14:textId="5ADA7977" w:rsidR="001023EA" w:rsidRPr="00693A57" w:rsidRDefault="001023EA" w:rsidP="001023EA">
      <w:pPr>
        <w:pStyle w:val="subsection"/>
        <w:rPr>
          <w:color w:val="FF0000"/>
        </w:rPr>
      </w:pPr>
      <w:r w:rsidRPr="00693A57">
        <w:rPr>
          <w:color w:val="FF0000"/>
        </w:rPr>
        <w:tab/>
        <w:t>(2)</w:t>
      </w:r>
      <w:r w:rsidRPr="00693A57">
        <w:rPr>
          <w:color w:val="FF0000"/>
        </w:rPr>
        <w:tab/>
        <w:t>For the energy sector, a person has account privileges in relation to an account with a retailer if they are able to make changes to the account (and not merely make enquiries or view information).</w:t>
      </w:r>
    </w:p>
    <w:p w14:paraId="5499A694" w14:textId="5400EDF3" w:rsidR="00306F9F" w:rsidRPr="00693A57" w:rsidRDefault="00306F9F" w:rsidP="00306F9F">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772" w:name="_Toc77065140"/>
      <w:r w:rsidRPr="00693A57">
        <w:rPr>
          <w:color w:val="FF0000"/>
        </w:rPr>
        <w:fldChar w:fldCharType="end">
          <w:numberingChange w:id="773" w:author="Author" w:original="2.3"/>
        </w:fldChar>
      </w:r>
      <w:r w:rsidRPr="00693A57">
        <w:rPr>
          <w:color w:val="FF0000"/>
        </w:rPr>
        <w:t xml:space="preserve">  Data holder dashboards—</w:t>
      </w:r>
      <w:r w:rsidR="00FC734A" w:rsidRPr="00693A57">
        <w:rPr>
          <w:color w:val="FF0000"/>
        </w:rPr>
        <w:t>application of rule 1.15</w:t>
      </w:r>
      <w:bookmarkEnd w:id="772"/>
    </w:p>
    <w:p w14:paraId="6A2CE4B1" w14:textId="6395D6B1" w:rsidR="00A15B5F" w:rsidRPr="00693A57" w:rsidRDefault="00A15B5F" w:rsidP="00294510">
      <w:pPr>
        <w:pStyle w:val="subsection"/>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6 \* MERGEFORMAT </w:instrText>
      </w:r>
      <w:r w:rsidRPr="00693A57">
        <w:rPr>
          <w:rFonts w:eastAsia="Calibri"/>
          <w:color w:val="FF0000"/>
        </w:rPr>
        <w:fldChar w:fldCharType="end">
          <w:numberingChange w:id="774" w:author="Author" w:original="(1)"/>
        </w:fldChar>
      </w:r>
      <w:r w:rsidRPr="00693A57">
        <w:rPr>
          <w:rFonts w:eastAsia="Calibri"/>
          <w:color w:val="FF0000"/>
        </w:rPr>
        <w:tab/>
        <w:t>For subrule 1.15(1), if a retailer receives a consumer data request from an accredited person on behalf of a CDR consumer who has online access to the relevant account, the retailer must provide the CDR consumer with the consumer dashboard.</w:t>
      </w:r>
    </w:p>
    <w:p w14:paraId="296ACA92" w14:textId="582BA0A2" w:rsidR="00A15B5F" w:rsidRPr="00693A57" w:rsidRDefault="00A15B5F" w:rsidP="00A15B5F">
      <w:pPr>
        <w:pStyle w:val="subsection"/>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6 \* MERGEFORMAT </w:instrText>
      </w:r>
      <w:r w:rsidRPr="00693A57">
        <w:rPr>
          <w:rFonts w:eastAsia="Calibri"/>
          <w:color w:val="FF0000"/>
        </w:rPr>
        <w:fldChar w:fldCharType="end">
          <w:numberingChange w:id="775" w:author="Author" w:original="(2)"/>
        </w:fldChar>
      </w:r>
      <w:r w:rsidRPr="00693A57">
        <w:rPr>
          <w:rFonts w:eastAsia="Calibri"/>
          <w:color w:val="FF0000"/>
        </w:rPr>
        <w:tab/>
      </w:r>
      <w:r w:rsidR="00294510" w:rsidRPr="00693A57">
        <w:rPr>
          <w:rFonts w:eastAsia="Calibri"/>
          <w:color w:val="FF0000"/>
        </w:rPr>
        <w:t xml:space="preserve">For subrule 1.15(1), if </w:t>
      </w:r>
      <w:r w:rsidRPr="00693A57">
        <w:rPr>
          <w:rFonts w:eastAsia="Calibri"/>
          <w:color w:val="FF0000"/>
        </w:rPr>
        <w:t>a retailer receives a consumer data request from an accredited person on behalf of a CDR consumer who:</w:t>
      </w:r>
    </w:p>
    <w:p w14:paraId="0CF2CDFE" w14:textId="13033A1E" w:rsidR="00A15B5F" w:rsidRPr="00693A57" w:rsidRDefault="00A15B5F" w:rsidP="00A15B5F">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776" w:author="Author" w:original="(a)"/>
        </w:fldChar>
      </w:r>
      <w:r w:rsidRPr="00693A57">
        <w:rPr>
          <w:rFonts w:eastAsia="Calibri"/>
          <w:color w:val="FF0000"/>
        </w:rPr>
        <w:tab/>
        <w:t xml:space="preserve">is an account holder </w:t>
      </w:r>
      <w:r w:rsidR="003B3320" w:rsidRPr="00693A57">
        <w:rPr>
          <w:rFonts w:eastAsia="Calibri"/>
          <w:color w:val="FF0000"/>
        </w:rPr>
        <w:t xml:space="preserve">or secondary user </w:t>
      </w:r>
      <w:r w:rsidRPr="00693A57">
        <w:rPr>
          <w:rFonts w:eastAsia="Calibri"/>
          <w:color w:val="FF0000"/>
        </w:rPr>
        <w:t>for the relevant account; and</w:t>
      </w:r>
    </w:p>
    <w:p w14:paraId="490D962A" w14:textId="77777777" w:rsidR="00A15B5F" w:rsidRPr="00693A57" w:rsidRDefault="00A15B5F" w:rsidP="00A15B5F">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777" w:author="Author" w:original="(b)"/>
        </w:fldChar>
      </w:r>
      <w:r w:rsidRPr="00693A57">
        <w:rPr>
          <w:rFonts w:eastAsia="Calibri"/>
          <w:color w:val="FF0000"/>
        </w:rPr>
        <w:tab/>
        <w:t>does not have online access to the account:</w:t>
      </w:r>
    </w:p>
    <w:p w14:paraId="40C2B9F4" w14:textId="77777777" w:rsidR="00A15B5F" w:rsidRPr="00693A57" w:rsidRDefault="00A15B5F" w:rsidP="00A15B5F">
      <w:pPr>
        <w:pStyle w:val="subsection20"/>
        <w:rPr>
          <w:rFonts w:eastAsia="Calibri"/>
          <w:color w:val="FF0000"/>
        </w:rPr>
      </w:pPr>
      <w:r w:rsidRPr="00693A57">
        <w:rPr>
          <w:rFonts w:eastAsia="Calibri"/>
          <w:color w:val="FF0000"/>
        </w:rPr>
        <w:tab/>
      </w:r>
      <w:r w:rsidRPr="00693A57">
        <w:rPr>
          <w:rFonts w:eastAsia="Calibri"/>
          <w:color w:val="FF0000"/>
        </w:rPr>
        <w:tab/>
        <w:t>the retailer must:</w:t>
      </w:r>
    </w:p>
    <w:p w14:paraId="44E81002" w14:textId="77777777" w:rsidR="00A15B5F" w:rsidRPr="00693A57" w:rsidRDefault="00A15B5F" w:rsidP="00A15B5F">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778" w:author="Author" w:original="(c)"/>
        </w:fldChar>
      </w:r>
      <w:r w:rsidRPr="00693A57">
        <w:rPr>
          <w:rFonts w:eastAsia="Calibri"/>
          <w:color w:val="FF0000"/>
        </w:rPr>
        <w:tab/>
        <w:t>offer the CDR consumer online access to the account, and a consumer dashboard; and</w:t>
      </w:r>
    </w:p>
    <w:p w14:paraId="7FEDA78A" w14:textId="3CFBDAB2" w:rsidR="00A15B5F" w:rsidRPr="00693A57" w:rsidRDefault="00A15B5F" w:rsidP="00A15B5F">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779" w:author="Author" w:original="(d)"/>
        </w:fldChar>
      </w:r>
      <w:r w:rsidRPr="00693A57">
        <w:rPr>
          <w:rFonts w:eastAsia="Calibri"/>
          <w:color w:val="FF0000"/>
        </w:rPr>
        <w:tab/>
        <w:t>if the CDR consumer accepts, provide the online access to the account and the consumer dashboard.</w:t>
      </w:r>
    </w:p>
    <w:p w14:paraId="2F9C9EBE" w14:textId="5FF81181" w:rsidR="00F57283" w:rsidRPr="00693A57" w:rsidRDefault="00F57283" w:rsidP="00F57283">
      <w:pPr>
        <w:pStyle w:val="ActHead2"/>
        <w:rPr>
          <w:color w:val="FF0000"/>
        </w:rPr>
      </w:pPr>
      <w:r w:rsidRPr="00693A57">
        <w:rPr>
          <w:color w:val="FF0000"/>
        </w:rPr>
        <w:lastRenderedPageBreak/>
        <w:fldChar w:fldCharType="begin"/>
      </w:r>
      <w:r w:rsidRPr="00693A57">
        <w:rPr>
          <w:color w:val="FF0000"/>
        </w:rPr>
        <w:instrText xml:space="preserve">  LISTNUM "main numbering" \l 2 \* MERGEFORMAT </w:instrText>
      </w:r>
      <w:bookmarkStart w:id="780" w:name="_Toc77065141"/>
      <w:r w:rsidRPr="00693A57">
        <w:rPr>
          <w:color w:val="FF0000"/>
        </w:rPr>
        <w:fldChar w:fldCharType="end">
          <w:numberingChange w:id="781" w:author="Author" w:original="Part 3"/>
        </w:fldChar>
      </w:r>
      <w:r w:rsidRPr="00693A57">
        <w:rPr>
          <w:color w:val="FF0000"/>
        </w:rPr>
        <w:t>—CDR data that may be accessed under these rules—energy sector</w:t>
      </w:r>
      <w:bookmarkEnd w:id="780"/>
    </w:p>
    <w:p w14:paraId="2682AC6D" w14:textId="545D491D" w:rsidR="00F57283" w:rsidRPr="00693A57" w:rsidRDefault="00F57283" w:rsidP="00F57283">
      <w:pPr>
        <w:pStyle w:val="ActHead5"/>
        <w:rPr>
          <w:color w:val="FF0000"/>
        </w:rPr>
      </w:pPr>
      <w:r w:rsidRPr="00693A57">
        <w:rPr>
          <w:color w:val="FF0000"/>
        </w:rPr>
        <w:fldChar w:fldCharType="begin"/>
      </w:r>
      <w:bookmarkStart w:id="782" w:name="_Ref62410663"/>
      <w:bookmarkEnd w:id="782"/>
      <w:r w:rsidRPr="00693A57">
        <w:rPr>
          <w:color w:val="FF0000"/>
        </w:rPr>
        <w:instrText xml:space="preserve">  LISTNUM "main numbering" \l 5 \* MERGEFORMAT </w:instrText>
      </w:r>
      <w:bookmarkStart w:id="783" w:name="_Toc77065142"/>
      <w:r w:rsidRPr="00693A57">
        <w:rPr>
          <w:color w:val="FF0000"/>
        </w:rPr>
        <w:fldChar w:fldCharType="end">
          <w:numberingChange w:id="784" w:author="Author" w:original="3.1"/>
        </w:fldChar>
      </w:r>
      <w:r w:rsidRPr="00693A57">
        <w:rPr>
          <w:color w:val="FF0000"/>
        </w:rPr>
        <w:t xml:space="preserve">  Meaning of </w:t>
      </w:r>
      <w:r w:rsidRPr="00693A57">
        <w:rPr>
          <w:i/>
          <w:color w:val="FF0000"/>
        </w:rPr>
        <w:t>required product data</w:t>
      </w:r>
      <w:r w:rsidRPr="00693A57">
        <w:rPr>
          <w:color w:val="FF0000"/>
        </w:rPr>
        <w:t xml:space="preserve"> and </w:t>
      </w:r>
      <w:r w:rsidRPr="00693A57">
        <w:rPr>
          <w:i/>
          <w:color w:val="FF0000"/>
        </w:rPr>
        <w:t>voluntary product data</w:t>
      </w:r>
      <w:r w:rsidRPr="00693A57">
        <w:rPr>
          <w:color w:val="FF0000"/>
        </w:rPr>
        <w:t>—energy sector</w:t>
      </w:r>
      <w:bookmarkEnd w:id="783"/>
    </w:p>
    <w:p w14:paraId="7E1D9D6C"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785" w:author="Author" w:original="(1)"/>
        </w:fldChar>
      </w:r>
      <w:r w:rsidRPr="00693A57">
        <w:rPr>
          <w:color w:val="FF0000"/>
        </w:rPr>
        <w:tab/>
        <w:t xml:space="preserve">For these rules, </w:t>
      </w:r>
      <w:r w:rsidRPr="00693A57">
        <w:rPr>
          <w:b/>
          <w:i/>
          <w:iCs/>
          <w:color w:val="FF0000"/>
        </w:rPr>
        <w:t>required product data</w:t>
      </w:r>
      <w:r w:rsidRPr="00693A57">
        <w:rPr>
          <w:color w:val="FF0000"/>
        </w:rPr>
        <w:t>, in relation to the energy sector, means CDR data for which there are no CDR consumers that:</w:t>
      </w:r>
    </w:p>
    <w:p w14:paraId="512D318B"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86" w:author="Author" w:original="(a)"/>
        </w:fldChar>
      </w:r>
      <w:r w:rsidRPr="00693A57">
        <w:rPr>
          <w:color w:val="FF0000"/>
        </w:rPr>
        <w:tab/>
        <w:t>is within a class of information specified in section 9 or section 10 of the energy sector designation instrument; and</w:t>
      </w:r>
    </w:p>
    <w:p w14:paraId="4DD27E55"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87" w:author="Author" w:original="(b)"/>
        </w:fldChar>
      </w:r>
      <w:r w:rsidRPr="00693A57">
        <w:rPr>
          <w:color w:val="FF0000"/>
        </w:rPr>
        <w:tab/>
        <w:t>is about the eligibility criteria, terms and conditions, price, availability or performance of a plan; and</w:t>
      </w:r>
    </w:p>
    <w:p w14:paraId="1F455EBE"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88" w:author="Author" w:original="(c)"/>
        </w:fldChar>
      </w:r>
      <w:r w:rsidRPr="00693A57">
        <w:rPr>
          <w:color w:val="FF0000"/>
        </w:rPr>
        <w:tab/>
        <w:t>is product specific data in relation to a plan; and</w:t>
      </w:r>
    </w:p>
    <w:p w14:paraId="43506D06" w14:textId="77777777" w:rsidR="00F57283" w:rsidRPr="00693A57" w:rsidRDefault="00F57283" w:rsidP="00F57283">
      <w:pPr>
        <w:pStyle w:val="paragraph"/>
        <w:rPr>
          <w:color w:val="FF0000"/>
        </w:rPr>
      </w:pPr>
      <w:r w:rsidRPr="00693A57">
        <w:rPr>
          <w:color w:val="FF0000"/>
        </w:rPr>
        <w:tab/>
        <w:t xml:space="preserve">  </w:t>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89" w:author="Author" w:original="(d)"/>
        </w:fldChar>
      </w:r>
      <w:r w:rsidRPr="00693A57">
        <w:rPr>
          <w:color w:val="FF0000"/>
        </w:rPr>
        <w:tab/>
        <w:t>is held by the AER or the Victorian agency for the purpose of operating websites that provide such information to the public.</w:t>
      </w:r>
    </w:p>
    <w:p w14:paraId="7F735C63" w14:textId="77777777" w:rsidR="00F57283" w:rsidRPr="00693A57" w:rsidRDefault="00F57283" w:rsidP="00F57283">
      <w:pPr>
        <w:pStyle w:val="notetext"/>
        <w:rPr>
          <w:color w:val="FF0000"/>
        </w:rPr>
      </w:pPr>
      <w:r w:rsidRPr="00693A57">
        <w:rPr>
          <w:color w:val="FF0000"/>
        </w:rPr>
        <w:t>Note 1:</w:t>
      </w:r>
      <w:r w:rsidRPr="00693A57">
        <w:rPr>
          <w:color w:val="FF0000"/>
        </w:rPr>
        <w:tab/>
        <w:t>In 2021, the relevant websites were:</w:t>
      </w:r>
    </w:p>
    <w:p w14:paraId="07AC40AC" w14:textId="77777777" w:rsidR="00F57283" w:rsidRPr="00693A57" w:rsidRDefault="00337787" w:rsidP="007D5353">
      <w:pPr>
        <w:pStyle w:val="notepara"/>
        <w:numPr>
          <w:ilvl w:val="0"/>
          <w:numId w:val="9"/>
        </w:numPr>
        <w:rPr>
          <w:rFonts w:eastAsia="Calibri"/>
          <w:color w:val="FF0000"/>
        </w:rPr>
      </w:pPr>
      <w:hyperlink r:id="rId25" w:history="1">
        <w:r w:rsidR="00F57283" w:rsidRPr="00693A57">
          <w:rPr>
            <w:rFonts w:eastAsia="Calibri"/>
            <w:color w:val="FF0000"/>
          </w:rPr>
          <w:t>https://www.energymadeeasy.gov.au/</w:t>
        </w:r>
      </w:hyperlink>
      <w:r w:rsidR="00F57283" w:rsidRPr="00693A57">
        <w:rPr>
          <w:rFonts w:eastAsia="Calibri"/>
          <w:color w:val="FF0000"/>
        </w:rPr>
        <w:t xml:space="preserve">; and </w:t>
      </w:r>
    </w:p>
    <w:p w14:paraId="7639BFF4" w14:textId="77777777" w:rsidR="00F57283" w:rsidRPr="00693A57" w:rsidRDefault="00337787" w:rsidP="007D5353">
      <w:pPr>
        <w:pStyle w:val="notepara"/>
        <w:numPr>
          <w:ilvl w:val="0"/>
          <w:numId w:val="9"/>
        </w:numPr>
        <w:rPr>
          <w:color w:val="FF0000"/>
        </w:rPr>
      </w:pPr>
      <w:hyperlink r:id="rId26" w:history="1">
        <w:r w:rsidR="00F57283" w:rsidRPr="00693A57">
          <w:rPr>
            <w:rFonts w:eastAsia="Calibri"/>
            <w:color w:val="FF0000"/>
          </w:rPr>
          <w:t>https://compare.energy.vic.gov.au/</w:t>
        </w:r>
      </w:hyperlink>
    </w:p>
    <w:p w14:paraId="2085D9B2" w14:textId="77777777" w:rsidR="00F57283" w:rsidRPr="00693A57" w:rsidRDefault="00F57283" w:rsidP="00F57283">
      <w:pPr>
        <w:pStyle w:val="notetext"/>
        <w:rPr>
          <w:color w:val="FF0000"/>
        </w:rPr>
      </w:pPr>
      <w:r w:rsidRPr="00693A57">
        <w:rPr>
          <w:color w:val="FF0000"/>
        </w:rPr>
        <w:t>Note 2:</w:t>
      </w:r>
      <w:r w:rsidRPr="00693A57">
        <w:rPr>
          <w:color w:val="FF0000"/>
        </w:rPr>
        <w:tab/>
        <w:t xml:space="preserve">This data derives from retailers, who are required by the National Energy Retail Law and the </w:t>
      </w:r>
      <w:r w:rsidRPr="00693A57">
        <w:rPr>
          <w:i/>
          <w:iCs/>
          <w:color w:val="FF0000"/>
        </w:rPr>
        <w:t>Electricity Industry Act 2000 </w:t>
      </w:r>
      <w:r w:rsidRPr="00693A57">
        <w:rPr>
          <w:color w:val="FF0000"/>
        </w:rPr>
        <w:t>(Vic)  to provide it to the AER or the Victorian agency.  Those agencies therefore become data holders for it.</w:t>
      </w:r>
    </w:p>
    <w:p w14:paraId="49FD446D" w14:textId="77777777" w:rsidR="00F57283" w:rsidRPr="00693A57" w:rsidRDefault="00F57283" w:rsidP="00F57283">
      <w:pPr>
        <w:pStyle w:val="notetext"/>
        <w:rPr>
          <w:color w:val="FF0000"/>
        </w:rPr>
      </w:pPr>
      <w:r w:rsidRPr="00693A57">
        <w:rPr>
          <w:color w:val="FF0000"/>
        </w:rPr>
        <w:t>Note 3:</w:t>
      </w:r>
      <w:r w:rsidRPr="00693A57">
        <w:rPr>
          <w:color w:val="FF0000"/>
        </w:rPr>
        <w:tab/>
        <w:t>This clause does not include all CDR data covered by Section 9 of the energy sector designation instrument, as that section also covers CDR data for which there are CDR consumers (see paragraphs 9(2)(b) and 9(3)(b)).</w:t>
      </w:r>
    </w:p>
    <w:p w14:paraId="1436DD5F"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790" w:author="Author" w:original="(2)"/>
        </w:fldChar>
      </w:r>
      <w:r w:rsidRPr="00693A57">
        <w:rPr>
          <w:color w:val="FF0000"/>
        </w:rPr>
        <w:tab/>
        <w:t xml:space="preserve">For these rules, </w:t>
      </w:r>
      <w:r w:rsidRPr="00693A57">
        <w:rPr>
          <w:b/>
          <w:i/>
          <w:color w:val="FF0000"/>
        </w:rPr>
        <w:t>voluntary product data</w:t>
      </w:r>
      <w:r w:rsidRPr="00693A57">
        <w:rPr>
          <w:color w:val="FF0000"/>
        </w:rPr>
        <w:t>, in relation to a data holder in the energy  sector, means CDR data for which there are no CDR consumers that:</w:t>
      </w:r>
    </w:p>
    <w:p w14:paraId="17D73BD6"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91" w:author="Author" w:original="(a)"/>
        </w:fldChar>
      </w:r>
      <w:r w:rsidRPr="00693A57">
        <w:rPr>
          <w:color w:val="FF0000"/>
        </w:rPr>
        <w:tab/>
        <w:t>is energy sector data; and</w:t>
      </w:r>
    </w:p>
    <w:p w14:paraId="371F4EAB"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92" w:author="Author" w:original="(b)"/>
        </w:fldChar>
      </w:r>
      <w:r w:rsidRPr="00693A57">
        <w:rPr>
          <w:color w:val="FF0000"/>
        </w:rPr>
        <w:tab/>
        <w:t>is product specific data in relation to a plan offered by or on behalf of the data holder; and</w:t>
      </w:r>
    </w:p>
    <w:p w14:paraId="4719CC5D"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93" w:author="Author" w:original="(c)"/>
        </w:fldChar>
      </w:r>
      <w:r w:rsidRPr="00693A57">
        <w:rPr>
          <w:color w:val="FF0000"/>
        </w:rPr>
        <w:tab/>
        <w:t>is not required product data.</w:t>
      </w:r>
    </w:p>
    <w:p w14:paraId="43C1E83F" w14:textId="2CCA80EA" w:rsidR="00F57283" w:rsidRPr="00693A57" w:rsidRDefault="00F57283" w:rsidP="00F57283">
      <w:pPr>
        <w:pStyle w:val="ActHead5"/>
        <w:rPr>
          <w:color w:val="FF0000"/>
        </w:rPr>
      </w:pPr>
      <w:r w:rsidRPr="00693A57">
        <w:rPr>
          <w:color w:val="FF0000"/>
        </w:rPr>
        <w:fldChar w:fldCharType="begin"/>
      </w:r>
      <w:bookmarkStart w:id="794" w:name="_Ref62567373"/>
      <w:bookmarkEnd w:id="794"/>
      <w:r w:rsidRPr="00693A57">
        <w:rPr>
          <w:color w:val="FF0000"/>
        </w:rPr>
        <w:instrText xml:space="preserve">  LISTNUM "main numbering" \l 5 \* MERGEFORMAT </w:instrText>
      </w:r>
      <w:bookmarkStart w:id="795" w:name="_Toc77065143"/>
      <w:r w:rsidRPr="00693A57">
        <w:rPr>
          <w:color w:val="FF0000"/>
        </w:rPr>
        <w:fldChar w:fldCharType="end">
          <w:numberingChange w:id="796" w:author="Author" w:original="3.2"/>
        </w:fldChar>
      </w:r>
      <w:r w:rsidRPr="00693A57">
        <w:rPr>
          <w:color w:val="FF0000"/>
        </w:rPr>
        <w:t xml:space="preserve">  Meaning of </w:t>
      </w:r>
      <w:r w:rsidRPr="00693A57">
        <w:rPr>
          <w:i/>
          <w:color w:val="FF0000"/>
        </w:rPr>
        <w:t>required consumer data</w:t>
      </w:r>
      <w:r w:rsidRPr="00693A57">
        <w:rPr>
          <w:color w:val="FF0000"/>
        </w:rPr>
        <w:t xml:space="preserve"> and </w:t>
      </w:r>
      <w:r w:rsidRPr="00693A57">
        <w:rPr>
          <w:i/>
          <w:color w:val="FF0000"/>
        </w:rPr>
        <w:t>voluntary consumer data</w:t>
      </w:r>
      <w:r w:rsidRPr="00693A57">
        <w:rPr>
          <w:color w:val="FF0000"/>
        </w:rPr>
        <w:t>—energy sector</w:t>
      </w:r>
      <w:bookmarkEnd w:id="795"/>
    </w:p>
    <w:p w14:paraId="00F79846"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bookmarkStart w:id="797" w:name="_Ref62725081"/>
      <w:bookmarkEnd w:id="797"/>
      <w:r w:rsidRPr="00693A57">
        <w:rPr>
          <w:color w:val="FF0000"/>
        </w:rPr>
        <w:instrText xml:space="preserve">  LISTNUM "main numbering" \l 6 \* MERGEFORMAT </w:instrText>
      </w:r>
      <w:r w:rsidRPr="00693A57">
        <w:rPr>
          <w:color w:val="FF0000"/>
        </w:rPr>
        <w:fldChar w:fldCharType="end">
          <w:numberingChange w:id="798" w:author="Author" w:original="(1)"/>
        </w:fldChar>
      </w:r>
      <w:r w:rsidRPr="00693A57">
        <w:rPr>
          <w:color w:val="FF0000"/>
        </w:rPr>
        <w:tab/>
        <w:t xml:space="preserve">For these rules, subject to this clause, </w:t>
      </w:r>
      <w:r w:rsidRPr="00693A57">
        <w:rPr>
          <w:b/>
          <w:i/>
          <w:iCs/>
          <w:color w:val="FF0000"/>
        </w:rPr>
        <w:t>required consumer dat</w:t>
      </w:r>
      <w:r w:rsidRPr="00693A57">
        <w:rPr>
          <w:b/>
          <w:color w:val="FF0000"/>
        </w:rPr>
        <w:t>a</w:t>
      </w:r>
      <w:r w:rsidRPr="00693A57">
        <w:rPr>
          <w:color w:val="FF0000"/>
        </w:rPr>
        <w:t>,</w:t>
      </w:r>
      <w:r w:rsidRPr="00693A57">
        <w:rPr>
          <w:b/>
          <w:color w:val="FF0000"/>
        </w:rPr>
        <w:t xml:space="preserve"> </w:t>
      </w:r>
      <w:r w:rsidRPr="00693A57">
        <w:rPr>
          <w:color w:val="FF0000"/>
        </w:rPr>
        <w:t>in relation to the energy sector, means CDR data for which there are one or more CDR consumers that:</w:t>
      </w:r>
    </w:p>
    <w:p w14:paraId="359971AC"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799" w:author="Author" w:original="(a)"/>
        </w:fldChar>
      </w:r>
      <w:r w:rsidRPr="00693A57">
        <w:rPr>
          <w:color w:val="FF0000"/>
        </w:rPr>
        <w:tab/>
        <w:t>is energy sector data; and</w:t>
      </w:r>
    </w:p>
    <w:p w14:paraId="5AAAAED2"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00" w:author="Author" w:original="(b)"/>
        </w:fldChar>
      </w:r>
      <w:r w:rsidRPr="00693A57">
        <w:rPr>
          <w:color w:val="FF0000"/>
        </w:rPr>
        <w:tab/>
        <w:t>is:</w:t>
      </w:r>
    </w:p>
    <w:p w14:paraId="6101A3B3"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01" w:author="Author" w:original="(i)"/>
        </w:fldChar>
      </w:r>
      <w:r w:rsidRPr="00693A57">
        <w:rPr>
          <w:color w:val="FF0000"/>
        </w:rPr>
        <w:tab/>
        <w:t>customer data in relation to a CDR consumer; or</w:t>
      </w:r>
    </w:p>
    <w:p w14:paraId="16F1FC12" w14:textId="07AC44D0" w:rsidR="00F57283" w:rsidRPr="00693A57" w:rsidRDefault="00F57283" w:rsidP="00F57283">
      <w:pPr>
        <w:pStyle w:val="paragraphsub"/>
        <w:rPr>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8 \* MERGEFORMAT </w:instrText>
      </w:r>
      <w:r w:rsidRPr="00693A57">
        <w:rPr>
          <w:rFonts w:eastAsia="Calibri"/>
          <w:color w:val="FF0000"/>
        </w:rPr>
        <w:fldChar w:fldCharType="end">
          <w:numberingChange w:id="802" w:author="Author" w:original="(ii)"/>
        </w:fldChar>
      </w:r>
      <w:r w:rsidRPr="00693A57">
        <w:rPr>
          <w:rFonts w:eastAsia="Calibri"/>
          <w:color w:val="FF0000"/>
        </w:rPr>
        <w:tab/>
        <w:t xml:space="preserve">billing data or account data in relation to an account held by a CDR consumer </w:t>
      </w:r>
      <w:r w:rsidRPr="00693A57">
        <w:rPr>
          <w:color w:val="FF0000"/>
        </w:rPr>
        <w:t>of any of the following types (subject to subclauses (4) and (5), whether or not the account is open):</w:t>
      </w:r>
    </w:p>
    <w:p w14:paraId="5C60038C" w14:textId="77777777" w:rsidR="00F57283" w:rsidRPr="00693A57" w:rsidRDefault="00F57283" w:rsidP="00F57283">
      <w:pPr>
        <w:pStyle w:val="paragraphsub-sub"/>
        <w:rPr>
          <w:color w:val="FF0000"/>
        </w:rPr>
      </w:pPr>
      <w:r w:rsidRPr="00693A57">
        <w:rPr>
          <w:color w:val="FF0000"/>
        </w:rPr>
        <w:tab/>
        <w:t>(A)</w:t>
      </w:r>
      <w:r w:rsidRPr="00693A57">
        <w:rPr>
          <w:color w:val="FF0000"/>
        </w:rPr>
        <w:tab/>
        <w:t>an account held by a CDR consumer in their name alone;</w:t>
      </w:r>
    </w:p>
    <w:p w14:paraId="6A74F6DC" w14:textId="77777777" w:rsidR="00F57283" w:rsidRPr="00693A57" w:rsidRDefault="00F57283" w:rsidP="00F57283">
      <w:pPr>
        <w:pStyle w:val="paragraphsub-sub"/>
        <w:rPr>
          <w:color w:val="FF0000"/>
        </w:rPr>
      </w:pPr>
      <w:r w:rsidRPr="00693A57">
        <w:rPr>
          <w:color w:val="FF0000"/>
        </w:rPr>
        <w:tab/>
        <w:t>(B)</w:t>
      </w:r>
      <w:r w:rsidRPr="00693A57">
        <w:rPr>
          <w:color w:val="FF0000"/>
        </w:rPr>
        <w:tab/>
        <w:t>a joint account;</w:t>
      </w:r>
    </w:p>
    <w:p w14:paraId="242F506F" w14:textId="77777777" w:rsidR="00F57283" w:rsidRPr="00693A57" w:rsidRDefault="00F57283" w:rsidP="00F57283">
      <w:pPr>
        <w:pStyle w:val="paragraphsub-sub"/>
        <w:rPr>
          <w:color w:val="FF0000"/>
        </w:rPr>
      </w:pPr>
      <w:r w:rsidRPr="00693A57">
        <w:rPr>
          <w:color w:val="FF0000"/>
        </w:rPr>
        <w:lastRenderedPageBreak/>
        <w:tab/>
        <w:t>(C)</w:t>
      </w:r>
      <w:r w:rsidRPr="00693A57">
        <w:rPr>
          <w:color w:val="FF0000"/>
        </w:rPr>
        <w:tab/>
        <w:t>a partnership account; or</w:t>
      </w:r>
      <w:r w:rsidRPr="00693A57">
        <w:rPr>
          <w:color w:val="FF0000"/>
        </w:rPr>
        <w:tab/>
      </w:r>
    </w:p>
    <w:p w14:paraId="462D6520" w14:textId="3418731C" w:rsidR="00F57283" w:rsidRPr="00693A57" w:rsidRDefault="00F57283" w:rsidP="00F57283">
      <w:pPr>
        <w:pStyle w:val="paragraphsub"/>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8 \* MERGEFORMAT </w:instrText>
      </w:r>
      <w:r w:rsidRPr="00693A57">
        <w:rPr>
          <w:rFonts w:eastAsia="Calibri"/>
          <w:color w:val="FF0000"/>
        </w:rPr>
        <w:fldChar w:fldCharType="end">
          <w:numberingChange w:id="803" w:author="Author" w:original="(iii)"/>
        </w:fldChar>
      </w:r>
      <w:r w:rsidRPr="00693A57">
        <w:rPr>
          <w:rFonts w:eastAsia="Calibri"/>
          <w:color w:val="FF0000"/>
        </w:rPr>
        <w:tab/>
        <w:t>AEMO data in relation to any such account; or</w:t>
      </w:r>
    </w:p>
    <w:p w14:paraId="568D5C4F" w14:textId="77777777" w:rsidR="00F57283" w:rsidRPr="00693A57" w:rsidRDefault="00F57283" w:rsidP="00F57283">
      <w:pPr>
        <w:pStyle w:val="paragraphsub"/>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8 \* MERGEFORMAT </w:instrText>
      </w:r>
      <w:r w:rsidRPr="00693A57">
        <w:rPr>
          <w:rFonts w:eastAsia="Calibri"/>
          <w:color w:val="FF0000"/>
        </w:rPr>
        <w:fldChar w:fldCharType="end">
          <w:numberingChange w:id="804" w:author="Author" w:original="(iv)"/>
        </w:fldChar>
      </w:r>
      <w:r w:rsidRPr="00693A57">
        <w:rPr>
          <w:rFonts w:eastAsia="Calibri"/>
          <w:color w:val="FF0000"/>
        </w:rPr>
        <w:tab/>
        <w:t>tailored tariff data in relation to any such account; and</w:t>
      </w:r>
    </w:p>
    <w:p w14:paraId="4BB431ED" w14:textId="23770895" w:rsidR="00A80137" w:rsidRPr="00693A57" w:rsidRDefault="00A80137" w:rsidP="00A80137">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805" w:author="Author" w:original="(c)"/>
        </w:fldChar>
      </w:r>
      <w:r w:rsidRPr="00693A57">
        <w:rPr>
          <w:rFonts w:eastAsia="Calibri"/>
          <w:color w:val="FF0000"/>
        </w:rPr>
        <w:tab/>
        <w:t>relates to a time at which</w:t>
      </w:r>
      <w:r w:rsidR="00CE1E8B" w:rsidRPr="00693A57">
        <w:rPr>
          <w:rFonts w:eastAsia="Calibri"/>
          <w:color w:val="FF0000"/>
        </w:rPr>
        <w:t xml:space="preserve"> an account holder for the account</w:t>
      </w:r>
      <w:r w:rsidRPr="00693A57">
        <w:rPr>
          <w:rFonts w:eastAsia="Calibri"/>
          <w:color w:val="FF0000"/>
        </w:rPr>
        <w:t xml:space="preserve"> was </w:t>
      </w:r>
      <w:r w:rsidR="00D73A26" w:rsidRPr="00693A57">
        <w:rPr>
          <w:rFonts w:eastAsia="Calibri"/>
          <w:color w:val="FF0000"/>
        </w:rPr>
        <w:t xml:space="preserve">associated with the </w:t>
      </w:r>
      <w:r w:rsidRPr="00693A57">
        <w:rPr>
          <w:rFonts w:eastAsia="Calibri"/>
          <w:color w:val="FF0000"/>
        </w:rPr>
        <w:t>premis</w:t>
      </w:r>
      <w:r w:rsidR="00CB7752" w:rsidRPr="00693A57">
        <w:rPr>
          <w:rFonts w:eastAsia="Calibri"/>
          <w:color w:val="FF0000"/>
        </w:rPr>
        <w:t>es to which the request relates; and</w:t>
      </w:r>
    </w:p>
    <w:p w14:paraId="081B1AD2"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06" w:author="Author" w:original="(d)"/>
        </w:fldChar>
      </w:r>
      <w:r w:rsidRPr="00693A57">
        <w:rPr>
          <w:color w:val="FF0000"/>
        </w:rPr>
        <w:tab/>
        <w:t>is held by the data holder or holders in a digital form.</w:t>
      </w:r>
    </w:p>
    <w:p w14:paraId="12E08EC8" w14:textId="77777777" w:rsidR="00F57283" w:rsidRPr="00693A57" w:rsidRDefault="00F57283" w:rsidP="00F57283">
      <w:pPr>
        <w:pStyle w:val="notetext"/>
        <w:rPr>
          <w:color w:val="FF0000"/>
        </w:rPr>
      </w:pPr>
      <w:r w:rsidRPr="00693A57">
        <w:rPr>
          <w:color w:val="FF0000"/>
        </w:rPr>
        <w:t>Note 1:</w:t>
      </w:r>
      <w:r w:rsidRPr="00693A57">
        <w:rPr>
          <w:color w:val="FF0000"/>
        </w:rPr>
        <w:tab/>
        <w:t>For sub</w:t>
      </w:r>
      <w:r w:rsidRPr="00693A57">
        <w:rPr>
          <w:color w:val="FF0000"/>
        </w:rPr>
        <w:noBreakHyphen/>
        <w:t>subparagraph (b)(ii)(B), consumer data requests cannot be made under these rules in relation to any other kinds of joint accounts.</w:t>
      </w:r>
    </w:p>
    <w:p w14:paraId="4BD253BD" w14:textId="77777777" w:rsidR="00F57283" w:rsidRPr="00693A57" w:rsidRDefault="00F57283" w:rsidP="00F57283">
      <w:pPr>
        <w:pStyle w:val="notetext"/>
        <w:rPr>
          <w:color w:val="FF0000"/>
        </w:rPr>
      </w:pPr>
      <w:r w:rsidRPr="00693A57">
        <w:rPr>
          <w:color w:val="FF0000"/>
        </w:rPr>
        <w:t>Note 2:</w:t>
      </w:r>
      <w:r w:rsidRPr="00693A57">
        <w:rPr>
          <w:color w:val="FF0000"/>
        </w:rPr>
        <w:tab/>
        <w:t>For subparagraph (b)(iv), for a consumer data request, tailored tariff data could include the following:</w:t>
      </w:r>
    </w:p>
    <w:p w14:paraId="5EE365A1" w14:textId="77777777" w:rsidR="00F57283" w:rsidRPr="00693A57" w:rsidRDefault="00F57283" w:rsidP="00F57283">
      <w:pPr>
        <w:pStyle w:val="notepara"/>
        <w:rPr>
          <w:color w:val="FF0000"/>
        </w:rPr>
      </w:pPr>
      <w:r w:rsidRPr="00693A57">
        <w:rPr>
          <w:color w:val="FF0000"/>
        </w:rPr>
        <w:sym w:font="Symbol" w:char="F0B7"/>
      </w:r>
      <w:r w:rsidRPr="00693A57">
        <w:rPr>
          <w:color w:val="FF0000"/>
        </w:rPr>
        <w:tab/>
        <w:t>any rates or charges under the plan that were negotiated individually with a CDR consumer;</w:t>
      </w:r>
    </w:p>
    <w:p w14:paraId="54BEC7E0" w14:textId="77777777" w:rsidR="00F57283" w:rsidRPr="00693A57" w:rsidRDefault="00F57283" w:rsidP="00F57283">
      <w:pPr>
        <w:pStyle w:val="notepara"/>
        <w:rPr>
          <w:color w:val="FF0000"/>
        </w:rPr>
      </w:pPr>
      <w:r w:rsidRPr="00693A57">
        <w:rPr>
          <w:color w:val="FF0000"/>
        </w:rPr>
        <w:sym w:font="Symbol" w:char="F0B7"/>
      </w:r>
      <w:r w:rsidRPr="00693A57">
        <w:rPr>
          <w:color w:val="FF0000"/>
        </w:rPr>
        <w:tab/>
        <w:t>any features and benefits negotiated individually with a CDR consumer.</w:t>
      </w:r>
    </w:p>
    <w:p w14:paraId="3606B5EA" w14:textId="2890F00E" w:rsidR="00F57283" w:rsidRPr="00693A57" w:rsidRDefault="00F57283" w:rsidP="00F57283">
      <w:pPr>
        <w:pStyle w:val="notetext"/>
        <w:rPr>
          <w:color w:val="FF0000"/>
        </w:rPr>
      </w:pPr>
      <w:r w:rsidRPr="00693A57">
        <w:rPr>
          <w:color w:val="FF0000"/>
        </w:rPr>
        <w:t>Note 3:</w:t>
      </w:r>
      <w:r w:rsidRPr="00693A57">
        <w:rPr>
          <w:color w:val="FF0000"/>
        </w:rPr>
        <w:tab/>
        <w:t>So long as the CDR consumer is eligible to make a consumer data request in relation to a particular data holder, they will be able to make or cause to be made a consumer data request that relates to any account they have with the data holder, including closed accounts (subject to subclauses (4) and (5)).</w:t>
      </w:r>
    </w:p>
    <w:p w14:paraId="3A7DAE2C" w14:textId="77777777" w:rsidR="00F57283" w:rsidRPr="00693A57" w:rsidRDefault="00F57283" w:rsidP="00F57283">
      <w:pPr>
        <w:pStyle w:val="notetext"/>
        <w:rPr>
          <w:color w:val="FF0000"/>
        </w:rPr>
      </w:pPr>
      <w:r w:rsidRPr="00693A57">
        <w:rPr>
          <w:color w:val="FF0000"/>
        </w:rPr>
        <w:t>Note 4:</w:t>
      </w:r>
      <w:r w:rsidRPr="00693A57">
        <w:rPr>
          <w:color w:val="FF0000"/>
        </w:rPr>
        <w:tab/>
        <w:t>A person is not a data holder of CDR data that was held by or on behalf of them before the earliest holding day (see paragraph 56AJ(1)(b) of the Act). Accordingly, such data cannot be requested under these rules.</w:t>
      </w:r>
    </w:p>
    <w:p w14:paraId="4C236856" w14:textId="3B568664" w:rsidR="00F156D3" w:rsidRPr="00693A57" w:rsidRDefault="00F156D3" w:rsidP="00F156D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07" w:author="Author" w:original="(2)"/>
        </w:fldChar>
      </w:r>
      <w:r w:rsidRPr="00693A57">
        <w:rPr>
          <w:color w:val="FF0000"/>
        </w:rPr>
        <w:tab/>
        <w:t xml:space="preserve">For these rules, subject to this clause, </w:t>
      </w:r>
      <w:r w:rsidR="001C6090" w:rsidRPr="00693A57">
        <w:rPr>
          <w:b/>
          <w:i/>
          <w:iCs/>
          <w:color w:val="FF0000"/>
        </w:rPr>
        <w:t xml:space="preserve">voluntary </w:t>
      </w:r>
      <w:r w:rsidRPr="00693A57">
        <w:rPr>
          <w:b/>
          <w:i/>
          <w:iCs/>
          <w:color w:val="FF0000"/>
        </w:rPr>
        <w:t>consumer dat</w:t>
      </w:r>
      <w:r w:rsidRPr="00693A57">
        <w:rPr>
          <w:b/>
          <w:color w:val="FF0000"/>
        </w:rPr>
        <w:t>a</w:t>
      </w:r>
      <w:r w:rsidRPr="00693A57">
        <w:rPr>
          <w:color w:val="FF0000"/>
        </w:rPr>
        <w:t>,</w:t>
      </w:r>
      <w:r w:rsidRPr="00693A57">
        <w:rPr>
          <w:b/>
          <w:color w:val="FF0000"/>
        </w:rPr>
        <w:t xml:space="preserve"> </w:t>
      </w:r>
      <w:r w:rsidRPr="00693A57">
        <w:rPr>
          <w:color w:val="FF0000"/>
        </w:rPr>
        <w:t>in relation to the energy sector, means CDR data for which there are one or more CDR consumers that:</w:t>
      </w:r>
    </w:p>
    <w:p w14:paraId="05668097" w14:textId="77777777" w:rsidR="00F156D3" w:rsidRPr="00693A57" w:rsidRDefault="00F156D3" w:rsidP="00F156D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08" w:author="Author" w:original="(a)"/>
        </w:fldChar>
      </w:r>
      <w:r w:rsidRPr="00693A57">
        <w:rPr>
          <w:color w:val="FF0000"/>
        </w:rPr>
        <w:tab/>
        <w:t>is energy sector data; and</w:t>
      </w:r>
    </w:p>
    <w:p w14:paraId="6082868E" w14:textId="2AA24848" w:rsidR="00F156D3" w:rsidRPr="00693A57" w:rsidRDefault="00F156D3" w:rsidP="00F156D3">
      <w:pPr>
        <w:pStyle w:val="paragraph"/>
        <w:rPr>
          <w:rFonts w:eastAsia="Calibri"/>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09" w:author="Author" w:original="(b)"/>
        </w:fldChar>
      </w:r>
      <w:r w:rsidRPr="00693A57">
        <w:rPr>
          <w:color w:val="FF0000"/>
        </w:rPr>
        <w:tab/>
      </w:r>
      <w:r w:rsidRPr="00693A57">
        <w:rPr>
          <w:rFonts w:eastAsia="Calibri"/>
          <w:color w:val="FF0000"/>
        </w:rPr>
        <w:t>relates to a time at which an account holder for the account was associated with the premises to which the request relates; and</w:t>
      </w:r>
    </w:p>
    <w:p w14:paraId="0A70D679" w14:textId="342140F5" w:rsidR="00F156D3" w:rsidRPr="00693A57" w:rsidRDefault="00F156D3" w:rsidP="00F156D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10" w:author="Author" w:original="(c)"/>
        </w:fldChar>
      </w:r>
      <w:r w:rsidRPr="00693A57">
        <w:rPr>
          <w:color w:val="FF0000"/>
        </w:rPr>
        <w:tab/>
        <w:t>is not required consumer data.</w:t>
      </w:r>
    </w:p>
    <w:p w14:paraId="7E2C154C"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11" w:author="Author" w:original="(3)"/>
        </w:fldChar>
      </w:r>
      <w:r w:rsidRPr="00693A57">
        <w:rPr>
          <w:color w:val="FF0000"/>
        </w:rPr>
        <w:tab/>
        <w:t>For this clause:</w:t>
      </w:r>
    </w:p>
    <w:p w14:paraId="7C39FB4B"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12" w:author="Author" w:original="(a)"/>
        </w:fldChar>
      </w:r>
      <w:r w:rsidRPr="00693A57">
        <w:rPr>
          <w:color w:val="FF0000"/>
        </w:rPr>
        <w:tab/>
        <w:t xml:space="preserve">CDR data is neither </w:t>
      </w:r>
      <w:r w:rsidRPr="00693A57">
        <w:rPr>
          <w:b/>
          <w:i/>
          <w:color w:val="FF0000"/>
        </w:rPr>
        <w:t xml:space="preserve">required consumer data </w:t>
      </w:r>
      <w:r w:rsidRPr="00693A57">
        <w:rPr>
          <w:color w:val="FF0000"/>
        </w:rPr>
        <w:t xml:space="preserve">nor </w:t>
      </w:r>
      <w:r w:rsidRPr="00693A57">
        <w:rPr>
          <w:b/>
          <w:i/>
          <w:color w:val="FF0000"/>
        </w:rPr>
        <w:t>voluntary consumer data</w:t>
      </w:r>
      <w:r w:rsidRPr="00693A57">
        <w:rPr>
          <w:color w:val="FF0000"/>
        </w:rPr>
        <w:t xml:space="preserve"> at a particular time if the data is:</w:t>
      </w:r>
    </w:p>
    <w:p w14:paraId="576A61A8"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13" w:author="Author" w:original="(i)"/>
        </w:fldChar>
      </w:r>
      <w:r w:rsidRPr="00693A57">
        <w:rPr>
          <w:color w:val="FF0000"/>
        </w:rPr>
        <w:tab/>
        <w:t>account data, billing data or tailored tariff data in relation to an account that is not any of the following:</w:t>
      </w:r>
    </w:p>
    <w:p w14:paraId="27315C26" w14:textId="77777777" w:rsidR="00F57283" w:rsidRPr="00693A57" w:rsidRDefault="00F57283" w:rsidP="00F57283">
      <w:pPr>
        <w:pStyle w:val="paragraphsub-sub"/>
        <w:rPr>
          <w:color w:val="FF0000"/>
        </w:rPr>
      </w:pPr>
      <w:r w:rsidRPr="00693A57">
        <w:rPr>
          <w:color w:val="FF0000"/>
        </w:rPr>
        <w:tab/>
      </w:r>
      <w:r w:rsidRPr="00693A57">
        <w:rPr>
          <w:color w:val="FF0000"/>
        </w:rPr>
        <w:fldChar w:fldCharType="begin"/>
      </w:r>
      <w:r w:rsidRPr="00693A57">
        <w:rPr>
          <w:color w:val="FF0000"/>
        </w:rPr>
        <w:instrText xml:space="preserve">  LISTNUM "main numbering" \l 9 \* MERGEFORMAT </w:instrText>
      </w:r>
      <w:r w:rsidRPr="00693A57">
        <w:rPr>
          <w:color w:val="FF0000"/>
        </w:rPr>
        <w:fldChar w:fldCharType="end">
          <w:numberingChange w:id="814" w:author="Author" w:original="(A)"/>
        </w:fldChar>
      </w:r>
      <w:r w:rsidRPr="00693A57">
        <w:rPr>
          <w:color w:val="FF0000"/>
        </w:rPr>
        <w:tab/>
        <w:t>an account held in the name of a single person;</w:t>
      </w:r>
    </w:p>
    <w:p w14:paraId="2BA8E9C9" w14:textId="77777777" w:rsidR="00F57283" w:rsidRPr="00693A57" w:rsidRDefault="00F57283" w:rsidP="00F57283">
      <w:pPr>
        <w:pStyle w:val="paragraphsub-sub"/>
        <w:rPr>
          <w:color w:val="FF0000"/>
        </w:rPr>
      </w:pPr>
      <w:r w:rsidRPr="00693A57">
        <w:rPr>
          <w:color w:val="FF0000"/>
        </w:rPr>
        <w:tab/>
      </w:r>
      <w:r w:rsidRPr="00693A57">
        <w:rPr>
          <w:color w:val="FF0000"/>
        </w:rPr>
        <w:fldChar w:fldCharType="begin"/>
      </w:r>
      <w:r w:rsidRPr="00693A57">
        <w:rPr>
          <w:color w:val="FF0000"/>
        </w:rPr>
        <w:instrText xml:space="preserve">  LISTNUM "main numbering" \l 9 \* MERGEFORMAT </w:instrText>
      </w:r>
      <w:r w:rsidRPr="00693A57">
        <w:rPr>
          <w:color w:val="FF0000"/>
        </w:rPr>
        <w:fldChar w:fldCharType="end">
          <w:numberingChange w:id="815" w:author="Author" w:original="(B)"/>
        </w:fldChar>
      </w:r>
      <w:r w:rsidRPr="00693A57">
        <w:rPr>
          <w:color w:val="FF0000"/>
        </w:rPr>
        <w:tab/>
        <w:t>a joint account;</w:t>
      </w:r>
    </w:p>
    <w:p w14:paraId="0A1D7E8B" w14:textId="77777777" w:rsidR="00F57283" w:rsidRPr="00693A57" w:rsidRDefault="00F57283" w:rsidP="00F57283">
      <w:pPr>
        <w:pStyle w:val="paragraphsub-sub"/>
        <w:rPr>
          <w:color w:val="FF0000"/>
        </w:rPr>
      </w:pPr>
      <w:r w:rsidRPr="00693A57">
        <w:rPr>
          <w:color w:val="FF0000"/>
        </w:rPr>
        <w:tab/>
      </w:r>
      <w:r w:rsidRPr="00693A57">
        <w:rPr>
          <w:color w:val="FF0000"/>
        </w:rPr>
        <w:fldChar w:fldCharType="begin"/>
      </w:r>
      <w:r w:rsidRPr="00693A57">
        <w:rPr>
          <w:color w:val="FF0000"/>
        </w:rPr>
        <w:instrText xml:space="preserve">  LISTNUM "main numbering" \l 9 \* MERGEFORMAT </w:instrText>
      </w:r>
      <w:r w:rsidRPr="00693A57">
        <w:rPr>
          <w:color w:val="FF0000"/>
        </w:rPr>
        <w:fldChar w:fldCharType="end">
          <w:numberingChange w:id="816" w:author="Author" w:original="(C)"/>
        </w:fldChar>
      </w:r>
      <w:r w:rsidRPr="00693A57">
        <w:rPr>
          <w:color w:val="FF0000"/>
        </w:rPr>
        <w:tab/>
        <w:t>a partnership account; or</w:t>
      </w:r>
    </w:p>
    <w:p w14:paraId="288C48A7"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17" w:author="Author" w:original="(ii)"/>
        </w:fldChar>
      </w:r>
      <w:r w:rsidRPr="00693A57">
        <w:rPr>
          <w:color w:val="FF0000"/>
        </w:rPr>
        <w:tab/>
        <w:t>account data, billing data or tailored tariff data in relation to a joint account or partnership account for which any of the individuals who are</w:t>
      </w:r>
      <w:r w:rsidRPr="00693A57">
        <w:rPr>
          <w:color w:val="FF0000"/>
          <w:u w:val="words"/>
        </w:rPr>
        <w:t xml:space="preserve"> </w:t>
      </w:r>
      <w:r w:rsidRPr="00693A57">
        <w:rPr>
          <w:color w:val="FF0000"/>
        </w:rPr>
        <w:t>account holders is less than 18 years of age at that time; or</w:t>
      </w:r>
    </w:p>
    <w:p w14:paraId="28CC0450" w14:textId="587C3145"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18" w:author="Author" w:original="(iii)"/>
        </w:fldChar>
      </w:r>
      <w:r w:rsidRPr="00693A57">
        <w:rPr>
          <w:color w:val="FF0000"/>
        </w:rPr>
        <w:tab/>
        <w:t>AEMO data in relation to any such account; and</w:t>
      </w:r>
    </w:p>
    <w:p w14:paraId="35CE3C24" w14:textId="6432A081"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19" w:author="Author" w:original="(b)"/>
        </w:fldChar>
      </w:r>
      <w:r w:rsidRPr="00693A57">
        <w:rPr>
          <w:color w:val="FF0000"/>
        </w:rPr>
        <w:tab/>
      </w:r>
      <w:r w:rsidR="00D73A26" w:rsidRPr="00693A57">
        <w:rPr>
          <w:color w:val="FF0000"/>
        </w:rPr>
        <w:t xml:space="preserve">CDR data is neither </w:t>
      </w:r>
      <w:r w:rsidR="00D73A26" w:rsidRPr="00693A57">
        <w:rPr>
          <w:b/>
          <w:i/>
          <w:color w:val="FF0000"/>
        </w:rPr>
        <w:t>required consumer data</w:t>
      </w:r>
      <w:r w:rsidR="00D73A26" w:rsidRPr="00693A57">
        <w:rPr>
          <w:color w:val="FF0000"/>
        </w:rPr>
        <w:t xml:space="preserve"> nor </w:t>
      </w:r>
      <w:r w:rsidR="00D73A26" w:rsidRPr="00693A57">
        <w:rPr>
          <w:b/>
          <w:i/>
          <w:color w:val="FF0000"/>
        </w:rPr>
        <w:t>voluntary consumer data</w:t>
      </w:r>
      <w:r w:rsidR="00D73A26" w:rsidRPr="00693A57">
        <w:rPr>
          <w:color w:val="FF0000"/>
        </w:rPr>
        <w:t xml:space="preserve"> in relation to a consumer data request made by or on behalf of a particular person</w:t>
      </w:r>
      <w:r w:rsidR="001023EA" w:rsidRPr="00693A57">
        <w:rPr>
          <w:color w:val="FF0000"/>
        </w:rPr>
        <w:t xml:space="preserve"> if the data is</w:t>
      </w:r>
      <w:r w:rsidRPr="00693A57">
        <w:rPr>
          <w:color w:val="FF0000"/>
        </w:rPr>
        <w:t>:</w:t>
      </w:r>
    </w:p>
    <w:p w14:paraId="43E60B11"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20" w:author="Author" w:original="(i)"/>
        </w:fldChar>
      </w:r>
      <w:r w:rsidRPr="00693A57">
        <w:rPr>
          <w:color w:val="FF0000"/>
        </w:rPr>
        <w:tab/>
        <w:t>customer data in relation to any account holder or secondary user other than that person; or</w:t>
      </w:r>
    </w:p>
    <w:p w14:paraId="6B436AC8" w14:textId="5F6C9FB1" w:rsidR="00F57283" w:rsidRPr="00693A57" w:rsidRDefault="00F57283" w:rsidP="00F57283">
      <w:pPr>
        <w:pStyle w:val="paragraphsub"/>
        <w:rPr>
          <w:color w:val="FF0000"/>
        </w:rPr>
      </w:pPr>
      <w:r w:rsidRPr="00693A57">
        <w:rPr>
          <w:color w:val="FF0000"/>
        </w:rPr>
        <w:lastRenderedPageBreak/>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21" w:author="Author" w:original="(ii)"/>
        </w:fldChar>
      </w:r>
      <w:r w:rsidRPr="00693A57">
        <w:rPr>
          <w:color w:val="FF0000"/>
        </w:rPr>
        <w:tab/>
      </w:r>
      <w:r w:rsidR="0096162E" w:rsidRPr="00693A57">
        <w:rPr>
          <w:color w:val="FF0000"/>
        </w:rPr>
        <w:t>AEMO</w:t>
      </w:r>
      <w:r w:rsidRPr="00693A57">
        <w:rPr>
          <w:color w:val="FF0000"/>
        </w:rPr>
        <w:t xml:space="preserve"> data in relation to premises </w:t>
      </w:r>
      <w:r w:rsidR="00D73A26" w:rsidRPr="00693A57">
        <w:rPr>
          <w:color w:val="FF0000"/>
        </w:rPr>
        <w:t>other than premises</w:t>
      </w:r>
      <w:r w:rsidR="00CE1E8B" w:rsidRPr="00693A57">
        <w:rPr>
          <w:color w:val="FF0000"/>
        </w:rPr>
        <w:t xml:space="preserve"> covered by the relevant arrangement </w:t>
      </w:r>
      <w:r w:rsidR="00D73A26" w:rsidRPr="00693A57">
        <w:rPr>
          <w:color w:val="FF0000"/>
        </w:rPr>
        <w:t>at the time to which the data relates.</w:t>
      </w:r>
    </w:p>
    <w:p w14:paraId="2AE17F5D" w14:textId="77777777" w:rsidR="00274499" w:rsidRPr="00693A57" w:rsidRDefault="00F57283" w:rsidP="00274499">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22" w:author="Author" w:original="(4)"/>
        </w:fldChar>
      </w:r>
      <w:r w:rsidRPr="00693A57">
        <w:rPr>
          <w:color w:val="FF0000"/>
        </w:rPr>
        <w:tab/>
      </w:r>
      <w:r w:rsidR="00274499" w:rsidRPr="00693A57">
        <w:rPr>
          <w:color w:val="FF0000"/>
        </w:rPr>
        <w:t xml:space="preserve">For this clause, energy sector data is neither </w:t>
      </w:r>
      <w:r w:rsidR="00274499" w:rsidRPr="00693A57">
        <w:rPr>
          <w:b/>
          <w:i/>
          <w:color w:val="FF0000"/>
        </w:rPr>
        <w:t xml:space="preserve">required consumer data </w:t>
      </w:r>
      <w:r w:rsidR="00274499" w:rsidRPr="00693A57">
        <w:rPr>
          <w:color w:val="FF0000"/>
        </w:rPr>
        <w:t xml:space="preserve">nor </w:t>
      </w:r>
      <w:r w:rsidR="00274499" w:rsidRPr="00693A57">
        <w:rPr>
          <w:b/>
          <w:i/>
          <w:color w:val="FF0000"/>
        </w:rPr>
        <w:t>voluntary consumer data</w:t>
      </w:r>
      <w:r w:rsidR="00274499" w:rsidRPr="00693A57">
        <w:rPr>
          <w:color w:val="FF0000"/>
        </w:rPr>
        <w:t xml:space="preserve"> in relation to a data holder that is not a retailer or AEMO.</w:t>
      </w:r>
    </w:p>
    <w:p w14:paraId="27DFE5CF" w14:textId="77777777" w:rsidR="00274499" w:rsidRPr="00693A57" w:rsidRDefault="00274499" w:rsidP="00274499">
      <w:pPr>
        <w:pStyle w:val="notetext"/>
        <w:rPr>
          <w:color w:val="FF0000"/>
        </w:rPr>
      </w:pPr>
      <w:r w:rsidRPr="00693A57">
        <w:rPr>
          <w:color w:val="FF0000"/>
        </w:rPr>
        <w:t>Note:</w:t>
      </w:r>
      <w:r w:rsidRPr="00693A57">
        <w:rPr>
          <w:color w:val="FF0000"/>
        </w:rPr>
        <w:tab/>
        <w:t>The effect of this provision is that an accredited person who becomes a data holder in relation to energy sector CDR data by the operation of subsection 56AJ(3) of the Act is not required to respond to a consumer data request for the data.</w:t>
      </w:r>
    </w:p>
    <w:p w14:paraId="3F25946B" w14:textId="77777777" w:rsidR="00F57283" w:rsidRPr="00693A57" w:rsidRDefault="00F57283" w:rsidP="00F57283">
      <w:pPr>
        <w:pStyle w:val="SubsectionHead"/>
        <w:rPr>
          <w:color w:val="FF0000"/>
        </w:rPr>
      </w:pPr>
      <w:r w:rsidRPr="00693A57">
        <w:rPr>
          <w:color w:val="FF0000"/>
        </w:rPr>
        <w:t xml:space="preserve">Exception to </w:t>
      </w:r>
      <w:r w:rsidRPr="00693A57">
        <w:rPr>
          <w:b/>
          <w:color w:val="FF0000"/>
        </w:rPr>
        <w:t>required consumer data</w:t>
      </w:r>
      <w:r w:rsidRPr="00693A57">
        <w:rPr>
          <w:color w:val="FF0000"/>
        </w:rPr>
        <w:t>―open accounts</w:t>
      </w:r>
    </w:p>
    <w:p w14:paraId="3CA54C9C" w14:textId="77777777" w:rsidR="0096162E"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23" w:author="Author" w:original="(5)"/>
        </w:fldChar>
      </w:r>
      <w:r w:rsidRPr="00693A57">
        <w:rPr>
          <w:color w:val="FF0000"/>
        </w:rPr>
        <w:tab/>
        <w:t xml:space="preserve">Despite subclause (1), for an account that is open at a particular time, </w:t>
      </w:r>
      <w:r w:rsidR="0096162E" w:rsidRPr="00693A57">
        <w:rPr>
          <w:color w:val="FF0000"/>
        </w:rPr>
        <w:t xml:space="preserve">CDR data that relates to a transaction or event that occurred more than 2 years before that time is not </w:t>
      </w:r>
      <w:r w:rsidR="0096162E" w:rsidRPr="00693A57">
        <w:rPr>
          <w:b/>
          <w:i/>
          <w:color w:val="FF0000"/>
        </w:rPr>
        <w:t>required consumer data</w:t>
      </w:r>
      <w:r w:rsidR="0096162E" w:rsidRPr="00693A57">
        <w:rPr>
          <w:color w:val="FF0000"/>
        </w:rPr>
        <w:t>.</w:t>
      </w:r>
    </w:p>
    <w:p w14:paraId="7AFA9CAD" w14:textId="77777777" w:rsidR="00F57283" w:rsidRPr="00693A57" w:rsidRDefault="00F57283" w:rsidP="00F57283">
      <w:pPr>
        <w:pStyle w:val="notetext"/>
        <w:rPr>
          <w:color w:val="FF0000"/>
        </w:rPr>
      </w:pPr>
      <w:r w:rsidRPr="00693A57">
        <w:rPr>
          <w:color w:val="FF0000"/>
        </w:rPr>
        <w:t>Note:</w:t>
      </w:r>
      <w:r w:rsidRPr="00693A57">
        <w:rPr>
          <w:color w:val="FF0000"/>
        </w:rPr>
        <w:tab/>
        <w:t xml:space="preserve">As a result, such CDR data would be </w:t>
      </w:r>
      <w:r w:rsidRPr="00693A57">
        <w:rPr>
          <w:b/>
          <w:i/>
          <w:color w:val="FF0000"/>
        </w:rPr>
        <w:t>voluntary consumer data</w:t>
      </w:r>
      <w:r w:rsidRPr="00693A57">
        <w:rPr>
          <w:color w:val="FF0000"/>
        </w:rPr>
        <w:t>.</w:t>
      </w:r>
    </w:p>
    <w:p w14:paraId="7B59991F" w14:textId="77777777" w:rsidR="00F57283" w:rsidRPr="00693A57" w:rsidRDefault="00F57283" w:rsidP="00F57283">
      <w:pPr>
        <w:pStyle w:val="SubsectionHead"/>
        <w:rPr>
          <w:color w:val="FF0000"/>
        </w:rPr>
      </w:pPr>
      <w:r w:rsidRPr="00693A57">
        <w:rPr>
          <w:color w:val="FF0000"/>
        </w:rPr>
        <w:t xml:space="preserve">Exception to </w:t>
      </w:r>
      <w:r w:rsidRPr="00693A57">
        <w:rPr>
          <w:b/>
          <w:color w:val="FF0000"/>
        </w:rPr>
        <w:t>required consumer data</w:t>
      </w:r>
      <w:r w:rsidRPr="00693A57">
        <w:rPr>
          <w:color w:val="FF0000"/>
        </w:rPr>
        <w:t>―closed accounts</w:t>
      </w:r>
    </w:p>
    <w:p w14:paraId="37543944"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24" w:author="Author" w:original="(6)"/>
        </w:fldChar>
      </w:r>
      <w:r w:rsidRPr="00693A57">
        <w:rPr>
          <w:color w:val="FF0000"/>
        </w:rPr>
        <w:tab/>
        <w:t xml:space="preserve">Despite subclause (1), for an account that is closed at a particular time, each of the following is not </w:t>
      </w:r>
      <w:r w:rsidRPr="00693A57">
        <w:rPr>
          <w:b/>
          <w:i/>
          <w:color w:val="FF0000"/>
        </w:rPr>
        <w:t>required consumer data</w:t>
      </w:r>
      <w:r w:rsidRPr="00693A57">
        <w:rPr>
          <w:color w:val="FF0000"/>
        </w:rPr>
        <w:t>:</w:t>
      </w:r>
    </w:p>
    <w:p w14:paraId="3525BB0C"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25" w:author="Author" w:original="(a)"/>
        </w:fldChar>
      </w:r>
      <w:r w:rsidRPr="00693A57">
        <w:rPr>
          <w:color w:val="FF0000"/>
        </w:rPr>
        <w:tab/>
        <w:t>CDR data held by AEMO, other than metering data;</w:t>
      </w:r>
    </w:p>
    <w:p w14:paraId="038590EE"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26" w:author="Author" w:original="(b)"/>
        </w:fldChar>
      </w:r>
      <w:r w:rsidRPr="00693A57">
        <w:rPr>
          <w:color w:val="FF0000"/>
        </w:rPr>
        <w:tab/>
        <w:t>CDR data held by a retailer, other than:</w:t>
      </w:r>
    </w:p>
    <w:p w14:paraId="3615BE92"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27" w:author="Author" w:original="(i)"/>
        </w:fldChar>
      </w:r>
      <w:r w:rsidRPr="00693A57">
        <w:rPr>
          <w:color w:val="FF0000"/>
        </w:rPr>
        <w:tab/>
        <w:t>billing data; and</w:t>
      </w:r>
    </w:p>
    <w:p w14:paraId="7B3CC525"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28" w:author="Author" w:original="(ii)"/>
        </w:fldChar>
      </w:r>
      <w:r w:rsidRPr="00693A57">
        <w:rPr>
          <w:color w:val="FF0000"/>
        </w:rPr>
        <w:tab/>
        <w:t>account data and tailored tariff data as at the most recent date on which electricity was sold or supplied under the arrangement;</w:t>
      </w:r>
    </w:p>
    <w:p w14:paraId="65642209"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29" w:author="Author" w:original="(c)"/>
        </w:fldChar>
      </w:r>
      <w:r w:rsidRPr="00693A57">
        <w:rPr>
          <w:color w:val="FF0000"/>
        </w:rPr>
        <w:tab/>
        <w:t xml:space="preserve">CDR data that is not excluded by paragraph (a) or (b), but relates to a transaction or event that occurred more than 2 years before that time. </w:t>
      </w:r>
    </w:p>
    <w:p w14:paraId="4D7AAE60" w14:textId="77777777" w:rsidR="00F57283" w:rsidRPr="00693A57" w:rsidRDefault="00F57283" w:rsidP="00F57283">
      <w:pPr>
        <w:pStyle w:val="ActHead2"/>
        <w:rPr>
          <w:color w:val="FF0000"/>
        </w:rPr>
      </w:pPr>
      <w:r w:rsidRPr="00693A57">
        <w:rPr>
          <w:color w:val="FF0000"/>
        </w:rPr>
        <w:fldChar w:fldCharType="begin"/>
      </w:r>
      <w:r w:rsidRPr="00693A57">
        <w:rPr>
          <w:color w:val="FF0000"/>
        </w:rPr>
        <w:instrText xml:space="preserve">  LISTNUM "main numbering" \l 2 \* MERGEFORMAT </w:instrText>
      </w:r>
      <w:bookmarkStart w:id="830" w:name="_Toc77065144"/>
      <w:r w:rsidRPr="00693A57">
        <w:rPr>
          <w:color w:val="FF0000"/>
        </w:rPr>
        <w:fldChar w:fldCharType="end">
          <w:numberingChange w:id="831" w:author="Author" w:original="Part 4"/>
        </w:fldChar>
      </w:r>
      <w:r w:rsidRPr="00693A57">
        <w:rPr>
          <w:color w:val="FF0000"/>
        </w:rPr>
        <w:t>—Roles of AEMO and the energy sector agencies</w:t>
      </w:r>
      <w:bookmarkEnd w:id="830"/>
      <w:r w:rsidRPr="00693A57">
        <w:rPr>
          <w:color w:val="FF0000"/>
        </w:rPr>
        <w:t xml:space="preserve"> </w:t>
      </w:r>
    </w:p>
    <w:p w14:paraId="7680836C" w14:textId="5A5AD328"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832" w:name="_Toc77065145"/>
      <w:r w:rsidRPr="00693A57">
        <w:rPr>
          <w:color w:val="FF0000"/>
        </w:rPr>
        <w:fldChar w:fldCharType="end">
          <w:numberingChange w:id="833" w:author="Author" w:original="4.1"/>
        </w:fldChar>
      </w:r>
      <w:r w:rsidRPr="00693A57">
        <w:rPr>
          <w:color w:val="FF0000"/>
        </w:rPr>
        <w:t xml:space="preserve">  AER and the Victorian agency may act on each other’s behalf</w:t>
      </w:r>
      <w:bookmarkEnd w:id="832"/>
    </w:p>
    <w:p w14:paraId="3B3EAB50"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34" w:author="Author" w:original="(1)"/>
        </w:fldChar>
      </w:r>
      <w:r w:rsidRPr="00693A57">
        <w:rPr>
          <w:color w:val="FF0000"/>
        </w:rPr>
        <w:tab/>
        <w:t>Where these rules require or permit one of the energy sector agencies to do any thing in relation to receiving or responding to product data requests (including the provision of a product data request service), the other agency may, at the first agency’s request, do the thing on behalf of the first agency.</w:t>
      </w:r>
    </w:p>
    <w:p w14:paraId="6E3EF73F"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35" w:author="Author" w:original="(2)"/>
        </w:fldChar>
      </w:r>
      <w:r w:rsidRPr="00693A57">
        <w:rPr>
          <w:color w:val="FF0000"/>
        </w:rPr>
        <w:tab/>
        <w:t xml:space="preserve">For this clause, the </w:t>
      </w:r>
      <w:r w:rsidRPr="00693A57">
        <w:rPr>
          <w:b/>
          <w:i/>
          <w:color w:val="FF0000"/>
        </w:rPr>
        <w:t>energy sector agencies</w:t>
      </w:r>
      <w:r w:rsidRPr="00693A57">
        <w:rPr>
          <w:color w:val="FF0000"/>
        </w:rPr>
        <w:t xml:space="preserve"> are the AER and the Victorian agency.</w:t>
      </w:r>
    </w:p>
    <w:p w14:paraId="00A02E44" w14:textId="0B2B06DF" w:rsidR="00F57283" w:rsidRPr="00693A57" w:rsidRDefault="00F57283" w:rsidP="00F57283">
      <w:pPr>
        <w:pStyle w:val="ActHead5"/>
        <w:rPr>
          <w:color w:val="FF0000"/>
        </w:rPr>
      </w:pPr>
      <w:r w:rsidRPr="00693A57">
        <w:rPr>
          <w:color w:val="FF0000"/>
        </w:rPr>
        <w:fldChar w:fldCharType="begin"/>
      </w:r>
      <w:bookmarkStart w:id="836" w:name="_Ref62465147"/>
      <w:bookmarkEnd w:id="836"/>
      <w:r w:rsidRPr="00693A57">
        <w:rPr>
          <w:color w:val="FF0000"/>
        </w:rPr>
        <w:instrText xml:space="preserve">  LISTNUM "main numbering" \l 5 \* MERGEFORMAT </w:instrText>
      </w:r>
      <w:bookmarkStart w:id="837" w:name="_Toc77065146"/>
      <w:r w:rsidRPr="00693A57">
        <w:rPr>
          <w:color w:val="FF0000"/>
        </w:rPr>
        <w:fldChar w:fldCharType="end">
          <w:numberingChange w:id="838" w:author="Author" w:original="4.2"/>
        </w:fldChar>
      </w:r>
      <w:r w:rsidRPr="00693A57">
        <w:rPr>
          <w:color w:val="FF0000"/>
        </w:rPr>
        <w:t xml:space="preserve">  Product data request service</w:t>
      </w:r>
      <w:bookmarkEnd w:id="837"/>
    </w:p>
    <w:p w14:paraId="1C1B9C48"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39" w:author="Author" w:original="(1)"/>
        </w:fldChar>
      </w:r>
      <w:r w:rsidRPr="00693A57">
        <w:rPr>
          <w:color w:val="FF0000"/>
        </w:rPr>
        <w:tab/>
        <w:t>Despite rule 1.12, a data holder of energy sector data, other than the AER and the Victorian agency, is not required to provide a product data request service.</w:t>
      </w:r>
    </w:p>
    <w:p w14:paraId="6A4724C3"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40" w:author="Author" w:original="(2)"/>
        </w:fldChar>
      </w:r>
      <w:r w:rsidRPr="00693A57">
        <w:rPr>
          <w:color w:val="FF0000"/>
        </w:rPr>
        <w:tab/>
        <w:t>However, if such a data holder chooses to provide an online service that can be used to make product data requests, the service must comply with rule 1.12.</w:t>
      </w:r>
    </w:p>
    <w:p w14:paraId="465A316E" w14:textId="205BFBCB" w:rsidR="00F57283" w:rsidRPr="00693A57" w:rsidRDefault="00F57283" w:rsidP="00F57283">
      <w:pPr>
        <w:pStyle w:val="ActHead5"/>
        <w:rPr>
          <w:color w:val="FF0000"/>
        </w:rPr>
      </w:pPr>
      <w:r w:rsidRPr="00693A57">
        <w:rPr>
          <w:color w:val="FF0000"/>
        </w:rPr>
        <w:lastRenderedPageBreak/>
        <w:fldChar w:fldCharType="begin"/>
      </w:r>
      <w:r w:rsidRPr="00693A57">
        <w:rPr>
          <w:color w:val="FF0000"/>
        </w:rPr>
        <w:instrText xml:space="preserve">  LISTNUM "main numbering" \l 5 \* MERGEFORMAT </w:instrText>
      </w:r>
      <w:bookmarkStart w:id="841" w:name="_Toc77065147"/>
      <w:r w:rsidRPr="00693A57">
        <w:rPr>
          <w:color w:val="FF0000"/>
        </w:rPr>
        <w:fldChar w:fldCharType="end">
          <w:numberingChange w:id="842" w:author="Author" w:original="4.3"/>
        </w:fldChar>
      </w:r>
      <w:r w:rsidRPr="00693A57">
        <w:rPr>
          <w:color w:val="FF0000"/>
        </w:rPr>
        <w:t xml:space="preserve">  Meaning of </w:t>
      </w:r>
      <w:r w:rsidRPr="00693A57">
        <w:rPr>
          <w:i/>
          <w:color w:val="FF0000"/>
        </w:rPr>
        <w:t>SR data</w:t>
      </w:r>
      <w:r w:rsidRPr="00693A57">
        <w:rPr>
          <w:color w:val="FF0000"/>
        </w:rPr>
        <w:t xml:space="preserve"> and </w:t>
      </w:r>
      <w:r w:rsidR="001A1BCE" w:rsidRPr="00693A57">
        <w:rPr>
          <w:i/>
          <w:color w:val="FF0000"/>
        </w:rPr>
        <w:t>primary data holder</w:t>
      </w:r>
      <w:r w:rsidRPr="00693A57">
        <w:rPr>
          <w:color w:val="FF0000"/>
        </w:rPr>
        <w:t>—energy sector</w:t>
      </w:r>
      <w:bookmarkEnd w:id="841"/>
    </w:p>
    <w:p w14:paraId="0D27305E" w14:textId="77777777" w:rsidR="00F57283" w:rsidRPr="00693A57" w:rsidRDefault="00F57283" w:rsidP="00F57283">
      <w:pPr>
        <w:pStyle w:val="subsection"/>
        <w:rPr>
          <w:color w:val="FF0000"/>
        </w:rPr>
      </w:pPr>
      <w:r w:rsidRPr="00693A57">
        <w:rPr>
          <w:color w:val="FF0000"/>
        </w:rPr>
        <w:tab/>
      </w:r>
      <w:r w:rsidRPr="00693A57">
        <w:rPr>
          <w:color w:val="FF0000"/>
        </w:rPr>
        <w:tab/>
        <w:t>For these rules:</w:t>
      </w:r>
    </w:p>
    <w:p w14:paraId="33772CBD"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43" w:author="Author" w:original="(a)"/>
        </w:fldChar>
      </w:r>
      <w:r w:rsidRPr="00693A57">
        <w:rPr>
          <w:color w:val="FF0000"/>
        </w:rPr>
        <w:tab/>
      </w:r>
      <w:r w:rsidRPr="00693A57">
        <w:rPr>
          <w:b/>
          <w:i/>
          <w:iCs/>
          <w:color w:val="FF0000"/>
        </w:rPr>
        <w:t>SR data</w:t>
      </w:r>
      <w:r w:rsidRPr="00693A57">
        <w:rPr>
          <w:color w:val="FF0000"/>
        </w:rPr>
        <w:t>, in relation to the energy sector, means AEMO data in relation to a CDR consumer; and</w:t>
      </w:r>
    </w:p>
    <w:p w14:paraId="7DFC170A" w14:textId="1FD4D57E"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44" w:author="Author" w:original="(b)"/>
        </w:fldChar>
      </w:r>
      <w:r w:rsidRPr="00693A57">
        <w:rPr>
          <w:color w:val="FF0000"/>
        </w:rPr>
        <w:tab/>
        <w:t xml:space="preserve">the </w:t>
      </w:r>
      <w:r w:rsidR="001A1BCE" w:rsidRPr="00693A57">
        <w:rPr>
          <w:b/>
          <w:i/>
          <w:color w:val="FF0000"/>
        </w:rPr>
        <w:t>primary data holder</w:t>
      </w:r>
      <w:r w:rsidRPr="00693A57">
        <w:rPr>
          <w:color w:val="FF0000"/>
        </w:rPr>
        <w:t xml:space="preserve"> for the SR data is the relevant retailer.</w:t>
      </w:r>
    </w:p>
    <w:p w14:paraId="4B0CC64E" w14:textId="77777777" w:rsidR="00F57283" w:rsidRPr="00693A57" w:rsidRDefault="00F57283" w:rsidP="00F57283">
      <w:pPr>
        <w:pStyle w:val="notetext"/>
        <w:rPr>
          <w:color w:val="FF0000"/>
        </w:rPr>
      </w:pPr>
      <w:r w:rsidRPr="00693A57">
        <w:rPr>
          <w:color w:val="FF0000"/>
        </w:rPr>
        <w:t>Note:</w:t>
      </w:r>
      <w:r w:rsidRPr="00693A57">
        <w:rPr>
          <w:color w:val="FF0000"/>
        </w:rPr>
        <w:tab/>
        <w:t>AEMO is the secondary data holder for the SR data.</w:t>
      </w:r>
    </w:p>
    <w:p w14:paraId="7EA76088" w14:textId="4C36C52B" w:rsidR="00E154B8" w:rsidRPr="00693A57" w:rsidRDefault="00E154B8" w:rsidP="00E154B8">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845" w:name="_Toc77065148"/>
      <w:r w:rsidRPr="00693A57">
        <w:rPr>
          <w:color w:val="FF0000"/>
        </w:rPr>
        <w:fldChar w:fldCharType="end">
          <w:numberingChange w:id="846" w:author="Author" w:original="4.4"/>
        </w:fldChar>
      </w:r>
      <w:r w:rsidRPr="00693A57">
        <w:rPr>
          <w:color w:val="FF0000"/>
        </w:rPr>
        <w:t xml:space="preserve">  SR data must be obtained from AEMO</w:t>
      </w:r>
      <w:bookmarkEnd w:id="845"/>
    </w:p>
    <w:p w14:paraId="7A43A7FB" w14:textId="6775B065" w:rsidR="00E154B8" w:rsidRPr="00693A57" w:rsidRDefault="00E154B8" w:rsidP="003D54C5">
      <w:pPr>
        <w:pStyle w:val="subsection"/>
        <w:rPr>
          <w:color w:val="FF0000"/>
        </w:rPr>
      </w:pPr>
      <w:r w:rsidRPr="00693A57">
        <w:rPr>
          <w:color w:val="FF0000"/>
        </w:rPr>
        <w:tab/>
      </w:r>
      <w:r w:rsidRPr="00693A57">
        <w:rPr>
          <w:color w:val="FF0000"/>
        </w:rPr>
        <w:tab/>
      </w:r>
      <w:r w:rsidR="007876D8" w:rsidRPr="00693A57">
        <w:rPr>
          <w:color w:val="FF0000"/>
        </w:rPr>
        <w:t xml:space="preserve">On receiving </w:t>
      </w:r>
      <w:r w:rsidRPr="00693A57">
        <w:rPr>
          <w:color w:val="FF0000"/>
        </w:rPr>
        <w:t xml:space="preserve">an SR data request under Part 3 or Part </w:t>
      </w:r>
      <w:r w:rsidR="003D54C5" w:rsidRPr="00693A57">
        <w:rPr>
          <w:color w:val="FF0000"/>
        </w:rPr>
        <w:t xml:space="preserve">4 </w:t>
      </w:r>
      <w:r w:rsidRPr="00693A57">
        <w:rPr>
          <w:color w:val="FF0000"/>
        </w:rPr>
        <w:t xml:space="preserve">of these rules, </w:t>
      </w:r>
      <w:r w:rsidR="003D54C5" w:rsidRPr="00693A57">
        <w:rPr>
          <w:color w:val="FF0000"/>
        </w:rPr>
        <w:t>a retailer must request from AEMO, using the service mentioned in subrule 1.20(2)</w:t>
      </w:r>
      <w:r w:rsidR="007876D8" w:rsidRPr="00693A57">
        <w:rPr>
          <w:color w:val="FF0000"/>
        </w:rPr>
        <w:t>, any SR data to be used in responding to the request</w:t>
      </w:r>
      <w:r w:rsidR="003D54C5" w:rsidRPr="00693A57">
        <w:rPr>
          <w:color w:val="FF0000"/>
        </w:rPr>
        <w:t xml:space="preserve">  </w:t>
      </w:r>
    </w:p>
    <w:p w14:paraId="109048EA" w14:textId="5B4936CA" w:rsidR="00E154B8" w:rsidRPr="00693A57" w:rsidRDefault="00E154B8" w:rsidP="00E154B8">
      <w:pPr>
        <w:pStyle w:val="notetext"/>
        <w:rPr>
          <w:color w:val="FF0000"/>
        </w:rPr>
      </w:pPr>
      <w:r w:rsidRPr="00693A57">
        <w:rPr>
          <w:color w:val="FF0000"/>
        </w:rPr>
        <w:t>Note:</w:t>
      </w:r>
      <w:r w:rsidRPr="00693A57">
        <w:rPr>
          <w:color w:val="FF0000"/>
        </w:rPr>
        <w:tab/>
        <w:t>AEMO is the secondary data holder for the SR data.</w:t>
      </w:r>
      <w:r w:rsidR="003D54C5" w:rsidRPr="00693A57">
        <w:rPr>
          <w:color w:val="FF0000"/>
        </w:rPr>
        <w:t xml:space="preserve">  This provision requires a retailer that happens to be the direct holder of any AEMO data that is subject to a consumer data request to ignore its data holding in responding to the request, and obtain the data from AEMO for that purpose.</w:t>
      </w:r>
    </w:p>
    <w:p w14:paraId="442078ED" w14:textId="787499D7" w:rsidR="00F57283" w:rsidRPr="00693A57" w:rsidRDefault="00F57283" w:rsidP="00F57283">
      <w:pPr>
        <w:pStyle w:val="ActHead5"/>
        <w:rPr>
          <w:color w:val="FF0000"/>
        </w:rPr>
      </w:pPr>
      <w:r w:rsidRPr="00693A57">
        <w:rPr>
          <w:color w:val="FF0000"/>
        </w:rPr>
        <w:fldChar w:fldCharType="begin"/>
      </w:r>
      <w:bookmarkStart w:id="847" w:name="_Ref67603991"/>
      <w:bookmarkEnd w:id="847"/>
      <w:r w:rsidRPr="00693A57">
        <w:rPr>
          <w:color w:val="FF0000"/>
        </w:rPr>
        <w:instrText xml:space="preserve">  LISTNUM "main numbering" \l 5 \* MERGEFORMAT </w:instrText>
      </w:r>
      <w:bookmarkStart w:id="848" w:name="_Toc77065149"/>
      <w:r w:rsidRPr="00693A57">
        <w:rPr>
          <w:color w:val="FF0000"/>
        </w:rPr>
        <w:fldChar w:fldCharType="end">
          <w:numberingChange w:id="849" w:author="Author" w:original="4.5"/>
        </w:fldChar>
      </w:r>
      <w:r w:rsidRPr="00693A57">
        <w:rPr>
          <w:color w:val="FF0000"/>
        </w:rPr>
        <w:t xml:space="preserve">  Civil penalties do not apply</w:t>
      </w:r>
      <w:bookmarkEnd w:id="848"/>
    </w:p>
    <w:p w14:paraId="2CCBE6BA" w14:textId="77777777" w:rsidR="00F57283" w:rsidRPr="00693A57" w:rsidRDefault="00F57283" w:rsidP="00F57283">
      <w:pPr>
        <w:pStyle w:val="subsection"/>
        <w:rPr>
          <w:color w:val="FF0000"/>
        </w:rPr>
      </w:pPr>
      <w:r w:rsidRPr="00693A57">
        <w:rPr>
          <w:color w:val="FF0000"/>
        </w:rPr>
        <w:tab/>
      </w:r>
      <w:r w:rsidRPr="00693A57">
        <w:rPr>
          <w:color w:val="FF0000"/>
        </w:rPr>
        <w:tab/>
        <w:t xml:space="preserve">Rule 9.8 (Civil penalty provisions) does not apply in relation to AEMO, the AER or the Victorian agency in relation to energy sector data. </w:t>
      </w:r>
    </w:p>
    <w:p w14:paraId="255F441D" w14:textId="50F059E8" w:rsidR="00F57283" w:rsidRPr="00693A57" w:rsidRDefault="00F57283" w:rsidP="00F57283">
      <w:pPr>
        <w:pStyle w:val="ActHead2"/>
        <w:rPr>
          <w:color w:val="FF0000"/>
        </w:rPr>
      </w:pPr>
      <w:r w:rsidRPr="00693A57">
        <w:rPr>
          <w:color w:val="FF0000"/>
        </w:rPr>
        <w:fldChar w:fldCharType="begin"/>
      </w:r>
      <w:r w:rsidRPr="00693A57">
        <w:rPr>
          <w:color w:val="FF0000"/>
        </w:rPr>
        <w:instrText xml:space="preserve">  LISTNUM "main numbering" \l 2 \* MERGEFORMAT </w:instrText>
      </w:r>
      <w:bookmarkStart w:id="850" w:name="_Toc77065150"/>
      <w:r w:rsidRPr="00693A57">
        <w:rPr>
          <w:color w:val="FF0000"/>
        </w:rPr>
        <w:fldChar w:fldCharType="end">
          <w:numberingChange w:id="851" w:author="Author" w:original="Part 5"/>
        </w:fldChar>
      </w:r>
      <w:r w:rsidRPr="00693A57">
        <w:rPr>
          <w:color w:val="FF0000"/>
        </w:rPr>
        <w:t>—</w:t>
      </w:r>
      <w:r w:rsidR="004179F5" w:rsidRPr="00693A57">
        <w:rPr>
          <w:color w:val="FF0000"/>
        </w:rPr>
        <w:t xml:space="preserve">Dispute </w:t>
      </w:r>
      <w:r w:rsidRPr="00693A57">
        <w:rPr>
          <w:color w:val="FF0000"/>
        </w:rPr>
        <w:t>resolution―energy sector</w:t>
      </w:r>
      <w:bookmarkEnd w:id="850"/>
    </w:p>
    <w:p w14:paraId="52C4DE82" w14:textId="2ADB3899" w:rsidR="00F57283" w:rsidRPr="00693A57" w:rsidRDefault="00F57283" w:rsidP="00F57283">
      <w:pPr>
        <w:pStyle w:val="notemargin"/>
        <w:rPr>
          <w:i/>
          <w:iCs/>
          <w:color w:val="FF0000"/>
        </w:rPr>
      </w:pPr>
      <w:r w:rsidRPr="00693A57">
        <w:rPr>
          <w:color w:val="FF0000"/>
        </w:rPr>
        <w:t>Note:</w:t>
      </w:r>
      <w:r w:rsidRPr="00693A57">
        <w:rPr>
          <w:i/>
          <w:iCs/>
          <w:color w:val="FF0000"/>
        </w:rPr>
        <w:tab/>
      </w:r>
      <w:r w:rsidRPr="00693A57">
        <w:rPr>
          <w:color w:val="FF0000"/>
        </w:rPr>
        <w:t>See the definition of “meets the internal dispute resolution requirements” in subrule 1.7(1), paragraph 5.12(b) of these rules, and rule 6.1.</w:t>
      </w:r>
    </w:p>
    <w:p w14:paraId="6598F020" w14:textId="25668616" w:rsidR="00F57283" w:rsidRPr="00693A57" w:rsidRDefault="00F57283" w:rsidP="00F57283">
      <w:pPr>
        <w:pStyle w:val="ActHead5"/>
        <w:rPr>
          <w:color w:val="FF0000"/>
        </w:rPr>
      </w:pPr>
      <w:r w:rsidRPr="00693A57">
        <w:rPr>
          <w:color w:val="FF0000"/>
        </w:rPr>
        <w:fldChar w:fldCharType="begin"/>
      </w:r>
      <w:bookmarkStart w:id="852" w:name="_Ref62468104"/>
      <w:bookmarkEnd w:id="852"/>
      <w:r w:rsidRPr="00693A57">
        <w:rPr>
          <w:color w:val="FF0000"/>
        </w:rPr>
        <w:instrText xml:space="preserve">  LISTNUM "main numbering" \l 5 \* MERGEFORMAT </w:instrText>
      </w:r>
      <w:bookmarkStart w:id="853" w:name="_Toc77065151"/>
      <w:r w:rsidRPr="00693A57">
        <w:rPr>
          <w:color w:val="FF0000"/>
        </w:rPr>
        <w:fldChar w:fldCharType="end">
          <w:numberingChange w:id="854" w:author="Author" w:original="5.1"/>
        </w:fldChar>
      </w:r>
      <w:r w:rsidRPr="00693A57">
        <w:rPr>
          <w:color w:val="FF0000"/>
        </w:rPr>
        <w:t xml:space="preserve">  Meeting internal dispute resolution requirements—energy sector</w:t>
      </w:r>
      <w:bookmarkEnd w:id="853"/>
    </w:p>
    <w:p w14:paraId="3740DFBB" w14:textId="77777777" w:rsidR="00F57283" w:rsidRPr="00693A57" w:rsidRDefault="00F57283" w:rsidP="00F57283">
      <w:pPr>
        <w:pStyle w:val="SubsectionHead"/>
        <w:rPr>
          <w:color w:val="FF0000"/>
        </w:rPr>
      </w:pPr>
      <w:r w:rsidRPr="00693A57">
        <w:rPr>
          <w:color w:val="FF0000"/>
        </w:rPr>
        <w:t>Accredited persons</w:t>
      </w:r>
    </w:p>
    <w:p w14:paraId="4ED3D62F" w14:textId="482ADEA3" w:rsidR="00F57283" w:rsidRPr="00693A57" w:rsidRDefault="00F57283" w:rsidP="00F57283">
      <w:pPr>
        <w:pStyle w:val="subsection"/>
        <w:rPr>
          <w:color w:val="FF0000"/>
        </w:rPr>
      </w:pPr>
      <w:r w:rsidRPr="00693A57">
        <w:rPr>
          <w:color w:val="FF0000"/>
        </w:rPr>
        <w:tab/>
      </w:r>
      <w:r w:rsidRPr="00693A57">
        <w:rPr>
          <w:color w:val="FF0000"/>
        </w:rPr>
        <w:fldChar w:fldCharType="begin"/>
      </w:r>
      <w:bookmarkStart w:id="855" w:name="_Ref63774746"/>
      <w:bookmarkEnd w:id="855"/>
      <w:r w:rsidRPr="00693A57">
        <w:rPr>
          <w:color w:val="FF0000"/>
        </w:rPr>
        <w:instrText xml:space="preserve">  LISTNUM "main numbering" \l 6 \* MERGEFORMAT </w:instrText>
      </w:r>
      <w:r w:rsidRPr="00693A57">
        <w:rPr>
          <w:color w:val="FF0000"/>
        </w:rPr>
        <w:fldChar w:fldCharType="end">
          <w:numberingChange w:id="856" w:author="Author" w:original="(1)"/>
        </w:fldChar>
      </w:r>
      <w:r w:rsidRPr="00693A57">
        <w:rPr>
          <w:color w:val="FF0000"/>
        </w:rPr>
        <w:tab/>
        <w:t>For the energy sector, an accredited person</w:t>
      </w:r>
      <w:r w:rsidR="00C22561" w:rsidRPr="00693A57">
        <w:rPr>
          <w:color w:val="FF0000"/>
        </w:rPr>
        <w:t xml:space="preserve">, other than an accredited person that is also a retailer, </w:t>
      </w:r>
      <w:r w:rsidRPr="00693A57">
        <w:rPr>
          <w:b/>
          <w:i/>
          <w:iCs/>
          <w:color w:val="FF0000"/>
        </w:rPr>
        <w:t>meets the internal dispute resolution requirements</w:t>
      </w:r>
      <w:r w:rsidRPr="00693A57">
        <w:rPr>
          <w:color w:val="FF0000"/>
        </w:rPr>
        <w:t xml:space="preserve"> if its internal dispute resolution processes comply with provisions of Regulatory Guide 165 that deal with the following:</w:t>
      </w:r>
    </w:p>
    <w:p w14:paraId="2FCCAD54"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57" w:author="Author" w:original="(a)"/>
        </w:fldChar>
      </w:r>
      <w:r w:rsidRPr="00693A57">
        <w:rPr>
          <w:color w:val="FF0000"/>
        </w:rPr>
        <w:tab/>
        <w:t>guiding principles or standards that its internal dispute resolution procedures or processes must meet regarding the following:</w:t>
      </w:r>
    </w:p>
    <w:p w14:paraId="5A224AB4"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58" w:author="Author" w:original="(i)"/>
        </w:fldChar>
      </w:r>
      <w:r w:rsidRPr="00693A57">
        <w:rPr>
          <w:color w:val="FF0000"/>
        </w:rPr>
        <w:tab/>
        <w:t xml:space="preserve">commitment and culture; </w:t>
      </w:r>
    </w:p>
    <w:p w14:paraId="7098B766"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59" w:author="Author" w:original="(ii)"/>
        </w:fldChar>
      </w:r>
      <w:r w:rsidRPr="00693A57">
        <w:rPr>
          <w:color w:val="FF0000"/>
        </w:rPr>
        <w:tab/>
        <w:t>the enabling of complaints;</w:t>
      </w:r>
    </w:p>
    <w:p w14:paraId="2DC0C65B"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0" w:author="Author" w:original="(iii)"/>
        </w:fldChar>
      </w:r>
      <w:r w:rsidRPr="00693A57">
        <w:rPr>
          <w:color w:val="FF0000"/>
        </w:rPr>
        <w:tab/>
        <w:t>resourcing;</w:t>
      </w:r>
    </w:p>
    <w:p w14:paraId="5786661A"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1" w:author="Author" w:original="(iv)"/>
        </w:fldChar>
      </w:r>
      <w:r w:rsidRPr="00693A57">
        <w:rPr>
          <w:color w:val="FF0000"/>
        </w:rPr>
        <w:tab/>
        <w:t>responsiveness;</w:t>
      </w:r>
    </w:p>
    <w:p w14:paraId="5A07D381"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2" w:author="Author" w:original="(v)"/>
        </w:fldChar>
      </w:r>
      <w:r w:rsidRPr="00693A57">
        <w:rPr>
          <w:color w:val="FF0000"/>
        </w:rPr>
        <w:tab/>
        <w:t>objectivity;</w:t>
      </w:r>
    </w:p>
    <w:p w14:paraId="7949D074"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3" w:author="Author" w:original="(vi)"/>
        </w:fldChar>
      </w:r>
      <w:r w:rsidRPr="00693A57">
        <w:rPr>
          <w:color w:val="FF0000"/>
        </w:rPr>
        <w:tab/>
        <w:t>fairness;</w:t>
      </w:r>
    </w:p>
    <w:p w14:paraId="1FCEF51E"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4" w:author="Author" w:original="(vii)"/>
        </w:fldChar>
      </w:r>
      <w:r w:rsidRPr="00693A57">
        <w:rPr>
          <w:color w:val="FF0000"/>
        </w:rPr>
        <w:tab/>
        <w:t>complaint data collection or recording;</w:t>
      </w:r>
    </w:p>
    <w:p w14:paraId="619E46DB" w14:textId="77777777" w:rsidR="00F57283" w:rsidRPr="00693A57" w:rsidRDefault="00F57283" w:rsidP="00F57283">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865" w:author="Author" w:original="(viii)"/>
        </w:fldChar>
      </w:r>
      <w:r w:rsidRPr="00693A57">
        <w:rPr>
          <w:color w:val="FF0000"/>
        </w:rPr>
        <w:tab/>
        <w:t>internal reporting and analysis of complaint data;</w:t>
      </w:r>
    </w:p>
    <w:p w14:paraId="101119ED"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66" w:author="Author" w:original="(b)"/>
        </w:fldChar>
      </w:r>
      <w:r w:rsidRPr="00693A57">
        <w:rPr>
          <w:color w:val="FF0000"/>
        </w:rPr>
        <w:tab/>
        <w:t>outsourcing internal dispute resolution procedures;</w:t>
      </w:r>
    </w:p>
    <w:p w14:paraId="7B1C4ED1" w14:textId="77777777" w:rsidR="00F57283" w:rsidRPr="00693A57" w:rsidRDefault="00F57283" w:rsidP="00F57283">
      <w:pPr>
        <w:pStyle w:val="paragraph"/>
        <w:rPr>
          <w:color w:val="FF0000"/>
        </w:rPr>
      </w:pPr>
      <w:r w:rsidRPr="00693A57">
        <w:rPr>
          <w:color w:val="FF0000"/>
        </w:rPr>
        <w:lastRenderedPageBreak/>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67" w:author="Author" w:original="(c)"/>
        </w:fldChar>
      </w:r>
      <w:r w:rsidRPr="00693A57">
        <w:rPr>
          <w:color w:val="FF0000"/>
        </w:rPr>
        <w:tab/>
        <w:t>the manner in which, and timeframes within which, it should acknowledge, respond to and seek to resolve complaints;</w:t>
      </w:r>
    </w:p>
    <w:p w14:paraId="0808B133"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68" w:author="Author" w:original="(d)"/>
        </w:fldChar>
      </w:r>
      <w:r w:rsidRPr="00693A57">
        <w:rPr>
          <w:color w:val="FF0000"/>
        </w:rPr>
        <w:tab/>
        <w:t>multi-tiered internal dispute resolution procedures;</w:t>
      </w:r>
    </w:p>
    <w:p w14:paraId="50829C03"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69" w:author="Author" w:original="(e)"/>
        </w:fldChar>
      </w:r>
      <w:r w:rsidRPr="00693A57">
        <w:rPr>
          <w:color w:val="FF0000"/>
        </w:rPr>
        <w:tab/>
        <w:t>tailoring internal dispute resolution procedures to its business;</w:t>
      </w:r>
    </w:p>
    <w:p w14:paraId="3DA7F88E"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70" w:author="Author" w:original="(f)"/>
        </w:fldChar>
      </w:r>
      <w:r w:rsidRPr="00693A57">
        <w:rPr>
          <w:color w:val="FF0000"/>
        </w:rPr>
        <w:tab/>
        <w:t>documenting internal facing internal dispute resolution processes, policies and/or procedures;</w:t>
      </w:r>
    </w:p>
    <w:p w14:paraId="6FF734C7"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71" w:author="Author" w:original="(g)"/>
        </w:fldChar>
      </w:r>
      <w:r w:rsidRPr="00693A57">
        <w:rPr>
          <w:color w:val="FF0000"/>
        </w:rPr>
        <w:tab/>
        <w:t>establishing appropriate links between internal dispute resolution and external dispute resolution;</w:t>
      </w:r>
    </w:p>
    <w:p w14:paraId="79B0A449" w14:textId="77777777" w:rsidR="00F57283" w:rsidRPr="00693A57" w:rsidRDefault="00F57283" w:rsidP="00F57283">
      <w:pPr>
        <w:pStyle w:val="subsection"/>
        <w:spacing w:before="100"/>
        <w:rPr>
          <w:color w:val="FF0000"/>
        </w:rPr>
      </w:pPr>
      <w:r w:rsidRPr="00693A57">
        <w:rPr>
          <w:color w:val="FF0000"/>
        </w:rPr>
        <w:tab/>
      </w:r>
      <w:r w:rsidRPr="00693A57">
        <w:rPr>
          <w:color w:val="FF0000"/>
        </w:rPr>
        <w:tab/>
        <w:t xml:space="preserve">as if references in </w:t>
      </w:r>
      <w:r w:rsidRPr="00693A57">
        <w:rPr>
          <w:rFonts w:eastAsia="Calibri"/>
          <w:color w:val="FF0000"/>
        </w:rPr>
        <w:t xml:space="preserve">Regulatory Guide 165 </w:t>
      </w:r>
      <w:r w:rsidRPr="00693A57">
        <w:rPr>
          <w:color w:val="FF0000"/>
        </w:rPr>
        <w:t>to:</w:t>
      </w:r>
    </w:p>
    <w:p w14:paraId="089B773D"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72" w:author="Author" w:original="(h)"/>
        </w:fldChar>
      </w:r>
      <w:r w:rsidRPr="00693A57">
        <w:rPr>
          <w:color w:val="FF0000"/>
        </w:rPr>
        <w:tab/>
        <w:t>complaints or disputes were references to CDR consumer complaints; and</w:t>
      </w:r>
    </w:p>
    <w:p w14:paraId="4F3A163B"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73" w:author="Author" w:original="(i)"/>
        </w:fldChar>
      </w:r>
      <w:r w:rsidRPr="00693A57">
        <w:rPr>
          <w:color w:val="FF0000"/>
        </w:rPr>
        <w:tab/>
        <w:t>financial firms and financial service providers were references to CDR participants.</w:t>
      </w:r>
    </w:p>
    <w:p w14:paraId="0273C2AF" w14:textId="7692E7D9" w:rsidR="00F57283" w:rsidRPr="00693A57" w:rsidRDefault="00C22561" w:rsidP="00F57283">
      <w:pPr>
        <w:pStyle w:val="SubsectionHead"/>
        <w:rPr>
          <w:color w:val="FF0000"/>
        </w:rPr>
      </w:pPr>
      <w:r w:rsidRPr="00693A57">
        <w:rPr>
          <w:color w:val="FF0000"/>
        </w:rPr>
        <w:t>Data holders</w:t>
      </w:r>
    </w:p>
    <w:p w14:paraId="2E00609C" w14:textId="2198B3EF" w:rsidR="00F57283" w:rsidRPr="00693A57" w:rsidRDefault="00F57283" w:rsidP="00F57283">
      <w:pPr>
        <w:pStyle w:val="subsection"/>
        <w:rPr>
          <w:color w:val="FF0000"/>
        </w:rPr>
      </w:pPr>
      <w:r w:rsidRPr="00693A57">
        <w:rPr>
          <w:color w:val="FF0000"/>
        </w:rPr>
        <w:tab/>
      </w:r>
      <w:r w:rsidRPr="00693A57">
        <w:rPr>
          <w:color w:val="FF0000"/>
        </w:rPr>
        <w:fldChar w:fldCharType="begin"/>
      </w:r>
      <w:bookmarkStart w:id="874" w:name="_Ref76120435"/>
      <w:bookmarkEnd w:id="874"/>
      <w:r w:rsidRPr="00693A57">
        <w:rPr>
          <w:color w:val="FF0000"/>
        </w:rPr>
        <w:instrText xml:space="preserve">  LISTNUM "main numbering" \l 6 \* MERGEFORMAT </w:instrText>
      </w:r>
      <w:r w:rsidRPr="00693A57">
        <w:rPr>
          <w:color w:val="FF0000"/>
        </w:rPr>
        <w:fldChar w:fldCharType="end">
          <w:numberingChange w:id="875" w:author="Author" w:original="(2)"/>
        </w:fldChar>
      </w:r>
      <w:r w:rsidRPr="00693A57">
        <w:rPr>
          <w:color w:val="FF0000"/>
        </w:rPr>
        <w:tab/>
        <w:t>For the energy sector, a retailer</w:t>
      </w:r>
      <w:r w:rsidR="00B16C6E" w:rsidRPr="00693A57">
        <w:rPr>
          <w:color w:val="FF0000"/>
        </w:rPr>
        <w:t xml:space="preserve"> (including a retailer that is also an accredited person)</w:t>
      </w:r>
      <w:r w:rsidRPr="00693A57">
        <w:rPr>
          <w:color w:val="FF0000"/>
        </w:rPr>
        <w:t xml:space="preserve"> </w:t>
      </w:r>
      <w:r w:rsidRPr="00693A57">
        <w:rPr>
          <w:b/>
          <w:i/>
          <w:iCs/>
          <w:color w:val="FF0000"/>
        </w:rPr>
        <w:t>meets the internal dispute resolution requirements</w:t>
      </w:r>
      <w:r w:rsidRPr="00693A57">
        <w:rPr>
          <w:color w:val="FF0000"/>
        </w:rPr>
        <w:t xml:space="preserve"> if its internal dispute resolution processes satisfy the applicable requirements for the retailer’s standard complaints and dispute resolution procedures under the National Energy Retail Law or the Energy Retail Code (Victoria).</w:t>
      </w:r>
    </w:p>
    <w:p w14:paraId="5F86FA84"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76" w:author="Author" w:original="(3)"/>
        </w:fldChar>
      </w:r>
      <w:r w:rsidRPr="00693A57">
        <w:rPr>
          <w:color w:val="FF0000"/>
        </w:rPr>
        <w:tab/>
        <w:t>Part 6 does not apply in relation to the AER, the Victorian agency or AEMO, in their capacity as data holders in the energy sector.</w:t>
      </w:r>
    </w:p>
    <w:p w14:paraId="5845937C" w14:textId="77777777" w:rsidR="00F57283" w:rsidRPr="00693A57" w:rsidRDefault="00F57283" w:rsidP="00F57283">
      <w:pPr>
        <w:pStyle w:val="SubsectionHead"/>
        <w:rPr>
          <w:color w:val="FF0000"/>
        </w:rPr>
      </w:pPr>
      <w:r w:rsidRPr="00693A57">
        <w:rPr>
          <w:color w:val="FF0000"/>
        </w:rPr>
        <w:t>Definition</w:t>
      </w:r>
    </w:p>
    <w:p w14:paraId="0037EDB8" w14:textId="77777777" w:rsidR="00F57283" w:rsidRPr="00693A57" w:rsidRDefault="00F57283" w:rsidP="00F5728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77" w:author="Author" w:original="(4)"/>
        </w:fldChar>
      </w:r>
      <w:r w:rsidRPr="00693A57">
        <w:rPr>
          <w:color w:val="FF0000"/>
        </w:rPr>
        <w:tab/>
        <w:t>In this clause:</w:t>
      </w:r>
    </w:p>
    <w:p w14:paraId="7CA74E02" w14:textId="77777777" w:rsidR="00F57283" w:rsidRPr="00693A57" w:rsidRDefault="00F57283" w:rsidP="00F57283">
      <w:pPr>
        <w:pStyle w:val="Definition"/>
        <w:rPr>
          <w:rFonts w:eastAsia="Calibri"/>
          <w:color w:val="FF0000"/>
        </w:rPr>
      </w:pPr>
      <w:r w:rsidRPr="00693A57">
        <w:rPr>
          <w:rFonts w:eastAsia="Calibri"/>
          <w:b/>
          <w:i/>
          <w:iCs/>
          <w:color w:val="FF0000"/>
        </w:rPr>
        <w:t>Regulatory Guide 165</w:t>
      </w:r>
      <w:r w:rsidRPr="00693A57">
        <w:rPr>
          <w:rFonts w:eastAsia="Calibri"/>
          <w:b/>
          <w:color w:val="FF0000"/>
        </w:rPr>
        <w:t xml:space="preserve"> </w:t>
      </w:r>
      <w:r w:rsidRPr="00693A57">
        <w:rPr>
          <w:rFonts w:eastAsia="Calibri"/>
          <w:color w:val="FF0000"/>
        </w:rPr>
        <w:t>means Regulatory Guide 165 published by the Australian Securities &amp; Investments Commission, as in force from time to time.</w:t>
      </w:r>
    </w:p>
    <w:p w14:paraId="39689C56" w14:textId="77777777" w:rsidR="00F57283" w:rsidRPr="00693A57" w:rsidRDefault="00F57283" w:rsidP="00F57283">
      <w:pPr>
        <w:pStyle w:val="notetext"/>
        <w:rPr>
          <w:rFonts w:eastAsia="Calibri"/>
          <w:color w:val="FF0000"/>
        </w:rPr>
      </w:pPr>
      <w:r w:rsidRPr="00693A57">
        <w:rPr>
          <w:rFonts w:eastAsia="Calibri"/>
          <w:color w:val="FF0000"/>
        </w:rPr>
        <w:t>Note:</w:t>
      </w:r>
      <w:r w:rsidRPr="00693A57">
        <w:rPr>
          <w:rFonts w:eastAsia="Calibri"/>
          <w:color w:val="FF0000"/>
        </w:rPr>
        <w:tab/>
        <w:t>Regulatory Guide 165 could in 2020 be accessed from the Australian Securities &amp; Investments Commission’s website (https://asic.gov.au).</w:t>
      </w:r>
    </w:p>
    <w:p w14:paraId="30E4F7DB" w14:textId="1AA0DC6E" w:rsidR="004179F5" w:rsidRPr="00693A57" w:rsidRDefault="004179F5" w:rsidP="004179F5">
      <w:pPr>
        <w:pStyle w:val="ActHead5"/>
        <w:rPr>
          <w:color w:val="FF0000"/>
        </w:rPr>
      </w:pPr>
      <w:r w:rsidRPr="00693A57">
        <w:rPr>
          <w:color w:val="FF0000"/>
        </w:rPr>
        <w:fldChar w:fldCharType="begin"/>
      </w:r>
      <w:bookmarkStart w:id="878" w:name="_Ref76052277"/>
      <w:bookmarkEnd w:id="878"/>
      <w:r w:rsidRPr="00693A57">
        <w:rPr>
          <w:color w:val="FF0000"/>
        </w:rPr>
        <w:instrText xml:space="preserve">  LISTNUM "main numbering" \l 5 \* MERGEFORMAT </w:instrText>
      </w:r>
      <w:bookmarkStart w:id="879" w:name="_Toc77065152"/>
      <w:r w:rsidRPr="00693A57">
        <w:rPr>
          <w:color w:val="FF0000"/>
        </w:rPr>
        <w:fldChar w:fldCharType="end">
          <w:numberingChange w:id="880" w:author="Author" w:original="5.2"/>
        </w:fldChar>
      </w:r>
      <w:r w:rsidRPr="00693A57">
        <w:rPr>
          <w:color w:val="FF0000"/>
        </w:rPr>
        <w:t xml:space="preserve">  External dispute resolution requirements—energy sector</w:t>
      </w:r>
      <w:bookmarkEnd w:id="879"/>
    </w:p>
    <w:p w14:paraId="733A2C03" w14:textId="7C0A3190" w:rsidR="008B3FD7" w:rsidRPr="00693A57" w:rsidRDefault="008B3FD7" w:rsidP="008B3FD7">
      <w:pPr>
        <w:pStyle w:val="notemargin"/>
        <w:rPr>
          <w:color w:val="FF0000"/>
        </w:rPr>
      </w:pPr>
      <w:r w:rsidRPr="00693A57">
        <w:rPr>
          <w:rFonts w:eastAsia="Calibri"/>
          <w:color w:val="FF0000"/>
        </w:rPr>
        <w:t>Note:</w:t>
      </w:r>
      <w:r w:rsidRPr="00693A57">
        <w:rPr>
          <w:rFonts w:eastAsia="Calibri"/>
          <w:color w:val="FF0000"/>
        </w:rPr>
        <w:tab/>
      </w:r>
      <w:r w:rsidR="00253E59" w:rsidRPr="00693A57">
        <w:rPr>
          <w:rFonts w:eastAsia="Calibri"/>
          <w:color w:val="FF0000"/>
        </w:rPr>
        <w:t xml:space="preserve">The </w:t>
      </w:r>
      <w:r w:rsidR="00253E59" w:rsidRPr="00693A57">
        <w:rPr>
          <w:color w:val="FF0000"/>
        </w:rPr>
        <w:t xml:space="preserve">Australian Financial Complaints Authority and the </w:t>
      </w:r>
      <w:r w:rsidRPr="00693A57">
        <w:rPr>
          <w:rFonts w:eastAsia="Calibri"/>
          <w:color w:val="FF0000"/>
        </w:rPr>
        <w:t>energy and water ombudsma</w:t>
      </w:r>
      <w:r w:rsidR="003C0024" w:rsidRPr="00693A57">
        <w:rPr>
          <w:rFonts w:eastAsia="Calibri"/>
          <w:color w:val="FF0000"/>
        </w:rPr>
        <w:t>n of each State and Territory will be</w:t>
      </w:r>
      <w:r w:rsidRPr="00693A57">
        <w:rPr>
          <w:rFonts w:eastAsia="Calibri"/>
          <w:color w:val="FF0000"/>
        </w:rPr>
        <w:t xml:space="preserve"> </w:t>
      </w:r>
      <w:r w:rsidR="003C0024" w:rsidRPr="00693A57">
        <w:rPr>
          <w:rFonts w:eastAsia="Calibri"/>
          <w:color w:val="FF0000"/>
        </w:rPr>
        <w:t xml:space="preserve">recognised </w:t>
      </w:r>
      <w:r w:rsidRPr="00693A57">
        <w:rPr>
          <w:rFonts w:eastAsia="Calibri"/>
          <w:color w:val="FF0000"/>
        </w:rPr>
        <w:t>as external dispute resolution scheme</w:t>
      </w:r>
      <w:r w:rsidR="00253E59" w:rsidRPr="00693A57">
        <w:rPr>
          <w:rFonts w:eastAsia="Calibri"/>
          <w:color w:val="FF0000"/>
        </w:rPr>
        <w:t>s</w:t>
      </w:r>
      <w:r w:rsidRPr="00693A57">
        <w:rPr>
          <w:rFonts w:eastAsia="Calibri"/>
          <w:color w:val="FF0000"/>
        </w:rPr>
        <w:t xml:space="preserve"> for section 56DA of the Act.</w:t>
      </w:r>
      <w:r w:rsidRPr="00693A57">
        <w:rPr>
          <w:color w:val="FF0000"/>
        </w:rPr>
        <w:t xml:space="preserve"> </w:t>
      </w:r>
    </w:p>
    <w:p w14:paraId="79EB83D9" w14:textId="77777777" w:rsidR="00813CB4" w:rsidRPr="00693A57" w:rsidRDefault="00813CB4" w:rsidP="00813CB4">
      <w:pPr>
        <w:pStyle w:val="SubsectionHead"/>
        <w:rPr>
          <w:color w:val="FF0000"/>
        </w:rPr>
      </w:pPr>
      <w:r w:rsidRPr="00693A57">
        <w:rPr>
          <w:color w:val="FF0000"/>
        </w:rPr>
        <w:t>Accredited persons</w:t>
      </w:r>
    </w:p>
    <w:p w14:paraId="680B614C" w14:textId="77777777" w:rsidR="00813CB4" w:rsidRPr="00693A57" w:rsidRDefault="00813CB4" w:rsidP="00813CB4">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81" w:author="Author" w:original="(1)"/>
        </w:fldChar>
      </w:r>
      <w:r w:rsidRPr="00693A57">
        <w:rPr>
          <w:color w:val="FF0000"/>
        </w:rPr>
        <w:tab/>
        <w:t xml:space="preserve">For the purposes of paragraph 5.12(1)(c) of these rules, an accredited person, other than an accredited person to which subclause </w:t>
      </w:r>
      <w:r w:rsidRPr="00693A57">
        <w:rPr>
          <w:color w:val="FF0000"/>
        </w:rPr>
        <w:fldChar w:fldCharType="begin" w:fldLock="1"/>
      </w:r>
      <w:r w:rsidRPr="00693A57">
        <w:rPr>
          <w:color w:val="FF0000"/>
        </w:rPr>
        <w:instrText xml:space="preserve"> REF _Ref76134270 \n </w:instrText>
      </w:r>
      <w:r w:rsidRPr="00693A57">
        <w:rPr>
          <w:color w:val="FF0000"/>
        </w:rPr>
        <w:fldChar w:fldCharType="separate"/>
      </w:r>
      <w:r w:rsidR="000F7228">
        <w:rPr>
          <w:color w:val="FF0000"/>
        </w:rPr>
        <w:t>(3)</w:t>
      </w:r>
      <w:r w:rsidRPr="00693A57">
        <w:rPr>
          <w:color w:val="FF0000"/>
        </w:rPr>
        <w:fldChar w:fldCharType="end"/>
      </w:r>
      <w:r w:rsidRPr="00693A57">
        <w:rPr>
          <w:color w:val="FF0000"/>
        </w:rPr>
        <w:t xml:space="preserve"> applies, must be a member of the Australian Financial Complaints Authority in relation to accredited person complaints.</w:t>
      </w:r>
    </w:p>
    <w:p w14:paraId="24546E4A" w14:textId="77777777" w:rsidR="00C22561" w:rsidRPr="00693A57" w:rsidRDefault="00C22561" w:rsidP="00C22561">
      <w:pPr>
        <w:pStyle w:val="SubsectionHead"/>
        <w:rPr>
          <w:color w:val="FF0000"/>
        </w:rPr>
      </w:pPr>
      <w:r w:rsidRPr="00693A57">
        <w:rPr>
          <w:color w:val="FF0000"/>
        </w:rPr>
        <w:t>Data holders</w:t>
      </w:r>
    </w:p>
    <w:p w14:paraId="56B53C75" w14:textId="77777777" w:rsidR="00253E59" w:rsidRPr="00693A57" w:rsidRDefault="004179F5" w:rsidP="004179F5">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82" w:author="Author" w:original="(2)"/>
        </w:fldChar>
      </w:r>
      <w:r w:rsidRPr="00693A57">
        <w:rPr>
          <w:color w:val="FF0000"/>
        </w:rPr>
        <w:tab/>
      </w:r>
      <w:r w:rsidR="00AF3D65" w:rsidRPr="00693A57">
        <w:rPr>
          <w:color w:val="FF0000"/>
        </w:rPr>
        <w:t xml:space="preserve">For the purposes of rule 6.2 (Requirement for data holders—external dispute resolution), a </w:t>
      </w:r>
      <w:r w:rsidR="00253E59" w:rsidRPr="00693A57">
        <w:rPr>
          <w:color w:val="FF0000"/>
        </w:rPr>
        <w:t>retailer must, in each relevant jurisdiction:</w:t>
      </w:r>
    </w:p>
    <w:p w14:paraId="670FD9FA" w14:textId="2686F8D7" w:rsidR="004179F5" w:rsidRPr="00693A57" w:rsidRDefault="00253E59" w:rsidP="00253E59">
      <w:pPr>
        <w:pStyle w:val="paragraph"/>
        <w:rPr>
          <w:color w:val="FF0000"/>
        </w:rPr>
      </w:pPr>
      <w:r w:rsidRPr="00693A57">
        <w:rPr>
          <w:color w:val="FF0000"/>
        </w:rPr>
        <w:lastRenderedPageBreak/>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83" w:author="Author" w:original="(a)"/>
        </w:fldChar>
      </w:r>
      <w:r w:rsidRPr="00693A57">
        <w:rPr>
          <w:color w:val="FF0000"/>
        </w:rPr>
        <w:tab/>
        <w:t>if the jurisdiction has an energy and water ombudsman—</w:t>
      </w:r>
      <w:r w:rsidR="00AF3D65" w:rsidRPr="00693A57">
        <w:rPr>
          <w:color w:val="FF0000"/>
        </w:rPr>
        <w:t xml:space="preserve">be a member of </w:t>
      </w:r>
      <w:r w:rsidRPr="00693A57">
        <w:rPr>
          <w:color w:val="FF0000"/>
        </w:rPr>
        <w:t xml:space="preserve">the </w:t>
      </w:r>
      <w:r w:rsidR="00AF3D65" w:rsidRPr="00693A57">
        <w:rPr>
          <w:color w:val="FF0000"/>
        </w:rPr>
        <w:t>energy and water ombudsman</w:t>
      </w:r>
      <w:r w:rsidR="008B3FD7" w:rsidRPr="00693A57">
        <w:rPr>
          <w:color w:val="FF0000"/>
        </w:rPr>
        <w:t xml:space="preserve"> in relation to data holder complaints</w:t>
      </w:r>
      <w:r w:rsidRPr="00693A57">
        <w:rPr>
          <w:color w:val="FF0000"/>
        </w:rPr>
        <w:t>; and</w:t>
      </w:r>
    </w:p>
    <w:p w14:paraId="72D424DE" w14:textId="017109E4" w:rsidR="00253E59" w:rsidRPr="00693A57" w:rsidRDefault="00253E59" w:rsidP="00253E59">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84" w:author="Author" w:original="(b)"/>
        </w:fldChar>
      </w:r>
      <w:r w:rsidRPr="00693A57">
        <w:rPr>
          <w:color w:val="FF0000"/>
        </w:rPr>
        <w:tab/>
        <w:t>otherwise—take the necessary steps to participate in the dispute resolution process provided by the jurisdiction that is appropriate for data holder complaints.</w:t>
      </w:r>
    </w:p>
    <w:p w14:paraId="793C7835" w14:textId="6C5D2B80" w:rsidR="00813CB4" w:rsidRPr="00693A57" w:rsidRDefault="00C22561" w:rsidP="00813CB4">
      <w:pPr>
        <w:pStyle w:val="SubsectionHead"/>
        <w:rPr>
          <w:color w:val="FF0000"/>
        </w:rPr>
      </w:pPr>
      <w:r w:rsidRPr="00693A57">
        <w:rPr>
          <w:color w:val="FF0000"/>
        </w:rPr>
        <w:t>Certain a</w:t>
      </w:r>
      <w:r w:rsidR="00813CB4" w:rsidRPr="00693A57">
        <w:rPr>
          <w:color w:val="FF0000"/>
        </w:rPr>
        <w:t>ccredited persons that are also retailers</w:t>
      </w:r>
    </w:p>
    <w:p w14:paraId="330BF6EB" w14:textId="77777777" w:rsidR="00253E59" w:rsidRPr="00693A57" w:rsidRDefault="00AF3D65" w:rsidP="00253E59">
      <w:pPr>
        <w:pStyle w:val="subsection"/>
        <w:rPr>
          <w:color w:val="FF0000"/>
        </w:rPr>
      </w:pPr>
      <w:r w:rsidRPr="00693A57">
        <w:rPr>
          <w:color w:val="FF0000"/>
        </w:rPr>
        <w:tab/>
      </w:r>
      <w:r w:rsidRPr="00693A57">
        <w:rPr>
          <w:color w:val="FF0000"/>
        </w:rPr>
        <w:fldChar w:fldCharType="begin"/>
      </w:r>
      <w:bookmarkStart w:id="885" w:name="_Ref76134270"/>
      <w:bookmarkEnd w:id="885"/>
      <w:r w:rsidRPr="00693A57">
        <w:rPr>
          <w:color w:val="FF0000"/>
        </w:rPr>
        <w:instrText xml:space="preserve">  LISTNUM "main numbering" \l 6 \* MERGEFORMAT </w:instrText>
      </w:r>
      <w:r w:rsidRPr="00693A57">
        <w:rPr>
          <w:color w:val="FF0000"/>
        </w:rPr>
        <w:fldChar w:fldCharType="end">
          <w:numberingChange w:id="886" w:author="Author" w:original="(3)"/>
        </w:fldChar>
      </w:r>
      <w:r w:rsidRPr="00693A57">
        <w:rPr>
          <w:color w:val="FF0000"/>
        </w:rPr>
        <w:tab/>
        <w:t>For the purposes of paragraph 5.12(1)(c)</w:t>
      </w:r>
      <w:r w:rsidR="002E19CC" w:rsidRPr="00693A57">
        <w:rPr>
          <w:color w:val="FF0000"/>
        </w:rPr>
        <w:t xml:space="preserve"> of these rules</w:t>
      </w:r>
      <w:r w:rsidRPr="00693A57">
        <w:rPr>
          <w:color w:val="FF0000"/>
        </w:rPr>
        <w:t>, a</w:t>
      </w:r>
      <w:r w:rsidR="004179F5" w:rsidRPr="00693A57">
        <w:rPr>
          <w:color w:val="FF0000"/>
        </w:rPr>
        <w:t xml:space="preserve"> retailer that</w:t>
      </w:r>
      <w:r w:rsidR="00253E59" w:rsidRPr="00693A57">
        <w:rPr>
          <w:color w:val="FF0000"/>
        </w:rPr>
        <w:t>:</w:t>
      </w:r>
    </w:p>
    <w:p w14:paraId="6266EA04" w14:textId="77777777" w:rsidR="00253E59" w:rsidRPr="00693A57" w:rsidRDefault="00253E59" w:rsidP="00253E59">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87" w:author="Author" w:original="(a)"/>
        </w:fldChar>
      </w:r>
      <w:r w:rsidRPr="00693A57">
        <w:rPr>
          <w:color w:val="FF0000"/>
        </w:rPr>
        <w:tab/>
      </w:r>
      <w:r w:rsidR="004179F5" w:rsidRPr="00693A57">
        <w:rPr>
          <w:color w:val="FF0000"/>
        </w:rPr>
        <w:t>is</w:t>
      </w:r>
      <w:r w:rsidRPr="00693A57">
        <w:rPr>
          <w:color w:val="FF0000"/>
        </w:rPr>
        <w:t>, or becomes, an accredited person; and</w:t>
      </w:r>
    </w:p>
    <w:p w14:paraId="46429A61" w14:textId="5DEC90B4" w:rsidR="00253E59" w:rsidRPr="00693A57" w:rsidRDefault="00253E59" w:rsidP="00253E59">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88" w:author="Author" w:original="(b)"/>
        </w:fldChar>
      </w:r>
      <w:r w:rsidRPr="00693A57">
        <w:rPr>
          <w:color w:val="FF0000"/>
        </w:rPr>
        <w:tab/>
      </w:r>
      <w:r w:rsidR="00C22561" w:rsidRPr="00693A57">
        <w:rPr>
          <w:color w:val="FF0000"/>
        </w:rPr>
        <w:t>does not use any e</w:t>
      </w:r>
      <w:r w:rsidRPr="00693A57">
        <w:rPr>
          <w:color w:val="FF0000"/>
        </w:rPr>
        <w:t xml:space="preserve">nergy sector CDR data that it collects </w:t>
      </w:r>
      <w:r w:rsidR="00C22561" w:rsidRPr="00693A57">
        <w:rPr>
          <w:color w:val="FF0000"/>
        </w:rPr>
        <w:t xml:space="preserve">in </w:t>
      </w:r>
      <w:r w:rsidRPr="00693A57">
        <w:rPr>
          <w:color w:val="FF0000"/>
        </w:rPr>
        <w:t xml:space="preserve">order to provide services </w:t>
      </w:r>
      <w:r w:rsidR="00C22561" w:rsidRPr="00693A57">
        <w:rPr>
          <w:color w:val="FF0000"/>
        </w:rPr>
        <w:t xml:space="preserve">outside </w:t>
      </w:r>
      <w:r w:rsidRPr="00693A57">
        <w:rPr>
          <w:color w:val="FF0000"/>
        </w:rPr>
        <w:t>the energy sector;</w:t>
      </w:r>
    </w:p>
    <w:p w14:paraId="605F33B1" w14:textId="6EBEA99D" w:rsidR="00253E59" w:rsidRPr="00693A57" w:rsidRDefault="00253E59" w:rsidP="00253E59">
      <w:pPr>
        <w:pStyle w:val="subsection20"/>
        <w:rPr>
          <w:color w:val="FF0000"/>
        </w:rPr>
      </w:pPr>
      <w:r w:rsidRPr="00693A57">
        <w:rPr>
          <w:color w:val="FF0000"/>
        </w:rPr>
        <w:tab/>
      </w:r>
      <w:r w:rsidRPr="00693A57">
        <w:rPr>
          <w:color w:val="FF0000"/>
        </w:rPr>
        <w:tab/>
        <w:t>must, in each relevant jurisdiction:</w:t>
      </w:r>
    </w:p>
    <w:p w14:paraId="3F4EE950" w14:textId="4307C309" w:rsidR="00253E59" w:rsidRPr="00693A57" w:rsidRDefault="00253E59" w:rsidP="00253E59">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89" w:author="Author" w:original="(c)"/>
        </w:fldChar>
      </w:r>
      <w:r w:rsidRPr="00693A57">
        <w:rPr>
          <w:color w:val="FF0000"/>
        </w:rPr>
        <w:tab/>
        <w:t>if the jurisdiction has an energy and water ombudsman—be a member of the energy and water ombudsman in relation to accredited person complaints; and</w:t>
      </w:r>
    </w:p>
    <w:p w14:paraId="51597E00" w14:textId="577823D4" w:rsidR="00253E59" w:rsidRPr="00693A57" w:rsidRDefault="00253E59" w:rsidP="00253E59">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890" w:author="Author" w:original="(d)"/>
        </w:fldChar>
      </w:r>
      <w:r w:rsidRPr="00693A57">
        <w:rPr>
          <w:color w:val="FF0000"/>
        </w:rPr>
        <w:tab/>
        <w:t xml:space="preserve">otherwise—take the necessary steps to participate in the dispute resolution process provided by the jurisdiction that is appropriate for </w:t>
      </w:r>
      <w:r w:rsidR="00C22561" w:rsidRPr="00693A57">
        <w:rPr>
          <w:color w:val="FF0000"/>
        </w:rPr>
        <w:t xml:space="preserve">such </w:t>
      </w:r>
      <w:r w:rsidRPr="00693A57">
        <w:rPr>
          <w:color w:val="FF0000"/>
        </w:rPr>
        <w:t>accredited person complaints.</w:t>
      </w:r>
    </w:p>
    <w:p w14:paraId="31DDB62F" w14:textId="035C3B4A" w:rsidR="00726E00" w:rsidRPr="00693A57" w:rsidRDefault="00726E00" w:rsidP="00726E00">
      <w:pPr>
        <w:pStyle w:val="ActHead2"/>
        <w:rPr>
          <w:color w:val="FF0000"/>
        </w:rPr>
      </w:pPr>
      <w:r w:rsidRPr="00693A57">
        <w:rPr>
          <w:color w:val="FF0000"/>
        </w:rPr>
        <w:fldChar w:fldCharType="begin"/>
      </w:r>
      <w:r w:rsidRPr="00693A57">
        <w:rPr>
          <w:color w:val="FF0000"/>
        </w:rPr>
        <w:instrText xml:space="preserve">  LISTNUM "main numbering" \l 2 \* MERGEFORMAT </w:instrText>
      </w:r>
      <w:bookmarkStart w:id="891" w:name="_Toc77065153"/>
      <w:r w:rsidRPr="00693A57">
        <w:rPr>
          <w:color w:val="FF0000"/>
        </w:rPr>
        <w:fldChar w:fldCharType="end">
          <w:numberingChange w:id="892" w:author="Author" w:original="Part 6"/>
        </w:fldChar>
      </w:r>
      <w:r w:rsidRPr="00693A57">
        <w:rPr>
          <w:color w:val="FF0000"/>
        </w:rPr>
        <w:t>—Privacy safeguards―energy sector</w:t>
      </w:r>
      <w:bookmarkEnd w:id="891"/>
    </w:p>
    <w:p w14:paraId="21A302B1" w14:textId="283D02A9" w:rsidR="00726E00" w:rsidRPr="00693A57" w:rsidRDefault="00726E00" w:rsidP="00726E00">
      <w:pPr>
        <w:pStyle w:val="ActHead5"/>
        <w:rPr>
          <w:color w:val="FF0000"/>
        </w:rPr>
      </w:pPr>
      <w:r w:rsidRPr="00693A57">
        <w:rPr>
          <w:color w:val="FF0000"/>
        </w:rPr>
        <w:fldChar w:fldCharType="begin"/>
      </w:r>
      <w:bookmarkStart w:id="893" w:name="_Ref76052516"/>
      <w:bookmarkEnd w:id="893"/>
      <w:r w:rsidRPr="00693A57">
        <w:rPr>
          <w:color w:val="FF0000"/>
        </w:rPr>
        <w:instrText xml:space="preserve">  LISTNUM "main numbering" \l 5 \* MERGEFORMAT </w:instrText>
      </w:r>
      <w:bookmarkStart w:id="894" w:name="_Toc77065154"/>
      <w:r w:rsidRPr="00693A57">
        <w:rPr>
          <w:color w:val="FF0000"/>
        </w:rPr>
        <w:fldChar w:fldCharType="end">
          <w:numberingChange w:id="895" w:author="Author" w:original="6.1"/>
        </w:fldChar>
      </w:r>
      <w:r w:rsidRPr="00693A57">
        <w:rPr>
          <w:color w:val="FF0000"/>
        </w:rPr>
        <w:t xml:space="preserve">  Responding to correction request (rule 7.15)</w:t>
      </w:r>
      <w:bookmarkEnd w:id="894"/>
    </w:p>
    <w:p w14:paraId="2CC756BA" w14:textId="77777777" w:rsidR="00726E00" w:rsidRPr="00693A57" w:rsidRDefault="00726E00" w:rsidP="00726E00">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96" w:author="Author" w:original="(1)"/>
        </w:fldChar>
      </w:r>
      <w:r w:rsidRPr="00693A57">
        <w:rPr>
          <w:color w:val="FF0000"/>
        </w:rPr>
        <w:tab/>
        <w:t>This clause applies to a retailer that receives a request under subsection 56EP(1) or (2) of the Act that relates to AEMO data.</w:t>
      </w:r>
    </w:p>
    <w:p w14:paraId="31526326" w14:textId="0F181FAB" w:rsidR="00FF7CF7" w:rsidRPr="00693A57" w:rsidRDefault="00726E00" w:rsidP="00726E00">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897" w:author="Author" w:original="(2)"/>
        </w:fldChar>
      </w:r>
      <w:r w:rsidRPr="00693A57">
        <w:rPr>
          <w:color w:val="FF0000"/>
        </w:rPr>
        <w:tab/>
      </w:r>
      <w:r w:rsidR="00FF7CF7" w:rsidRPr="00693A57">
        <w:rPr>
          <w:color w:val="FF0000"/>
        </w:rPr>
        <w:t>In relation to the AEMO data, r</w:t>
      </w:r>
      <w:r w:rsidRPr="00693A57">
        <w:rPr>
          <w:color w:val="FF0000"/>
        </w:rPr>
        <w:t>ule 7.15 applies</w:t>
      </w:r>
      <w:r w:rsidR="00FF7CF7" w:rsidRPr="00693A57">
        <w:rPr>
          <w:color w:val="FF0000"/>
        </w:rPr>
        <w:t xml:space="preserve"> as if paragraph</w:t>
      </w:r>
      <w:r w:rsidR="00B63AB6" w:rsidRPr="00693A57">
        <w:rPr>
          <w:color w:val="FF0000"/>
        </w:rPr>
        <w:t>s</w:t>
      </w:r>
      <w:r w:rsidR="00FF7CF7" w:rsidRPr="00693A57">
        <w:rPr>
          <w:color w:val="FF0000"/>
        </w:rPr>
        <w:t xml:space="preserve"> (b) </w:t>
      </w:r>
      <w:r w:rsidR="00B63AB6" w:rsidRPr="00693A57">
        <w:rPr>
          <w:color w:val="FF0000"/>
        </w:rPr>
        <w:t xml:space="preserve">and (c) </w:t>
      </w:r>
      <w:r w:rsidR="00FF7CF7" w:rsidRPr="00693A57">
        <w:rPr>
          <w:color w:val="FF0000"/>
        </w:rPr>
        <w:t>were replaced by the following:</w:t>
      </w:r>
    </w:p>
    <w:p w14:paraId="524DD1E6" w14:textId="77777777" w:rsidR="00920CB4" w:rsidRPr="00693A57" w:rsidRDefault="00920CB4" w:rsidP="00920CB4">
      <w:pPr>
        <w:pStyle w:val="paragraph"/>
        <w:rPr>
          <w:color w:val="FF0000"/>
        </w:rPr>
      </w:pPr>
      <w:r w:rsidRPr="00693A57">
        <w:rPr>
          <w:color w:val="FF0000"/>
        </w:rPr>
        <w:tab/>
        <w:t>“ (b)</w:t>
      </w:r>
      <w:r w:rsidRPr="00693A57">
        <w:rPr>
          <w:color w:val="FF0000"/>
        </w:rPr>
        <w:tab/>
        <w:t>within 5 business days after receipt of the request:</w:t>
      </w:r>
    </w:p>
    <w:p w14:paraId="24DE916F" w14:textId="2F570C02" w:rsidR="00920CB4" w:rsidRPr="00693A57" w:rsidRDefault="00920CB4" w:rsidP="00920CB4">
      <w:pPr>
        <w:pStyle w:val="paragraphsub"/>
        <w:rPr>
          <w:rFonts w:eastAsia="Calibri"/>
          <w:color w:val="FF0000"/>
        </w:rPr>
      </w:pPr>
      <w:r w:rsidRPr="00693A57">
        <w:rPr>
          <w:rFonts w:eastAsia="Calibri"/>
          <w:color w:val="FF0000"/>
        </w:rPr>
        <w:tab/>
        <w:t>(i)</w:t>
      </w:r>
      <w:r w:rsidRPr="00693A57">
        <w:rPr>
          <w:rFonts w:eastAsia="Calibri"/>
          <w:color w:val="FF0000"/>
        </w:rPr>
        <w:tab/>
        <w:t xml:space="preserve">initiate the relevant correction </w:t>
      </w:r>
      <w:r w:rsidRPr="00693A57">
        <w:rPr>
          <w:color w:val="FF0000"/>
        </w:rPr>
        <w:t>procedures under the N</w:t>
      </w:r>
      <w:r w:rsidR="00913200" w:rsidRPr="00693A57">
        <w:rPr>
          <w:color w:val="FF0000"/>
        </w:rPr>
        <w:t xml:space="preserve">ational Electricity Rules </w:t>
      </w:r>
      <w:r w:rsidRPr="00693A57">
        <w:rPr>
          <w:rFonts w:eastAsia="Calibri"/>
          <w:color w:val="FF0000"/>
        </w:rPr>
        <w:t>in relation to any NMI standing data or metering data for which correction is requested; and</w:t>
      </w:r>
    </w:p>
    <w:p w14:paraId="578248A3" w14:textId="54502C80" w:rsidR="00920CB4" w:rsidRPr="00693A57" w:rsidRDefault="00920CB4" w:rsidP="00920CB4">
      <w:pPr>
        <w:pStyle w:val="paragraphsub"/>
        <w:rPr>
          <w:rFonts w:eastAsia="Calibri"/>
          <w:color w:val="FF0000"/>
        </w:rPr>
      </w:pPr>
      <w:r w:rsidRPr="00693A57">
        <w:rPr>
          <w:rFonts w:eastAsia="Calibri"/>
          <w:color w:val="FF0000"/>
        </w:rPr>
        <w:tab/>
        <w:t>(ii)</w:t>
      </w:r>
      <w:r w:rsidRPr="00693A57">
        <w:rPr>
          <w:rFonts w:eastAsia="Calibri"/>
          <w:color w:val="FF0000"/>
        </w:rPr>
        <w:tab/>
        <w:t xml:space="preserve">refer any correction request in relation to DER </w:t>
      </w:r>
      <w:r w:rsidR="00C24890" w:rsidRPr="00693A57">
        <w:rPr>
          <w:rFonts w:eastAsia="Calibri"/>
          <w:color w:val="FF0000"/>
        </w:rPr>
        <w:t xml:space="preserve">register </w:t>
      </w:r>
      <w:r w:rsidRPr="00693A57">
        <w:rPr>
          <w:rFonts w:eastAsia="Calibri"/>
          <w:color w:val="FF0000"/>
        </w:rPr>
        <w:t>data to the relevant electricity distributor; and</w:t>
      </w:r>
    </w:p>
    <w:p w14:paraId="70E87F9F" w14:textId="70258C61" w:rsidR="00B63AB6" w:rsidRPr="00693A57" w:rsidRDefault="00B63AB6" w:rsidP="00B63AB6">
      <w:pPr>
        <w:pStyle w:val="paragraph"/>
        <w:rPr>
          <w:color w:val="FF0000"/>
        </w:rPr>
      </w:pPr>
      <w:r w:rsidRPr="00693A57">
        <w:rPr>
          <w:color w:val="FF0000"/>
        </w:rPr>
        <w:tab/>
        <w:t xml:space="preserve">“ </w:t>
      </w:r>
      <w:r w:rsidR="00913200" w:rsidRPr="00693A57">
        <w:rPr>
          <w:color w:val="FF0000"/>
        </w:rPr>
        <w:t>(c</w:t>
      </w:r>
      <w:r w:rsidRPr="00693A57">
        <w:rPr>
          <w:color w:val="FF0000"/>
        </w:rPr>
        <w:t>)</w:t>
      </w:r>
      <w:r w:rsidRPr="00693A57">
        <w:rPr>
          <w:color w:val="FF0000"/>
        </w:rPr>
        <w:tab/>
        <w:t>within 10 business days after receipt of the request, give the requester a written notice, by electronic means, that:</w:t>
      </w:r>
    </w:p>
    <w:p w14:paraId="2274E0CA" w14:textId="612AB8FF" w:rsidR="00B63AB6" w:rsidRPr="00693A57" w:rsidRDefault="00B63AB6" w:rsidP="00B63AB6">
      <w:pPr>
        <w:pStyle w:val="paragraphsub"/>
        <w:rPr>
          <w:color w:val="FF0000"/>
        </w:rPr>
      </w:pPr>
      <w:r w:rsidRPr="00693A57">
        <w:rPr>
          <w:color w:val="FF0000"/>
        </w:rPr>
        <w:tab/>
        <w:t>(i)</w:t>
      </w:r>
      <w:r w:rsidRPr="00693A57">
        <w:rPr>
          <w:color w:val="FF0000"/>
        </w:rPr>
        <w:tab/>
        <w:t xml:space="preserve">indicates what the </w:t>
      </w:r>
      <w:r w:rsidR="00913200" w:rsidRPr="00693A57">
        <w:rPr>
          <w:color w:val="FF0000"/>
        </w:rPr>
        <w:t>retailer</w:t>
      </w:r>
      <w:r w:rsidRPr="00693A57">
        <w:rPr>
          <w:color w:val="FF0000"/>
        </w:rPr>
        <w:t xml:space="preserve"> did in response to the request; and</w:t>
      </w:r>
    </w:p>
    <w:p w14:paraId="4C1E1E9F" w14:textId="67613507" w:rsidR="00E7545C" w:rsidRPr="00693A57" w:rsidRDefault="00E7545C" w:rsidP="00E7545C">
      <w:pPr>
        <w:pStyle w:val="paragraphsub"/>
        <w:rPr>
          <w:color w:val="FF0000"/>
        </w:rPr>
      </w:pPr>
      <w:r w:rsidRPr="00693A57">
        <w:rPr>
          <w:color w:val="FF0000"/>
        </w:rPr>
        <w:tab/>
        <w:t>(ii)</w:t>
      </w:r>
      <w:r w:rsidRPr="00693A57">
        <w:rPr>
          <w:color w:val="FF0000"/>
        </w:rPr>
        <w:tab/>
        <w:t xml:space="preserve">if it was not possible for the retailer to comply with paragraph (b)―states why it was not possible to </w:t>
      </w:r>
      <w:r w:rsidR="00913200" w:rsidRPr="00693A57">
        <w:rPr>
          <w:color w:val="FF0000"/>
        </w:rPr>
        <w:t>do so</w:t>
      </w:r>
      <w:r w:rsidRPr="00693A57">
        <w:rPr>
          <w:color w:val="FF0000"/>
        </w:rPr>
        <w:t>; and</w:t>
      </w:r>
    </w:p>
    <w:p w14:paraId="78E059C1" w14:textId="65372636" w:rsidR="00B63AB6" w:rsidRPr="00693A57" w:rsidRDefault="00B63AB6" w:rsidP="00B63AB6">
      <w:pPr>
        <w:pStyle w:val="paragraphsub"/>
        <w:rPr>
          <w:color w:val="FF0000"/>
        </w:rPr>
      </w:pPr>
      <w:r w:rsidRPr="00693A57">
        <w:rPr>
          <w:color w:val="FF0000"/>
        </w:rPr>
        <w:tab/>
        <w:t>(i</w:t>
      </w:r>
      <w:r w:rsidR="00E7545C" w:rsidRPr="00693A57">
        <w:rPr>
          <w:color w:val="FF0000"/>
        </w:rPr>
        <w:t>i</w:t>
      </w:r>
      <w:r w:rsidRPr="00693A57">
        <w:rPr>
          <w:color w:val="FF0000"/>
        </w:rPr>
        <w:t>i)</w:t>
      </w:r>
      <w:r w:rsidRPr="00693A57">
        <w:rPr>
          <w:color w:val="FF0000"/>
        </w:rPr>
        <w:tab/>
        <w:t xml:space="preserve">if the </w:t>
      </w:r>
      <w:r w:rsidR="00913200" w:rsidRPr="00693A57">
        <w:rPr>
          <w:color w:val="FF0000"/>
        </w:rPr>
        <w:t>retailer</w:t>
      </w:r>
      <w:r w:rsidRPr="00693A57">
        <w:rPr>
          <w:color w:val="FF0000"/>
        </w:rPr>
        <w:t xml:space="preserve"> did not think it appropriate to do either of the things referred to in subparagraphs </w:t>
      </w:r>
      <w:r w:rsidR="00913200" w:rsidRPr="00693A57">
        <w:rPr>
          <w:color w:val="FF0000"/>
        </w:rPr>
        <w:t>(b)</w:t>
      </w:r>
      <w:r w:rsidRPr="00693A57">
        <w:rPr>
          <w:color w:val="FF0000"/>
        </w:rPr>
        <w:t>(i) or (ii)―states why</w:t>
      </w:r>
      <w:r w:rsidR="00913200" w:rsidRPr="00693A57">
        <w:rPr>
          <w:color w:val="FF0000"/>
        </w:rPr>
        <w:t xml:space="preserve"> they were</w:t>
      </w:r>
      <w:r w:rsidRPr="00693A57">
        <w:rPr>
          <w:color w:val="FF0000"/>
        </w:rPr>
        <w:t xml:space="preserve"> unnecessary or inappropriate; and</w:t>
      </w:r>
    </w:p>
    <w:p w14:paraId="51E0400B" w14:textId="6B1FE9BF" w:rsidR="00B63AB6" w:rsidRPr="00693A57" w:rsidRDefault="00E7545C" w:rsidP="00B63AB6">
      <w:pPr>
        <w:pStyle w:val="paragraphsub"/>
        <w:rPr>
          <w:color w:val="FF0000"/>
        </w:rPr>
      </w:pPr>
      <w:r w:rsidRPr="00693A57">
        <w:rPr>
          <w:color w:val="FF0000"/>
        </w:rPr>
        <w:tab/>
        <w:t>(iv</w:t>
      </w:r>
      <w:r w:rsidR="00B63AB6" w:rsidRPr="00693A57">
        <w:rPr>
          <w:color w:val="FF0000"/>
        </w:rPr>
        <w:t>)</w:t>
      </w:r>
      <w:r w:rsidR="00B63AB6" w:rsidRPr="00693A57">
        <w:rPr>
          <w:color w:val="FF0000"/>
        </w:rPr>
        <w:tab/>
        <w:t>sets out the complaint mechanisms available to the requester.”.</w:t>
      </w:r>
    </w:p>
    <w:p w14:paraId="7D426FF9" w14:textId="11663A05" w:rsidR="00F57283" w:rsidRPr="00693A57" w:rsidRDefault="00F57283" w:rsidP="00F57283">
      <w:pPr>
        <w:pStyle w:val="ActHead2"/>
        <w:rPr>
          <w:color w:val="FF0000"/>
        </w:rPr>
      </w:pPr>
      <w:r w:rsidRPr="00693A57">
        <w:rPr>
          <w:color w:val="FF0000"/>
        </w:rPr>
        <w:lastRenderedPageBreak/>
        <w:fldChar w:fldCharType="begin"/>
      </w:r>
      <w:r w:rsidRPr="00693A57">
        <w:rPr>
          <w:color w:val="FF0000"/>
        </w:rPr>
        <w:instrText xml:space="preserve">  LISTNUM "main numbering" \l 2 \* MERGEFORMAT </w:instrText>
      </w:r>
      <w:bookmarkStart w:id="898" w:name="_Toc77065155"/>
      <w:r w:rsidRPr="00693A57">
        <w:rPr>
          <w:color w:val="FF0000"/>
        </w:rPr>
        <w:fldChar w:fldCharType="end">
          <w:numberingChange w:id="899" w:author="Author" w:original="Part 7"/>
        </w:fldChar>
      </w:r>
      <w:r w:rsidRPr="00693A57">
        <w:rPr>
          <w:color w:val="FF0000"/>
        </w:rPr>
        <w:t>—Reporting and record keeping―energy sector</w:t>
      </w:r>
      <w:bookmarkEnd w:id="898"/>
    </w:p>
    <w:p w14:paraId="78CE9066" w14:textId="44DF0165" w:rsidR="00F57283" w:rsidRPr="00693A57" w:rsidRDefault="00F57283" w:rsidP="00F57283">
      <w:pPr>
        <w:pStyle w:val="ActHead5"/>
        <w:rPr>
          <w:color w:val="FF0000"/>
        </w:rPr>
      </w:pPr>
      <w:r w:rsidRPr="00693A57">
        <w:rPr>
          <w:color w:val="FF0000"/>
        </w:rPr>
        <w:fldChar w:fldCharType="begin"/>
      </w:r>
      <w:bookmarkStart w:id="900" w:name="_Ref65487918"/>
      <w:bookmarkEnd w:id="900"/>
      <w:r w:rsidRPr="00693A57">
        <w:rPr>
          <w:color w:val="FF0000"/>
        </w:rPr>
        <w:instrText xml:space="preserve">  LISTNUM "main numbering" \l 5 \* MERGEFORMAT </w:instrText>
      </w:r>
      <w:bookmarkStart w:id="901" w:name="_Toc77065156"/>
      <w:r w:rsidRPr="00693A57">
        <w:rPr>
          <w:color w:val="FF0000"/>
        </w:rPr>
        <w:fldChar w:fldCharType="end">
          <w:numberingChange w:id="902" w:author="Author" w:original="7.1"/>
        </w:fldChar>
      </w:r>
      <w:r w:rsidRPr="00693A57">
        <w:rPr>
          <w:color w:val="FF0000"/>
        </w:rPr>
        <w:t xml:space="preserve">  Reporting requirements (rule 9.4)</w:t>
      </w:r>
      <w:bookmarkEnd w:id="901"/>
    </w:p>
    <w:p w14:paraId="27869D74" w14:textId="77777777" w:rsidR="00F57283" w:rsidRPr="00693A57" w:rsidRDefault="00F57283" w:rsidP="00F57283">
      <w:pPr>
        <w:pStyle w:val="subsection"/>
        <w:rPr>
          <w:color w:val="FF0000"/>
        </w:rPr>
      </w:pPr>
      <w:r w:rsidRPr="00693A57">
        <w:rPr>
          <w:color w:val="FF0000"/>
        </w:rPr>
        <w:tab/>
      </w:r>
      <w:r w:rsidRPr="00693A57">
        <w:rPr>
          <w:color w:val="FF0000"/>
        </w:rPr>
        <w:tab/>
        <w:t xml:space="preserve">Rule 9.4 applies to AER and the Victorian agency as if subrule 9.4(1) were replaced by the following, referring to either as “the </w:t>
      </w:r>
      <w:r w:rsidRPr="00693A57">
        <w:rPr>
          <w:b/>
          <w:i/>
          <w:color w:val="FF0000"/>
        </w:rPr>
        <w:t>Agency</w:t>
      </w:r>
      <w:r w:rsidRPr="00693A57">
        <w:rPr>
          <w:color w:val="FF0000"/>
        </w:rPr>
        <w:t>”:</w:t>
      </w:r>
    </w:p>
    <w:p w14:paraId="7253437A" w14:textId="77777777" w:rsidR="00F57283" w:rsidRPr="00693A57" w:rsidRDefault="00F57283" w:rsidP="00F57283">
      <w:pPr>
        <w:pStyle w:val="subsection"/>
        <w:rPr>
          <w:color w:val="FF0000"/>
        </w:rPr>
      </w:pPr>
      <w:r w:rsidRPr="00693A57">
        <w:rPr>
          <w:color w:val="FF0000"/>
        </w:rPr>
        <w:tab/>
        <w:t>“(1)</w:t>
      </w:r>
      <w:r w:rsidRPr="00693A57">
        <w:rPr>
          <w:color w:val="FF0000"/>
        </w:rPr>
        <w:tab/>
        <w:t>The Agency must prepare a report for each reporting period that:</w:t>
      </w:r>
    </w:p>
    <w:p w14:paraId="7F50A570" w14:textId="77777777" w:rsidR="00F57283" w:rsidRPr="00693A57" w:rsidRDefault="00F57283" w:rsidP="00F57283">
      <w:pPr>
        <w:pStyle w:val="paragraph"/>
        <w:rPr>
          <w:color w:val="FF0000"/>
        </w:rPr>
      </w:pPr>
      <w:r w:rsidRPr="00693A57">
        <w:rPr>
          <w:color w:val="FF0000"/>
        </w:rPr>
        <w:tab/>
        <w:t>(a)</w:t>
      </w:r>
      <w:r w:rsidRPr="00693A57">
        <w:rPr>
          <w:color w:val="FF0000"/>
        </w:rPr>
        <w:tab/>
        <w:t>is in the form approved by the Commission for the purposes of this rule; and</w:t>
      </w:r>
    </w:p>
    <w:p w14:paraId="53E7BF49" w14:textId="77777777" w:rsidR="00F57283" w:rsidRPr="00693A57" w:rsidRDefault="00F57283" w:rsidP="00F57283">
      <w:pPr>
        <w:pStyle w:val="paragraph"/>
        <w:rPr>
          <w:color w:val="FF0000"/>
        </w:rPr>
      </w:pPr>
      <w:r w:rsidRPr="00693A57">
        <w:rPr>
          <w:color w:val="FF0000"/>
        </w:rPr>
        <w:tab/>
        <w:t>(b)</w:t>
      </w:r>
      <w:r w:rsidRPr="00693A57">
        <w:rPr>
          <w:color w:val="FF0000"/>
        </w:rPr>
        <w:tab/>
        <w:t>sets out the number (if any) of product data requests received by the Agency during the reporting period; and</w:t>
      </w:r>
    </w:p>
    <w:p w14:paraId="7CA22843" w14:textId="77777777" w:rsidR="00F57283" w:rsidRPr="00693A57" w:rsidRDefault="00F57283" w:rsidP="00F57283">
      <w:pPr>
        <w:pStyle w:val="paragraph"/>
        <w:rPr>
          <w:color w:val="FF0000"/>
        </w:rPr>
      </w:pPr>
      <w:r w:rsidRPr="00693A57">
        <w:rPr>
          <w:color w:val="FF0000"/>
        </w:rPr>
        <w:tab/>
        <w:t>(c)</w:t>
      </w:r>
      <w:r w:rsidRPr="00693A57">
        <w:rPr>
          <w:color w:val="FF0000"/>
        </w:rPr>
        <w:tab/>
        <w:t>sets out:</w:t>
      </w:r>
    </w:p>
    <w:p w14:paraId="73EF7CE3" w14:textId="4B7700B3" w:rsidR="00F57283" w:rsidRPr="00693A57" w:rsidRDefault="00F57283" w:rsidP="00F57283">
      <w:pPr>
        <w:pStyle w:val="paragraphsub"/>
        <w:rPr>
          <w:color w:val="FF0000"/>
        </w:rPr>
      </w:pPr>
      <w:r w:rsidRPr="00693A57">
        <w:rPr>
          <w:color w:val="FF0000"/>
        </w:rPr>
        <w:tab/>
        <w:t>(i)</w:t>
      </w:r>
      <w:r w:rsidRPr="00693A57">
        <w:rPr>
          <w:color w:val="FF0000"/>
        </w:rPr>
        <w:tab/>
        <w:t>the number of times the Agency refused to disclose CDR data; and</w:t>
      </w:r>
    </w:p>
    <w:p w14:paraId="4596F5B1" w14:textId="77777777" w:rsidR="00F57283" w:rsidRPr="00693A57" w:rsidRDefault="00F57283" w:rsidP="00F57283">
      <w:pPr>
        <w:pStyle w:val="paragraphsub"/>
        <w:rPr>
          <w:color w:val="FF0000"/>
        </w:rPr>
      </w:pPr>
      <w:r w:rsidRPr="00693A57">
        <w:rPr>
          <w:color w:val="FF0000"/>
        </w:rPr>
        <w:tab/>
        <w:t>(ii)</w:t>
      </w:r>
      <w:r w:rsidRPr="00693A57">
        <w:rPr>
          <w:color w:val="FF0000"/>
        </w:rPr>
        <w:tab/>
        <w:t>the rule or data standard relied upon to refuse to disclose that data; and</w:t>
      </w:r>
    </w:p>
    <w:p w14:paraId="4B5C706D" w14:textId="77777777" w:rsidR="00F57283" w:rsidRPr="00693A57" w:rsidRDefault="00F57283" w:rsidP="00F57283">
      <w:pPr>
        <w:pStyle w:val="paragraphsub"/>
        <w:rPr>
          <w:color w:val="FF0000"/>
        </w:rPr>
      </w:pPr>
      <w:r w:rsidRPr="00693A57">
        <w:rPr>
          <w:color w:val="FF0000"/>
        </w:rPr>
        <w:tab/>
        <w:t>(iii)</w:t>
      </w:r>
      <w:r w:rsidRPr="00693A57">
        <w:rPr>
          <w:color w:val="FF0000"/>
        </w:rPr>
        <w:tab/>
        <w:t>the number of times the Agency has relied on each of those rules or data standards as a ground of refusal.”.</w:t>
      </w:r>
    </w:p>
    <w:p w14:paraId="3451D95E" w14:textId="33465412" w:rsidR="00F57283" w:rsidRPr="00693A57" w:rsidRDefault="00F57283" w:rsidP="00F57283">
      <w:pPr>
        <w:pStyle w:val="ActHead2"/>
        <w:rPr>
          <w:color w:val="FF0000"/>
        </w:rPr>
      </w:pPr>
      <w:r w:rsidRPr="00693A57">
        <w:rPr>
          <w:color w:val="FF0000"/>
        </w:rPr>
        <w:fldChar w:fldCharType="begin"/>
      </w:r>
      <w:r w:rsidRPr="00693A57">
        <w:rPr>
          <w:color w:val="FF0000"/>
        </w:rPr>
        <w:instrText xml:space="preserve">  LISTNUM "main numbering" \l 2 \* MERGEFORMAT </w:instrText>
      </w:r>
      <w:bookmarkStart w:id="903" w:name="_Toc77065157"/>
      <w:r w:rsidRPr="00693A57">
        <w:rPr>
          <w:color w:val="FF0000"/>
        </w:rPr>
        <w:fldChar w:fldCharType="end">
          <w:numberingChange w:id="904" w:author="Author" w:original="Part 8"/>
        </w:fldChar>
      </w:r>
      <w:r w:rsidRPr="00693A57">
        <w:rPr>
          <w:color w:val="FF0000"/>
        </w:rPr>
        <w:t>—Staged application of these rules to the energy sector</w:t>
      </w:r>
      <w:bookmarkEnd w:id="903"/>
    </w:p>
    <w:p w14:paraId="5C5B2AAB" w14:textId="63F99C9C"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05" w:name="_Toc77065158"/>
      <w:r w:rsidRPr="00693A57">
        <w:rPr>
          <w:color w:val="FF0000"/>
        </w:rPr>
        <w:fldChar w:fldCharType="end">
          <w:numberingChange w:id="906" w:author="Author" w:original="8.1"/>
        </w:fldChar>
      </w:r>
      <w:r w:rsidRPr="00693A57">
        <w:rPr>
          <w:color w:val="FF0000"/>
        </w:rPr>
        <w:t xml:space="preserve">  Interpretation</w:t>
      </w:r>
      <w:bookmarkEnd w:id="905"/>
    </w:p>
    <w:p w14:paraId="3080B85D" w14:textId="77777777" w:rsidR="00F57283" w:rsidRPr="00693A57" w:rsidRDefault="00F57283" w:rsidP="00F57283">
      <w:pPr>
        <w:pStyle w:val="subsection"/>
        <w:rPr>
          <w:color w:val="FF0000"/>
        </w:rPr>
      </w:pPr>
      <w:r w:rsidRPr="00693A57">
        <w:rPr>
          <w:color w:val="FF0000"/>
        </w:rPr>
        <w:tab/>
      </w:r>
      <w:r w:rsidRPr="00693A57">
        <w:rPr>
          <w:color w:val="FF0000"/>
        </w:rPr>
        <w:tab/>
        <w:t>In this Part:</w:t>
      </w:r>
    </w:p>
    <w:p w14:paraId="38B17912" w14:textId="1A187D3F" w:rsidR="005F3C5F" w:rsidRPr="00693A57" w:rsidRDefault="005F3C5F" w:rsidP="005F3C5F">
      <w:pPr>
        <w:pStyle w:val="Definition"/>
        <w:rPr>
          <w:color w:val="FF0000"/>
        </w:rPr>
      </w:pPr>
      <w:r w:rsidRPr="00693A57">
        <w:rPr>
          <w:b/>
          <w:i/>
          <w:color w:val="FF0000"/>
        </w:rPr>
        <w:t xml:space="preserve">amendment date </w:t>
      </w:r>
      <w:r w:rsidRPr="00693A57">
        <w:rPr>
          <w:color w:val="FF0000"/>
        </w:rPr>
        <w:t xml:space="preserve">means the day on which Schedule 1 of the </w:t>
      </w:r>
      <w:r w:rsidRPr="00693A57">
        <w:rPr>
          <w:i/>
          <w:noProof/>
          <w:color w:val="FF0000"/>
        </w:rPr>
        <w:t>Competition and Consumer (Consumer Data Right) Amendment Rules [No. 1] 2021</w:t>
      </w:r>
      <w:r w:rsidRPr="00693A57">
        <w:rPr>
          <w:color w:val="FF0000"/>
        </w:rPr>
        <w:t xml:space="preserve"> comenced.</w:t>
      </w:r>
    </w:p>
    <w:p w14:paraId="30B243FA" w14:textId="77777777" w:rsidR="00C64387" w:rsidRPr="00693A57" w:rsidRDefault="00C64387" w:rsidP="00C2631A">
      <w:pPr>
        <w:pStyle w:val="Definition"/>
        <w:rPr>
          <w:color w:val="FF0000"/>
        </w:rPr>
      </w:pPr>
      <w:r w:rsidRPr="00693A57">
        <w:rPr>
          <w:b/>
          <w:i/>
          <w:color w:val="FF0000"/>
        </w:rPr>
        <w:t>initial retailer</w:t>
      </w:r>
      <w:r w:rsidRPr="00693A57">
        <w:rPr>
          <w:color w:val="FF0000"/>
        </w:rPr>
        <w:t xml:space="preserve"> has the meaning given by clause </w:t>
      </w:r>
      <w:r w:rsidRPr="00693A57">
        <w:rPr>
          <w:color w:val="FF0000"/>
        </w:rPr>
        <w:fldChar w:fldCharType="begin" w:fldLock="1"/>
      </w:r>
      <w:r w:rsidRPr="00693A57">
        <w:rPr>
          <w:color w:val="FF0000"/>
        </w:rPr>
        <w:instrText xml:space="preserve"> REF _Ref76130180 \n </w:instrText>
      </w:r>
      <w:r w:rsidRPr="00693A57">
        <w:rPr>
          <w:color w:val="FF0000"/>
        </w:rPr>
        <w:fldChar w:fldCharType="separate"/>
      </w:r>
      <w:r w:rsidR="000F7228">
        <w:rPr>
          <w:color w:val="FF0000"/>
        </w:rPr>
        <w:t>8.2</w:t>
      </w:r>
      <w:r w:rsidRPr="00693A57">
        <w:rPr>
          <w:color w:val="FF0000"/>
        </w:rPr>
        <w:fldChar w:fldCharType="end"/>
      </w:r>
      <w:r w:rsidRPr="00693A57">
        <w:rPr>
          <w:color w:val="FF0000"/>
        </w:rPr>
        <w:t>.</w:t>
      </w:r>
    </w:p>
    <w:p w14:paraId="552DA43F" w14:textId="0CC8AC25" w:rsidR="00F57283" w:rsidRPr="00693A57" w:rsidRDefault="00F57283" w:rsidP="00F57283">
      <w:pPr>
        <w:pStyle w:val="Definition"/>
        <w:rPr>
          <w:color w:val="FF0000"/>
        </w:rPr>
      </w:pPr>
      <w:r w:rsidRPr="00693A57">
        <w:rPr>
          <w:b/>
          <w:i/>
          <w:color w:val="FF0000"/>
        </w:rPr>
        <w:t xml:space="preserve">tranche 1 date </w:t>
      </w:r>
      <w:r w:rsidRPr="00693A57">
        <w:rPr>
          <w:color w:val="FF0000"/>
        </w:rPr>
        <w:t xml:space="preserve">means </w:t>
      </w:r>
      <w:r w:rsidR="00522F57" w:rsidRPr="00693A57">
        <w:rPr>
          <w:color w:val="FF0000"/>
        </w:rPr>
        <w:t>1 October 2022</w:t>
      </w:r>
      <w:r w:rsidRPr="00693A57">
        <w:rPr>
          <w:color w:val="FF0000"/>
        </w:rPr>
        <w:t>.</w:t>
      </w:r>
    </w:p>
    <w:p w14:paraId="5920BFC6" w14:textId="093B70AE" w:rsidR="005F3C5F" w:rsidRPr="00693A57" w:rsidRDefault="005F3C5F" w:rsidP="005F3C5F">
      <w:pPr>
        <w:pStyle w:val="Definition"/>
        <w:rPr>
          <w:color w:val="FF0000"/>
        </w:rPr>
      </w:pPr>
      <w:r w:rsidRPr="00693A57">
        <w:rPr>
          <w:b/>
          <w:i/>
          <w:color w:val="FF0000"/>
        </w:rPr>
        <w:t>tranche 1</w:t>
      </w:r>
      <w:r w:rsidR="00511C86" w:rsidRPr="00693A57">
        <w:rPr>
          <w:b/>
          <w:i/>
          <w:color w:val="FF0000"/>
        </w:rPr>
        <w:t xml:space="preserve"> (VA)</w:t>
      </w:r>
      <w:r w:rsidRPr="00693A57">
        <w:rPr>
          <w:b/>
          <w:i/>
          <w:color w:val="FF0000"/>
        </w:rPr>
        <w:t xml:space="preserve"> date </w:t>
      </w:r>
      <w:r w:rsidRPr="00693A57">
        <w:rPr>
          <w:color w:val="FF0000"/>
        </w:rPr>
        <w:t xml:space="preserve">means </w:t>
      </w:r>
      <w:r w:rsidR="003868B6" w:rsidRPr="00693A57">
        <w:rPr>
          <w:color w:val="FF0000"/>
        </w:rPr>
        <w:t>a date specified by the Minister in a notifiable instrument made for the purposes of this definition.</w:t>
      </w:r>
    </w:p>
    <w:p w14:paraId="400B81D1" w14:textId="77777777" w:rsidR="00F4421A" w:rsidRPr="00693A57" w:rsidRDefault="00F4421A" w:rsidP="00F4421A">
      <w:pPr>
        <w:pStyle w:val="Definition"/>
        <w:rPr>
          <w:color w:val="FF0000"/>
        </w:rPr>
      </w:pPr>
      <w:r w:rsidRPr="00693A57">
        <w:rPr>
          <w:b/>
          <w:i/>
          <w:color w:val="FF0000"/>
        </w:rPr>
        <w:t xml:space="preserve">tranche 2 date </w:t>
      </w:r>
      <w:r w:rsidRPr="00693A57">
        <w:rPr>
          <w:color w:val="FF0000"/>
        </w:rPr>
        <w:t>means 1 October 2023.</w:t>
      </w:r>
    </w:p>
    <w:p w14:paraId="050E9CB6" w14:textId="7BB0196A" w:rsidR="00C64387" w:rsidRPr="00693A57" w:rsidRDefault="00C64387" w:rsidP="00C64387">
      <w:pPr>
        <w:pStyle w:val="ActHead5"/>
        <w:rPr>
          <w:color w:val="FF0000"/>
        </w:rPr>
      </w:pPr>
      <w:r w:rsidRPr="00693A57">
        <w:rPr>
          <w:color w:val="FF0000"/>
        </w:rPr>
        <w:fldChar w:fldCharType="begin"/>
      </w:r>
      <w:bookmarkStart w:id="907" w:name="_Ref76130180"/>
      <w:bookmarkEnd w:id="907"/>
      <w:r w:rsidRPr="00693A57">
        <w:rPr>
          <w:color w:val="FF0000"/>
        </w:rPr>
        <w:instrText xml:space="preserve">  LISTNUM "main numbering" \l 5 \* MERGEFORMAT </w:instrText>
      </w:r>
      <w:bookmarkStart w:id="908" w:name="_Toc77065159"/>
      <w:r w:rsidRPr="00693A57">
        <w:rPr>
          <w:color w:val="FF0000"/>
        </w:rPr>
        <w:fldChar w:fldCharType="end">
          <w:numberingChange w:id="909" w:author="Author" w:original="8.2"/>
        </w:fldChar>
      </w:r>
      <w:r w:rsidRPr="00693A57">
        <w:rPr>
          <w:color w:val="FF0000"/>
        </w:rPr>
        <w:t xml:space="preserve">  Meaning of </w:t>
      </w:r>
      <w:r w:rsidRPr="00693A57">
        <w:rPr>
          <w:i/>
          <w:color w:val="FF0000"/>
        </w:rPr>
        <w:t>initial retailer</w:t>
      </w:r>
      <w:bookmarkEnd w:id="908"/>
    </w:p>
    <w:p w14:paraId="6832A67E" w14:textId="0B14BC05" w:rsidR="00C64387" w:rsidRPr="00693A57" w:rsidRDefault="00C64387" w:rsidP="00C64387">
      <w:pPr>
        <w:pStyle w:val="subsection"/>
        <w:rPr>
          <w:color w:val="FF0000"/>
        </w:rPr>
      </w:pPr>
      <w:r w:rsidRPr="00693A57">
        <w:rPr>
          <w:color w:val="FF0000"/>
        </w:rPr>
        <w:tab/>
      </w:r>
      <w:r w:rsidRPr="00693A57">
        <w:rPr>
          <w:color w:val="FF0000"/>
        </w:rPr>
        <w:tab/>
        <w:t xml:space="preserve">In this Schedule, </w:t>
      </w:r>
      <w:r w:rsidRPr="00693A57">
        <w:rPr>
          <w:b/>
          <w:i/>
          <w:color w:val="FF0000"/>
        </w:rPr>
        <w:t>initial retailer</w:t>
      </w:r>
      <w:r w:rsidRPr="00693A57">
        <w:rPr>
          <w:color w:val="FF0000"/>
        </w:rPr>
        <w:t xml:space="preserve"> means any of the following:</w:t>
      </w:r>
    </w:p>
    <w:p w14:paraId="404143C5" w14:textId="0169C4D4" w:rsidR="00C64387" w:rsidRPr="00661543" w:rsidRDefault="00C64387" w:rsidP="00C64387">
      <w:pPr>
        <w:pStyle w:val="SubsectionHead"/>
        <w:ind w:left="1746" w:hanging="306"/>
        <w:rPr>
          <w:color w:val="FF0000"/>
        </w:rPr>
      </w:pPr>
      <w:r w:rsidRPr="00693A57">
        <w:rPr>
          <w:color w:val="FF0000"/>
        </w:rPr>
        <w:t>The AGL Energy Group</w:t>
      </w:r>
    </w:p>
    <w:p w14:paraId="5CE354FE" w14:textId="1244D3EF" w:rsidR="00C64387" w:rsidRPr="00693A57" w:rsidRDefault="00C64387" w:rsidP="00C64387">
      <w:pPr>
        <w:pStyle w:val="paragraph"/>
        <w:rPr>
          <w:color w:val="FF0000"/>
        </w:rPr>
      </w:pPr>
      <w:r w:rsidRPr="00661543">
        <w:rPr>
          <w:color w:val="FF0000"/>
        </w:rPr>
        <w:tab/>
      </w:r>
      <w:r w:rsidRPr="00661543">
        <w:rPr>
          <w:color w:val="FF0000"/>
        </w:rPr>
        <w:fldChar w:fldCharType="begin"/>
      </w:r>
      <w:r w:rsidRPr="00661543">
        <w:rPr>
          <w:color w:val="FF0000"/>
        </w:rPr>
        <w:instrText xml:space="preserve">  LISTNUM "main numbering" \l 7 \* MERGEFORMAT </w:instrText>
      </w:r>
      <w:r w:rsidRPr="00661543">
        <w:rPr>
          <w:color w:val="FF0000"/>
        </w:rPr>
        <w:fldChar w:fldCharType="end">
          <w:numberingChange w:id="910" w:author="Author" w:original="(a)"/>
        </w:fldChar>
      </w:r>
      <w:r w:rsidRPr="00661543">
        <w:rPr>
          <w:color w:val="FF0000"/>
        </w:rPr>
        <w:tab/>
        <w:t xml:space="preserve">AGL Sales (Queensland Electricity) Pty Limited – ABN </w:t>
      </w:r>
      <w:r w:rsidR="00661543" w:rsidRPr="00661543">
        <w:rPr>
          <w:color w:val="FF0000"/>
        </w:rPr>
        <w:t>66 078 875 902</w:t>
      </w:r>
      <w:r w:rsidRPr="00693A57">
        <w:rPr>
          <w:color w:val="FF0000"/>
        </w:rPr>
        <w:t>;</w:t>
      </w:r>
    </w:p>
    <w:p w14:paraId="18408AE3" w14:textId="397AB7A0" w:rsidR="00C64387" w:rsidRPr="00693A57" w:rsidRDefault="00C64387" w:rsidP="00C64387">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1" w:author="Author" w:original="(b)"/>
        </w:fldChar>
      </w:r>
      <w:r w:rsidRPr="00693A57">
        <w:rPr>
          <w:color w:val="FF0000"/>
        </w:rPr>
        <w:tab/>
        <w:t>AGL South Australia Pty Ltd - ABN 49 091 105 092;</w:t>
      </w:r>
    </w:p>
    <w:p w14:paraId="7F1CEE8B" w14:textId="33E3368A" w:rsidR="00C64387" w:rsidRPr="00693A57" w:rsidRDefault="00C64387" w:rsidP="00C64387">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2" w:author="Author" w:original="(c)"/>
        </w:fldChar>
      </w:r>
      <w:r w:rsidRPr="00693A57">
        <w:rPr>
          <w:color w:val="FF0000"/>
        </w:rPr>
        <w:tab/>
        <w:t>AGL Sales Pty Limited - ABN 88 090 538 337;</w:t>
      </w:r>
    </w:p>
    <w:p w14:paraId="13F840A9" w14:textId="2EB01590" w:rsidR="00C64387" w:rsidRPr="00693A57" w:rsidRDefault="00C64387" w:rsidP="00C64387">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3" w:author="Author" w:original="(d)"/>
        </w:fldChar>
      </w:r>
      <w:r w:rsidRPr="00693A57">
        <w:rPr>
          <w:color w:val="FF0000"/>
        </w:rPr>
        <w:tab/>
        <w:t>Powerdirect Pty Ltd – ABN 28 067 609 803;</w:t>
      </w:r>
    </w:p>
    <w:p w14:paraId="794A8524" w14:textId="5E4BF2DA" w:rsidR="00C64387" w:rsidRPr="00693A57" w:rsidRDefault="00C64387" w:rsidP="00C64387">
      <w:pPr>
        <w:pStyle w:val="SubsectionHead"/>
        <w:ind w:left="1746" w:hanging="306"/>
        <w:rPr>
          <w:color w:val="FF0000"/>
        </w:rPr>
      </w:pPr>
      <w:r w:rsidRPr="00693A57">
        <w:rPr>
          <w:color w:val="FF0000"/>
        </w:rPr>
        <w:lastRenderedPageBreak/>
        <w:t>The Origin Energy Group</w:t>
      </w:r>
    </w:p>
    <w:p w14:paraId="2943E003" w14:textId="34380F74" w:rsidR="00C64387" w:rsidRPr="00693A57" w:rsidRDefault="00C64387" w:rsidP="00C64387">
      <w:pPr>
        <w:pStyle w:val="paragraph"/>
        <w:rPr>
          <w:b/>
          <w:bCs/>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4" w:author="Author" w:original="(e)"/>
        </w:fldChar>
      </w:r>
      <w:r w:rsidRPr="00693A57">
        <w:rPr>
          <w:color w:val="FF0000"/>
        </w:rPr>
        <w:tab/>
        <w:t>Origin Energy Electricity Limited - ABN 33 071 052 287;</w:t>
      </w:r>
    </w:p>
    <w:p w14:paraId="2BF5958E" w14:textId="65B59C52" w:rsidR="00C64387" w:rsidRPr="00693A57" w:rsidRDefault="00C64387" w:rsidP="00C64387">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5" w:author="Author" w:original="(f)"/>
        </w:fldChar>
      </w:r>
      <w:r w:rsidRPr="00693A57">
        <w:rPr>
          <w:color w:val="FF0000"/>
        </w:rPr>
        <w:tab/>
        <w:t>Sun Retail Pty Ltd – ABN 97 078 848 549;</w:t>
      </w:r>
    </w:p>
    <w:p w14:paraId="18F53389" w14:textId="4B150A3E" w:rsidR="00C64387" w:rsidRPr="00693A57" w:rsidRDefault="00C64387" w:rsidP="00C64387">
      <w:pPr>
        <w:pStyle w:val="SubsectionHead"/>
        <w:ind w:left="1746" w:hanging="306"/>
        <w:rPr>
          <w:color w:val="FF0000"/>
        </w:rPr>
      </w:pPr>
      <w:r w:rsidRPr="00693A57">
        <w:rPr>
          <w:color w:val="FF0000"/>
        </w:rPr>
        <w:t>The Energy Australia Group</w:t>
      </w:r>
    </w:p>
    <w:p w14:paraId="301B01A6" w14:textId="033AE510" w:rsidR="00C64387" w:rsidRPr="00693A57" w:rsidRDefault="00C64387" w:rsidP="00C64387">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6" w:author="Author" w:original="(g)"/>
        </w:fldChar>
      </w:r>
      <w:r w:rsidRPr="00693A57">
        <w:rPr>
          <w:color w:val="FF0000"/>
        </w:rPr>
        <w:tab/>
      </w:r>
      <w:hyperlink r:id="rId27" w:history="1">
        <w:r w:rsidRPr="00693A57">
          <w:rPr>
            <w:color w:val="FF0000"/>
          </w:rPr>
          <w:t>EnergyAustralia Pty Ltd</w:t>
        </w:r>
      </w:hyperlink>
      <w:r w:rsidRPr="00693A57">
        <w:rPr>
          <w:color w:val="FF0000"/>
        </w:rPr>
        <w:t xml:space="preserve"> - ABN 99 086 014 968;</w:t>
      </w:r>
    </w:p>
    <w:p w14:paraId="171AFC06" w14:textId="0572402D" w:rsidR="00C64387" w:rsidRPr="00693A57" w:rsidRDefault="00C64387" w:rsidP="00C64387">
      <w:pPr>
        <w:pStyle w:val="paragraph"/>
        <w:rPr>
          <w:b/>
          <w:bCs/>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17" w:author="Author" w:original="(h)"/>
        </w:fldChar>
      </w:r>
      <w:r w:rsidRPr="00693A57">
        <w:rPr>
          <w:color w:val="FF0000"/>
        </w:rPr>
        <w:tab/>
        <w:t>EnergyAustralia Yallourn Pty Ltd - ABN 47 065 325 224.</w:t>
      </w:r>
    </w:p>
    <w:p w14:paraId="119684A5" w14:textId="3EBC39F1"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18" w:name="_Toc77065160"/>
      <w:r w:rsidRPr="00693A57">
        <w:rPr>
          <w:color w:val="FF0000"/>
        </w:rPr>
        <w:fldChar w:fldCharType="end">
          <w:numberingChange w:id="919" w:author="Author" w:original="8.3"/>
        </w:fldChar>
      </w:r>
      <w:r w:rsidRPr="00693A57">
        <w:rPr>
          <w:color w:val="FF0000"/>
        </w:rPr>
        <w:t xml:space="preserve">  Product data requests under Part 2 of these rules</w:t>
      </w:r>
      <w:bookmarkEnd w:id="918"/>
    </w:p>
    <w:p w14:paraId="1E392D81" w14:textId="52649BFF" w:rsidR="001462A3" w:rsidRPr="00693A57" w:rsidRDefault="001462A3" w:rsidP="001462A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20" w:author="Author" w:original="(1)"/>
        </w:fldChar>
      </w:r>
      <w:r w:rsidRPr="00693A57">
        <w:rPr>
          <w:color w:val="FF0000"/>
        </w:rPr>
        <w:tab/>
        <w:t>Part 2 of these rules (</w:t>
      </w:r>
      <w:r w:rsidRPr="00693A57">
        <w:rPr>
          <w:b/>
          <w:i/>
          <w:color w:val="FF0000"/>
        </w:rPr>
        <w:t>Part 2</w:t>
      </w:r>
      <w:r w:rsidRPr="00693A57">
        <w:rPr>
          <w:color w:val="FF0000"/>
        </w:rPr>
        <w:t>) does not apply in relation to energy sector data except as provided in this clause.</w:t>
      </w:r>
    </w:p>
    <w:p w14:paraId="566B780B" w14:textId="4C37FBB8" w:rsidR="00F57283" w:rsidRPr="00693A57" w:rsidRDefault="005F3C5F" w:rsidP="001462A3">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21" w:author="Author" w:original="(2)"/>
        </w:fldChar>
      </w:r>
      <w:r w:rsidRPr="00693A57">
        <w:rPr>
          <w:color w:val="FF0000"/>
        </w:rPr>
        <w:tab/>
        <w:t xml:space="preserve">Part 2 </w:t>
      </w:r>
      <w:r w:rsidR="001462A3" w:rsidRPr="00693A57">
        <w:rPr>
          <w:color w:val="FF0000"/>
        </w:rPr>
        <w:t xml:space="preserve">applies to the AER on and from the </w:t>
      </w:r>
      <w:r w:rsidR="00F57283" w:rsidRPr="00693A57">
        <w:rPr>
          <w:color w:val="FF0000"/>
        </w:rPr>
        <w:t xml:space="preserve">tranche 1 date.   </w:t>
      </w:r>
    </w:p>
    <w:p w14:paraId="56971E2A" w14:textId="0CC22127" w:rsidR="005F3C5F" w:rsidRPr="00693A57" w:rsidRDefault="005F3C5F" w:rsidP="005F3C5F">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22" w:author="Author" w:original="(3)"/>
        </w:fldChar>
      </w:r>
      <w:r w:rsidRPr="00693A57">
        <w:rPr>
          <w:color w:val="FF0000"/>
        </w:rPr>
        <w:tab/>
        <w:t xml:space="preserve">Part 2 </w:t>
      </w:r>
      <w:r w:rsidR="001462A3" w:rsidRPr="00693A57">
        <w:rPr>
          <w:color w:val="FF0000"/>
        </w:rPr>
        <w:t xml:space="preserve">applies to the Victorian agency on and from the the </w:t>
      </w:r>
      <w:r w:rsidRPr="00693A57">
        <w:rPr>
          <w:color w:val="FF0000"/>
        </w:rPr>
        <w:t>tranche 1</w:t>
      </w:r>
      <w:r w:rsidR="00FA22D1" w:rsidRPr="00693A57">
        <w:rPr>
          <w:color w:val="FF0000"/>
        </w:rPr>
        <w:t xml:space="preserve"> </w:t>
      </w:r>
      <w:r w:rsidR="00511C86" w:rsidRPr="00693A57">
        <w:rPr>
          <w:color w:val="FF0000"/>
        </w:rPr>
        <w:t>(VA)</w:t>
      </w:r>
      <w:r w:rsidRPr="00693A57">
        <w:rPr>
          <w:color w:val="FF0000"/>
        </w:rPr>
        <w:t xml:space="preserve"> date.   </w:t>
      </w:r>
    </w:p>
    <w:p w14:paraId="0733CF32" w14:textId="5CC946ED" w:rsidR="00564ABC" w:rsidRPr="00693A57" w:rsidRDefault="00564ABC" w:rsidP="00564ABC">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23" w:name="_Toc77065161"/>
      <w:r w:rsidRPr="00693A57">
        <w:rPr>
          <w:color w:val="FF0000"/>
        </w:rPr>
        <w:fldChar w:fldCharType="end">
          <w:numberingChange w:id="924" w:author="Author" w:original="8.4"/>
        </w:fldChar>
      </w:r>
      <w:r w:rsidRPr="00693A57">
        <w:rPr>
          <w:color w:val="FF0000"/>
        </w:rPr>
        <w:t xml:space="preserve">  Consumer data requests under Part 3 of these rules</w:t>
      </w:r>
      <w:bookmarkEnd w:id="923"/>
    </w:p>
    <w:p w14:paraId="69A0531B" w14:textId="7C75DF6D" w:rsidR="00564ABC" w:rsidRPr="00693A57" w:rsidRDefault="00564ABC" w:rsidP="00564ABC">
      <w:pPr>
        <w:pStyle w:val="subsection"/>
        <w:rPr>
          <w:color w:val="FF0000"/>
        </w:rPr>
      </w:pPr>
      <w:r w:rsidRPr="00693A57">
        <w:rPr>
          <w:color w:val="FF0000"/>
        </w:rPr>
        <w:tab/>
      </w:r>
      <w:r w:rsidRPr="00693A57">
        <w:rPr>
          <w:color w:val="FF0000"/>
        </w:rPr>
        <w:tab/>
        <w:t>Part 3 of these rules does not apply in relation to energy sector data.</w:t>
      </w:r>
    </w:p>
    <w:p w14:paraId="1ED1D55D" w14:textId="5F987F8A" w:rsidR="00F57283" w:rsidRPr="00693A57" w:rsidRDefault="00F57283" w:rsidP="00F57283">
      <w:pPr>
        <w:pStyle w:val="ActHead5"/>
        <w:rPr>
          <w:color w:val="FF0000"/>
        </w:rPr>
      </w:pPr>
      <w:r w:rsidRPr="00693A57">
        <w:rPr>
          <w:color w:val="FF0000"/>
        </w:rPr>
        <w:fldChar w:fldCharType="begin"/>
      </w:r>
      <w:bookmarkStart w:id="925" w:name="_Ref62828646"/>
      <w:bookmarkEnd w:id="925"/>
      <w:r w:rsidRPr="00693A57">
        <w:rPr>
          <w:color w:val="FF0000"/>
        </w:rPr>
        <w:instrText xml:space="preserve">  LISTNUM "main numbering" \l 5 \* MERGEFORMAT </w:instrText>
      </w:r>
      <w:bookmarkStart w:id="926" w:name="_Toc77065162"/>
      <w:r w:rsidRPr="00693A57">
        <w:rPr>
          <w:color w:val="FF0000"/>
        </w:rPr>
        <w:fldChar w:fldCharType="end">
          <w:numberingChange w:id="927" w:author="Author" w:original="8.5"/>
        </w:fldChar>
      </w:r>
      <w:r w:rsidRPr="00693A57">
        <w:rPr>
          <w:color w:val="FF0000"/>
        </w:rPr>
        <w:t xml:space="preserve">  Consumer data requests under Part 4 of these rules</w:t>
      </w:r>
      <w:bookmarkEnd w:id="926"/>
    </w:p>
    <w:p w14:paraId="12B6E7CC" w14:textId="77777777" w:rsidR="00C2631A" w:rsidRPr="00693A57" w:rsidRDefault="005F3C5F" w:rsidP="005F3C5F">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28" w:author="Author" w:original="(1)"/>
        </w:fldChar>
      </w:r>
      <w:r w:rsidRPr="00693A57">
        <w:rPr>
          <w:color w:val="FF0000"/>
        </w:rPr>
        <w:tab/>
        <w:t xml:space="preserve">Part 4 of these rules </w:t>
      </w:r>
      <w:r w:rsidR="00C2631A" w:rsidRPr="00693A57">
        <w:rPr>
          <w:color w:val="FF0000"/>
        </w:rPr>
        <w:t>(</w:t>
      </w:r>
      <w:r w:rsidR="00C2631A" w:rsidRPr="00693A57">
        <w:rPr>
          <w:b/>
          <w:i/>
          <w:color w:val="FF0000"/>
        </w:rPr>
        <w:t>Part 4</w:t>
      </w:r>
      <w:r w:rsidR="00C2631A" w:rsidRPr="00693A57">
        <w:rPr>
          <w:color w:val="FF0000"/>
        </w:rPr>
        <w:t xml:space="preserve">) </w:t>
      </w:r>
      <w:r w:rsidRPr="00693A57">
        <w:rPr>
          <w:color w:val="FF0000"/>
        </w:rPr>
        <w:t>does not apply in relation to energy sector data except</w:t>
      </w:r>
      <w:r w:rsidR="00C2631A" w:rsidRPr="00693A57">
        <w:rPr>
          <w:color w:val="FF0000"/>
        </w:rPr>
        <w:t xml:space="preserve"> as provided in this clause.</w:t>
      </w:r>
    </w:p>
    <w:p w14:paraId="72F310B2" w14:textId="3E138D20" w:rsidR="00F57283" w:rsidRPr="00693A57" w:rsidRDefault="00F57283" w:rsidP="00F57283">
      <w:pPr>
        <w:pStyle w:val="SubsectionHead"/>
        <w:rPr>
          <w:color w:val="FF0000"/>
        </w:rPr>
      </w:pPr>
      <w:r w:rsidRPr="00693A57">
        <w:rPr>
          <w:color w:val="FF0000"/>
        </w:rPr>
        <w:t xml:space="preserve">Tranche </w:t>
      </w:r>
      <w:r w:rsidR="00511C86" w:rsidRPr="00693A57">
        <w:rPr>
          <w:color w:val="FF0000"/>
        </w:rPr>
        <w:t>1</w:t>
      </w:r>
    </w:p>
    <w:p w14:paraId="2DE4F97E" w14:textId="6AD81B72" w:rsidR="00F64632" w:rsidRPr="00693A57" w:rsidRDefault="00F64632" w:rsidP="00F64632">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29" w:author="Author" w:original="(2)"/>
        </w:fldChar>
      </w:r>
      <w:r w:rsidRPr="00693A57">
        <w:rPr>
          <w:color w:val="FF0000"/>
        </w:rPr>
        <w:tab/>
        <w:t xml:space="preserve">Part 4 applies in relation to an intial retailer on and from the tranche </w:t>
      </w:r>
      <w:r w:rsidR="00511C86" w:rsidRPr="00693A57">
        <w:rPr>
          <w:color w:val="FF0000"/>
        </w:rPr>
        <w:t>1</w:t>
      </w:r>
      <w:r w:rsidRPr="00693A57">
        <w:rPr>
          <w:color w:val="FF0000"/>
        </w:rPr>
        <w:t xml:space="preserve"> date.</w:t>
      </w:r>
    </w:p>
    <w:p w14:paraId="5A9BE1A3" w14:textId="4DB24B6A" w:rsidR="005A385E" w:rsidRPr="00693A57" w:rsidRDefault="005A385E" w:rsidP="005A385E">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30" w:author="Author" w:original="(3)"/>
        </w:fldChar>
      </w:r>
      <w:r w:rsidRPr="00693A57">
        <w:rPr>
          <w:color w:val="FF0000"/>
        </w:rPr>
        <w:tab/>
        <w:t xml:space="preserve">Part 4 applies to AEMO on and from the tranche </w:t>
      </w:r>
      <w:r w:rsidR="00511C86" w:rsidRPr="00693A57">
        <w:rPr>
          <w:color w:val="FF0000"/>
        </w:rPr>
        <w:t>1</w:t>
      </w:r>
      <w:r w:rsidRPr="00693A57">
        <w:rPr>
          <w:color w:val="FF0000"/>
        </w:rPr>
        <w:t xml:space="preserve"> date.</w:t>
      </w:r>
    </w:p>
    <w:p w14:paraId="3C58ED6B" w14:textId="16EF69F8" w:rsidR="00511C86" w:rsidRPr="00693A57" w:rsidRDefault="00511C86" w:rsidP="00511C86">
      <w:pPr>
        <w:pStyle w:val="SubsectionHead"/>
        <w:rPr>
          <w:color w:val="FF0000"/>
        </w:rPr>
      </w:pPr>
      <w:r w:rsidRPr="00693A57">
        <w:rPr>
          <w:color w:val="FF0000"/>
        </w:rPr>
        <w:t>Tranche 2</w:t>
      </w:r>
    </w:p>
    <w:p w14:paraId="4D418332" w14:textId="67D0E33C" w:rsidR="00F64632" w:rsidRPr="00693A57" w:rsidRDefault="00F64632" w:rsidP="00F64632">
      <w:pPr>
        <w:pStyle w:val="subsection"/>
        <w:rPr>
          <w:color w:val="FF0000"/>
        </w:rPr>
      </w:pPr>
      <w:r w:rsidRPr="00693A57">
        <w:rPr>
          <w:color w:val="FF0000"/>
        </w:rPr>
        <w:tab/>
      </w:r>
      <w:r w:rsidRPr="00693A57">
        <w:rPr>
          <w:color w:val="FF0000"/>
        </w:rPr>
        <w:fldChar w:fldCharType="begin"/>
      </w:r>
      <w:bookmarkStart w:id="931" w:name="_Ref76378231"/>
      <w:bookmarkEnd w:id="931"/>
      <w:r w:rsidRPr="00693A57">
        <w:rPr>
          <w:color w:val="FF0000"/>
        </w:rPr>
        <w:instrText xml:space="preserve">  LISTNUM "main numbering" \l 6 \* MERGEFORMAT </w:instrText>
      </w:r>
      <w:r w:rsidRPr="00693A57">
        <w:rPr>
          <w:color w:val="FF0000"/>
        </w:rPr>
        <w:fldChar w:fldCharType="end">
          <w:numberingChange w:id="932" w:author="Author" w:original="(4)"/>
        </w:fldChar>
      </w:r>
      <w:r w:rsidRPr="00693A57">
        <w:rPr>
          <w:color w:val="FF0000"/>
        </w:rPr>
        <w:tab/>
      </w:r>
      <w:r w:rsidR="005A385E" w:rsidRPr="00693A57">
        <w:rPr>
          <w:color w:val="FF0000"/>
        </w:rPr>
        <w:t xml:space="preserve">Part 4 applies </w:t>
      </w:r>
      <w:r w:rsidR="00564ABC" w:rsidRPr="00693A57">
        <w:rPr>
          <w:color w:val="FF0000"/>
        </w:rPr>
        <w:t xml:space="preserve">to </w:t>
      </w:r>
      <w:r w:rsidR="00F7059B" w:rsidRPr="00693A57">
        <w:rPr>
          <w:color w:val="FF0000"/>
        </w:rPr>
        <w:t xml:space="preserve">a retailer other than an initial retailer </w:t>
      </w:r>
      <w:r w:rsidRPr="00693A57">
        <w:rPr>
          <w:color w:val="FF0000"/>
        </w:rPr>
        <w:t xml:space="preserve">on and from the </w:t>
      </w:r>
      <w:r w:rsidR="00511C86" w:rsidRPr="00693A57">
        <w:rPr>
          <w:color w:val="FF0000"/>
        </w:rPr>
        <w:t>tranche 2 date</w:t>
      </w:r>
      <w:r w:rsidRPr="00693A57">
        <w:rPr>
          <w:color w:val="FF0000"/>
        </w:rPr>
        <w:t>.</w:t>
      </w:r>
    </w:p>
    <w:p w14:paraId="3DCC152F" w14:textId="1EAABDEF" w:rsidR="003F7E64" w:rsidRPr="00693A57" w:rsidRDefault="003F7E64" w:rsidP="003F7E64">
      <w:pPr>
        <w:pStyle w:val="ActHead5"/>
        <w:rPr>
          <w:color w:val="FF0000"/>
        </w:rPr>
      </w:pPr>
      <w:r w:rsidRPr="00693A57">
        <w:rPr>
          <w:color w:val="FF0000"/>
        </w:rPr>
        <w:fldChar w:fldCharType="begin"/>
      </w:r>
      <w:bookmarkStart w:id="933" w:name="_Ref76559031"/>
      <w:bookmarkEnd w:id="933"/>
      <w:r w:rsidRPr="00693A57">
        <w:rPr>
          <w:color w:val="FF0000"/>
        </w:rPr>
        <w:instrText xml:space="preserve">  LISTNUM "main numbering" \l 5 \* MERGEFORMAT </w:instrText>
      </w:r>
      <w:bookmarkStart w:id="934" w:name="_Toc77065163"/>
      <w:r w:rsidRPr="00693A57">
        <w:rPr>
          <w:color w:val="FF0000"/>
        </w:rPr>
        <w:fldChar w:fldCharType="end">
          <w:numberingChange w:id="935" w:author="Author" w:original="8.6"/>
        </w:fldChar>
      </w:r>
      <w:r w:rsidRPr="00693A57">
        <w:rPr>
          <w:color w:val="FF0000"/>
        </w:rPr>
        <w:t xml:space="preserve">  Authorisation to disclose </w:t>
      </w:r>
      <w:r w:rsidR="003E3A6D" w:rsidRPr="00693A57">
        <w:rPr>
          <w:color w:val="FF0000"/>
        </w:rPr>
        <w:t xml:space="preserve">CDR data </w:t>
      </w:r>
      <w:r w:rsidRPr="00693A57">
        <w:rPr>
          <w:color w:val="FF0000"/>
        </w:rPr>
        <w:t>before being required to do so</w:t>
      </w:r>
      <w:bookmarkEnd w:id="934"/>
    </w:p>
    <w:p w14:paraId="624B055C" w14:textId="7708DC5F" w:rsidR="003E3A6D" w:rsidRPr="00693A57" w:rsidRDefault="003F7E64" w:rsidP="008A2C05">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36" w:author="Author" w:original="(1)"/>
        </w:fldChar>
      </w:r>
      <w:r w:rsidRPr="00693A57">
        <w:rPr>
          <w:color w:val="FF0000"/>
        </w:rPr>
        <w:tab/>
        <w:t xml:space="preserve">This clause applies </w:t>
      </w:r>
      <w:r w:rsidR="008A2C05" w:rsidRPr="00693A57">
        <w:rPr>
          <w:color w:val="FF0000"/>
        </w:rPr>
        <w:t xml:space="preserve">in relation to a </w:t>
      </w:r>
      <w:r w:rsidRPr="00693A57">
        <w:rPr>
          <w:color w:val="FF0000"/>
        </w:rPr>
        <w:t xml:space="preserve">request for disclosure of CDR data has been made to a retailer in accordance with Part 2, Part 3 or Part 4 of these rules (the </w:t>
      </w:r>
      <w:r w:rsidRPr="00693A57">
        <w:rPr>
          <w:b/>
          <w:bCs/>
          <w:i/>
          <w:iCs/>
          <w:color w:val="FF0000"/>
        </w:rPr>
        <w:t>relevant data request Part</w:t>
      </w:r>
      <w:r w:rsidRPr="00693A57">
        <w:rPr>
          <w:color w:val="FF0000"/>
        </w:rPr>
        <w:t>)</w:t>
      </w:r>
      <w:r w:rsidR="008A2C05" w:rsidRPr="00693A57">
        <w:rPr>
          <w:color w:val="FF0000"/>
        </w:rPr>
        <w:t xml:space="preserve"> if:</w:t>
      </w:r>
    </w:p>
    <w:p w14:paraId="41CB4A7F" w14:textId="6E5C4842" w:rsidR="003F7E64" w:rsidRPr="00693A57" w:rsidRDefault="003E3A6D" w:rsidP="003E3A6D">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37" w:author="Author" w:original="(a)"/>
        </w:fldChar>
      </w:r>
      <w:r w:rsidRPr="00693A57">
        <w:rPr>
          <w:color w:val="FF0000"/>
        </w:rPr>
        <w:tab/>
        <w:t xml:space="preserve">the request was made </w:t>
      </w:r>
      <w:r w:rsidR="003F7E64" w:rsidRPr="00693A57">
        <w:rPr>
          <w:color w:val="FF0000"/>
        </w:rPr>
        <w:t>on or after the tranche 1 day; and</w:t>
      </w:r>
    </w:p>
    <w:p w14:paraId="2EF5D1D7" w14:textId="3E80E862" w:rsidR="003F7E64" w:rsidRPr="00693A57" w:rsidRDefault="003F7E64" w:rsidP="003F7E64">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38" w:author="Author" w:original="(b)"/>
        </w:fldChar>
      </w:r>
      <w:r w:rsidRPr="00693A57">
        <w:rPr>
          <w:color w:val="FF0000"/>
        </w:rPr>
        <w:tab/>
        <w:t>the requested CDR data is any of the following:</w:t>
      </w:r>
    </w:p>
    <w:p w14:paraId="277FE792" w14:textId="147436CF" w:rsidR="003F7E64" w:rsidRPr="00693A57" w:rsidRDefault="003F7E64" w:rsidP="003F7E64">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939" w:author="Author" w:original="(i)"/>
        </w:fldChar>
      </w:r>
      <w:r w:rsidRPr="00693A57">
        <w:rPr>
          <w:color w:val="FF0000"/>
        </w:rPr>
        <w:tab/>
        <w:t>required product data;</w:t>
      </w:r>
    </w:p>
    <w:p w14:paraId="70E383EF" w14:textId="05005CB0" w:rsidR="003F7E64" w:rsidRPr="00693A57" w:rsidRDefault="003F7E64" w:rsidP="003F7E64">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940" w:author="Author" w:original="(ii)"/>
        </w:fldChar>
      </w:r>
      <w:r w:rsidRPr="00693A57">
        <w:rPr>
          <w:color w:val="FF0000"/>
        </w:rPr>
        <w:tab/>
        <w:t>voluntary product data;</w:t>
      </w:r>
    </w:p>
    <w:p w14:paraId="634954FE" w14:textId="452AD279" w:rsidR="003F7E64" w:rsidRPr="00693A57" w:rsidRDefault="003F7E64" w:rsidP="003F7E64">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941" w:author="Author" w:original="(iii)"/>
        </w:fldChar>
      </w:r>
      <w:r w:rsidRPr="00693A57">
        <w:rPr>
          <w:color w:val="FF0000"/>
        </w:rPr>
        <w:tab/>
        <w:t>required consumer data;</w:t>
      </w:r>
    </w:p>
    <w:p w14:paraId="0F4E8724" w14:textId="16D94533" w:rsidR="003F7E64" w:rsidRPr="00693A57" w:rsidRDefault="003F7E64" w:rsidP="003F7E64">
      <w:pPr>
        <w:pStyle w:val="paragraphsub"/>
        <w:rPr>
          <w:color w:val="FF0000"/>
        </w:rPr>
      </w:pPr>
      <w:r w:rsidRPr="00693A57">
        <w:rPr>
          <w:color w:val="FF0000"/>
        </w:rPr>
        <w:tab/>
      </w:r>
      <w:r w:rsidRPr="00693A57">
        <w:rPr>
          <w:color w:val="FF0000"/>
        </w:rPr>
        <w:fldChar w:fldCharType="begin"/>
      </w:r>
      <w:r w:rsidRPr="00693A57">
        <w:rPr>
          <w:color w:val="FF0000"/>
        </w:rPr>
        <w:instrText xml:space="preserve">  LISTNUM "main numbering" \l 8 \* MERGEFORMAT </w:instrText>
      </w:r>
      <w:r w:rsidRPr="00693A57">
        <w:rPr>
          <w:color w:val="FF0000"/>
        </w:rPr>
        <w:fldChar w:fldCharType="end">
          <w:numberingChange w:id="942" w:author="Author" w:original="(iv)"/>
        </w:fldChar>
      </w:r>
      <w:r w:rsidRPr="00693A57">
        <w:rPr>
          <w:color w:val="FF0000"/>
        </w:rPr>
        <w:tab/>
        <w:t>voluntary consumer data; and</w:t>
      </w:r>
    </w:p>
    <w:p w14:paraId="52A33503" w14:textId="321FFB3A" w:rsidR="003F7E64" w:rsidRPr="00693A57" w:rsidRDefault="003F7E64" w:rsidP="003F7E64">
      <w:pPr>
        <w:pStyle w:val="paragraph"/>
        <w:rPr>
          <w:color w:val="FF0000"/>
        </w:rPr>
      </w:pPr>
      <w:r w:rsidRPr="00693A57">
        <w:rPr>
          <w:color w:val="FF0000"/>
        </w:rPr>
        <w:lastRenderedPageBreak/>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43" w:author="Author" w:original="(c)"/>
        </w:fldChar>
      </w:r>
      <w:r w:rsidRPr="00693A57">
        <w:rPr>
          <w:color w:val="FF0000"/>
        </w:rPr>
        <w:tab/>
        <w:t>the requested CDR data includes some pre</w:t>
      </w:r>
      <w:r w:rsidRPr="00693A57">
        <w:rPr>
          <w:color w:val="FF0000"/>
        </w:rPr>
        <w:noBreakHyphen/>
        <w:t>application CDR data.</w:t>
      </w:r>
    </w:p>
    <w:p w14:paraId="5A359220" w14:textId="777896FD" w:rsidR="003F7E64" w:rsidRPr="00693A57" w:rsidRDefault="003F7E64" w:rsidP="003F7E64">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44" w:author="Author" w:original="(2)"/>
        </w:fldChar>
      </w:r>
      <w:r w:rsidRPr="00693A57">
        <w:rPr>
          <w:color w:val="FF0000"/>
        </w:rPr>
        <w:tab/>
        <w:t xml:space="preserve">For these rules, </w:t>
      </w:r>
      <w:r w:rsidR="008A2C05" w:rsidRPr="00693A57">
        <w:rPr>
          <w:color w:val="FF0000"/>
        </w:rPr>
        <w:t xml:space="preserve">the retailer </w:t>
      </w:r>
      <w:r w:rsidRPr="00693A57">
        <w:rPr>
          <w:color w:val="FF0000"/>
        </w:rPr>
        <w:t>may disclose any or all of the pre</w:t>
      </w:r>
      <w:r w:rsidRPr="00693A57">
        <w:rPr>
          <w:color w:val="FF0000"/>
        </w:rPr>
        <w:noBreakHyphen/>
        <w:t>application CDR data</w:t>
      </w:r>
      <w:r w:rsidR="003E3A6D" w:rsidRPr="00693A57">
        <w:rPr>
          <w:color w:val="FF0000"/>
        </w:rPr>
        <w:t xml:space="preserve"> </w:t>
      </w:r>
      <w:r w:rsidRPr="00693A57">
        <w:rPr>
          <w:color w:val="FF0000"/>
        </w:rPr>
        <w:t>in response to the request in accordance with the relevant data request Part.</w:t>
      </w:r>
    </w:p>
    <w:p w14:paraId="5433ADE4" w14:textId="3D3270DB" w:rsidR="003F7E64" w:rsidRPr="00693A57" w:rsidRDefault="003F7E64" w:rsidP="003F7E64">
      <w:pPr>
        <w:pStyle w:val="subsection"/>
        <w:rPr>
          <w:color w:val="FF0000"/>
        </w:rPr>
      </w:pPr>
      <w:r w:rsidRPr="00693A57">
        <w:rPr>
          <w:color w:val="FF0000"/>
        </w:rPr>
        <w:tab/>
      </w:r>
      <w:r w:rsidRPr="00693A57">
        <w:rPr>
          <w:color w:val="FF0000"/>
        </w:rPr>
        <w:fldChar w:fldCharType="begin"/>
      </w:r>
      <w:r w:rsidRPr="00693A57">
        <w:rPr>
          <w:color w:val="FF0000"/>
        </w:rPr>
        <w:instrText xml:space="preserve">  LISTNUM "main numbering" \l 6 \* MERGEFORMAT </w:instrText>
      </w:r>
      <w:r w:rsidRPr="00693A57">
        <w:rPr>
          <w:color w:val="FF0000"/>
        </w:rPr>
        <w:fldChar w:fldCharType="end">
          <w:numberingChange w:id="945" w:author="Author" w:original="(3)"/>
        </w:fldChar>
      </w:r>
      <w:r w:rsidRPr="00693A57">
        <w:rPr>
          <w:color w:val="FF0000"/>
        </w:rPr>
        <w:tab/>
        <w:t xml:space="preserve">In this clause, </w:t>
      </w:r>
      <w:r w:rsidRPr="00693A57">
        <w:rPr>
          <w:b/>
          <w:bCs/>
          <w:i/>
          <w:iCs/>
          <w:color w:val="FF0000"/>
        </w:rPr>
        <w:t>pre-application CDR data</w:t>
      </w:r>
      <w:r w:rsidRPr="00693A57">
        <w:rPr>
          <w:color w:val="FF0000"/>
        </w:rPr>
        <w:t xml:space="preserve"> means CDR data that, but for the operation of this Part, the data holder would be required or authorised by the relevant data request Part to disclose in response to the request.</w:t>
      </w:r>
    </w:p>
    <w:p w14:paraId="511E650C" w14:textId="4D471E69"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46" w:name="_Toc77065164"/>
      <w:r w:rsidRPr="00693A57">
        <w:rPr>
          <w:color w:val="FF0000"/>
        </w:rPr>
        <w:fldChar w:fldCharType="end">
          <w:numberingChange w:id="947" w:author="Author" w:original="8.7"/>
        </w:fldChar>
      </w:r>
      <w:r w:rsidRPr="00693A57">
        <w:rPr>
          <w:color w:val="FF0000"/>
        </w:rPr>
        <w:t xml:space="preserve">  Application of certain rules</w:t>
      </w:r>
      <w:bookmarkEnd w:id="946"/>
    </w:p>
    <w:p w14:paraId="1853B2E2" w14:textId="77777777" w:rsidR="00F57283" w:rsidRPr="00693A57" w:rsidRDefault="00F57283" w:rsidP="00F57283">
      <w:pPr>
        <w:pStyle w:val="subsection"/>
        <w:rPr>
          <w:iCs/>
          <w:color w:val="FF0000"/>
        </w:rPr>
      </w:pPr>
      <w:r w:rsidRPr="00693A57">
        <w:rPr>
          <w:iCs/>
          <w:color w:val="FF0000"/>
        </w:rPr>
        <w:tab/>
        <w:t>(1)</w:t>
      </w:r>
      <w:r w:rsidRPr="00693A57">
        <w:rPr>
          <w:iCs/>
          <w:color w:val="FF0000"/>
        </w:rPr>
        <w:tab/>
        <w:t xml:space="preserve">In this clause, the </w:t>
      </w:r>
      <w:r w:rsidRPr="00693A57">
        <w:rPr>
          <w:b/>
          <w:i/>
          <w:iCs/>
          <w:color w:val="FF0000"/>
        </w:rPr>
        <w:t>affected provisions</w:t>
      </w:r>
      <w:r w:rsidRPr="00693A57">
        <w:rPr>
          <w:b/>
          <w:iCs/>
          <w:color w:val="FF0000"/>
        </w:rPr>
        <w:t xml:space="preserve"> </w:t>
      </w:r>
      <w:r w:rsidRPr="00693A57">
        <w:rPr>
          <w:iCs/>
          <w:color w:val="FF0000"/>
        </w:rPr>
        <w:t>are provisions of these rules that impose obligations on AEMO or a retailer in relation to:</w:t>
      </w:r>
    </w:p>
    <w:p w14:paraId="5E024A56" w14:textId="77777777" w:rsidR="00F57283" w:rsidRPr="00693A57" w:rsidRDefault="00F57283" w:rsidP="00F57283">
      <w:pPr>
        <w:pStyle w:val="paragraph"/>
        <w:rPr>
          <w:iCs/>
          <w:color w:val="FF0000"/>
        </w:rPr>
      </w:pPr>
      <w:r w:rsidRPr="00693A57">
        <w:rPr>
          <w:iCs/>
          <w:color w:val="FF0000"/>
        </w:rPr>
        <w:tab/>
        <w:t>(a)</w:t>
      </w:r>
      <w:r w:rsidRPr="00693A57">
        <w:rPr>
          <w:iCs/>
          <w:color w:val="FF0000"/>
        </w:rPr>
        <w:tab/>
        <w:t>CDR consumers that are not individuals; or</w:t>
      </w:r>
    </w:p>
    <w:p w14:paraId="18EAB4F7" w14:textId="77777777" w:rsidR="00F57283" w:rsidRPr="00693A57" w:rsidRDefault="00F57283" w:rsidP="00F57283">
      <w:pPr>
        <w:pStyle w:val="paragraph"/>
        <w:rPr>
          <w:iCs/>
          <w:color w:val="FF0000"/>
        </w:rPr>
      </w:pPr>
      <w:r w:rsidRPr="00693A57">
        <w:rPr>
          <w:iCs/>
          <w:color w:val="FF0000"/>
        </w:rPr>
        <w:tab/>
        <w:t>(b)</w:t>
      </w:r>
      <w:r w:rsidRPr="00693A57">
        <w:rPr>
          <w:iCs/>
          <w:color w:val="FF0000"/>
        </w:rPr>
        <w:tab/>
        <w:t>partnerships; or</w:t>
      </w:r>
    </w:p>
    <w:p w14:paraId="7F2D1489" w14:textId="77777777" w:rsidR="00F57283" w:rsidRPr="00693A57" w:rsidRDefault="00F57283" w:rsidP="00F57283">
      <w:pPr>
        <w:pStyle w:val="paragraph"/>
        <w:rPr>
          <w:iCs/>
          <w:color w:val="FF0000"/>
        </w:rPr>
      </w:pPr>
      <w:r w:rsidRPr="00693A57">
        <w:rPr>
          <w:iCs/>
          <w:color w:val="FF0000"/>
        </w:rPr>
        <w:tab/>
        <w:t>(c)</w:t>
      </w:r>
      <w:r w:rsidRPr="00693A57">
        <w:rPr>
          <w:iCs/>
          <w:color w:val="FF0000"/>
        </w:rPr>
        <w:tab/>
        <w:t>nominated representatives; or</w:t>
      </w:r>
    </w:p>
    <w:p w14:paraId="7F79BD6F" w14:textId="77777777" w:rsidR="00F57283" w:rsidRPr="00693A57" w:rsidRDefault="00F57283" w:rsidP="00F57283">
      <w:pPr>
        <w:pStyle w:val="paragraph"/>
        <w:rPr>
          <w:iCs/>
          <w:color w:val="FF0000"/>
        </w:rPr>
      </w:pPr>
      <w:r w:rsidRPr="00693A57">
        <w:rPr>
          <w:iCs/>
          <w:color w:val="FF0000"/>
        </w:rPr>
        <w:tab/>
        <w:t>(d)</w:t>
      </w:r>
      <w:r w:rsidRPr="00693A57">
        <w:rPr>
          <w:iCs/>
          <w:color w:val="FF0000"/>
        </w:rPr>
        <w:tab/>
        <w:t>secondary users.</w:t>
      </w:r>
    </w:p>
    <w:p w14:paraId="7C653A4A" w14:textId="6138BE9A" w:rsidR="00F57283" w:rsidRPr="00693A57" w:rsidRDefault="00F57283" w:rsidP="00F57283">
      <w:pPr>
        <w:pStyle w:val="subsection"/>
        <w:rPr>
          <w:iCs/>
          <w:color w:val="FF0000"/>
        </w:rPr>
      </w:pPr>
      <w:r w:rsidRPr="00693A57">
        <w:rPr>
          <w:iCs/>
          <w:color w:val="FF0000"/>
        </w:rPr>
        <w:tab/>
        <w:t>(2)</w:t>
      </w:r>
      <w:r w:rsidRPr="00693A57">
        <w:rPr>
          <w:iCs/>
          <w:color w:val="FF0000"/>
        </w:rPr>
        <w:tab/>
        <w:t xml:space="preserve">The affected provisions apply in relation to AEMO and </w:t>
      </w:r>
      <w:r w:rsidR="00B81C04" w:rsidRPr="00693A57">
        <w:rPr>
          <w:iCs/>
          <w:color w:val="FF0000"/>
        </w:rPr>
        <w:t xml:space="preserve">an initial retailer </w:t>
      </w:r>
      <w:r w:rsidRPr="00693A57">
        <w:rPr>
          <w:iCs/>
          <w:color w:val="FF0000"/>
        </w:rPr>
        <w:t xml:space="preserve">on and from </w:t>
      </w:r>
      <w:r w:rsidR="00B81C04" w:rsidRPr="00693A57">
        <w:rPr>
          <w:iCs/>
          <w:color w:val="FF0000"/>
        </w:rPr>
        <w:t>the tranche 1 date.</w:t>
      </w:r>
    </w:p>
    <w:p w14:paraId="2E9B2C22" w14:textId="5B7089B4" w:rsidR="00B81C04" w:rsidRPr="00693A57" w:rsidRDefault="00B81C04" w:rsidP="00B81C04">
      <w:pPr>
        <w:pStyle w:val="subsection"/>
        <w:rPr>
          <w:iCs/>
          <w:color w:val="FF0000"/>
        </w:rPr>
      </w:pPr>
      <w:r w:rsidRPr="00693A57">
        <w:rPr>
          <w:iCs/>
          <w:color w:val="FF0000"/>
        </w:rPr>
        <w:tab/>
        <w:t>(3)</w:t>
      </w:r>
      <w:r w:rsidRPr="00693A57">
        <w:rPr>
          <w:iCs/>
          <w:color w:val="FF0000"/>
        </w:rPr>
        <w:tab/>
        <w:t>The affected provisions apply in relation to a retailer other than an initial retailer on and from the tranche 2 date.</w:t>
      </w:r>
    </w:p>
    <w:p w14:paraId="527A2989" w14:textId="4541E374" w:rsidR="00F57283" w:rsidRPr="00693A57" w:rsidRDefault="00F57283" w:rsidP="00F57283">
      <w:pPr>
        <w:pStyle w:val="ActHead2"/>
        <w:rPr>
          <w:color w:val="FF0000"/>
        </w:rPr>
      </w:pPr>
      <w:r w:rsidRPr="00693A57">
        <w:rPr>
          <w:color w:val="FF0000"/>
        </w:rPr>
        <w:fldChar w:fldCharType="begin"/>
      </w:r>
      <w:r w:rsidRPr="00693A57">
        <w:rPr>
          <w:color w:val="FF0000"/>
        </w:rPr>
        <w:instrText xml:space="preserve">  LISTNUM "main numbering" \l 2 \* MERGEFORMAT </w:instrText>
      </w:r>
      <w:bookmarkStart w:id="948" w:name="_Toc77065165"/>
      <w:r w:rsidRPr="00693A57">
        <w:rPr>
          <w:color w:val="FF0000"/>
        </w:rPr>
        <w:fldChar w:fldCharType="end">
          <w:numberingChange w:id="949" w:author="Author" w:original="Part 9"/>
        </w:fldChar>
      </w:r>
      <w:r w:rsidRPr="00693A57">
        <w:rPr>
          <w:color w:val="FF0000"/>
        </w:rPr>
        <w:t>—Other rules, and modifications of these rules, for the energy sector</w:t>
      </w:r>
      <w:bookmarkEnd w:id="948"/>
    </w:p>
    <w:p w14:paraId="339841F7" w14:textId="453AD8DD" w:rsidR="00F57283" w:rsidRPr="00693A57" w:rsidRDefault="00F57283" w:rsidP="00F57283">
      <w:pPr>
        <w:pStyle w:val="ActHead5"/>
        <w:rPr>
          <w:color w:val="FF0000"/>
        </w:rPr>
      </w:pPr>
      <w:r w:rsidRPr="00693A57">
        <w:rPr>
          <w:color w:val="FF0000"/>
        </w:rPr>
        <w:fldChar w:fldCharType="begin"/>
      </w:r>
      <w:bookmarkStart w:id="950" w:name="_Ref62550367"/>
      <w:bookmarkEnd w:id="950"/>
      <w:r w:rsidRPr="00693A57">
        <w:rPr>
          <w:color w:val="FF0000"/>
        </w:rPr>
        <w:instrText xml:space="preserve">  LISTNUM "main numbering" \l 5 \* MERGEFORMAT </w:instrText>
      </w:r>
      <w:bookmarkStart w:id="951" w:name="_Toc77065166"/>
      <w:r w:rsidRPr="00693A57">
        <w:rPr>
          <w:color w:val="FF0000"/>
        </w:rPr>
        <w:fldChar w:fldCharType="end">
          <w:numberingChange w:id="952" w:author="Author" w:original="9.1"/>
        </w:fldChar>
      </w:r>
      <w:r w:rsidRPr="00693A57">
        <w:rPr>
          <w:color w:val="FF0000"/>
        </w:rPr>
        <w:t xml:space="preserve">  Laws relevant to the management of CDR data—energy sector</w:t>
      </w:r>
      <w:bookmarkEnd w:id="951"/>
    </w:p>
    <w:p w14:paraId="7327685C" w14:textId="77777777" w:rsidR="00F57283" w:rsidRPr="00693A57" w:rsidRDefault="00F57283" w:rsidP="00F57283">
      <w:pPr>
        <w:pStyle w:val="subsection"/>
        <w:rPr>
          <w:color w:val="FF0000"/>
        </w:rPr>
      </w:pPr>
      <w:r w:rsidRPr="00693A57">
        <w:rPr>
          <w:color w:val="FF0000"/>
        </w:rPr>
        <w:tab/>
      </w:r>
      <w:r w:rsidRPr="00693A57">
        <w:rPr>
          <w:color w:val="FF0000"/>
        </w:rPr>
        <w:tab/>
        <w:t>For paragraph (f) of the definition of “law relevant to the management of CDR data” in rule 1.7 of these rules:</w:t>
      </w:r>
    </w:p>
    <w:p w14:paraId="49DB8423" w14:textId="77777777" w:rsidR="00F57283" w:rsidRPr="00693A57" w:rsidRDefault="00F57283" w:rsidP="00F57283">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953" w:author="Author" w:original="(a)"/>
        </w:fldChar>
      </w:r>
      <w:r w:rsidRPr="00693A57">
        <w:rPr>
          <w:rFonts w:eastAsia="Calibri"/>
          <w:color w:val="FF0000"/>
        </w:rPr>
        <w:tab/>
        <w:t>the National Electricity Law; and</w:t>
      </w:r>
    </w:p>
    <w:p w14:paraId="05691028" w14:textId="07C88BDE" w:rsidR="00F57283" w:rsidRPr="00693A57" w:rsidRDefault="00F57283" w:rsidP="00F57283">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954" w:author="Author" w:original="(b)"/>
        </w:fldChar>
      </w:r>
      <w:r w:rsidRPr="00693A57">
        <w:rPr>
          <w:rFonts w:eastAsia="Calibri"/>
          <w:color w:val="FF0000"/>
        </w:rPr>
        <w:tab/>
        <w:t>the National Energy Retail Law;</w:t>
      </w:r>
      <w:r w:rsidR="00356069" w:rsidRPr="00693A57">
        <w:rPr>
          <w:rFonts w:eastAsia="Calibri"/>
          <w:color w:val="FF0000"/>
        </w:rPr>
        <w:t xml:space="preserve"> and</w:t>
      </w:r>
    </w:p>
    <w:p w14:paraId="2195B835" w14:textId="18D556FE" w:rsidR="00356069" w:rsidRPr="00693A57" w:rsidRDefault="00356069" w:rsidP="00356069">
      <w:pPr>
        <w:pStyle w:val="paragraph"/>
        <w:rPr>
          <w:rFonts w:eastAsia="Calibri"/>
          <w:color w:val="FF0000"/>
        </w:rPr>
      </w:pPr>
      <w:r w:rsidRPr="00693A57">
        <w:rPr>
          <w:rFonts w:eastAsia="Calibri"/>
          <w:color w:val="FF0000"/>
        </w:rPr>
        <w:tab/>
      </w:r>
      <w:r w:rsidRPr="00693A57">
        <w:rPr>
          <w:rFonts w:eastAsia="Calibri"/>
          <w:color w:val="FF0000"/>
        </w:rPr>
        <w:fldChar w:fldCharType="begin"/>
      </w:r>
      <w:r w:rsidRPr="00693A57">
        <w:rPr>
          <w:rFonts w:eastAsia="Calibri"/>
          <w:color w:val="FF0000"/>
        </w:rPr>
        <w:instrText xml:space="preserve">  LISTNUM "main numbering" \l 7 \* MERGEFORMAT </w:instrText>
      </w:r>
      <w:r w:rsidRPr="00693A57">
        <w:rPr>
          <w:rFonts w:eastAsia="Calibri"/>
          <w:color w:val="FF0000"/>
        </w:rPr>
        <w:fldChar w:fldCharType="end">
          <w:numberingChange w:id="955" w:author="Author" w:original="(c)"/>
        </w:fldChar>
      </w:r>
      <w:r w:rsidRPr="00693A57">
        <w:rPr>
          <w:rFonts w:eastAsia="Calibri"/>
          <w:color w:val="FF0000"/>
        </w:rPr>
        <w:tab/>
        <w:t xml:space="preserve">the </w:t>
      </w:r>
      <w:r w:rsidRPr="00693A57">
        <w:rPr>
          <w:i/>
          <w:iCs/>
          <w:color w:val="FF0000"/>
        </w:rPr>
        <w:t>Electricity Industry Act 2000</w:t>
      </w:r>
      <w:r w:rsidRPr="00693A57">
        <w:rPr>
          <w:color w:val="FF0000"/>
        </w:rPr>
        <w:t xml:space="preserve"> (Vic).</w:t>
      </w:r>
    </w:p>
    <w:p w14:paraId="2A9D6F0D" w14:textId="77777777" w:rsidR="00F57283" w:rsidRPr="00693A57" w:rsidRDefault="00F57283" w:rsidP="00F57283">
      <w:pPr>
        <w:pStyle w:val="subsection20"/>
        <w:rPr>
          <w:color w:val="FF0000"/>
        </w:rPr>
      </w:pPr>
      <w:r w:rsidRPr="00693A57">
        <w:rPr>
          <w:color w:val="FF0000"/>
        </w:rPr>
        <w:tab/>
      </w:r>
      <w:r w:rsidRPr="00693A57">
        <w:rPr>
          <w:color w:val="FF0000"/>
        </w:rPr>
        <w:tab/>
        <w:t>are laws relevant to the management of CDR data in relation to the energy sector.</w:t>
      </w:r>
    </w:p>
    <w:p w14:paraId="74BA191D" w14:textId="2727E1CE" w:rsidR="00F57283" w:rsidRPr="00693A57" w:rsidRDefault="00F57283" w:rsidP="00F57283">
      <w:pPr>
        <w:pStyle w:val="ActHead5"/>
        <w:rPr>
          <w:color w:val="FF0000"/>
        </w:rPr>
      </w:pPr>
      <w:r w:rsidRPr="00693A57">
        <w:rPr>
          <w:color w:val="FF0000"/>
        </w:rPr>
        <w:fldChar w:fldCharType="begin"/>
      </w:r>
      <w:bookmarkStart w:id="956" w:name="_Ref67663141"/>
      <w:bookmarkEnd w:id="956"/>
      <w:r w:rsidRPr="00693A57">
        <w:rPr>
          <w:color w:val="FF0000"/>
        </w:rPr>
        <w:instrText xml:space="preserve">  LISTNUM "main numbering" \l 5 \* MERGEFORMAT </w:instrText>
      </w:r>
      <w:bookmarkStart w:id="957" w:name="_Toc77065167"/>
      <w:r w:rsidRPr="00693A57">
        <w:rPr>
          <w:color w:val="FF0000"/>
        </w:rPr>
        <w:fldChar w:fldCharType="end">
          <w:numberingChange w:id="958" w:author="Author" w:original="9.2"/>
        </w:fldChar>
      </w:r>
      <w:r w:rsidRPr="00693A57">
        <w:rPr>
          <w:color w:val="FF0000"/>
        </w:rPr>
        <w:t xml:space="preserve">  Conditions for accredited person to be data holder</w:t>
      </w:r>
      <w:bookmarkEnd w:id="957"/>
    </w:p>
    <w:p w14:paraId="2262741C" w14:textId="77777777" w:rsidR="00F57283" w:rsidRPr="00693A57" w:rsidRDefault="00F57283" w:rsidP="00F57283">
      <w:pPr>
        <w:pStyle w:val="subsection"/>
        <w:rPr>
          <w:color w:val="FF0000"/>
        </w:rPr>
      </w:pPr>
      <w:r w:rsidRPr="00693A57">
        <w:rPr>
          <w:color w:val="FF0000"/>
        </w:rPr>
        <w:tab/>
        <w:t>(1)</w:t>
      </w:r>
      <w:r w:rsidRPr="00693A57">
        <w:rPr>
          <w:color w:val="FF0000"/>
        </w:rPr>
        <w:tab/>
        <w:t xml:space="preserve">For paragraph 56AJ(4)(c) of the Act, this clause sets out conditions for a person that has collected CDR data in accordance with a consumer data request under Part 4 of these rules to be a data holder (rather than an accredited data recipient) of that CDR data and any CDR data that it directly or indirectly derived from that CDR data (together, the </w:t>
      </w:r>
      <w:r w:rsidRPr="00693A57">
        <w:rPr>
          <w:b/>
          <w:i/>
          <w:color w:val="FF0000"/>
        </w:rPr>
        <w:t xml:space="preserve">relevant </w:t>
      </w:r>
      <w:r w:rsidRPr="00693A57">
        <w:rPr>
          <w:color w:val="FF0000"/>
        </w:rPr>
        <w:t>CDR data</w:t>
      </w:r>
      <w:r w:rsidRPr="00693A57">
        <w:rPr>
          <w:b/>
          <w:color w:val="FF0000"/>
        </w:rPr>
        <w:t>)</w:t>
      </w:r>
      <w:r w:rsidRPr="00693A57">
        <w:rPr>
          <w:color w:val="FF0000"/>
        </w:rPr>
        <w:t>.</w:t>
      </w:r>
    </w:p>
    <w:p w14:paraId="360D1257" w14:textId="77777777" w:rsidR="00F57283" w:rsidRPr="00693A57" w:rsidRDefault="00F57283" w:rsidP="00F57283">
      <w:pPr>
        <w:pStyle w:val="subsection"/>
        <w:rPr>
          <w:color w:val="FF0000"/>
        </w:rPr>
      </w:pPr>
      <w:r w:rsidRPr="00693A57">
        <w:rPr>
          <w:color w:val="FF0000"/>
        </w:rPr>
        <w:tab/>
        <w:t>(2)</w:t>
      </w:r>
      <w:r w:rsidRPr="00693A57">
        <w:rPr>
          <w:color w:val="FF0000"/>
        </w:rPr>
        <w:tab/>
        <w:t>The conditions are that:</w:t>
      </w:r>
    </w:p>
    <w:p w14:paraId="2E8567FA" w14:textId="77777777" w:rsidR="00F57283" w:rsidRPr="00693A57" w:rsidRDefault="00F57283" w:rsidP="00F57283">
      <w:pPr>
        <w:pStyle w:val="paragraph"/>
        <w:rPr>
          <w:color w:val="FF0000"/>
        </w:rPr>
      </w:pPr>
      <w:r w:rsidRPr="00693A57">
        <w:rPr>
          <w:color w:val="FF0000"/>
        </w:rPr>
        <w:tab/>
        <w:t>(a)</w:t>
      </w:r>
      <w:r w:rsidRPr="00693A57">
        <w:rPr>
          <w:color w:val="FF0000"/>
        </w:rPr>
        <w:tab/>
        <w:t>the person is a retailer; and</w:t>
      </w:r>
    </w:p>
    <w:p w14:paraId="4EF2A987" w14:textId="77777777" w:rsidR="00F57283" w:rsidRPr="00693A57" w:rsidRDefault="00F57283" w:rsidP="00F57283">
      <w:pPr>
        <w:pStyle w:val="paragraph"/>
        <w:rPr>
          <w:color w:val="FF0000"/>
        </w:rPr>
      </w:pPr>
      <w:r w:rsidRPr="00693A57">
        <w:rPr>
          <w:color w:val="FF0000"/>
        </w:rPr>
        <w:lastRenderedPageBreak/>
        <w:tab/>
        <w:t>(b)</w:t>
      </w:r>
      <w:r w:rsidRPr="00693A57">
        <w:rPr>
          <w:color w:val="FF0000"/>
        </w:rPr>
        <w:tab/>
        <w:t xml:space="preserve">the CDR data is information covered by item 1, 3 or 5 of the table in section 12 of the of the energy sector designation instrument; and </w:t>
      </w:r>
    </w:p>
    <w:p w14:paraId="4E5E735D" w14:textId="77777777" w:rsidR="00F57283" w:rsidRPr="00693A57" w:rsidRDefault="00F57283" w:rsidP="00F57283">
      <w:pPr>
        <w:pStyle w:val="notetext"/>
        <w:rPr>
          <w:color w:val="FF0000"/>
        </w:rPr>
      </w:pPr>
      <w:r w:rsidRPr="00693A57">
        <w:rPr>
          <w:color w:val="FF0000"/>
        </w:rPr>
        <w:t>Note:</w:t>
      </w:r>
      <w:r w:rsidRPr="00693A57">
        <w:rPr>
          <w:color w:val="FF0000"/>
        </w:rPr>
        <w:tab/>
        <w:t>These are the types of information for which a retailer is designated as a data holder under the designation instrument.</w:t>
      </w:r>
    </w:p>
    <w:p w14:paraId="187C9007" w14:textId="77777777" w:rsidR="00F57283" w:rsidRPr="00693A57" w:rsidRDefault="00F57283" w:rsidP="00F57283">
      <w:pPr>
        <w:pStyle w:val="paragraph"/>
        <w:rPr>
          <w:color w:val="FF0000"/>
        </w:rPr>
      </w:pPr>
      <w:r w:rsidRPr="00693A57">
        <w:rPr>
          <w:color w:val="FF0000"/>
        </w:rPr>
        <w:tab/>
        <w:t>(c)</w:t>
      </w:r>
      <w:r w:rsidRPr="00693A57">
        <w:rPr>
          <w:color w:val="FF0000"/>
        </w:rPr>
        <w:tab/>
        <w:t>the CDR consumer is a customer of the person; and</w:t>
      </w:r>
    </w:p>
    <w:p w14:paraId="7DAE1CD4" w14:textId="77777777" w:rsidR="00F57283" w:rsidRPr="00693A57" w:rsidRDefault="00F57283" w:rsidP="00F57283">
      <w:pPr>
        <w:pStyle w:val="paragraph"/>
        <w:rPr>
          <w:color w:val="FF0000"/>
        </w:rPr>
      </w:pPr>
      <w:r w:rsidRPr="00693A57">
        <w:rPr>
          <w:color w:val="FF0000"/>
        </w:rPr>
        <w:tab/>
        <w:t>(d)</w:t>
      </w:r>
      <w:r w:rsidRPr="00693A57">
        <w:rPr>
          <w:color w:val="FF0000"/>
        </w:rPr>
        <w:tab/>
        <w:t>the person:</w:t>
      </w:r>
    </w:p>
    <w:p w14:paraId="1B94EB60" w14:textId="77777777" w:rsidR="00F57283" w:rsidRPr="00693A57" w:rsidRDefault="00F57283" w:rsidP="00F57283">
      <w:pPr>
        <w:pStyle w:val="paragraphsub"/>
        <w:rPr>
          <w:color w:val="FF0000"/>
        </w:rPr>
      </w:pPr>
      <w:r w:rsidRPr="00693A57">
        <w:rPr>
          <w:color w:val="FF0000"/>
        </w:rPr>
        <w:tab/>
        <w:t>(i)</w:t>
      </w:r>
      <w:r w:rsidRPr="00693A57">
        <w:rPr>
          <w:color w:val="FF0000"/>
        </w:rPr>
        <w:tab/>
        <w:t>reasonably believes that the relevant CDR data is relevant to the arrangement with the CDR consumer; and</w:t>
      </w:r>
    </w:p>
    <w:p w14:paraId="3B168D2E" w14:textId="77777777" w:rsidR="00F57283" w:rsidRPr="00693A57" w:rsidRDefault="00F57283" w:rsidP="00F57283">
      <w:pPr>
        <w:pStyle w:val="paragraphsub"/>
        <w:rPr>
          <w:color w:val="FF0000"/>
        </w:rPr>
      </w:pPr>
      <w:r w:rsidRPr="00693A57">
        <w:rPr>
          <w:color w:val="FF0000"/>
        </w:rPr>
        <w:tab/>
        <w:t>(ii)</w:t>
      </w:r>
      <w:r w:rsidRPr="00693A57">
        <w:rPr>
          <w:color w:val="FF0000"/>
        </w:rPr>
        <w:tab/>
        <w:t>has asked the CDR consumer to agree to the person being a data holder, rather than an accredited data recipient, of the relevant CDR data; and</w:t>
      </w:r>
    </w:p>
    <w:p w14:paraId="6B32E63D" w14:textId="77777777" w:rsidR="00F57283" w:rsidRPr="00693A57" w:rsidRDefault="00F57283" w:rsidP="00F57283">
      <w:pPr>
        <w:pStyle w:val="paragraphsub"/>
        <w:rPr>
          <w:color w:val="FF0000"/>
        </w:rPr>
      </w:pPr>
      <w:r w:rsidRPr="00693A57">
        <w:rPr>
          <w:color w:val="FF0000"/>
        </w:rPr>
        <w:tab/>
        <w:t>(iii)</w:t>
      </w:r>
      <w:r w:rsidRPr="00693A57">
        <w:rPr>
          <w:color w:val="FF0000"/>
        </w:rPr>
        <w:tab/>
        <w:t>has explained to the CDR consumer:</w:t>
      </w:r>
    </w:p>
    <w:p w14:paraId="1AB7ABC5" w14:textId="77777777" w:rsidR="00F57283" w:rsidRPr="00693A57" w:rsidRDefault="00F57283" w:rsidP="00F57283">
      <w:pPr>
        <w:pStyle w:val="paragraphsub-sub"/>
        <w:rPr>
          <w:color w:val="FF0000"/>
        </w:rPr>
      </w:pPr>
      <w:r w:rsidRPr="00693A57">
        <w:rPr>
          <w:color w:val="FF0000"/>
        </w:rPr>
        <w:tab/>
        <w:t>(A)</w:t>
      </w:r>
      <w:r w:rsidRPr="00693A57">
        <w:rPr>
          <w:color w:val="FF0000"/>
        </w:rPr>
        <w:tab/>
        <w:t>that, as a result, the privacy safeguards, to the extent that they apply to an accredited data recipient of CDR data, would no longer apply to the person in relation to the relevant CDR data; and</w:t>
      </w:r>
    </w:p>
    <w:p w14:paraId="134576EA" w14:textId="77777777" w:rsidR="00F57283" w:rsidRPr="00693A57" w:rsidRDefault="00F57283" w:rsidP="00F57283">
      <w:pPr>
        <w:pStyle w:val="paragraphsub-sub"/>
        <w:rPr>
          <w:color w:val="FF0000"/>
        </w:rPr>
      </w:pPr>
      <w:r w:rsidRPr="00693A57">
        <w:rPr>
          <w:color w:val="FF0000"/>
        </w:rPr>
        <w:tab/>
        <w:t>(B)</w:t>
      </w:r>
      <w:r w:rsidRPr="00693A57">
        <w:rPr>
          <w:color w:val="FF0000"/>
        </w:rPr>
        <w:tab/>
        <w:t>the manner in which it proposes to treat the relevant CDR data; and</w:t>
      </w:r>
    </w:p>
    <w:p w14:paraId="6AEFBA62" w14:textId="77777777" w:rsidR="00F57283" w:rsidRPr="00693A57" w:rsidRDefault="00F57283" w:rsidP="00F57283">
      <w:pPr>
        <w:pStyle w:val="paragraphsub-sub"/>
        <w:rPr>
          <w:color w:val="FF0000"/>
        </w:rPr>
      </w:pPr>
      <w:r w:rsidRPr="00693A57">
        <w:rPr>
          <w:color w:val="FF0000"/>
        </w:rPr>
        <w:tab/>
        <w:t>(C)</w:t>
      </w:r>
      <w:r w:rsidRPr="00693A57">
        <w:rPr>
          <w:color w:val="FF0000"/>
        </w:rPr>
        <w:tab/>
        <w:t>why it is entitled to provide the CDR consumer with this option; and</w:t>
      </w:r>
    </w:p>
    <w:p w14:paraId="09CE3778" w14:textId="77777777" w:rsidR="00F57283" w:rsidRPr="00693A57" w:rsidRDefault="00F57283" w:rsidP="00F57283">
      <w:pPr>
        <w:pStyle w:val="paragraphsub"/>
        <w:rPr>
          <w:color w:val="FF0000"/>
        </w:rPr>
      </w:pPr>
      <w:r w:rsidRPr="00693A57">
        <w:rPr>
          <w:color w:val="FF0000"/>
        </w:rPr>
        <w:tab/>
        <w:t>(iv)</w:t>
      </w:r>
      <w:r w:rsidRPr="00693A57">
        <w:rPr>
          <w:color w:val="FF0000"/>
        </w:rPr>
        <w:tab/>
        <w:t>has outlined the consequences, to the CDR consumer, of not agreeing to this; and</w:t>
      </w:r>
    </w:p>
    <w:p w14:paraId="47329F6E" w14:textId="77777777" w:rsidR="00F57283" w:rsidRPr="00693A57" w:rsidRDefault="00F57283" w:rsidP="00F57283">
      <w:pPr>
        <w:pStyle w:val="paragraph"/>
        <w:rPr>
          <w:color w:val="FF0000"/>
        </w:rPr>
      </w:pPr>
      <w:r w:rsidRPr="00693A57">
        <w:rPr>
          <w:color w:val="FF0000"/>
        </w:rPr>
        <w:tab/>
        <w:t>(e)</w:t>
      </w:r>
      <w:r w:rsidRPr="00693A57">
        <w:rPr>
          <w:color w:val="FF0000"/>
        </w:rPr>
        <w:tab/>
        <w:t>the CDR consumer has agreed to the person being a data holder, rather than an accredited data recipient, of the relevant CDR data.</w:t>
      </w:r>
    </w:p>
    <w:p w14:paraId="7C1B1892" w14:textId="77777777" w:rsidR="00F57283" w:rsidRPr="00693A57" w:rsidRDefault="00F57283" w:rsidP="00F57283">
      <w:pPr>
        <w:pStyle w:val="SubsectionHead"/>
        <w:rPr>
          <w:color w:val="FF0000"/>
        </w:rPr>
      </w:pPr>
      <w:r w:rsidRPr="00693A57">
        <w:rPr>
          <w:color w:val="FF0000"/>
        </w:rPr>
        <w:t>Related modifications of these rules</w:t>
      </w:r>
    </w:p>
    <w:p w14:paraId="368AA289" w14:textId="77777777" w:rsidR="00F57283" w:rsidRPr="00693A57" w:rsidRDefault="00F57283" w:rsidP="00F57283">
      <w:pPr>
        <w:pStyle w:val="subsection"/>
        <w:rPr>
          <w:color w:val="FF0000"/>
        </w:rPr>
      </w:pPr>
      <w:r w:rsidRPr="00693A57">
        <w:rPr>
          <w:color w:val="FF0000"/>
        </w:rPr>
        <w:tab/>
        <w:t>(3)</w:t>
      </w:r>
      <w:r w:rsidRPr="00693A57">
        <w:rPr>
          <w:color w:val="FF0000"/>
        </w:rPr>
        <w:tab/>
        <w:t>If a person becomes a data holder, rather than an accredited data recipient, of CDR data as a result of subsection 56AJ(4) of the Act and this clause:</w:t>
      </w:r>
    </w:p>
    <w:p w14:paraId="7F8A213B" w14:textId="77777777" w:rsidR="00F57283" w:rsidRPr="00693A57" w:rsidRDefault="00F57283" w:rsidP="00F57283">
      <w:pPr>
        <w:pStyle w:val="paragraph"/>
        <w:rPr>
          <w:color w:val="FF0000"/>
        </w:rPr>
      </w:pPr>
      <w:r w:rsidRPr="00693A57">
        <w:rPr>
          <w:color w:val="FF0000"/>
        </w:rPr>
        <w:tab/>
        <w:t>(b)</w:t>
      </w:r>
      <w:r w:rsidRPr="00693A57">
        <w:rPr>
          <w:color w:val="FF0000"/>
        </w:rPr>
        <w:tab/>
        <w:t>for paragraph 4.26(1)(h) of these rules, any authorisations to disclose CDR data in relation to the consumer data request expire; and</w:t>
      </w:r>
    </w:p>
    <w:p w14:paraId="7129CEDD" w14:textId="77777777" w:rsidR="00F57283" w:rsidRPr="00693A57" w:rsidRDefault="00F57283" w:rsidP="00F57283">
      <w:pPr>
        <w:pStyle w:val="paragraph"/>
        <w:rPr>
          <w:color w:val="FF0000"/>
        </w:rPr>
      </w:pPr>
      <w:r w:rsidRPr="00693A57">
        <w:rPr>
          <w:color w:val="FF0000"/>
        </w:rPr>
        <w:tab/>
        <w:t>(c)</w:t>
      </w:r>
      <w:r w:rsidRPr="00693A57">
        <w:rPr>
          <w:color w:val="FF0000"/>
        </w:rPr>
        <w:tab/>
        <w:t>if the person’s accreditation has been surrendered or revoked, the following do not apply to the person in relation to that CDR data:</w:t>
      </w:r>
    </w:p>
    <w:p w14:paraId="6BF1ECFE" w14:textId="77777777" w:rsidR="00F57283" w:rsidRPr="00693A57" w:rsidRDefault="00F57283" w:rsidP="00F57283">
      <w:pPr>
        <w:pStyle w:val="paragraphsub"/>
        <w:rPr>
          <w:color w:val="FF0000"/>
        </w:rPr>
      </w:pPr>
      <w:r w:rsidRPr="00693A57">
        <w:rPr>
          <w:color w:val="FF0000"/>
        </w:rPr>
        <w:tab/>
        <w:t>(i)</w:t>
      </w:r>
      <w:r w:rsidRPr="00693A57">
        <w:rPr>
          <w:color w:val="FF0000"/>
        </w:rPr>
        <w:tab/>
        <w:t>subrule 5.23(2);</w:t>
      </w:r>
    </w:p>
    <w:p w14:paraId="3B1DBE17" w14:textId="77777777" w:rsidR="00F57283" w:rsidRPr="00693A57" w:rsidRDefault="00F57283" w:rsidP="00F57283">
      <w:pPr>
        <w:pStyle w:val="paragraphsub"/>
        <w:rPr>
          <w:color w:val="FF0000"/>
        </w:rPr>
      </w:pPr>
      <w:r w:rsidRPr="00693A57">
        <w:rPr>
          <w:color w:val="FF0000"/>
        </w:rPr>
        <w:tab/>
        <w:t>(ii)</w:t>
      </w:r>
      <w:r w:rsidRPr="00693A57">
        <w:rPr>
          <w:color w:val="FF0000"/>
        </w:rPr>
        <w:tab/>
        <w:t>paragraph 5.23(3)(b).</w:t>
      </w:r>
    </w:p>
    <w:p w14:paraId="7F124EE5" w14:textId="71D87DCE" w:rsidR="00F57283" w:rsidRPr="00693A57" w:rsidRDefault="00F57283" w:rsidP="00F57283">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59" w:name="_Toc77065168"/>
      <w:r w:rsidRPr="00693A57">
        <w:rPr>
          <w:color w:val="FF0000"/>
        </w:rPr>
        <w:fldChar w:fldCharType="end">
          <w:numberingChange w:id="960" w:author="Author" w:original="9.3"/>
        </w:fldChar>
      </w:r>
      <w:r w:rsidRPr="00693A57">
        <w:rPr>
          <w:color w:val="FF0000"/>
        </w:rPr>
        <w:t xml:space="preserve">  Consultation by Data Recipient Accreditor (rule 5.4)</w:t>
      </w:r>
      <w:bookmarkEnd w:id="959"/>
    </w:p>
    <w:p w14:paraId="7C699F86" w14:textId="77777777" w:rsidR="00F57283" w:rsidRPr="00693A57" w:rsidRDefault="00F57283" w:rsidP="00F57283">
      <w:pPr>
        <w:pStyle w:val="subsection"/>
        <w:rPr>
          <w:color w:val="FF0000"/>
        </w:rPr>
      </w:pPr>
      <w:r w:rsidRPr="00693A57">
        <w:rPr>
          <w:color w:val="FF0000"/>
        </w:rPr>
        <w:tab/>
      </w:r>
      <w:r w:rsidRPr="00693A57">
        <w:rPr>
          <w:color w:val="FF0000"/>
        </w:rPr>
        <w:tab/>
        <w:t>For paragraph 5.4(1)(c), the AER and the Essential Services Commission of Victoria are specified as authorities that the Data Recipient Accreditor may consult with.</w:t>
      </w:r>
    </w:p>
    <w:p w14:paraId="2E66272A" w14:textId="329B816A" w:rsidR="004F7071" w:rsidRPr="00693A57" w:rsidRDefault="004F7071" w:rsidP="004F7071">
      <w:pPr>
        <w:pStyle w:val="ActHead5"/>
        <w:rPr>
          <w:color w:val="FF0000"/>
        </w:rPr>
      </w:pPr>
      <w:r w:rsidRPr="00693A57">
        <w:rPr>
          <w:color w:val="FF0000"/>
        </w:rPr>
        <w:fldChar w:fldCharType="begin"/>
      </w:r>
      <w:r w:rsidRPr="00693A57">
        <w:rPr>
          <w:color w:val="FF0000"/>
        </w:rPr>
        <w:instrText xml:space="preserve">  LISTNUM "main numbering" \l 5 \* MERGEFORMAT </w:instrText>
      </w:r>
      <w:bookmarkStart w:id="961" w:name="_Toc77065169"/>
      <w:r w:rsidRPr="00693A57">
        <w:rPr>
          <w:color w:val="FF0000"/>
        </w:rPr>
        <w:fldChar w:fldCharType="end">
          <w:numberingChange w:id="962" w:author="Author" w:original="9.4"/>
        </w:fldChar>
      </w:r>
      <w:r w:rsidRPr="00693A57">
        <w:rPr>
          <w:color w:val="FF0000"/>
        </w:rPr>
        <w:t xml:space="preserve">  </w:t>
      </w:r>
      <w:r w:rsidR="003E3A6D" w:rsidRPr="00693A57">
        <w:rPr>
          <w:color w:val="FF0000"/>
        </w:rPr>
        <w:t>AEMO</w:t>
      </w:r>
      <w:r w:rsidRPr="00693A57">
        <w:rPr>
          <w:color w:val="FF0000"/>
        </w:rPr>
        <w:t xml:space="preserve"> not to appear on Registrar’s data base (rule 5.25)</w:t>
      </w:r>
      <w:bookmarkEnd w:id="961"/>
    </w:p>
    <w:p w14:paraId="20BE4F08" w14:textId="2ECDB69B" w:rsidR="004F7071" w:rsidRPr="00693A57" w:rsidRDefault="004F7071" w:rsidP="004F7071">
      <w:pPr>
        <w:pStyle w:val="subsection"/>
        <w:rPr>
          <w:color w:val="FF0000"/>
        </w:rPr>
      </w:pPr>
      <w:r w:rsidRPr="00693A57">
        <w:rPr>
          <w:color w:val="FF0000"/>
        </w:rPr>
        <w:tab/>
      </w:r>
      <w:r w:rsidRPr="00693A57">
        <w:rPr>
          <w:color w:val="FF0000"/>
        </w:rPr>
        <w:tab/>
        <w:t xml:space="preserve">For the purposes of subrule 5.25(1), </w:t>
      </w:r>
      <w:r w:rsidR="003E3A6D" w:rsidRPr="00693A57">
        <w:rPr>
          <w:color w:val="FF0000"/>
        </w:rPr>
        <w:t>AEMO</w:t>
      </w:r>
      <w:r w:rsidRPr="00693A57">
        <w:rPr>
          <w:color w:val="FF0000"/>
        </w:rPr>
        <w:t xml:space="preserve"> is not to be treated as a data holder.</w:t>
      </w:r>
    </w:p>
    <w:p w14:paraId="28354E0A" w14:textId="2B7357AC" w:rsidR="00A66E70" w:rsidRPr="00693A57" w:rsidRDefault="00A66E70" w:rsidP="00A66E70">
      <w:pPr>
        <w:pStyle w:val="notetext"/>
        <w:rPr>
          <w:color w:val="FF0000"/>
        </w:rPr>
      </w:pPr>
      <w:r w:rsidRPr="00693A57">
        <w:rPr>
          <w:color w:val="FF0000"/>
        </w:rPr>
        <w:lastRenderedPageBreak/>
        <w:t>Note:</w:t>
      </w:r>
      <w:r w:rsidRPr="00693A57">
        <w:rPr>
          <w:color w:val="FF0000"/>
        </w:rPr>
        <w:tab/>
        <w:t xml:space="preserve">The function of the data base to be maintained under subrule 5.25(1) is to provide information for the making of consumer data requests to data holders. Since requests for </w:t>
      </w:r>
      <w:r w:rsidR="003E3A6D" w:rsidRPr="00693A57">
        <w:rPr>
          <w:color w:val="FF0000"/>
        </w:rPr>
        <w:t>AEMO</w:t>
      </w:r>
      <w:r w:rsidRPr="00693A57">
        <w:rPr>
          <w:color w:val="FF0000"/>
        </w:rPr>
        <w:t xml:space="preserve"> data will be made to the relevant retailer, the data base will not require details relating to </w:t>
      </w:r>
      <w:r w:rsidR="003E3A6D" w:rsidRPr="00693A57">
        <w:rPr>
          <w:color w:val="FF0000"/>
        </w:rPr>
        <w:t>AEMO</w:t>
      </w:r>
      <w:r w:rsidRPr="00693A57">
        <w:rPr>
          <w:color w:val="FF0000"/>
        </w:rPr>
        <w:t>.</w:t>
      </w:r>
    </w:p>
    <w:p w14:paraId="7B19CD17" w14:textId="3D97C44E" w:rsidR="00F57283" w:rsidRPr="00693A57" w:rsidRDefault="00F57283" w:rsidP="00F57283">
      <w:pPr>
        <w:pStyle w:val="ActHead5"/>
        <w:rPr>
          <w:color w:val="FF0000"/>
        </w:rPr>
      </w:pPr>
      <w:r w:rsidRPr="00693A57">
        <w:rPr>
          <w:color w:val="FF0000"/>
        </w:rPr>
        <w:fldChar w:fldCharType="begin"/>
      </w:r>
      <w:bookmarkStart w:id="963" w:name="_Ref67663210"/>
      <w:bookmarkEnd w:id="963"/>
      <w:r w:rsidRPr="00693A57">
        <w:rPr>
          <w:color w:val="FF0000"/>
        </w:rPr>
        <w:instrText xml:space="preserve">  LISTNUM "main numbering" \l 5 \* MERGEFORMAT </w:instrText>
      </w:r>
      <w:bookmarkStart w:id="964" w:name="_Toc77065170"/>
      <w:r w:rsidRPr="00693A57">
        <w:rPr>
          <w:color w:val="FF0000"/>
        </w:rPr>
        <w:fldChar w:fldCharType="end">
          <w:numberingChange w:id="965" w:author="Author" w:original="9.5"/>
        </w:fldChar>
      </w:r>
      <w:r w:rsidRPr="00693A57">
        <w:rPr>
          <w:color w:val="FF0000"/>
        </w:rPr>
        <w:t xml:space="preserve">  Grounds for revocation, suspension and surrender of accreditation—energy sector</w:t>
      </w:r>
      <w:bookmarkEnd w:id="964"/>
    </w:p>
    <w:p w14:paraId="27DDDD79" w14:textId="77777777" w:rsidR="00F57283" w:rsidRPr="00693A57" w:rsidRDefault="00F57283" w:rsidP="00F57283">
      <w:pPr>
        <w:pStyle w:val="subsection"/>
        <w:rPr>
          <w:color w:val="FF0000"/>
        </w:rPr>
      </w:pPr>
      <w:r w:rsidRPr="00693A57">
        <w:rPr>
          <w:color w:val="FF0000"/>
        </w:rPr>
        <w:tab/>
      </w:r>
      <w:r w:rsidRPr="00693A57">
        <w:rPr>
          <w:color w:val="FF0000"/>
        </w:rPr>
        <w:tab/>
        <w:t>For item 5 of the table in rule 5.17:</w:t>
      </w:r>
    </w:p>
    <w:p w14:paraId="05863703"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66" w:author="Author" w:original="(a)"/>
        </w:fldChar>
      </w:r>
      <w:r w:rsidRPr="00693A57">
        <w:rPr>
          <w:color w:val="FF0000"/>
        </w:rPr>
        <w:tab/>
        <w:t>the relevant condition is that the accredited person was, at the time of the accreditation, a retailer; and</w:t>
      </w:r>
    </w:p>
    <w:p w14:paraId="08F92F95" w14:textId="77777777" w:rsidR="00F57283" w:rsidRPr="00693A57" w:rsidRDefault="00F57283" w:rsidP="00F57283">
      <w:pPr>
        <w:pStyle w:val="paragraph"/>
        <w:rPr>
          <w:color w:val="FF0000"/>
        </w:rPr>
      </w:pPr>
      <w:r w:rsidRPr="00693A57">
        <w:rPr>
          <w:color w:val="FF0000"/>
        </w:rPr>
        <w:tab/>
      </w:r>
      <w:r w:rsidRPr="00693A57">
        <w:rPr>
          <w:color w:val="FF0000"/>
        </w:rPr>
        <w:fldChar w:fldCharType="begin"/>
      </w:r>
      <w:r w:rsidRPr="00693A57">
        <w:rPr>
          <w:color w:val="FF0000"/>
        </w:rPr>
        <w:instrText xml:space="preserve">  LISTNUM "main numbering" \l 7 \* MERGEFORMAT </w:instrText>
      </w:r>
      <w:r w:rsidRPr="00693A57">
        <w:rPr>
          <w:color w:val="FF0000"/>
        </w:rPr>
        <w:fldChar w:fldCharType="end">
          <w:numberingChange w:id="967" w:author="Author" w:original="(b)"/>
        </w:fldChar>
      </w:r>
      <w:r w:rsidRPr="00693A57">
        <w:rPr>
          <w:color w:val="FF0000"/>
        </w:rPr>
        <w:tab/>
        <w:t>the accredited person ceases to satisfy the condition if its authorisation or licence to sell electricity in the National Electricity Market has been suspended or revoked.</w:t>
      </w:r>
    </w:p>
    <w:p w14:paraId="51DA6B21" w14:textId="77777777" w:rsidR="005848BC" w:rsidRDefault="005848BC" w:rsidP="00D51F64">
      <w:pPr>
        <w:pStyle w:val="paragraph"/>
        <w:rPr>
          <w:color w:val="FF0000"/>
        </w:rPr>
      </w:pPr>
    </w:p>
    <w:p w14:paraId="2AC65913" w14:textId="1653F829" w:rsidR="00913BA7" w:rsidRPr="00913BA7" w:rsidRDefault="00913BA7" w:rsidP="00913BA7">
      <w:pPr>
        <w:pStyle w:val="paragraph"/>
        <w:jc w:val="center"/>
      </w:pPr>
      <w:r w:rsidRPr="00913BA7">
        <w:t>[End of marked up version of the Rules]</w:t>
      </w:r>
    </w:p>
    <w:p w14:paraId="5C0E440C" w14:textId="54B0B63A" w:rsidR="005848BC" w:rsidRDefault="005848BC" w:rsidP="005848BC">
      <w:pPr>
        <w:pStyle w:val="paragraph"/>
      </w:pPr>
      <w:r>
        <w:tab/>
        <w:t>===================================================================</w:t>
      </w:r>
    </w:p>
    <w:p w14:paraId="1A4BAC35" w14:textId="77777777" w:rsidR="00913BA7" w:rsidRDefault="00913BA7" w:rsidP="005848BC">
      <w:pPr>
        <w:pStyle w:val="paragraph"/>
      </w:pPr>
    </w:p>
    <w:p w14:paraId="15FB87FE" w14:textId="77777777" w:rsidR="004675B3" w:rsidRDefault="00913BA7" w:rsidP="004675B3">
      <w:pPr>
        <w:pStyle w:val="ActHead6"/>
        <w:ind w:left="0" w:firstLine="0"/>
        <w:rPr>
          <w:sz w:val="28"/>
          <w:szCs w:val="28"/>
        </w:rPr>
      </w:pPr>
      <w:bookmarkStart w:id="968" w:name="_Toc77065171"/>
      <w:r>
        <w:t xml:space="preserve">Transitional provisions from the </w:t>
      </w:r>
      <w:r w:rsidRPr="007D42D2">
        <w:rPr>
          <w:sz w:val="28"/>
          <w:szCs w:val="28"/>
        </w:rPr>
        <w:t>proposed</w:t>
      </w:r>
      <w:bookmarkEnd w:id="968"/>
    </w:p>
    <w:p w14:paraId="7C8048A4" w14:textId="77777777" w:rsidR="004675B3" w:rsidRDefault="00913BA7" w:rsidP="004675B3">
      <w:pPr>
        <w:pStyle w:val="ActHead6"/>
        <w:ind w:left="0" w:firstLine="0"/>
        <w:rPr>
          <w:i/>
          <w:sz w:val="28"/>
          <w:szCs w:val="28"/>
        </w:rPr>
      </w:pPr>
      <w:bookmarkStart w:id="969" w:name="_Toc77065172"/>
      <w:r w:rsidRPr="007D42D2">
        <w:rPr>
          <w:i/>
          <w:sz w:val="28"/>
          <w:szCs w:val="28"/>
        </w:rPr>
        <w:t>Competition and Consumer (Consumer Data Right) Amendment Rules (No.</w:t>
      </w:r>
      <w:r w:rsidR="004675B3">
        <w:rPr>
          <w:i/>
          <w:sz w:val="28"/>
          <w:szCs w:val="28"/>
        </w:rPr>
        <w:t> </w:t>
      </w:r>
      <w:r>
        <w:rPr>
          <w:i/>
          <w:sz w:val="28"/>
          <w:szCs w:val="28"/>
        </w:rPr>
        <w:t>1</w:t>
      </w:r>
      <w:r w:rsidRPr="007D42D2">
        <w:rPr>
          <w:i/>
          <w:sz w:val="28"/>
          <w:szCs w:val="28"/>
        </w:rPr>
        <w:t>) 2021</w:t>
      </w:r>
      <w:bookmarkEnd w:id="969"/>
    </w:p>
    <w:p w14:paraId="4B11DDCC" w14:textId="6117811C" w:rsidR="00913BA7" w:rsidRPr="004675B3" w:rsidRDefault="00913BA7" w:rsidP="004675B3">
      <w:pPr>
        <w:pStyle w:val="ActHead6"/>
        <w:ind w:left="0" w:firstLine="0"/>
        <w:rPr>
          <w:i/>
          <w:sz w:val="28"/>
          <w:szCs w:val="28"/>
        </w:rPr>
      </w:pPr>
      <w:bookmarkStart w:id="970" w:name="_Toc77065173"/>
      <w:r w:rsidRPr="00693A57">
        <w:rPr>
          <w:sz w:val="28"/>
          <w:szCs w:val="28"/>
        </w:rPr>
        <w:t>(</w:t>
      </w:r>
      <w:r>
        <w:rPr>
          <w:sz w:val="28"/>
          <w:szCs w:val="28"/>
        </w:rPr>
        <w:t xml:space="preserve">Exposure draft of </w:t>
      </w:r>
      <w:r w:rsidR="001634C9">
        <w:rPr>
          <w:sz w:val="28"/>
          <w:szCs w:val="28"/>
        </w:rPr>
        <w:t>1 July</w:t>
      </w:r>
      <w:r>
        <w:rPr>
          <w:sz w:val="28"/>
          <w:szCs w:val="28"/>
        </w:rPr>
        <w:t>)</w:t>
      </w:r>
      <w:bookmarkEnd w:id="970"/>
    </w:p>
    <w:p w14:paraId="2E63F099" w14:textId="77777777" w:rsidR="00913BA7" w:rsidRDefault="00913BA7" w:rsidP="005848BC">
      <w:pPr>
        <w:pStyle w:val="paragraph"/>
      </w:pPr>
    </w:p>
    <w:p w14:paraId="7338018D" w14:textId="77777777" w:rsidR="004675B3" w:rsidRPr="004675B3" w:rsidRDefault="004675B3" w:rsidP="004675B3">
      <w:pPr>
        <w:pStyle w:val="ActHead1"/>
        <w:rPr>
          <w:color w:val="0000FF"/>
        </w:rPr>
      </w:pPr>
      <w:bookmarkStart w:id="971" w:name="_Toc74918034"/>
      <w:bookmarkStart w:id="972" w:name="_Toc77065174"/>
      <w:r w:rsidRPr="004675B3">
        <w:rPr>
          <w:color w:val="0000FF"/>
        </w:rPr>
        <w:t>Schedule 6—Transitional</w:t>
      </w:r>
      <w:bookmarkEnd w:id="971"/>
      <w:bookmarkEnd w:id="972"/>
    </w:p>
    <w:p w14:paraId="46A064F3" w14:textId="77777777" w:rsidR="004675B3" w:rsidRPr="004675B3" w:rsidRDefault="004675B3" w:rsidP="004675B3">
      <w:pPr>
        <w:pStyle w:val="ActHead9"/>
        <w:rPr>
          <w:color w:val="0000FF"/>
        </w:rPr>
      </w:pPr>
      <w:bookmarkStart w:id="973" w:name="_Toc74918035"/>
      <w:bookmarkStart w:id="974" w:name="_Toc77065175"/>
      <w:r w:rsidRPr="004675B3">
        <w:rPr>
          <w:color w:val="0000FF"/>
        </w:rPr>
        <w:t>Competition and Consumer (Consumer Data Right) Rules 2020</w:t>
      </w:r>
      <w:bookmarkEnd w:id="973"/>
      <w:bookmarkEnd w:id="974"/>
    </w:p>
    <w:p w14:paraId="45FF8680" w14:textId="196E5AE0" w:rsidR="004675B3" w:rsidRPr="004675B3" w:rsidRDefault="004675B3" w:rsidP="004675B3">
      <w:pPr>
        <w:pStyle w:val="ItemHead"/>
        <w:rPr>
          <w:color w:val="0000FF"/>
        </w:rPr>
      </w:pPr>
      <w:r w:rsidRPr="004675B3">
        <w:rPr>
          <w:noProof/>
          <w:color w:val="0000FF"/>
        </w:rPr>
        <w:fldChar w:fldCharType="begin"/>
      </w:r>
      <w:r w:rsidRPr="004675B3">
        <w:rPr>
          <w:noProof/>
          <w:color w:val="0000FF"/>
        </w:rPr>
        <w:instrText xml:space="preserve"> SEQ Items \r 1 \* MERGEFORMAT </w:instrText>
      </w:r>
      <w:r w:rsidRPr="004675B3">
        <w:rPr>
          <w:noProof/>
          <w:color w:val="0000FF"/>
        </w:rPr>
        <w:fldChar w:fldCharType="separate"/>
      </w:r>
      <w:r w:rsidR="002F429D">
        <w:rPr>
          <w:noProof/>
          <w:color w:val="0000FF"/>
        </w:rPr>
        <w:t>1</w:t>
      </w:r>
      <w:r w:rsidRPr="004675B3">
        <w:rPr>
          <w:noProof/>
          <w:color w:val="0000FF"/>
        </w:rPr>
        <w:fldChar w:fldCharType="end"/>
      </w:r>
      <w:r w:rsidRPr="004675B3">
        <w:rPr>
          <w:color w:val="0000FF"/>
        </w:rPr>
        <w:t xml:space="preserve">  Transitional provisions</w:t>
      </w:r>
    </w:p>
    <w:p w14:paraId="76D7C0AD" w14:textId="77777777" w:rsidR="004675B3" w:rsidRPr="004675B3" w:rsidRDefault="004675B3" w:rsidP="004675B3">
      <w:pPr>
        <w:pStyle w:val="notemargin"/>
        <w:rPr>
          <w:color w:val="0000FF"/>
          <w:sz w:val="16"/>
          <w:szCs w:val="16"/>
          <w:shd w:val="clear" w:color="auto" w:fill="FFFFFF"/>
        </w:rPr>
      </w:pPr>
      <w:r w:rsidRPr="004675B3">
        <w:rPr>
          <w:color w:val="0000FF"/>
        </w:rPr>
        <w:t>Note:</w:t>
      </w:r>
      <w:r w:rsidRPr="004675B3">
        <w:rPr>
          <w:color w:val="0000FF"/>
        </w:rPr>
        <w:tab/>
        <w:t>A set of joint account provisions in relation to the banking sector was included in the principal rules as made (Part 4 of Schedule 3).</w:t>
      </w:r>
      <w:r w:rsidRPr="004675B3">
        <w:rPr>
          <w:color w:val="0000FF"/>
          <w:sz w:val="16"/>
          <w:szCs w:val="16"/>
          <w:shd w:val="clear" w:color="auto" w:fill="FFFFFF"/>
        </w:rPr>
        <w:t xml:space="preserve"> These are the “former joint account provisons” for this item.  The earlier amendment rules replaced that Part, but the transition provisions allowed data holders to continue to apply the former joint account provions for some time.  This item allows those data holders to continue to use the former transition provisions until 1 April 2022, when they must begin to comply with the current Part 4A inserted by these amendment rules.</w:t>
      </w:r>
    </w:p>
    <w:p w14:paraId="4E07A76E" w14:textId="77777777" w:rsidR="004675B3" w:rsidRPr="004675B3" w:rsidRDefault="004675B3" w:rsidP="004675B3">
      <w:pPr>
        <w:shd w:val="clear" w:color="auto" w:fill="FFFFFF"/>
        <w:spacing w:before="240" w:line="240" w:lineRule="auto"/>
        <w:ind w:left="1134"/>
        <w:rPr>
          <w:rFonts w:eastAsia="Times New Roman" w:cs="Times New Roman"/>
          <w:i/>
          <w:iCs/>
          <w:color w:val="0000FF"/>
          <w:szCs w:val="22"/>
          <w:lang w:eastAsia="en-AU"/>
        </w:rPr>
      </w:pPr>
      <w:r w:rsidRPr="004675B3">
        <w:rPr>
          <w:rFonts w:eastAsia="Times New Roman" w:cs="Times New Roman"/>
          <w:i/>
          <w:iCs/>
          <w:color w:val="0000FF"/>
          <w:szCs w:val="22"/>
          <w:lang w:eastAsia="en-AU"/>
        </w:rPr>
        <w:t>Compliance with Part 4A before 1 April 2022</w:t>
      </w:r>
    </w:p>
    <w:p w14:paraId="16AF0719" w14:textId="77777777" w:rsidR="004675B3" w:rsidRPr="004675B3" w:rsidRDefault="004675B3" w:rsidP="004675B3">
      <w:pPr>
        <w:pStyle w:val="subsection"/>
        <w:rPr>
          <w:color w:val="0000FF"/>
        </w:rPr>
      </w:pPr>
      <w:r w:rsidRPr="004675B3">
        <w:rPr>
          <w:color w:val="0000FF"/>
        </w:rPr>
        <w:tab/>
        <w:t>(1)</w:t>
      </w:r>
      <w:r w:rsidRPr="004675B3">
        <w:rPr>
          <w:color w:val="0000FF"/>
        </w:rPr>
        <w:tab/>
        <w:t>A particular data holder is taken to comply with the current Part 4A if the data holder:</w:t>
      </w:r>
    </w:p>
    <w:p w14:paraId="53AFFF48" w14:textId="77777777" w:rsidR="004675B3" w:rsidRPr="004675B3" w:rsidRDefault="004675B3" w:rsidP="004675B3">
      <w:pPr>
        <w:pStyle w:val="paragraph"/>
        <w:rPr>
          <w:color w:val="0000FF"/>
        </w:rPr>
      </w:pPr>
      <w:r w:rsidRPr="004675B3">
        <w:rPr>
          <w:color w:val="0000FF"/>
        </w:rPr>
        <w:tab/>
        <w:t>(a)</w:t>
      </w:r>
      <w:r w:rsidRPr="004675B3">
        <w:rPr>
          <w:color w:val="0000FF"/>
        </w:rPr>
        <w:tab/>
        <w:t>either:</w:t>
      </w:r>
    </w:p>
    <w:p w14:paraId="21E145A6" w14:textId="77777777" w:rsidR="004675B3" w:rsidRPr="004675B3" w:rsidRDefault="004675B3" w:rsidP="004675B3">
      <w:pPr>
        <w:pStyle w:val="paragraphsub"/>
        <w:rPr>
          <w:color w:val="0000FF"/>
        </w:rPr>
      </w:pPr>
      <w:r w:rsidRPr="004675B3">
        <w:rPr>
          <w:color w:val="0000FF"/>
        </w:rPr>
        <w:tab/>
        <w:t>(i)</w:t>
      </w:r>
      <w:r w:rsidRPr="004675B3">
        <w:rPr>
          <w:color w:val="0000FF"/>
        </w:rPr>
        <w:tab/>
        <w:t>was required, before the amendment date, to comply with Part 4 of Schedule 3 as it stood immediately before the amendment date; or</w:t>
      </w:r>
    </w:p>
    <w:p w14:paraId="5A39B8A3" w14:textId="77777777" w:rsidR="004675B3" w:rsidRPr="004675B3" w:rsidRDefault="004675B3" w:rsidP="004675B3">
      <w:pPr>
        <w:pStyle w:val="paragraphsub"/>
        <w:rPr>
          <w:color w:val="0000FF"/>
        </w:rPr>
      </w:pPr>
      <w:r w:rsidRPr="004675B3">
        <w:rPr>
          <w:color w:val="0000FF"/>
        </w:rPr>
        <w:tab/>
        <w:t>(ii)</w:t>
      </w:r>
      <w:r w:rsidRPr="004675B3">
        <w:rPr>
          <w:color w:val="0000FF"/>
        </w:rPr>
        <w:tab/>
        <w:t>before the amendment date, complied with the former joint account provisions in order to satisfy paragraph 105(4)(b) of Schedule 1 to the earlier amendment rules; or</w:t>
      </w:r>
    </w:p>
    <w:p w14:paraId="736D1C0E" w14:textId="77777777" w:rsidR="004675B3" w:rsidRPr="004675B3" w:rsidRDefault="004675B3" w:rsidP="004675B3">
      <w:pPr>
        <w:pStyle w:val="paragraphsub"/>
        <w:rPr>
          <w:color w:val="0000FF"/>
        </w:rPr>
      </w:pPr>
      <w:r w:rsidRPr="004675B3">
        <w:rPr>
          <w:color w:val="0000FF"/>
        </w:rPr>
        <w:tab/>
        <w:t>(iii)</w:t>
      </w:r>
      <w:r w:rsidRPr="004675B3">
        <w:rPr>
          <w:color w:val="0000FF"/>
        </w:rPr>
        <w:tab/>
        <w:t>is an accredited person; and</w:t>
      </w:r>
    </w:p>
    <w:p w14:paraId="3BDA32EE" w14:textId="77777777" w:rsidR="004675B3" w:rsidRPr="004675B3" w:rsidRDefault="004675B3" w:rsidP="004675B3">
      <w:pPr>
        <w:pStyle w:val="paragraph"/>
        <w:rPr>
          <w:color w:val="0000FF"/>
        </w:rPr>
      </w:pPr>
      <w:r w:rsidRPr="004675B3">
        <w:rPr>
          <w:color w:val="0000FF"/>
        </w:rPr>
        <w:lastRenderedPageBreak/>
        <w:tab/>
        <w:t>(b)</w:t>
      </w:r>
      <w:r w:rsidRPr="004675B3">
        <w:rPr>
          <w:color w:val="0000FF"/>
        </w:rPr>
        <w:tab/>
        <w:t>between the amendment date and 31 March 2022, complies with the former joint account provisions (as varied to the extent reasonably necessary so that it operates in accordance with these rules as amended by these rules instead of the current Part 4A.</w:t>
      </w:r>
    </w:p>
    <w:p w14:paraId="3CE0B964" w14:textId="77777777" w:rsidR="004675B3" w:rsidRPr="004675B3" w:rsidRDefault="004675B3" w:rsidP="004675B3">
      <w:pPr>
        <w:pStyle w:val="SubsectionHead"/>
        <w:rPr>
          <w:color w:val="0000FF"/>
        </w:rPr>
      </w:pPr>
      <w:r w:rsidRPr="004675B3">
        <w:rPr>
          <w:color w:val="0000FF"/>
        </w:rPr>
        <w:t>Application of Part 4A to existing joint account</w:t>
      </w:r>
    </w:p>
    <w:p w14:paraId="1434FE82" w14:textId="77777777" w:rsidR="004675B3" w:rsidRPr="004675B3" w:rsidRDefault="004675B3" w:rsidP="004675B3">
      <w:pPr>
        <w:pStyle w:val="subsection"/>
        <w:rPr>
          <w:color w:val="0000FF"/>
        </w:rPr>
      </w:pPr>
      <w:r w:rsidRPr="004675B3">
        <w:rPr>
          <w:color w:val="0000FF"/>
        </w:rPr>
        <w:tab/>
        <w:t>(2)</w:t>
      </w:r>
      <w:r w:rsidRPr="004675B3">
        <w:rPr>
          <w:color w:val="0000FF"/>
        </w:rPr>
        <w:tab/>
        <w:t xml:space="preserve">Subitems (3) and (4) apply in relation to a joint account with a data holder that is in existence immediately before the following day (the </w:t>
      </w:r>
      <w:r w:rsidRPr="004675B3">
        <w:rPr>
          <w:b/>
          <w:i/>
          <w:color w:val="0000FF"/>
        </w:rPr>
        <w:t>Part 4A day</w:t>
      </w:r>
      <w:r w:rsidRPr="004675B3">
        <w:rPr>
          <w:color w:val="0000FF"/>
        </w:rPr>
        <w:t>):</w:t>
      </w:r>
    </w:p>
    <w:p w14:paraId="50147826" w14:textId="77777777" w:rsidR="004675B3" w:rsidRPr="004675B3" w:rsidRDefault="004675B3" w:rsidP="004675B3">
      <w:pPr>
        <w:pStyle w:val="paragraph"/>
        <w:rPr>
          <w:color w:val="0000FF"/>
        </w:rPr>
      </w:pPr>
      <w:r w:rsidRPr="004675B3">
        <w:rPr>
          <w:color w:val="0000FF"/>
        </w:rPr>
        <w:tab/>
        <w:t>(a)</w:t>
      </w:r>
      <w:r w:rsidRPr="004675B3">
        <w:rPr>
          <w:color w:val="0000FF"/>
        </w:rPr>
        <w:tab/>
        <w:t xml:space="preserve">if the data holder does not make use of paragraph (1)(b) in relation to the account (an </w:t>
      </w:r>
      <w:r w:rsidRPr="004675B3">
        <w:rPr>
          <w:b/>
          <w:i/>
          <w:color w:val="0000FF"/>
        </w:rPr>
        <w:t>unaffected</w:t>
      </w:r>
      <w:r w:rsidRPr="004675B3">
        <w:rPr>
          <w:color w:val="0000FF"/>
        </w:rPr>
        <w:t xml:space="preserve"> account)—the day when the data holder is first required to comply with the current Part 4A; or</w:t>
      </w:r>
    </w:p>
    <w:p w14:paraId="3C52291D" w14:textId="77777777" w:rsidR="004675B3" w:rsidRPr="004675B3" w:rsidRDefault="004675B3" w:rsidP="004675B3">
      <w:pPr>
        <w:pStyle w:val="paragraph"/>
        <w:rPr>
          <w:color w:val="0000FF"/>
        </w:rPr>
      </w:pPr>
      <w:r w:rsidRPr="004675B3">
        <w:rPr>
          <w:color w:val="0000FF"/>
        </w:rPr>
        <w:tab/>
        <w:t>(b)</w:t>
      </w:r>
      <w:r w:rsidRPr="004675B3">
        <w:rPr>
          <w:color w:val="0000FF"/>
        </w:rPr>
        <w:tab/>
        <w:t xml:space="preserve">if the data holder makes use of paragraph (1)(b) in relation to the account (an </w:t>
      </w:r>
      <w:r w:rsidRPr="004675B3">
        <w:rPr>
          <w:b/>
          <w:i/>
          <w:color w:val="0000FF"/>
        </w:rPr>
        <w:t>affected account</w:t>
      </w:r>
      <w:r w:rsidRPr="004675B3">
        <w:rPr>
          <w:color w:val="0000FF"/>
        </w:rPr>
        <w:t>)—the earlier of:</w:t>
      </w:r>
    </w:p>
    <w:p w14:paraId="3700192C" w14:textId="77777777" w:rsidR="004675B3" w:rsidRPr="004675B3" w:rsidRDefault="004675B3" w:rsidP="004675B3">
      <w:pPr>
        <w:pStyle w:val="paragraphsub"/>
        <w:rPr>
          <w:color w:val="0000FF"/>
        </w:rPr>
      </w:pPr>
      <w:r w:rsidRPr="004675B3">
        <w:rPr>
          <w:color w:val="0000FF"/>
        </w:rPr>
        <w:tab/>
        <w:t>(i)</w:t>
      </w:r>
      <w:r w:rsidRPr="004675B3">
        <w:rPr>
          <w:color w:val="0000FF"/>
        </w:rPr>
        <w:tab/>
        <w:t>the day that data holder ceases to make use of paragraph (1)(b); and</w:t>
      </w:r>
    </w:p>
    <w:p w14:paraId="19D28C72" w14:textId="77777777" w:rsidR="004675B3" w:rsidRPr="004675B3" w:rsidRDefault="004675B3" w:rsidP="004675B3">
      <w:pPr>
        <w:pStyle w:val="paragraphsub"/>
        <w:rPr>
          <w:color w:val="0000FF"/>
        </w:rPr>
      </w:pPr>
      <w:r w:rsidRPr="004675B3">
        <w:rPr>
          <w:color w:val="0000FF"/>
        </w:rPr>
        <w:tab/>
        <w:t>(ii)</w:t>
      </w:r>
      <w:r w:rsidRPr="004675B3">
        <w:rPr>
          <w:color w:val="0000FF"/>
        </w:rPr>
        <w:tab/>
        <w:t>1 April 2022.</w:t>
      </w:r>
    </w:p>
    <w:p w14:paraId="3D62B4A0" w14:textId="77777777" w:rsidR="004675B3" w:rsidRPr="004675B3" w:rsidRDefault="004675B3" w:rsidP="004675B3">
      <w:pPr>
        <w:pStyle w:val="subsection"/>
        <w:rPr>
          <w:color w:val="0000FF"/>
        </w:rPr>
      </w:pPr>
      <w:r w:rsidRPr="004675B3">
        <w:rPr>
          <w:color w:val="0000FF"/>
        </w:rPr>
        <w:tab/>
        <w:t>(3)</w:t>
      </w:r>
      <w:r w:rsidRPr="004675B3">
        <w:rPr>
          <w:color w:val="0000FF"/>
        </w:rPr>
        <w:tab/>
        <w:t>For an affected account to which a disclosure option has at any time applied under the former joint account provisions:</w:t>
      </w:r>
    </w:p>
    <w:p w14:paraId="0EB83558" w14:textId="77777777" w:rsidR="004675B3" w:rsidRPr="004675B3" w:rsidRDefault="004675B3" w:rsidP="004675B3">
      <w:pPr>
        <w:pStyle w:val="paragraph"/>
        <w:rPr>
          <w:color w:val="0000FF"/>
        </w:rPr>
      </w:pPr>
      <w:r w:rsidRPr="004675B3">
        <w:rPr>
          <w:color w:val="0000FF"/>
        </w:rPr>
        <w:tab/>
        <w:t>(a)</w:t>
      </w:r>
      <w:r w:rsidRPr="004675B3">
        <w:rPr>
          <w:color w:val="0000FF"/>
        </w:rPr>
        <w:tab/>
        <w:t>if a disclosure option applied immediately before the Part 4A day—the equivalent disclosure option under the current Part 4A applies to the account on and after the Part 4A day; and</w:t>
      </w:r>
    </w:p>
    <w:p w14:paraId="4BE334EE" w14:textId="77777777" w:rsidR="004675B3" w:rsidRPr="004675B3" w:rsidRDefault="004675B3" w:rsidP="004675B3">
      <w:pPr>
        <w:pStyle w:val="paragraph"/>
        <w:rPr>
          <w:color w:val="0000FF"/>
        </w:rPr>
      </w:pPr>
      <w:r w:rsidRPr="004675B3">
        <w:rPr>
          <w:color w:val="0000FF"/>
        </w:rPr>
        <w:tab/>
        <w:t>(b)</w:t>
      </w:r>
      <w:r w:rsidRPr="004675B3">
        <w:rPr>
          <w:color w:val="0000FF"/>
        </w:rPr>
        <w:tab/>
        <w:t>if no disclosure option applied to the account immediately before the Part 4A day—the non-disclosure option applies to the account on and after the Part 4A day.</w:t>
      </w:r>
    </w:p>
    <w:p w14:paraId="66725EA2" w14:textId="77777777" w:rsidR="004675B3" w:rsidRPr="004675B3" w:rsidRDefault="004675B3" w:rsidP="004675B3">
      <w:pPr>
        <w:pStyle w:val="subsection"/>
        <w:rPr>
          <w:color w:val="0000FF"/>
        </w:rPr>
      </w:pPr>
      <w:r w:rsidRPr="004675B3">
        <w:rPr>
          <w:color w:val="0000FF"/>
        </w:rPr>
        <w:tab/>
        <w:t>(4)</w:t>
      </w:r>
      <w:r w:rsidRPr="004675B3">
        <w:rPr>
          <w:color w:val="0000FF"/>
        </w:rPr>
        <w:tab/>
        <w:t>For an unaffected account, or an affected account to which a disclosure option has never applied:</w:t>
      </w:r>
    </w:p>
    <w:p w14:paraId="4CA55454" w14:textId="77777777" w:rsidR="004675B3" w:rsidRPr="004675B3" w:rsidRDefault="004675B3" w:rsidP="004675B3">
      <w:pPr>
        <w:pStyle w:val="paragraph"/>
        <w:rPr>
          <w:color w:val="0000FF"/>
        </w:rPr>
      </w:pPr>
      <w:r w:rsidRPr="004675B3">
        <w:rPr>
          <w:color w:val="0000FF"/>
        </w:rPr>
        <w:tab/>
        <w:t>(a)</w:t>
      </w:r>
      <w:r w:rsidRPr="004675B3">
        <w:rPr>
          <w:color w:val="0000FF"/>
        </w:rPr>
        <w:tab/>
        <w:t>the non-disclosure option applies to the account on and after the Part 4A day for 7 business days; and</w:t>
      </w:r>
    </w:p>
    <w:p w14:paraId="7DA0EE6F" w14:textId="77777777" w:rsidR="004675B3" w:rsidRPr="004675B3" w:rsidRDefault="004675B3" w:rsidP="004675B3">
      <w:pPr>
        <w:pStyle w:val="paragraph"/>
        <w:rPr>
          <w:color w:val="0000FF"/>
        </w:rPr>
      </w:pPr>
      <w:r w:rsidRPr="004675B3">
        <w:rPr>
          <w:color w:val="0000FF"/>
        </w:rPr>
        <w:tab/>
        <w:t>(b)</w:t>
      </w:r>
      <w:r w:rsidRPr="004675B3">
        <w:rPr>
          <w:color w:val="0000FF"/>
        </w:rPr>
        <w:tab/>
        <w:t>after the seventh business day, the pre-disclosure option applies to the account unless, before that day:</w:t>
      </w:r>
    </w:p>
    <w:p w14:paraId="21E802F3" w14:textId="77777777" w:rsidR="004675B3" w:rsidRPr="004675B3" w:rsidRDefault="004675B3" w:rsidP="004675B3">
      <w:pPr>
        <w:pStyle w:val="paragraphsub"/>
        <w:rPr>
          <w:color w:val="0000FF"/>
        </w:rPr>
      </w:pPr>
      <w:r w:rsidRPr="004675B3">
        <w:rPr>
          <w:color w:val="0000FF"/>
        </w:rPr>
        <w:tab/>
        <w:t>(i)</w:t>
      </w:r>
      <w:r w:rsidRPr="004675B3">
        <w:rPr>
          <w:color w:val="0000FF"/>
        </w:rPr>
        <w:tab/>
        <w:t>an account holder applies the non-disclosure option to the account; or</w:t>
      </w:r>
    </w:p>
    <w:p w14:paraId="5CC5EA09" w14:textId="77777777" w:rsidR="004675B3" w:rsidRPr="004675B3" w:rsidRDefault="004675B3" w:rsidP="004675B3">
      <w:pPr>
        <w:pStyle w:val="paragraphsub"/>
        <w:rPr>
          <w:color w:val="0000FF"/>
        </w:rPr>
      </w:pPr>
      <w:r w:rsidRPr="004675B3">
        <w:rPr>
          <w:color w:val="0000FF"/>
        </w:rPr>
        <w:tab/>
        <w:t>(ii)</w:t>
      </w:r>
      <w:r w:rsidRPr="004675B3">
        <w:rPr>
          <w:color w:val="0000FF"/>
        </w:rPr>
        <w:tab/>
        <w:t>an account holder proposes the co-disclosure option to apply to the account and the other account holders approve the disclosure option.</w:t>
      </w:r>
    </w:p>
    <w:p w14:paraId="2FB0393B" w14:textId="77777777" w:rsidR="004675B3" w:rsidRPr="004675B3" w:rsidRDefault="004675B3" w:rsidP="004675B3">
      <w:pPr>
        <w:pStyle w:val="subsection"/>
        <w:rPr>
          <w:color w:val="0000FF"/>
        </w:rPr>
      </w:pPr>
      <w:r w:rsidRPr="004675B3">
        <w:rPr>
          <w:color w:val="0000FF"/>
        </w:rPr>
        <w:tab/>
        <w:t>(5)</w:t>
      </w:r>
      <w:r w:rsidRPr="004675B3">
        <w:rPr>
          <w:color w:val="0000FF"/>
        </w:rPr>
        <w:tab/>
        <w:t>The data holder must inform each joint account holders of the following, through its ordinary means of contacting them:</w:t>
      </w:r>
    </w:p>
    <w:p w14:paraId="16905DBC" w14:textId="77777777" w:rsidR="004675B3" w:rsidRPr="004675B3" w:rsidRDefault="004675B3" w:rsidP="004675B3">
      <w:pPr>
        <w:pStyle w:val="paragraph"/>
        <w:rPr>
          <w:color w:val="0000FF"/>
        </w:rPr>
      </w:pPr>
      <w:r w:rsidRPr="004675B3">
        <w:rPr>
          <w:color w:val="0000FF"/>
        </w:rPr>
        <w:tab/>
        <w:t>(a)</w:t>
      </w:r>
      <w:r w:rsidRPr="004675B3">
        <w:rPr>
          <w:color w:val="0000FF"/>
        </w:rPr>
        <w:tab/>
        <w:t xml:space="preserve">that the current Part 4A now applies to the account; </w:t>
      </w:r>
    </w:p>
    <w:p w14:paraId="3B68ABD8" w14:textId="77777777" w:rsidR="004675B3" w:rsidRPr="004675B3" w:rsidRDefault="004675B3" w:rsidP="004675B3">
      <w:pPr>
        <w:pStyle w:val="paragraph"/>
        <w:rPr>
          <w:color w:val="0000FF"/>
        </w:rPr>
      </w:pPr>
      <w:r w:rsidRPr="004675B3">
        <w:rPr>
          <w:color w:val="0000FF"/>
        </w:rPr>
        <w:tab/>
        <w:t>(b)</w:t>
      </w:r>
      <w:r w:rsidRPr="004675B3">
        <w:rPr>
          <w:color w:val="0000FF"/>
        </w:rPr>
        <w:tab/>
        <w:t xml:space="preserve">that the data holder is providing the disclosure option management service, with instructions on how to access it; </w:t>
      </w:r>
    </w:p>
    <w:p w14:paraId="3995604D" w14:textId="77777777" w:rsidR="004675B3" w:rsidRPr="004675B3" w:rsidRDefault="004675B3" w:rsidP="004675B3">
      <w:pPr>
        <w:pStyle w:val="paragraph"/>
        <w:rPr>
          <w:color w:val="0000FF"/>
        </w:rPr>
      </w:pPr>
      <w:r w:rsidRPr="004675B3">
        <w:rPr>
          <w:color w:val="0000FF"/>
        </w:rPr>
        <w:tab/>
        <w:t>(c)</w:t>
      </w:r>
      <w:r w:rsidRPr="004675B3">
        <w:rPr>
          <w:color w:val="0000FF"/>
        </w:rPr>
        <w:tab/>
        <w:t>the matters mentioned in paragraphs 4.6A(1)(a), (b) and (c) to (f) of the principal rules (obligation to inform joint account holders);</w:t>
      </w:r>
    </w:p>
    <w:p w14:paraId="329C33DA" w14:textId="77777777" w:rsidR="004675B3" w:rsidRPr="004675B3" w:rsidRDefault="004675B3" w:rsidP="004675B3">
      <w:pPr>
        <w:pStyle w:val="paragraph"/>
        <w:rPr>
          <w:color w:val="0000FF"/>
        </w:rPr>
      </w:pPr>
      <w:r w:rsidRPr="004675B3">
        <w:rPr>
          <w:color w:val="0000FF"/>
        </w:rPr>
        <w:tab/>
        <w:t>(d)</w:t>
      </w:r>
      <w:r w:rsidRPr="004675B3">
        <w:rPr>
          <w:color w:val="0000FF"/>
        </w:rPr>
        <w:tab/>
        <w:t>of the disclosure option that currently applies to the account as a result of subitem (3) or (4) and the effect of that subitem.</w:t>
      </w:r>
    </w:p>
    <w:p w14:paraId="2D7E0FC8" w14:textId="77777777" w:rsidR="004675B3" w:rsidRPr="004675B3" w:rsidRDefault="004675B3" w:rsidP="004675B3">
      <w:pPr>
        <w:pStyle w:val="SubsectionHead"/>
        <w:rPr>
          <w:color w:val="0000FF"/>
        </w:rPr>
      </w:pPr>
      <w:r w:rsidRPr="004675B3">
        <w:rPr>
          <w:color w:val="0000FF"/>
        </w:rPr>
        <w:lastRenderedPageBreak/>
        <w:t>Definitions</w:t>
      </w:r>
    </w:p>
    <w:p w14:paraId="58304079" w14:textId="77777777" w:rsidR="004675B3" w:rsidRPr="004675B3" w:rsidRDefault="004675B3" w:rsidP="004675B3">
      <w:pPr>
        <w:pStyle w:val="subsection"/>
        <w:rPr>
          <w:color w:val="0000FF"/>
        </w:rPr>
      </w:pPr>
      <w:r w:rsidRPr="004675B3">
        <w:rPr>
          <w:color w:val="0000FF"/>
        </w:rPr>
        <w:tab/>
        <w:t>(6)</w:t>
      </w:r>
      <w:r w:rsidRPr="004675B3">
        <w:rPr>
          <w:color w:val="0000FF"/>
        </w:rPr>
        <w:tab/>
        <w:t>In this item:</w:t>
      </w:r>
    </w:p>
    <w:p w14:paraId="4E265379" w14:textId="77777777" w:rsidR="004675B3" w:rsidRPr="004675B3" w:rsidRDefault="004675B3" w:rsidP="004675B3">
      <w:pPr>
        <w:pStyle w:val="Definition"/>
        <w:rPr>
          <w:color w:val="0000FF"/>
        </w:rPr>
      </w:pPr>
      <w:r w:rsidRPr="004675B3">
        <w:rPr>
          <w:b/>
          <w:bCs/>
          <w:i/>
          <w:color w:val="0000FF"/>
        </w:rPr>
        <w:t>amendment date</w:t>
      </w:r>
      <w:r w:rsidRPr="004675B3">
        <w:rPr>
          <w:b/>
          <w:bCs/>
          <w:color w:val="0000FF"/>
        </w:rPr>
        <w:t> </w:t>
      </w:r>
      <w:r w:rsidRPr="004675B3">
        <w:rPr>
          <w:color w:val="0000FF"/>
        </w:rPr>
        <w:t>means the day Schedule 1 to these rules commenced.</w:t>
      </w:r>
    </w:p>
    <w:p w14:paraId="2F5D29EA" w14:textId="77777777" w:rsidR="004675B3" w:rsidRPr="004675B3" w:rsidRDefault="004675B3" w:rsidP="004675B3">
      <w:pPr>
        <w:pStyle w:val="Definition"/>
        <w:rPr>
          <w:color w:val="0000FF"/>
        </w:rPr>
      </w:pPr>
      <w:r w:rsidRPr="004675B3">
        <w:rPr>
          <w:b/>
          <w:bCs/>
          <w:i/>
          <w:iCs/>
          <w:color w:val="0000FF"/>
        </w:rPr>
        <w:t>current Part 4A</w:t>
      </w:r>
      <w:r w:rsidRPr="004675B3">
        <w:rPr>
          <w:color w:val="0000FF"/>
        </w:rPr>
        <w:t> means Part 4A of the principal rules as in force on and from the amendment date.</w:t>
      </w:r>
    </w:p>
    <w:p w14:paraId="241DD17F" w14:textId="77777777" w:rsidR="004675B3" w:rsidRPr="004675B3" w:rsidRDefault="004675B3" w:rsidP="004675B3">
      <w:pPr>
        <w:pStyle w:val="Definition"/>
        <w:rPr>
          <w:color w:val="0000FF"/>
        </w:rPr>
      </w:pPr>
      <w:r w:rsidRPr="004675B3">
        <w:rPr>
          <w:b/>
          <w:i/>
          <w:color w:val="0000FF"/>
        </w:rPr>
        <w:t xml:space="preserve">earlier amendment rules </w:t>
      </w:r>
      <w:r w:rsidRPr="004675B3">
        <w:rPr>
          <w:color w:val="0000FF"/>
        </w:rPr>
        <w:t xml:space="preserve"> means the </w:t>
      </w:r>
      <w:r w:rsidRPr="004675B3">
        <w:rPr>
          <w:i/>
          <w:iCs/>
          <w:color w:val="0000FF"/>
        </w:rPr>
        <w:t>Competition and Consumer (Consumer Data Right) Amendment Rules (No. 3) 2020</w:t>
      </w:r>
      <w:r w:rsidRPr="004675B3">
        <w:rPr>
          <w:color w:val="0000FF"/>
        </w:rPr>
        <w:t>.</w:t>
      </w:r>
    </w:p>
    <w:p w14:paraId="26FAC6A9" w14:textId="77777777" w:rsidR="004675B3" w:rsidRPr="004675B3" w:rsidRDefault="004675B3" w:rsidP="004675B3">
      <w:pPr>
        <w:pStyle w:val="Definition"/>
        <w:rPr>
          <w:color w:val="0000FF"/>
        </w:rPr>
      </w:pPr>
      <w:r w:rsidRPr="004675B3">
        <w:rPr>
          <w:b/>
          <w:bCs/>
          <w:i/>
          <w:iCs/>
          <w:color w:val="0000FF"/>
        </w:rPr>
        <w:t>former joint account provisions</w:t>
      </w:r>
      <w:r w:rsidRPr="004675B3">
        <w:rPr>
          <w:color w:val="0000FF"/>
        </w:rPr>
        <w:t xml:space="preserve"> means Part 4 of Schedule 3 to the principal  rules as in force immediately before the commencement of Schedule 1 to the </w:t>
      </w:r>
      <w:r w:rsidRPr="004675B3">
        <w:rPr>
          <w:iCs/>
          <w:color w:val="0000FF"/>
        </w:rPr>
        <w:t>earlier amendment rules</w:t>
      </w:r>
      <w:r w:rsidRPr="004675B3">
        <w:rPr>
          <w:color w:val="0000FF"/>
        </w:rPr>
        <w:t>.</w:t>
      </w:r>
    </w:p>
    <w:p w14:paraId="7DA40CD8" w14:textId="77777777" w:rsidR="004675B3" w:rsidRPr="004675B3" w:rsidRDefault="004675B3" w:rsidP="004675B3">
      <w:pPr>
        <w:pStyle w:val="Definition"/>
        <w:rPr>
          <w:color w:val="0000FF"/>
        </w:rPr>
      </w:pPr>
      <w:r w:rsidRPr="004675B3">
        <w:rPr>
          <w:b/>
          <w:bCs/>
          <w:i/>
          <w:color w:val="0000FF"/>
        </w:rPr>
        <w:t>principal rules</w:t>
      </w:r>
      <w:r w:rsidRPr="004675B3">
        <w:rPr>
          <w:color w:val="0000FF"/>
        </w:rPr>
        <w:t> means the </w:t>
      </w:r>
      <w:r w:rsidRPr="004675B3">
        <w:rPr>
          <w:i/>
          <w:color w:val="0000FF"/>
        </w:rPr>
        <w:t>Competition and Consumer (Consumer Data Right) Rules 2020</w:t>
      </w:r>
      <w:r w:rsidRPr="004675B3">
        <w:rPr>
          <w:color w:val="0000FF"/>
        </w:rPr>
        <w:t>.</w:t>
      </w:r>
    </w:p>
    <w:p w14:paraId="3E59094D" w14:textId="2494957F" w:rsidR="005848BC" w:rsidRPr="00037F3B" w:rsidRDefault="005848BC" w:rsidP="004675B3">
      <w:pPr>
        <w:pStyle w:val="ActHead5"/>
        <w:rPr>
          <w:color w:val="CC00CC"/>
        </w:rPr>
      </w:pPr>
    </w:p>
    <w:sectPr w:rsidR="005848BC" w:rsidRPr="00037F3B" w:rsidSect="00122D63">
      <w:headerReference w:type="even" r:id="rId28"/>
      <w:headerReference w:type="default" r:id="rId29"/>
      <w:footerReference w:type="even" r:id="rId30"/>
      <w:headerReference w:type="first" r:id="rId31"/>
      <w:footerReference w:type="first" r:id="rId32"/>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BF18" w14:textId="77777777" w:rsidR="0040571F" w:rsidRDefault="0040571F" w:rsidP="00715914">
      <w:pPr>
        <w:spacing w:line="240" w:lineRule="auto"/>
      </w:pPr>
      <w:r>
        <w:separator/>
      </w:r>
    </w:p>
  </w:endnote>
  <w:endnote w:type="continuationSeparator" w:id="0">
    <w:p w14:paraId="3A2EAB04" w14:textId="77777777" w:rsidR="0040571F" w:rsidRDefault="004057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2715" w14:textId="77777777" w:rsidR="002B3038" w:rsidRPr="002B0EA5" w:rsidRDefault="002B3038"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B3038" w14:paraId="63E65265" w14:textId="77777777" w:rsidTr="003507D2">
      <w:tc>
        <w:tcPr>
          <w:tcW w:w="365" w:type="pct"/>
        </w:tcPr>
        <w:p w14:paraId="431A3149" w14:textId="77777777" w:rsidR="002B3038" w:rsidRDefault="002B3038"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5EE1A37F" w14:textId="787C8E9B" w:rsidR="002B3038" w:rsidRDefault="002B3038"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429D">
            <w:rPr>
              <w:i/>
              <w:noProof/>
              <w:sz w:val="18"/>
            </w:rPr>
            <w:t>Competition and Consumer (Consumer Data Right) Rules 2020 with proposed amendments</w:t>
          </w:r>
          <w:r w:rsidRPr="004E1307">
            <w:rPr>
              <w:i/>
              <w:sz w:val="18"/>
            </w:rPr>
            <w:fldChar w:fldCharType="end"/>
          </w:r>
        </w:p>
      </w:tc>
      <w:tc>
        <w:tcPr>
          <w:tcW w:w="947" w:type="pct"/>
        </w:tcPr>
        <w:p w14:paraId="114A2125" w14:textId="77777777" w:rsidR="002B3038" w:rsidRDefault="002B3038" w:rsidP="003507D2">
          <w:pPr>
            <w:spacing w:line="0" w:lineRule="atLeast"/>
            <w:jc w:val="right"/>
            <w:rPr>
              <w:sz w:val="18"/>
            </w:rPr>
          </w:pPr>
        </w:p>
      </w:tc>
    </w:tr>
    <w:tr w:rsidR="002B3038" w14:paraId="45AF2E96" w14:textId="77777777" w:rsidTr="003507D2">
      <w:tc>
        <w:tcPr>
          <w:tcW w:w="5000" w:type="pct"/>
          <w:gridSpan w:val="3"/>
        </w:tcPr>
        <w:p w14:paraId="15F3D140" w14:textId="77777777" w:rsidR="002B3038" w:rsidRDefault="002B3038" w:rsidP="003507D2">
          <w:pPr>
            <w:jc w:val="right"/>
            <w:rPr>
              <w:sz w:val="18"/>
            </w:rPr>
          </w:pPr>
        </w:p>
      </w:tc>
    </w:tr>
  </w:tbl>
  <w:p w14:paraId="6C9AFC04" w14:textId="77777777" w:rsidR="002B3038" w:rsidRPr="00ED79B6" w:rsidRDefault="002B3038" w:rsidP="003507D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01CA" w14:textId="77777777" w:rsidR="002B3038" w:rsidRPr="00E33C1C" w:rsidRDefault="002B3038" w:rsidP="00BA29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B3038" w14:paraId="3014EE52" w14:textId="77777777" w:rsidTr="00250B4B">
      <w:tc>
        <w:tcPr>
          <w:tcW w:w="947" w:type="pct"/>
          <w:tcBorders>
            <w:top w:val="nil"/>
            <w:left w:val="nil"/>
            <w:bottom w:val="nil"/>
            <w:right w:val="nil"/>
          </w:tcBorders>
        </w:tcPr>
        <w:p w14:paraId="0E78872A" w14:textId="77777777" w:rsidR="002B3038" w:rsidRDefault="002B3038" w:rsidP="00BA29D6">
          <w:pPr>
            <w:spacing w:line="0" w:lineRule="atLeast"/>
            <w:rPr>
              <w:sz w:val="18"/>
            </w:rPr>
          </w:pPr>
        </w:p>
      </w:tc>
      <w:tc>
        <w:tcPr>
          <w:tcW w:w="3688" w:type="pct"/>
          <w:tcBorders>
            <w:top w:val="nil"/>
            <w:left w:val="nil"/>
            <w:bottom w:val="nil"/>
            <w:right w:val="nil"/>
          </w:tcBorders>
        </w:tcPr>
        <w:p w14:paraId="40E6157F" w14:textId="4C87BC6C" w:rsidR="002B3038" w:rsidRPr="00B20990" w:rsidRDefault="002B3038" w:rsidP="00BA29D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37787">
            <w:rPr>
              <w:i/>
              <w:noProof/>
              <w:sz w:val="18"/>
            </w:rPr>
            <w:t>Competition and Consumer (Consumer Data Right) Rules 2020 with proposed amendments</w:t>
          </w:r>
          <w:r w:rsidRPr="00B20990">
            <w:rPr>
              <w:i/>
              <w:sz w:val="18"/>
            </w:rPr>
            <w:fldChar w:fldCharType="end"/>
          </w:r>
        </w:p>
      </w:tc>
      <w:tc>
        <w:tcPr>
          <w:tcW w:w="365" w:type="pct"/>
          <w:tcBorders>
            <w:top w:val="nil"/>
            <w:left w:val="nil"/>
            <w:bottom w:val="nil"/>
            <w:right w:val="nil"/>
          </w:tcBorders>
        </w:tcPr>
        <w:p w14:paraId="55D38EAA" w14:textId="77777777" w:rsidR="002B3038" w:rsidRDefault="002B3038" w:rsidP="00BA2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850">
            <w:rPr>
              <w:i/>
              <w:noProof/>
              <w:sz w:val="18"/>
            </w:rPr>
            <w:t>ii</w:t>
          </w:r>
          <w:r w:rsidRPr="00ED79B6">
            <w:rPr>
              <w:i/>
              <w:sz w:val="18"/>
            </w:rPr>
            <w:fldChar w:fldCharType="end"/>
          </w:r>
        </w:p>
      </w:tc>
    </w:tr>
    <w:tr w:rsidR="002B3038" w:rsidRPr="00930BF8" w14:paraId="7030FA1D" w14:textId="77777777" w:rsidTr="0025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E077C1C" w14:textId="38861894" w:rsidR="002B3038" w:rsidRPr="00930BF8" w:rsidRDefault="002B3038" w:rsidP="0028501E">
          <w:pPr>
            <w:jc w:val="center"/>
            <w:rPr>
              <w:sz w:val="32"/>
              <w:szCs w:val="32"/>
            </w:rPr>
          </w:pPr>
          <w:r w:rsidRPr="009070FE">
            <w:rPr>
              <w:color w:val="0000FF"/>
              <w:sz w:val="28"/>
              <w:szCs w:val="28"/>
            </w:rPr>
            <w:t xml:space="preserve">CDR Amendments </w:t>
          </w:r>
          <w:r>
            <w:rPr>
              <w:color w:val="0000FF"/>
              <w:sz w:val="28"/>
              <w:szCs w:val="28"/>
            </w:rPr>
            <w:t>mark up</w:t>
          </w:r>
          <w:r w:rsidRPr="009070FE">
            <w:rPr>
              <w:color w:val="0000FF"/>
              <w:sz w:val="28"/>
              <w:szCs w:val="28"/>
            </w:rPr>
            <w:t xml:space="preserve">—Exposure </w:t>
          </w:r>
          <w:r w:rsidRPr="002B3038">
            <w:rPr>
              <w:color w:val="0000FF"/>
              <w:sz w:val="28"/>
              <w:szCs w:val="28"/>
            </w:rPr>
            <w:t>draft—</w:t>
          </w:r>
          <w:r w:rsidR="00E970F9">
            <w:rPr>
              <w:color w:val="0000FF"/>
              <w:sz w:val="28"/>
              <w:szCs w:val="28"/>
            </w:rPr>
            <w:t>17 August</w:t>
          </w:r>
          <w:r w:rsidRPr="009070FE">
            <w:rPr>
              <w:color w:val="0000FF"/>
              <w:sz w:val="28"/>
              <w:szCs w:val="28"/>
            </w:rPr>
            <w:t xml:space="preserve"> 2021</w:t>
          </w:r>
        </w:p>
      </w:tc>
    </w:tr>
    <w:tr w:rsidR="002B3038" w:rsidRPr="00930BF8" w14:paraId="14CEA5C5" w14:textId="77777777" w:rsidTr="0025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7B639A8" w14:textId="77777777" w:rsidR="002B3038" w:rsidRPr="00930BF8" w:rsidRDefault="002B3038" w:rsidP="00930BF8">
          <w:pPr>
            <w:jc w:val="center"/>
            <w:rPr>
              <w:sz w:val="28"/>
              <w:szCs w:val="28"/>
            </w:rPr>
          </w:pPr>
        </w:p>
      </w:tc>
    </w:tr>
  </w:tbl>
  <w:p w14:paraId="449893EE" w14:textId="77777777" w:rsidR="002B3038" w:rsidRPr="00DA7A82" w:rsidRDefault="002B3038" w:rsidP="00BA2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1CA9" w14:textId="77777777" w:rsidR="002B3038" w:rsidRPr="002B0EA5" w:rsidRDefault="002B3038"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B3038" w14:paraId="296A7085" w14:textId="77777777" w:rsidTr="003507D2">
      <w:tc>
        <w:tcPr>
          <w:tcW w:w="365" w:type="pct"/>
        </w:tcPr>
        <w:p w14:paraId="04846D78" w14:textId="77777777" w:rsidR="002B3038" w:rsidRDefault="002B3038"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6768418C" w14:textId="37FDD5EB" w:rsidR="002B3038" w:rsidRDefault="002B3038"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429D">
            <w:rPr>
              <w:i/>
              <w:noProof/>
              <w:sz w:val="18"/>
            </w:rPr>
            <w:t>Competition and Consumer (Consumer Data Right) Rules 2020 with proposed amendments</w:t>
          </w:r>
          <w:r w:rsidRPr="004E1307">
            <w:rPr>
              <w:i/>
              <w:sz w:val="18"/>
            </w:rPr>
            <w:fldChar w:fldCharType="end"/>
          </w:r>
        </w:p>
      </w:tc>
      <w:tc>
        <w:tcPr>
          <w:tcW w:w="947" w:type="pct"/>
        </w:tcPr>
        <w:p w14:paraId="25A79777" w14:textId="77777777" w:rsidR="002B3038" w:rsidRDefault="002B3038" w:rsidP="003507D2">
          <w:pPr>
            <w:spacing w:line="0" w:lineRule="atLeast"/>
            <w:jc w:val="right"/>
            <w:rPr>
              <w:sz w:val="18"/>
            </w:rPr>
          </w:pPr>
        </w:p>
      </w:tc>
    </w:tr>
    <w:tr w:rsidR="002B3038" w14:paraId="7C0D324A" w14:textId="77777777" w:rsidTr="003507D2">
      <w:tc>
        <w:tcPr>
          <w:tcW w:w="5000" w:type="pct"/>
          <w:gridSpan w:val="3"/>
        </w:tcPr>
        <w:p w14:paraId="736B724F" w14:textId="77777777" w:rsidR="002B3038" w:rsidRDefault="002B3038" w:rsidP="003507D2">
          <w:pPr>
            <w:jc w:val="right"/>
            <w:rPr>
              <w:sz w:val="18"/>
            </w:rPr>
          </w:pPr>
        </w:p>
      </w:tc>
    </w:tr>
  </w:tbl>
  <w:p w14:paraId="214F28D0" w14:textId="77777777" w:rsidR="002B3038" w:rsidRPr="00ED79B6" w:rsidRDefault="002B3038" w:rsidP="003507D2">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3007" w14:textId="77777777" w:rsidR="002B3038" w:rsidRPr="002B0EA5" w:rsidRDefault="002B3038"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B3038" w14:paraId="5F33C386" w14:textId="77777777" w:rsidTr="003507D2">
      <w:tc>
        <w:tcPr>
          <w:tcW w:w="365" w:type="pct"/>
        </w:tcPr>
        <w:p w14:paraId="469D84FD" w14:textId="77777777" w:rsidR="002B3038" w:rsidRDefault="002B3038"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2403AEE9" w14:textId="66EEA428" w:rsidR="002B3038" w:rsidRDefault="002B3038"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429D">
            <w:rPr>
              <w:i/>
              <w:noProof/>
              <w:sz w:val="18"/>
            </w:rPr>
            <w:t>Competition and Consumer (Consumer Data Right) Rules 2020 with proposed amendments</w:t>
          </w:r>
          <w:r w:rsidRPr="004E1307">
            <w:rPr>
              <w:i/>
              <w:sz w:val="18"/>
            </w:rPr>
            <w:fldChar w:fldCharType="end"/>
          </w:r>
        </w:p>
      </w:tc>
      <w:tc>
        <w:tcPr>
          <w:tcW w:w="947" w:type="pct"/>
        </w:tcPr>
        <w:p w14:paraId="3C59E1AF" w14:textId="77777777" w:rsidR="002B3038" w:rsidRDefault="002B3038" w:rsidP="003507D2">
          <w:pPr>
            <w:spacing w:line="0" w:lineRule="atLeast"/>
            <w:jc w:val="right"/>
            <w:rPr>
              <w:sz w:val="18"/>
            </w:rPr>
          </w:pPr>
        </w:p>
      </w:tc>
    </w:tr>
    <w:tr w:rsidR="002B3038" w14:paraId="50284CE8" w14:textId="77777777" w:rsidTr="003507D2">
      <w:tc>
        <w:tcPr>
          <w:tcW w:w="5000" w:type="pct"/>
          <w:gridSpan w:val="3"/>
        </w:tcPr>
        <w:p w14:paraId="5FE0DA6C" w14:textId="77777777" w:rsidR="002B3038" w:rsidRDefault="002B3038" w:rsidP="003507D2">
          <w:pPr>
            <w:jc w:val="right"/>
            <w:rPr>
              <w:sz w:val="18"/>
            </w:rPr>
          </w:pPr>
        </w:p>
      </w:tc>
    </w:tr>
  </w:tbl>
  <w:p w14:paraId="351B3ACC" w14:textId="77777777" w:rsidR="002B3038" w:rsidRPr="00ED79B6" w:rsidRDefault="002B3038"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F5B6" w14:textId="77777777" w:rsidR="002B3038" w:rsidRPr="002B0EA5" w:rsidRDefault="002B3038"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B3038" w14:paraId="34F7AC9F" w14:textId="77777777" w:rsidTr="003507D2">
      <w:tc>
        <w:tcPr>
          <w:tcW w:w="365" w:type="pct"/>
        </w:tcPr>
        <w:p w14:paraId="07C51CCE" w14:textId="77777777" w:rsidR="002B3038" w:rsidRDefault="002B3038"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2FEEB6D2" w14:textId="1BE04E62" w:rsidR="002B3038" w:rsidRDefault="002B3038"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429D">
            <w:rPr>
              <w:i/>
              <w:noProof/>
              <w:sz w:val="18"/>
            </w:rPr>
            <w:t>Competition and Consumer (Consumer Data Right) Rules 2020 with proposed amendments</w:t>
          </w:r>
          <w:r w:rsidRPr="004E1307">
            <w:rPr>
              <w:i/>
              <w:sz w:val="18"/>
            </w:rPr>
            <w:fldChar w:fldCharType="end"/>
          </w:r>
        </w:p>
      </w:tc>
      <w:tc>
        <w:tcPr>
          <w:tcW w:w="947" w:type="pct"/>
        </w:tcPr>
        <w:p w14:paraId="73E861AA" w14:textId="77777777" w:rsidR="002B3038" w:rsidRDefault="002B3038" w:rsidP="003507D2">
          <w:pPr>
            <w:spacing w:line="0" w:lineRule="atLeast"/>
            <w:jc w:val="right"/>
            <w:rPr>
              <w:sz w:val="18"/>
            </w:rPr>
          </w:pPr>
        </w:p>
      </w:tc>
    </w:tr>
    <w:tr w:rsidR="002B3038" w14:paraId="2BFE9CFC" w14:textId="77777777" w:rsidTr="003507D2">
      <w:tc>
        <w:tcPr>
          <w:tcW w:w="5000" w:type="pct"/>
          <w:gridSpan w:val="3"/>
        </w:tcPr>
        <w:p w14:paraId="1CA61EF7" w14:textId="77777777" w:rsidR="002B3038" w:rsidRDefault="002B3038" w:rsidP="003507D2">
          <w:pPr>
            <w:jc w:val="right"/>
            <w:rPr>
              <w:sz w:val="18"/>
            </w:rPr>
          </w:pPr>
        </w:p>
      </w:tc>
    </w:tr>
  </w:tbl>
  <w:p w14:paraId="61D92C50" w14:textId="77777777" w:rsidR="002B3038" w:rsidRPr="00ED79B6" w:rsidRDefault="002B3038" w:rsidP="003507D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2CE9" w14:textId="77777777" w:rsidR="002B3038" w:rsidRDefault="002B30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E94CE" w14:textId="77777777" w:rsidR="002B3038" w:rsidRDefault="002B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8E64" w14:textId="77777777" w:rsidR="0040571F" w:rsidRDefault="0040571F" w:rsidP="00715914">
      <w:pPr>
        <w:spacing w:line="240" w:lineRule="auto"/>
      </w:pPr>
      <w:r>
        <w:separator/>
      </w:r>
    </w:p>
  </w:footnote>
  <w:footnote w:type="continuationSeparator" w:id="0">
    <w:p w14:paraId="00C7B756" w14:textId="77777777" w:rsidR="0040571F" w:rsidRDefault="0040571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15A4" w14:textId="77777777" w:rsidR="002B3038" w:rsidRPr="00ED79B6" w:rsidRDefault="002B3038" w:rsidP="003507D2">
    <w:pPr>
      <w:pBdr>
        <w:bottom w:val="single" w:sz="6"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DB1C" w14:textId="77777777" w:rsidR="002B3038" w:rsidRPr="007A1328" w:rsidRDefault="002B3038" w:rsidP="00715914">
    <w:pPr>
      <w:jc w:val="right"/>
      <w:rPr>
        <w:sz w:val="20"/>
      </w:rPr>
    </w:pPr>
  </w:p>
  <w:p w14:paraId="7C2CA3B3" w14:textId="77777777" w:rsidR="002B3038" w:rsidRPr="007A1328" w:rsidRDefault="002B3038" w:rsidP="00715914">
    <w:pPr>
      <w:jc w:val="right"/>
      <w:rPr>
        <w:sz w:val="20"/>
      </w:rPr>
    </w:pPr>
  </w:p>
  <w:p w14:paraId="579104C2" w14:textId="77777777" w:rsidR="002B3038" w:rsidRPr="007A1328" w:rsidRDefault="002B3038" w:rsidP="00715914">
    <w:pPr>
      <w:jc w:val="right"/>
      <w:rPr>
        <w:sz w:val="20"/>
      </w:rPr>
    </w:pPr>
  </w:p>
  <w:p w14:paraId="717074B2" w14:textId="77777777" w:rsidR="002B3038" w:rsidRPr="007A1328" w:rsidRDefault="002B3038" w:rsidP="00715914">
    <w:pPr>
      <w:jc w:val="right"/>
      <w:rPr>
        <w:b/>
        <w:sz w:val="24"/>
      </w:rPr>
    </w:pPr>
  </w:p>
  <w:p w14:paraId="0239B1ED" w14:textId="77777777" w:rsidR="002B3038" w:rsidRPr="007A1328" w:rsidRDefault="002B3038" w:rsidP="00D6537E">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9ABD" w14:textId="77777777" w:rsidR="002B3038" w:rsidRPr="007A1328" w:rsidRDefault="002B3038" w:rsidP="00715914">
    <w:pPr>
      <w:jc w:val="right"/>
      <w:rPr>
        <w:sz w:val="20"/>
      </w:rPr>
    </w:pPr>
  </w:p>
  <w:p w14:paraId="54D83FC4" w14:textId="77777777" w:rsidR="002B3038" w:rsidRPr="007A1328" w:rsidRDefault="002B3038" w:rsidP="00715914">
    <w:pPr>
      <w:jc w:val="right"/>
      <w:rPr>
        <w:sz w:val="20"/>
      </w:rPr>
    </w:pPr>
  </w:p>
  <w:p w14:paraId="07132CD4" w14:textId="77777777" w:rsidR="002B3038" w:rsidRPr="007A1328" w:rsidRDefault="002B3038" w:rsidP="00715914">
    <w:pPr>
      <w:jc w:val="right"/>
      <w:rPr>
        <w:sz w:val="20"/>
      </w:rPr>
    </w:pPr>
  </w:p>
  <w:p w14:paraId="05AB86B4" w14:textId="77777777" w:rsidR="002B3038" w:rsidRPr="007A1328" w:rsidRDefault="002B3038" w:rsidP="00715914">
    <w:pPr>
      <w:jc w:val="right"/>
      <w:rPr>
        <w:b/>
        <w:sz w:val="24"/>
      </w:rPr>
    </w:pPr>
    <w:r>
      <w:rPr>
        <w:b/>
        <w:sz w:val="24"/>
      </w:rPr>
      <w:t>Schedule 2</w:t>
    </w:r>
    <w:r>
      <w:rPr>
        <w:rFonts w:cs="Times New Roman"/>
        <w:b/>
        <w:sz w:val="24"/>
      </w:rPr>
      <w:t>—</w:t>
    </w:r>
    <w:r w:rsidRPr="00AA730A">
      <w:rPr>
        <w:b/>
        <w:sz w:val="24"/>
      </w:rPr>
      <w:t>Steps for privacy safeguard 12—security of CDR data held by accredited data recipients</w:t>
    </w:r>
  </w:p>
  <w:p w14:paraId="205B5805" w14:textId="77777777" w:rsidR="002B3038" w:rsidRPr="007A1328" w:rsidRDefault="002B3038" w:rsidP="00D6537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0BC7" w14:textId="77777777" w:rsidR="002B3038" w:rsidRPr="007A1328" w:rsidRDefault="002B3038" w:rsidP="00715914">
    <w:pPr>
      <w:jc w:val="right"/>
      <w:rPr>
        <w:sz w:val="20"/>
      </w:rPr>
    </w:pPr>
  </w:p>
  <w:p w14:paraId="2C2ACC7A" w14:textId="77777777" w:rsidR="002B3038" w:rsidRPr="007A1328" w:rsidRDefault="002B3038" w:rsidP="00715914">
    <w:pPr>
      <w:jc w:val="right"/>
      <w:rPr>
        <w:sz w:val="20"/>
      </w:rPr>
    </w:pPr>
  </w:p>
  <w:p w14:paraId="00F32F7A" w14:textId="77777777" w:rsidR="002B3038" w:rsidRPr="007A1328" w:rsidRDefault="002B3038" w:rsidP="00715914">
    <w:pPr>
      <w:jc w:val="right"/>
      <w:rPr>
        <w:sz w:val="20"/>
      </w:rPr>
    </w:pPr>
  </w:p>
  <w:p w14:paraId="0C7115EB" w14:textId="77777777" w:rsidR="002B3038" w:rsidRPr="007A1328" w:rsidRDefault="002B3038" w:rsidP="00715914">
    <w:pPr>
      <w:jc w:val="right"/>
      <w:rPr>
        <w:b/>
        <w:sz w:val="24"/>
      </w:rPr>
    </w:pPr>
    <w:r>
      <w:rPr>
        <w:b/>
        <w:sz w:val="24"/>
      </w:rPr>
      <w:t>Schedule 3</w:t>
    </w:r>
    <w:r>
      <w:rPr>
        <w:rFonts w:cs="Times New Roman"/>
        <w:b/>
        <w:sz w:val="24"/>
      </w:rPr>
      <w:t>—</w:t>
    </w:r>
    <w:r>
      <w:rPr>
        <w:b/>
        <w:sz w:val="24"/>
      </w:rPr>
      <w:t>Provisions relevant to the banking sector</w:t>
    </w:r>
  </w:p>
  <w:p w14:paraId="69628D7F" w14:textId="77777777" w:rsidR="002B3038" w:rsidRPr="007A1328" w:rsidRDefault="002B3038" w:rsidP="00D6537E">
    <w:pPr>
      <w:pBdr>
        <w:bottom w:val="single" w:sz="6" w:space="1" w:color="auto"/>
      </w:pBdr>
      <w:spacing w:after="12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45A0" w14:textId="77777777" w:rsidR="002B3038" w:rsidRDefault="002B30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8B45" w14:textId="77777777" w:rsidR="002B3038" w:rsidRPr="007A1328" w:rsidRDefault="002B3038" w:rsidP="00715914">
    <w:pPr>
      <w:jc w:val="right"/>
      <w:rPr>
        <w:sz w:val="20"/>
      </w:rPr>
    </w:pPr>
  </w:p>
  <w:p w14:paraId="5BD8AD0F" w14:textId="77777777" w:rsidR="002B3038" w:rsidRPr="007A1328" w:rsidRDefault="002B3038" w:rsidP="00715914">
    <w:pPr>
      <w:jc w:val="right"/>
      <w:rPr>
        <w:sz w:val="20"/>
      </w:rPr>
    </w:pPr>
  </w:p>
  <w:p w14:paraId="2273EDDF" w14:textId="77777777" w:rsidR="002B3038" w:rsidRPr="007A1328" w:rsidRDefault="002B3038" w:rsidP="00715914">
    <w:pPr>
      <w:jc w:val="right"/>
      <w:rPr>
        <w:sz w:val="20"/>
      </w:rPr>
    </w:pPr>
  </w:p>
  <w:p w14:paraId="54793A2F" w14:textId="29C2F02F" w:rsidR="002B3038" w:rsidRPr="007A1328" w:rsidRDefault="002B3038" w:rsidP="00715914">
    <w:pPr>
      <w:jc w:val="right"/>
      <w:rPr>
        <w:b/>
        <w:sz w:val="24"/>
      </w:rPr>
    </w:pPr>
    <w:r>
      <w:rPr>
        <w:b/>
        <w:sz w:val="24"/>
      </w:rPr>
      <w:t>Schedule 4</w:t>
    </w:r>
    <w:r>
      <w:rPr>
        <w:rFonts w:cs="Times New Roman"/>
        <w:b/>
        <w:sz w:val="24"/>
      </w:rPr>
      <w:t>—</w:t>
    </w:r>
    <w:r>
      <w:rPr>
        <w:b/>
        <w:sz w:val="24"/>
      </w:rPr>
      <w:t>Provisions relevant to the energy sector</w:t>
    </w:r>
  </w:p>
  <w:p w14:paraId="49BA036D" w14:textId="77777777" w:rsidR="002B3038" w:rsidRPr="007A1328" w:rsidRDefault="002B3038" w:rsidP="00D6537E">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E483" w14:textId="77777777" w:rsidR="002B3038" w:rsidRDefault="002B3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BDBB" w14:textId="77777777" w:rsidR="002B3038" w:rsidRPr="00ED79B6" w:rsidRDefault="002B3038" w:rsidP="003507D2">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6992" w14:textId="77777777" w:rsidR="002B3038" w:rsidRPr="00ED79B6" w:rsidRDefault="002B303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AB82" w14:textId="77777777" w:rsidR="002B3038" w:rsidRDefault="002B3038" w:rsidP="00715914">
    <w:pPr>
      <w:rPr>
        <w:sz w:val="20"/>
      </w:rPr>
    </w:pPr>
  </w:p>
  <w:p w14:paraId="5E4156C4" w14:textId="77777777" w:rsidR="002B3038" w:rsidRDefault="002B3038" w:rsidP="00715914">
    <w:pPr>
      <w:rPr>
        <w:sz w:val="20"/>
      </w:rPr>
    </w:pPr>
  </w:p>
  <w:p w14:paraId="0BAA946B" w14:textId="77777777" w:rsidR="002B3038" w:rsidRPr="007A1328" w:rsidRDefault="002B3038" w:rsidP="00715914">
    <w:pPr>
      <w:rPr>
        <w:sz w:val="20"/>
      </w:rPr>
    </w:pPr>
  </w:p>
  <w:p w14:paraId="2A0C7FF9" w14:textId="77777777" w:rsidR="002B3038" w:rsidRPr="007A1328" w:rsidRDefault="002B3038" w:rsidP="00715914">
    <w:pPr>
      <w:rPr>
        <w:b/>
        <w:sz w:val="24"/>
      </w:rPr>
    </w:pPr>
  </w:p>
  <w:p w14:paraId="3C9648A7" w14:textId="77777777" w:rsidR="002B3038" w:rsidRPr="007A1328" w:rsidRDefault="002B3038"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1B4C" w14:textId="77777777" w:rsidR="002B3038" w:rsidRDefault="002B3038" w:rsidP="00D6537E">
    <w:pPr>
      <w:pBdr>
        <w:bottom w:val="single" w:sz="6" w:space="1" w:color="auto"/>
      </w:pBdr>
      <w:spacing w:after="120"/>
      <w:jc w:val="right"/>
    </w:pPr>
  </w:p>
  <w:p w14:paraId="3A4C4986" w14:textId="77777777" w:rsidR="002B3038" w:rsidRDefault="002B3038" w:rsidP="00D6537E">
    <w:pPr>
      <w:pBdr>
        <w:bottom w:val="single" w:sz="6" w:space="1" w:color="auto"/>
      </w:pBdr>
      <w:spacing w:after="120"/>
      <w:jc w:val="right"/>
    </w:pPr>
  </w:p>
  <w:p w14:paraId="1BAD77DE" w14:textId="77777777" w:rsidR="002B3038" w:rsidRPr="007A1328" w:rsidRDefault="002B3038" w:rsidP="00D6537E">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C071" w14:textId="77777777" w:rsidR="002B3038" w:rsidRDefault="002B3038" w:rsidP="00715914">
    <w:pPr>
      <w:rPr>
        <w:sz w:val="20"/>
      </w:rPr>
    </w:pPr>
  </w:p>
  <w:p w14:paraId="5665995F" w14:textId="77777777" w:rsidR="002B3038" w:rsidRDefault="002B3038" w:rsidP="00715914">
    <w:pPr>
      <w:rPr>
        <w:sz w:val="20"/>
      </w:rPr>
    </w:pPr>
  </w:p>
  <w:p w14:paraId="12B9C820" w14:textId="77777777" w:rsidR="002B3038" w:rsidRPr="007A1328" w:rsidRDefault="002B3038" w:rsidP="00715914">
    <w:pPr>
      <w:rPr>
        <w:sz w:val="20"/>
      </w:rPr>
    </w:pPr>
  </w:p>
  <w:p w14:paraId="7C3F3BB4" w14:textId="77777777" w:rsidR="002B3038" w:rsidRPr="007A1328" w:rsidRDefault="002B3038" w:rsidP="00715914">
    <w:pPr>
      <w:rPr>
        <w:b/>
        <w:sz w:val="24"/>
      </w:rPr>
    </w:pPr>
  </w:p>
  <w:p w14:paraId="20E25E8E" w14:textId="77777777" w:rsidR="002B3038" w:rsidRPr="007A1328" w:rsidRDefault="002B3038"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56BE" w14:textId="77777777" w:rsidR="002B3038" w:rsidRPr="007A1328" w:rsidRDefault="002B3038" w:rsidP="00715914">
    <w:pPr>
      <w:jc w:val="right"/>
      <w:rPr>
        <w:sz w:val="20"/>
      </w:rPr>
    </w:pPr>
  </w:p>
  <w:p w14:paraId="65EC7549" w14:textId="77777777" w:rsidR="002B3038" w:rsidRPr="007A1328" w:rsidRDefault="002B3038" w:rsidP="00715914">
    <w:pPr>
      <w:jc w:val="right"/>
      <w:rPr>
        <w:sz w:val="20"/>
      </w:rPr>
    </w:pPr>
  </w:p>
  <w:p w14:paraId="3B5C6F8D" w14:textId="77777777" w:rsidR="002B3038" w:rsidRPr="007A1328" w:rsidRDefault="002B3038" w:rsidP="00715914">
    <w:pPr>
      <w:jc w:val="right"/>
      <w:rPr>
        <w:sz w:val="20"/>
      </w:rPr>
    </w:pPr>
  </w:p>
  <w:p w14:paraId="64303BA1" w14:textId="77777777" w:rsidR="002B3038" w:rsidRPr="007A1328" w:rsidRDefault="002B3038" w:rsidP="00715914">
    <w:pPr>
      <w:jc w:val="right"/>
      <w:rPr>
        <w:b/>
        <w:sz w:val="24"/>
      </w:rPr>
    </w:pPr>
  </w:p>
  <w:p w14:paraId="296C6D4D" w14:textId="77777777" w:rsidR="002B3038" w:rsidRPr="007A1328" w:rsidRDefault="002B3038"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CB3A" w14:textId="77777777" w:rsidR="002B3038" w:rsidRDefault="002B3038" w:rsidP="00715914">
    <w:pPr>
      <w:rPr>
        <w:sz w:val="20"/>
      </w:rPr>
    </w:pPr>
  </w:p>
  <w:p w14:paraId="1E59682F" w14:textId="77777777" w:rsidR="002B3038" w:rsidRDefault="002B3038" w:rsidP="00715914">
    <w:pPr>
      <w:rPr>
        <w:sz w:val="20"/>
      </w:rPr>
    </w:pPr>
  </w:p>
  <w:p w14:paraId="66FE8D24" w14:textId="77777777" w:rsidR="002B3038" w:rsidRPr="007A1328" w:rsidRDefault="002B3038" w:rsidP="00715914">
    <w:pPr>
      <w:rPr>
        <w:sz w:val="20"/>
      </w:rPr>
    </w:pPr>
  </w:p>
  <w:p w14:paraId="4E799583" w14:textId="77777777" w:rsidR="002B3038" w:rsidRPr="007A1328" w:rsidRDefault="002B3038" w:rsidP="00715914">
    <w:pPr>
      <w:rPr>
        <w:b/>
        <w:sz w:val="24"/>
      </w:rPr>
    </w:pPr>
  </w:p>
  <w:p w14:paraId="2969B0F6" w14:textId="77777777" w:rsidR="002B3038" w:rsidRPr="007A1328" w:rsidRDefault="002B3038" w:rsidP="00D6537E">
    <w:pPr>
      <w:pBdr>
        <w:bottom w:val="single" w:sz="6" w:space="1" w:color="auto"/>
      </w:pBdr>
      <w:spacing w:after="12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EB49" w14:textId="77777777" w:rsidR="002B3038" w:rsidRPr="007A1328" w:rsidRDefault="002B3038" w:rsidP="00715914">
    <w:pPr>
      <w:jc w:val="right"/>
      <w:rPr>
        <w:sz w:val="20"/>
      </w:rPr>
    </w:pPr>
  </w:p>
  <w:p w14:paraId="45CB114E" w14:textId="77777777" w:rsidR="002B3038" w:rsidRPr="007A1328" w:rsidRDefault="002B3038" w:rsidP="00715914">
    <w:pPr>
      <w:jc w:val="right"/>
      <w:rPr>
        <w:sz w:val="20"/>
      </w:rPr>
    </w:pPr>
  </w:p>
  <w:p w14:paraId="1A63C99C" w14:textId="77777777" w:rsidR="002B3038" w:rsidRPr="007A1328" w:rsidRDefault="002B3038" w:rsidP="00715914">
    <w:pPr>
      <w:jc w:val="right"/>
      <w:rPr>
        <w:sz w:val="20"/>
      </w:rPr>
    </w:pPr>
  </w:p>
  <w:p w14:paraId="013A2B36" w14:textId="77777777" w:rsidR="002B3038" w:rsidRPr="007A1328" w:rsidRDefault="002B3038" w:rsidP="00715914">
    <w:pPr>
      <w:jc w:val="right"/>
      <w:rPr>
        <w:b/>
        <w:sz w:val="24"/>
      </w:rPr>
    </w:pPr>
  </w:p>
  <w:p w14:paraId="2F98594F" w14:textId="77777777" w:rsidR="002B3038" w:rsidRPr="007A1328" w:rsidRDefault="002B3038"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7E0959"/>
    <w:multiLevelType w:val="multilevel"/>
    <w:tmpl w:val="3BEC1CC6"/>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647770"/>
    <w:multiLevelType w:val="hybridMultilevel"/>
    <w:tmpl w:val="B89CCC6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55660A2"/>
    <w:multiLevelType w:val="hybridMultilevel"/>
    <w:tmpl w:val="D566335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 w15:restartNumberingAfterBreak="0">
    <w:nsid w:val="140948C7"/>
    <w:multiLevelType w:val="hybridMultilevel"/>
    <w:tmpl w:val="81202F4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6094D"/>
    <w:multiLevelType w:val="hybridMultilevel"/>
    <w:tmpl w:val="0F965CF4"/>
    <w:lvl w:ilvl="0" w:tplc="0C090001">
      <w:start w:val="1"/>
      <w:numFmt w:val="bullet"/>
      <w:lvlText w:val=""/>
      <w:lvlJc w:val="left"/>
      <w:pPr>
        <w:ind w:left="2345" w:hanging="360"/>
      </w:pPr>
      <w:rPr>
        <w:rFonts w:ascii="Symbol" w:hAnsi="Symbol" w:hint="default"/>
      </w:rPr>
    </w:lvl>
    <w:lvl w:ilvl="1" w:tplc="0C090003">
      <w:start w:val="1"/>
      <w:numFmt w:val="bullet"/>
      <w:lvlText w:val="o"/>
      <w:lvlJc w:val="left"/>
      <w:pPr>
        <w:ind w:left="3065" w:hanging="360"/>
      </w:pPr>
      <w:rPr>
        <w:rFonts w:ascii="Courier New" w:hAnsi="Courier New" w:cs="Courier New" w:hint="default"/>
      </w:rPr>
    </w:lvl>
    <w:lvl w:ilvl="2" w:tplc="0C090005">
      <w:start w:val="1"/>
      <w:numFmt w:val="bullet"/>
      <w:lvlText w:val=""/>
      <w:lvlJc w:val="left"/>
      <w:pPr>
        <w:ind w:left="3785" w:hanging="360"/>
      </w:pPr>
      <w:rPr>
        <w:rFonts w:ascii="Wingdings" w:hAnsi="Wingdings" w:hint="default"/>
      </w:rPr>
    </w:lvl>
    <w:lvl w:ilvl="3" w:tplc="0C090001">
      <w:start w:val="1"/>
      <w:numFmt w:val="bullet"/>
      <w:lvlText w:val=""/>
      <w:lvlJc w:val="left"/>
      <w:pPr>
        <w:ind w:left="4505" w:hanging="360"/>
      </w:pPr>
      <w:rPr>
        <w:rFonts w:ascii="Symbol" w:hAnsi="Symbol" w:hint="default"/>
      </w:rPr>
    </w:lvl>
    <w:lvl w:ilvl="4" w:tplc="0C090003">
      <w:start w:val="1"/>
      <w:numFmt w:val="bullet"/>
      <w:lvlText w:val="o"/>
      <w:lvlJc w:val="left"/>
      <w:pPr>
        <w:ind w:left="5225" w:hanging="360"/>
      </w:pPr>
      <w:rPr>
        <w:rFonts w:ascii="Courier New" w:hAnsi="Courier New" w:cs="Courier New" w:hint="default"/>
      </w:rPr>
    </w:lvl>
    <w:lvl w:ilvl="5" w:tplc="0C090005">
      <w:start w:val="1"/>
      <w:numFmt w:val="bullet"/>
      <w:lvlText w:val=""/>
      <w:lvlJc w:val="left"/>
      <w:pPr>
        <w:ind w:left="5945" w:hanging="360"/>
      </w:pPr>
      <w:rPr>
        <w:rFonts w:ascii="Wingdings" w:hAnsi="Wingdings" w:hint="default"/>
      </w:rPr>
    </w:lvl>
    <w:lvl w:ilvl="6" w:tplc="0C090001">
      <w:start w:val="1"/>
      <w:numFmt w:val="bullet"/>
      <w:lvlText w:val=""/>
      <w:lvlJc w:val="left"/>
      <w:pPr>
        <w:ind w:left="6665" w:hanging="360"/>
      </w:pPr>
      <w:rPr>
        <w:rFonts w:ascii="Symbol" w:hAnsi="Symbol" w:hint="default"/>
      </w:rPr>
    </w:lvl>
    <w:lvl w:ilvl="7" w:tplc="0C090003">
      <w:start w:val="1"/>
      <w:numFmt w:val="bullet"/>
      <w:lvlText w:val="o"/>
      <w:lvlJc w:val="left"/>
      <w:pPr>
        <w:ind w:left="7385" w:hanging="360"/>
      </w:pPr>
      <w:rPr>
        <w:rFonts w:ascii="Courier New" w:hAnsi="Courier New" w:cs="Courier New" w:hint="default"/>
      </w:rPr>
    </w:lvl>
    <w:lvl w:ilvl="8" w:tplc="0C090005">
      <w:start w:val="1"/>
      <w:numFmt w:val="bullet"/>
      <w:lvlText w:val=""/>
      <w:lvlJc w:val="left"/>
      <w:pPr>
        <w:ind w:left="8105" w:hanging="360"/>
      </w:pPr>
      <w:rPr>
        <w:rFonts w:ascii="Wingdings" w:hAnsi="Wingdings" w:hint="default"/>
      </w:rPr>
    </w:lvl>
  </w:abstractNum>
  <w:abstractNum w:abstractNumId="12" w15:restartNumberingAfterBreak="0">
    <w:nsid w:val="3A7B2FD9"/>
    <w:multiLevelType w:val="multilevel"/>
    <w:tmpl w:val="F8C8D61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4A586836"/>
    <w:multiLevelType w:val="hybridMultilevel"/>
    <w:tmpl w:val="6F76969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5" w15:restartNumberingAfterBreak="0">
    <w:nsid w:val="4BF828AA"/>
    <w:multiLevelType w:val="multilevel"/>
    <w:tmpl w:val="7F22B78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51C3F"/>
    <w:multiLevelType w:val="hybridMultilevel"/>
    <w:tmpl w:val="B42EF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C7E8D"/>
    <w:multiLevelType w:val="singleLevel"/>
    <w:tmpl w:val="FFFCF7D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20" w15:restartNumberingAfterBreak="0">
    <w:nsid w:val="7B722467"/>
    <w:multiLevelType w:val="multilevel"/>
    <w:tmpl w:val="B1104E66"/>
    <w:lvl w:ilvl="0">
      <w:start w:val="1"/>
      <w:numFmt w:val="decimal"/>
      <w:lvlText w:val="%1."/>
      <w:lvlJc w:val="left"/>
      <w:pPr>
        <w:tabs>
          <w:tab w:val="num" w:pos="520"/>
        </w:tabs>
        <w:ind w:left="520" w:hanging="520"/>
      </w:pPr>
    </w:lvl>
    <w:lvl w:ilvl="1">
      <w:start w:val="1"/>
      <w:numFmt w:val="lowerLetter"/>
      <w:lvlText w:val="%2."/>
      <w:lvlJc w:val="left"/>
      <w:pPr>
        <w:tabs>
          <w:tab w:val="num" w:pos="1040"/>
        </w:tabs>
        <w:ind w:left="1040" w:hanging="520"/>
      </w:pPr>
    </w:lvl>
    <w:lvl w:ilvl="2">
      <w:start w:val="1"/>
      <w:numFmt w:val="lowerRoman"/>
      <w:lvlText w:val="%3."/>
      <w:lvlJc w:val="righ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5"/>
  </w:num>
  <w:num w:numId="4">
    <w:abstractNumId w:val="10"/>
  </w:num>
  <w:num w:numId="5">
    <w:abstractNumId w:val="13"/>
  </w:num>
  <w:num w:numId="6">
    <w:abstractNumId w:val="17"/>
  </w:num>
  <w:num w:numId="7">
    <w:abstractNumId w:val="0"/>
  </w:num>
  <w:num w:numId="8">
    <w:abstractNumId w:val="3"/>
  </w:num>
  <w:num w:numId="9">
    <w:abstractNumId w:val="7"/>
  </w:num>
  <w:num w:numId="10">
    <w:abstractNumId w:val="14"/>
  </w:num>
  <w:num w:numId="11">
    <w:abstractNumId w:val="4"/>
  </w:num>
  <w:num w:numId="12">
    <w:abstractNumId w:val="11"/>
  </w:num>
  <w:num w:numId="13">
    <w:abstractNumId w:val="6"/>
  </w:num>
  <w:num w:numId="14">
    <w:abstractNumId w:val="18"/>
  </w:num>
  <w:num w:numId="15">
    <w:abstractNumId w:val="19"/>
  </w:num>
  <w:num w:numId="16">
    <w:abstractNumId w:val="2"/>
  </w:num>
  <w:num w:numId="17">
    <w:abstractNumId w:val="20"/>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A4"/>
    <w:rsid w:val="000004FE"/>
    <w:rsid w:val="00000B47"/>
    <w:rsid w:val="00000C1C"/>
    <w:rsid w:val="000010D4"/>
    <w:rsid w:val="000014BB"/>
    <w:rsid w:val="000015DC"/>
    <w:rsid w:val="00001AC8"/>
    <w:rsid w:val="00002032"/>
    <w:rsid w:val="00002316"/>
    <w:rsid w:val="00002850"/>
    <w:rsid w:val="0000297B"/>
    <w:rsid w:val="000029CF"/>
    <w:rsid w:val="00002B3E"/>
    <w:rsid w:val="00002D2D"/>
    <w:rsid w:val="00002F2E"/>
    <w:rsid w:val="00003178"/>
    <w:rsid w:val="00003317"/>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62C"/>
    <w:rsid w:val="000057F0"/>
    <w:rsid w:val="0000593B"/>
    <w:rsid w:val="00005C2C"/>
    <w:rsid w:val="00006207"/>
    <w:rsid w:val="000063E7"/>
    <w:rsid w:val="00006535"/>
    <w:rsid w:val="00006575"/>
    <w:rsid w:val="00006916"/>
    <w:rsid w:val="00006D92"/>
    <w:rsid w:val="00006E3C"/>
    <w:rsid w:val="00006E6A"/>
    <w:rsid w:val="00006FC0"/>
    <w:rsid w:val="00007052"/>
    <w:rsid w:val="00007518"/>
    <w:rsid w:val="00007993"/>
    <w:rsid w:val="00007D25"/>
    <w:rsid w:val="0001019A"/>
    <w:rsid w:val="00010772"/>
    <w:rsid w:val="0001096A"/>
    <w:rsid w:val="00010AE8"/>
    <w:rsid w:val="00011026"/>
    <w:rsid w:val="00011A8A"/>
    <w:rsid w:val="00011B58"/>
    <w:rsid w:val="00011D01"/>
    <w:rsid w:val="00012107"/>
    <w:rsid w:val="00012B74"/>
    <w:rsid w:val="00012C70"/>
    <w:rsid w:val="00012D8F"/>
    <w:rsid w:val="00012F49"/>
    <w:rsid w:val="00013240"/>
    <w:rsid w:val="000136AF"/>
    <w:rsid w:val="000136B4"/>
    <w:rsid w:val="000136C2"/>
    <w:rsid w:val="00013A8F"/>
    <w:rsid w:val="00013BE8"/>
    <w:rsid w:val="0001417F"/>
    <w:rsid w:val="0001466B"/>
    <w:rsid w:val="000151A0"/>
    <w:rsid w:val="00015AB6"/>
    <w:rsid w:val="00016145"/>
    <w:rsid w:val="000162FF"/>
    <w:rsid w:val="0001632F"/>
    <w:rsid w:val="000165DF"/>
    <w:rsid w:val="00016B80"/>
    <w:rsid w:val="00017004"/>
    <w:rsid w:val="00017267"/>
    <w:rsid w:val="000175D3"/>
    <w:rsid w:val="00017D5A"/>
    <w:rsid w:val="00017DD5"/>
    <w:rsid w:val="00020736"/>
    <w:rsid w:val="00020C98"/>
    <w:rsid w:val="00020D60"/>
    <w:rsid w:val="00020E90"/>
    <w:rsid w:val="00021A26"/>
    <w:rsid w:val="00021D4E"/>
    <w:rsid w:val="00022033"/>
    <w:rsid w:val="000227EA"/>
    <w:rsid w:val="00022E13"/>
    <w:rsid w:val="00022E28"/>
    <w:rsid w:val="00022E4A"/>
    <w:rsid w:val="0002356D"/>
    <w:rsid w:val="000237D1"/>
    <w:rsid w:val="00023B44"/>
    <w:rsid w:val="00024899"/>
    <w:rsid w:val="00024F18"/>
    <w:rsid w:val="00025281"/>
    <w:rsid w:val="000258B1"/>
    <w:rsid w:val="00025951"/>
    <w:rsid w:val="00026097"/>
    <w:rsid w:val="000260BB"/>
    <w:rsid w:val="0002643A"/>
    <w:rsid w:val="00026BC4"/>
    <w:rsid w:val="00026F8E"/>
    <w:rsid w:val="00026F94"/>
    <w:rsid w:val="0002703B"/>
    <w:rsid w:val="00027514"/>
    <w:rsid w:val="000278B2"/>
    <w:rsid w:val="00027D8F"/>
    <w:rsid w:val="0003006F"/>
    <w:rsid w:val="0003017A"/>
    <w:rsid w:val="000302C9"/>
    <w:rsid w:val="000303F8"/>
    <w:rsid w:val="00030E47"/>
    <w:rsid w:val="000311F5"/>
    <w:rsid w:val="0003138C"/>
    <w:rsid w:val="0003164B"/>
    <w:rsid w:val="000316CE"/>
    <w:rsid w:val="00031737"/>
    <w:rsid w:val="00032C51"/>
    <w:rsid w:val="000334D5"/>
    <w:rsid w:val="00033B3C"/>
    <w:rsid w:val="000340CE"/>
    <w:rsid w:val="00034289"/>
    <w:rsid w:val="00034929"/>
    <w:rsid w:val="000349D9"/>
    <w:rsid w:val="00034D60"/>
    <w:rsid w:val="00034F57"/>
    <w:rsid w:val="00035159"/>
    <w:rsid w:val="000358F9"/>
    <w:rsid w:val="00035A92"/>
    <w:rsid w:val="000361AC"/>
    <w:rsid w:val="000362F3"/>
    <w:rsid w:val="00036732"/>
    <w:rsid w:val="000368AE"/>
    <w:rsid w:val="00036920"/>
    <w:rsid w:val="000369AF"/>
    <w:rsid w:val="00036AFB"/>
    <w:rsid w:val="000374B5"/>
    <w:rsid w:val="000379D2"/>
    <w:rsid w:val="00037AAA"/>
    <w:rsid w:val="00037B75"/>
    <w:rsid w:val="00037DD2"/>
    <w:rsid w:val="00037F3B"/>
    <w:rsid w:val="00040124"/>
    <w:rsid w:val="00040645"/>
    <w:rsid w:val="00040653"/>
    <w:rsid w:val="000407DF"/>
    <w:rsid w:val="00040A89"/>
    <w:rsid w:val="00040B16"/>
    <w:rsid w:val="0004127F"/>
    <w:rsid w:val="00041538"/>
    <w:rsid w:val="00041A0A"/>
    <w:rsid w:val="00041B4F"/>
    <w:rsid w:val="00041BBD"/>
    <w:rsid w:val="00041F0E"/>
    <w:rsid w:val="00042249"/>
    <w:rsid w:val="00042563"/>
    <w:rsid w:val="00042700"/>
    <w:rsid w:val="000427FF"/>
    <w:rsid w:val="0004284A"/>
    <w:rsid w:val="00042898"/>
    <w:rsid w:val="00042AAA"/>
    <w:rsid w:val="00042B62"/>
    <w:rsid w:val="00042CD5"/>
    <w:rsid w:val="00042CE6"/>
    <w:rsid w:val="00042D06"/>
    <w:rsid w:val="00042EC6"/>
    <w:rsid w:val="00042F8A"/>
    <w:rsid w:val="0004339E"/>
    <w:rsid w:val="000435F2"/>
    <w:rsid w:val="000437C1"/>
    <w:rsid w:val="00044150"/>
    <w:rsid w:val="000444E8"/>
    <w:rsid w:val="0004455A"/>
    <w:rsid w:val="000447DD"/>
    <w:rsid w:val="0004497C"/>
    <w:rsid w:val="00045173"/>
    <w:rsid w:val="00045351"/>
    <w:rsid w:val="000453E4"/>
    <w:rsid w:val="00045936"/>
    <w:rsid w:val="00045D01"/>
    <w:rsid w:val="00045D17"/>
    <w:rsid w:val="00045DA6"/>
    <w:rsid w:val="00045F9D"/>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65D"/>
    <w:rsid w:val="000536BF"/>
    <w:rsid w:val="0005458D"/>
    <w:rsid w:val="0005461D"/>
    <w:rsid w:val="00054807"/>
    <w:rsid w:val="00054E6F"/>
    <w:rsid w:val="00054E93"/>
    <w:rsid w:val="00054F5C"/>
    <w:rsid w:val="0005509A"/>
    <w:rsid w:val="0005526C"/>
    <w:rsid w:val="000552F2"/>
    <w:rsid w:val="000553D0"/>
    <w:rsid w:val="00055586"/>
    <w:rsid w:val="00055798"/>
    <w:rsid w:val="000560A0"/>
    <w:rsid w:val="00056495"/>
    <w:rsid w:val="00056ACE"/>
    <w:rsid w:val="00056B53"/>
    <w:rsid w:val="00056DB7"/>
    <w:rsid w:val="000577AC"/>
    <w:rsid w:val="000577E0"/>
    <w:rsid w:val="000601A7"/>
    <w:rsid w:val="000602F2"/>
    <w:rsid w:val="0006044B"/>
    <w:rsid w:val="0006078A"/>
    <w:rsid w:val="0006083C"/>
    <w:rsid w:val="00060A81"/>
    <w:rsid w:val="00061130"/>
    <w:rsid w:val="000614BF"/>
    <w:rsid w:val="000615CE"/>
    <w:rsid w:val="00062340"/>
    <w:rsid w:val="00062720"/>
    <w:rsid w:val="000627BD"/>
    <w:rsid w:val="00062AA7"/>
    <w:rsid w:val="00062C64"/>
    <w:rsid w:val="00062F40"/>
    <w:rsid w:val="00062F54"/>
    <w:rsid w:val="000630A9"/>
    <w:rsid w:val="00063570"/>
    <w:rsid w:val="0006377B"/>
    <w:rsid w:val="00063853"/>
    <w:rsid w:val="000639C3"/>
    <w:rsid w:val="000640BF"/>
    <w:rsid w:val="000648BC"/>
    <w:rsid w:val="00064CA1"/>
    <w:rsid w:val="000655A9"/>
    <w:rsid w:val="00065983"/>
    <w:rsid w:val="00065BD9"/>
    <w:rsid w:val="00065C83"/>
    <w:rsid w:val="00065EBA"/>
    <w:rsid w:val="00066477"/>
    <w:rsid w:val="000666BC"/>
    <w:rsid w:val="00066BDA"/>
    <w:rsid w:val="00066C0F"/>
    <w:rsid w:val="00066F3D"/>
    <w:rsid w:val="0006709C"/>
    <w:rsid w:val="00067172"/>
    <w:rsid w:val="00067D62"/>
    <w:rsid w:val="00067F34"/>
    <w:rsid w:val="000701F4"/>
    <w:rsid w:val="000703E8"/>
    <w:rsid w:val="00070E21"/>
    <w:rsid w:val="000711FA"/>
    <w:rsid w:val="00071211"/>
    <w:rsid w:val="00071221"/>
    <w:rsid w:val="000718C8"/>
    <w:rsid w:val="00071A24"/>
    <w:rsid w:val="00071CA7"/>
    <w:rsid w:val="00071EEB"/>
    <w:rsid w:val="00071FC7"/>
    <w:rsid w:val="00072063"/>
    <w:rsid w:val="000726A1"/>
    <w:rsid w:val="00073309"/>
    <w:rsid w:val="00073592"/>
    <w:rsid w:val="0007377D"/>
    <w:rsid w:val="00074376"/>
    <w:rsid w:val="00074497"/>
    <w:rsid w:val="00074632"/>
    <w:rsid w:val="0007488F"/>
    <w:rsid w:val="000748EF"/>
    <w:rsid w:val="0007498F"/>
    <w:rsid w:val="00074B55"/>
    <w:rsid w:val="00074CC2"/>
    <w:rsid w:val="00074CD8"/>
    <w:rsid w:val="00075409"/>
    <w:rsid w:val="0007595B"/>
    <w:rsid w:val="00075961"/>
    <w:rsid w:val="00076113"/>
    <w:rsid w:val="0007614E"/>
    <w:rsid w:val="0007619D"/>
    <w:rsid w:val="00076B1E"/>
    <w:rsid w:val="00076BD5"/>
    <w:rsid w:val="00076E53"/>
    <w:rsid w:val="00076F01"/>
    <w:rsid w:val="000770CE"/>
    <w:rsid w:val="00077646"/>
    <w:rsid w:val="00077E29"/>
    <w:rsid w:val="0008061D"/>
    <w:rsid w:val="00080640"/>
    <w:rsid w:val="00080A5B"/>
    <w:rsid w:val="00080B8A"/>
    <w:rsid w:val="00080DAE"/>
    <w:rsid w:val="00080DCD"/>
    <w:rsid w:val="00080FA2"/>
    <w:rsid w:val="000810CC"/>
    <w:rsid w:val="00081482"/>
    <w:rsid w:val="00081947"/>
    <w:rsid w:val="00081D0A"/>
    <w:rsid w:val="000829F7"/>
    <w:rsid w:val="00082F48"/>
    <w:rsid w:val="00083030"/>
    <w:rsid w:val="000834BB"/>
    <w:rsid w:val="00083732"/>
    <w:rsid w:val="00083802"/>
    <w:rsid w:val="00083B6E"/>
    <w:rsid w:val="00083FE2"/>
    <w:rsid w:val="000843C9"/>
    <w:rsid w:val="00084885"/>
    <w:rsid w:val="00084B94"/>
    <w:rsid w:val="00084D04"/>
    <w:rsid w:val="00085185"/>
    <w:rsid w:val="00085367"/>
    <w:rsid w:val="00085475"/>
    <w:rsid w:val="000854DF"/>
    <w:rsid w:val="000857D2"/>
    <w:rsid w:val="000858D9"/>
    <w:rsid w:val="000861B2"/>
    <w:rsid w:val="00086952"/>
    <w:rsid w:val="00086AA3"/>
    <w:rsid w:val="00086BB0"/>
    <w:rsid w:val="00086F26"/>
    <w:rsid w:val="000877F2"/>
    <w:rsid w:val="00087828"/>
    <w:rsid w:val="00087C4B"/>
    <w:rsid w:val="00087DC3"/>
    <w:rsid w:val="00087E7F"/>
    <w:rsid w:val="00090086"/>
    <w:rsid w:val="0009036D"/>
    <w:rsid w:val="000909C1"/>
    <w:rsid w:val="00090BEC"/>
    <w:rsid w:val="00091395"/>
    <w:rsid w:val="0009220E"/>
    <w:rsid w:val="00092668"/>
    <w:rsid w:val="000929EB"/>
    <w:rsid w:val="00092AF2"/>
    <w:rsid w:val="00092C49"/>
    <w:rsid w:val="00092F4B"/>
    <w:rsid w:val="00093486"/>
    <w:rsid w:val="00093561"/>
    <w:rsid w:val="00093630"/>
    <w:rsid w:val="00093972"/>
    <w:rsid w:val="00093E02"/>
    <w:rsid w:val="00093E17"/>
    <w:rsid w:val="00093E7A"/>
    <w:rsid w:val="000941E8"/>
    <w:rsid w:val="000943B1"/>
    <w:rsid w:val="00094822"/>
    <w:rsid w:val="0009485B"/>
    <w:rsid w:val="0009493C"/>
    <w:rsid w:val="000949CD"/>
    <w:rsid w:val="00094A9C"/>
    <w:rsid w:val="00094E68"/>
    <w:rsid w:val="0009551E"/>
    <w:rsid w:val="0009557A"/>
    <w:rsid w:val="00095766"/>
    <w:rsid w:val="0009599F"/>
    <w:rsid w:val="00095A03"/>
    <w:rsid w:val="00095B5C"/>
    <w:rsid w:val="00095C65"/>
    <w:rsid w:val="00095FBE"/>
    <w:rsid w:val="000960ED"/>
    <w:rsid w:val="00096113"/>
    <w:rsid w:val="00096C95"/>
    <w:rsid w:val="000971BE"/>
    <w:rsid w:val="00097220"/>
    <w:rsid w:val="0009724B"/>
    <w:rsid w:val="0009739F"/>
    <w:rsid w:val="0009767A"/>
    <w:rsid w:val="000978F5"/>
    <w:rsid w:val="000A011C"/>
    <w:rsid w:val="000A0646"/>
    <w:rsid w:val="000A071F"/>
    <w:rsid w:val="000A0A4B"/>
    <w:rsid w:val="000A0BC8"/>
    <w:rsid w:val="000A0E20"/>
    <w:rsid w:val="000A1189"/>
    <w:rsid w:val="000A191C"/>
    <w:rsid w:val="000A1B6F"/>
    <w:rsid w:val="000A2AE2"/>
    <w:rsid w:val="000A3072"/>
    <w:rsid w:val="000A328D"/>
    <w:rsid w:val="000A35F8"/>
    <w:rsid w:val="000A384B"/>
    <w:rsid w:val="000A3A31"/>
    <w:rsid w:val="000A401A"/>
    <w:rsid w:val="000A4077"/>
    <w:rsid w:val="000A48BA"/>
    <w:rsid w:val="000A49A0"/>
    <w:rsid w:val="000A4AE0"/>
    <w:rsid w:val="000A4C94"/>
    <w:rsid w:val="000A4D49"/>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06E8"/>
    <w:rsid w:val="000B0AFB"/>
    <w:rsid w:val="000B0E00"/>
    <w:rsid w:val="000B109D"/>
    <w:rsid w:val="000B15CD"/>
    <w:rsid w:val="000B1757"/>
    <w:rsid w:val="000B17A5"/>
    <w:rsid w:val="000B1972"/>
    <w:rsid w:val="000B1C0E"/>
    <w:rsid w:val="000B1D10"/>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4E10"/>
    <w:rsid w:val="000B5134"/>
    <w:rsid w:val="000B5141"/>
    <w:rsid w:val="000B52EF"/>
    <w:rsid w:val="000B536B"/>
    <w:rsid w:val="000B597B"/>
    <w:rsid w:val="000B5E2D"/>
    <w:rsid w:val="000B64B3"/>
    <w:rsid w:val="000B6EE2"/>
    <w:rsid w:val="000B754F"/>
    <w:rsid w:val="000B7614"/>
    <w:rsid w:val="000C00D2"/>
    <w:rsid w:val="000C01B5"/>
    <w:rsid w:val="000C046B"/>
    <w:rsid w:val="000C0D49"/>
    <w:rsid w:val="000C0EBB"/>
    <w:rsid w:val="000C0EFC"/>
    <w:rsid w:val="000C1371"/>
    <w:rsid w:val="000C1432"/>
    <w:rsid w:val="000C1928"/>
    <w:rsid w:val="000C1B95"/>
    <w:rsid w:val="000C21A4"/>
    <w:rsid w:val="000C2299"/>
    <w:rsid w:val="000C3240"/>
    <w:rsid w:val="000C34C2"/>
    <w:rsid w:val="000C3571"/>
    <w:rsid w:val="000C3665"/>
    <w:rsid w:val="000C3787"/>
    <w:rsid w:val="000C38CC"/>
    <w:rsid w:val="000C39A9"/>
    <w:rsid w:val="000C3C91"/>
    <w:rsid w:val="000C3DFB"/>
    <w:rsid w:val="000C4412"/>
    <w:rsid w:val="000C4508"/>
    <w:rsid w:val="000C4798"/>
    <w:rsid w:val="000C488B"/>
    <w:rsid w:val="000C4966"/>
    <w:rsid w:val="000C4A9C"/>
    <w:rsid w:val="000C4BAC"/>
    <w:rsid w:val="000C51BB"/>
    <w:rsid w:val="000C5266"/>
    <w:rsid w:val="000C584A"/>
    <w:rsid w:val="000C5A00"/>
    <w:rsid w:val="000C5A8A"/>
    <w:rsid w:val="000C5D03"/>
    <w:rsid w:val="000C5D35"/>
    <w:rsid w:val="000C5D65"/>
    <w:rsid w:val="000C6022"/>
    <w:rsid w:val="000C623D"/>
    <w:rsid w:val="000C637B"/>
    <w:rsid w:val="000C64ED"/>
    <w:rsid w:val="000C6A63"/>
    <w:rsid w:val="000C6E8D"/>
    <w:rsid w:val="000C744F"/>
    <w:rsid w:val="000C7656"/>
    <w:rsid w:val="000C7AFC"/>
    <w:rsid w:val="000C7E80"/>
    <w:rsid w:val="000D01C5"/>
    <w:rsid w:val="000D029B"/>
    <w:rsid w:val="000D05EF"/>
    <w:rsid w:val="000D08AE"/>
    <w:rsid w:val="000D0E87"/>
    <w:rsid w:val="000D1D53"/>
    <w:rsid w:val="000D1EC0"/>
    <w:rsid w:val="000D1EFC"/>
    <w:rsid w:val="000D2831"/>
    <w:rsid w:val="000D2835"/>
    <w:rsid w:val="000D2EBF"/>
    <w:rsid w:val="000D309E"/>
    <w:rsid w:val="000D3113"/>
    <w:rsid w:val="000D349B"/>
    <w:rsid w:val="000D3A7C"/>
    <w:rsid w:val="000D3C70"/>
    <w:rsid w:val="000D3E52"/>
    <w:rsid w:val="000D410A"/>
    <w:rsid w:val="000D4AF2"/>
    <w:rsid w:val="000D4B83"/>
    <w:rsid w:val="000D4D1F"/>
    <w:rsid w:val="000D4F48"/>
    <w:rsid w:val="000D4F5D"/>
    <w:rsid w:val="000D5247"/>
    <w:rsid w:val="000D574F"/>
    <w:rsid w:val="000D579C"/>
    <w:rsid w:val="000D5CD4"/>
    <w:rsid w:val="000D60B2"/>
    <w:rsid w:val="000D615E"/>
    <w:rsid w:val="000D6697"/>
    <w:rsid w:val="000D6768"/>
    <w:rsid w:val="000D67FB"/>
    <w:rsid w:val="000D6828"/>
    <w:rsid w:val="000D6B88"/>
    <w:rsid w:val="000D6BEA"/>
    <w:rsid w:val="000D6C0D"/>
    <w:rsid w:val="000D6C3D"/>
    <w:rsid w:val="000D70B7"/>
    <w:rsid w:val="000D72AF"/>
    <w:rsid w:val="000D7ACF"/>
    <w:rsid w:val="000E0644"/>
    <w:rsid w:val="000E1174"/>
    <w:rsid w:val="000E12F8"/>
    <w:rsid w:val="000E146C"/>
    <w:rsid w:val="000E15A3"/>
    <w:rsid w:val="000E16F8"/>
    <w:rsid w:val="000E1F80"/>
    <w:rsid w:val="000E225F"/>
    <w:rsid w:val="000E2261"/>
    <w:rsid w:val="000E269C"/>
    <w:rsid w:val="000E2997"/>
    <w:rsid w:val="000E2F5E"/>
    <w:rsid w:val="000E315F"/>
    <w:rsid w:val="000E3686"/>
    <w:rsid w:val="000E3D9B"/>
    <w:rsid w:val="000E4122"/>
    <w:rsid w:val="000E432C"/>
    <w:rsid w:val="000E44B7"/>
    <w:rsid w:val="000E468B"/>
    <w:rsid w:val="000E47CD"/>
    <w:rsid w:val="000E4B36"/>
    <w:rsid w:val="000E503D"/>
    <w:rsid w:val="000E55F1"/>
    <w:rsid w:val="000E567B"/>
    <w:rsid w:val="000E57AE"/>
    <w:rsid w:val="000E58DB"/>
    <w:rsid w:val="000E5E90"/>
    <w:rsid w:val="000E5FB8"/>
    <w:rsid w:val="000E66E1"/>
    <w:rsid w:val="000E6864"/>
    <w:rsid w:val="000E6B76"/>
    <w:rsid w:val="000E6FA8"/>
    <w:rsid w:val="000E7533"/>
    <w:rsid w:val="000E78B7"/>
    <w:rsid w:val="000E798D"/>
    <w:rsid w:val="000E7B33"/>
    <w:rsid w:val="000F01D5"/>
    <w:rsid w:val="000F07F6"/>
    <w:rsid w:val="000F0A15"/>
    <w:rsid w:val="000F0BE6"/>
    <w:rsid w:val="000F0CDF"/>
    <w:rsid w:val="000F0DA5"/>
    <w:rsid w:val="000F1077"/>
    <w:rsid w:val="000F160E"/>
    <w:rsid w:val="000F1B65"/>
    <w:rsid w:val="000F1ECA"/>
    <w:rsid w:val="000F210A"/>
    <w:rsid w:val="000F21C1"/>
    <w:rsid w:val="000F3932"/>
    <w:rsid w:val="000F3AF4"/>
    <w:rsid w:val="000F3CE2"/>
    <w:rsid w:val="000F3DEB"/>
    <w:rsid w:val="000F443D"/>
    <w:rsid w:val="000F4615"/>
    <w:rsid w:val="000F4629"/>
    <w:rsid w:val="000F4D27"/>
    <w:rsid w:val="000F53E9"/>
    <w:rsid w:val="000F5CF1"/>
    <w:rsid w:val="000F5E70"/>
    <w:rsid w:val="000F5F6B"/>
    <w:rsid w:val="000F6029"/>
    <w:rsid w:val="000F6121"/>
    <w:rsid w:val="000F6183"/>
    <w:rsid w:val="000F6443"/>
    <w:rsid w:val="000F6A74"/>
    <w:rsid w:val="000F6EEB"/>
    <w:rsid w:val="000F71F1"/>
    <w:rsid w:val="000F7228"/>
    <w:rsid w:val="000F72F5"/>
    <w:rsid w:val="000F74C3"/>
    <w:rsid w:val="000F77E4"/>
    <w:rsid w:val="000F7E89"/>
    <w:rsid w:val="000F7F2D"/>
    <w:rsid w:val="000F7F45"/>
    <w:rsid w:val="001000E3"/>
    <w:rsid w:val="0010040E"/>
    <w:rsid w:val="001015C8"/>
    <w:rsid w:val="001019B2"/>
    <w:rsid w:val="001021BE"/>
    <w:rsid w:val="00102201"/>
    <w:rsid w:val="001023EA"/>
    <w:rsid w:val="001024FA"/>
    <w:rsid w:val="00102EB7"/>
    <w:rsid w:val="00102FEE"/>
    <w:rsid w:val="00103320"/>
    <w:rsid w:val="00103324"/>
    <w:rsid w:val="001036F2"/>
    <w:rsid w:val="001044E5"/>
    <w:rsid w:val="00104CDF"/>
    <w:rsid w:val="00104E76"/>
    <w:rsid w:val="00104F89"/>
    <w:rsid w:val="00104FCB"/>
    <w:rsid w:val="0010551E"/>
    <w:rsid w:val="00105596"/>
    <w:rsid w:val="00105820"/>
    <w:rsid w:val="00105CD0"/>
    <w:rsid w:val="00105D54"/>
    <w:rsid w:val="00105DBF"/>
    <w:rsid w:val="0010615D"/>
    <w:rsid w:val="00106230"/>
    <w:rsid w:val="0010633B"/>
    <w:rsid w:val="0010668A"/>
    <w:rsid w:val="00106A45"/>
    <w:rsid w:val="00106B62"/>
    <w:rsid w:val="00106FF5"/>
    <w:rsid w:val="00107016"/>
    <w:rsid w:val="0010710B"/>
    <w:rsid w:val="001071FF"/>
    <w:rsid w:val="0010745C"/>
    <w:rsid w:val="001074C6"/>
    <w:rsid w:val="00107832"/>
    <w:rsid w:val="00107AF3"/>
    <w:rsid w:val="00107F67"/>
    <w:rsid w:val="0011005F"/>
    <w:rsid w:val="0011015B"/>
    <w:rsid w:val="0011036D"/>
    <w:rsid w:val="001108A3"/>
    <w:rsid w:val="00110BAD"/>
    <w:rsid w:val="00110BCF"/>
    <w:rsid w:val="00110EBC"/>
    <w:rsid w:val="00110ECD"/>
    <w:rsid w:val="001110A4"/>
    <w:rsid w:val="0011179A"/>
    <w:rsid w:val="00112254"/>
    <w:rsid w:val="0011231E"/>
    <w:rsid w:val="00112D61"/>
    <w:rsid w:val="00113092"/>
    <w:rsid w:val="001133AF"/>
    <w:rsid w:val="00113461"/>
    <w:rsid w:val="001134ED"/>
    <w:rsid w:val="00113596"/>
    <w:rsid w:val="00113774"/>
    <w:rsid w:val="00113BBD"/>
    <w:rsid w:val="00113E94"/>
    <w:rsid w:val="001142E4"/>
    <w:rsid w:val="0011439E"/>
    <w:rsid w:val="001144A0"/>
    <w:rsid w:val="00114577"/>
    <w:rsid w:val="00114C2F"/>
    <w:rsid w:val="00114E5B"/>
    <w:rsid w:val="0011505E"/>
    <w:rsid w:val="00115166"/>
    <w:rsid w:val="001151F8"/>
    <w:rsid w:val="00115217"/>
    <w:rsid w:val="001153BA"/>
    <w:rsid w:val="001164F0"/>
    <w:rsid w:val="0011685A"/>
    <w:rsid w:val="00116990"/>
    <w:rsid w:val="001169FA"/>
    <w:rsid w:val="00116DBF"/>
    <w:rsid w:val="00117158"/>
    <w:rsid w:val="001176F3"/>
    <w:rsid w:val="001178CA"/>
    <w:rsid w:val="00117A5B"/>
    <w:rsid w:val="00120084"/>
    <w:rsid w:val="00121366"/>
    <w:rsid w:val="00121AD9"/>
    <w:rsid w:val="00122248"/>
    <w:rsid w:val="00122882"/>
    <w:rsid w:val="00122D63"/>
    <w:rsid w:val="00122E08"/>
    <w:rsid w:val="001243DA"/>
    <w:rsid w:val="00124833"/>
    <w:rsid w:val="001249D1"/>
    <w:rsid w:val="00124B23"/>
    <w:rsid w:val="00124EB3"/>
    <w:rsid w:val="001252A4"/>
    <w:rsid w:val="001253BA"/>
    <w:rsid w:val="00125E2C"/>
    <w:rsid w:val="00126425"/>
    <w:rsid w:val="0012658B"/>
    <w:rsid w:val="00126660"/>
    <w:rsid w:val="00126F70"/>
    <w:rsid w:val="00127008"/>
    <w:rsid w:val="001272DD"/>
    <w:rsid w:val="00127469"/>
    <w:rsid w:val="001274D7"/>
    <w:rsid w:val="00127865"/>
    <w:rsid w:val="00127A96"/>
    <w:rsid w:val="00127CE1"/>
    <w:rsid w:val="00127DDD"/>
    <w:rsid w:val="00127FCD"/>
    <w:rsid w:val="00130040"/>
    <w:rsid w:val="0013019B"/>
    <w:rsid w:val="00130A57"/>
    <w:rsid w:val="00130D1E"/>
    <w:rsid w:val="00130DAF"/>
    <w:rsid w:val="00130FEA"/>
    <w:rsid w:val="00131539"/>
    <w:rsid w:val="001316E8"/>
    <w:rsid w:val="001317AB"/>
    <w:rsid w:val="001317F3"/>
    <w:rsid w:val="00132144"/>
    <w:rsid w:val="0013268B"/>
    <w:rsid w:val="00132B05"/>
    <w:rsid w:val="00132B22"/>
    <w:rsid w:val="00132CEB"/>
    <w:rsid w:val="00132F52"/>
    <w:rsid w:val="00133216"/>
    <w:rsid w:val="00133461"/>
    <w:rsid w:val="00133481"/>
    <w:rsid w:val="001335CD"/>
    <w:rsid w:val="001339B0"/>
    <w:rsid w:val="00133B74"/>
    <w:rsid w:val="00133BD2"/>
    <w:rsid w:val="00133F4F"/>
    <w:rsid w:val="001340AC"/>
    <w:rsid w:val="00134192"/>
    <w:rsid w:val="001346EB"/>
    <w:rsid w:val="001349C5"/>
    <w:rsid w:val="00134E7A"/>
    <w:rsid w:val="00135449"/>
    <w:rsid w:val="00135454"/>
    <w:rsid w:val="0013547F"/>
    <w:rsid w:val="0013549B"/>
    <w:rsid w:val="00135608"/>
    <w:rsid w:val="001359BD"/>
    <w:rsid w:val="00135DB7"/>
    <w:rsid w:val="00135EF1"/>
    <w:rsid w:val="00136135"/>
    <w:rsid w:val="00136F08"/>
    <w:rsid w:val="00137990"/>
    <w:rsid w:val="001402E6"/>
    <w:rsid w:val="001405D3"/>
    <w:rsid w:val="001406F3"/>
    <w:rsid w:val="00140ABC"/>
    <w:rsid w:val="00140E4E"/>
    <w:rsid w:val="00140F83"/>
    <w:rsid w:val="00141056"/>
    <w:rsid w:val="001417D0"/>
    <w:rsid w:val="00141B48"/>
    <w:rsid w:val="00141F3D"/>
    <w:rsid w:val="00142006"/>
    <w:rsid w:val="00142396"/>
    <w:rsid w:val="001423D8"/>
    <w:rsid w:val="00142875"/>
    <w:rsid w:val="00142B62"/>
    <w:rsid w:val="00142CB6"/>
    <w:rsid w:val="00142DA8"/>
    <w:rsid w:val="00143470"/>
    <w:rsid w:val="0014379A"/>
    <w:rsid w:val="00143CA4"/>
    <w:rsid w:val="00143FF7"/>
    <w:rsid w:val="00144092"/>
    <w:rsid w:val="001441B7"/>
    <w:rsid w:val="001444F8"/>
    <w:rsid w:val="00144A2C"/>
    <w:rsid w:val="00144CB2"/>
    <w:rsid w:val="00144DBD"/>
    <w:rsid w:val="00144F24"/>
    <w:rsid w:val="00144F6C"/>
    <w:rsid w:val="001450CE"/>
    <w:rsid w:val="001451ED"/>
    <w:rsid w:val="0014552F"/>
    <w:rsid w:val="00145983"/>
    <w:rsid w:val="00145DEC"/>
    <w:rsid w:val="00145FF5"/>
    <w:rsid w:val="001460EB"/>
    <w:rsid w:val="001462A3"/>
    <w:rsid w:val="001463C6"/>
    <w:rsid w:val="0014663C"/>
    <w:rsid w:val="001467BB"/>
    <w:rsid w:val="00146951"/>
    <w:rsid w:val="00146AC7"/>
    <w:rsid w:val="00146B44"/>
    <w:rsid w:val="00146EDC"/>
    <w:rsid w:val="0014717F"/>
    <w:rsid w:val="0014728C"/>
    <w:rsid w:val="0014771E"/>
    <w:rsid w:val="0015029D"/>
    <w:rsid w:val="001502A6"/>
    <w:rsid w:val="001506DD"/>
    <w:rsid w:val="001506FF"/>
    <w:rsid w:val="00150916"/>
    <w:rsid w:val="00150B21"/>
    <w:rsid w:val="00150E6E"/>
    <w:rsid w:val="0015110A"/>
    <w:rsid w:val="00151375"/>
    <w:rsid w:val="001516CB"/>
    <w:rsid w:val="0015180B"/>
    <w:rsid w:val="001519CF"/>
    <w:rsid w:val="00151D23"/>
    <w:rsid w:val="00151D80"/>
    <w:rsid w:val="001520B4"/>
    <w:rsid w:val="001522C2"/>
    <w:rsid w:val="00152336"/>
    <w:rsid w:val="00152631"/>
    <w:rsid w:val="001528A4"/>
    <w:rsid w:val="00152E16"/>
    <w:rsid w:val="00153366"/>
    <w:rsid w:val="001535F7"/>
    <w:rsid w:val="0015375D"/>
    <w:rsid w:val="00153982"/>
    <w:rsid w:val="00153AE3"/>
    <w:rsid w:val="00153AEA"/>
    <w:rsid w:val="0015496D"/>
    <w:rsid w:val="001549BC"/>
    <w:rsid w:val="00154A6D"/>
    <w:rsid w:val="00154BEC"/>
    <w:rsid w:val="00154CF5"/>
    <w:rsid w:val="00154DEE"/>
    <w:rsid w:val="00154F18"/>
    <w:rsid w:val="001550CB"/>
    <w:rsid w:val="00155306"/>
    <w:rsid w:val="0015590B"/>
    <w:rsid w:val="00155C49"/>
    <w:rsid w:val="00155CE5"/>
    <w:rsid w:val="00155D62"/>
    <w:rsid w:val="00156024"/>
    <w:rsid w:val="00156302"/>
    <w:rsid w:val="001563FE"/>
    <w:rsid w:val="00156D34"/>
    <w:rsid w:val="001572F3"/>
    <w:rsid w:val="00157690"/>
    <w:rsid w:val="00157B8B"/>
    <w:rsid w:val="00157BE6"/>
    <w:rsid w:val="0016011F"/>
    <w:rsid w:val="00160B13"/>
    <w:rsid w:val="00160B16"/>
    <w:rsid w:val="00160BB9"/>
    <w:rsid w:val="00161275"/>
    <w:rsid w:val="0016133C"/>
    <w:rsid w:val="0016193D"/>
    <w:rsid w:val="001619C7"/>
    <w:rsid w:val="00161E70"/>
    <w:rsid w:val="0016273D"/>
    <w:rsid w:val="001627D4"/>
    <w:rsid w:val="0016299E"/>
    <w:rsid w:val="00162ACA"/>
    <w:rsid w:val="00162EFF"/>
    <w:rsid w:val="0016338D"/>
    <w:rsid w:val="00163450"/>
    <w:rsid w:val="001634C9"/>
    <w:rsid w:val="00163500"/>
    <w:rsid w:val="00164105"/>
    <w:rsid w:val="0016441A"/>
    <w:rsid w:val="001644D0"/>
    <w:rsid w:val="00164612"/>
    <w:rsid w:val="00164816"/>
    <w:rsid w:val="00164DB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840"/>
    <w:rsid w:val="00170CBA"/>
    <w:rsid w:val="001710FA"/>
    <w:rsid w:val="00171211"/>
    <w:rsid w:val="001713EE"/>
    <w:rsid w:val="00171432"/>
    <w:rsid w:val="00171713"/>
    <w:rsid w:val="00171C3A"/>
    <w:rsid w:val="00171C7B"/>
    <w:rsid w:val="00171D2F"/>
    <w:rsid w:val="00171FD8"/>
    <w:rsid w:val="001724A4"/>
    <w:rsid w:val="0017250B"/>
    <w:rsid w:val="00172578"/>
    <w:rsid w:val="001727DA"/>
    <w:rsid w:val="00172809"/>
    <w:rsid w:val="00172A26"/>
    <w:rsid w:val="00172C8B"/>
    <w:rsid w:val="00172D5C"/>
    <w:rsid w:val="00172E95"/>
    <w:rsid w:val="00172F47"/>
    <w:rsid w:val="001730E0"/>
    <w:rsid w:val="00174D1D"/>
    <w:rsid w:val="00174ED2"/>
    <w:rsid w:val="00174FA0"/>
    <w:rsid w:val="0017539D"/>
    <w:rsid w:val="001755BA"/>
    <w:rsid w:val="00175787"/>
    <w:rsid w:val="00175885"/>
    <w:rsid w:val="00175A8B"/>
    <w:rsid w:val="00175FD7"/>
    <w:rsid w:val="001762F1"/>
    <w:rsid w:val="0017675C"/>
    <w:rsid w:val="0017675F"/>
    <w:rsid w:val="00176EB0"/>
    <w:rsid w:val="00176F0A"/>
    <w:rsid w:val="0017706D"/>
    <w:rsid w:val="0017780A"/>
    <w:rsid w:val="0017782A"/>
    <w:rsid w:val="00177E8F"/>
    <w:rsid w:val="00180508"/>
    <w:rsid w:val="00180735"/>
    <w:rsid w:val="00180943"/>
    <w:rsid w:val="001809D7"/>
    <w:rsid w:val="00180D7C"/>
    <w:rsid w:val="00180D8A"/>
    <w:rsid w:val="00180F77"/>
    <w:rsid w:val="001810C5"/>
    <w:rsid w:val="001821A5"/>
    <w:rsid w:val="00182338"/>
    <w:rsid w:val="00182710"/>
    <w:rsid w:val="00183274"/>
    <w:rsid w:val="001833C2"/>
    <w:rsid w:val="00183C00"/>
    <w:rsid w:val="00183F9C"/>
    <w:rsid w:val="00184064"/>
    <w:rsid w:val="0018423B"/>
    <w:rsid w:val="00184565"/>
    <w:rsid w:val="001847E2"/>
    <w:rsid w:val="00184954"/>
    <w:rsid w:val="00184AE3"/>
    <w:rsid w:val="00185199"/>
    <w:rsid w:val="00185228"/>
    <w:rsid w:val="00185519"/>
    <w:rsid w:val="0018564F"/>
    <w:rsid w:val="0018567B"/>
    <w:rsid w:val="00185868"/>
    <w:rsid w:val="00185ACE"/>
    <w:rsid w:val="00185CE2"/>
    <w:rsid w:val="00185D52"/>
    <w:rsid w:val="00186195"/>
    <w:rsid w:val="00186641"/>
    <w:rsid w:val="00186B40"/>
    <w:rsid w:val="00186C08"/>
    <w:rsid w:val="00186EE1"/>
    <w:rsid w:val="00186F26"/>
    <w:rsid w:val="00187310"/>
    <w:rsid w:val="00187BF7"/>
    <w:rsid w:val="001903CC"/>
    <w:rsid w:val="001908D8"/>
    <w:rsid w:val="00190FE5"/>
    <w:rsid w:val="0019115F"/>
    <w:rsid w:val="0019150D"/>
    <w:rsid w:val="0019158F"/>
    <w:rsid w:val="001918C7"/>
    <w:rsid w:val="00191A78"/>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20"/>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D5"/>
    <w:rsid w:val="00196CE2"/>
    <w:rsid w:val="001978E3"/>
    <w:rsid w:val="00197C30"/>
    <w:rsid w:val="00197D42"/>
    <w:rsid w:val="00197DD6"/>
    <w:rsid w:val="001A0165"/>
    <w:rsid w:val="001A09B9"/>
    <w:rsid w:val="001A0D22"/>
    <w:rsid w:val="001A0E87"/>
    <w:rsid w:val="001A0FEB"/>
    <w:rsid w:val="001A1584"/>
    <w:rsid w:val="001A15D5"/>
    <w:rsid w:val="001A1BCE"/>
    <w:rsid w:val="001A1CC7"/>
    <w:rsid w:val="001A26F9"/>
    <w:rsid w:val="001A281A"/>
    <w:rsid w:val="001A2947"/>
    <w:rsid w:val="001A2EB7"/>
    <w:rsid w:val="001A2F52"/>
    <w:rsid w:val="001A32E8"/>
    <w:rsid w:val="001A35E9"/>
    <w:rsid w:val="001A3849"/>
    <w:rsid w:val="001A3BEA"/>
    <w:rsid w:val="001A3D34"/>
    <w:rsid w:val="001A3D67"/>
    <w:rsid w:val="001A4152"/>
    <w:rsid w:val="001A6165"/>
    <w:rsid w:val="001A6576"/>
    <w:rsid w:val="001A65B1"/>
    <w:rsid w:val="001A6A50"/>
    <w:rsid w:val="001A6AB6"/>
    <w:rsid w:val="001A71E4"/>
    <w:rsid w:val="001A721D"/>
    <w:rsid w:val="001A7749"/>
    <w:rsid w:val="001A7983"/>
    <w:rsid w:val="001A7AB7"/>
    <w:rsid w:val="001A7EA5"/>
    <w:rsid w:val="001A7FF1"/>
    <w:rsid w:val="001B028E"/>
    <w:rsid w:val="001B02F8"/>
    <w:rsid w:val="001B03B7"/>
    <w:rsid w:val="001B048D"/>
    <w:rsid w:val="001B0803"/>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3D4A"/>
    <w:rsid w:val="001B4016"/>
    <w:rsid w:val="001B4325"/>
    <w:rsid w:val="001B4514"/>
    <w:rsid w:val="001B45DE"/>
    <w:rsid w:val="001B4CEB"/>
    <w:rsid w:val="001B4D30"/>
    <w:rsid w:val="001B4E8A"/>
    <w:rsid w:val="001B526A"/>
    <w:rsid w:val="001B53FE"/>
    <w:rsid w:val="001B5512"/>
    <w:rsid w:val="001B5696"/>
    <w:rsid w:val="001B634B"/>
    <w:rsid w:val="001B6A1B"/>
    <w:rsid w:val="001B6B37"/>
    <w:rsid w:val="001B6CB3"/>
    <w:rsid w:val="001B6D39"/>
    <w:rsid w:val="001B6E3E"/>
    <w:rsid w:val="001B70B6"/>
    <w:rsid w:val="001B741F"/>
    <w:rsid w:val="001B7630"/>
    <w:rsid w:val="001B7731"/>
    <w:rsid w:val="001B78D0"/>
    <w:rsid w:val="001B7C95"/>
    <w:rsid w:val="001C0329"/>
    <w:rsid w:val="001C05EC"/>
    <w:rsid w:val="001C06C1"/>
    <w:rsid w:val="001C09C2"/>
    <w:rsid w:val="001C0E58"/>
    <w:rsid w:val="001C1508"/>
    <w:rsid w:val="001C1717"/>
    <w:rsid w:val="001C1781"/>
    <w:rsid w:val="001C181A"/>
    <w:rsid w:val="001C1B2B"/>
    <w:rsid w:val="001C1CEC"/>
    <w:rsid w:val="001C1D68"/>
    <w:rsid w:val="001C3018"/>
    <w:rsid w:val="001C311F"/>
    <w:rsid w:val="001C3602"/>
    <w:rsid w:val="001C373E"/>
    <w:rsid w:val="001C398E"/>
    <w:rsid w:val="001C3CE3"/>
    <w:rsid w:val="001C448B"/>
    <w:rsid w:val="001C457D"/>
    <w:rsid w:val="001C48E4"/>
    <w:rsid w:val="001C4A71"/>
    <w:rsid w:val="001C4B2C"/>
    <w:rsid w:val="001C4BD2"/>
    <w:rsid w:val="001C4C36"/>
    <w:rsid w:val="001C4D9D"/>
    <w:rsid w:val="001C4E81"/>
    <w:rsid w:val="001C51BB"/>
    <w:rsid w:val="001C534A"/>
    <w:rsid w:val="001C539A"/>
    <w:rsid w:val="001C5540"/>
    <w:rsid w:val="001C58D3"/>
    <w:rsid w:val="001C5912"/>
    <w:rsid w:val="001C5EB5"/>
    <w:rsid w:val="001C5ECC"/>
    <w:rsid w:val="001C6090"/>
    <w:rsid w:val="001C61C5"/>
    <w:rsid w:val="001C64C1"/>
    <w:rsid w:val="001C66D1"/>
    <w:rsid w:val="001C69C4"/>
    <w:rsid w:val="001C6A71"/>
    <w:rsid w:val="001C6DDE"/>
    <w:rsid w:val="001C74FB"/>
    <w:rsid w:val="001C7709"/>
    <w:rsid w:val="001C7A73"/>
    <w:rsid w:val="001C7B93"/>
    <w:rsid w:val="001C7BC4"/>
    <w:rsid w:val="001C7EFF"/>
    <w:rsid w:val="001D018F"/>
    <w:rsid w:val="001D023B"/>
    <w:rsid w:val="001D0675"/>
    <w:rsid w:val="001D0808"/>
    <w:rsid w:val="001D08C5"/>
    <w:rsid w:val="001D0A72"/>
    <w:rsid w:val="001D0CAA"/>
    <w:rsid w:val="001D0DE0"/>
    <w:rsid w:val="001D0DE1"/>
    <w:rsid w:val="001D0FCD"/>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3E30"/>
    <w:rsid w:val="001D44AA"/>
    <w:rsid w:val="001D4707"/>
    <w:rsid w:val="001D486C"/>
    <w:rsid w:val="001D4967"/>
    <w:rsid w:val="001D4C5C"/>
    <w:rsid w:val="001D4FEC"/>
    <w:rsid w:val="001D67EC"/>
    <w:rsid w:val="001D69E9"/>
    <w:rsid w:val="001D6A3A"/>
    <w:rsid w:val="001D6A62"/>
    <w:rsid w:val="001D6B9B"/>
    <w:rsid w:val="001D6EAB"/>
    <w:rsid w:val="001D7424"/>
    <w:rsid w:val="001D77E6"/>
    <w:rsid w:val="001D7B7E"/>
    <w:rsid w:val="001D7CAF"/>
    <w:rsid w:val="001E01D2"/>
    <w:rsid w:val="001E044D"/>
    <w:rsid w:val="001E0C5D"/>
    <w:rsid w:val="001E11DF"/>
    <w:rsid w:val="001E145E"/>
    <w:rsid w:val="001E14EA"/>
    <w:rsid w:val="001E1778"/>
    <w:rsid w:val="001E1AAE"/>
    <w:rsid w:val="001E1B96"/>
    <w:rsid w:val="001E1C42"/>
    <w:rsid w:val="001E1E6E"/>
    <w:rsid w:val="001E21AC"/>
    <w:rsid w:val="001E25A9"/>
    <w:rsid w:val="001E25FE"/>
    <w:rsid w:val="001E27C9"/>
    <w:rsid w:val="001E28B8"/>
    <w:rsid w:val="001E2B8C"/>
    <w:rsid w:val="001E3245"/>
    <w:rsid w:val="001E3590"/>
    <w:rsid w:val="001E35A4"/>
    <w:rsid w:val="001E3960"/>
    <w:rsid w:val="001E3ABE"/>
    <w:rsid w:val="001E3AF2"/>
    <w:rsid w:val="001E3BC0"/>
    <w:rsid w:val="001E445C"/>
    <w:rsid w:val="001E4D9A"/>
    <w:rsid w:val="001E4FE6"/>
    <w:rsid w:val="001E559C"/>
    <w:rsid w:val="001E5703"/>
    <w:rsid w:val="001E5C82"/>
    <w:rsid w:val="001E5E31"/>
    <w:rsid w:val="001E6067"/>
    <w:rsid w:val="001E683D"/>
    <w:rsid w:val="001E6867"/>
    <w:rsid w:val="001E7407"/>
    <w:rsid w:val="001E7540"/>
    <w:rsid w:val="001E7587"/>
    <w:rsid w:val="001E7D89"/>
    <w:rsid w:val="001E7E4F"/>
    <w:rsid w:val="001E7EFB"/>
    <w:rsid w:val="001F0930"/>
    <w:rsid w:val="001F0B94"/>
    <w:rsid w:val="001F103A"/>
    <w:rsid w:val="001F117D"/>
    <w:rsid w:val="001F12F0"/>
    <w:rsid w:val="001F14C6"/>
    <w:rsid w:val="001F159D"/>
    <w:rsid w:val="001F1BDE"/>
    <w:rsid w:val="001F1EED"/>
    <w:rsid w:val="001F1F0B"/>
    <w:rsid w:val="001F20C8"/>
    <w:rsid w:val="001F269A"/>
    <w:rsid w:val="001F2A4C"/>
    <w:rsid w:val="001F2A85"/>
    <w:rsid w:val="001F2B57"/>
    <w:rsid w:val="001F311A"/>
    <w:rsid w:val="001F333D"/>
    <w:rsid w:val="001F344F"/>
    <w:rsid w:val="001F35A7"/>
    <w:rsid w:val="001F3815"/>
    <w:rsid w:val="001F3A59"/>
    <w:rsid w:val="001F3ABD"/>
    <w:rsid w:val="001F3E52"/>
    <w:rsid w:val="001F3F96"/>
    <w:rsid w:val="001F5289"/>
    <w:rsid w:val="001F5579"/>
    <w:rsid w:val="001F5649"/>
    <w:rsid w:val="001F5979"/>
    <w:rsid w:val="001F59B3"/>
    <w:rsid w:val="001F59BC"/>
    <w:rsid w:val="001F5D5C"/>
    <w:rsid w:val="001F5D5E"/>
    <w:rsid w:val="001F5E61"/>
    <w:rsid w:val="001F5E62"/>
    <w:rsid w:val="001F5E67"/>
    <w:rsid w:val="001F6219"/>
    <w:rsid w:val="001F68ED"/>
    <w:rsid w:val="001F6C3D"/>
    <w:rsid w:val="001F6CD4"/>
    <w:rsid w:val="001F6FDC"/>
    <w:rsid w:val="001F7238"/>
    <w:rsid w:val="001F78BF"/>
    <w:rsid w:val="001F7A49"/>
    <w:rsid w:val="001F7AF2"/>
    <w:rsid w:val="001F7D9B"/>
    <w:rsid w:val="002001A3"/>
    <w:rsid w:val="0020066B"/>
    <w:rsid w:val="0020092B"/>
    <w:rsid w:val="00200C37"/>
    <w:rsid w:val="00200F2E"/>
    <w:rsid w:val="00200FF9"/>
    <w:rsid w:val="00201272"/>
    <w:rsid w:val="0020203C"/>
    <w:rsid w:val="00202719"/>
    <w:rsid w:val="00202795"/>
    <w:rsid w:val="00202F70"/>
    <w:rsid w:val="002031CB"/>
    <w:rsid w:val="0020424A"/>
    <w:rsid w:val="00204303"/>
    <w:rsid w:val="002044A8"/>
    <w:rsid w:val="00205596"/>
    <w:rsid w:val="00205980"/>
    <w:rsid w:val="002060BB"/>
    <w:rsid w:val="002069FE"/>
    <w:rsid w:val="00206A82"/>
    <w:rsid w:val="00206C4D"/>
    <w:rsid w:val="0020728C"/>
    <w:rsid w:val="002073CE"/>
    <w:rsid w:val="0020760D"/>
    <w:rsid w:val="00207649"/>
    <w:rsid w:val="0020785A"/>
    <w:rsid w:val="0020795A"/>
    <w:rsid w:val="00207D26"/>
    <w:rsid w:val="00207D74"/>
    <w:rsid w:val="00207ED8"/>
    <w:rsid w:val="002101C2"/>
    <w:rsid w:val="00210294"/>
    <w:rsid w:val="002103C5"/>
    <w:rsid w:val="00210486"/>
    <w:rsid w:val="00210596"/>
    <w:rsid w:val="00210B44"/>
    <w:rsid w:val="00210D11"/>
    <w:rsid w:val="00211092"/>
    <w:rsid w:val="00211160"/>
    <w:rsid w:val="002112B0"/>
    <w:rsid w:val="00211594"/>
    <w:rsid w:val="0021167D"/>
    <w:rsid w:val="00211A38"/>
    <w:rsid w:val="00211A6D"/>
    <w:rsid w:val="00211C35"/>
    <w:rsid w:val="00211D0D"/>
    <w:rsid w:val="00211D0E"/>
    <w:rsid w:val="00212323"/>
    <w:rsid w:val="00212356"/>
    <w:rsid w:val="0021298F"/>
    <w:rsid w:val="00212CC8"/>
    <w:rsid w:val="00212D1A"/>
    <w:rsid w:val="0021331B"/>
    <w:rsid w:val="0021410C"/>
    <w:rsid w:val="00214980"/>
    <w:rsid w:val="00214B48"/>
    <w:rsid w:val="00215104"/>
    <w:rsid w:val="002151B2"/>
    <w:rsid w:val="002155A0"/>
    <w:rsid w:val="00215AF1"/>
    <w:rsid w:val="0021619A"/>
    <w:rsid w:val="002161F4"/>
    <w:rsid w:val="00216285"/>
    <w:rsid w:val="002167B8"/>
    <w:rsid w:val="00216B39"/>
    <w:rsid w:val="00216C26"/>
    <w:rsid w:val="00216D0F"/>
    <w:rsid w:val="00216F31"/>
    <w:rsid w:val="002171A4"/>
    <w:rsid w:val="002173BD"/>
    <w:rsid w:val="00217436"/>
    <w:rsid w:val="00217506"/>
    <w:rsid w:val="00217CAF"/>
    <w:rsid w:val="00217D7A"/>
    <w:rsid w:val="00217D9E"/>
    <w:rsid w:val="0022022D"/>
    <w:rsid w:val="00220C33"/>
    <w:rsid w:val="00220C3F"/>
    <w:rsid w:val="00221010"/>
    <w:rsid w:val="00221333"/>
    <w:rsid w:val="0022140D"/>
    <w:rsid w:val="00221553"/>
    <w:rsid w:val="002215CF"/>
    <w:rsid w:val="0022182A"/>
    <w:rsid w:val="002219AA"/>
    <w:rsid w:val="00221C2F"/>
    <w:rsid w:val="00221C72"/>
    <w:rsid w:val="00221D1A"/>
    <w:rsid w:val="00221D75"/>
    <w:rsid w:val="00221FE2"/>
    <w:rsid w:val="0022224A"/>
    <w:rsid w:val="00222743"/>
    <w:rsid w:val="00222B1E"/>
    <w:rsid w:val="00222E2E"/>
    <w:rsid w:val="00222E38"/>
    <w:rsid w:val="00222FCC"/>
    <w:rsid w:val="00223414"/>
    <w:rsid w:val="002236B9"/>
    <w:rsid w:val="0022416C"/>
    <w:rsid w:val="00224A2D"/>
    <w:rsid w:val="00224CE7"/>
    <w:rsid w:val="00224DCE"/>
    <w:rsid w:val="00224E0A"/>
    <w:rsid w:val="002251A3"/>
    <w:rsid w:val="002252F1"/>
    <w:rsid w:val="0022537A"/>
    <w:rsid w:val="00225432"/>
    <w:rsid w:val="00225545"/>
    <w:rsid w:val="00225A28"/>
    <w:rsid w:val="00225CA4"/>
    <w:rsid w:val="002262B9"/>
    <w:rsid w:val="002302DD"/>
    <w:rsid w:val="0023036E"/>
    <w:rsid w:val="00230426"/>
    <w:rsid w:val="002305DD"/>
    <w:rsid w:val="00230B99"/>
    <w:rsid w:val="00230C9B"/>
    <w:rsid w:val="00231FB4"/>
    <w:rsid w:val="002321E8"/>
    <w:rsid w:val="00232984"/>
    <w:rsid w:val="00232AE4"/>
    <w:rsid w:val="00232E32"/>
    <w:rsid w:val="002330B4"/>
    <w:rsid w:val="0023407B"/>
    <w:rsid w:val="002352F7"/>
    <w:rsid w:val="0023590D"/>
    <w:rsid w:val="00235AAE"/>
    <w:rsid w:val="00235E51"/>
    <w:rsid w:val="0023602C"/>
    <w:rsid w:val="002360DD"/>
    <w:rsid w:val="00236196"/>
    <w:rsid w:val="002361C6"/>
    <w:rsid w:val="00236581"/>
    <w:rsid w:val="002366D6"/>
    <w:rsid w:val="00236A9D"/>
    <w:rsid w:val="00236CA3"/>
    <w:rsid w:val="002372C7"/>
    <w:rsid w:val="00237311"/>
    <w:rsid w:val="0023731A"/>
    <w:rsid w:val="002373B6"/>
    <w:rsid w:val="00237777"/>
    <w:rsid w:val="00237905"/>
    <w:rsid w:val="00237EB8"/>
    <w:rsid w:val="0024010F"/>
    <w:rsid w:val="00240349"/>
    <w:rsid w:val="00240363"/>
    <w:rsid w:val="002403AE"/>
    <w:rsid w:val="0024067B"/>
    <w:rsid w:val="00240749"/>
    <w:rsid w:val="002408DD"/>
    <w:rsid w:val="002409CC"/>
    <w:rsid w:val="0024162E"/>
    <w:rsid w:val="00242104"/>
    <w:rsid w:val="00242663"/>
    <w:rsid w:val="00242924"/>
    <w:rsid w:val="00242B7B"/>
    <w:rsid w:val="00242CE2"/>
    <w:rsid w:val="00242F40"/>
    <w:rsid w:val="00242FB9"/>
    <w:rsid w:val="00242FF5"/>
    <w:rsid w:val="00242FF7"/>
    <w:rsid w:val="00243018"/>
    <w:rsid w:val="002434CA"/>
    <w:rsid w:val="0024357D"/>
    <w:rsid w:val="00243B2C"/>
    <w:rsid w:val="002445E3"/>
    <w:rsid w:val="002446B4"/>
    <w:rsid w:val="00244AF6"/>
    <w:rsid w:val="00245257"/>
    <w:rsid w:val="00245EED"/>
    <w:rsid w:val="00246275"/>
    <w:rsid w:val="0024647B"/>
    <w:rsid w:val="00246591"/>
    <w:rsid w:val="0024660A"/>
    <w:rsid w:val="00246676"/>
    <w:rsid w:val="00246E07"/>
    <w:rsid w:val="002474F7"/>
    <w:rsid w:val="002477B9"/>
    <w:rsid w:val="00247804"/>
    <w:rsid w:val="002500D1"/>
    <w:rsid w:val="002502BC"/>
    <w:rsid w:val="002502DE"/>
    <w:rsid w:val="00250430"/>
    <w:rsid w:val="002509B4"/>
    <w:rsid w:val="002509CC"/>
    <w:rsid w:val="00250B4B"/>
    <w:rsid w:val="0025160F"/>
    <w:rsid w:val="002517D6"/>
    <w:rsid w:val="00251B58"/>
    <w:rsid w:val="00251E52"/>
    <w:rsid w:val="00251E53"/>
    <w:rsid w:val="0025308C"/>
    <w:rsid w:val="002530A9"/>
    <w:rsid w:val="0025312A"/>
    <w:rsid w:val="00253265"/>
    <w:rsid w:val="00253471"/>
    <w:rsid w:val="00253770"/>
    <w:rsid w:val="00253B41"/>
    <w:rsid w:val="00253BED"/>
    <w:rsid w:val="00253E59"/>
    <w:rsid w:val="002540E7"/>
    <w:rsid w:val="00254311"/>
    <w:rsid w:val="00254416"/>
    <w:rsid w:val="002544BC"/>
    <w:rsid w:val="002544DA"/>
    <w:rsid w:val="00254979"/>
    <w:rsid w:val="00254BA9"/>
    <w:rsid w:val="00254EFF"/>
    <w:rsid w:val="00254F1A"/>
    <w:rsid w:val="00255137"/>
    <w:rsid w:val="00255159"/>
    <w:rsid w:val="0025532F"/>
    <w:rsid w:val="00255408"/>
    <w:rsid w:val="00255566"/>
    <w:rsid w:val="0025578C"/>
    <w:rsid w:val="00255D01"/>
    <w:rsid w:val="002564A4"/>
    <w:rsid w:val="002564D1"/>
    <w:rsid w:val="002565CA"/>
    <w:rsid w:val="00256A06"/>
    <w:rsid w:val="00256C5F"/>
    <w:rsid w:val="00257036"/>
    <w:rsid w:val="0025748E"/>
    <w:rsid w:val="002577A1"/>
    <w:rsid w:val="00257D8B"/>
    <w:rsid w:val="002600A5"/>
    <w:rsid w:val="002604A7"/>
    <w:rsid w:val="0026055F"/>
    <w:rsid w:val="00260A76"/>
    <w:rsid w:val="00260C8A"/>
    <w:rsid w:val="00260ECE"/>
    <w:rsid w:val="002611C3"/>
    <w:rsid w:val="002612AF"/>
    <w:rsid w:val="00261371"/>
    <w:rsid w:val="002615DC"/>
    <w:rsid w:val="00261F06"/>
    <w:rsid w:val="00262326"/>
    <w:rsid w:val="0026236C"/>
    <w:rsid w:val="00262793"/>
    <w:rsid w:val="0026286F"/>
    <w:rsid w:val="00262B2B"/>
    <w:rsid w:val="002634DD"/>
    <w:rsid w:val="002635C1"/>
    <w:rsid w:val="002635C6"/>
    <w:rsid w:val="002638B3"/>
    <w:rsid w:val="00263BAA"/>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0C20"/>
    <w:rsid w:val="00270E54"/>
    <w:rsid w:val="00270F08"/>
    <w:rsid w:val="00271148"/>
    <w:rsid w:val="00271668"/>
    <w:rsid w:val="002716E8"/>
    <w:rsid w:val="002718F9"/>
    <w:rsid w:val="00271A63"/>
    <w:rsid w:val="0027200B"/>
    <w:rsid w:val="002724BA"/>
    <w:rsid w:val="002726DC"/>
    <w:rsid w:val="00272FAB"/>
    <w:rsid w:val="002736B6"/>
    <w:rsid w:val="00273EA8"/>
    <w:rsid w:val="00273ECC"/>
    <w:rsid w:val="002742EC"/>
    <w:rsid w:val="0027433C"/>
    <w:rsid w:val="00274499"/>
    <w:rsid w:val="002748C2"/>
    <w:rsid w:val="00274BAF"/>
    <w:rsid w:val="00274F64"/>
    <w:rsid w:val="002756E4"/>
    <w:rsid w:val="002758C6"/>
    <w:rsid w:val="00275DC4"/>
    <w:rsid w:val="002764B5"/>
    <w:rsid w:val="002765D5"/>
    <w:rsid w:val="002766E7"/>
    <w:rsid w:val="00276AA7"/>
    <w:rsid w:val="00276C3E"/>
    <w:rsid w:val="00277660"/>
    <w:rsid w:val="0027768E"/>
    <w:rsid w:val="002776AF"/>
    <w:rsid w:val="00277DF4"/>
    <w:rsid w:val="00280382"/>
    <w:rsid w:val="002803AD"/>
    <w:rsid w:val="00280588"/>
    <w:rsid w:val="00280849"/>
    <w:rsid w:val="00280A7A"/>
    <w:rsid w:val="00280B84"/>
    <w:rsid w:val="00281001"/>
    <w:rsid w:val="00281308"/>
    <w:rsid w:val="002816DB"/>
    <w:rsid w:val="00281C28"/>
    <w:rsid w:val="002820A1"/>
    <w:rsid w:val="002821AF"/>
    <w:rsid w:val="00282894"/>
    <w:rsid w:val="00283023"/>
    <w:rsid w:val="00283106"/>
    <w:rsid w:val="00283AD4"/>
    <w:rsid w:val="00284109"/>
    <w:rsid w:val="002842B4"/>
    <w:rsid w:val="0028462A"/>
    <w:rsid w:val="00284719"/>
    <w:rsid w:val="00284D19"/>
    <w:rsid w:val="0028501E"/>
    <w:rsid w:val="00285BFF"/>
    <w:rsid w:val="00285DA3"/>
    <w:rsid w:val="00285FD4"/>
    <w:rsid w:val="00286281"/>
    <w:rsid w:val="00286309"/>
    <w:rsid w:val="0028679F"/>
    <w:rsid w:val="00286AC1"/>
    <w:rsid w:val="00286ACF"/>
    <w:rsid w:val="002874D2"/>
    <w:rsid w:val="00287980"/>
    <w:rsid w:val="00290368"/>
    <w:rsid w:val="0029077D"/>
    <w:rsid w:val="0029097F"/>
    <w:rsid w:val="00290E13"/>
    <w:rsid w:val="00290E55"/>
    <w:rsid w:val="00290F64"/>
    <w:rsid w:val="002910AC"/>
    <w:rsid w:val="00291723"/>
    <w:rsid w:val="0029193C"/>
    <w:rsid w:val="00291A40"/>
    <w:rsid w:val="00291F73"/>
    <w:rsid w:val="0029229C"/>
    <w:rsid w:val="0029293B"/>
    <w:rsid w:val="0029298B"/>
    <w:rsid w:val="00292CA7"/>
    <w:rsid w:val="00292F3D"/>
    <w:rsid w:val="00293601"/>
    <w:rsid w:val="002936B4"/>
    <w:rsid w:val="00293CD1"/>
    <w:rsid w:val="0029435F"/>
    <w:rsid w:val="00294510"/>
    <w:rsid w:val="0029467A"/>
    <w:rsid w:val="002947C5"/>
    <w:rsid w:val="0029486E"/>
    <w:rsid w:val="00294BA5"/>
    <w:rsid w:val="00295038"/>
    <w:rsid w:val="002951A5"/>
    <w:rsid w:val="002952A9"/>
    <w:rsid w:val="00295552"/>
    <w:rsid w:val="00295D9E"/>
    <w:rsid w:val="00295E1F"/>
    <w:rsid w:val="002961B2"/>
    <w:rsid w:val="0029625B"/>
    <w:rsid w:val="00296333"/>
    <w:rsid w:val="00296470"/>
    <w:rsid w:val="002965C9"/>
    <w:rsid w:val="002967BB"/>
    <w:rsid w:val="00296B5D"/>
    <w:rsid w:val="00296C9B"/>
    <w:rsid w:val="00297088"/>
    <w:rsid w:val="0029723C"/>
    <w:rsid w:val="00297ECB"/>
    <w:rsid w:val="00297FE5"/>
    <w:rsid w:val="002A0075"/>
    <w:rsid w:val="002A013A"/>
    <w:rsid w:val="002A0156"/>
    <w:rsid w:val="002A0D32"/>
    <w:rsid w:val="002A0E86"/>
    <w:rsid w:val="002A1460"/>
    <w:rsid w:val="002A1B31"/>
    <w:rsid w:val="002A1F19"/>
    <w:rsid w:val="002A204D"/>
    <w:rsid w:val="002A21E2"/>
    <w:rsid w:val="002A2C82"/>
    <w:rsid w:val="002A2CAE"/>
    <w:rsid w:val="002A2F6F"/>
    <w:rsid w:val="002A35C1"/>
    <w:rsid w:val="002A3F2E"/>
    <w:rsid w:val="002A4087"/>
    <w:rsid w:val="002A414C"/>
    <w:rsid w:val="002A45A2"/>
    <w:rsid w:val="002A46E0"/>
    <w:rsid w:val="002A5A6F"/>
    <w:rsid w:val="002A5DC7"/>
    <w:rsid w:val="002A6422"/>
    <w:rsid w:val="002A6CF1"/>
    <w:rsid w:val="002A70B7"/>
    <w:rsid w:val="002A781A"/>
    <w:rsid w:val="002A7A10"/>
    <w:rsid w:val="002A7AD2"/>
    <w:rsid w:val="002A7BCF"/>
    <w:rsid w:val="002A7D1E"/>
    <w:rsid w:val="002A7E72"/>
    <w:rsid w:val="002B0295"/>
    <w:rsid w:val="002B02CC"/>
    <w:rsid w:val="002B0595"/>
    <w:rsid w:val="002B0B56"/>
    <w:rsid w:val="002B1144"/>
    <w:rsid w:val="002B120D"/>
    <w:rsid w:val="002B14B3"/>
    <w:rsid w:val="002B173E"/>
    <w:rsid w:val="002B1E32"/>
    <w:rsid w:val="002B1F6C"/>
    <w:rsid w:val="002B25A2"/>
    <w:rsid w:val="002B25F4"/>
    <w:rsid w:val="002B2CA6"/>
    <w:rsid w:val="002B3038"/>
    <w:rsid w:val="002B33D5"/>
    <w:rsid w:val="002B39AF"/>
    <w:rsid w:val="002B3A6F"/>
    <w:rsid w:val="002B4AC0"/>
    <w:rsid w:val="002B4B4C"/>
    <w:rsid w:val="002B5119"/>
    <w:rsid w:val="002B5A74"/>
    <w:rsid w:val="002B5A91"/>
    <w:rsid w:val="002B6E64"/>
    <w:rsid w:val="002B6EC2"/>
    <w:rsid w:val="002B724C"/>
    <w:rsid w:val="002B7525"/>
    <w:rsid w:val="002B76FA"/>
    <w:rsid w:val="002B79F0"/>
    <w:rsid w:val="002B7AAE"/>
    <w:rsid w:val="002C0779"/>
    <w:rsid w:val="002C09F3"/>
    <w:rsid w:val="002C0AD5"/>
    <w:rsid w:val="002C0E08"/>
    <w:rsid w:val="002C1110"/>
    <w:rsid w:val="002C196B"/>
    <w:rsid w:val="002C1EBA"/>
    <w:rsid w:val="002C23C2"/>
    <w:rsid w:val="002C261A"/>
    <w:rsid w:val="002C283B"/>
    <w:rsid w:val="002C2B54"/>
    <w:rsid w:val="002C2BE3"/>
    <w:rsid w:val="002C2F54"/>
    <w:rsid w:val="002C2F62"/>
    <w:rsid w:val="002C2FCE"/>
    <w:rsid w:val="002C31FA"/>
    <w:rsid w:val="002C3297"/>
    <w:rsid w:val="002C32C8"/>
    <w:rsid w:val="002C3483"/>
    <w:rsid w:val="002C34FA"/>
    <w:rsid w:val="002C3C4A"/>
    <w:rsid w:val="002C3FD1"/>
    <w:rsid w:val="002C4111"/>
    <w:rsid w:val="002C441E"/>
    <w:rsid w:val="002C46DF"/>
    <w:rsid w:val="002C49A4"/>
    <w:rsid w:val="002C4ADB"/>
    <w:rsid w:val="002C4F1C"/>
    <w:rsid w:val="002C5451"/>
    <w:rsid w:val="002C5812"/>
    <w:rsid w:val="002C58B2"/>
    <w:rsid w:val="002C58B6"/>
    <w:rsid w:val="002C5B29"/>
    <w:rsid w:val="002C5D42"/>
    <w:rsid w:val="002C5E90"/>
    <w:rsid w:val="002C6527"/>
    <w:rsid w:val="002C6618"/>
    <w:rsid w:val="002C68B3"/>
    <w:rsid w:val="002C68D7"/>
    <w:rsid w:val="002C6E79"/>
    <w:rsid w:val="002C71EE"/>
    <w:rsid w:val="002C75BE"/>
    <w:rsid w:val="002C78AE"/>
    <w:rsid w:val="002C7AA0"/>
    <w:rsid w:val="002C7DAB"/>
    <w:rsid w:val="002D010F"/>
    <w:rsid w:val="002D043A"/>
    <w:rsid w:val="002D051D"/>
    <w:rsid w:val="002D0AEB"/>
    <w:rsid w:val="002D0F2F"/>
    <w:rsid w:val="002D1058"/>
    <w:rsid w:val="002D13EA"/>
    <w:rsid w:val="002D1680"/>
    <w:rsid w:val="002D1A2A"/>
    <w:rsid w:val="002D1BF1"/>
    <w:rsid w:val="002D21EE"/>
    <w:rsid w:val="002D266B"/>
    <w:rsid w:val="002D29FF"/>
    <w:rsid w:val="002D2EEC"/>
    <w:rsid w:val="002D3183"/>
    <w:rsid w:val="002D3298"/>
    <w:rsid w:val="002D352A"/>
    <w:rsid w:val="002D36B4"/>
    <w:rsid w:val="002D3886"/>
    <w:rsid w:val="002D3A67"/>
    <w:rsid w:val="002D3FCA"/>
    <w:rsid w:val="002D4723"/>
    <w:rsid w:val="002D4A2F"/>
    <w:rsid w:val="002D4E0B"/>
    <w:rsid w:val="002D4F23"/>
    <w:rsid w:val="002D506A"/>
    <w:rsid w:val="002D51A1"/>
    <w:rsid w:val="002D523D"/>
    <w:rsid w:val="002D528F"/>
    <w:rsid w:val="002D52BA"/>
    <w:rsid w:val="002D5C5B"/>
    <w:rsid w:val="002D5EFB"/>
    <w:rsid w:val="002D6224"/>
    <w:rsid w:val="002D6A4D"/>
    <w:rsid w:val="002D6FD2"/>
    <w:rsid w:val="002D7065"/>
    <w:rsid w:val="002D72CD"/>
    <w:rsid w:val="002D7374"/>
    <w:rsid w:val="002D75F1"/>
    <w:rsid w:val="002D7874"/>
    <w:rsid w:val="002D7C0A"/>
    <w:rsid w:val="002D7C31"/>
    <w:rsid w:val="002D7CE8"/>
    <w:rsid w:val="002D7D20"/>
    <w:rsid w:val="002E023C"/>
    <w:rsid w:val="002E0905"/>
    <w:rsid w:val="002E0E5B"/>
    <w:rsid w:val="002E1052"/>
    <w:rsid w:val="002E11F3"/>
    <w:rsid w:val="002E1363"/>
    <w:rsid w:val="002E153F"/>
    <w:rsid w:val="002E1562"/>
    <w:rsid w:val="002E1656"/>
    <w:rsid w:val="002E1744"/>
    <w:rsid w:val="002E1818"/>
    <w:rsid w:val="002E19CC"/>
    <w:rsid w:val="002E1C9A"/>
    <w:rsid w:val="002E1D02"/>
    <w:rsid w:val="002E2072"/>
    <w:rsid w:val="002E2401"/>
    <w:rsid w:val="002E2610"/>
    <w:rsid w:val="002E2724"/>
    <w:rsid w:val="002E2D2E"/>
    <w:rsid w:val="002E2E20"/>
    <w:rsid w:val="002E2E6F"/>
    <w:rsid w:val="002E3635"/>
    <w:rsid w:val="002E38D5"/>
    <w:rsid w:val="002E39E3"/>
    <w:rsid w:val="002E3E16"/>
    <w:rsid w:val="002E3E9F"/>
    <w:rsid w:val="002E3FFD"/>
    <w:rsid w:val="002E4917"/>
    <w:rsid w:val="002E4C68"/>
    <w:rsid w:val="002E5772"/>
    <w:rsid w:val="002E5C56"/>
    <w:rsid w:val="002E60A5"/>
    <w:rsid w:val="002E6A17"/>
    <w:rsid w:val="002E6B27"/>
    <w:rsid w:val="002E6BE7"/>
    <w:rsid w:val="002E7573"/>
    <w:rsid w:val="002E79AF"/>
    <w:rsid w:val="002E7A58"/>
    <w:rsid w:val="002E7A71"/>
    <w:rsid w:val="002E7EED"/>
    <w:rsid w:val="002E7F4D"/>
    <w:rsid w:val="002F0161"/>
    <w:rsid w:val="002F085B"/>
    <w:rsid w:val="002F0926"/>
    <w:rsid w:val="002F0B72"/>
    <w:rsid w:val="002F0C7E"/>
    <w:rsid w:val="002F0FF8"/>
    <w:rsid w:val="002F128A"/>
    <w:rsid w:val="002F12FC"/>
    <w:rsid w:val="002F1B0D"/>
    <w:rsid w:val="002F1B0F"/>
    <w:rsid w:val="002F1C28"/>
    <w:rsid w:val="002F1DB8"/>
    <w:rsid w:val="002F2110"/>
    <w:rsid w:val="002F2507"/>
    <w:rsid w:val="002F268D"/>
    <w:rsid w:val="002F27D4"/>
    <w:rsid w:val="002F2E8E"/>
    <w:rsid w:val="002F2F97"/>
    <w:rsid w:val="002F2FB9"/>
    <w:rsid w:val="002F302F"/>
    <w:rsid w:val="002F3103"/>
    <w:rsid w:val="002F3698"/>
    <w:rsid w:val="002F3A4F"/>
    <w:rsid w:val="002F3A6B"/>
    <w:rsid w:val="002F3E06"/>
    <w:rsid w:val="002F423A"/>
    <w:rsid w:val="002F429D"/>
    <w:rsid w:val="002F4A22"/>
    <w:rsid w:val="002F4E6F"/>
    <w:rsid w:val="002F5147"/>
    <w:rsid w:val="002F54F7"/>
    <w:rsid w:val="002F55FA"/>
    <w:rsid w:val="002F56FB"/>
    <w:rsid w:val="002F570D"/>
    <w:rsid w:val="002F5BC4"/>
    <w:rsid w:val="002F63AE"/>
    <w:rsid w:val="002F6EB6"/>
    <w:rsid w:val="003000B4"/>
    <w:rsid w:val="00300194"/>
    <w:rsid w:val="00300F29"/>
    <w:rsid w:val="00301141"/>
    <w:rsid w:val="00301291"/>
    <w:rsid w:val="00301674"/>
    <w:rsid w:val="00301CE1"/>
    <w:rsid w:val="0030201A"/>
    <w:rsid w:val="003020A5"/>
    <w:rsid w:val="00302424"/>
    <w:rsid w:val="0030318C"/>
    <w:rsid w:val="0030345A"/>
    <w:rsid w:val="00303990"/>
    <w:rsid w:val="003039C2"/>
    <w:rsid w:val="003039CD"/>
    <w:rsid w:val="00303C86"/>
    <w:rsid w:val="003041BA"/>
    <w:rsid w:val="003041C7"/>
    <w:rsid w:val="00304623"/>
    <w:rsid w:val="00304CE9"/>
    <w:rsid w:val="00304F8B"/>
    <w:rsid w:val="003054FA"/>
    <w:rsid w:val="00305637"/>
    <w:rsid w:val="00305C50"/>
    <w:rsid w:val="00305E64"/>
    <w:rsid w:val="0030621E"/>
    <w:rsid w:val="00306B9B"/>
    <w:rsid w:val="00306F9F"/>
    <w:rsid w:val="00306FEF"/>
    <w:rsid w:val="0030732C"/>
    <w:rsid w:val="00307784"/>
    <w:rsid w:val="00310BFB"/>
    <w:rsid w:val="003114E0"/>
    <w:rsid w:val="003115F4"/>
    <w:rsid w:val="00312239"/>
    <w:rsid w:val="0031291C"/>
    <w:rsid w:val="003129A8"/>
    <w:rsid w:val="00312F89"/>
    <w:rsid w:val="003131E1"/>
    <w:rsid w:val="00313603"/>
    <w:rsid w:val="00313743"/>
    <w:rsid w:val="00313758"/>
    <w:rsid w:val="003141F4"/>
    <w:rsid w:val="00314493"/>
    <w:rsid w:val="003145EA"/>
    <w:rsid w:val="00314A6A"/>
    <w:rsid w:val="0031509B"/>
    <w:rsid w:val="00315121"/>
    <w:rsid w:val="00315523"/>
    <w:rsid w:val="00315DCB"/>
    <w:rsid w:val="00315EB5"/>
    <w:rsid w:val="0031654F"/>
    <w:rsid w:val="003167ED"/>
    <w:rsid w:val="003168E6"/>
    <w:rsid w:val="00316D93"/>
    <w:rsid w:val="00316DEB"/>
    <w:rsid w:val="003170A8"/>
    <w:rsid w:val="00317214"/>
    <w:rsid w:val="00317A95"/>
    <w:rsid w:val="00317BD4"/>
    <w:rsid w:val="00317C2B"/>
    <w:rsid w:val="00320294"/>
    <w:rsid w:val="00320694"/>
    <w:rsid w:val="0032074B"/>
    <w:rsid w:val="003207D6"/>
    <w:rsid w:val="00321252"/>
    <w:rsid w:val="00321373"/>
    <w:rsid w:val="0032137E"/>
    <w:rsid w:val="0032151F"/>
    <w:rsid w:val="00321E64"/>
    <w:rsid w:val="003220DD"/>
    <w:rsid w:val="00322188"/>
    <w:rsid w:val="003223FF"/>
    <w:rsid w:val="003228B1"/>
    <w:rsid w:val="00323042"/>
    <w:rsid w:val="00323337"/>
    <w:rsid w:val="00323385"/>
    <w:rsid w:val="00323A9B"/>
    <w:rsid w:val="00323D98"/>
    <w:rsid w:val="003240AA"/>
    <w:rsid w:val="0032415A"/>
    <w:rsid w:val="003243BF"/>
    <w:rsid w:val="00324B9F"/>
    <w:rsid w:val="00324CAC"/>
    <w:rsid w:val="00324D32"/>
    <w:rsid w:val="00324D67"/>
    <w:rsid w:val="00324FB2"/>
    <w:rsid w:val="0032505D"/>
    <w:rsid w:val="003250A8"/>
    <w:rsid w:val="003250FB"/>
    <w:rsid w:val="00325DB2"/>
    <w:rsid w:val="00325F72"/>
    <w:rsid w:val="00326433"/>
    <w:rsid w:val="003267AB"/>
    <w:rsid w:val="00326CD3"/>
    <w:rsid w:val="0032708E"/>
    <w:rsid w:val="00327148"/>
    <w:rsid w:val="00327154"/>
    <w:rsid w:val="00327174"/>
    <w:rsid w:val="00327476"/>
    <w:rsid w:val="00327733"/>
    <w:rsid w:val="00327A16"/>
    <w:rsid w:val="00327C0B"/>
    <w:rsid w:val="00327C10"/>
    <w:rsid w:val="00327F63"/>
    <w:rsid w:val="00330130"/>
    <w:rsid w:val="003304D5"/>
    <w:rsid w:val="003305B6"/>
    <w:rsid w:val="00330A1F"/>
    <w:rsid w:val="00330E73"/>
    <w:rsid w:val="00330F5C"/>
    <w:rsid w:val="003311DD"/>
    <w:rsid w:val="003323EF"/>
    <w:rsid w:val="0033242B"/>
    <w:rsid w:val="003328AD"/>
    <w:rsid w:val="00332D83"/>
    <w:rsid w:val="00333162"/>
    <w:rsid w:val="0033380C"/>
    <w:rsid w:val="00333B21"/>
    <w:rsid w:val="00333BC6"/>
    <w:rsid w:val="00333C71"/>
    <w:rsid w:val="00333E36"/>
    <w:rsid w:val="00334784"/>
    <w:rsid w:val="003348D7"/>
    <w:rsid w:val="003353DE"/>
    <w:rsid w:val="003353E7"/>
    <w:rsid w:val="00335560"/>
    <w:rsid w:val="003358C0"/>
    <w:rsid w:val="00335A5D"/>
    <w:rsid w:val="00335BC6"/>
    <w:rsid w:val="00335DE9"/>
    <w:rsid w:val="00335EE5"/>
    <w:rsid w:val="003367E7"/>
    <w:rsid w:val="00336940"/>
    <w:rsid w:val="00336AE5"/>
    <w:rsid w:val="00336F3E"/>
    <w:rsid w:val="00336F9F"/>
    <w:rsid w:val="00336FEB"/>
    <w:rsid w:val="0033730D"/>
    <w:rsid w:val="003374A3"/>
    <w:rsid w:val="00337632"/>
    <w:rsid w:val="00337787"/>
    <w:rsid w:val="00337A14"/>
    <w:rsid w:val="003400D3"/>
    <w:rsid w:val="00340744"/>
    <w:rsid w:val="00340B78"/>
    <w:rsid w:val="003415D3"/>
    <w:rsid w:val="00341850"/>
    <w:rsid w:val="0034193D"/>
    <w:rsid w:val="00341A26"/>
    <w:rsid w:val="00341FF6"/>
    <w:rsid w:val="00342F02"/>
    <w:rsid w:val="003434B2"/>
    <w:rsid w:val="003434D5"/>
    <w:rsid w:val="0034359F"/>
    <w:rsid w:val="003436BE"/>
    <w:rsid w:val="0034383A"/>
    <w:rsid w:val="00344237"/>
    <w:rsid w:val="00344294"/>
    <w:rsid w:val="003442BD"/>
    <w:rsid w:val="00344338"/>
    <w:rsid w:val="00344701"/>
    <w:rsid w:val="00344716"/>
    <w:rsid w:val="0034500F"/>
    <w:rsid w:val="003454F4"/>
    <w:rsid w:val="00345D7F"/>
    <w:rsid w:val="00345FE5"/>
    <w:rsid w:val="00346026"/>
    <w:rsid w:val="003464F6"/>
    <w:rsid w:val="00346638"/>
    <w:rsid w:val="003468E6"/>
    <w:rsid w:val="0034699E"/>
    <w:rsid w:val="00346D62"/>
    <w:rsid w:val="00347475"/>
    <w:rsid w:val="003474AD"/>
    <w:rsid w:val="003478FC"/>
    <w:rsid w:val="00347E40"/>
    <w:rsid w:val="003501AC"/>
    <w:rsid w:val="0035049A"/>
    <w:rsid w:val="003506DD"/>
    <w:rsid w:val="003507D2"/>
    <w:rsid w:val="003508CA"/>
    <w:rsid w:val="00350945"/>
    <w:rsid w:val="00350C31"/>
    <w:rsid w:val="00350E52"/>
    <w:rsid w:val="00350E92"/>
    <w:rsid w:val="00350F64"/>
    <w:rsid w:val="003510C9"/>
    <w:rsid w:val="003512AD"/>
    <w:rsid w:val="00351A86"/>
    <w:rsid w:val="00351B10"/>
    <w:rsid w:val="00352B0F"/>
    <w:rsid w:val="00352BB5"/>
    <w:rsid w:val="00352BC2"/>
    <w:rsid w:val="00353053"/>
    <w:rsid w:val="00353347"/>
    <w:rsid w:val="003538F2"/>
    <w:rsid w:val="00353D53"/>
    <w:rsid w:val="00353DBC"/>
    <w:rsid w:val="00353DF3"/>
    <w:rsid w:val="00354194"/>
    <w:rsid w:val="003542B6"/>
    <w:rsid w:val="003548C2"/>
    <w:rsid w:val="00354C4D"/>
    <w:rsid w:val="00354DAF"/>
    <w:rsid w:val="00354EDA"/>
    <w:rsid w:val="003557E5"/>
    <w:rsid w:val="00355AF7"/>
    <w:rsid w:val="00355CEF"/>
    <w:rsid w:val="00355E9A"/>
    <w:rsid w:val="00356069"/>
    <w:rsid w:val="003564EA"/>
    <w:rsid w:val="0035651C"/>
    <w:rsid w:val="003565D0"/>
    <w:rsid w:val="00356647"/>
    <w:rsid w:val="00356968"/>
    <w:rsid w:val="00356C39"/>
    <w:rsid w:val="00356D58"/>
    <w:rsid w:val="00356EFA"/>
    <w:rsid w:val="003570D1"/>
    <w:rsid w:val="0035726F"/>
    <w:rsid w:val="00357399"/>
    <w:rsid w:val="00357921"/>
    <w:rsid w:val="0035796D"/>
    <w:rsid w:val="003579A0"/>
    <w:rsid w:val="00360459"/>
    <w:rsid w:val="00360598"/>
    <w:rsid w:val="003606D1"/>
    <w:rsid w:val="00360E15"/>
    <w:rsid w:val="0036101B"/>
    <w:rsid w:val="00361530"/>
    <w:rsid w:val="00361782"/>
    <w:rsid w:val="00361AE4"/>
    <w:rsid w:val="00361C82"/>
    <w:rsid w:val="00361CA7"/>
    <w:rsid w:val="00361FBC"/>
    <w:rsid w:val="003622A8"/>
    <w:rsid w:val="00362321"/>
    <w:rsid w:val="00362954"/>
    <w:rsid w:val="00362B69"/>
    <w:rsid w:val="00362EBC"/>
    <w:rsid w:val="00363267"/>
    <w:rsid w:val="0036332C"/>
    <w:rsid w:val="00363576"/>
    <w:rsid w:val="00363581"/>
    <w:rsid w:val="003636C9"/>
    <w:rsid w:val="00363879"/>
    <w:rsid w:val="003638CD"/>
    <w:rsid w:val="00363CDE"/>
    <w:rsid w:val="0036404A"/>
    <w:rsid w:val="00364327"/>
    <w:rsid w:val="003645F8"/>
    <w:rsid w:val="0036470F"/>
    <w:rsid w:val="003649E2"/>
    <w:rsid w:val="00364CE2"/>
    <w:rsid w:val="003650DF"/>
    <w:rsid w:val="0036516B"/>
    <w:rsid w:val="0036538F"/>
    <w:rsid w:val="003654BA"/>
    <w:rsid w:val="00365774"/>
    <w:rsid w:val="003658C0"/>
    <w:rsid w:val="00365F0A"/>
    <w:rsid w:val="00366349"/>
    <w:rsid w:val="00366774"/>
    <w:rsid w:val="00366BF5"/>
    <w:rsid w:val="00366D9A"/>
    <w:rsid w:val="00366F27"/>
    <w:rsid w:val="0036730F"/>
    <w:rsid w:val="003675FB"/>
    <w:rsid w:val="003676DC"/>
    <w:rsid w:val="003677EA"/>
    <w:rsid w:val="00367E93"/>
    <w:rsid w:val="00367E9F"/>
    <w:rsid w:val="00370AF8"/>
    <w:rsid w:val="0037116F"/>
    <w:rsid w:val="00371345"/>
    <w:rsid w:val="00371B44"/>
    <w:rsid w:val="00371DFF"/>
    <w:rsid w:val="00371FDB"/>
    <w:rsid w:val="003720A1"/>
    <w:rsid w:val="00372F38"/>
    <w:rsid w:val="00373293"/>
    <w:rsid w:val="00373CB5"/>
    <w:rsid w:val="00374378"/>
    <w:rsid w:val="003744B5"/>
    <w:rsid w:val="00374A16"/>
    <w:rsid w:val="00374AB9"/>
    <w:rsid w:val="00375587"/>
    <w:rsid w:val="003756B3"/>
    <w:rsid w:val="003758A6"/>
    <w:rsid w:val="00375B3D"/>
    <w:rsid w:val="00375C14"/>
    <w:rsid w:val="00376121"/>
    <w:rsid w:val="003766C1"/>
    <w:rsid w:val="0037678E"/>
    <w:rsid w:val="003768C0"/>
    <w:rsid w:val="00376EBE"/>
    <w:rsid w:val="003771BC"/>
    <w:rsid w:val="003772DE"/>
    <w:rsid w:val="0037740C"/>
    <w:rsid w:val="003777C4"/>
    <w:rsid w:val="00377A3B"/>
    <w:rsid w:val="003801D6"/>
    <w:rsid w:val="0038049F"/>
    <w:rsid w:val="0038098D"/>
    <w:rsid w:val="00380A06"/>
    <w:rsid w:val="00380AD3"/>
    <w:rsid w:val="003810ED"/>
    <w:rsid w:val="0038152F"/>
    <w:rsid w:val="003815F0"/>
    <w:rsid w:val="003818DC"/>
    <w:rsid w:val="003819BF"/>
    <w:rsid w:val="00381DA5"/>
    <w:rsid w:val="00381E60"/>
    <w:rsid w:val="00382014"/>
    <w:rsid w:val="00382242"/>
    <w:rsid w:val="00382610"/>
    <w:rsid w:val="003827A5"/>
    <w:rsid w:val="00382861"/>
    <w:rsid w:val="003828D9"/>
    <w:rsid w:val="00382CF6"/>
    <w:rsid w:val="00382D63"/>
    <w:rsid w:val="00383177"/>
    <w:rsid w:val="00383568"/>
    <w:rsid w:val="003836A3"/>
    <w:rsid w:val="00383A3A"/>
    <w:rsid w:val="00383B5A"/>
    <w:rsid w:val="00383B9B"/>
    <w:rsid w:val="00384313"/>
    <w:rsid w:val="003843D8"/>
    <w:rsid w:val="00384406"/>
    <w:rsid w:val="003844C5"/>
    <w:rsid w:val="0038477E"/>
    <w:rsid w:val="0038480B"/>
    <w:rsid w:val="003851E1"/>
    <w:rsid w:val="003853DE"/>
    <w:rsid w:val="00385C7B"/>
    <w:rsid w:val="00385CA1"/>
    <w:rsid w:val="00385DC5"/>
    <w:rsid w:val="003868B6"/>
    <w:rsid w:val="00386C4A"/>
    <w:rsid w:val="00386EAA"/>
    <w:rsid w:val="00386F99"/>
    <w:rsid w:val="003871A4"/>
    <w:rsid w:val="00387C70"/>
    <w:rsid w:val="00390072"/>
    <w:rsid w:val="003900E5"/>
    <w:rsid w:val="00390521"/>
    <w:rsid w:val="003905C5"/>
    <w:rsid w:val="003915DB"/>
    <w:rsid w:val="00391733"/>
    <w:rsid w:val="003917C3"/>
    <w:rsid w:val="00391FCF"/>
    <w:rsid w:val="00392294"/>
    <w:rsid w:val="00392616"/>
    <w:rsid w:val="00392804"/>
    <w:rsid w:val="00392DD1"/>
    <w:rsid w:val="00392E1A"/>
    <w:rsid w:val="00392F78"/>
    <w:rsid w:val="00393012"/>
    <w:rsid w:val="00393324"/>
    <w:rsid w:val="00393328"/>
    <w:rsid w:val="003936BE"/>
    <w:rsid w:val="003939CC"/>
    <w:rsid w:val="003939E1"/>
    <w:rsid w:val="003940EF"/>
    <w:rsid w:val="00394674"/>
    <w:rsid w:val="00394BB4"/>
    <w:rsid w:val="00394DDE"/>
    <w:rsid w:val="003952EB"/>
    <w:rsid w:val="003954B3"/>
    <w:rsid w:val="003957F3"/>
    <w:rsid w:val="00395CD5"/>
    <w:rsid w:val="0039671A"/>
    <w:rsid w:val="00396AF3"/>
    <w:rsid w:val="00396CB9"/>
    <w:rsid w:val="003972C6"/>
    <w:rsid w:val="00397688"/>
    <w:rsid w:val="00397841"/>
    <w:rsid w:val="00397A2F"/>
    <w:rsid w:val="003A05DF"/>
    <w:rsid w:val="003A08EB"/>
    <w:rsid w:val="003A0C0A"/>
    <w:rsid w:val="003A0EC1"/>
    <w:rsid w:val="003A1093"/>
    <w:rsid w:val="003A11F6"/>
    <w:rsid w:val="003A1504"/>
    <w:rsid w:val="003A222D"/>
    <w:rsid w:val="003A23C5"/>
    <w:rsid w:val="003A3F71"/>
    <w:rsid w:val="003A43B9"/>
    <w:rsid w:val="003A4699"/>
    <w:rsid w:val="003A4701"/>
    <w:rsid w:val="003A4B3D"/>
    <w:rsid w:val="003A525A"/>
    <w:rsid w:val="003A537E"/>
    <w:rsid w:val="003A5579"/>
    <w:rsid w:val="003A5FD1"/>
    <w:rsid w:val="003A6A51"/>
    <w:rsid w:val="003A6F0C"/>
    <w:rsid w:val="003A6F15"/>
    <w:rsid w:val="003A700F"/>
    <w:rsid w:val="003A73CB"/>
    <w:rsid w:val="003A74FF"/>
    <w:rsid w:val="003A7615"/>
    <w:rsid w:val="003A7F2C"/>
    <w:rsid w:val="003A7FAE"/>
    <w:rsid w:val="003B0273"/>
    <w:rsid w:val="003B0469"/>
    <w:rsid w:val="003B04F8"/>
    <w:rsid w:val="003B05EF"/>
    <w:rsid w:val="003B091E"/>
    <w:rsid w:val="003B0BEC"/>
    <w:rsid w:val="003B0C25"/>
    <w:rsid w:val="003B0E45"/>
    <w:rsid w:val="003B2259"/>
    <w:rsid w:val="003B22BC"/>
    <w:rsid w:val="003B24BE"/>
    <w:rsid w:val="003B265B"/>
    <w:rsid w:val="003B2A75"/>
    <w:rsid w:val="003B2E90"/>
    <w:rsid w:val="003B30D6"/>
    <w:rsid w:val="003B3320"/>
    <w:rsid w:val="003B342C"/>
    <w:rsid w:val="003B3573"/>
    <w:rsid w:val="003B3935"/>
    <w:rsid w:val="003B39DB"/>
    <w:rsid w:val="003B3EE0"/>
    <w:rsid w:val="003B45DC"/>
    <w:rsid w:val="003B493F"/>
    <w:rsid w:val="003B4CAA"/>
    <w:rsid w:val="003B4CCD"/>
    <w:rsid w:val="003B4F1E"/>
    <w:rsid w:val="003B5754"/>
    <w:rsid w:val="003B5D42"/>
    <w:rsid w:val="003B6305"/>
    <w:rsid w:val="003B689E"/>
    <w:rsid w:val="003B6D88"/>
    <w:rsid w:val="003B6E34"/>
    <w:rsid w:val="003B6F71"/>
    <w:rsid w:val="003B7230"/>
    <w:rsid w:val="003B768A"/>
    <w:rsid w:val="003B76BA"/>
    <w:rsid w:val="003B7759"/>
    <w:rsid w:val="003B7C39"/>
    <w:rsid w:val="003C0024"/>
    <w:rsid w:val="003C02C7"/>
    <w:rsid w:val="003C03C8"/>
    <w:rsid w:val="003C0F29"/>
    <w:rsid w:val="003C1789"/>
    <w:rsid w:val="003C1851"/>
    <w:rsid w:val="003C1948"/>
    <w:rsid w:val="003C1C61"/>
    <w:rsid w:val="003C1F13"/>
    <w:rsid w:val="003C209D"/>
    <w:rsid w:val="003C23E8"/>
    <w:rsid w:val="003C24E4"/>
    <w:rsid w:val="003C26A2"/>
    <w:rsid w:val="003C29F2"/>
    <w:rsid w:val="003C31FD"/>
    <w:rsid w:val="003C33BD"/>
    <w:rsid w:val="003C36BF"/>
    <w:rsid w:val="003C38F7"/>
    <w:rsid w:val="003C3CF5"/>
    <w:rsid w:val="003C428B"/>
    <w:rsid w:val="003C44DB"/>
    <w:rsid w:val="003C45FD"/>
    <w:rsid w:val="003C4B24"/>
    <w:rsid w:val="003C4DE2"/>
    <w:rsid w:val="003C4E39"/>
    <w:rsid w:val="003C4ED3"/>
    <w:rsid w:val="003C4FC3"/>
    <w:rsid w:val="003C502D"/>
    <w:rsid w:val="003C57D9"/>
    <w:rsid w:val="003C619D"/>
    <w:rsid w:val="003C6231"/>
    <w:rsid w:val="003C630B"/>
    <w:rsid w:val="003C66F7"/>
    <w:rsid w:val="003C69AB"/>
    <w:rsid w:val="003C6A74"/>
    <w:rsid w:val="003C745B"/>
    <w:rsid w:val="003C756F"/>
    <w:rsid w:val="003C773E"/>
    <w:rsid w:val="003C77FE"/>
    <w:rsid w:val="003C788B"/>
    <w:rsid w:val="003C7E71"/>
    <w:rsid w:val="003C7F4F"/>
    <w:rsid w:val="003D0028"/>
    <w:rsid w:val="003D0067"/>
    <w:rsid w:val="003D0220"/>
    <w:rsid w:val="003D06FF"/>
    <w:rsid w:val="003D07FF"/>
    <w:rsid w:val="003D0894"/>
    <w:rsid w:val="003D096A"/>
    <w:rsid w:val="003D0AD5"/>
    <w:rsid w:val="003D0BFE"/>
    <w:rsid w:val="003D14CD"/>
    <w:rsid w:val="003D1562"/>
    <w:rsid w:val="003D1731"/>
    <w:rsid w:val="003D1846"/>
    <w:rsid w:val="003D19D4"/>
    <w:rsid w:val="003D1B0C"/>
    <w:rsid w:val="003D1DB7"/>
    <w:rsid w:val="003D2134"/>
    <w:rsid w:val="003D219B"/>
    <w:rsid w:val="003D2443"/>
    <w:rsid w:val="003D24FC"/>
    <w:rsid w:val="003D2591"/>
    <w:rsid w:val="003D26E2"/>
    <w:rsid w:val="003D306B"/>
    <w:rsid w:val="003D3264"/>
    <w:rsid w:val="003D358C"/>
    <w:rsid w:val="003D3A31"/>
    <w:rsid w:val="003D3B81"/>
    <w:rsid w:val="003D3BEE"/>
    <w:rsid w:val="003D3E77"/>
    <w:rsid w:val="003D3EE2"/>
    <w:rsid w:val="003D3EEC"/>
    <w:rsid w:val="003D469E"/>
    <w:rsid w:val="003D49A1"/>
    <w:rsid w:val="003D4B3E"/>
    <w:rsid w:val="003D4D97"/>
    <w:rsid w:val="003D4F49"/>
    <w:rsid w:val="003D50B9"/>
    <w:rsid w:val="003D51A3"/>
    <w:rsid w:val="003D5408"/>
    <w:rsid w:val="003D54C5"/>
    <w:rsid w:val="003D5700"/>
    <w:rsid w:val="003D59BA"/>
    <w:rsid w:val="003D5B99"/>
    <w:rsid w:val="003D5D47"/>
    <w:rsid w:val="003D654D"/>
    <w:rsid w:val="003D65C1"/>
    <w:rsid w:val="003D6A63"/>
    <w:rsid w:val="003D6B74"/>
    <w:rsid w:val="003D6BC5"/>
    <w:rsid w:val="003D6F40"/>
    <w:rsid w:val="003D7572"/>
    <w:rsid w:val="003D77BE"/>
    <w:rsid w:val="003D79C2"/>
    <w:rsid w:val="003D7E2B"/>
    <w:rsid w:val="003E0ADB"/>
    <w:rsid w:val="003E0D58"/>
    <w:rsid w:val="003E11AE"/>
    <w:rsid w:val="003E1221"/>
    <w:rsid w:val="003E1519"/>
    <w:rsid w:val="003E1568"/>
    <w:rsid w:val="003E1778"/>
    <w:rsid w:val="003E177B"/>
    <w:rsid w:val="003E1B10"/>
    <w:rsid w:val="003E1DEC"/>
    <w:rsid w:val="003E1F45"/>
    <w:rsid w:val="003E1FD5"/>
    <w:rsid w:val="003E25E9"/>
    <w:rsid w:val="003E293C"/>
    <w:rsid w:val="003E2987"/>
    <w:rsid w:val="003E2B1C"/>
    <w:rsid w:val="003E2CA1"/>
    <w:rsid w:val="003E2D17"/>
    <w:rsid w:val="003E3073"/>
    <w:rsid w:val="003E341B"/>
    <w:rsid w:val="003E35D0"/>
    <w:rsid w:val="003E370A"/>
    <w:rsid w:val="003E383C"/>
    <w:rsid w:val="003E38C9"/>
    <w:rsid w:val="003E3A6D"/>
    <w:rsid w:val="003E400D"/>
    <w:rsid w:val="003E44E8"/>
    <w:rsid w:val="003E4D00"/>
    <w:rsid w:val="003E4D60"/>
    <w:rsid w:val="003E4D95"/>
    <w:rsid w:val="003E531C"/>
    <w:rsid w:val="003E5523"/>
    <w:rsid w:val="003E5EB6"/>
    <w:rsid w:val="003E5EEB"/>
    <w:rsid w:val="003E5F20"/>
    <w:rsid w:val="003E5F87"/>
    <w:rsid w:val="003E6249"/>
    <w:rsid w:val="003E655A"/>
    <w:rsid w:val="003E657C"/>
    <w:rsid w:val="003E65D6"/>
    <w:rsid w:val="003E65FE"/>
    <w:rsid w:val="003E66DA"/>
    <w:rsid w:val="003E6730"/>
    <w:rsid w:val="003E6D89"/>
    <w:rsid w:val="003E704A"/>
    <w:rsid w:val="003E7092"/>
    <w:rsid w:val="003E722C"/>
    <w:rsid w:val="003E746B"/>
    <w:rsid w:val="003E7C28"/>
    <w:rsid w:val="003E7E1C"/>
    <w:rsid w:val="003E7E60"/>
    <w:rsid w:val="003E7EA0"/>
    <w:rsid w:val="003F0105"/>
    <w:rsid w:val="003F02B2"/>
    <w:rsid w:val="003F02CD"/>
    <w:rsid w:val="003F03C1"/>
    <w:rsid w:val="003F05E2"/>
    <w:rsid w:val="003F0A35"/>
    <w:rsid w:val="003F0B86"/>
    <w:rsid w:val="003F0D5E"/>
    <w:rsid w:val="003F0D6F"/>
    <w:rsid w:val="003F0FAB"/>
    <w:rsid w:val="003F100C"/>
    <w:rsid w:val="003F1124"/>
    <w:rsid w:val="003F120C"/>
    <w:rsid w:val="003F1879"/>
    <w:rsid w:val="003F1AE6"/>
    <w:rsid w:val="003F24CC"/>
    <w:rsid w:val="003F2612"/>
    <w:rsid w:val="003F265A"/>
    <w:rsid w:val="003F27A5"/>
    <w:rsid w:val="003F27C1"/>
    <w:rsid w:val="003F294C"/>
    <w:rsid w:val="003F2B19"/>
    <w:rsid w:val="003F2D74"/>
    <w:rsid w:val="003F2F57"/>
    <w:rsid w:val="003F329D"/>
    <w:rsid w:val="003F339C"/>
    <w:rsid w:val="003F3636"/>
    <w:rsid w:val="003F3913"/>
    <w:rsid w:val="003F3AC9"/>
    <w:rsid w:val="003F3C6E"/>
    <w:rsid w:val="003F3F7F"/>
    <w:rsid w:val="003F40A0"/>
    <w:rsid w:val="003F415F"/>
    <w:rsid w:val="003F41CE"/>
    <w:rsid w:val="003F43CD"/>
    <w:rsid w:val="003F43DC"/>
    <w:rsid w:val="003F45DE"/>
    <w:rsid w:val="003F4B1B"/>
    <w:rsid w:val="003F4EB5"/>
    <w:rsid w:val="003F50AF"/>
    <w:rsid w:val="003F5275"/>
    <w:rsid w:val="003F5BA4"/>
    <w:rsid w:val="003F6207"/>
    <w:rsid w:val="003F65C7"/>
    <w:rsid w:val="003F6B02"/>
    <w:rsid w:val="003F6F32"/>
    <w:rsid w:val="003F7360"/>
    <w:rsid w:val="003F7A43"/>
    <w:rsid w:val="003F7C61"/>
    <w:rsid w:val="003F7E0C"/>
    <w:rsid w:val="003F7E64"/>
    <w:rsid w:val="003F7F83"/>
    <w:rsid w:val="00400014"/>
    <w:rsid w:val="004005C6"/>
    <w:rsid w:val="004005F8"/>
    <w:rsid w:val="00400A89"/>
    <w:rsid w:val="00400ADF"/>
    <w:rsid w:val="0040104E"/>
    <w:rsid w:val="0040143D"/>
    <w:rsid w:val="004014DB"/>
    <w:rsid w:val="00401EFE"/>
    <w:rsid w:val="004022B6"/>
    <w:rsid w:val="00402322"/>
    <w:rsid w:val="00402408"/>
    <w:rsid w:val="004024C0"/>
    <w:rsid w:val="00402727"/>
    <w:rsid w:val="004028EF"/>
    <w:rsid w:val="00402E88"/>
    <w:rsid w:val="004030BF"/>
    <w:rsid w:val="00403993"/>
    <w:rsid w:val="004046C9"/>
    <w:rsid w:val="0040497B"/>
    <w:rsid w:val="00404AF5"/>
    <w:rsid w:val="00404CE9"/>
    <w:rsid w:val="00404DA8"/>
    <w:rsid w:val="00405081"/>
    <w:rsid w:val="00405212"/>
    <w:rsid w:val="004053D8"/>
    <w:rsid w:val="0040569C"/>
    <w:rsid w:val="0040571F"/>
    <w:rsid w:val="00405A3F"/>
    <w:rsid w:val="00405C27"/>
    <w:rsid w:val="00406313"/>
    <w:rsid w:val="00406CB2"/>
    <w:rsid w:val="00406CB6"/>
    <w:rsid w:val="004073FF"/>
    <w:rsid w:val="00407CC7"/>
    <w:rsid w:val="00407D07"/>
    <w:rsid w:val="0041035F"/>
    <w:rsid w:val="00410810"/>
    <w:rsid w:val="004109DE"/>
    <w:rsid w:val="00410ED7"/>
    <w:rsid w:val="004112E8"/>
    <w:rsid w:val="00411668"/>
    <w:rsid w:val="004116CD"/>
    <w:rsid w:val="0041180D"/>
    <w:rsid w:val="00411974"/>
    <w:rsid w:val="00411E67"/>
    <w:rsid w:val="004120DF"/>
    <w:rsid w:val="004128ED"/>
    <w:rsid w:val="00412AE6"/>
    <w:rsid w:val="00412B9C"/>
    <w:rsid w:val="00412BBF"/>
    <w:rsid w:val="00412D63"/>
    <w:rsid w:val="00412EA6"/>
    <w:rsid w:val="00413641"/>
    <w:rsid w:val="004137B6"/>
    <w:rsid w:val="0041392A"/>
    <w:rsid w:val="00414186"/>
    <w:rsid w:val="00414406"/>
    <w:rsid w:val="0041459F"/>
    <w:rsid w:val="00414931"/>
    <w:rsid w:val="00414956"/>
    <w:rsid w:val="00414997"/>
    <w:rsid w:val="00414F4C"/>
    <w:rsid w:val="0041508D"/>
    <w:rsid w:val="004150C2"/>
    <w:rsid w:val="004152AE"/>
    <w:rsid w:val="0041531E"/>
    <w:rsid w:val="004157B8"/>
    <w:rsid w:val="00415B40"/>
    <w:rsid w:val="004161F0"/>
    <w:rsid w:val="0041633D"/>
    <w:rsid w:val="004166C9"/>
    <w:rsid w:val="004168E6"/>
    <w:rsid w:val="00416A57"/>
    <w:rsid w:val="00416E28"/>
    <w:rsid w:val="0041713C"/>
    <w:rsid w:val="004172FB"/>
    <w:rsid w:val="00417464"/>
    <w:rsid w:val="004174CF"/>
    <w:rsid w:val="004175FD"/>
    <w:rsid w:val="00417701"/>
    <w:rsid w:val="0041796B"/>
    <w:rsid w:val="004179F5"/>
    <w:rsid w:val="00417CEA"/>
    <w:rsid w:val="00417EB9"/>
    <w:rsid w:val="004208C4"/>
    <w:rsid w:val="00420BF6"/>
    <w:rsid w:val="0042183F"/>
    <w:rsid w:val="00421B4B"/>
    <w:rsid w:val="00422A8E"/>
    <w:rsid w:val="00422DDC"/>
    <w:rsid w:val="00422E7A"/>
    <w:rsid w:val="00423337"/>
    <w:rsid w:val="0042350D"/>
    <w:rsid w:val="00423912"/>
    <w:rsid w:val="00423AB1"/>
    <w:rsid w:val="00423E86"/>
    <w:rsid w:val="0042419C"/>
    <w:rsid w:val="004242E1"/>
    <w:rsid w:val="00424755"/>
    <w:rsid w:val="0042497C"/>
    <w:rsid w:val="00424A3F"/>
    <w:rsid w:val="00424CA9"/>
    <w:rsid w:val="00425034"/>
    <w:rsid w:val="00425179"/>
    <w:rsid w:val="00425234"/>
    <w:rsid w:val="0042526F"/>
    <w:rsid w:val="004257D2"/>
    <w:rsid w:val="0042584C"/>
    <w:rsid w:val="00425D83"/>
    <w:rsid w:val="00426A03"/>
    <w:rsid w:val="00426A60"/>
    <w:rsid w:val="00426FB4"/>
    <w:rsid w:val="00427496"/>
    <w:rsid w:val="00427525"/>
    <w:rsid w:val="004275A5"/>
    <w:rsid w:val="004276DF"/>
    <w:rsid w:val="004276EB"/>
    <w:rsid w:val="004304CF"/>
    <w:rsid w:val="004311D1"/>
    <w:rsid w:val="00431DFF"/>
    <w:rsid w:val="00431E9B"/>
    <w:rsid w:val="00431F42"/>
    <w:rsid w:val="0043200C"/>
    <w:rsid w:val="00432386"/>
    <w:rsid w:val="004325F7"/>
    <w:rsid w:val="004326F6"/>
    <w:rsid w:val="004326F7"/>
    <w:rsid w:val="00432767"/>
    <w:rsid w:val="00432C5E"/>
    <w:rsid w:val="0043318F"/>
    <w:rsid w:val="0043319F"/>
    <w:rsid w:val="00433682"/>
    <w:rsid w:val="0043396A"/>
    <w:rsid w:val="00433D4E"/>
    <w:rsid w:val="00433F5F"/>
    <w:rsid w:val="00434627"/>
    <w:rsid w:val="0043475C"/>
    <w:rsid w:val="00434FA9"/>
    <w:rsid w:val="004350E6"/>
    <w:rsid w:val="004350FF"/>
    <w:rsid w:val="00435222"/>
    <w:rsid w:val="0043540A"/>
    <w:rsid w:val="004356EB"/>
    <w:rsid w:val="0043581B"/>
    <w:rsid w:val="00435823"/>
    <w:rsid w:val="00435917"/>
    <w:rsid w:val="00436116"/>
    <w:rsid w:val="0043657E"/>
    <w:rsid w:val="004366DE"/>
    <w:rsid w:val="00436BC9"/>
    <w:rsid w:val="00436DA6"/>
    <w:rsid w:val="004372C2"/>
    <w:rsid w:val="0043742F"/>
    <w:rsid w:val="00437733"/>
    <w:rsid w:val="004377CF"/>
    <w:rsid w:val="004379E3"/>
    <w:rsid w:val="00440042"/>
    <w:rsid w:val="00440150"/>
    <w:rsid w:val="0044015E"/>
    <w:rsid w:val="004401BA"/>
    <w:rsid w:val="004403DD"/>
    <w:rsid w:val="00440FB0"/>
    <w:rsid w:val="00441831"/>
    <w:rsid w:val="00441A9D"/>
    <w:rsid w:val="00441D0D"/>
    <w:rsid w:val="00442213"/>
    <w:rsid w:val="00442272"/>
    <w:rsid w:val="004423D6"/>
    <w:rsid w:val="00442448"/>
    <w:rsid w:val="0044291A"/>
    <w:rsid w:val="00442D21"/>
    <w:rsid w:val="004431A4"/>
    <w:rsid w:val="004432B6"/>
    <w:rsid w:val="004439B7"/>
    <w:rsid w:val="00443AB6"/>
    <w:rsid w:val="00443B9E"/>
    <w:rsid w:val="00443C08"/>
    <w:rsid w:val="00444134"/>
    <w:rsid w:val="00444BE5"/>
    <w:rsid w:val="00444D6A"/>
    <w:rsid w:val="00444FA6"/>
    <w:rsid w:val="00446337"/>
    <w:rsid w:val="004465E8"/>
    <w:rsid w:val="00446651"/>
    <w:rsid w:val="00446AA8"/>
    <w:rsid w:val="00446C4C"/>
    <w:rsid w:val="00446C9D"/>
    <w:rsid w:val="00446FE4"/>
    <w:rsid w:val="00447218"/>
    <w:rsid w:val="00447338"/>
    <w:rsid w:val="0044734A"/>
    <w:rsid w:val="004473B2"/>
    <w:rsid w:val="004473FD"/>
    <w:rsid w:val="00447487"/>
    <w:rsid w:val="00447748"/>
    <w:rsid w:val="00447C8D"/>
    <w:rsid w:val="00447CBA"/>
    <w:rsid w:val="00450147"/>
    <w:rsid w:val="004504CA"/>
    <w:rsid w:val="00451144"/>
    <w:rsid w:val="00451AAB"/>
    <w:rsid w:val="00451ADA"/>
    <w:rsid w:val="0045273C"/>
    <w:rsid w:val="00452921"/>
    <w:rsid w:val="0045294B"/>
    <w:rsid w:val="00453055"/>
    <w:rsid w:val="00453225"/>
    <w:rsid w:val="00453D38"/>
    <w:rsid w:val="00453ED5"/>
    <w:rsid w:val="00453FDE"/>
    <w:rsid w:val="0045439B"/>
    <w:rsid w:val="004547FC"/>
    <w:rsid w:val="00454DAC"/>
    <w:rsid w:val="00454E2E"/>
    <w:rsid w:val="004552AD"/>
    <w:rsid w:val="00455551"/>
    <w:rsid w:val="00455799"/>
    <w:rsid w:val="00455967"/>
    <w:rsid w:val="0045636C"/>
    <w:rsid w:val="0045669B"/>
    <w:rsid w:val="004567E6"/>
    <w:rsid w:val="00456B55"/>
    <w:rsid w:val="00456F04"/>
    <w:rsid w:val="00457133"/>
    <w:rsid w:val="004572A3"/>
    <w:rsid w:val="004572EF"/>
    <w:rsid w:val="00457B46"/>
    <w:rsid w:val="004601A2"/>
    <w:rsid w:val="004605C4"/>
    <w:rsid w:val="00460766"/>
    <w:rsid w:val="004608AE"/>
    <w:rsid w:val="00460931"/>
    <w:rsid w:val="00460B9C"/>
    <w:rsid w:val="00460F7D"/>
    <w:rsid w:val="004610FD"/>
    <w:rsid w:val="00461342"/>
    <w:rsid w:val="0046159C"/>
    <w:rsid w:val="004616A4"/>
    <w:rsid w:val="00461717"/>
    <w:rsid w:val="00461C65"/>
    <w:rsid w:val="00461D96"/>
    <w:rsid w:val="0046240C"/>
    <w:rsid w:val="004624AA"/>
    <w:rsid w:val="0046257E"/>
    <w:rsid w:val="004626A5"/>
    <w:rsid w:val="004626E2"/>
    <w:rsid w:val="00462A50"/>
    <w:rsid w:val="00462E47"/>
    <w:rsid w:val="0046327F"/>
    <w:rsid w:val="004636B4"/>
    <w:rsid w:val="004638F2"/>
    <w:rsid w:val="00463CB5"/>
    <w:rsid w:val="00463E45"/>
    <w:rsid w:val="004640E8"/>
    <w:rsid w:val="004643EE"/>
    <w:rsid w:val="004644C6"/>
    <w:rsid w:val="0046490B"/>
    <w:rsid w:val="004649EC"/>
    <w:rsid w:val="00464C22"/>
    <w:rsid w:val="00464C41"/>
    <w:rsid w:val="00464C7B"/>
    <w:rsid w:val="00464E65"/>
    <w:rsid w:val="004653C5"/>
    <w:rsid w:val="00465A35"/>
    <w:rsid w:val="00465EB2"/>
    <w:rsid w:val="00466195"/>
    <w:rsid w:val="004664BF"/>
    <w:rsid w:val="00466A75"/>
    <w:rsid w:val="00466B41"/>
    <w:rsid w:val="00466CCE"/>
    <w:rsid w:val="0046721D"/>
    <w:rsid w:val="004672DE"/>
    <w:rsid w:val="00467402"/>
    <w:rsid w:val="004675B3"/>
    <w:rsid w:val="00467603"/>
    <w:rsid w:val="00467606"/>
    <w:rsid w:val="00467661"/>
    <w:rsid w:val="004676DA"/>
    <w:rsid w:val="00467AB8"/>
    <w:rsid w:val="00467EE9"/>
    <w:rsid w:val="0047128B"/>
    <w:rsid w:val="00472862"/>
    <w:rsid w:val="00472AF7"/>
    <w:rsid w:val="00472B8B"/>
    <w:rsid w:val="00472DBE"/>
    <w:rsid w:val="00472F95"/>
    <w:rsid w:val="004733B8"/>
    <w:rsid w:val="00473425"/>
    <w:rsid w:val="00473599"/>
    <w:rsid w:val="00473DB9"/>
    <w:rsid w:val="0047473A"/>
    <w:rsid w:val="004748BA"/>
    <w:rsid w:val="00474A19"/>
    <w:rsid w:val="00474C2B"/>
    <w:rsid w:val="00474EBE"/>
    <w:rsid w:val="00475573"/>
    <w:rsid w:val="004755B4"/>
    <w:rsid w:val="00475631"/>
    <w:rsid w:val="00475D92"/>
    <w:rsid w:val="00475DFA"/>
    <w:rsid w:val="00475EBF"/>
    <w:rsid w:val="00476665"/>
    <w:rsid w:val="004772F6"/>
    <w:rsid w:val="0047743A"/>
    <w:rsid w:val="0047763D"/>
    <w:rsid w:val="00477830"/>
    <w:rsid w:val="00477913"/>
    <w:rsid w:val="00477ADC"/>
    <w:rsid w:val="00477BF5"/>
    <w:rsid w:val="00477CE3"/>
    <w:rsid w:val="00480DF1"/>
    <w:rsid w:val="00480F2B"/>
    <w:rsid w:val="00481126"/>
    <w:rsid w:val="00481C34"/>
    <w:rsid w:val="0048211D"/>
    <w:rsid w:val="004821A3"/>
    <w:rsid w:val="004821EB"/>
    <w:rsid w:val="0048234E"/>
    <w:rsid w:val="00482653"/>
    <w:rsid w:val="00482746"/>
    <w:rsid w:val="00483647"/>
    <w:rsid w:val="00483673"/>
    <w:rsid w:val="00483A5E"/>
    <w:rsid w:val="00483E6A"/>
    <w:rsid w:val="00483EED"/>
    <w:rsid w:val="00484439"/>
    <w:rsid w:val="0048445A"/>
    <w:rsid w:val="0048491E"/>
    <w:rsid w:val="00484A69"/>
    <w:rsid w:val="00484A77"/>
    <w:rsid w:val="00484F46"/>
    <w:rsid w:val="004851DB"/>
    <w:rsid w:val="00485334"/>
    <w:rsid w:val="00485460"/>
    <w:rsid w:val="004854A4"/>
    <w:rsid w:val="00485582"/>
    <w:rsid w:val="004856C8"/>
    <w:rsid w:val="00485700"/>
    <w:rsid w:val="00485CD0"/>
    <w:rsid w:val="00485D64"/>
    <w:rsid w:val="004860FA"/>
    <w:rsid w:val="0048625A"/>
    <w:rsid w:val="00486445"/>
    <w:rsid w:val="0048691C"/>
    <w:rsid w:val="00486B60"/>
    <w:rsid w:val="00486B8E"/>
    <w:rsid w:val="0048700F"/>
    <w:rsid w:val="0048704A"/>
    <w:rsid w:val="00487249"/>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72E"/>
    <w:rsid w:val="0049199D"/>
    <w:rsid w:val="00491B93"/>
    <w:rsid w:val="00492173"/>
    <w:rsid w:val="00492235"/>
    <w:rsid w:val="004927E8"/>
    <w:rsid w:val="0049295F"/>
    <w:rsid w:val="00492C1B"/>
    <w:rsid w:val="00493126"/>
    <w:rsid w:val="00493332"/>
    <w:rsid w:val="004935D1"/>
    <w:rsid w:val="00493E3A"/>
    <w:rsid w:val="00493E45"/>
    <w:rsid w:val="00493F45"/>
    <w:rsid w:val="00494D32"/>
    <w:rsid w:val="00494F0B"/>
    <w:rsid w:val="00494FF9"/>
    <w:rsid w:val="004950D0"/>
    <w:rsid w:val="00495350"/>
    <w:rsid w:val="00495358"/>
    <w:rsid w:val="0049537B"/>
    <w:rsid w:val="004957A7"/>
    <w:rsid w:val="0049618A"/>
    <w:rsid w:val="004962C2"/>
    <w:rsid w:val="00496677"/>
    <w:rsid w:val="00496B41"/>
    <w:rsid w:val="00496F97"/>
    <w:rsid w:val="004973D2"/>
    <w:rsid w:val="00497605"/>
    <w:rsid w:val="00497AEC"/>
    <w:rsid w:val="004A02C8"/>
    <w:rsid w:val="004A07B5"/>
    <w:rsid w:val="004A0B7C"/>
    <w:rsid w:val="004A0BC0"/>
    <w:rsid w:val="004A0BE5"/>
    <w:rsid w:val="004A0CF6"/>
    <w:rsid w:val="004A0D8A"/>
    <w:rsid w:val="004A0E8C"/>
    <w:rsid w:val="004A1295"/>
    <w:rsid w:val="004A134E"/>
    <w:rsid w:val="004A1385"/>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201"/>
    <w:rsid w:val="004A5318"/>
    <w:rsid w:val="004A541C"/>
    <w:rsid w:val="004A5E23"/>
    <w:rsid w:val="004A624B"/>
    <w:rsid w:val="004A6252"/>
    <w:rsid w:val="004A63AA"/>
    <w:rsid w:val="004A66CC"/>
    <w:rsid w:val="004A6702"/>
    <w:rsid w:val="004A6A3E"/>
    <w:rsid w:val="004A7385"/>
    <w:rsid w:val="004A7414"/>
    <w:rsid w:val="004A7525"/>
    <w:rsid w:val="004A7A8F"/>
    <w:rsid w:val="004A7CBD"/>
    <w:rsid w:val="004A7CD9"/>
    <w:rsid w:val="004B00B6"/>
    <w:rsid w:val="004B0CC1"/>
    <w:rsid w:val="004B10D8"/>
    <w:rsid w:val="004B1975"/>
    <w:rsid w:val="004B1AD6"/>
    <w:rsid w:val="004B1E31"/>
    <w:rsid w:val="004B22B4"/>
    <w:rsid w:val="004B25FC"/>
    <w:rsid w:val="004B2AD8"/>
    <w:rsid w:val="004B2EEC"/>
    <w:rsid w:val="004B2FB0"/>
    <w:rsid w:val="004B2FEF"/>
    <w:rsid w:val="004B3E64"/>
    <w:rsid w:val="004B3EA1"/>
    <w:rsid w:val="004B4478"/>
    <w:rsid w:val="004B463B"/>
    <w:rsid w:val="004B4656"/>
    <w:rsid w:val="004B493C"/>
    <w:rsid w:val="004B51C5"/>
    <w:rsid w:val="004B5227"/>
    <w:rsid w:val="004B5321"/>
    <w:rsid w:val="004B54EC"/>
    <w:rsid w:val="004B5504"/>
    <w:rsid w:val="004B55E2"/>
    <w:rsid w:val="004B55E4"/>
    <w:rsid w:val="004B57DF"/>
    <w:rsid w:val="004B5A78"/>
    <w:rsid w:val="004B652C"/>
    <w:rsid w:val="004B65E7"/>
    <w:rsid w:val="004B6623"/>
    <w:rsid w:val="004B6A7C"/>
    <w:rsid w:val="004B6B7D"/>
    <w:rsid w:val="004B6C48"/>
    <w:rsid w:val="004B6CC0"/>
    <w:rsid w:val="004B707C"/>
    <w:rsid w:val="004B7085"/>
    <w:rsid w:val="004B74AB"/>
    <w:rsid w:val="004B761E"/>
    <w:rsid w:val="004C0749"/>
    <w:rsid w:val="004C08C8"/>
    <w:rsid w:val="004C08D6"/>
    <w:rsid w:val="004C0C13"/>
    <w:rsid w:val="004C0CF7"/>
    <w:rsid w:val="004C160C"/>
    <w:rsid w:val="004C1C69"/>
    <w:rsid w:val="004C1C9D"/>
    <w:rsid w:val="004C1D71"/>
    <w:rsid w:val="004C1E84"/>
    <w:rsid w:val="004C1FEE"/>
    <w:rsid w:val="004C23D9"/>
    <w:rsid w:val="004C25E5"/>
    <w:rsid w:val="004C305F"/>
    <w:rsid w:val="004C331A"/>
    <w:rsid w:val="004C339D"/>
    <w:rsid w:val="004C33E1"/>
    <w:rsid w:val="004C3453"/>
    <w:rsid w:val="004C36D3"/>
    <w:rsid w:val="004C3770"/>
    <w:rsid w:val="004C37C4"/>
    <w:rsid w:val="004C3D5E"/>
    <w:rsid w:val="004C42BE"/>
    <w:rsid w:val="004C4E59"/>
    <w:rsid w:val="004C52E6"/>
    <w:rsid w:val="004C54BB"/>
    <w:rsid w:val="004C552B"/>
    <w:rsid w:val="004C5758"/>
    <w:rsid w:val="004C59CC"/>
    <w:rsid w:val="004C59EE"/>
    <w:rsid w:val="004C5B9E"/>
    <w:rsid w:val="004C5EF8"/>
    <w:rsid w:val="004C641A"/>
    <w:rsid w:val="004C65B0"/>
    <w:rsid w:val="004C6809"/>
    <w:rsid w:val="004C6873"/>
    <w:rsid w:val="004C6CE4"/>
    <w:rsid w:val="004C6F4B"/>
    <w:rsid w:val="004C7086"/>
    <w:rsid w:val="004C7218"/>
    <w:rsid w:val="004C7892"/>
    <w:rsid w:val="004C7D80"/>
    <w:rsid w:val="004C7F3C"/>
    <w:rsid w:val="004D00F4"/>
    <w:rsid w:val="004D0449"/>
    <w:rsid w:val="004D0654"/>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BD9"/>
    <w:rsid w:val="004D3DA5"/>
    <w:rsid w:val="004D3DA6"/>
    <w:rsid w:val="004D4500"/>
    <w:rsid w:val="004D48AD"/>
    <w:rsid w:val="004D4B90"/>
    <w:rsid w:val="004D4C8E"/>
    <w:rsid w:val="004D4D1B"/>
    <w:rsid w:val="004D505B"/>
    <w:rsid w:val="004D5453"/>
    <w:rsid w:val="004D546D"/>
    <w:rsid w:val="004D58BF"/>
    <w:rsid w:val="004D6585"/>
    <w:rsid w:val="004D6867"/>
    <w:rsid w:val="004D6AC1"/>
    <w:rsid w:val="004D6CF4"/>
    <w:rsid w:val="004D6DC2"/>
    <w:rsid w:val="004D73CD"/>
    <w:rsid w:val="004D7471"/>
    <w:rsid w:val="004D753C"/>
    <w:rsid w:val="004D77A0"/>
    <w:rsid w:val="004D7812"/>
    <w:rsid w:val="004D7B3B"/>
    <w:rsid w:val="004D7E23"/>
    <w:rsid w:val="004D7EDF"/>
    <w:rsid w:val="004D7FDE"/>
    <w:rsid w:val="004E01F4"/>
    <w:rsid w:val="004E063A"/>
    <w:rsid w:val="004E0713"/>
    <w:rsid w:val="004E0814"/>
    <w:rsid w:val="004E0FD2"/>
    <w:rsid w:val="004E11A8"/>
    <w:rsid w:val="004E1307"/>
    <w:rsid w:val="004E1365"/>
    <w:rsid w:val="004E1860"/>
    <w:rsid w:val="004E1A1E"/>
    <w:rsid w:val="004E1A5E"/>
    <w:rsid w:val="004E29B3"/>
    <w:rsid w:val="004E2A39"/>
    <w:rsid w:val="004E30A6"/>
    <w:rsid w:val="004E3335"/>
    <w:rsid w:val="004E33AA"/>
    <w:rsid w:val="004E36F9"/>
    <w:rsid w:val="004E374D"/>
    <w:rsid w:val="004E3F13"/>
    <w:rsid w:val="004E3FAD"/>
    <w:rsid w:val="004E4322"/>
    <w:rsid w:val="004E4915"/>
    <w:rsid w:val="004E4A69"/>
    <w:rsid w:val="004E4B19"/>
    <w:rsid w:val="004E4BA5"/>
    <w:rsid w:val="004E50DD"/>
    <w:rsid w:val="004E54F7"/>
    <w:rsid w:val="004E5CB9"/>
    <w:rsid w:val="004E6166"/>
    <w:rsid w:val="004E6179"/>
    <w:rsid w:val="004E62D1"/>
    <w:rsid w:val="004E6545"/>
    <w:rsid w:val="004E6882"/>
    <w:rsid w:val="004E6A1B"/>
    <w:rsid w:val="004E6B95"/>
    <w:rsid w:val="004E6C68"/>
    <w:rsid w:val="004E6CF4"/>
    <w:rsid w:val="004E6F1A"/>
    <w:rsid w:val="004E7217"/>
    <w:rsid w:val="004E72F1"/>
    <w:rsid w:val="004E7586"/>
    <w:rsid w:val="004E7740"/>
    <w:rsid w:val="004E7952"/>
    <w:rsid w:val="004E7BEC"/>
    <w:rsid w:val="004F0468"/>
    <w:rsid w:val="004F0485"/>
    <w:rsid w:val="004F07FD"/>
    <w:rsid w:val="004F1743"/>
    <w:rsid w:val="004F18DA"/>
    <w:rsid w:val="004F1A3D"/>
    <w:rsid w:val="004F1BE1"/>
    <w:rsid w:val="004F1E29"/>
    <w:rsid w:val="004F1F6F"/>
    <w:rsid w:val="004F2326"/>
    <w:rsid w:val="004F2365"/>
    <w:rsid w:val="004F261C"/>
    <w:rsid w:val="004F276A"/>
    <w:rsid w:val="004F2DB6"/>
    <w:rsid w:val="004F2EA4"/>
    <w:rsid w:val="004F31ED"/>
    <w:rsid w:val="004F3686"/>
    <w:rsid w:val="004F39A5"/>
    <w:rsid w:val="004F42E2"/>
    <w:rsid w:val="004F46BC"/>
    <w:rsid w:val="004F4B79"/>
    <w:rsid w:val="004F4C2C"/>
    <w:rsid w:val="004F5234"/>
    <w:rsid w:val="004F5C60"/>
    <w:rsid w:val="004F5CD1"/>
    <w:rsid w:val="004F5E33"/>
    <w:rsid w:val="004F6048"/>
    <w:rsid w:val="004F6BF2"/>
    <w:rsid w:val="004F7049"/>
    <w:rsid w:val="004F7071"/>
    <w:rsid w:val="004F710B"/>
    <w:rsid w:val="004F7414"/>
    <w:rsid w:val="004F7422"/>
    <w:rsid w:val="004F7424"/>
    <w:rsid w:val="004F74F7"/>
    <w:rsid w:val="004F76AE"/>
    <w:rsid w:val="004F78CD"/>
    <w:rsid w:val="004F7B03"/>
    <w:rsid w:val="004F7B69"/>
    <w:rsid w:val="004F7CE3"/>
    <w:rsid w:val="005000EA"/>
    <w:rsid w:val="00500D7D"/>
    <w:rsid w:val="00500F34"/>
    <w:rsid w:val="00501CC2"/>
    <w:rsid w:val="00502045"/>
    <w:rsid w:val="00502520"/>
    <w:rsid w:val="00502A95"/>
    <w:rsid w:val="00502C50"/>
    <w:rsid w:val="005032E9"/>
    <w:rsid w:val="00503BD8"/>
    <w:rsid w:val="00503EBD"/>
    <w:rsid w:val="00503FB5"/>
    <w:rsid w:val="00504912"/>
    <w:rsid w:val="00504A63"/>
    <w:rsid w:val="005053C8"/>
    <w:rsid w:val="00505D3D"/>
    <w:rsid w:val="00505D85"/>
    <w:rsid w:val="00506306"/>
    <w:rsid w:val="005063B7"/>
    <w:rsid w:val="005063C7"/>
    <w:rsid w:val="0050642A"/>
    <w:rsid w:val="0050674E"/>
    <w:rsid w:val="0050675F"/>
    <w:rsid w:val="005067FC"/>
    <w:rsid w:val="00506AF6"/>
    <w:rsid w:val="005073D5"/>
    <w:rsid w:val="00507685"/>
    <w:rsid w:val="0051093F"/>
    <w:rsid w:val="00510942"/>
    <w:rsid w:val="00510A35"/>
    <w:rsid w:val="00510B5C"/>
    <w:rsid w:val="00510ECC"/>
    <w:rsid w:val="0051133A"/>
    <w:rsid w:val="00511612"/>
    <w:rsid w:val="00511A15"/>
    <w:rsid w:val="00511A5C"/>
    <w:rsid w:val="00511C86"/>
    <w:rsid w:val="00511FF3"/>
    <w:rsid w:val="005127B5"/>
    <w:rsid w:val="005131F9"/>
    <w:rsid w:val="00513317"/>
    <w:rsid w:val="00513DEE"/>
    <w:rsid w:val="00513E6D"/>
    <w:rsid w:val="00513EE7"/>
    <w:rsid w:val="00514050"/>
    <w:rsid w:val="005141F9"/>
    <w:rsid w:val="0051488D"/>
    <w:rsid w:val="00514F45"/>
    <w:rsid w:val="00515389"/>
    <w:rsid w:val="00515517"/>
    <w:rsid w:val="005155DB"/>
    <w:rsid w:val="005156AB"/>
    <w:rsid w:val="0051572E"/>
    <w:rsid w:val="00515976"/>
    <w:rsid w:val="00515EC4"/>
    <w:rsid w:val="005167F1"/>
    <w:rsid w:val="00516B8D"/>
    <w:rsid w:val="00516D5E"/>
    <w:rsid w:val="0051709B"/>
    <w:rsid w:val="0051740A"/>
    <w:rsid w:val="005175DF"/>
    <w:rsid w:val="00517E79"/>
    <w:rsid w:val="00520422"/>
    <w:rsid w:val="005207FC"/>
    <w:rsid w:val="005209D8"/>
    <w:rsid w:val="0052132D"/>
    <w:rsid w:val="0052158F"/>
    <w:rsid w:val="00521702"/>
    <w:rsid w:val="0052178B"/>
    <w:rsid w:val="0052181F"/>
    <w:rsid w:val="00521857"/>
    <w:rsid w:val="00521A69"/>
    <w:rsid w:val="00521D18"/>
    <w:rsid w:val="005225F8"/>
    <w:rsid w:val="0052267D"/>
    <w:rsid w:val="00522D92"/>
    <w:rsid w:val="00522F57"/>
    <w:rsid w:val="00523132"/>
    <w:rsid w:val="005231E5"/>
    <w:rsid w:val="00523399"/>
    <w:rsid w:val="005233B0"/>
    <w:rsid w:val="005236C7"/>
    <w:rsid w:val="00523782"/>
    <w:rsid w:val="0052463E"/>
    <w:rsid w:val="00524C89"/>
    <w:rsid w:val="0052528D"/>
    <w:rsid w:val="00525407"/>
    <w:rsid w:val="00525618"/>
    <w:rsid w:val="00525B0E"/>
    <w:rsid w:val="00525BB9"/>
    <w:rsid w:val="00525EC7"/>
    <w:rsid w:val="005262A4"/>
    <w:rsid w:val="00526361"/>
    <w:rsid w:val="00526527"/>
    <w:rsid w:val="005267F7"/>
    <w:rsid w:val="00526B46"/>
    <w:rsid w:val="00526B95"/>
    <w:rsid w:val="00526E26"/>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268"/>
    <w:rsid w:val="005315FD"/>
    <w:rsid w:val="00531F07"/>
    <w:rsid w:val="00532455"/>
    <w:rsid w:val="00532581"/>
    <w:rsid w:val="00532BC8"/>
    <w:rsid w:val="00532DF6"/>
    <w:rsid w:val="00532F56"/>
    <w:rsid w:val="0053309B"/>
    <w:rsid w:val="00533533"/>
    <w:rsid w:val="0053384C"/>
    <w:rsid w:val="00533982"/>
    <w:rsid w:val="00533BB2"/>
    <w:rsid w:val="00533CA7"/>
    <w:rsid w:val="00533E3F"/>
    <w:rsid w:val="00534701"/>
    <w:rsid w:val="0053484C"/>
    <w:rsid w:val="00534914"/>
    <w:rsid w:val="00534F98"/>
    <w:rsid w:val="005359E5"/>
    <w:rsid w:val="00535A20"/>
    <w:rsid w:val="00536214"/>
    <w:rsid w:val="00536781"/>
    <w:rsid w:val="00536A51"/>
    <w:rsid w:val="00536AE9"/>
    <w:rsid w:val="00536BD0"/>
    <w:rsid w:val="00536D70"/>
    <w:rsid w:val="00537261"/>
    <w:rsid w:val="00537790"/>
    <w:rsid w:val="00537A41"/>
    <w:rsid w:val="00537B54"/>
    <w:rsid w:val="00537FBC"/>
    <w:rsid w:val="00537FFD"/>
    <w:rsid w:val="00540176"/>
    <w:rsid w:val="0054019A"/>
    <w:rsid w:val="0054043C"/>
    <w:rsid w:val="00540804"/>
    <w:rsid w:val="005408A5"/>
    <w:rsid w:val="0054095A"/>
    <w:rsid w:val="00540BEB"/>
    <w:rsid w:val="00540BFA"/>
    <w:rsid w:val="00540F1E"/>
    <w:rsid w:val="00541885"/>
    <w:rsid w:val="005418AA"/>
    <w:rsid w:val="005419C0"/>
    <w:rsid w:val="00541A80"/>
    <w:rsid w:val="00541E6E"/>
    <w:rsid w:val="005421FC"/>
    <w:rsid w:val="0054257A"/>
    <w:rsid w:val="005428A5"/>
    <w:rsid w:val="00542BB7"/>
    <w:rsid w:val="00542C7A"/>
    <w:rsid w:val="00542F8E"/>
    <w:rsid w:val="00543167"/>
    <w:rsid w:val="0054321A"/>
    <w:rsid w:val="00543890"/>
    <w:rsid w:val="0054393A"/>
    <w:rsid w:val="00543C8C"/>
    <w:rsid w:val="0054435C"/>
    <w:rsid w:val="00544A9A"/>
    <w:rsid w:val="00544BA7"/>
    <w:rsid w:val="005455FA"/>
    <w:rsid w:val="00545861"/>
    <w:rsid w:val="00545B72"/>
    <w:rsid w:val="00545C2E"/>
    <w:rsid w:val="00545CCD"/>
    <w:rsid w:val="00545DE5"/>
    <w:rsid w:val="00545E05"/>
    <w:rsid w:val="005463D0"/>
    <w:rsid w:val="0054643B"/>
    <w:rsid w:val="0054666F"/>
    <w:rsid w:val="00546D37"/>
    <w:rsid w:val="00546FC5"/>
    <w:rsid w:val="0054799D"/>
    <w:rsid w:val="00547A12"/>
    <w:rsid w:val="005504C2"/>
    <w:rsid w:val="00550513"/>
    <w:rsid w:val="005508BF"/>
    <w:rsid w:val="00550B93"/>
    <w:rsid w:val="00550CFF"/>
    <w:rsid w:val="005513AC"/>
    <w:rsid w:val="00551449"/>
    <w:rsid w:val="005514E8"/>
    <w:rsid w:val="00552295"/>
    <w:rsid w:val="00552645"/>
    <w:rsid w:val="00552FA2"/>
    <w:rsid w:val="00553264"/>
    <w:rsid w:val="0055338A"/>
    <w:rsid w:val="00553A58"/>
    <w:rsid w:val="00553AF3"/>
    <w:rsid w:val="00553B8D"/>
    <w:rsid w:val="00553D67"/>
    <w:rsid w:val="00554662"/>
    <w:rsid w:val="005546C3"/>
    <w:rsid w:val="00554826"/>
    <w:rsid w:val="00554919"/>
    <w:rsid w:val="00554A46"/>
    <w:rsid w:val="00554C6A"/>
    <w:rsid w:val="005553C6"/>
    <w:rsid w:val="005554C1"/>
    <w:rsid w:val="0055595E"/>
    <w:rsid w:val="00555C3D"/>
    <w:rsid w:val="005560A6"/>
    <w:rsid w:val="005561F7"/>
    <w:rsid w:val="00556477"/>
    <w:rsid w:val="005567EB"/>
    <w:rsid w:val="0055749F"/>
    <w:rsid w:val="005574F3"/>
    <w:rsid w:val="00557728"/>
    <w:rsid w:val="00557A19"/>
    <w:rsid w:val="005606F9"/>
    <w:rsid w:val="0056082D"/>
    <w:rsid w:val="00560979"/>
    <w:rsid w:val="00560B0D"/>
    <w:rsid w:val="00560D0B"/>
    <w:rsid w:val="00561352"/>
    <w:rsid w:val="00561AD9"/>
    <w:rsid w:val="00561C6A"/>
    <w:rsid w:val="00561C95"/>
    <w:rsid w:val="00561DDB"/>
    <w:rsid w:val="005620BB"/>
    <w:rsid w:val="005632EA"/>
    <w:rsid w:val="005632F6"/>
    <w:rsid w:val="005638B9"/>
    <w:rsid w:val="00563C1B"/>
    <w:rsid w:val="00563C94"/>
    <w:rsid w:val="00564065"/>
    <w:rsid w:val="00564ABC"/>
    <w:rsid w:val="0056526D"/>
    <w:rsid w:val="0056572A"/>
    <w:rsid w:val="00566172"/>
    <w:rsid w:val="00566567"/>
    <w:rsid w:val="00566678"/>
    <w:rsid w:val="005669C2"/>
    <w:rsid w:val="00566DFB"/>
    <w:rsid w:val="005671CA"/>
    <w:rsid w:val="00567203"/>
    <w:rsid w:val="005672A4"/>
    <w:rsid w:val="00567383"/>
    <w:rsid w:val="005673A6"/>
    <w:rsid w:val="00567B51"/>
    <w:rsid w:val="00567E28"/>
    <w:rsid w:val="00567EA3"/>
    <w:rsid w:val="005701B8"/>
    <w:rsid w:val="00570264"/>
    <w:rsid w:val="005702F2"/>
    <w:rsid w:val="00570371"/>
    <w:rsid w:val="00570584"/>
    <w:rsid w:val="005705EF"/>
    <w:rsid w:val="00570C72"/>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F39"/>
    <w:rsid w:val="00574FA6"/>
    <w:rsid w:val="005753D7"/>
    <w:rsid w:val="00575634"/>
    <w:rsid w:val="0057632C"/>
    <w:rsid w:val="00576559"/>
    <w:rsid w:val="00576669"/>
    <w:rsid w:val="00576790"/>
    <w:rsid w:val="0057681F"/>
    <w:rsid w:val="00576AE3"/>
    <w:rsid w:val="00576AE6"/>
    <w:rsid w:val="00576B9F"/>
    <w:rsid w:val="00576D8E"/>
    <w:rsid w:val="0057763E"/>
    <w:rsid w:val="005777E0"/>
    <w:rsid w:val="0057786C"/>
    <w:rsid w:val="005779F9"/>
    <w:rsid w:val="00577AE2"/>
    <w:rsid w:val="00577FA5"/>
    <w:rsid w:val="005805B4"/>
    <w:rsid w:val="005806DC"/>
    <w:rsid w:val="00581A65"/>
    <w:rsid w:val="00581B66"/>
    <w:rsid w:val="00581E87"/>
    <w:rsid w:val="00581ED2"/>
    <w:rsid w:val="005825F5"/>
    <w:rsid w:val="0058286F"/>
    <w:rsid w:val="00582884"/>
    <w:rsid w:val="00582B51"/>
    <w:rsid w:val="00583264"/>
    <w:rsid w:val="0058351D"/>
    <w:rsid w:val="0058397A"/>
    <w:rsid w:val="00583999"/>
    <w:rsid w:val="00583E53"/>
    <w:rsid w:val="00583F97"/>
    <w:rsid w:val="005844CB"/>
    <w:rsid w:val="00584811"/>
    <w:rsid w:val="00584877"/>
    <w:rsid w:val="005848BC"/>
    <w:rsid w:val="00584B85"/>
    <w:rsid w:val="00584CD3"/>
    <w:rsid w:val="00584F80"/>
    <w:rsid w:val="00584FE8"/>
    <w:rsid w:val="005850C1"/>
    <w:rsid w:val="005851C6"/>
    <w:rsid w:val="00585691"/>
    <w:rsid w:val="00585784"/>
    <w:rsid w:val="00585987"/>
    <w:rsid w:val="00585A16"/>
    <w:rsid w:val="00585A99"/>
    <w:rsid w:val="00585FB5"/>
    <w:rsid w:val="0058606B"/>
    <w:rsid w:val="005863FA"/>
    <w:rsid w:val="005868F1"/>
    <w:rsid w:val="00586994"/>
    <w:rsid w:val="00586C30"/>
    <w:rsid w:val="00586E7E"/>
    <w:rsid w:val="00587084"/>
    <w:rsid w:val="00587211"/>
    <w:rsid w:val="00587953"/>
    <w:rsid w:val="00587E57"/>
    <w:rsid w:val="00590494"/>
    <w:rsid w:val="00590616"/>
    <w:rsid w:val="00590763"/>
    <w:rsid w:val="00590878"/>
    <w:rsid w:val="00590C92"/>
    <w:rsid w:val="00590ED1"/>
    <w:rsid w:val="00591333"/>
    <w:rsid w:val="005913AC"/>
    <w:rsid w:val="0059169F"/>
    <w:rsid w:val="00591E01"/>
    <w:rsid w:val="00591EAC"/>
    <w:rsid w:val="005920B0"/>
    <w:rsid w:val="00592370"/>
    <w:rsid w:val="00592AC5"/>
    <w:rsid w:val="00592AF0"/>
    <w:rsid w:val="00592D02"/>
    <w:rsid w:val="00592D54"/>
    <w:rsid w:val="005931F6"/>
    <w:rsid w:val="00593277"/>
    <w:rsid w:val="00593325"/>
    <w:rsid w:val="00593767"/>
    <w:rsid w:val="00593A5E"/>
    <w:rsid w:val="00593AA6"/>
    <w:rsid w:val="00594161"/>
    <w:rsid w:val="0059451B"/>
    <w:rsid w:val="00594568"/>
    <w:rsid w:val="00594749"/>
    <w:rsid w:val="005947E5"/>
    <w:rsid w:val="00594843"/>
    <w:rsid w:val="00594967"/>
    <w:rsid w:val="005950B3"/>
    <w:rsid w:val="0059575F"/>
    <w:rsid w:val="00595E3D"/>
    <w:rsid w:val="00595ED5"/>
    <w:rsid w:val="00595F66"/>
    <w:rsid w:val="00596868"/>
    <w:rsid w:val="00596ABF"/>
    <w:rsid w:val="00596CEB"/>
    <w:rsid w:val="00596E28"/>
    <w:rsid w:val="00597704"/>
    <w:rsid w:val="00597E02"/>
    <w:rsid w:val="005A06F0"/>
    <w:rsid w:val="005A08D1"/>
    <w:rsid w:val="005A0F4C"/>
    <w:rsid w:val="005A0FF4"/>
    <w:rsid w:val="005A1140"/>
    <w:rsid w:val="005A12C0"/>
    <w:rsid w:val="005A162A"/>
    <w:rsid w:val="005A19E7"/>
    <w:rsid w:val="005A1CDD"/>
    <w:rsid w:val="005A221A"/>
    <w:rsid w:val="005A2405"/>
    <w:rsid w:val="005A2555"/>
    <w:rsid w:val="005A2802"/>
    <w:rsid w:val="005A2ADC"/>
    <w:rsid w:val="005A2CB8"/>
    <w:rsid w:val="005A3572"/>
    <w:rsid w:val="005A385E"/>
    <w:rsid w:val="005A42A9"/>
    <w:rsid w:val="005A4334"/>
    <w:rsid w:val="005A44AD"/>
    <w:rsid w:val="005A4B17"/>
    <w:rsid w:val="005A4E09"/>
    <w:rsid w:val="005A5492"/>
    <w:rsid w:val="005A553B"/>
    <w:rsid w:val="005A56B8"/>
    <w:rsid w:val="005A58A8"/>
    <w:rsid w:val="005A5A4B"/>
    <w:rsid w:val="005A5C4F"/>
    <w:rsid w:val="005A5F51"/>
    <w:rsid w:val="005A65D5"/>
    <w:rsid w:val="005A6815"/>
    <w:rsid w:val="005A6EC4"/>
    <w:rsid w:val="005A712F"/>
    <w:rsid w:val="005A7566"/>
    <w:rsid w:val="005A75E9"/>
    <w:rsid w:val="005A787B"/>
    <w:rsid w:val="005B0582"/>
    <w:rsid w:val="005B0B77"/>
    <w:rsid w:val="005B0C3A"/>
    <w:rsid w:val="005B0E84"/>
    <w:rsid w:val="005B14BC"/>
    <w:rsid w:val="005B19E4"/>
    <w:rsid w:val="005B1A91"/>
    <w:rsid w:val="005B1F0A"/>
    <w:rsid w:val="005B2024"/>
    <w:rsid w:val="005B2482"/>
    <w:rsid w:val="005B2652"/>
    <w:rsid w:val="005B27B0"/>
    <w:rsid w:val="005B2A50"/>
    <w:rsid w:val="005B2E62"/>
    <w:rsid w:val="005B3585"/>
    <w:rsid w:val="005B3ADF"/>
    <w:rsid w:val="005B3B84"/>
    <w:rsid w:val="005B3D91"/>
    <w:rsid w:val="005B4067"/>
    <w:rsid w:val="005B412F"/>
    <w:rsid w:val="005B4812"/>
    <w:rsid w:val="005B4A44"/>
    <w:rsid w:val="005B4C89"/>
    <w:rsid w:val="005B4C9E"/>
    <w:rsid w:val="005B50EE"/>
    <w:rsid w:val="005B50EF"/>
    <w:rsid w:val="005B51BA"/>
    <w:rsid w:val="005B547D"/>
    <w:rsid w:val="005B5D1B"/>
    <w:rsid w:val="005B6192"/>
    <w:rsid w:val="005B620F"/>
    <w:rsid w:val="005B677B"/>
    <w:rsid w:val="005B69A7"/>
    <w:rsid w:val="005B6CA9"/>
    <w:rsid w:val="005B6D10"/>
    <w:rsid w:val="005B6FAC"/>
    <w:rsid w:val="005B70D5"/>
    <w:rsid w:val="005B7980"/>
    <w:rsid w:val="005C015F"/>
    <w:rsid w:val="005C050D"/>
    <w:rsid w:val="005C05AC"/>
    <w:rsid w:val="005C08EC"/>
    <w:rsid w:val="005C0AA2"/>
    <w:rsid w:val="005C0DFF"/>
    <w:rsid w:val="005C0FEC"/>
    <w:rsid w:val="005C12D2"/>
    <w:rsid w:val="005C145A"/>
    <w:rsid w:val="005C1FD8"/>
    <w:rsid w:val="005C2347"/>
    <w:rsid w:val="005C2975"/>
    <w:rsid w:val="005C2A07"/>
    <w:rsid w:val="005C2F2E"/>
    <w:rsid w:val="005C316C"/>
    <w:rsid w:val="005C3D85"/>
    <w:rsid w:val="005C3F1F"/>
    <w:rsid w:val="005C3F41"/>
    <w:rsid w:val="005C40FA"/>
    <w:rsid w:val="005C45D3"/>
    <w:rsid w:val="005C480D"/>
    <w:rsid w:val="005C48F3"/>
    <w:rsid w:val="005C4CC0"/>
    <w:rsid w:val="005C512F"/>
    <w:rsid w:val="005C5145"/>
    <w:rsid w:val="005C54FC"/>
    <w:rsid w:val="005C5C4C"/>
    <w:rsid w:val="005C5EF8"/>
    <w:rsid w:val="005C6045"/>
    <w:rsid w:val="005C6167"/>
    <w:rsid w:val="005C6187"/>
    <w:rsid w:val="005C65D5"/>
    <w:rsid w:val="005C6BC2"/>
    <w:rsid w:val="005C711F"/>
    <w:rsid w:val="005C7286"/>
    <w:rsid w:val="005C747E"/>
    <w:rsid w:val="005C7493"/>
    <w:rsid w:val="005C79FA"/>
    <w:rsid w:val="005C7F1B"/>
    <w:rsid w:val="005D0943"/>
    <w:rsid w:val="005D0B2C"/>
    <w:rsid w:val="005D0CE1"/>
    <w:rsid w:val="005D1207"/>
    <w:rsid w:val="005D1254"/>
    <w:rsid w:val="005D13E8"/>
    <w:rsid w:val="005D140F"/>
    <w:rsid w:val="005D14D6"/>
    <w:rsid w:val="005D1577"/>
    <w:rsid w:val="005D1D92"/>
    <w:rsid w:val="005D1F98"/>
    <w:rsid w:val="005D2216"/>
    <w:rsid w:val="005D250C"/>
    <w:rsid w:val="005D2731"/>
    <w:rsid w:val="005D29D9"/>
    <w:rsid w:val="005D2D09"/>
    <w:rsid w:val="005D2D15"/>
    <w:rsid w:val="005D2F5D"/>
    <w:rsid w:val="005D30B8"/>
    <w:rsid w:val="005D325C"/>
    <w:rsid w:val="005D38AF"/>
    <w:rsid w:val="005D39B0"/>
    <w:rsid w:val="005D3AEA"/>
    <w:rsid w:val="005D3DB0"/>
    <w:rsid w:val="005D44C9"/>
    <w:rsid w:val="005D4B2F"/>
    <w:rsid w:val="005D4F54"/>
    <w:rsid w:val="005D4F8D"/>
    <w:rsid w:val="005D5030"/>
    <w:rsid w:val="005D5204"/>
    <w:rsid w:val="005D5278"/>
    <w:rsid w:val="005D59BA"/>
    <w:rsid w:val="005D5ACF"/>
    <w:rsid w:val="005D5D1A"/>
    <w:rsid w:val="005D5E64"/>
    <w:rsid w:val="005D5F69"/>
    <w:rsid w:val="005D67E1"/>
    <w:rsid w:val="005D6AA4"/>
    <w:rsid w:val="005D6E71"/>
    <w:rsid w:val="005D6F59"/>
    <w:rsid w:val="005D7011"/>
    <w:rsid w:val="005D728A"/>
    <w:rsid w:val="005D7520"/>
    <w:rsid w:val="005D7B7F"/>
    <w:rsid w:val="005D7BA2"/>
    <w:rsid w:val="005E00BD"/>
    <w:rsid w:val="005E02BE"/>
    <w:rsid w:val="005E068F"/>
    <w:rsid w:val="005E09C6"/>
    <w:rsid w:val="005E0FA8"/>
    <w:rsid w:val="005E0FB3"/>
    <w:rsid w:val="005E1011"/>
    <w:rsid w:val="005E115C"/>
    <w:rsid w:val="005E122D"/>
    <w:rsid w:val="005E1F70"/>
    <w:rsid w:val="005E2044"/>
    <w:rsid w:val="005E2558"/>
    <w:rsid w:val="005E28AC"/>
    <w:rsid w:val="005E2955"/>
    <w:rsid w:val="005E320D"/>
    <w:rsid w:val="005E3401"/>
    <w:rsid w:val="005E353E"/>
    <w:rsid w:val="005E3983"/>
    <w:rsid w:val="005E3A82"/>
    <w:rsid w:val="005E4790"/>
    <w:rsid w:val="005E47A3"/>
    <w:rsid w:val="005E4E0F"/>
    <w:rsid w:val="005E4E8F"/>
    <w:rsid w:val="005E5740"/>
    <w:rsid w:val="005E5801"/>
    <w:rsid w:val="005E5DFC"/>
    <w:rsid w:val="005E5EBF"/>
    <w:rsid w:val="005E5EEE"/>
    <w:rsid w:val="005E66E9"/>
    <w:rsid w:val="005E6980"/>
    <w:rsid w:val="005E6D86"/>
    <w:rsid w:val="005E6F9E"/>
    <w:rsid w:val="005E6FF1"/>
    <w:rsid w:val="005E7026"/>
    <w:rsid w:val="005E7317"/>
    <w:rsid w:val="005E733A"/>
    <w:rsid w:val="005E7565"/>
    <w:rsid w:val="005F0585"/>
    <w:rsid w:val="005F05A4"/>
    <w:rsid w:val="005F0679"/>
    <w:rsid w:val="005F0692"/>
    <w:rsid w:val="005F06A7"/>
    <w:rsid w:val="005F0872"/>
    <w:rsid w:val="005F0BCD"/>
    <w:rsid w:val="005F0F76"/>
    <w:rsid w:val="005F0FEB"/>
    <w:rsid w:val="005F11D1"/>
    <w:rsid w:val="005F128E"/>
    <w:rsid w:val="005F1382"/>
    <w:rsid w:val="005F2987"/>
    <w:rsid w:val="005F3883"/>
    <w:rsid w:val="005F38FA"/>
    <w:rsid w:val="005F3B9E"/>
    <w:rsid w:val="005F3C5F"/>
    <w:rsid w:val="005F3D40"/>
    <w:rsid w:val="005F3D90"/>
    <w:rsid w:val="005F41DA"/>
    <w:rsid w:val="005F42A1"/>
    <w:rsid w:val="005F46F3"/>
    <w:rsid w:val="005F497A"/>
    <w:rsid w:val="005F4EB0"/>
    <w:rsid w:val="005F5853"/>
    <w:rsid w:val="005F5C2B"/>
    <w:rsid w:val="005F5C46"/>
    <w:rsid w:val="005F5F4D"/>
    <w:rsid w:val="005F5FFA"/>
    <w:rsid w:val="005F62F6"/>
    <w:rsid w:val="005F6513"/>
    <w:rsid w:val="005F6704"/>
    <w:rsid w:val="005F6877"/>
    <w:rsid w:val="005F6A5A"/>
    <w:rsid w:val="005F76D4"/>
    <w:rsid w:val="005F7944"/>
    <w:rsid w:val="0060001B"/>
    <w:rsid w:val="0060007F"/>
    <w:rsid w:val="006001FA"/>
    <w:rsid w:val="00600219"/>
    <w:rsid w:val="00600B75"/>
    <w:rsid w:val="00601458"/>
    <w:rsid w:val="0060177C"/>
    <w:rsid w:val="0060195C"/>
    <w:rsid w:val="00601AF5"/>
    <w:rsid w:val="00601BDD"/>
    <w:rsid w:val="00602154"/>
    <w:rsid w:val="00602A8F"/>
    <w:rsid w:val="00602D8E"/>
    <w:rsid w:val="00602DC0"/>
    <w:rsid w:val="00602F6C"/>
    <w:rsid w:val="00603248"/>
    <w:rsid w:val="006032BF"/>
    <w:rsid w:val="00603CBF"/>
    <w:rsid w:val="00603F25"/>
    <w:rsid w:val="00604001"/>
    <w:rsid w:val="0060445C"/>
    <w:rsid w:val="00604679"/>
    <w:rsid w:val="006048F2"/>
    <w:rsid w:val="00604943"/>
    <w:rsid w:val="00604B8B"/>
    <w:rsid w:val="00604F2A"/>
    <w:rsid w:val="006054A9"/>
    <w:rsid w:val="006057CE"/>
    <w:rsid w:val="00605828"/>
    <w:rsid w:val="00605A5D"/>
    <w:rsid w:val="00605E3D"/>
    <w:rsid w:val="00605F00"/>
    <w:rsid w:val="006064F2"/>
    <w:rsid w:val="00606546"/>
    <w:rsid w:val="00606F17"/>
    <w:rsid w:val="006073F7"/>
    <w:rsid w:val="00607409"/>
    <w:rsid w:val="0060753B"/>
    <w:rsid w:val="00607DC3"/>
    <w:rsid w:val="00607F42"/>
    <w:rsid w:val="00610021"/>
    <w:rsid w:val="00610293"/>
    <w:rsid w:val="00610677"/>
    <w:rsid w:val="0061105D"/>
    <w:rsid w:val="00611097"/>
    <w:rsid w:val="00611100"/>
    <w:rsid w:val="00611109"/>
    <w:rsid w:val="00611122"/>
    <w:rsid w:val="00611434"/>
    <w:rsid w:val="0061156B"/>
    <w:rsid w:val="00611571"/>
    <w:rsid w:val="006116A7"/>
    <w:rsid w:val="00611810"/>
    <w:rsid w:val="00611835"/>
    <w:rsid w:val="00611D21"/>
    <w:rsid w:val="00612552"/>
    <w:rsid w:val="0061262A"/>
    <w:rsid w:val="0061272D"/>
    <w:rsid w:val="00612BB0"/>
    <w:rsid w:val="00612DF6"/>
    <w:rsid w:val="00612F5D"/>
    <w:rsid w:val="00613049"/>
    <w:rsid w:val="0061306A"/>
    <w:rsid w:val="006133C1"/>
    <w:rsid w:val="006133DD"/>
    <w:rsid w:val="006134CE"/>
    <w:rsid w:val="00613EF4"/>
    <w:rsid w:val="00613F1F"/>
    <w:rsid w:val="00613FB7"/>
    <w:rsid w:val="0061439C"/>
    <w:rsid w:val="00614D05"/>
    <w:rsid w:val="00615305"/>
    <w:rsid w:val="006154FA"/>
    <w:rsid w:val="00615A3A"/>
    <w:rsid w:val="00615CF5"/>
    <w:rsid w:val="00615F3F"/>
    <w:rsid w:val="006168F2"/>
    <w:rsid w:val="00616CB2"/>
    <w:rsid w:val="00616CD6"/>
    <w:rsid w:val="00617161"/>
    <w:rsid w:val="00617494"/>
    <w:rsid w:val="00617641"/>
    <w:rsid w:val="006177DC"/>
    <w:rsid w:val="0061789B"/>
    <w:rsid w:val="006179F1"/>
    <w:rsid w:val="00617CBE"/>
    <w:rsid w:val="00620076"/>
    <w:rsid w:val="00620143"/>
    <w:rsid w:val="006202AD"/>
    <w:rsid w:val="006202C0"/>
    <w:rsid w:val="00620931"/>
    <w:rsid w:val="00622331"/>
    <w:rsid w:val="00622442"/>
    <w:rsid w:val="00622963"/>
    <w:rsid w:val="00622967"/>
    <w:rsid w:val="00622BC5"/>
    <w:rsid w:val="00622C68"/>
    <w:rsid w:val="00622D95"/>
    <w:rsid w:val="0062305C"/>
    <w:rsid w:val="006232D2"/>
    <w:rsid w:val="00623545"/>
    <w:rsid w:val="006237F6"/>
    <w:rsid w:val="0062405A"/>
    <w:rsid w:val="00624359"/>
    <w:rsid w:val="006245C5"/>
    <w:rsid w:val="0062470B"/>
    <w:rsid w:val="00624A10"/>
    <w:rsid w:val="00624B88"/>
    <w:rsid w:val="00624C46"/>
    <w:rsid w:val="006259EB"/>
    <w:rsid w:val="00625A20"/>
    <w:rsid w:val="00625CEF"/>
    <w:rsid w:val="00625EAF"/>
    <w:rsid w:val="00626360"/>
    <w:rsid w:val="006268CA"/>
    <w:rsid w:val="006269B8"/>
    <w:rsid w:val="006269DD"/>
    <w:rsid w:val="00626CF9"/>
    <w:rsid w:val="006277D1"/>
    <w:rsid w:val="00627B20"/>
    <w:rsid w:val="00627BBF"/>
    <w:rsid w:val="00627E0A"/>
    <w:rsid w:val="00630CCE"/>
    <w:rsid w:val="00631B6D"/>
    <w:rsid w:val="00631FA0"/>
    <w:rsid w:val="0063227A"/>
    <w:rsid w:val="006325B0"/>
    <w:rsid w:val="006326BD"/>
    <w:rsid w:val="006328F7"/>
    <w:rsid w:val="00632F38"/>
    <w:rsid w:val="00632FD3"/>
    <w:rsid w:val="0063395F"/>
    <w:rsid w:val="00633D39"/>
    <w:rsid w:val="00633F32"/>
    <w:rsid w:val="00634A19"/>
    <w:rsid w:val="00634A2B"/>
    <w:rsid w:val="00634B0C"/>
    <w:rsid w:val="00634C2B"/>
    <w:rsid w:val="00634CFD"/>
    <w:rsid w:val="00634E2B"/>
    <w:rsid w:val="00635130"/>
    <w:rsid w:val="006353A7"/>
    <w:rsid w:val="00635775"/>
    <w:rsid w:val="00635D2E"/>
    <w:rsid w:val="00636AAF"/>
    <w:rsid w:val="00636DED"/>
    <w:rsid w:val="006370DB"/>
    <w:rsid w:val="00637660"/>
    <w:rsid w:val="00637D26"/>
    <w:rsid w:val="00637F6C"/>
    <w:rsid w:val="00637FA0"/>
    <w:rsid w:val="006400CB"/>
    <w:rsid w:val="006406B8"/>
    <w:rsid w:val="00640C9A"/>
    <w:rsid w:val="006411AA"/>
    <w:rsid w:val="0064129D"/>
    <w:rsid w:val="00641354"/>
    <w:rsid w:val="00641373"/>
    <w:rsid w:val="0064143B"/>
    <w:rsid w:val="006414ED"/>
    <w:rsid w:val="00641579"/>
    <w:rsid w:val="0064186C"/>
    <w:rsid w:val="00641A2B"/>
    <w:rsid w:val="00641B18"/>
    <w:rsid w:val="00641C2F"/>
    <w:rsid w:val="0064258E"/>
    <w:rsid w:val="00642599"/>
    <w:rsid w:val="006428CE"/>
    <w:rsid w:val="006439DC"/>
    <w:rsid w:val="00643B0C"/>
    <w:rsid w:val="00643CA9"/>
    <w:rsid w:val="006440EB"/>
    <w:rsid w:val="00644685"/>
    <w:rsid w:val="0064468A"/>
    <w:rsid w:val="00645533"/>
    <w:rsid w:val="0064555D"/>
    <w:rsid w:val="0064557B"/>
    <w:rsid w:val="00645780"/>
    <w:rsid w:val="006457CF"/>
    <w:rsid w:val="006459EF"/>
    <w:rsid w:val="00645C54"/>
    <w:rsid w:val="00645EDE"/>
    <w:rsid w:val="00645EFC"/>
    <w:rsid w:val="0064640C"/>
    <w:rsid w:val="006469F0"/>
    <w:rsid w:val="00646B83"/>
    <w:rsid w:val="00646E04"/>
    <w:rsid w:val="00646F98"/>
    <w:rsid w:val="006470C6"/>
    <w:rsid w:val="00647468"/>
    <w:rsid w:val="00647B86"/>
    <w:rsid w:val="00647CD4"/>
    <w:rsid w:val="006501A9"/>
    <w:rsid w:val="00650258"/>
    <w:rsid w:val="00650303"/>
    <w:rsid w:val="00650322"/>
    <w:rsid w:val="00650836"/>
    <w:rsid w:val="00650CC8"/>
    <w:rsid w:val="00650D27"/>
    <w:rsid w:val="00650E4E"/>
    <w:rsid w:val="006512A0"/>
    <w:rsid w:val="00651598"/>
    <w:rsid w:val="00651859"/>
    <w:rsid w:val="00651977"/>
    <w:rsid w:val="00651A6B"/>
    <w:rsid w:val="00651E0E"/>
    <w:rsid w:val="00651E77"/>
    <w:rsid w:val="00652327"/>
    <w:rsid w:val="006523AF"/>
    <w:rsid w:val="00652543"/>
    <w:rsid w:val="0065271F"/>
    <w:rsid w:val="006527A0"/>
    <w:rsid w:val="00652E95"/>
    <w:rsid w:val="0065338E"/>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015"/>
    <w:rsid w:val="0065726A"/>
    <w:rsid w:val="0065734A"/>
    <w:rsid w:val="00657409"/>
    <w:rsid w:val="0065745C"/>
    <w:rsid w:val="006574AE"/>
    <w:rsid w:val="006576EE"/>
    <w:rsid w:val="006577B0"/>
    <w:rsid w:val="00657865"/>
    <w:rsid w:val="00657BD6"/>
    <w:rsid w:val="00657EB1"/>
    <w:rsid w:val="00657FC0"/>
    <w:rsid w:val="00660292"/>
    <w:rsid w:val="006605F3"/>
    <w:rsid w:val="00660648"/>
    <w:rsid w:val="00660C22"/>
    <w:rsid w:val="00660EA9"/>
    <w:rsid w:val="006613DD"/>
    <w:rsid w:val="00661543"/>
    <w:rsid w:val="006615B8"/>
    <w:rsid w:val="00661642"/>
    <w:rsid w:val="00661647"/>
    <w:rsid w:val="006618C7"/>
    <w:rsid w:val="00661B1D"/>
    <w:rsid w:val="00661BD9"/>
    <w:rsid w:val="00661DA2"/>
    <w:rsid w:val="0066254D"/>
    <w:rsid w:val="0066261E"/>
    <w:rsid w:val="0066289C"/>
    <w:rsid w:val="00662909"/>
    <w:rsid w:val="00662C00"/>
    <w:rsid w:val="00664D1B"/>
    <w:rsid w:val="00664FFE"/>
    <w:rsid w:val="006650B7"/>
    <w:rsid w:val="006650D4"/>
    <w:rsid w:val="00665366"/>
    <w:rsid w:val="00665A4A"/>
    <w:rsid w:val="00665C3A"/>
    <w:rsid w:val="00666165"/>
    <w:rsid w:val="0066619D"/>
    <w:rsid w:val="0066622F"/>
    <w:rsid w:val="00666570"/>
    <w:rsid w:val="00666781"/>
    <w:rsid w:val="00666879"/>
    <w:rsid w:val="006668DC"/>
    <w:rsid w:val="00667055"/>
    <w:rsid w:val="0066709D"/>
    <w:rsid w:val="0066723C"/>
    <w:rsid w:val="006678B8"/>
    <w:rsid w:val="00667BF8"/>
    <w:rsid w:val="00667C80"/>
    <w:rsid w:val="00667D7E"/>
    <w:rsid w:val="006700ED"/>
    <w:rsid w:val="0067030C"/>
    <w:rsid w:val="0067067B"/>
    <w:rsid w:val="006707BE"/>
    <w:rsid w:val="006709BF"/>
    <w:rsid w:val="00670A4A"/>
    <w:rsid w:val="00670B57"/>
    <w:rsid w:val="00670C72"/>
    <w:rsid w:val="00670EA1"/>
    <w:rsid w:val="00670EE8"/>
    <w:rsid w:val="006710FF"/>
    <w:rsid w:val="006713C7"/>
    <w:rsid w:val="00671464"/>
    <w:rsid w:val="0067196D"/>
    <w:rsid w:val="00671ABF"/>
    <w:rsid w:val="00672098"/>
    <w:rsid w:val="00672569"/>
    <w:rsid w:val="00672663"/>
    <w:rsid w:val="00672CCE"/>
    <w:rsid w:val="00672E97"/>
    <w:rsid w:val="0067300D"/>
    <w:rsid w:val="00673059"/>
    <w:rsid w:val="0067325E"/>
    <w:rsid w:val="006733A6"/>
    <w:rsid w:val="006738B1"/>
    <w:rsid w:val="00673DF3"/>
    <w:rsid w:val="00673E27"/>
    <w:rsid w:val="0067406D"/>
    <w:rsid w:val="006746C8"/>
    <w:rsid w:val="00674C29"/>
    <w:rsid w:val="00674F25"/>
    <w:rsid w:val="0067524B"/>
    <w:rsid w:val="00675371"/>
    <w:rsid w:val="00675414"/>
    <w:rsid w:val="006758CE"/>
    <w:rsid w:val="00675964"/>
    <w:rsid w:val="00675F61"/>
    <w:rsid w:val="00676577"/>
    <w:rsid w:val="006765B7"/>
    <w:rsid w:val="00676975"/>
    <w:rsid w:val="00677174"/>
    <w:rsid w:val="00677444"/>
    <w:rsid w:val="0067794E"/>
    <w:rsid w:val="00677A7A"/>
    <w:rsid w:val="00677B40"/>
    <w:rsid w:val="00677CC2"/>
    <w:rsid w:val="00677EE3"/>
    <w:rsid w:val="006800A2"/>
    <w:rsid w:val="00680165"/>
    <w:rsid w:val="006802B7"/>
    <w:rsid w:val="006806D8"/>
    <w:rsid w:val="0068085D"/>
    <w:rsid w:val="0068144D"/>
    <w:rsid w:val="00681654"/>
    <w:rsid w:val="00681986"/>
    <w:rsid w:val="00681C0D"/>
    <w:rsid w:val="00681C87"/>
    <w:rsid w:val="00681F3E"/>
    <w:rsid w:val="0068201F"/>
    <w:rsid w:val="00682087"/>
    <w:rsid w:val="00682377"/>
    <w:rsid w:val="0068241F"/>
    <w:rsid w:val="00682447"/>
    <w:rsid w:val="00682A8D"/>
    <w:rsid w:val="00682AB1"/>
    <w:rsid w:val="00682D57"/>
    <w:rsid w:val="00682DD6"/>
    <w:rsid w:val="006833E3"/>
    <w:rsid w:val="006839AF"/>
    <w:rsid w:val="00683E02"/>
    <w:rsid w:val="00683F64"/>
    <w:rsid w:val="006842D0"/>
    <w:rsid w:val="006854A6"/>
    <w:rsid w:val="00685666"/>
    <w:rsid w:val="00685849"/>
    <w:rsid w:val="00685B6B"/>
    <w:rsid w:val="00685CBC"/>
    <w:rsid w:val="00685E28"/>
    <w:rsid w:val="0068609F"/>
    <w:rsid w:val="006860E5"/>
    <w:rsid w:val="0068615D"/>
    <w:rsid w:val="006861A8"/>
    <w:rsid w:val="00686207"/>
    <w:rsid w:val="00686487"/>
    <w:rsid w:val="00686B6F"/>
    <w:rsid w:val="00687042"/>
    <w:rsid w:val="0068744B"/>
    <w:rsid w:val="00687705"/>
    <w:rsid w:val="006879C2"/>
    <w:rsid w:val="006905DE"/>
    <w:rsid w:val="0069064E"/>
    <w:rsid w:val="006906FF"/>
    <w:rsid w:val="00690A7C"/>
    <w:rsid w:val="00690E1C"/>
    <w:rsid w:val="00690E59"/>
    <w:rsid w:val="00690F9D"/>
    <w:rsid w:val="00691D93"/>
    <w:rsid w:val="0069207B"/>
    <w:rsid w:val="00692643"/>
    <w:rsid w:val="00692743"/>
    <w:rsid w:val="006936C2"/>
    <w:rsid w:val="00693A57"/>
    <w:rsid w:val="00693CFD"/>
    <w:rsid w:val="00693E1C"/>
    <w:rsid w:val="006942A0"/>
    <w:rsid w:val="006942BB"/>
    <w:rsid w:val="006945F2"/>
    <w:rsid w:val="00695155"/>
    <w:rsid w:val="006951D4"/>
    <w:rsid w:val="006951D9"/>
    <w:rsid w:val="0069550F"/>
    <w:rsid w:val="006955D6"/>
    <w:rsid w:val="00696400"/>
    <w:rsid w:val="00696A1A"/>
    <w:rsid w:val="00696D32"/>
    <w:rsid w:val="006971AE"/>
    <w:rsid w:val="0069750A"/>
    <w:rsid w:val="00697797"/>
    <w:rsid w:val="0069799C"/>
    <w:rsid w:val="00697F3A"/>
    <w:rsid w:val="006A0200"/>
    <w:rsid w:val="006A05E4"/>
    <w:rsid w:val="006A0962"/>
    <w:rsid w:val="006A099A"/>
    <w:rsid w:val="006A0A91"/>
    <w:rsid w:val="006A154F"/>
    <w:rsid w:val="006A16A9"/>
    <w:rsid w:val="006A1869"/>
    <w:rsid w:val="006A19AF"/>
    <w:rsid w:val="006A1BB9"/>
    <w:rsid w:val="006A289A"/>
    <w:rsid w:val="006A2BE5"/>
    <w:rsid w:val="006A3878"/>
    <w:rsid w:val="006A3D50"/>
    <w:rsid w:val="006A437B"/>
    <w:rsid w:val="006A44C9"/>
    <w:rsid w:val="006A46A1"/>
    <w:rsid w:val="006A4999"/>
    <w:rsid w:val="006A49B7"/>
    <w:rsid w:val="006A4CCB"/>
    <w:rsid w:val="006A59D7"/>
    <w:rsid w:val="006A5C45"/>
    <w:rsid w:val="006A5F5A"/>
    <w:rsid w:val="006A66EB"/>
    <w:rsid w:val="006A67DC"/>
    <w:rsid w:val="006A6A4A"/>
    <w:rsid w:val="006A744D"/>
    <w:rsid w:val="006A7B7C"/>
    <w:rsid w:val="006B0374"/>
    <w:rsid w:val="006B0789"/>
    <w:rsid w:val="006B07B6"/>
    <w:rsid w:val="006B0B8C"/>
    <w:rsid w:val="006B0BB6"/>
    <w:rsid w:val="006B1129"/>
    <w:rsid w:val="006B13B8"/>
    <w:rsid w:val="006B187A"/>
    <w:rsid w:val="006B208E"/>
    <w:rsid w:val="006B24A3"/>
    <w:rsid w:val="006B2983"/>
    <w:rsid w:val="006B29A1"/>
    <w:rsid w:val="006B2A2A"/>
    <w:rsid w:val="006B2BC8"/>
    <w:rsid w:val="006B3BAD"/>
    <w:rsid w:val="006B3DAD"/>
    <w:rsid w:val="006B3FFE"/>
    <w:rsid w:val="006B4A33"/>
    <w:rsid w:val="006B4E2A"/>
    <w:rsid w:val="006B4E3A"/>
    <w:rsid w:val="006B4E41"/>
    <w:rsid w:val="006B4FA5"/>
    <w:rsid w:val="006B512E"/>
    <w:rsid w:val="006B5132"/>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3A5"/>
    <w:rsid w:val="006B741C"/>
    <w:rsid w:val="006B76D3"/>
    <w:rsid w:val="006B77BB"/>
    <w:rsid w:val="006B7DE4"/>
    <w:rsid w:val="006C0B87"/>
    <w:rsid w:val="006C1885"/>
    <w:rsid w:val="006C1E71"/>
    <w:rsid w:val="006C1E76"/>
    <w:rsid w:val="006C2048"/>
    <w:rsid w:val="006C20BC"/>
    <w:rsid w:val="006C241A"/>
    <w:rsid w:val="006C2689"/>
    <w:rsid w:val="006C2A50"/>
    <w:rsid w:val="006C2BE3"/>
    <w:rsid w:val="006C30C5"/>
    <w:rsid w:val="006C36A0"/>
    <w:rsid w:val="006C40B4"/>
    <w:rsid w:val="006C41C9"/>
    <w:rsid w:val="006C4697"/>
    <w:rsid w:val="006C48DA"/>
    <w:rsid w:val="006C4B67"/>
    <w:rsid w:val="006C4E0F"/>
    <w:rsid w:val="006C525E"/>
    <w:rsid w:val="006C5392"/>
    <w:rsid w:val="006C565A"/>
    <w:rsid w:val="006C5838"/>
    <w:rsid w:val="006C5F38"/>
    <w:rsid w:val="006C6120"/>
    <w:rsid w:val="006C6326"/>
    <w:rsid w:val="006C6486"/>
    <w:rsid w:val="006C6609"/>
    <w:rsid w:val="006C68E4"/>
    <w:rsid w:val="006C6AA4"/>
    <w:rsid w:val="006C6B6B"/>
    <w:rsid w:val="006C7364"/>
    <w:rsid w:val="006C7793"/>
    <w:rsid w:val="006C7AAF"/>
    <w:rsid w:val="006C7F23"/>
    <w:rsid w:val="006C7F8C"/>
    <w:rsid w:val="006D0138"/>
    <w:rsid w:val="006D01E3"/>
    <w:rsid w:val="006D05E8"/>
    <w:rsid w:val="006D07E3"/>
    <w:rsid w:val="006D084F"/>
    <w:rsid w:val="006D089E"/>
    <w:rsid w:val="006D0D6A"/>
    <w:rsid w:val="006D0EE7"/>
    <w:rsid w:val="006D109B"/>
    <w:rsid w:val="006D19A7"/>
    <w:rsid w:val="006D1A17"/>
    <w:rsid w:val="006D1DEC"/>
    <w:rsid w:val="006D22A3"/>
    <w:rsid w:val="006D2309"/>
    <w:rsid w:val="006D2C58"/>
    <w:rsid w:val="006D30A9"/>
    <w:rsid w:val="006D3D1D"/>
    <w:rsid w:val="006D3E28"/>
    <w:rsid w:val="006D48AC"/>
    <w:rsid w:val="006D49D9"/>
    <w:rsid w:val="006D4A46"/>
    <w:rsid w:val="006D4D83"/>
    <w:rsid w:val="006D5C12"/>
    <w:rsid w:val="006D5CA7"/>
    <w:rsid w:val="006D5D81"/>
    <w:rsid w:val="006D66FF"/>
    <w:rsid w:val="006D67AC"/>
    <w:rsid w:val="006D67EF"/>
    <w:rsid w:val="006D698A"/>
    <w:rsid w:val="006D6B85"/>
    <w:rsid w:val="006D6BCC"/>
    <w:rsid w:val="006D6E93"/>
    <w:rsid w:val="006D70C3"/>
    <w:rsid w:val="006D70C4"/>
    <w:rsid w:val="006D74DC"/>
    <w:rsid w:val="006D7F5E"/>
    <w:rsid w:val="006E01E6"/>
    <w:rsid w:val="006E0254"/>
    <w:rsid w:val="006E0653"/>
    <w:rsid w:val="006E0A0B"/>
    <w:rsid w:val="006E1089"/>
    <w:rsid w:val="006E1271"/>
    <w:rsid w:val="006E13A2"/>
    <w:rsid w:val="006E1771"/>
    <w:rsid w:val="006E1E73"/>
    <w:rsid w:val="006E2292"/>
    <w:rsid w:val="006E25D4"/>
    <w:rsid w:val="006E281F"/>
    <w:rsid w:val="006E2CF8"/>
    <w:rsid w:val="006E2D63"/>
    <w:rsid w:val="006E2E1C"/>
    <w:rsid w:val="006E3BF2"/>
    <w:rsid w:val="006E3FD0"/>
    <w:rsid w:val="006E43A2"/>
    <w:rsid w:val="006E43E3"/>
    <w:rsid w:val="006E489B"/>
    <w:rsid w:val="006E4B99"/>
    <w:rsid w:val="006E55A2"/>
    <w:rsid w:val="006E5665"/>
    <w:rsid w:val="006E5B93"/>
    <w:rsid w:val="006E5F95"/>
    <w:rsid w:val="006E6044"/>
    <w:rsid w:val="006E6246"/>
    <w:rsid w:val="006E63EB"/>
    <w:rsid w:val="006E65B8"/>
    <w:rsid w:val="006E6668"/>
    <w:rsid w:val="006E66F0"/>
    <w:rsid w:val="006E69C2"/>
    <w:rsid w:val="006E6DCC"/>
    <w:rsid w:val="006E6E7F"/>
    <w:rsid w:val="006E6F98"/>
    <w:rsid w:val="006E725D"/>
    <w:rsid w:val="006E73DC"/>
    <w:rsid w:val="006E7445"/>
    <w:rsid w:val="006E759C"/>
    <w:rsid w:val="006E7B60"/>
    <w:rsid w:val="006E7CEB"/>
    <w:rsid w:val="006E7E08"/>
    <w:rsid w:val="006F00AD"/>
    <w:rsid w:val="006F02D5"/>
    <w:rsid w:val="006F0BFB"/>
    <w:rsid w:val="006F0D62"/>
    <w:rsid w:val="006F0D6C"/>
    <w:rsid w:val="006F0FA1"/>
    <w:rsid w:val="006F0FED"/>
    <w:rsid w:val="006F100D"/>
    <w:rsid w:val="006F158D"/>
    <w:rsid w:val="006F184B"/>
    <w:rsid w:val="006F1B0F"/>
    <w:rsid w:val="006F2496"/>
    <w:rsid w:val="006F283D"/>
    <w:rsid w:val="006F2C9A"/>
    <w:rsid w:val="006F2EC3"/>
    <w:rsid w:val="006F318F"/>
    <w:rsid w:val="006F3656"/>
    <w:rsid w:val="006F3DC7"/>
    <w:rsid w:val="006F4229"/>
    <w:rsid w:val="006F432E"/>
    <w:rsid w:val="006F43D1"/>
    <w:rsid w:val="006F4484"/>
    <w:rsid w:val="006F48E4"/>
    <w:rsid w:val="006F49BC"/>
    <w:rsid w:val="006F4A42"/>
    <w:rsid w:val="006F4AED"/>
    <w:rsid w:val="006F4B08"/>
    <w:rsid w:val="006F4D6D"/>
    <w:rsid w:val="006F57C5"/>
    <w:rsid w:val="006F634D"/>
    <w:rsid w:val="006F64C3"/>
    <w:rsid w:val="006F658F"/>
    <w:rsid w:val="006F6600"/>
    <w:rsid w:val="006F6A8E"/>
    <w:rsid w:val="006F6AFE"/>
    <w:rsid w:val="006F6BB0"/>
    <w:rsid w:val="006F6BEB"/>
    <w:rsid w:val="006F6F26"/>
    <w:rsid w:val="006F72A9"/>
    <w:rsid w:val="0070017E"/>
    <w:rsid w:val="0070053F"/>
    <w:rsid w:val="00700B2C"/>
    <w:rsid w:val="00701680"/>
    <w:rsid w:val="007016A9"/>
    <w:rsid w:val="00701E3F"/>
    <w:rsid w:val="0070205C"/>
    <w:rsid w:val="00702080"/>
    <w:rsid w:val="00702396"/>
    <w:rsid w:val="0070247B"/>
    <w:rsid w:val="007027F9"/>
    <w:rsid w:val="0070298F"/>
    <w:rsid w:val="00702B4C"/>
    <w:rsid w:val="00702C55"/>
    <w:rsid w:val="00703034"/>
    <w:rsid w:val="0070346B"/>
    <w:rsid w:val="007037B6"/>
    <w:rsid w:val="007037DF"/>
    <w:rsid w:val="0070405E"/>
    <w:rsid w:val="0070409C"/>
    <w:rsid w:val="007043F6"/>
    <w:rsid w:val="00704555"/>
    <w:rsid w:val="00704791"/>
    <w:rsid w:val="007050A2"/>
    <w:rsid w:val="00705165"/>
    <w:rsid w:val="0070538D"/>
    <w:rsid w:val="00705BCF"/>
    <w:rsid w:val="0070614F"/>
    <w:rsid w:val="00706292"/>
    <w:rsid w:val="007066D2"/>
    <w:rsid w:val="00706ACF"/>
    <w:rsid w:val="00706DF7"/>
    <w:rsid w:val="0070737B"/>
    <w:rsid w:val="007074CF"/>
    <w:rsid w:val="00707CB0"/>
    <w:rsid w:val="00707FC6"/>
    <w:rsid w:val="0071045B"/>
    <w:rsid w:val="00710BD4"/>
    <w:rsid w:val="00711041"/>
    <w:rsid w:val="007110DB"/>
    <w:rsid w:val="007111DB"/>
    <w:rsid w:val="00711312"/>
    <w:rsid w:val="00711409"/>
    <w:rsid w:val="007115C0"/>
    <w:rsid w:val="0071161D"/>
    <w:rsid w:val="00711989"/>
    <w:rsid w:val="00711D10"/>
    <w:rsid w:val="00712434"/>
    <w:rsid w:val="00712A9B"/>
    <w:rsid w:val="00713084"/>
    <w:rsid w:val="007133E0"/>
    <w:rsid w:val="007134C2"/>
    <w:rsid w:val="00713923"/>
    <w:rsid w:val="0071395B"/>
    <w:rsid w:val="00713ACE"/>
    <w:rsid w:val="00714089"/>
    <w:rsid w:val="007144E3"/>
    <w:rsid w:val="007149EB"/>
    <w:rsid w:val="00714F20"/>
    <w:rsid w:val="00715048"/>
    <w:rsid w:val="007157C6"/>
    <w:rsid w:val="0071590F"/>
    <w:rsid w:val="00715914"/>
    <w:rsid w:val="00715A6B"/>
    <w:rsid w:val="0071645B"/>
    <w:rsid w:val="00716DAE"/>
    <w:rsid w:val="007172DB"/>
    <w:rsid w:val="0071751C"/>
    <w:rsid w:val="00717E13"/>
    <w:rsid w:val="007203D0"/>
    <w:rsid w:val="007204B1"/>
    <w:rsid w:val="007206AB"/>
    <w:rsid w:val="007207F1"/>
    <w:rsid w:val="00720A35"/>
    <w:rsid w:val="00720B10"/>
    <w:rsid w:val="00720B63"/>
    <w:rsid w:val="00720BCB"/>
    <w:rsid w:val="00720D1C"/>
    <w:rsid w:val="00721201"/>
    <w:rsid w:val="00721227"/>
    <w:rsid w:val="00721327"/>
    <w:rsid w:val="0072147A"/>
    <w:rsid w:val="00721F5B"/>
    <w:rsid w:val="007220E6"/>
    <w:rsid w:val="007222DC"/>
    <w:rsid w:val="0072242E"/>
    <w:rsid w:val="00722649"/>
    <w:rsid w:val="00722E21"/>
    <w:rsid w:val="007230CD"/>
    <w:rsid w:val="00723791"/>
    <w:rsid w:val="00724397"/>
    <w:rsid w:val="0072468A"/>
    <w:rsid w:val="0072478C"/>
    <w:rsid w:val="00724945"/>
    <w:rsid w:val="00724981"/>
    <w:rsid w:val="00724A0E"/>
    <w:rsid w:val="00724A80"/>
    <w:rsid w:val="00724BEC"/>
    <w:rsid w:val="00724C80"/>
    <w:rsid w:val="00724C92"/>
    <w:rsid w:val="00724DBA"/>
    <w:rsid w:val="00724DD6"/>
    <w:rsid w:val="00724F9F"/>
    <w:rsid w:val="00725446"/>
    <w:rsid w:val="00725B78"/>
    <w:rsid w:val="00725B81"/>
    <w:rsid w:val="007267B8"/>
    <w:rsid w:val="00726E00"/>
    <w:rsid w:val="00726E5F"/>
    <w:rsid w:val="007271AF"/>
    <w:rsid w:val="007276E5"/>
    <w:rsid w:val="00727B02"/>
    <w:rsid w:val="00727DFE"/>
    <w:rsid w:val="007300BF"/>
    <w:rsid w:val="007303FA"/>
    <w:rsid w:val="00730825"/>
    <w:rsid w:val="00730E44"/>
    <w:rsid w:val="00730E7C"/>
    <w:rsid w:val="00731040"/>
    <w:rsid w:val="007315B2"/>
    <w:rsid w:val="00731B7B"/>
    <w:rsid w:val="00731E00"/>
    <w:rsid w:val="00731E09"/>
    <w:rsid w:val="0073218F"/>
    <w:rsid w:val="007323C8"/>
    <w:rsid w:val="00732CFA"/>
    <w:rsid w:val="007330AF"/>
    <w:rsid w:val="0073349F"/>
    <w:rsid w:val="007335A8"/>
    <w:rsid w:val="00733B1E"/>
    <w:rsid w:val="00733FB8"/>
    <w:rsid w:val="00734166"/>
    <w:rsid w:val="00734611"/>
    <w:rsid w:val="007349D5"/>
    <w:rsid w:val="00734DE6"/>
    <w:rsid w:val="007352D7"/>
    <w:rsid w:val="00735881"/>
    <w:rsid w:val="00735D6E"/>
    <w:rsid w:val="00735DCA"/>
    <w:rsid w:val="00735FC9"/>
    <w:rsid w:val="0073600E"/>
    <w:rsid w:val="007360BE"/>
    <w:rsid w:val="0073623D"/>
    <w:rsid w:val="00736B2E"/>
    <w:rsid w:val="007377A0"/>
    <w:rsid w:val="00737B42"/>
    <w:rsid w:val="00737BB3"/>
    <w:rsid w:val="00737C4C"/>
    <w:rsid w:val="00737D70"/>
    <w:rsid w:val="0074088B"/>
    <w:rsid w:val="00740CF6"/>
    <w:rsid w:val="00741024"/>
    <w:rsid w:val="007415AF"/>
    <w:rsid w:val="00741B4B"/>
    <w:rsid w:val="00741C01"/>
    <w:rsid w:val="00741EF2"/>
    <w:rsid w:val="00742419"/>
    <w:rsid w:val="00742522"/>
    <w:rsid w:val="0074265B"/>
    <w:rsid w:val="007427BC"/>
    <w:rsid w:val="00742AEA"/>
    <w:rsid w:val="007432B2"/>
    <w:rsid w:val="007437DE"/>
    <w:rsid w:val="007439BF"/>
    <w:rsid w:val="00743B13"/>
    <w:rsid w:val="00743D73"/>
    <w:rsid w:val="00743F12"/>
    <w:rsid w:val="007440B7"/>
    <w:rsid w:val="0074443E"/>
    <w:rsid w:val="00744AF2"/>
    <w:rsid w:val="00744CFB"/>
    <w:rsid w:val="0074515C"/>
    <w:rsid w:val="007451A3"/>
    <w:rsid w:val="00745207"/>
    <w:rsid w:val="0074547F"/>
    <w:rsid w:val="00745560"/>
    <w:rsid w:val="007458FE"/>
    <w:rsid w:val="00745A67"/>
    <w:rsid w:val="00745DDB"/>
    <w:rsid w:val="00746078"/>
    <w:rsid w:val="007464B6"/>
    <w:rsid w:val="00746704"/>
    <w:rsid w:val="007467D0"/>
    <w:rsid w:val="0074701E"/>
    <w:rsid w:val="007473CE"/>
    <w:rsid w:val="007473E1"/>
    <w:rsid w:val="007478E9"/>
    <w:rsid w:val="00747BDB"/>
    <w:rsid w:val="007500C8"/>
    <w:rsid w:val="0075045C"/>
    <w:rsid w:val="007509ED"/>
    <w:rsid w:val="00750AF6"/>
    <w:rsid w:val="007513B0"/>
    <w:rsid w:val="00751616"/>
    <w:rsid w:val="00751A4A"/>
    <w:rsid w:val="0075243B"/>
    <w:rsid w:val="007524A7"/>
    <w:rsid w:val="007525A8"/>
    <w:rsid w:val="0075290C"/>
    <w:rsid w:val="007529DB"/>
    <w:rsid w:val="00752C56"/>
    <w:rsid w:val="0075340F"/>
    <w:rsid w:val="0075360E"/>
    <w:rsid w:val="00753734"/>
    <w:rsid w:val="00753B0E"/>
    <w:rsid w:val="00753CD7"/>
    <w:rsid w:val="00753E60"/>
    <w:rsid w:val="007540B3"/>
    <w:rsid w:val="00754995"/>
    <w:rsid w:val="00754D69"/>
    <w:rsid w:val="007553D8"/>
    <w:rsid w:val="007554EF"/>
    <w:rsid w:val="00755617"/>
    <w:rsid w:val="0075578A"/>
    <w:rsid w:val="007559A0"/>
    <w:rsid w:val="00756272"/>
    <w:rsid w:val="00756CD6"/>
    <w:rsid w:val="00756D94"/>
    <w:rsid w:val="00756FEC"/>
    <w:rsid w:val="0075707B"/>
    <w:rsid w:val="0075734A"/>
    <w:rsid w:val="007574EA"/>
    <w:rsid w:val="007579F8"/>
    <w:rsid w:val="00757BD1"/>
    <w:rsid w:val="00760725"/>
    <w:rsid w:val="00760855"/>
    <w:rsid w:val="0076093C"/>
    <w:rsid w:val="00760F44"/>
    <w:rsid w:val="007612A3"/>
    <w:rsid w:val="00761847"/>
    <w:rsid w:val="00761C3B"/>
    <w:rsid w:val="00761E3E"/>
    <w:rsid w:val="007620DA"/>
    <w:rsid w:val="007622E5"/>
    <w:rsid w:val="00762610"/>
    <w:rsid w:val="007628C4"/>
    <w:rsid w:val="00762D38"/>
    <w:rsid w:val="00763413"/>
    <w:rsid w:val="0076441D"/>
    <w:rsid w:val="00764454"/>
    <w:rsid w:val="00764A26"/>
    <w:rsid w:val="007653E8"/>
    <w:rsid w:val="00765632"/>
    <w:rsid w:val="00765D4C"/>
    <w:rsid w:val="007661BE"/>
    <w:rsid w:val="007663CE"/>
    <w:rsid w:val="0076657A"/>
    <w:rsid w:val="00766AD1"/>
    <w:rsid w:val="00766DF6"/>
    <w:rsid w:val="00767153"/>
    <w:rsid w:val="00767262"/>
    <w:rsid w:val="00767AED"/>
    <w:rsid w:val="00767BDB"/>
    <w:rsid w:val="00767BF0"/>
    <w:rsid w:val="00767F8D"/>
    <w:rsid w:val="0077000D"/>
    <w:rsid w:val="007700AB"/>
    <w:rsid w:val="00770142"/>
    <w:rsid w:val="00770174"/>
    <w:rsid w:val="007703C5"/>
    <w:rsid w:val="00770793"/>
    <w:rsid w:val="00770833"/>
    <w:rsid w:val="00770E66"/>
    <w:rsid w:val="0077123D"/>
    <w:rsid w:val="007715C9"/>
    <w:rsid w:val="00771613"/>
    <w:rsid w:val="00771909"/>
    <w:rsid w:val="00771CCB"/>
    <w:rsid w:val="00771FEA"/>
    <w:rsid w:val="00771FEB"/>
    <w:rsid w:val="007724FF"/>
    <w:rsid w:val="00773178"/>
    <w:rsid w:val="007735AD"/>
    <w:rsid w:val="00773999"/>
    <w:rsid w:val="00773B09"/>
    <w:rsid w:val="00773B4A"/>
    <w:rsid w:val="00773C0B"/>
    <w:rsid w:val="00773FE8"/>
    <w:rsid w:val="00774373"/>
    <w:rsid w:val="007744AA"/>
    <w:rsid w:val="007744B8"/>
    <w:rsid w:val="00774956"/>
    <w:rsid w:val="00774A0B"/>
    <w:rsid w:val="00774BBC"/>
    <w:rsid w:val="00774EDD"/>
    <w:rsid w:val="00774F40"/>
    <w:rsid w:val="007751B6"/>
    <w:rsid w:val="007751C4"/>
    <w:rsid w:val="0077524F"/>
    <w:rsid w:val="00775342"/>
    <w:rsid w:val="007756A1"/>
    <w:rsid w:val="007757EC"/>
    <w:rsid w:val="007758DB"/>
    <w:rsid w:val="007759E6"/>
    <w:rsid w:val="00775E3B"/>
    <w:rsid w:val="0077609A"/>
    <w:rsid w:val="007765A0"/>
    <w:rsid w:val="00776D98"/>
    <w:rsid w:val="0077736E"/>
    <w:rsid w:val="0077773C"/>
    <w:rsid w:val="00777850"/>
    <w:rsid w:val="00777905"/>
    <w:rsid w:val="0077796B"/>
    <w:rsid w:val="0077799B"/>
    <w:rsid w:val="00777A32"/>
    <w:rsid w:val="00777D69"/>
    <w:rsid w:val="00777FAF"/>
    <w:rsid w:val="007804FD"/>
    <w:rsid w:val="0078083F"/>
    <w:rsid w:val="00780B69"/>
    <w:rsid w:val="00780FDD"/>
    <w:rsid w:val="007810C6"/>
    <w:rsid w:val="00781358"/>
    <w:rsid w:val="00781B3C"/>
    <w:rsid w:val="00781D75"/>
    <w:rsid w:val="00782229"/>
    <w:rsid w:val="00782AF0"/>
    <w:rsid w:val="00782B96"/>
    <w:rsid w:val="007830D5"/>
    <w:rsid w:val="007831E2"/>
    <w:rsid w:val="00783228"/>
    <w:rsid w:val="007832F9"/>
    <w:rsid w:val="0078330A"/>
    <w:rsid w:val="00783416"/>
    <w:rsid w:val="00783E89"/>
    <w:rsid w:val="00783EEC"/>
    <w:rsid w:val="00784B06"/>
    <w:rsid w:val="00784B52"/>
    <w:rsid w:val="00784DBC"/>
    <w:rsid w:val="00784E7F"/>
    <w:rsid w:val="007850E2"/>
    <w:rsid w:val="007859DD"/>
    <w:rsid w:val="00785BE7"/>
    <w:rsid w:val="00785DF9"/>
    <w:rsid w:val="00785E8E"/>
    <w:rsid w:val="007860F3"/>
    <w:rsid w:val="007866A8"/>
    <w:rsid w:val="00786B97"/>
    <w:rsid w:val="00786DD2"/>
    <w:rsid w:val="00787380"/>
    <w:rsid w:val="00787619"/>
    <w:rsid w:val="007876D8"/>
    <w:rsid w:val="007877E7"/>
    <w:rsid w:val="00787A1C"/>
    <w:rsid w:val="00787D5B"/>
    <w:rsid w:val="00790058"/>
    <w:rsid w:val="0079056B"/>
    <w:rsid w:val="0079072E"/>
    <w:rsid w:val="00790B08"/>
    <w:rsid w:val="00790DDC"/>
    <w:rsid w:val="00790E28"/>
    <w:rsid w:val="00790E2D"/>
    <w:rsid w:val="00790FE3"/>
    <w:rsid w:val="007912E9"/>
    <w:rsid w:val="007913C6"/>
    <w:rsid w:val="007915E6"/>
    <w:rsid w:val="007920A1"/>
    <w:rsid w:val="007920C0"/>
    <w:rsid w:val="007923AC"/>
    <w:rsid w:val="00792880"/>
    <w:rsid w:val="007928D0"/>
    <w:rsid w:val="00792CF8"/>
    <w:rsid w:val="00793266"/>
    <w:rsid w:val="0079340D"/>
    <w:rsid w:val="00793915"/>
    <w:rsid w:val="007939CA"/>
    <w:rsid w:val="00793C0E"/>
    <w:rsid w:val="00793C49"/>
    <w:rsid w:val="00793F13"/>
    <w:rsid w:val="0079405B"/>
    <w:rsid w:val="007941AE"/>
    <w:rsid w:val="00794226"/>
    <w:rsid w:val="007943E9"/>
    <w:rsid w:val="00794463"/>
    <w:rsid w:val="00794BC7"/>
    <w:rsid w:val="00795081"/>
    <w:rsid w:val="00795195"/>
    <w:rsid w:val="00795514"/>
    <w:rsid w:val="00795745"/>
    <w:rsid w:val="00795CFD"/>
    <w:rsid w:val="0079658F"/>
    <w:rsid w:val="00796690"/>
    <w:rsid w:val="007968A9"/>
    <w:rsid w:val="00796ADB"/>
    <w:rsid w:val="00796E79"/>
    <w:rsid w:val="007971AD"/>
    <w:rsid w:val="00797A68"/>
    <w:rsid w:val="00797BF9"/>
    <w:rsid w:val="007A00A8"/>
    <w:rsid w:val="007A0338"/>
    <w:rsid w:val="007A038D"/>
    <w:rsid w:val="007A05E0"/>
    <w:rsid w:val="007A06D4"/>
    <w:rsid w:val="007A098F"/>
    <w:rsid w:val="007A0C9F"/>
    <w:rsid w:val="007A13E2"/>
    <w:rsid w:val="007A16F9"/>
    <w:rsid w:val="007A1737"/>
    <w:rsid w:val="007A1DBB"/>
    <w:rsid w:val="007A2848"/>
    <w:rsid w:val="007A29F8"/>
    <w:rsid w:val="007A2A0C"/>
    <w:rsid w:val="007A2B16"/>
    <w:rsid w:val="007A2F5C"/>
    <w:rsid w:val="007A3260"/>
    <w:rsid w:val="007A3482"/>
    <w:rsid w:val="007A3BAD"/>
    <w:rsid w:val="007A3BC8"/>
    <w:rsid w:val="007A3CFC"/>
    <w:rsid w:val="007A3DE1"/>
    <w:rsid w:val="007A42A8"/>
    <w:rsid w:val="007A4646"/>
    <w:rsid w:val="007A4810"/>
    <w:rsid w:val="007A4BBB"/>
    <w:rsid w:val="007A56B7"/>
    <w:rsid w:val="007A574D"/>
    <w:rsid w:val="007A59A2"/>
    <w:rsid w:val="007A59AB"/>
    <w:rsid w:val="007A5B35"/>
    <w:rsid w:val="007A5CAA"/>
    <w:rsid w:val="007A5EA4"/>
    <w:rsid w:val="007A5F06"/>
    <w:rsid w:val="007A5F35"/>
    <w:rsid w:val="007A65F2"/>
    <w:rsid w:val="007A6921"/>
    <w:rsid w:val="007A6B87"/>
    <w:rsid w:val="007A6B95"/>
    <w:rsid w:val="007A6D5D"/>
    <w:rsid w:val="007A6D9E"/>
    <w:rsid w:val="007A6E63"/>
    <w:rsid w:val="007A6E9C"/>
    <w:rsid w:val="007A73A4"/>
    <w:rsid w:val="007A75FF"/>
    <w:rsid w:val="007B039A"/>
    <w:rsid w:val="007B04D7"/>
    <w:rsid w:val="007B0A69"/>
    <w:rsid w:val="007B0B29"/>
    <w:rsid w:val="007B0BF2"/>
    <w:rsid w:val="007B1239"/>
    <w:rsid w:val="007B1618"/>
    <w:rsid w:val="007B1637"/>
    <w:rsid w:val="007B1930"/>
    <w:rsid w:val="007B1FFD"/>
    <w:rsid w:val="007B24AA"/>
    <w:rsid w:val="007B25CC"/>
    <w:rsid w:val="007B32F4"/>
    <w:rsid w:val="007B3359"/>
    <w:rsid w:val="007B3705"/>
    <w:rsid w:val="007B4550"/>
    <w:rsid w:val="007B483C"/>
    <w:rsid w:val="007B4BAC"/>
    <w:rsid w:val="007B5964"/>
    <w:rsid w:val="007B5B8E"/>
    <w:rsid w:val="007B5E50"/>
    <w:rsid w:val="007B5FF6"/>
    <w:rsid w:val="007B60E7"/>
    <w:rsid w:val="007B63BD"/>
    <w:rsid w:val="007B6A8E"/>
    <w:rsid w:val="007B7063"/>
    <w:rsid w:val="007B767D"/>
    <w:rsid w:val="007B7EB2"/>
    <w:rsid w:val="007C064E"/>
    <w:rsid w:val="007C067E"/>
    <w:rsid w:val="007C0AB5"/>
    <w:rsid w:val="007C0CF1"/>
    <w:rsid w:val="007C0F9A"/>
    <w:rsid w:val="007C12F4"/>
    <w:rsid w:val="007C182F"/>
    <w:rsid w:val="007C18B8"/>
    <w:rsid w:val="007C1909"/>
    <w:rsid w:val="007C1A28"/>
    <w:rsid w:val="007C20E3"/>
    <w:rsid w:val="007C2253"/>
    <w:rsid w:val="007C2C55"/>
    <w:rsid w:val="007C2E11"/>
    <w:rsid w:val="007C2E21"/>
    <w:rsid w:val="007C3419"/>
    <w:rsid w:val="007C366B"/>
    <w:rsid w:val="007C399C"/>
    <w:rsid w:val="007C39E2"/>
    <w:rsid w:val="007C3A49"/>
    <w:rsid w:val="007C3A88"/>
    <w:rsid w:val="007C3C51"/>
    <w:rsid w:val="007C3F5E"/>
    <w:rsid w:val="007C454B"/>
    <w:rsid w:val="007C51CB"/>
    <w:rsid w:val="007C538E"/>
    <w:rsid w:val="007C53A4"/>
    <w:rsid w:val="007C5478"/>
    <w:rsid w:val="007C55DA"/>
    <w:rsid w:val="007C56E9"/>
    <w:rsid w:val="007C597F"/>
    <w:rsid w:val="007C5EA4"/>
    <w:rsid w:val="007C64E6"/>
    <w:rsid w:val="007C6FA3"/>
    <w:rsid w:val="007C720F"/>
    <w:rsid w:val="007C7606"/>
    <w:rsid w:val="007C7E2B"/>
    <w:rsid w:val="007C7F24"/>
    <w:rsid w:val="007D00B6"/>
    <w:rsid w:val="007D0142"/>
    <w:rsid w:val="007D0835"/>
    <w:rsid w:val="007D0887"/>
    <w:rsid w:val="007D0ED4"/>
    <w:rsid w:val="007D104F"/>
    <w:rsid w:val="007D1D96"/>
    <w:rsid w:val="007D1E1C"/>
    <w:rsid w:val="007D1FD5"/>
    <w:rsid w:val="007D217E"/>
    <w:rsid w:val="007D23D4"/>
    <w:rsid w:val="007D2B0D"/>
    <w:rsid w:val="007D2B18"/>
    <w:rsid w:val="007D3054"/>
    <w:rsid w:val="007D318A"/>
    <w:rsid w:val="007D31D8"/>
    <w:rsid w:val="007D356E"/>
    <w:rsid w:val="007D38E7"/>
    <w:rsid w:val="007D3A3A"/>
    <w:rsid w:val="007D3AD3"/>
    <w:rsid w:val="007D3C73"/>
    <w:rsid w:val="007D3DA9"/>
    <w:rsid w:val="007D3E70"/>
    <w:rsid w:val="007D3E9F"/>
    <w:rsid w:val="007D42D2"/>
    <w:rsid w:val="007D4365"/>
    <w:rsid w:val="007D4550"/>
    <w:rsid w:val="007D472A"/>
    <w:rsid w:val="007D4943"/>
    <w:rsid w:val="007D4EB4"/>
    <w:rsid w:val="007D52E6"/>
    <w:rsid w:val="007D5353"/>
    <w:rsid w:val="007D619E"/>
    <w:rsid w:val="007D627B"/>
    <w:rsid w:val="007D67DE"/>
    <w:rsid w:val="007D6BD6"/>
    <w:rsid w:val="007D702E"/>
    <w:rsid w:val="007D7304"/>
    <w:rsid w:val="007D757F"/>
    <w:rsid w:val="007D7691"/>
    <w:rsid w:val="007D7911"/>
    <w:rsid w:val="007D7D2A"/>
    <w:rsid w:val="007D7D68"/>
    <w:rsid w:val="007E00D8"/>
    <w:rsid w:val="007E01D1"/>
    <w:rsid w:val="007E0546"/>
    <w:rsid w:val="007E05DB"/>
    <w:rsid w:val="007E06D0"/>
    <w:rsid w:val="007E0700"/>
    <w:rsid w:val="007E078A"/>
    <w:rsid w:val="007E08B8"/>
    <w:rsid w:val="007E1269"/>
    <w:rsid w:val="007E133E"/>
    <w:rsid w:val="007E163D"/>
    <w:rsid w:val="007E1C1E"/>
    <w:rsid w:val="007E216A"/>
    <w:rsid w:val="007E2322"/>
    <w:rsid w:val="007E2593"/>
    <w:rsid w:val="007E2C13"/>
    <w:rsid w:val="007E2FF8"/>
    <w:rsid w:val="007E30D6"/>
    <w:rsid w:val="007E3974"/>
    <w:rsid w:val="007E39C0"/>
    <w:rsid w:val="007E3CF0"/>
    <w:rsid w:val="007E40B6"/>
    <w:rsid w:val="007E41AB"/>
    <w:rsid w:val="007E431E"/>
    <w:rsid w:val="007E4C21"/>
    <w:rsid w:val="007E4CC1"/>
    <w:rsid w:val="007E4E84"/>
    <w:rsid w:val="007E5005"/>
    <w:rsid w:val="007E5013"/>
    <w:rsid w:val="007E50A6"/>
    <w:rsid w:val="007E5358"/>
    <w:rsid w:val="007E5381"/>
    <w:rsid w:val="007E5623"/>
    <w:rsid w:val="007E56D3"/>
    <w:rsid w:val="007E5E00"/>
    <w:rsid w:val="007E63C4"/>
    <w:rsid w:val="007E667A"/>
    <w:rsid w:val="007E69B9"/>
    <w:rsid w:val="007E74E2"/>
    <w:rsid w:val="007E7687"/>
    <w:rsid w:val="007E7D1C"/>
    <w:rsid w:val="007E7D82"/>
    <w:rsid w:val="007F0E09"/>
    <w:rsid w:val="007F1333"/>
    <w:rsid w:val="007F1A07"/>
    <w:rsid w:val="007F1EF8"/>
    <w:rsid w:val="007F1F01"/>
    <w:rsid w:val="007F228F"/>
    <w:rsid w:val="007F2856"/>
    <w:rsid w:val="007F28C9"/>
    <w:rsid w:val="007F308F"/>
    <w:rsid w:val="007F3929"/>
    <w:rsid w:val="007F3AE3"/>
    <w:rsid w:val="007F3C0E"/>
    <w:rsid w:val="007F3E41"/>
    <w:rsid w:val="007F3E58"/>
    <w:rsid w:val="007F40BA"/>
    <w:rsid w:val="007F464E"/>
    <w:rsid w:val="007F51B2"/>
    <w:rsid w:val="007F52FD"/>
    <w:rsid w:val="007F5867"/>
    <w:rsid w:val="007F6715"/>
    <w:rsid w:val="007F6971"/>
    <w:rsid w:val="007F6BFB"/>
    <w:rsid w:val="007F6F3B"/>
    <w:rsid w:val="007F731E"/>
    <w:rsid w:val="007F7D75"/>
    <w:rsid w:val="00800029"/>
    <w:rsid w:val="00800833"/>
    <w:rsid w:val="008010F2"/>
    <w:rsid w:val="00801870"/>
    <w:rsid w:val="00801A67"/>
    <w:rsid w:val="0080218E"/>
    <w:rsid w:val="0080291B"/>
    <w:rsid w:val="00802E2A"/>
    <w:rsid w:val="00802F9D"/>
    <w:rsid w:val="008031EE"/>
    <w:rsid w:val="00803634"/>
    <w:rsid w:val="00803B1B"/>
    <w:rsid w:val="00803ECE"/>
    <w:rsid w:val="008040DD"/>
    <w:rsid w:val="0080445C"/>
    <w:rsid w:val="008044BB"/>
    <w:rsid w:val="008044EE"/>
    <w:rsid w:val="00804641"/>
    <w:rsid w:val="0080483B"/>
    <w:rsid w:val="0080484E"/>
    <w:rsid w:val="00804885"/>
    <w:rsid w:val="008048AE"/>
    <w:rsid w:val="00804BC6"/>
    <w:rsid w:val="00804EE5"/>
    <w:rsid w:val="00805371"/>
    <w:rsid w:val="0080586F"/>
    <w:rsid w:val="008060FB"/>
    <w:rsid w:val="00806989"/>
    <w:rsid w:val="00806A89"/>
    <w:rsid w:val="00806F36"/>
    <w:rsid w:val="008070E5"/>
    <w:rsid w:val="008071FC"/>
    <w:rsid w:val="0080725F"/>
    <w:rsid w:val="00807338"/>
    <w:rsid w:val="008074B7"/>
    <w:rsid w:val="00807780"/>
    <w:rsid w:val="008104CC"/>
    <w:rsid w:val="00810823"/>
    <w:rsid w:val="00810AAC"/>
    <w:rsid w:val="00810FD7"/>
    <w:rsid w:val="00811767"/>
    <w:rsid w:val="008117E9"/>
    <w:rsid w:val="00811B32"/>
    <w:rsid w:val="008121BC"/>
    <w:rsid w:val="00812487"/>
    <w:rsid w:val="00813256"/>
    <w:rsid w:val="008132B6"/>
    <w:rsid w:val="008132CE"/>
    <w:rsid w:val="00813976"/>
    <w:rsid w:val="00813B46"/>
    <w:rsid w:val="00813CB4"/>
    <w:rsid w:val="008141BF"/>
    <w:rsid w:val="008143E0"/>
    <w:rsid w:val="00814B1D"/>
    <w:rsid w:val="00814D9B"/>
    <w:rsid w:val="00814F97"/>
    <w:rsid w:val="00815DE8"/>
    <w:rsid w:val="0081611B"/>
    <w:rsid w:val="008162B6"/>
    <w:rsid w:val="008163DF"/>
    <w:rsid w:val="00816599"/>
    <w:rsid w:val="00816610"/>
    <w:rsid w:val="00816641"/>
    <w:rsid w:val="008168F1"/>
    <w:rsid w:val="00816EDE"/>
    <w:rsid w:val="00817E76"/>
    <w:rsid w:val="008200B2"/>
    <w:rsid w:val="008200DA"/>
    <w:rsid w:val="008205D0"/>
    <w:rsid w:val="00820FBA"/>
    <w:rsid w:val="008212CE"/>
    <w:rsid w:val="008218A3"/>
    <w:rsid w:val="00821968"/>
    <w:rsid w:val="00821BD0"/>
    <w:rsid w:val="00821EF8"/>
    <w:rsid w:val="0082218B"/>
    <w:rsid w:val="00822257"/>
    <w:rsid w:val="00822384"/>
    <w:rsid w:val="0082238A"/>
    <w:rsid w:val="008223BD"/>
    <w:rsid w:val="00822540"/>
    <w:rsid w:val="00822BE7"/>
    <w:rsid w:val="00822D31"/>
    <w:rsid w:val="008232CD"/>
    <w:rsid w:val="00823362"/>
    <w:rsid w:val="0082342F"/>
    <w:rsid w:val="00823503"/>
    <w:rsid w:val="0082355A"/>
    <w:rsid w:val="00823AC8"/>
    <w:rsid w:val="00823C55"/>
    <w:rsid w:val="00823FAD"/>
    <w:rsid w:val="0082422B"/>
    <w:rsid w:val="008243D2"/>
    <w:rsid w:val="00824498"/>
    <w:rsid w:val="008244FE"/>
    <w:rsid w:val="0082460C"/>
    <w:rsid w:val="00824A81"/>
    <w:rsid w:val="00824B7C"/>
    <w:rsid w:val="00824F6B"/>
    <w:rsid w:val="00825A47"/>
    <w:rsid w:val="00825AEB"/>
    <w:rsid w:val="00825CD1"/>
    <w:rsid w:val="00825FB5"/>
    <w:rsid w:val="008260BC"/>
    <w:rsid w:val="0082667C"/>
    <w:rsid w:val="00826849"/>
    <w:rsid w:val="008268BD"/>
    <w:rsid w:val="008268FE"/>
    <w:rsid w:val="0082695E"/>
    <w:rsid w:val="008269BD"/>
    <w:rsid w:val="00826B39"/>
    <w:rsid w:val="00826BD1"/>
    <w:rsid w:val="00826EE4"/>
    <w:rsid w:val="00827264"/>
    <w:rsid w:val="00827636"/>
    <w:rsid w:val="008276E2"/>
    <w:rsid w:val="00827930"/>
    <w:rsid w:val="00827C3A"/>
    <w:rsid w:val="00827EF4"/>
    <w:rsid w:val="008301BB"/>
    <w:rsid w:val="0083032B"/>
    <w:rsid w:val="00830D59"/>
    <w:rsid w:val="00831015"/>
    <w:rsid w:val="00831514"/>
    <w:rsid w:val="0083154E"/>
    <w:rsid w:val="00831AF7"/>
    <w:rsid w:val="00831AFF"/>
    <w:rsid w:val="00831BCF"/>
    <w:rsid w:val="00832060"/>
    <w:rsid w:val="008322E5"/>
    <w:rsid w:val="00832865"/>
    <w:rsid w:val="008328FA"/>
    <w:rsid w:val="008329A8"/>
    <w:rsid w:val="00832F30"/>
    <w:rsid w:val="00833237"/>
    <w:rsid w:val="00833B8A"/>
    <w:rsid w:val="00833C5B"/>
    <w:rsid w:val="00833D25"/>
    <w:rsid w:val="0083411E"/>
    <w:rsid w:val="008341BA"/>
    <w:rsid w:val="008348BB"/>
    <w:rsid w:val="008348FC"/>
    <w:rsid w:val="008349C6"/>
    <w:rsid w:val="00834A6D"/>
    <w:rsid w:val="00834CB7"/>
    <w:rsid w:val="00834CD7"/>
    <w:rsid w:val="00834DB0"/>
    <w:rsid w:val="0083509D"/>
    <w:rsid w:val="008350C9"/>
    <w:rsid w:val="008351B0"/>
    <w:rsid w:val="008353E3"/>
    <w:rsid w:val="008356D6"/>
    <w:rsid w:val="008357C1"/>
    <w:rsid w:val="00836064"/>
    <w:rsid w:val="00836312"/>
    <w:rsid w:val="00836AC2"/>
    <w:rsid w:val="008373D3"/>
    <w:rsid w:val="008373FA"/>
    <w:rsid w:val="008378FE"/>
    <w:rsid w:val="00837E7E"/>
    <w:rsid w:val="00840A8D"/>
    <w:rsid w:val="0084143B"/>
    <w:rsid w:val="0084154D"/>
    <w:rsid w:val="008415FE"/>
    <w:rsid w:val="008416AB"/>
    <w:rsid w:val="00841CF7"/>
    <w:rsid w:val="00841E3E"/>
    <w:rsid w:val="00841EE3"/>
    <w:rsid w:val="00841F89"/>
    <w:rsid w:val="00842421"/>
    <w:rsid w:val="008424B7"/>
    <w:rsid w:val="00842630"/>
    <w:rsid w:val="00843489"/>
    <w:rsid w:val="008436BF"/>
    <w:rsid w:val="0084375A"/>
    <w:rsid w:val="00844572"/>
    <w:rsid w:val="00844648"/>
    <w:rsid w:val="00844AC2"/>
    <w:rsid w:val="00844C01"/>
    <w:rsid w:val="00844CD3"/>
    <w:rsid w:val="00844D16"/>
    <w:rsid w:val="00845A05"/>
    <w:rsid w:val="00845E54"/>
    <w:rsid w:val="008460C5"/>
    <w:rsid w:val="00846486"/>
    <w:rsid w:val="00846AF0"/>
    <w:rsid w:val="00846CE8"/>
    <w:rsid w:val="008472A6"/>
    <w:rsid w:val="00847580"/>
    <w:rsid w:val="0084758C"/>
    <w:rsid w:val="0085007E"/>
    <w:rsid w:val="008501D5"/>
    <w:rsid w:val="008505A3"/>
    <w:rsid w:val="008508C8"/>
    <w:rsid w:val="0085114C"/>
    <w:rsid w:val="00851463"/>
    <w:rsid w:val="008515E2"/>
    <w:rsid w:val="00851A58"/>
    <w:rsid w:val="00851BA9"/>
    <w:rsid w:val="00852505"/>
    <w:rsid w:val="008526E1"/>
    <w:rsid w:val="00852D0A"/>
    <w:rsid w:val="00852EE8"/>
    <w:rsid w:val="008530EB"/>
    <w:rsid w:val="0085342C"/>
    <w:rsid w:val="00853955"/>
    <w:rsid w:val="00853DA5"/>
    <w:rsid w:val="00853DAA"/>
    <w:rsid w:val="0085400E"/>
    <w:rsid w:val="00854316"/>
    <w:rsid w:val="00854A72"/>
    <w:rsid w:val="00854D0B"/>
    <w:rsid w:val="00854F39"/>
    <w:rsid w:val="00855030"/>
    <w:rsid w:val="008554E9"/>
    <w:rsid w:val="00855657"/>
    <w:rsid w:val="00855B0D"/>
    <w:rsid w:val="00855DEF"/>
    <w:rsid w:val="00856752"/>
    <w:rsid w:val="00856A1A"/>
    <w:rsid w:val="00856A31"/>
    <w:rsid w:val="00856A9E"/>
    <w:rsid w:val="00857082"/>
    <w:rsid w:val="00857700"/>
    <w:rsid w:val="00857B4F"/>
    <w:rsid w:val="00857C20"/>
    <w:rsid w:val="008605D9"/>
    <w:rsid w:val="00860B4E"/>
    <w:rsid w:val="00860C1F"/>
    <w:rsid w:val="00860F98"/>
    <w:rsid w:val="00861112"/>
    <w:rsid w:val="008613E9"/>
    <w:rsid w:val="00861A2B"/>
    <w:rsid w:val="00861DB2"/>
    <w:rsid w:val="00862BA8"/>
    <w:rsid w:val="00862C0A"/>
    <w:rsid w:val="00862E2D"/>
    <w:rsid w:val="008635C6"/>
    <w:rsid w:val="00863722"/>
    <w:rsid w:val="00863BD0"/>
    <w:rsid w:val="008642B6"/>
    <w:rsid w:val="00864479"/>
    <w:rsid w:val="00864537"/>
    <w:rsid w:val="00864594"/>
    <w:rsid w:val="0086489E"/>
    <w:rsid w:val="00864EC7"/>
    <w:rsid w:val="00864EDF"/>
    <w:rsid w:val="00865319"/>
    <w:rsid w:val="0086536B"/>
    <w:rsid w:val="0086577F"/>
    <w:rsid w:val="00865B8D"/>
    <w:rsid w:val="00865BCB"/>
    <w:rsid w:val="00865C66"/>
    <w:rsid w:val="00865DB9"/>
    <w:rsid w:val="008661D1"/>
    <w:rsid w:val="0086624D"/>
    <w:rsid w:val="0086671F"/>
    <w:rsid w:val="00866755"/>
    <w:rsid w:val="008667D0"/>
    <w:rsid w:val="00866ED2"/>
    <w:rsid w:val="00867637"/>
    <w:rsid w:val="0086784D"/>
    <w:rsid w:val="00867B37"/>
    <w:rsid w:val="00867FF5"/>
    <w:rsid w:val="0087060A"/>
    <w:rsid w:val="00870D71"/>
    <w:rsid w:val="00870E93"/>
    <w:rsid w:val="0087176B"/>
    <w:rsid w:val="00871F97"/>
    <w:rsid w:val="00872109"/>
    <w:rsid w:val="008721EE"/>
    <w:rsid w:val="008723B8"/>
    <w:rsid w:val="00872423"/>
    <w:rsid w:val="00872E46"/>
    <w:rsid w:val="00873412"/>
    <w:rsid w:val="0087349A"/>
    <w:rsid w:val="008734EF"/>
    <w:rsid w:val="0087352D"/>
    <w:rsid w:val="00874068"/>
    <w:rsid w:val="00874332"/>
    <w:rsid w:val="008744D0"/>
    <w:rsid w:val="008745D0"/>
    <w:rsid w:val="00874B47"/>
    <w:rsid w:val="00874C42"/>
    <w:rsid w:val="008750BA"/>
    <w:rsid w:val="008753E7"/>
    <w:rsid w:val="008754D0"/>
    <w:rsid w:val="0087563A"/>
    <w:rsid w:val="00875A11"/>
    <w:rsid w:val="00875A67"/>
    <w:rsid w:val="00875D13"/>
    <w:rsid w:val="00876012"/>
    <w:rsid w:val="00876112"/>
    <w:rsid w:val="0087611C"/>
    <w:rsid w:val="0087642D"/>
    <w:rsid w:val="008771C2"/>
    <w:rsid w:val="008775CB"/>
    <w:rsid w:val="00877704"/>
    <w:rsid w:val="00877ADB"/>
    <w:rsid w:val="00877B68"/>
    <w:rsid w:val="00877E6D"/>
    <w:rsid w:val="008802BB"/>
    <w:rsid w:val="00880B78"/>
    <w:rsid w:val="00880EE0"/>
    <w:rsid w:val="00880F77"/>
    <w:rsid w:val="0088110B"/>
    <w:rsid w:val="00881172"/>
    <w:rsid w:val="0088168F"/>
    <w:rsid w:val="0088215F"/>
    <w:rsid w:val="0088235F"/>
    <w:rsid w:val="008824C6"/>
    <w:rsid w:val="0088284A"/>
    <w:rsid w:val="00882907"/>
    <w:rsid w:val="00882CC6"/>
    <w:rsid w:val="00882D42"/>
    <w:rsid w:val="0088310A"/>
    <w:rsid w:val="00883424"/>
    <w:rsid w:val="0088347C"/>
    <w:rsid w:val="008836DA"/>
    <w:rsid w:val="0088370B"/>
    <w:rsid w:val="00883BB4"/>
    <w:rsid w:val="00883CE2"/>
    <w:rsid w:val="00883E94"/>
    <w:rsid w:val="00883F0E"/>
    <w:rsid w:val="00884121"/>
    <w:rsid w:val="008841E2"/>
    <w:rsid w:val="008848B7"/>
    <w:rsid w:val="008849EE"/>
    <w:rsid w:val="00884BAA"/>
    <w:rsid w:val="00884C33"/>
    <w:rsid w:val="00884D98"/>
    <w:rsid w:val="008855C9"/>
    <w:rsid w:val="0088589C"/>
    <w:rsid w:val="00886456"/>
    <w:rsid w:val="00886615"/>
    <w:rsid w:val="0088662B"/>
    <w:rsid w:val="00886873"/>
    <w:rsid w:val="00886F06"/>
    <w:rsid w:val="008870FD"/>
    <w:rsid w:val="008874DD"/>
    <w:rsid w:val="008874F8"/>
    <w:rsid w:val="00887A64"/>
    <w:rsid w:val="00887DF1"/>
    <w:rsid w:val="00887F35"/>
    <w:rsid w:val="00890136"/>
    <w:rsid w:val="00890388"/>
    <w:rsid w:val="0089049F"/>
    <w:rsid w:val="0089052E"/>
    <w:rsid w:val="00890702"/>
    <w:rsid w:val="00890B51"/>
    <w:rsid w:val="00890C82"/>
    <w:rsid w:val="00890E01"/>
    <w:rsid w:val="0089134B"/>
    <w:rsid w:val="00891680"/>
    <w:rsid w:val="00891846"/>
    <w:rsid w:val="00891D49"/>
    <w:rsid w:val="008920B5"/>
    <w:rsid w:val="00892C5D"/>
    <w:rsid w:val="00892CE1"/>
    <w:rsid w:val="00892FE1"/>
    <w:rsid w:val="00893D42"/>
    <w:rsid w:val="00893F40"/>
    <w:rsid w:val="00894067"/>
    <w:rsid w:val="00894179"/>
    <w:rsid w:val="008943B5"/>
    <w:rsid w:val="008946BC"/>
    <w:rsid w:val="00894AEC"/>
    <w:rsid w:val="00895166"/>
    <w:rsid w:val="008951CD"/>
    <w:rsid w:val="00895561"/>
    <w:rsid w:val="008955C1"/>
    <w:rsid w:val="00895D36"/>
    <w:rsid w:val="00895EA0"/>
    <w:rsid w:val="00896093"/>
    <w:rsid w:val="008960AB"/>
    <w:rsid w:val="00896176"/>
    <w:rsid w:val="00896204"/>
    <w:rsid w:val="008968BF"/>
    <w:rsid w:val="00896941"/>
    <w:rsid w:val="0089715E"/>
    <w:rsid w:val="008977B2"/>
    <w:rsid w:val="00897834"/>
    <w:rsid w:val="00897C96"/>
    <w:rsid w:val="008A020F"/>
    <w:rsid w:val="008A095F"/>
    <w:rsid w:val="008A0A2B"/>
    <w:rsid w:val="008A0CEA"/>
    <w:rsid w:val="008A0D0F"/>
    <w:rsid w:val="008A11D0"/>
    <w:rsid w:val="008A11E3"/>
    <w:rsid w:val="008A130A"/>
    <w:rsid w:val="008A1915"/>
    <w:rsid w:val="008A1928"/>
    <w:rsid w:val="008A1A38"/>
    <w:rsid w:val="008A1BD9"/>
    <w:rsid w:val="008A1BF8"/>
    <w:rsid w:val="008A1FC0"/>
    <w:rsid w:val="008A20B8"/>
    <w:rsid w:val="008A225F"/>
    <w:rsid w:val="008A2347"/>
    <w:rsid w:val="008A2A09"/>
    <w:rsid w:val="008A2C05"/>
    <w:rsid w:val="008A2DCC"/>
    <w:rsid w:val="008A2E17"/>
    <w:rsid w:val="008A3006"/>
    <w:rsid w:val="008A3261"/>
    <w:rsid w:val="008A360F"/>
    <w:rsid w:val="008A3875"/>
    <w:rsid w:val="008A38E0"/>
    <w:rsid w:val="008A3ABE"/>
    <w:rsid w:val="008A46E1"/>
    <w:rsid w:val="008A4BA5"/>
    <w:rsid w:val="008A4F43"/>
    <w:rsid w:val="008A5643"/>
    <w:rsid w:val="008A5C6F"/>
    <w:rsid w:val="008A5DF5"/>
    <w:rsid w:val="008A629F"/>
    <w:rsid w:val="008A6396"/>
    <w:rsid w:val="008A6B61"/>
    <w:rsid w:val="008A6C38"/>
    <w:rsid w:val="008A6C8F"/>
    <w:rsid w:val="008A6DC6"/>
    <w:rsid w:val="008A6E86"/>
    <w:rsid w:val="008A7209"/>
    <w:rsid w:val="008A7592"/>
    <w:rsid w:val="008A7617"/>
    <w:rsid w:val="008A77E5"/>
    <w:rsid w:val="008A79CB"/>
    <w:rsid w:val="008A7BFF"/>
    <w:rsid w:val="008A7C7B"/>
    <w:rsid w:val="008A7CDB"/>
    <w:rsid w:val="008B052E"/>
    <w:rsid w:val="008B0571"/>
    <w:rsid w:val="008B07FD"/>
    <w:rsid w:val="008B0B1D"/>
    <w:rsid w:val="008B1329"/>
    <w:rsid w:val="008B1B8E"/>
    <w:rsid w:val="008B1BE1"/>
    <w:rsid w:val="008B215B"/>
    <w:rsid w:val="008B25EF"/>
    <w:rsid w:val="008B2706"/>
    <w:rsid w:val="008B34B9"/>
    <w:rsid w:val="008B34DF"/>
    <w:rsid w:val="008B3536"/>
    <w:rsid w:val="008B3686"/>
    <w:rsid w:val="008B38CF"/>
    <w:rsid w:val="008B398D"/>
    <w:rsid w:val="008B3C76"/>
    <w:rsid w:val="008B3DFC"/>
    <w:rsid w:val="008B3ED7"/>
    <w:rsid w:val="008B3FD7"/>
    <w:rsid w:val="008B4132"/>
    <w:rsid w:val="008B414E"/>
    <w:rsid w:val="008B43A6"/>
    <w:rsid w:val="008B47ED"/>
    <w:rsid w:val="008B5C8D"/>
    <w:rsid w:val="008B5CE5"/>
    <w:rsid w:val="008B5D1D"/>
    <w:rsid w:val="008B5DCE"/>
    <w:rsid w:val="008B606B"/>
    <w:rsid w:val="008B615A"/>
    <w:rsid w:val="008B6203"/>
    <w:rsid w:val="008B6C9F"/>
    <w:rsid w:val="008B70FD"/>
    <w:rsid w:val="008B739B"/>
    <w:rsid w:val="008B78F8"/>
    <w:rsid w:val="008B78FF"/>
    <w:rsid w:val="008B7A03"/>
    <w:rsid w:val="008B7EF8"/>
    <w:rsid w:val="008C00A3"/>
    <w:rsid w:val="008C00FA"/>
    <w:rsid w:val="008C0172"/>
    <w:rsid w:val="008C0604"/>
    <w:rsid w:val="008C0BFB"/>
    <w:rsid w:val="008C0C2E"/>
    <w:rsid w:val="008C1019"/>
    <w:rsid w:val="008C10CC"/>
    <w:rsid w:val="008C148F"/>
    <w:rsid w:val="008C150C"/>
    <w:rsid w:val="008C1838"/>
    <w:rsid w:val="008C1C71"/>
    <w:rsid w:val="008C23DF"/>
    <w:rsid w:val="008C2EAC"/>
    <w:rsid w:val="008C3101"/>
    <w:rsid w:val="008C333C"/>
    <w:rsid w:val="008C334B"/>
    <w:rsid w:val="008C3471"/>
    <w:rsid w:val="008C3840"/>
    <w:rsid w:val="008C3AAC"/>
    <w:rsid w:val="008C3C48"/>
    <w:rsid w:val="008C40CB"/>
    <w:rsid w:val="008C41FB"/>
    <w:rsid w:val="008C446A"/>
    <w:rsid w:val="008C509B"/>
    <w:rsid w:val="008C517B"/>
    <w:rsid w:val="008C55C9"/>
    <w:rsid w:val="008C577F"/>
    <w:rsid w:val="008C5A47"/>
    <w:rsid w:val="008C61FA"/>
    <w:rsid w:val="008C64AF"/>
    <w:rsid w:val="008C65E5"/>
    <w:rsid w:val="008C6626"/>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60"/>
    <w:rsid w:val="008D1B7B"/>
    <w:rsid w:val="008D1BC9"/>
    <w:rsid w:val="008D1E54"/>
    <w:rsid w:val="008D1FBF"/>
    <w:rsid w:val="008D23D1"/>
    <w:rsid w:val="008D2414"/>
    <w:rsid w:val="008D2568"/>
    <w:rsid w:val="008D25BF"/>
    <w:rsid w:val="008D26D0"/>
    <w:rsid w:val="008D27CE"/>
    <w:rsid w:val="008D2A16"/>
    <w:rsid w:val="008D2F7B"/>
    <w:rsid w:val="008D33B4"/>
    <w:rsid w:val="008D36F2"/>
    <w:rsid w:val="008D3DE3"/>
    <w:rsid w:val="008D3F35"/>
    <w:rsid w:val="008D4396"/>
    <w:rsid w:val="008D46C1"/>
    <w:rsid w:val="008D47AA"/>
    <w:rsid w:val="008D4C64"/>
    <w:rsid w:val="008D4D7F"/>
    <w:rsid w:val="008D5089"/>
    <w:rsid w:val="008D5199"/>
    <w:rsid w:val="008D5311"/>
    <w:rsid w:val="008D53C8"/>
    <w:rsid w:val="008D54E6"/>
    <w:rsid w:val="008D55EF"/>
    <w:rsid w:val="008D5F15"/>
    <w:rsid w:val="008D69B6"/>
    <w:rsid w:val="008D6A75"/>
    <w:rsid w:val="008D7101"/>
    <w:rsid w:val="008D7852"/>
    <w:rsid w:val="008D7EEF"/>
    <w:rsid w:val="008D7F13"/>
    <w:rsid w:val="008E0027"/>
    <w:rsid w:val="008E0044"/>
    <w:rsid w:val="008E0080"/>
    <w:rsid w:val="008E089E"/>
    <w:rsid w:val="008E0EA9"/>
    <w:rsid w:val="008E1349"/>
    <w:rsid w:val="008E1383"/>
    <w:rsid w:val="008E170B"/>
    <w:rsid w:val="008E1938"/>
    <w:rsid w:val="008E1A0B"/>
    <w:rsid w:val="008E1A0C"/>
    <w:rsid w:val="008E1B7F"/>
    <w:rsid w:val="008E1CC5"/>
    <w:rsid w:val="008E23E0"/>
    <w:rsid w:val="008E25A0"/>
    <w:rsid w:val="008E274D"/>
    <w:rsid w:val="008E29E3"/>
    <w:rsid w:val="008E2A89"/>
    <w:rsid w:val="008E2B8D"/>
    <w:rsid w:val="008E2E1F"/>
    <w:rsid w:val="008E32F4"/>
    <w:rsid w:val="008E354A"/>
    <w:rsid w:val="008E39EF"/>
    <w:rsid w:val="008E3D5E"/>
    <w:rsid w:val="008E40AA"/>
    <w:rsid w:val="008E428F"/>
    <w:rsid w:val="008E4483"/>
    <w:rsid w:val="008E45F8"/>
    <w:rsid w:val="008E4972"/>
    <w:rsid w:val="008E49B9"/>
    <w:rsid w:val="008E4F1B"/>
    <w:rsid w:val="008E54D7"/>
    <w:rsid w:val="008E5FCC"/>
    <w:rsid w:val="008E6067"/>
    <w:rsid w:val="008E60DE"/>
    <w:rsid w:val="008E6BBD"/>
    <w:rsid w:val="008E6FA9"/>
    <w:rsid w:val="008E7363"/>
    <w:rsid w:val="008E7B25"/>
    <w:rsid w:val="008E7E8B"/>
    <w:rsid w:val="008E7F23"/>
    <w:rsid w:val="008F03C9"/>
    <w:rsid w:val="008F057B"/>
    <w:rsid w:val="008F0958"/>
    <w:rsid w:val="008F110A"/>
    <w:rsid w:val="008F1510"/>
    <w:rsid w:val="008F18B5"/>
    <w:rsid w:val="008F1CA1"/>
    <w:rsid w:val="008F2A3A"/>
    <w:rsid w:val="008F3273"/>
    <w:rsid w:val="008F32E9"/>
    <w:rsid w:val="008F3380"/>
    <w:rsid w:val="008F3F5E"/>
    <w:rsid w:val="008F3FB9"/>
    <w:rsid w:val="008F429B"/>
    <w:rsid w:val="008F495A"/>
    <w:rsid w:val="008F4D8B"/>
    <w:rsid w:val="008F5384"/>
    <w:rsid w:val="008F54E7"/>
    <w:rsid w:val="008F56D3"/>
    <w:rsid w:val="008F598B"/>
    <w:rsid w:val="008F59CB"/>
    <w:rsid w:val="008F5DB2"/>
    <w:rsid w:val="008F5FF2"/>
    <w:rsid w:val="008F61EF"/>
    <w:rsid w:val="008F6459"/>
    <w:rsid w:val="008F659E"/>
    <w:rsid w:val="008F6B0D"/>
    <w:rsid w:val="008F72D8"/>
    <w:rsid w:val="008F753D"/>
    <w:rsid w:val="008F7613"/>
    <w:rsid w:val="008F7618"/>
    <w:rsid w:val="008F77D7"/>
    <w:rsid w:val="008F7859"/>
    <w:rsid w:val="008F7B6E"/>
    <w:rsid w:val="009003AB"/>
    <w:rsid w:val="00900BB2"/>
    <w:rsid w:val="00900BD1"/>
    <w:rsid w:val="009010F2"/>
    <w:rsid w:val="00901609"/>
    <w:rsid w:val="00901E60"/>
    <w:rsid w:val="0090236A"/>
    <w:rsid w:val="009025F0"/>
    <w:rsid w:val="00902C83"/>
    <w:rsid w:val="0090338A"/>
    <w:rsid w:val="00903422"/>
    <w:rsid w:val="009035DA"/>
    <w:rsid w:val="009038D6"/>
    <w:rsid w:val="00903A28"/>
    <w:rsid w:val="00903AA3"/>
    <w:rsid w:val="00903E36"/>
    <w:rsid w:val="00903F98"/>
    <w:rsid w:val="00904007"/>
    <w:rsid w:val="009043B4"/>
    <w:rsid w:val="00904699"/>
    <w:rsid w:val="00904A21"/>
    <w:rsid w:val="00904A3B"/>
    <w:rsid w:val="00904D47"/>
    <w:rsid w:val="009053D9"/>
    <w:rsid w:val="00905E06"/>
    <w:rsid w:val="009064B3"/>
    <w:rsid w:val="009066F7"/>
    <w:rsid w:val="00906CD5"/>
    <w:rsid w:val="0090723C"/>
    <w:rsid w:val="00907C09"/>
    <w:rsid w:val="00907DBA"/>
    <w:rsid w:val="00907FF4"/>
    <w:rsid w:val="00910592"/>
    <w:rsid w:val="009108DD"/>
    <w:rsid w:val="00910BDF"/>
    <w:rsid w:val="00911066"/>
    <w:rsid w:val="00911645"/>
    <w:rsid w:val="00911766"/>
    <w:rsid w:val="00911A83"/>
    <w:rsid w:val="00911B71"/>
    <w:rsid w:val="00911BDC"/>
    <w:rsid w:val="00911C1B"/>
    <w:rsid w:val="00911CC3"/>
    <w:rsid w:val="00911E5B"/>
    <w:rsid w:val="009121B1"/>
    <w:rsid w:val="009121E8"/>
    <w:rsid w:val="009122D8"/>
    <w:rsid w:val="00912451"/>
    <w:rsid w:val="009127BE"/>
    <w:rsid w:val="00912BA1"/>
    <w:rsid w:val="00913200"/>
    <w:rsid w:val="00913412"/>
    <w:rsid w:val="009139A8"/>
    <w:rsid w:val="00913BA7"/>
    <w:rsid w:val="00914366"/>
    <w:rsid w:val="0091480C"/>
    <w:rsid w:val="00914D8D"/>
    <w:rsid w:val="00914DA5"/>
    <w:rsid w:val="00914E83"/>
    <w:rsid w:val="00914ED5"/>
    <w:rsid w:val="00914EF7"/>
    <w:rsid w:val="00915191"/>
    <w:rsid w:val="009151AD"/>
    <w:rsid w:val="00915C0F"/>
    <w:rsid w:val="0091606B"/>
    <w:rsid w:val="0091618C"/>
    <w:rsid w:val="00916460"/>
    <w:rsid w:val="00916587"/>
    <w:rsid w:val="00916699"/>
    <w:rsid w:val="00916974"/>
    <w:rsid w:val="00916A66"/>
    <w:rsid w:val="00916CE4"/>
    <w:rsid w:val="009172D2"/>
    <w:rsid w:val="00917684"/>
    <w:rsid w:val="009177E4"/>
    <w:rsid w:val="009177F1"/>
    <w:rsid w:val="00920312"/>
    <w:rsid w:val="00920596"/>
    <w:rsid w:val="0092095E"/>
    <w:rsid w:val="00920A1D"/>
    <w:rsid w:val="00920CB4"/>
    <w:rsid w:val="00920E60"/>
    <w:rsid w:val="00921101"/>
    <w:rsid w:val="0092124C"/>
    <w:rsid w:val="00921FCC"/>
    <w:rsid w:val="00922837"/>
    <w:rsid w:val="00922A0B"/>
    <w:rsid w:val="00922A16"/>
    <w:rsid w:val="00922A7A"/>
    <w:rsid w:val="00923174"/>
    <w:rsid w:val="009231B7"/>
    <w:rsid w:val="009233D8"/>
    <w:rsid w:val="009234FB"/>
    <w:rsid w:val="00923898"/>
    <w:rsid w:val="00923BBB"/>
    <w:rsid w:val="00923CD0"/>
    <w:rsid w:val="00924062"/>
    <w:rsid w:val="00924652"/>
    <w:rsid w:val="00924CFE"/>
    <w:rsid w:val="00924D45"/>
    <w:rsid w:val="00924FEA"/>
    <w:rsid w:val="009254C3"/>
    <w:rsid w:val="0092560F"/>
    <w:rsid w:val="00925CBE"/>
    <w:rsid w:val="00925D00"/>
    <w:rsid w:val="00925D46"/>
    <w:rsid w:val="00925F57"/>
    <w:rsid w:val="009262FD"/>
    <w:rsid w:val="00926317"/>
    <w:rsid w:val="00926892"/>
    <w:rsid w:val="00926E47"/>
    <w:rsid w:val="00926E99"/>
    <w:rsid w:val="00926F58"/>
    <w:rsid w:val="00926FB7"/>
    <w:rsid w:val="00927035"/>
    <w:rsid w:val="00927A16"/>
    <w:rsid w:val="00927EBE"/>
    <w:rsid w:val="0093008B"/>
    <w:rsid w:val="00930BF8"/>
    <w:rsid w:val="00930E09"/>
    <w:rsid w:val="009312AD"/>
    <w:rsid w:val="0093174B"/>
    <w:rsid w:val="0093187C"/>
    <w:rsid w:val="009319F2"/>
    <w:rsid w:val="0093233B"/>
    <w:rsid w:val="00932377"/>
    <w:rsid w:val="00932866"/>
    <w:rsid w:val="0093322B"/>
    <w:rsid w:val="009332FB"/>
    <w:rsid w:val="00933369"/>
    <w:rsid w:val="00933C2D"/>
    <w:rsid w:val="00933E03"/>
    <w:rsid w:val="0093414B"/>
    <w:rsid w:val="0093454E"/>
    <w:rsid w:val="009345E6"/>
    <w:rsid w:val="009346E5"/>
    <w:rsid w:val="009347A2"/>
    <w:rsid w:val="00934EB8"/>
    <w:rsid w:val="009350EF"/>
    <w:rsid w:val="0093513D"/>
    <w:rsid w:val="0093595F"/>
    <w:rsid w:val="009365DB"/>
    <w:rsid w:val="00936ACA"/>
    <w:rsid w:val="00936AE3"/>
    <w:rsid w:val="00937283"/>
    <w:rsid w:val="009375D1"/>
    <w:rsid w:val="00937767"/>
    <w:rsid w:val="009379DE"/>
    <w:rsid w:val="00937A90"/>
    <w:rsid w:val="00937FDA"/>
    <w:rsid w:val="0094022B"/>
    <w:rsid w:val="00940571"/>
    <w:rsid w:val="009407EC"/>
    <w:rsid w:val="00940B6E"/>
    <w:rsid w:val="00941236"/>
    <w:rsid w:val="009412EC"/>
    <w:rsid w:val="00941342"/>
    <w:rsid w:val="009415F6"/>
    <w:rsid w:val="0094186C"/>
    <w:rsid w:val="00941C94"/>
    <w:rsid w:val="009422AE"/>
    <w:rsid w:val="00942B11"/>
    <w:rsid w:val="009433A0"/>
    <w:rsid w:val="0094364A"/>
    <w:rsid w:val="0094379A"/>
    <w:rsid w:val="00943DCF"/>
    <w:rsid w:val="00943FD5"/>
    <w:rsid w:val="00944152"/>
    <w:rsid w:val="009444C5"/>
    <w:rsid w:val="00944A3D"/>
    <w:rsid w:val="00944ACC"/>
    <w:rsid w:val="00944CEA"/>
    <w:rsid w:val="00944F45"/>
    <w:rsid w:val="0094520C"/>
    <w:rsid w:val="00945282"/>
    <w:rsid w:val="00945627"/>
    <w:rsid w:val="00945F2F"/>
    <w:rsid w:val="0094628E"/>
    <w:rsid w:val="009465EE"/>
    <w:rsid w:val="009468C2"/>
    <w:rsid w:val="009469BB"/>
    <w:rsid w:val="00946DD8"/>
    <w:rsid w:val="009471D5"/>
    <w:rsid w:val="00947491"/>
    <w:rsid w:val="00947871"/>
    <w:rsid w:val="00947D49"/>
    <w:rsid w:val="00947D5A"/>
    <w:rsid w:val="009500AD"/>
    <w:rsid w:val="00950318"/>
    <w:rsid w:val="00950346"/>
    <w:rsid w:val="00950371"/>
    <w:rsid w:val="00950408"/>
    <w:rsid w:val="00950F44"/>
    <w:rsid w:val="00951124"/>
    <w:rsid w:val="0095138C"/>
    <w:rsid w:val="009514FA"/>
    <w:rsid w:val="009515DD"/>
    <w:rsid w:val="0095196B"/>
    <w:rsid w:val="00951AFB"/>
    <w:rsid w:val="00951E72"/>
    <w:rsid w:val="00952229"/>
    <w:rsid w:val="00952450"/>
    <w:rsid w:val="009524AE"/>
    <w:rsid w:val="00952572"/>
    <w:rsid w:val="00952833"/>
    <w:rsid w:val="009529EB"/>
    <w:rsid w:val="00952AC0"/>
    <w:rsid w:val="00952B5F"/>
    <w:rsid w:val="00952EF5"/>
    <w:rsid w:val="00952F7A"/>
    <w:rsid w:val="00953138"/>
    <w:rsid w:val="009532A5"/>
    <w:rsid w:val="00953799"/>
    <w:rsid w:val="009538CB"/>
    <w:rsid w:val="00953C1E"/>
    <w:rsid w:val="00953D23"/>
    <w:rsid w:val="00953D2D"/>
    <w:rsid w:val="00953FC1"/>
    <w:rsid w:val="00954462"/>
    <w:rsid w:val="00954470"/>
    <w:rsid w:val="009544D0"/>
    <w:rsid w:val="009545BD"/>
    <w:rsid w:val="00954CB0"/>
    <w:rsid w:val="00954FAF"/>
    <w:rsid w:val="0095502E"/>
    <w:rsid w:val="00955033"/>
    <w:rsid w:val="009552DF"/>
    <w:rsid w:val="009555D1"/>
    <w:rsid w:val="009556C6"/>
    <w:rsid w:val="00955C0C"/>
    <w:rsid w:val="009560B6"/>
    <w:rsid w:val="009560ED"/>
    <w:rsid w:val="0095639F"/>
    <w:rsid w:val="009564F6"/>
    <w:rsid w:val="009568DF"/>
    <w:rsid w:val="00956BE1"/>
    <w:rsid w:val="00956DE2"/>
    <w:rsid w:val="0095772B"/>
    <w:rsid w:val="0095782A"/>
    <w:rsid w:val="00957A1B"/>
    <w:rsid w:val="00957CC0"/>
    <w:rsid w:val="00957DCB"/>
    <w:rsid w:val="009604FE"/>
    <w:rsid w:val="00960E6F"/>
    <w:rsid w:val="00960EC5"/>
    <w:rsid w:val="00960F5B"/>
    <w:rsid w:val="0096103D"/>
    <w:rsid w:val="00961404"/>
    <w:rsid w:val="0096141F"/>
    <w:rsid w:val="00961618"/>
    <w:rsid w:val="0096162E"/>
    <w:rsid w:val="00961D9B"/>
    <w:rsid w:val="00962586"/>
    <w:rsid w:val="009627BD"/>
    <w:rsid w:val="009629A6"/>
    <w:rsid w:val="00963295"/>
    <w:rsid w:val="00963A3A"/>
    <w:rsid w:val="00963BBD"/>
    <w:rsid w:val="00964409"/>
    <w:rsid w:val="009644C9"/>
    <w:rsid w:val="0096455F"/>
    <w:rsid w:val="00964574"/>
    <w:rsid w:val="00964771"/>
    <w:rsid w:val="00964ACC"/>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236"/>
    <w:rsid w:val="00970A97"/>
    <w:rsid w:val="00970DA9"/>
    <w:rsid w:val="00971A27"/>
    <w:rsid w:val="00971B9B"/>
    <w:rsid w:val="00971CBC"/>
    <w:rsid w:val="00971CEC"/>
    <w:rsid w:val="00971F7C"/>
    <w:rsid w:val="00971F9B"/>
    <w:rsid w:val="00972079"/>
    <w:rsid w:val="00972C51"/>
    <w:rsid w:val="00972CFA"/>
    <w:rsid w:val="009730A4"/>
    <w:rsid w:val="0097314D"/>
    <w:rsid w:val="00973620"/>
    <w:rsid w:val="00973C78"/>
    <w:rsid w:val="009742C7"/>
    <w:rsid w:val="00974588"/>
    <w:rsid w:val="009746A8"/>
    <w:rsid w:val="0097491D"/>
    <w:rsid w:val="009749EC"/>
    <w:rsid w:val="00974EC4"/>
    <w:rsid w:val="00974ED4"/>
    <w:rsid w:val="009751DB"/>
    <w:rsid w:val="009752FA"/>
    <w:rsid w:val="0097565F"/>
    <w:rsid w:val="00975A89"/>
    <w:rsid w:val="00975B55"/>
    <w:rsid w:val="009760E8"/>
    <w:rsid w:val="00976207"/>
    <w:rsid w:val="0097627F"/>
    <w:rsid w:val="00976708"/>
    <w:rsid w:val="009769B2"/>
    <w:rsid w:val="00976E52"/>
    <w:rsid w:val="00976EEF"/>
    <w:rsid w:val="00977271"/>
    <w:rsid w:val="009773C9"/>
    <w:rsid w:val="009777CF"/>
    <w:rsid w:val="009777E9"/>
    <w:rsid w:val="00977806"/>
    <w:rsid w:val="00977F95"/>
    <w:rsid w:val="009803BC"/>
    <w:rsid w:val="009805A5"/>
    <w:rsid w:val="0098092C"/>
    <w:rsid w:val="00980BED"/>
    <w:rsid w:val="00980DA9"/>
    <w:rsid w:val="00980E72"/>
    <w:rsid w:val="0098158E"/>
    <w:rsid w:val="009817E6"/>
    <w:rsid w:val="00982242"/>
    <w:rsid w:val="009823B3"/>
    <w:rsid w:val="009823B8"/>
    <w:rsid w:val="00982429"/>
    <w:rsid w:val="00982893"/>
    <w:rsid w:val="00982D94"/>
    <w:rsid w:val="00983BC1"/>
    <w:rsid w:val="0098426E"/>
    <w:rsid w:val="0098449E"/>
    <w:rsid w:val="0098487F"/>
    <w:rsid w:val="00984C6E"/>
    <w:rsid w:val="00985132"/>
    <w:rsid w:val="00985329"/>
    <w:rsid w:val="009853A9"/>
    <w:rsid w:val="00985682"/>
    <w:rsid w:val="0098576D"/>
    <w:rsid w:val="0098583E"/>
    <w:rsid w:val="009859F5"/>
    <w:rsid w:val="00985C20"/>
    <w:rsid w:val="00986247"/>
    <w:rsid w:val="0098634D"/>
    <w:rsid w:val="009868E9"/>
    <w:rsid w:val="0098693E"/>
    <w:rsid w:val="00986C81"/>
    <w:rsid w:val="00986D07"/>
    <w:rsid w:val="00987495"/>
    <w:rsid w:val="00987944"/>
    <w:rsid w:val="009879BB"/>
    <w:rsid w:val="00987D49"/>
    <w:rsid w:val="009900A3"/>
    <w:rsid w:val="00990156"/>
    <w:rsid w:val="0099039B"/>
    <w:rsid w:val="00990510"/>
    <w:rsid w:val="009905AD"/>
    <w:rsid w:val="00990F4E"/>
    <w:rsid w:val="009910E6"/>
    <w:rsid w:val="009914FB"/>
    <w:rsid w:val="00991971"/>
    <w:rsid w:val="00991BF8"/>
    <w:rsid w:val="00992247"/>
    <w:rsid w:val="009922C1"/>
    <w:rsid w:val="009928FA"/>
    <w:rsid w:val="00992939"/>
    <w:rsid w:val="00992961"/>
    <w:rsid w:val="00992D73"/>
    <w:rsid w:val="009931DC"/>
    <w:rsid w:val="0099349A"/>
    <w:rsid w:val="00993688"/>
    <w:rsid w:val="00993BBE"/>
    <w:rsid w:val="0099401B"/>
    <w:rsid w:val="009942CA"/>
    <w:rsid w:val="00994580"/>
    <w:rsid w:val="009948A2"/>
    <w:rsid w:val="00994C1B"/>
    <w:rsid w:val="00994D61"/>
    <w:rsid w:val="00994FA3"/>
    <w:rsid w:val="0099551A"/>
    <w:rsid w:val="009956B2"/>
    <w:rsid w:val="00995944"/>
    <w:rsid w:val="00995A9B"/>
    <w:rsid w:val="00995C37"/>
    <w:rsid w:val="00995E02"/>
    <w:rsid w:val="00996655"/>
    <w:rsid w:val="0099670B"/>
    <w:rsid w:val="00996C2E"/>
    <w:rsid w:val="00996E3E"/>
    <w:rsid w:val="00997081"/>
    <w:rsid w:val="0099738F"/>
    <w:rsid w:val="009974BD"/>
    <w:rsid w:val="00997866"/>
    <w:rsid w:val="00997A6D"/>
    <w:rsid w:val="00997B5E"/>
    <w:rsid w:val="00997EF6"/>
    <w:rsid w:val="009A079B"/>
    <w:rsid w:val="009A0E68"/>
    <w:rsid w:val="009A1994"/>
    <w:rsid w:val="009A1C62"/>
    <w:rsid w:val="009A2061"/>
    <w:rsid w:val="009A21CF"/>
    <w:rsid w:val="009A22A3"/>
    <w:rsid w:val="009A2684"/>
    <w:rsid w:val="009A2741"/>
    <w:rsid w:val="009A28F1"/>
    <w:rsid w:val="009A2D4C"/>
    <w:rsid w:val="009A2D8C"/>
    <w:rsid w:val="009A3331"/>
    <w:rsid w:val="009A343C"/>
    <w:rsid w:val="009A3B36"/>
    <w:rsid w:val="009A3BF8"/>
    <w:rsid w:val="009A3C89"/>
    <w:rsid w:val="009A41BC"/>
    <w:rsid w:val="009A4422"/>
    <w:rsid w:val="009A4658"/>
    <w:rsid w:val="009A46F7"/>
    <w:rsid w:val="009A4971"/>
    <w:rsid w:val="009A499A"/>
    <w:rsid w:val="009A49D1"/>
    <w:rsid w:val="009A4D53"/>
    <w:rsid w:val="009A51C6"/>
    <w:rsid w:val="009A5E86"/>
    <w:rsid w:val="009A5EF6"/>
    <w:rsid w:val="009A6052"/>
    <w:rsid w:val="009A615A"/>
    <w:rsid w:val="009A6229"/>
    <w:rsid w:val="009A6A4C"/>
    <w:rsid w:val="009A6D7C"/>
    <w:rsid w:val="009A6EF4"/>
    <w:rsid w:val="009A7597"/>
    <w:rsid w:val="009A7B30"/>
    <w:rsid w:val="009A7BB7"/>
    <w:rsid w:val="009A7C0B"/>
    <w:rsid w:val="009B01DB"/>
    <w:rsid w:val="009B042C"/>
    <w:rsid w:val="009B058A"/>
    <w:rsid w:val="009B0C46"/>
    <w:rsid w:val="009B0E7D"/>
    <w:rsid w:val="009B11A4"/>
    <w:rsid w:val="009B11BD"/>
    <w:rsid w:val="009B127B"/>
    <w:rsid w:val="009B168C"/>
    <w:rsid w:val="009B1718"/>
    <w:rsid w:val="009B1D38"/>
    <w:rsid w:val="009B1E9C"/>
    <w:rsid w:val="009B1F0A"/>
    <w:rsid w:val="009B215C"/>
    <w:rsid w:val="009B22DA"/>
    <w:rsid w:val="009B2523"/>
    <w:rsid w:val="009B252A"/>
    <w:rsid w:val="009B309E"/>
    <w:rsid w:val="009B3127"/>
    <w:rsid w:val="009B3131"/>
    <w:rsid w:val="009B32FB"/>
    <w:rsid w:val="009B3CD1"/>
    <w:rsid w:val="009B3D38"/>
    <w:rsid w:val="009B3D6A"/>
    <w:rsid w:val="009B4410"/>
    <w:rsid w:val="009B443F"/>
    <w:rsid w:val="009B5170"/>
    <w:rsid w:val="009B518F"/>
    <w:rsid w:val="009B5196"/>
    <w:rsid w:val="009B560D"/>
    <w:rsid w:val="009B56F2"/>
    <w:rsid w:val="009B5820"/>
    <w:rsid w:val="009B5A75"/>
    <w:rsid w:val="009B64AB"/>
    <w:rsid w:val="009B64F8"/>
    <w:rsid w:val="009B66AE"/>
    <w:rsid w:val="009B68A3"/>
    <w:rsid w:val="009B6AFD"/>
    <w:rsid w:val="009B72F9"/>
    <w:rsid w:val="009B7627"/>
    <w:rsid w:val="009B78C1"/>
    <w:rsid w:val="009B7A15"/>
    <w:rsid w:val="009B7D9B"/>
    <w:rsid w:val="009C0127"/>
    <w:rsid w:val="009C0366"/>
    <w:rsid w:val="009C0889"/>
    <w:rsid w:val="009C0BDE"/>
    <w:rsid w:val="009C0D5B"/>
    <w:rsid w:val="009C0F5A"/>
    <w:rsid w:val="009C0FC1"/>
    <w:rsid w:val="009C1061"/>
    <w:rsid w:val="009C1335"/>
    <w:rsid w:val="009C173A"/>
    <w:rsid w:val="009C1C7A"/>
    <w:rsid w:val="009C1CDB"/>
    <w:rsid w:val="009C222D"/>
    <w:rsid w:val="009C22B3"/>
    <w:rsid w:val="009C22EB"/>
    <w:rsid w:val="009C2453"/>
    <w:rsid w:val="009C271A"/>
    <w:rsid w:val="009C2CA4"/>
    <w:rsid w:val="009C3119"/>
    <w:rsid w:val="009C31D4"/>
    <w:rsid w:val="009C33D5"/>
    <w:rsid w:val="009C3413"/>
    <w:rsid w:val="009C39AC"/>
    <w:rsid w:val="009C3B77"/>
    <w:rsid w:val="009C3ECA"/>
    <w:rsid w:val="009C404C"/>
    <w:rsid w:val="009C4551"/>
    <w:rsid w:val="009C4B8C"/>
    <w:rsid w:val="009C5186"/>
    <w:rsid w:val="009C538E"/>
    <w:rsid w:val="009C5437"/>
    <w:rsid w:val="009C5579"/>
    <w:rsid w:val="009C5636"/>
    <w:rsid w:val="009C5AAC"/>
    <w:rsid w:val="009C5E41"/>
    <w:rsid w:val="009C5F7A"/>
    <w:rsid w:val="009C6029"/>
    <w:rsid w:val="009C61B9"/>
    <w:rsid w:val="009C66E6"/>
    <w:rsid w:val="009C67CE"/>
    <w:rsid w:val="009C6C2A"/>
    <w:rsid w:val="009C6CC7"/>
    <w:rsid w:val="009C6D9F"/>
    <w:rsid w:val="009C6E6B"/>
    <w:rsid w:val="009C6EA2"/>
    <w:rsid w:val="009C6F6E"/>
    <w:rsid w:val="009C7330"/>
    <w:rsid w:val="009C7376"/>
    <w:rsid w:val="009C73B4"/>
    <w:rsid w:val="009C78C9"/>
    <w:rsid w:val="009C79EC"/>
    <w:rsid w:val="009C7BA7"/>
    <w:rsid w:val="009C7C5D"/>
    <w:rsid w:val="009C7E87"/>
    <w:rsid w:val="009C7EE0"/>
    <w:rsid w:val="009D005E"/>
    <w:rsid w:val="009D00ED"/>
    <w:rsid w:val="009D0238"/>
    <w:rsid w:val="009D06B7"/>
    <w:rsid w:val="009D06C2"/>
    <w:rsid w:val="009D0AF9"/>
    <w:rsid w:val="009D0FDC"/>
    <w:rsid w:val="009D12C3"/>
    <w:rsid w:val="009D1487"/>
    <w:rsid w:val="009D178F"/>
    <w:rsid w:val="009D19AF"/>
    <w:rsid w:val="009D1BA6"/>
    <w:rsid w:val="009D1E6D"/>
    <w:rsid w:val="009D2031"/>
    <w:rsid w:val="009D24A8"/>
    <w:rsid w:val="009D290A"/>
    <w:rsid w:val="009D2E92"/>
    <w:rsid w:val="009D37E7"/>
    <w:rsid w:val="009D3A13"/>
    <w:rsid w:val="009D3D65"/>
    <w:rsid w:val="009D3E28"/>
    <w:rsid w:val="009D41D4"/>
    <w:rsid w:val="009D42F2"/>
    <w:rsid w:val="009D46EB"/>
    <w:rsid w:val="009D4A34"/>
    <w:rsid w:val="009D5040"/>
    <w:rsid w:val="009D52D6"/>
    <w:rsid w:val="009D540A"/>
    <w:rsid w:val="009D5585"/>
    <w:rsid w:val="009D59CD"/>
    <w:rsid w:val="009D6247"/>
    <w:rsid w:val="009D6488"/>
    <w:rsid w:val="009D6646"/>
    <w:rsid w:val="009D6EE6"/>
    <w:rsid w:val="009D6FE5"/>
    <w:rsid w:val="009D74BA"/>
    <w:rsid w:val="009D7675"/>
    <w:rsid w:val="009D76F1"/>
    <w:rsid w:val="009D7752"/>
    <w:rsid w:val="009D77C1"/>
    <w:rsid w:val="009D7896"/>
    <w:rsid w:val="009D7A47"/>
    <w:rsid w:val="009D7B33"/>
    <w:rsid w:val="009E0A22"/>
    <w:rsid w:val="009E0F8A"/>
    <w:rsid w:val="009E1274"/>
    <w:rsid w:val="009E15A8"/>
    <w:rsid w:val="009E1895"/>
    <w:rsid w:val="009E1EF4"/>
    <w:rsid w:val="009E21F1"/>
    <w:rsid w:val="009E2531"/>
    <w:rsid w:val="009E2949"/>
    <w:rsid w:val="009E2B1B"/>
    <w:rsid w:val="009E2D45"/>
    <w:rsid w:val="009E2E63"/>
    <w:rsid w:val="009E2EBE"/>
    <w:rsid w:val="009E3259"/>
    <w:rsid w:val="009E398E"/>
    <w:rsid w:val="009E3D28"/>
    <w:rsid w:val="009E3FED"/>
    <w:rsid w:val="009E407F"/>
    <w:rsid w:val="009E420D"/>
    <w:rsid w:val="009E4687"/>
    <w:rsid w:val="009E470B"/>
    <w:rsid w:val="009E47B1"/>
    <w:rsid w:val="009E4C22"/>
    <w:rsid w:val="009E564F"/>
    <w:rsid w:val="009E5D2C"/>
    <w:rsid w:val="009E5E9F"/>
    <w:rsid w:val="009E5F63"/>
    <w:rsid w:val="009E6909"/>
    <w:rsid w:val="009E6A03"/>
    <w:rsid w:val="009E6B95"/>
    <w:rsid w:val="009E6F18"/>
    <w:rsid w:val="009F07BE"/>
    <w:rsid w:val="009F0DCE"/>
    <w:rsid w:val="009F116A"/>
    <w:rsid w:val="009F1448"/>
    <w:rsid w:val="009F26D0"/>
    <w:rsid w:val="009F28D9"/>
    <w:rsid w:val="009F2B01"/>
    <w:rsid w:val="009F2D96"/>
    <w:rsid w:val="009F2F17"/>
    <w:rsid w:val="009F31AD"/>
    <w:rsid w:val="009F32EE"/>
    <w:rsid w:val="009F350A"/>
    <w:rsid w:val="009F3C95"/>
    <w:rsid w:val="009F3ED3"/>
    <w:rsid w:val="009F4308"/>
    <w:rsid w:val="009F4559"/>
    <w:rsid w:val="009F455B"/>
    <w:rsid w:val="009F4C96"/>
    <w:rsid w:val="009F4E98"/>
    <w:rsid w:val="009F504F"/>
    <w:rsid w:val="009F51EA"/>
    <w:rsid w:val="009F51EC"/>
    <w:rsid w:val="009F52BC"/>
    <w:rsid w:val="009F5532"/>
    <w:rsid w:val="009F5867"/>
    <w:rsid w:val="009F5946"/>
    <w:rsid w:val="009F5C9D"/>
    <w:rsid w:val="009F5FDC"/>
    <w:rsid w:val="009F676B"/>
    <w:rsid w:val="009F687E"/>
    <w:rsid w:val="009F6998"/>
    <w:rsid w:val="009F7DC4"/>
    <w:rsid w:val="00A00465"/>
    <w:rsid w:val="00A0068D"/>
    <w:rsid w:val="00A00CAD"/>
    <w:rsid w:val="00A00DF6"/>
    <w:rsid w:val="00A0123A"/>
    <w:rsid w:val="00A017CF"/>
    <w:rsid w:val="00A01A04"/>
    <w:rsid w:val="00A01A25"/>
    <w:rsid w:val="00A021DB"/>
    <w:rsid w:val="00A0246D"/>
    <w:rsid w:val="00A02524"/>
    <w:rsid w:val="00A02798"/>
    <w:rsid w:val="00A02CC8"/>
    <w:rsid w:val="00A02D70"/>
    <w:rsid w:val="00A030D3"/>
    <w:rsid w:val="00A03855"/>
    <w:rsid w:val="00A039AE"/>
    <w:rsid w:val="00A03A47"/>
    <w:rsid w:val="00A03EEB"/>
    <w:rsid w:val="00A03F7E"/>
    <w:rsid w:val="00A043FB"/>
    <w:rsid w:val="00A0441E"/>
    <w:rsid w:val="00A0484C"/>
    <w:rsid w:val="00A04ACF"/>
    <w:rsid w:val="00A04BFC"/>
    <w:rsid w:val="00A04F23"/>
    <w:rsid w:val="00A05063"/>
    <w:rsid w:val="00A051B0"/>
    <w:rsid w:val="00A05BF5"/>
    <w:rsid w:val="00A0606C"/>
    <w:rsid w:val="00A0613C"/>
    <w:rsid w:val="00A06965"/>
    <w:rsid w:val="00A06B5B"/>
    <w:rsid w:val="00A06D3B"/>
    <w:rsid w:val="00A070AE"/>
    <w:rsid w:val="00A072C6"/>
    <w:rsid w:val="00A072F4"/>
    <w:rsid w:val="00A07492"/>
    <w:rsid w:val="00A074A3"/>
    <w:rsid w:val="00A0776E"/>
    <w:rsid w:val="00A07820"/>
    <w:rsid w:val="00A0789A"/>
    <w:rsid w:val="00A07969"/>
    <w:rsid w:val="00A07BDE"/>
    <w:rsid w:val="00A10182"/>
    <w:rsid w:val="00A1024C"/>
    <w:rsid w:val="00A10386"/>
    <w:rsid w:val="00A10603"/>
    <w:rsid w:val="00A10C92"/>
    <w:rsid w:val="00A11021"/>
    <w:rsid w:val="00A1106A"/>
    <w:rsid w:val="00A11547"/>
    <w:rsid w:val="00A1161A"/>
    <w:rsid w:val="00A11737"/>
    <w:rsid w:val="00A117EC"/>
    <w:rsid w:val="00A11AA6"/>
    <w:rsid w:val="00A11B30"/>
    <w:rsid w:val="00A11B5F"/>
    <w:rsid w:val="00A12128"/>
    <w:rsid w:val="00A123A1"/>
    <w:rsid w:val="00A124C0"/>
    <w:rsid w:val="00A12551"/>
    <w:rsid w:val="00A12A74"/>
    <w:rsid w:val="00A12EE9"/>
    <w:rsid w:val="00A12F28"/>
    <w:rsid w:val="00A1307F"/>
    <w:rsid w:val="00A13332"/>
    <w:rsid w:val="00A13847"/>
    <w:rsid w:val="00A13B79"/>
    <w:rsid w:val="00A13D8D"/>
    <w:rsid w:val="00A14285"/>
    <w:rsid w:val="00A1477D"/>
    <w:rsid w:val="00A148EE"/>
    <w:rsid w:val="00A149D6"/>
    <w:rsid w:val="00A14D88"/>
    <w:rsid w:val="00A15737"/>
    <w:rsid w:val="00A15B5F"/>
    <w:rsid w:val="00A15C04"/>
    <w:rsid w:val="00A15C22"/>
    <w:rsid w:val="00A16248"/>
    <w:rsid w:val="00A162C3"/>
    <w:rsid w:val="00A16366"/>
    <w:rsid w:val="00A166B3"/>
    <w:rsid w:val="00A16723"/>
    <w:rsid w:val="00A16D55"/>
    <w:rsid w:val="00A16EFD"/>
    <w:rsid w:val="00A1704A"/>
    <w:rsid w:val="00A171A1"/>
    <w:rsid w:val="00A173D2"/>
    <w:rsid w:val="00A175D8"/>
    <w:rsid w:val="00A17B61"/>
    <w:rsid w:val="00A17C2E"/>
    <w:rsid w:val="00A17C2F"/>
    <w:rsid w:val="00A20048"/>
    <w:rsid w:val="00A2004B"/>
    <w:rsid w:val="00A2090C"/>
    <w:rsid w:val="00A20945"/>
    <w:rsid w:val="00A20BE7"/>
    <w:rsid w:val="00A20C63"/>
    <w:rsid w:val="00A213E1"/>
    <w:rsid w:val="00A215CA"/>
    <w:rsid w:val="00A216B5"/>
    <w:rsid w:val="00A2196E"/>
    <w:rsid w:val="00A21B77"/>
    <w:rsid w:val="00A21C80"/>
    <w:rsid w:val="00A221F0"/>
    <w:rsid w:val="00A227D9"/>
    <w:rsid w:val="00A2299F"/>
    <w:rsid w:val="00A22C98"/>
    <w:rsid w:val="00A22FFA"/>
    <w:rsid w:val="00A23141"/>
    <w:rsid w:val="00A231E2"/>
    <w:rsid w:val="00A23A86"/>
    <w:rsid w:val="00A23B55"/>
    <w:rsid w:val="00A23BC1"/>
    <w:rsid w:val="00A24072"/>
    <w:rsid w:val="00A241D4"/>
    <w:rsid w:val="00A2433D"/>
    <w:rsid w:val="00A243D1"/>
    <w:rsid w:val="00A24E34"/>
    <w:rsid w:val="00A25065"/>
    <w:rsid w:val="00A2506E"/>
    <w:rsid w:val="00A252DD"/>
    <w:rsid w:val="00A259B6"/>
    <w:rsid w:val="00A25C82"/>
    <w:rsid w:val="00A25E3A"/>
    <w:rsid w:val="00A25EDF"/>
    <w:rsid w:val="00A26059"/>
    <w:rsid w:val="00A26303"/>
    <w:rsid w:val="00A2636E"/>
    <w:rsid w:val="00A26920"/>
    <w:rsid w:val="00A26E6B"/>
    <w:rsid w:val="00A276A9"/>
    <w:rsid w:val="00A27877"/>
    <w:rsid w:val="00A27C72"/>
    <w:rsid w:val="00A27D3A"/>
    <w:rsid w:val="00A27E62"/>
    <w:rsid w:val="00A3049D"/>
    <w:rsid w:val="00A3078E"/>
    <w:rsid w:val="00A308F6"/>
    <w:rsid w:val="00A317F6"/>
    <w:rsid w:val="00A31933"/>
    <w:rsid w:val="00A31A35"/>
    <w:rsid w:val="00A32572"/>
    <w:rsid w:val="00A3268F"/>
    <w:rsid w:val="00A3271A"/>
    <w:rsid w:val="00A328E1"/>
    <w:rsid w:val="00A3323D"/>
    <w:rsid w:val="00A33356"/>
    <w:rsid w:val="00A334B6"/>
    <w:rsid w:val="00A33994"/>
    <w:rsid w:val="00A339D4"/>
    <w:rsid w:val="00A33AEB"/>
    <w:rsid w:val="00A33E43"/>
    <w:rsid w:val="00A34278"/>
    <w:rsid w:val="00A34533"/>
    <w:rsid w:val="00A34798"/>
    <w:rsid w:val="00A34A0C"/>
    <w:rsid w:val="00A34C1D"/>
    <w:rsid w:val="00A34DB8"/>
    <w:rsid w:val="00A3545B"/>
    <w:rsid w:val="00A355B9"/>
    <w:rsid w:val="00A35630"/>
    <w:rsid w:val="00A359CD"/>
    <w:rsid w:val="00A35A22"/>
    <w:rsid w:val="00A35D10"/>
    <w:rsid w:val="00A35F1A"/>
    <w:rsid w:val="00A362B4"/>
    <w:rsid w:val="00A36365"/>
    <w:rsid w:val="00A36429"/>
    <w:rsid w:val="00A36909"/>
    <w:rsid w:val="00A369E3"/>
    <w:rsid w:val="00A36DC4"/>
    <w:rsid w:val="00A36EBE"/>
    <w:rsid w:val="00A37409"/>
    <w:rsid w:val="00A374D1"/>
    <w:rsid w:val="00A37806"/>
    <w:rsid w:val="00A37ED0"/>
    <w:rsid w:val="00A40A96"/>
    <w:rsid w:val="00A40C92"/>
    <w:rsid w:val="00A40EBB"/>
    <w:rsid w:val="00A40FF9"/>
    <w:rsid w:val="00A4159C"/>
    <w:rsid w:val="00A417A2"/>
    <w:rsid w:val="00A41DC1"/>
    <w:rsid w:val="00A42303"/>
    <w:rsid w:val="00A42520"/>
    <w:rsid w:val="00A42F86"/>
    <w:rsid w:val="00A43280"/>
    <w:rsid w:val="00A432F4"/>
    <w:rsid w:val="00A43366"/>
    <w:rsid w:val="00A44090"/>
    <w:rsid w:val="00A440D3"/>
    <w:rsid w:val="00A44767"/>
    <w:rsid w:val="00A44928"/>
    <w:rsid w:val="00A45203"/>
    <w:rsid w:val="00A45C47"/>
    <w:rsid w:val="00A45C5E"/>
    <w:rsid w:val="00A45D02"/>
    <w:rsid w:val="00A45EAA"/>
    <w:rsid w:val="00A46233"/>
    <w:rsid w:val="00A46551"/>
    <w:rsid w:val="00A46581"/>
    <w:rsid w:val="00A46C18"/>
    <w:rsid w:val="00A46E9A"/>
    <w:rsid w:val="00A46ECF"/>
    <w:rsid w:val="00A471DB"/>
    <w:rsid w:val="00A471DF"/>
    <w:rsid w:val="00A47583"/>
    <w:rsid w:val="00A47971"/>
    <w:rsid w:val="00A47C69"/>
    <w:rsid w:val="00A47F09"/>
    <w:rsid w:val="00A47FB7"/>
    <w:rsid w:val="00A5002C"/>
    <w:rsid w:val="00A5023D"/>
    <w:rsid w:val="00A50C93"/>
    <w:rsid w:val="00A5132C"/>
    <w:rsid w:val="00A5150E"/>
    <w:rsid w:val="00A51832"/>
    <w:rsid w:val="00A51985"/>
    <w:rsid w:val="00A51AFC"/>
    <w:rsid w:val="00A51E88"/>
    <w:rsid w:val="00A523BF"/>
    <w:rsid w:val="00A52621"/>
    <w:rsid w:val="00A52B3E"/>
    <w:rsid w:val="00A52D59"/>
    <w:rsid w:val="00A5316D"/>
    <w:rsid w:val="00A531B6"/>
    <w:rsid w:val="00A53A9C"/>
    <w:rsid w:val="00A5416A"/>
    <w:rsid w:val="00A542AE"/>
    <w:rsid w:val="00A54607"/>
    <w:rsid w:val="00A55175"/>
    <w:rsid w:val="00A55282"/>
    <w:rsid w:val="00A55849"/>
    <w:rsid w:val="00A5586C"/>
    <w:rsid w:val="00A559AF"/>
    <w:rsid w:val="00A56576"/>
    <w:rsid w:val="00A56660"/>
    <w:rsid w:val="00A567EA"/>
    <w:rsid w:val="00A56A2F"/>
    <w:rsid w:val="00A56F82"/>
    <w:rsid w:val="00A572C1"/>
    <w:rsid w:val="00A57443"/>
    <w:rsid w:val="00A57600"/>
    <w:rsid w:val="00A5764D"/>
    <w:rsid w:val="00A5787E"/>
    <w:rsid w:val="00A57A61"/>
    <w:rsid w:val="00A57DC2"/>
    <w:rsid w:val="00A57F5A"/>
    <w:rsid w:val="00A60072"/>
    <w:rsid w:val="00A605C3"/>
    <w:rsid w:val="00A60A80"/>
    <w:rsid w:val="00A60C37"/>
    <w:rsid w:val="00A60EB2"/>
    <w:rsid w:val="00A60F0D"/>
    <w:rsid w:val="00A61132"/>
    <w:rsid w:val="00A61BBE"/>
    <w:rsid w:val="00A62142"/>
    <w:rsid w:val="00A624F6"/>
    <w:rsid w:val="00A62757"/>
    <w:rsid w:val="00A62D2D"/>
    <w:rsid w:val="00A630D5"/>
    <w:rsid w:val="00A6349B"/>
    <w:rsid w:val="00A63669"/>
    <w:rsid w:val="00A63B54"/>
    <w:rsid w:val="00A63C96"/>
    <w:rsid w:val="00A63F89"/>
    <w:rsid w:val="00A640D2"/>
    <w:rsid w:val="00A64264"/>
    <w:rsid w:val="00A6439C"/>
    <w:rsid w:val="00A647F6"/>
    <w:rsid w:val="00A64912"/>
    <w:rsid w:val="00A64972"/>
    <w:rsid w:val="00A64A2E"/>
    <w:rsid w:val="00A64A33"/>
    <w:rsid w:val="00A64AFF"/>
    <w:rsid w:val="00A64E02"/>
    <w:rsid w:val="00A64F00"/>
    <w:rsid w:val="00A64F13"/>
    <w:rsid w:val="00A6512F"/>
    <w:rsid w:val="00A6523A"/>
    <w:rsid w:val="00A6529A"/>
    <w:rsid w:val="00A655CE"/>
    <w:rsid w:val="00A65A8E"/>
    <w:rsid w:val="00A65C1A"/>
    <w:rsid w:val="00A65DA0"/>
    <w:rsid w:val="00A65E67"/>
    <w:rsid w:val="00A65EE0"/>
    <w:rsid w:val="00A65FC8"/>
    <w:rsid w:val="00A65FEF"/>
    <w:rsid w:val="00A662A6"/>
    <w:rsid w:val="00A6687D"/>
    <w:rsid w:val="00A668B1"/>
    <w:rsid w:val="00A66E70"/>
    <w:rsid w:val="00A66F2F"/>
    <w:rsid w:val="00A67010"/>
    <w:rsid w:val="00A670EA"/>
    <w:rsid w:val="00A672B7"/>
    <w:rsid w:val="00A672BF"/>
    <w:rsid w:val="00A676F8"/>
    <w:rsid w:val="00A67D92"/>
    <w:rsid w:val="00A67DB6"/>
    <w:rsid w:val="00A67E0A"/>
    <w:rsid w:val="00A67F2C"/>
    <w:rsid w:val="00A7087D"/>
    <w:rsid w:val="00A70A74"/>
    <w:rsid w:val="00A71A72"/>
    <w:rsid w:val="00A71E2B"/>
    <w:rsid w:val="00A72125"/>
    <w:rsid w:val="00A72517"/>
    <w:rsid w:val="00A72566"/>
    <w:rsid w:val="00A7279D"/>
    <w:rsid w:val="00A72C69"/>
    <w:rsid w:val="00A72C8A"/>
    <w:rsid w:val="00A734C6"/>
    <w:rsid w:val="00A73FEA"/>
    <w:rsid w:val="00A740E6"/>
    <w:rsid w:val="00A74898"/>
    <w:rsid w:val="00A74DC3"/>
    <w:rsid w:val="00A75539"/>
    <w:rsid w:val="00A75727"/>
    <w:rsid w:val="00A75A8E"/>
    <w:rsid w:val="00A75C64"/>
    <w:rsid w:val="00A75E1B"/>
    <w:rsid w:val="00A75FD9"/>
    <w:rsid w:val="00A75FE9"/>
    <w:rsid w:val="00A76DB2"/>
    <w:rsid w:val="00A77228"/>
    <w:rsid w:val="00A77367"/>
    <w:rsid w:val="00A7743D"/>
    <w:rsid w:val="00A777FD"/>
    <w:rsid w:val="00A778A7"/>
    <w:rsid w:val="00A77B0C"/>
    <w:rsid w:val="00A77B94"/>
    <w:rsid w:val="00A800CE"/>
    <w:rsid w:val="00A80137"/>
    <w:rsid w:val="00A80174"/>
    <w:rsid w:val="00A804A8"/>
    <w:rsid w:val="00A80591"/>
    <w:rsid w:val="00A806AF"/>
    <w:rsid w:val="00A808D3"/>
    <w:rsid w:val="00A80C5D"/>
    <w:rsid w:val="00A80D7B"/>
    <w:rsid w:val="00A81095"/>
    <w:rsid w:val="00A81512"/>
    <w:rsid w:val="00A8184C"/>
    <w:rsid w:val="00A818DA"/>
    <w:rsid w:val="00A81BE7"/>
    <w:rsid w:val="00A81C51"/>
    <w:rsid w:val="00A82183"/>
    <w:rsid w:val="00A82610"/>
    <w:rsid w:val="00A82631"/>
    <w:rsid w:val="00A82A16"/>
    <w:rsid w:val="00A82B48"/>
    <w:rsid w:val="00A82DC9"/>
    <w:rsid w:val="00A82F43"/>
    <w:rsid w:val="00A837F4"/>
    <w:rsid w:val="00A83988"/>
    <w:rsid w:val="00A83B15"/>
    <w:rsid w:val="00A83C48"/>
    <w:rsid w:val="00A8477E"/>
    <w:rsid w:val="00A84824"/>
    <w:rsid w:val="00A84CCE"/>
    <w:rsid w:val="00A85201"/>
    <w:rsid w:val="00A852C6"/>
    <w:rsid w:val="00A85E68"/>
    <w:rsid w:val="00A85E6C"/>
    <w:rsid w:val="00A86CA2"/>
    <w:rsid w:val="00A87099"/>
    <w:rsid w:val="00A87123"/>
    <w:rsid w:val="00A87705"/>
    <w:rsid w:val="00A90455"/>
    <w:rsid w:val="00A904F0"/>
    <w:rsid w:val="00A906CE"/>
    <w:rsid w:val="00A9083A"/>
    <w:rsid w:val="00A90A1A"/>
    <w:rsid w:val="00A90AB8"/>
    <w:rsid w:val="00A90B6B"/>
    <w:rsid w:val="00A90B93"/>
    <w:rsid w:val="00A90C37"/>
    <w:rsid w:val="00A90F0A"/>
    <w:rsid w:val="00A90FDD"/>
    <w:rsid w:val="00A91241"/>
    <w:rsid w:val="00A9134A"/>
    <w:rsid w:val="00A91C9C"/>
    <w:rsid w:val="00A925C3"/>
    <w:rsid w:val="00A9284B"/>
    <w:rsid w:val="00A92CC0"/>
    <w:rsid w:val="00A93119"/>
    <w:rsid w:val="00A931F6"/>
    <w:rsid w:val="00A934A5"/>
    <w:rsid w:val="00A935EB"/>
    <w:rsid w:val="00A9393B"/>
    <w:rsid w:val="00A93ADA"/>
    <w:rsid w:val="00A9450F"/>
    <w:rsid w:val="00A9547E"/>
    <w:rsid w:val="00A9581C"/>
    <w:rsid w:val="00A9582B"/>
    <w:rsid w:val="00A95FA2"/>
    <w:rsid w:val="00A963D2"/>
    <w:rsid w:val="00A96AF7"/>
    <w:rsid w:val="00A97623"/>
    <w:rsid w:val="00A9763A"/>
    <w:rsid w:val="00A97760"/>
    <w:rsid w:val="00A977A2"/>
    <w:rsid w:val="00A977AA"/>
    <w:rsid w:val="00A97847"/>
    <w:rsid w:val="00A978C9"/>
    <w:rsid w:val="00A979B3"/>
    <w:rsid w:val="00A97C3F"/>
    <w:rsid w:val="00A97DEB"/>
    <w:rsid w:val="00A97DFE"/>
    <w:rsid w:val="00AA0220"/>
    <w:rsid w:val="00AA0421"/>
    <w:rsid w:val="00AA0495"/>
    <w:rsid w:val="00AA0C71"/>
    <w:rsid w:val="00AA0D11"/>
    <w:rsid w:val="00AA11D2"/>
    <w:rsid w:val="00AA186F"/>
    <w:rsid w:val="00AA1983"/>
    <w:rsid w:val="00AA1DFB"/>
    <w:rsid w:val="00AA2297"/>
    <w:rsid w:val="00AA28C6"/>
    <w:rsid w:val="00AA297B"/>
    <w:rsid w:val="00AA3239"/>
    <w:rsid w:val="00AA356B"/>
    <w:rsid w:val="00AA3E43"/>
    <w:rsid w:val="00AA3EC8"/>
    <w:rsid w:val="00AA3F22"/>
    <w:rsid w:val="00AA3FC4"/>
    <w:rsid w:val="00AA42B3"/>
    <w:rsid w:val="00AA4328"/>
    <w:rsid w:val="00AA441C"/>
    <w:rsid w:val="00AA4A31"/>
    <w:rsid w:val="00AA57D4"/>
    <w:rsid w:val="00AA5CA7"/>
    <w:rsid w:val="00AA5F50"/>
    <w:rsid w:val="00AA6207"/>
    <w:rsid w:val="00AA6845"/>
    <w:rsid w:val="00AA68BE"/>
    <w:rsid w:val="00AA730A"/>
    <w:rsid w:val="00AA7377"/>
    <w:rsid w:val="00AA7511"/>
    <w:rsid w:val="00AA7706"/>
    <w:rsid w:val="00AA7E76"/>
    <w:rsid w:val="00AA7F0D"/>
    <w:rsid w:val="00AB0154"/>
    <w:rsid w:val="00AB0B6F"/>
    <w:rsid w:val="00AB0F42"/>
    <w:rsid w:val="00AB1664"/>
    <w:rsid w:val="00AB16B4"/>
    <w:rsid w:val="00AB19F6"/>
    <w:rsid w:val="00AB1F2C"/>
    <w:rsid w:val="00AB210C"/>
    <w:rsid w:val="00AB24A4"/>
    <w:rsid w:val="00AB2722"/>
    <w:rsid w:val="00AB29E9"/>
    <w:rsid w:val="00AB2BFA"/>
    <w:rsid w:val="00AB2CBC"/>
    <w:rsid w:val="00AB3070"/>
    <w:rsid w:val="00AB33C7"/>
    <w:rsid w:val="00AB34E7"/>
    <w:rsid w:val="00AB3C03"/>
    <w:rsid w:val="00AB3D47"/>
    <w:rsid w:val="00AB3E8F"/>
    <w:rsid w:val="00AB3F46"/>
    <w:rsid w:val="00AB4370"/>
    <w:rsid w:val="00AB4913"/>
    <w:rsid w:val="00AB4C5F"/>
    <w:rsid w:val="00AB4E48"/>
    <w:rsid w:val="00AB5A16"/>
    <w:rsid w:val="00AB5C42"/>
    <w:rsid w:val="00AB61AC"/>
    <w:rsid w:val="00AB62FF"/>
    <w:rsid w:val="00AB64D6"/>
    <w:rsid w:val="00AB6518"/>
    <w:rsid w:val="00AB6B24"/>
    <w:rsid w:val="00AB6D6E"/>
    <w:rsid w:val="00AB6E47"/>
    <w:rsid w:val="00AB7112"/>
    <w:rsid w:val="00AB73DF"/>
    <w:rsid w:val="00AB75C9"/>
    <w:rsid w:val="00AB79D0"/>
    <w:rsid w:val="00AB7B1C"/>
    <w:rsid w:val="00AB7B51"/>
    <w:rsid w:val="00AC03F7"/>
    <w:rsid w:val="00AC0E38"/>
    <w:rsid w:val="00AC0EF5"/>
    <w:rsid w:val="00AC10B5"/>
    <w:rsid w:val="00AC135F"/>
    <w:rsid w:val="00AC16F2"/>
    <w:rsid w:val="00AC18DE"/>
    <w:rsid w:val="00AC1909"/>
    <w:rsid w:val="00AC1A24"/>
    <w:rsid w:val="00AC1D85"/>
    <w:rsid w:val="00AC1D8E"/>
    <w:rsid w:val="00AC1F5F"/>
    <w:rsid w:val="00AC2568"/>
    <w:rsid w:val="00AC27DD"/>
    <w:rsid w:val="00AC2B82"/>
    <w:rsid w:val="00AC327F"/>
    <w:rsid w:val="00AC3315"/>
    <w:rsid w:val="00AC3582"/>
    <w:rsid w:val="00AC36C7"/>
    <w:rsid w:val="00AC3BA1"/>
    <w:rsid w:val="00AC3CC2"/>
    <w:rsid w:val="00AC3D83"/>
    <w:rsid w:val="00AC3E58"/>
    <w:rsid w:val="00AC3F45"/>
    <w:rsid w:val="00AC40D2"/>
    <w:rsid w:val="00AC44CA"/>
    <w:rsid w:val="00AC5196"/>
    <w:rsid w:val="00AC51A3"/>
    <w:rsid w:val="00AC5510"/>
    <w:rsid w:val="00AC597D"/>
    <w:rsid w:val="00AC5B1A"/>
    <w:rsid w:val="00AC5E15"/>
    <w:rsid w:val="00AC622B"/>
    <w:rsid w:val="00AC652D"/>
    <w:rsid w:val="00AC668D"/>
    <w:rsid w:val="00AC671F"/>
    <w:rsid w:val="00AC676F"/>
    <w:rsid w:val="00AC6FFF"/>
    <w:rsid w:val="00AC7C1B"/>
    <w:rsid w:val="00AD0E7A"/>
    <w:rsid w:val="00AD0F31"/>
    <w:rsid w:val="00AD101A"/>
    <w:rsid w:val="00AD121E"/>
    <w:rsid w:val="00AD15DD"/>
    <w:rsid w:val="00AD1663"/>
    <w:rsid w:val="00AD1B9A"/>
    <w:rsid w:val="00AD1C5D"/>
    <w:rsid w:val="00AD2B57"/>
    <w:rsid w:val="00AD3411"/>
    <w:rsid w:val="00AD34D8"/>
    <w:rsid w:val="00AD3573"/>
    <w:rsid w:val="00AD3655"/>
    <w:rsid w:val="00AD372F"/>
    <w:rsid w:val="00AD3D2D"/>
    <w:rsid w:val="00AD3DD2"/>
    <w:rsid w:val="00AD3F8C"/>
    <w:rsid w:val="00AD44E7"/>
    <w:rsid w:val="00AD4564"/>
    <w:rsid w:val="00AD47A6"/>
    <w:rsid w:val="00AD53CC"/>
    <w:rsid w:val="00AD5641"/>
    <w:rsid w:val="00AD60FE"/>
    <w:rsid w:val="00AD6931"/>
    <w:rsid w:val="00AD6B71"/>
    <w:rsid w:val="00AD6F7A"/>
    <w:rsid w:val="00AD7055"/>
    <w:rsid w:val="00AD74B5"/>
    <w:rsid w:val="00AD7726"/>
    <w:rsid w:val="00AD7CFD"/>
    <w:rsid w:val="00AD7E38"/>
    <w:rsid w:val="00AD7F64"/>
    <w:rsid w:val="00AE0064"/>
    <w:rsid w:val="00AE0587"/>
    <w:rsid w:val="00AE059B"/>
    <w:rsid w:val="00AE065D"/>
    <w:rsid w:val="00AE080E"/>
    <w:rsid w:val="00AE0B73"/>
    <w:rsid w:val="00AE0D10"/>
    <w:rsid w:val="00AE103A"/>
    <w:rsid w:val="00AE10F5"/>
    <w:rsid w:val="00AE1644"/>
    <w:rsid w:val="00AE18B5"/>
    <w:rsid w:val="00AE19F2"/>
    <w:rsid w:val="00AE1DA2"/>
    <w:rsid w:val="00AE20EF"/>
    <w:rsid w:val="00AE22C3"/>
    <w:rsid w:val="00AE2378"/>
    <w:rsid w:val="00AE285A"/>
    <w:rsid w:val="00AE2964"/>
    <w:rsid w:val="00AE2B4A"/>
    <w:rsid w:val="00AE2ED1"/>
    <w:rsid w:val="00AE3192"/>
    <w:rsid w:val="00AE340A"/>
    <w:rsid w:val="00AE359A"/>
    <w:rsid w:val="00AE36C6"/>
    <w:rsid w:val="00AE3888"/>
    <w:rsid w:val="00AE39B0"/>
    <w:rsid w:val="00AE3ADA"/>
    <w:rsid w:val="00AE3C3E"/>
    <w:rsid w:val="00AE466A"/>
    <w:rsid w:val="00AE4E0C"/>
    <w:rsid w:val="00AE4F26"/>
    <w:rsid w:val="00AE55E8"/>
    <w:rsid w:val="00AE57B6"/>
    <w:rsid w:val="00AE5822"/>
    <w:rsid w:val="00AE5B15"/>
    <w:rsid w:val="00AE5D83"/>
    <w:rsid w:val="00AE5DA0"/>
    <w:rsid w:val="00AE5FA6"/>
    <w:rsid w:val="00AE6163"/>
    <w:rsid w:val="00AE635D"/>
    <w:rsid w:val="00AE63AA"/>
    <w:rsid w:val="00AE65F8"/>
    <w:rsid w:val="00AE6703"/>
    <w:rsid w:val="00AE6801"/>
    <w:rsid w:val="00AE6E19"/>
    <w:rsid w:val="00AE70BE"/>
    <w:rsid w:val="00AE748C"/>
    <w:rsid w:val="00AE76DD"/>
    <w:rsid w:val="00AE7CEC"/>
    <w:rsid w:val="00AE7E8D"/>
    <w:rsid w:val="00AF0293"/>
    <w:rsid w:val="00AF06CF"/>
    <w:rsid w:val="00AF127A"/>
    <w:rsid w:val="00AF1368"/>
    <w:rsid w:val="00AF136D"/>
    <w:rsid w:val="00AF177D"/>
    <w:rsid w:val="00AF1932"/>
    <w:rsid w:val="00AF1981"/>
    <w:rsid w:val="00AF1C14"/>
    <w:rsid w:val="00AF1D46"/>
    <w:rsid w:val="00AF1FB7"/>
    <w:rsid w:val="00AF2381"/>
    <w:rsid w:val="00AF239C"/>
    <w:rsid w:val="00AF2C4C"/>
    <w:rsid w:val="00AF2DC8"/>
    <w:rsid w:val="00AF356E"/>
    <w:rsid w:val="00AF3D4C"/>
    <w:rsid w:val="00AF3D65"/>
    <w:rsid w:val="00AF3DDC"/>
    <w:rsid w:val="00AF4D1F"/>
    <w:rsid w:val="00AF5319"/>
    <w:rsid w:val="00AF53D1"/>
    <w:rsid w:val="00AF540C"/>
    <w:rsid w:val="00AF5810"/>
    <w:rsid w:val="00AF5F3F"/>
    <w:rsid w:val="00AF6068"/>
    <w:rsid w:val="00AF6292"/>
    <w:rsid w:val="00AF6697"/>
    <w:rsid w:val="00AF6A46"/>
    <w:rsid w:val="00AF6A8E"/>
    <w:rsid w:val="00AF6AAE"/>
    <w:rsid w:val="00AF6FDC"/>
    <w:rsid w:val="00AF740A"/>
    <w:rsid w:val="00AF75AB"/>
    <w:rsid w:val="00AF797C"/>
    <w:rsid w:val="00AF7B62"/>
    <w:rsid w:val="00AF7E21"/>
    <w:rsid w:val="00AF7FD1"/>
    <w:rsid w:val="00B00AC2"/>
    <w:rsid w:val="00B00AE1"/>
    <w:rsid w:val="00B00C60"/>
    <w:rsid w:val="00B00EA1"/>
    <w:rsid w:val="00B01024"/>
    <w:rsid w:val="00B01166"/>
    <w:rsid w:val="00B0117F"/>
    <w:rsid w:val="00B01548"/>
    <w:rsid w:val="00B01D61"/>
    <w:rsid w:val="00B01F58"/>
    <w:rsid w:val="00B020CC"/>
    <w:rsid w:val="00B023D4"/>
    <w:rsid w:val="00B028E8"/>
    <w:rsid w:val="00B02B4E"/>
    <w:rsid w:val="00B02D40"/>
    <w:rsid w:val="00B03168"/>
    <w:rsid w:val="00B03201"/>
    <w:rsid w:val="00B03354"/>
    <w:rsid w:val="00B033DC"/>
    <w:rsid w:val="00B035B8"/>
    <w:rsid w:val="00B036F2"/>
    <w:rsid w:val="00B03770"/>
    <w:rsid w:val="00B0395E"/>
    <w:rsid w:val="00B03A90"/>
    <w:rsid w:val="00B03B51"/>
    <w:rsid w:val="00B03B76"/>
    <w:rsid w:val="00B03DBD"/>
    <w:rsid w:val="00B03FB8"/>
    <w:rsid w:val="00B03FBF"/>
    <w:rsid w:val="00B04051"/>
    <w:rsid w:val="00B040C5"/>
    <w:rsid w:val="00B041E6"/>
    <w:rsid w:val="00B04341"/>
    <w:rsid w:val="00B043ED"/>
    <w:rsid w:val="00B0449E"/>
    <w:rsid w:val="00B04515"/>
    <w:rsid w:val="00B046EA"/>
    <w:rsid w:val="00B04910"/>
    <w:rsid w:val="00B04C66"/>
    <w:rsid w:val="00B04CA0"/>
    <w:rsid w:val="00B04E19"/>
    <w:rsid w:val="00B04E7E"/>
    <w:rsid w:val="00B04E97"/>
    <w:rsid w:val="00B04F55"/>
    <w:rsid w:val="00B0532C"/>
    <w:rsid w:val="00B057FB"/>
    <w:rsid w:val="00B058B2"/>
    <w:rsid w:val="00B05A42"/>
    <w:rsid w:val="00B05CE3"/>
    <w:rsid w:val="00B0657D"/>
    <w:rsid w:val="00B06759"/>
    <w:rsid w:val="00B06FAF"/>
    <w:rsid w:val="00B073E9"/>
    <w:rsid w:val="00B07428"/>
    <w:rsid w:val="00B07477"/>
    <w:rsid w:val="00B07602"/>
    <w:rsid w:val="00B07799"/>
    <w:rsid w:val="00B078EB"/>
    <w:rsid w:val="00B07BFD"/>
    <w:rsid w:val="00B07CDB"/>
    <w:rsid w:val="00B07D56"/>
    <w:rsid w:val="00B106B2"/>
    <w:rsid w:val="00B1080A"/>
    <w:rsid w:val="00B10ADE"/>
    <w:rsid w:val="00B10E12"/>
    <w:rsid w:val="00B10E88"/>
    <w:rsid w:val="00B10EDB"/>
    <w:rsid w:val="00B119C1"/>
    <w:rsid w:val="00B12144"/>
    <w:rsid w:val="00B12645"/>
    <w:rsid w:val="00B130FF"/>
    <w:rsid w:val="00B13343"/>
    <w:rsid w:val="00B1387B"/>
    <w:rsid w:val="00B139C0"/>
    <w:rsid w:val="00B13B48"/>
    <w:rsid w:val="00B13DEE"/>
    <w:rsid w:val="00B13EBC"/>
    <w:rsid w:val="00B13F8B"/>
    <w:rsid w:val="00B14313"/>
    <w:rsid w:val="00B1444C"/>
    <w:rsid w:val="00B144E4"/>
    <w:rsid w:val="00B146DA"/>
    <w:rsid w:val="00B1504D"/>
    <w:rsid w:val="00B15188"/>
    <w:rsid w:val="00B1545A"/>
    <w:rsid w:val="00B15523"/>
    <w:rsid w:val="00B155C2"/>
    <w:rsid w:val="00B155ED"/>
    <w:rsid w:val="00B157C8"/>
    <w:rsid w:val="00B16082"/>
    <w:rsid w:val="00B1639E"/>
    <w:rsid w:val="00B1675D"/>
    <w:rsid w:val="00B16A31"/>
    <w:rsid w:val="00B16C6E"/>
    <w:rsid w:val="00B16C73"/>
    <w:rsid w:val="00B1733E"/>
    <w:rsid w:val="00B176C1"/>
    <w:rsid w:val="00B17A38"/>
    <w:rsid w:val="00B17DFD"/>
    <w:rsid w:val="00B2018F"/>
    <w:rsid w:val="00B20495"/>
    <w:rsid w:val="00B2049D"/>
    <w:rsid w:val="00B207FB"/>
    <w:rsid w:val="00B20DDD"/>
    <w:rsid w:val="00B21111"/>
    <w:rsid w:val="00B21696"/>
    <w:rsid w:val="00B21AE9"/>
    <w:rsid w:val="00B21DCB"/>
    <w:rsid w:val="00B22D9B"/>
    <w:rsid w:val="00B2308F"/>
    <w:rsid w:val="00B2338C"/>
    <w:rsid w:val="00B233A4"/>
    <w:rsid w:val="00B2358A"/>
    <w:rsid w:val="00B23602"/>
    <w:rsid w:val="00B2387A"/>
    <w:rsid w:val="00B23C90"/>
    <w:rsid w:val="00B23D2C"/>
    <w:rsid w:val="00B23D38"/>
    <w:rsid w:val="00B23DFE"/>
    <w:rsid w:val="00B24395"/>
    <w:rsid w:val="00B24AA2"/>
    <w:rsid w:val="00B24AEB"/>
    <w:rsid w:val="00B24C52"/>
    <w:rsid w:val="00B24D84"/>
    <w:rsid w:val="00B24F75"/>
    <w:rsid w:val="00B24FE2"/>
    <w:rsid w:val="00B24FFF"/>
    <w:rsid w:val="00B25306"/>
    <w:rsid w:val="00B253AB"/>
    <w:rsid w:val="00B25BBF"/>
    <w:rsid w:val="00B26357"/>
    <w:rsid w:val="00B269EB"/>
    <w:rsid w:val="00B26AEA"/>
    <w:rsid w:val="00B26BD4"/>
    <w:rsid w:val="00B26BDB"/>
    <w:rsid w:val="00B27831"/>
    <w:rsid w:val="00B27A48"/>
    <w:rsid w:val="00B27D12"/>
    <w:rsid w:val="00B27F13"/>
    <w:rsid w:val="00B30010"/>
    <w:rsid w:val="00B30099"/>
    <w:rsid w:val="00B30263"/>
    <w:rsid w:val="00B308FE"/>
    <w:rsid w:val="00B31455"/>
    <w:rsid w:val="00B3169E"/>
    <w:rsid w:val="00B3173B"/>
    <w:rsid w:val="00B318E5"/>
    <w:rsid w:val="00B31D18"/>
    <w:rsid w:val="00B3209C"/>
    <w:rsid w:val="00B320CA"/>
    <w:rsid w:val="00B329F2"/>
    <w:rsid w:val="00B32AD6"/>
    <w:rsid w:val="00B32AE1"/>
    <w:rsid w:val="00B32B33"/>
    <w:rsid w:val="00B32DCF"/>
    <w:rsid w:val="00B33190"/>
    <w:rsid w:val="00B331F1"/>
    <w:rsid w:val="00B3357A"/>
    <w:rsid w:val="00B335C6"/>
    <w:rsid w:val="00B33709"/>
    <w:rsid w:val="00B339FE"/>
    <w:rsid w:val="00B33B3C"/>
    <w:rsid w:val="00B33CF2"/>
    <w:rsid w:val="00B33E64"/>
    <w:rsid w:val="00B34156"/>
    <w:rsid w:val="00B3482B"/>
    <w:rsid w:val="00B349EF"/>
    <w:rsid w:val="00B34A6E"/>
    <w:rsid w:val="00B35696"/>
    <w:rsid w:val="00B358DB"/>
    <w:rsid w:val="00B35B4D"/>
    <w:rsid w:val="00B35E80"/>
    <w:rsid w:val="00B36283"/>
    <w:rsid w:val="00B36392"/>
    <w:rsid w:val="00B367F7"/>
    <w:rsid w:val="00B36A8C"/>
    <w:rsid w:val="00B36E27"/>
    <w:rsid w:val="00B373C3"/>
    <w:rsid w:val="00B37417"/>
    <w:rsid w:val="00B37614"/>
    <w:rsid w:val="00B37628"/>
    <w:rsid w:val="00B376F2"/>
    <w:rsid w:val="00B37DD2"/>
    <w:rsid w:val="00B37F60"/>
    <w:rsid w:val="00B40043"/>
    <w:rsid w:val="00B40251"/>
    <w:rsid w:val="00B4087C"/>
    <w:rsid w:val="00B408DA"/>
    <w:rsid w:val="00B41001"/>
    <w:rsid w:val="00B411B6"/>
    <w:rsid w:val="00B415F2"/>
    <w:rsid w:val="00B41771"/>
    <w:rsid w:val="00B418CB"/>
    <w:rsid w:val="00B41CCF"/>
    <w:rsid w:val="00B41D5B"/>
    <w:rsid w:val="00B41E08"/>
    <w:rsid w:val="00B4207B"/>
    <w:rsid w:val="00B42151"/>
    <w:rsid w:val="00B426CC"/>
    <w:rsid w:val="00B42934"/>
    <w:rsid w:val="00B42D4C"/>
    <w:rsid w:val="00B435E0"/>
    <w:rsid w:val="00B43995"/>
    <w:rsid w:val="00B441DF"/>
    <w:rsid w:val="00B443D7"/>
    <w:rsid w:val="00B447B0"/>
    <w:rsid w:val="00B44C6C"/>
    <w:rsid w:val="00B44D17"/>
    <w:rsid w:val="00B44D58"/>
    <w:rsid w:val="00B44D6F"/>
    <w:rsid w:val="00B44F88"/>
    <w:rsid w:val="00B45138"/>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6C8"/>
    <w:rsid w:val="00B508EA"/>
    <w:rsid w:val="00B50A3B"/>
    <w:rsid w:val="00B50ADC"/>
    <w:rsid w:val="00B50B69"/>
    <w:rsid w:val="00B50EC1"/>
    <w:rsid w:val="00B50F23"/>
    <w:rsid w:val="00B515A5"/>
    <w:rsid w:val="00B51750"/>
    <w:rsid w:val="00B51913"/>
    <w:rsid w:val="00B51B10"/>
    <w:rsid w:val="00B51B5C"/>
    <w:rsid w:val="00B51C3A"/>
    <w:rsid w:val="00B52FF0"/>
    <w:rsid w:val="00B53115"/>
    <w:rsid w:val="00B5312F"/>
    <w:rsid w:val="00B53183"/>
    <w:rsid w:val="00B5333C"/>
    <w:rsid w:val="00B53EDA"/>
    <w:rsid w:val="00B53F4D"/>
    <w:rsid w:val="00B54AD2"/>
    <w:rsid w:val="00B54B80"/>
    <w:rsid w:val="00B54E8C"/>
    <w:rsid w:val="00B54EEB"/>
    <w:rsid w:val="00B54F3C"/>
    <w:rsid w:val="00B55369"/>
    <w:rsid w:val="00B55A23"/>
    <w:rsid w:val="00B55BF6"/>
    <w:rsid w:val="00B55C4F"/>
    <w:rsid w:val="00B55CD5"/>
    <w:rsid w:val="00B563D7"/>
    <w:rsid w:val="00B566B1"/>
    <w:rsid w:val="00B5674F"/>
    <w:rsid w:val="00B56903"/>
    <w:rsid w:val="00B569CF"/>
    <w:rsid w:val="00B569FB"/>
    <w:rsid w:val="00B56AF4"/>
    <w:rsid w:val="00B5729E"/>
    <w:rsid w:val="00B57350"/>
    <w:rsid w:val="00B57674"/>
    <w:rsid w:val="00B577C2"/>
    <w:rsid w:val="00B57817"/>
    <w:rsid w:val="00B57973"/>
    <w:rsid w:val="00B57B1F"/>
    <w:rsid w:val="00B57C4A"/>
    <w:rsid w:val="00B60065"/>
    <w:rsid w:val="00B605D1"/>
    <w:rsid w:val="00B60869"/>
    <w:rsid w:val="00B609E4"/>
    <w:rsid w:val="00B60BCB"/>
    <w:rsid w:val="00B60D5A"/>
    <w:rsid w:val="00B60E1A"/>
    <w:rsid w:val="00B60F27"/>
    <w:rsid w:val="00B60F56"/>
    <w:rsid w:val="00B6118B"/>
    <w:rsid w:val="00B6126E"/>
    <w:rsid w:val="00B612A5"/>
    <w:rsid w:val="00B61320"/>
    <w:rsid w:val="00B614E4"/>
    <w:rsid w:val="00B61740"/>
    <w:rsid w:val="00B618D2"/>
    <w:rsid w:val="00B61FF4"/>
    <w:rsid w:val="00B621B7"/>
    <w:rsid w:val="00B62399"/>
    <w:rsid w:val="00B62842"/>
    <w:rsid w:val="00B630D0"/>
    <w:rsid w:val="00B63269"/>
    <w:rsid w:val="00B63415"/>
    <w:rsid w:val="00B636BD"/>
    <w:rsid w:val="00B63834"/>
    <w:rsid w:val="00B6392A"/>
    <w:rsid w:val="00B63AB6"/>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867"/>
    <w:rsid w:val="00B659A4"/>
    <w:rsid w:val="00B65B9E"/>
    <w:rsid w:val="00B65E00"/>
    <w:rsid w:val="00B66267"/>
    <w:rsid w:val="00B662CA"/>
    <w:rsid w:val="00B6659F"/>
    <w:rsid w:val="00B667B5"/>
    <w:rsid w:val="00B66997"/>
    <w:rsid w:val="00B66A79"/>
    <w:rsid w:val="00B66BB4"/>
    <w:rsid w:val="00B66CC7"/>
    <w:rsid w:val="00B66E9D"/>
    <w:rsid w:val="00B6734E"/>
    <w:rsid w:val="00B673B0"/>
    <w:rsid w:val="00B6778E"/>
    <w:rsid w:val="00B67C14"/>
    <w:rsid w:val="00B67CEF"/>
    <w:rsid w:val="00B7075D"/>
    <w:rsid w:val="00B70790"/>
    <w:rsid w:val="00B70DB1"/>
    <w:rsid w:val="00B7140D"/>
    <w:rsid w:val="00B71881"/>
    <w:rsid w:val="00B71B1D"/>
    <w:rsid w:val="00B72877"/>
    <w:rsid w:val="00B72DC0"/>
    <w:rsid w:val="00B73266"/>
    <w:rsid w:val="00B733BA"/>
    <w:rsid w:val="00B7341D"/>
    <w:rsid w:val="00B73457"/>
    <w:rsid w:val="00B737DB"/>
    <w:rsid w:val="00B738B6"/>
    <w:rsid w:val="00B73F04"/>
    <w:rsid w:val="00B743DC"/>
    <w:rsid w:val="00B7462E"/>
    <w:rsid w:val="00B749C2"/>
    <w:rsid w:val="00B749E0"/>
    <w:rsid w:val="00B749FA"/>
    <w:rsid w:val="00B74A30"/>
    <w:rsid w:val="00B74BFC"/>
    <w:rsid w:val="00B74F2D"/>
    <w:rsid w:val="00B75297"/>
    <w:rsid w:val="00B752B8"/>
    <w:rsid w:val="00B755BB"/>
    <w:rsid w:val="00B7597D"/>
    <w:rsid w:val="00B75B4E"/>
    <w:rsid w:val="00B75D82"/>
    <w:rsid w:val="00B75D8F"/>
    <w:rsid w:val="00B75E02"/>
    <w:rsid w:val="00B75E7E"/>
    <w:rsid w:val="00B75FE7"/>
    <w:rsid w:val="00B76056"/>
    <w:rsid w:val="00B76722"/>
    <w:rsid w:val="00B769C5"/>
    <w:rsid w:val="00B76A3E"/>
    <w:rsid w:val="00B76B3A"/>
    <w:rsid w:val="00B76BFC"/>
    <w:rsid w:val="00B7729E"/>
    <w:rsid w:val="00B77AF2"/>
    <w:rsid w:val="00B80047"/>
    <w:rsid w:val="00B800A2"/>
    <w:rsid w:val="00B80199"/>
    <w:rsid w:val="00B804B3"/>
    <w:rsid w:val="00B80531"/>
    <w:rsid w:val="00B80696"/>
    <w:rsid w:val="00B80796"/>
    <w:rsid w:val="00B80874"/>
    <w:rsid w:val="00B809E9"/>
    <w:rsid w:val="00B8110F"/>
    <w:rsid w:val="00B811DA"/>
    <w:rsid w:val="00B8132D"/>
    <w:rsid w:val="00B81502"/>
    <w:rsid w:val="00B8156A"/>
    <w:rsid w:val="00B815F6"/>
    <w:rsid w:val="00B816F3"/>
    <w:rsid w:val="00B8182A"/>
    <w:rsid w:val="00B8192F"/>
    <w:rsid w:val="00B81A9A"/>
    <w:rsid w:val="00B81C04"/>
    <w:rsid w:val="00B82353"/>
    <w:rsid w:val="00B82440"/>
    <w:rsid w:val="00B827E7"/>
    <w:rsid w:val="00B82A8D"/>
    <w:rsid w:val="00B82AC5"/>
    <w:rsid w:val="00B83158"/>
    <w:rsid w:val="00B83204"/>
    <w:rsid w:val="00B8351C"/>
    <w:rsid w:val="00B8357C"/>
    <w:rsid w:val="00B83603"/>
    <w:rsid w:val="00B837CF"/>
    <w:rsid w:val="00B8380C"/>
    <w:rsid w:val="00B83ADC"/>
    <w:rsid w:val="00B83C34"/>
    <w:rsid w:val="00B83EF8"/>
    <w:rsid w:val="00B83FE3"/>
    <w:rsid w:val="00B84ECA"/>
    <w:rsid w:val="00B85223"/>
    <w:rsid w:val="00B85445"/>
    <w:rsid w:val="00B856BD"/>
    <w:rsid w:val="00B856E7"/>
    <w:rsid w:val="00B856FB"/>
    <w:rsid w:val="00B8575D"/>
    <w:rsid w:val="00B85948"/>
    <w:rsid w:val="00B85CB6"/>
    <w:rsid w:val="00B85F9E"/>
    <w:rsid w:val="00B86207"/>
    <w:rsid w:val="00B86340"/>
    <w:rsid w:val="00B868E9"/>
    <w:rsid w:val="00B8698C"/>
    <w:rsid w:val="00B86DB6"/>
    <w:rsid w:val="00B870F5"/>
    <w:rsid w:val="00B8771E"/>
    <w:rsid w:val="00B879EB"/>
    <w:rsid w:val="00B87A4D"/>
    <w:rsid w:val="00B87BC1"/>
    <w:rsid w:val="00B87EF7"/>
    <w:rsid w:val="00B87F4F"/>
    <w:rsid w:val="00B90833"/>
    <w:rsid w:val="00B90ABA"/>
    <w:rsid w:val="00B90EE2"/>
    <w:rsid w:val="00B9198D"/>
    <w:rsid w:val="00B92B39"/>
    <w:rsid w:val="00B92D3A"/>
    <w:rsid w:val="00B92E18"/>
    <w:rsid w:val="00B93ADE"/>
    <w:rsid w:val="00B93D2C"/>
    <w:rsid w:val="00B940ED"/>
    <w:rsid w:val="00B941D6"/>
    <w:rsid w:val="00B94490"/>
    <w:rsid w:val="00B946D5"/>
    <w:rsid w:val="00B947BB"/>
    <w:rsid w:val="00B94918"/>
    <w:rsid w:val="00B94A24"/>
    <w:rsid w:val="00B952D2"/>
    <w:rsid w:val="00B95983"/>
    <w:rsid w:val="00B95BDE"/>
    <w:rsid w:val="00B95BEF"/>
    <w:rsid w:val="00B95E27"/>
    <w:rsid w:val="00B96335"/>
    <w:rsid w:val="00B9654B"/>
    <w:rsid w:val="00B969BB"/>
    <w:rsid w:val="00B96BF2"/>
    <w:rsid w:val="00B96CC8"/>
    <w:rsid w:val="00B96FE7"/>
    <w:rsid w:val="00B97032"/>
    <w:rsid w:val="00B97D58"/>
    <w:rsid w:val="00BA0063"/>
    <w:rsid w:val="00BA018E"/>
    <w:rsid w:val="00BA036F"/>
    <w:rsid w:val="00BA083A"/>
    <w:rsid w:val="00BA0950"/>
    <w:rsid w:val="00BA0D7B"/>
    <w:rsid w:val="00BA0E5C"/>
    <w:rsid w:val="00BA10C5"/>
    <w:rsid w:val="00BA1329"/>
    <w:rsid w:val="00BA135A"/>
    <w:rsid w:val="00BA140D"/>
    <w:rsid w:val="00BA142F"/>
    <w:rsid w:val="00BA1753"/>
    <w:rsid w:val="00BA2177"/>
    <w:rsid w:val="00BA220B"/>
    <w:rsid w:val="00BA2667"/>
    <w:rsid w:val="00BA27EB"/>
    <w:rsid w:val="00BA2963"/>
    <w:rsid w:val="00BA29D6"/>
    <w:rsid w:val="00BA2B90"/>
    <w:rsid w:val="00BA2B9E"/>
    <w:rsid w:val="00BA335D"/>
    <w:rsid w:val="00BA3A57"/>
    <w:rsid w:val="00BA3D47"/>
    <w:rsid w:val="00BA3E13"/>
    <w:rsid w:val="00BA401C"/>
    <w:rsid w:val="00BA46F0"/>
    <w:rsid w:val="00BA4977"/>
    <w:rsid w:val="00BA4A3A"/>
    <w:rsid w:val="00BA5410"/>
    <w:rsid w:val="00BA54B5"/>
    <w:rsid w:val="00BA5754"/>
    <w:rsid w:val="00BA6347"/>
    <w:rsid w:val="00BA651C"/>
    <w:rsid w:val="00BA67FB"/>
    <w:rsid w:val="00BA6B9D"/>
    <w:rsid w:val="00BA6E1E"/>
    <w:rsid w:val="00BA7582"/>
    <w:rsid w:val="00BA7819"/>
    <w:rsid w:val="00BA781B"/>
    <w:rsid w:val="00BA7B02"/>
    <w:rsid w:val="00BA7B7D"/>
    <w:rsid w:val="00BA7E01"/>
    <w:rsid w:val="00BB10D3"/>
    <w:rsid w:val="00BB1533"/>
    <w:rsid w:val="00BB187E"/>
    <w:rsid w:val="00BB1903"/>
    <w:rsid w:val="00BB1A81"/>
    <w:rsid w:val="00BB1BC5"/>
    <w:rsid w:val="00BB1C7E"/>
    <w:rsid w:val="00BB1CAC"/>
    <w:rsid w:val="00BB28E4"/>
    <w:rsid w:val="00BB2EB9"/>
    <w:rsid w:val="00BB34FB"/>
    <w:rsid w:val="00BB36C9"/>
    <w:rsid w:val="00BB3AC6"/>
    <w:rsid w:val="00BB465E"/>
    <w:rsid w:val="00BB4660"/>
    <w:rsid w:val="00BB482B"/>
    <w:rsid w:val="00BB4A78"/>
    <w:rsid w:val="00BB4B9F"/>
    <w:rsid w:val="00BB4BD4"/>
    <w:rsid w:val="00BB4D4F"/>
    <w:rsid w:val="00BB4E1A"/>
    <w:rsid w:val="00BB4E39"/>
    <w:rsid w:val="00BB4EC6"/>
    <w:rsid w:val="00BB50D2"/>
    <w:rsid w:val="00BB514D"/>
    <w:rsid w:val="00BB539E"/>
    <w:rsid w:val="00BB53A9"/>
    <w:rsid w:val="00BB5788"/>
    <w:rsid w:val="00BB5993"/>
    <w:rsid w:val="00BB599C"/>
    <w:rsid w:val="00BB5F96"/>
    <w:rsid w:val="00BB60F5"/>
    <w:rsid w:val="00BB615D"/>
    <w:rsid w:val="00BB71FF"/>
    <w:rsid w:val="00BB7A68"/>
    <w:rsid w:val="00BB7AC8"/>
    <w:rsid w:val="00BB7BD1"/>
    <w:rsid w:val="00BB7F12"/>
    <w:rsid w:val="00BC015E"/>
    <w:rsid w:val="00BC0B43"/>
    <w:rsid w:val="00BC0EDA"/>
    <w:rsid w:val="00BC0F85"/>
    <w:rsid w:val="00BC119D"/>
    <w:rsid w:val="00BC12B9"/>
    <w:rsid w:val="00BC131C"/>
    <w:rsid w:val="00BC156E"/>
    <w:rsid w:val="00BC15AE"/>
    <w:rsid w:val="00BC1ACB"/>
    <w:rsid w:val="00BC1E4D"/>
    <w:rsid w:val="00BC1E62"/>
    <w:rsid w:val="00BC2167"/>
    <w:rsid w:val="00BC238E"/>
    <w:rsid w:val="00BC26C6"/>
    <w:rsid w:val="00BC2BB2"/>
    <w:rsid w:val="00BC35C7"/>
    <w:rsid w:val="00BC3C2E"/>
    <w:rsid w:val="00BC3D80"/>
    <w:rsid w:val="00BC408B"/>
    <w:rsid w:val="00BC46D1"/>
    <w:rsid w:val="00BC50AD"/>
    <w:rsid w:val="00BC51C7"/>
    <w:rsid w:val="00BC521A"/>
    <w:rsid w:val="00BC5427"/>
    <w:rsid w:val="00BC5EA5"/>
    <w:rsid w:val="00BC6093"/>
    <w:rsid w:val="00BC64A4"/>
    <w:rsid w:val="00BC67B2"/>
    <w:rsid w:val="00BC74EA"/>
    <w:rsid w:val="00BC76AC"/>
    <w:rsid w:val="00BC78F8"/>
    <w:rsid w:val="00BC7A28"/>
    <w:rsid w:val="00BD0167"/>
    <w:rsid w:val="00BD0395"/>
    <w:rsid w:val="00BD0462"/>
    <w:rsid w:val="00BD097B"/>
    <w:rsid w:val="00BD0A9F"/>
    <w:rsid w:val="00BD0B4A"/>
    <w:rsid w:val="00BD0C21"/>
    <w:rsid w:val="00BD0DAD"/>
    <w:rsid w:val="00BD0ECB"/>
    <w:rsid w:val="00BD1187"/>
    <w:rsid w:val="00BD1239"/>
    <w:rsid w:val="00BD127F"/>
    <w:rsid w:val="00BD1770"/>
    <w:rsid w:val="00BD1DD6"/>
    <w:rsid w:val="00BD1E3E"/>
    <w:rsid w:val="00BD24AD"/>
    <w:rsid w:val="00BD29CA"/>
    <w:rsid w:val="00BD2AB7"/>
    <w:rsid w:val="00BD2AD1"/>
    <w:rsid w:val="00BD37F0"/>
    <w:rsid w:val="00BD3DCE"/>
    <w:rsid w:val="00BD402D"/>
    <w:rsid w:val="00BD46A3"/>
    <w:rsid w:val="00BD48A4"/>
    <w:rsid w:val="00BD4957"/>
    <w:rsid w:val="00BD4BD0"/>
    <w:rsid w:val="00BD4C2B"/>
    <w:rsid w:val="00BD53D2"/>
    <w:rsid w:val="00BD5412"/>
    <w:rsid w:val="00BD5418"/>
    <w:rsid w:val="00BD5BAA"/>
    <w:rsid w:val="00BD6035"/>
    <w:rsid w:val="00BD6060"/>
    <w:rsid w:val="00BD63EB"/>
    <w:rsid w:val="00BD65FD"/>
    <w:rsid w:val="00BD667F"/>
    <w:rsid w:val="00BD6991"/>
    <w:rsid w:val="00BD6A00"/>
    <w:rsid w:val="00BD77FE"/>
    <w:rsid w:val="00BD7B84"/>
    <w:rsid w:val="00BD7BCE"/>
    <w:rsid w:val="00BD7D50"/>
    <w:rsid w:val="00BE018F"/>
    <w:rsid w:val="00BE02C1"/>
    <w:rsid w:val="00BE0839"/>
    <w:rsid w:val="00BE0C7F"/>
    <w:rsid w:val="00BE101B"/>
    <w:rsid w:val="00BE182B"/>
    <w:rsid w:val="00BE1CB5"/>
    <w:rsid w:val="00BE1E81"/>
    <w:rsid w:val="00BE2155"/>
    <w:rsid w:val="00BE2511"/>
    <w:rsid w:val="00BE2764"/>
    <w:rsid w:val="00BE3025"/>
    <w:rsid w:val="00BE345A"/>
    <w:rsid w:val="00BE37E3"/>
    <w:rsid w:val="00BE3806"/>
    <w:rsid w:val="00BE3CC4"/>
    <w:rsid w:val="00BE444B"/>
    <w:rsid w:val="00BE4D5F"/>
    <w:rsid w:val="00BE50DE"/>
    <w:rsid w:val="00BE51CD"/>
    <w:rsid w:val="00BE54E6"/>
    <w:rsid w:val="00BE56C7"/>
    <w:rsid w:val="00BE5708"/>
    <w:rsid w:val="00BE5CF6"/>
    <w:rsid w:val="00BE5DFA"/>
    <w:rsid w:val="00BE5FB8"/>
    <w:rsid w:val="00BE6582"/>
    <w:rsid w:val="00BE6833"/>
    <w:rsid w:val="00BE6864"/>
    <w:rsid w:val="00BE68B5"/>
    <w:rsid w:val="00BE69FF"/>
    <w:rsid w:val="00BE6B52"/>
    <w:rsid w:val="00BE719A"/>
    <w:rsid w:val="00BE720A"/>
    <w:rsid w:val="00BE72EA"/>
    <w:rsid w:val="00BE774C"/>
    <w:rsid w:val="00BE7AD3"/>
    <w:rsid w:val="00BE7D57"/>
    <w:rsid w:val="00BF04A3"/>
    <w:rsid w:val="00BF05AB"/>
    <w:rsid w:val="00BF0705"/>
    <w:rsid w:val="00BF09DA"/>
    <w:rsid w:val="00BF0BA0"/>
    <w:rsid w:val="00BF0D73"/>
    <w:rsid w:val="00BF11E1"/>
    <w:rsid w:val="00BF1D32"/>
    <w:rsid w:val="00BF2199"/>
    <w:rsid w:val="00BF220E"/>
    <w:rsid w:val="00BF2465"/>
    <w:rsid w:val="00BF2ABC"/>
    <w:rsid w:val="00BF2B6D"/>
    <w:rsid w:val="00BF2BBC"/>
    <w:rsid w:val="00BF2F53"/>
    <w:rsid w:val="00BF30B3"/>
    <w:rsid w:val="00BF3A1C"/>
    <w:rsid w:val="00BF3B52"/>
    <w:rsid w:val="00BF3B85"/>
    <w:rsid w:val="00BF3CCB"/>
    <w:rsid w:val="00BF42ED"/>
    <w:rsid w:val="00BF4A48"/>
    <w:rsid w:val="00BF4BD5"/>
    <w:rsid w:val="00BF4C69"/>
    <w:rsid w:val="00BF50F5"/>
    <w:rsid w:val="00BF5922"/>
    <w:rsid w:val="00BF598A"/>
    <w:rsid w:val="00BF5A6E"/>
    <w:rsid w:val="00BF5B56"/>
    <w:rsid w:val="00BF5EE3"/>
    <w:rsid w:val="00BF5F55"/>
    <w:rsid w:val="00BF6BB9"/>
    <w:rsid w:val="00BF6D2F"/>
    <w:rsid w:val="00BF710C"/>
    <w:rsid w:val="00BF71BD"/>
    <w:rsid w:val="00BF737B"/>
    <w:rsid w:val="00BF75D6"/>
    <w:rsid w:val="00BF7740"/>
    <w:rsid w:val="00BF7797"/>
    <w:rsid w:val="00BF7D05"/>
    <w:rsid w:val="00BF7D6E"/>
    <w:rsid w:val="00BF7F4F"/>
    <w:rsid w:val="00C00026"/>
    <w:rsid w:val="00C00993"/>
    <w:rsid w:val="00C00CDC"/>
    <w:rsid w:val="00C00D68"/>
    <w:rsid w:val="00C00F3A"/>
    <w:rsid w:val="00C013DC"/>
    <w:rsid w:val="00C01604"/>
    <w:rsid w:val="00C01761"/>
    <w:rsid w:val="00C017BA"/>
    <w:rsid w:val="00C01A36"/>
    <w:rsid w:val="00C01E13"/>
    <w:rsid w:val="00C02000"/>
    <w:rsid w:val="00C02086"/>
    <w:rsid w:val="00C020DC"/>
    <w:rsid w:val="00C02B97"/>
    <w:rsid w:val="00C02DFA"/>
    <w:rsid w:val="00C03421"/>
    <w:rsid w:val="00C03422"/>
    <w:rsid w:val="00C038DC"/>
    <w:rsid w:val="00C03DE6"/>
    <w:rsid w:val="00C0425F"/>
    <w:rsid w:val="00C04DCC"/>
    <w:rsid w:val="00C04EA9"/>
    <w:rsid w:val="00C051A0"/>
    <w:rsid w:val="00C053A1"/>
    <w:rsid w:val="00C05EE9"/>
    <w:rsid w:val="00C06228"/>
    <w:rsid w:val="00C065F6"/>
    <w:rsid w:val="00C066EB"/>
    <w:rsid w:val="00C0692C"/>
    <w:rsid w:val="00C06A3E"/>
    <w:rsid w:val="00C06C50"/>
    <w:rsid w:val="00C070A2"/>
    <w:rsid w:val="00C0718F"/>
    <w:rsid w:val="00C0732A"/>
    <w:rsid w:val="00C0796D"/>
    <w:rsid w:val="00C10087"/>
    <w:rsid w:val="00C1021E"/>
    <w:rsid w:val="00C10446"/>
    <w:rsid w:val="00C105AD"/>
    <w:rsid w:val="00C1092E"/>
    <w:rsid w:val="00C10EB7"/>
    <w:rsid w:val="00C11116"/>
    <w:rsid w:val="00C1114C"/>
    <w:rsid w:val="00C111DF"/>
    <w:rsid w:val="00C119E5"/>
    <w:rsid w:val="00C11CF9"/>
    <w:rsid w:val="00C12200"/>
    <w:rsid w:val="00C1226B"/>
    <w:rsid w:val="00C12497"/>
    <w:rsid w:val="00C1252D"/>
    <w:rsid w:val="00C1296C"/>
    <w:rsid w:val="00C13073"/>
    <w:rsid w:val="00C131F7"/>
    <w:rsid w:val="00C133F8"/>
    <w:rsid w:val="00C1340C"/>
    <w:rsid w:val="00C135E7"/>
    <w:rsid w:val="00C13866"/>
    <w:rsid w:val="00C138AD"/>
    <w:rsid w:val="00C13AA4"/>
    <w:rsid w:val="00C14107"/>
    <w:rsid w:val="00C14123"/>
    <w:rsid w:val="00C144A3"/>
    <w:rsid w:val="00C1472D"/>
    <w:rsid w:val="00C15259"/>
    <w:rsid w:val="00C1549C"/>
    <w:rsid w:val="00C15AFF"/>
    <w:rsid w:val="00C15DAA"/>
    <w:rsid w:val="00C161B7"/>
    <w:rsid w:val="00C16619"/>
    <w:rsid w:val="00C16C5D"/>
    <w:rsid w:val="00C16D26"/>
    <w:rsid w:val="00C17015"/>
    <w:rsid w:val="00C17030"/>
    <w:rsid w:val="00C173FE"/>
    <w:rsid w:val="00C17464"/>
    <w:rsid w:val="00C17C17"/>
    <w:rsid w:val="00C17F1E"/>
    <w:rsid w:val="00C204B2"/>
    <w:rsid w:val="00C204CD"/>
    <w:rsid w:val="00C204F9"/>
    <w:rsid w:val="00C20523"/>
    <w:rsid w:val="00C206BF"/>
    <w:rsid w:val="00C20738"/>
    <w:rsid w:val="00C207BA"/>
    <w:rsid w:val="00C20BDC"/>
    <w:rsid w:val="00C20DCA"/>
    <w:rsid w:val="00C20E85"/>
    <w:rsid w:val="00C20F88"/>
    <w:rsid w:val="00C211F1"/>
    <w:rsid w:val="00C21C13"/>
    <w:rsid w:val="00C21E07"/>
    <w:rsid w:val="00C21E63"/>
    <w:rsid w:val="00C221B4"/>
    <w:rsid w:val="00C22561"/>
    <w:rsid w:val="00C22650"/>
    <w:rsid w:val="00C22929"/>
    <w:rsid w:val="00C22AAD"/>
    <w:rsid w:val="00C22C51"/>
    <w:rsid w:val="00C22D22"/>
    <w:rsid w:val="00C22D49"/>
    <w:rsid w:val="00C22E51"/>
    <w:rsid w:val="00C231D9"/>
    <w:rsid w:val="00C2369C"/>
    <w:rsid w:val="00C2482C"/>
    <w:rsid w:val="00C24890"/>
    <w:rsid w:val="00C24AC2"/>
    <w:rsid w:val="00C24CDA"/>
    <w:rsid w:val="00C24FDB"/>
    <w:rsid w:val="00C25A50"/>
    <w:rsid w:val="00C25AD8"/>
    <w:rsid w:val="00C25E41"/>
    <w:rsid w:val="00C25E49"/>
    <w:rsid w:val="00C25E7F"/>
    <w:rsid w:val="00C25F8B"/>
    <w:rsid w:val="00C26005"/>
    <w:rsid w:val="00C2631A"/>
    <w:rsid w:val="00C268E4"/>
    <w:rsid w:val="00C26B8E"/>
    <w:rsid w:val="00C26C6C"/>
    <w:rsid w:val="00C270A1"/>
    <w:rsid w:val="00C2746F"/>
    <w:rsid w:val="00C27CFA"/>
    <w:rsid w:val="00C3068C"/>
    <w:rsid w:val="00C30875"/>
    <w:rsid w:val="00C30880"/>
    <w:rsid w:val="00C30BD5"/>
    <w:rsid w:val="00C30BF6"/>
    <w:rsid w:val="00C3135B"/>
    <w:rsid w:val="00C31386"/>
    <w:rsid w:val="00C31632"/>
    <w:rsid w:val="00C31931"/>
    <w:rsid w:val="00C31B21"/>
    <w:rsid w:val="00C31BD6"/>
    <w:rsid w:val="00C31D67"/>
    <w:rsid w:val="00C31F4D"/>
    <w:rsid w:val="00C3237C"/>
    <w:rsid w:val="00C323D6"/>
    <w:rsid w:val="00C324A0"/>
    <w:rsid w:val="00C32679"/>
    <w:rsid w:val="00C3284C"/>
    <w:rsid w:val="00C32885"/>
    <w:rsid w:val="00C329F7"/>
    <w:rsid w:val="00C32CBC"/>
    <w:rsid w:val="00C32F7A"/>
    <w:rsid w:val="00C3303B"/>
    <w:rsid w:val="00C33058"/>
    <w:rsid w:val="00C33199"/>
    <w:rsid w:val="00C333D9"/>
    <w:rsid w:val="00C33E14"/>
    <w:rsid w:val="00C33F69"/>
    <w:rsid w:val="00C343B1"/>
    <w:rsid w:val="00C344FC"/>
    <w:rsid w:val="00C35226"/>
    <w:rsid w:val="00C3524B"/>
    <w:rsid w:val="00C3575F"/>
    <w:rsid w:val="00C3590C"/>
    <w:rsid w:val="00C35942"/>
    <w:rsid w:val="00C35DD7"/>
    <w:rsid w:val="00C36437"/>
    <w:rsid w:val="00C370DF"/>
    <w:rsid w:val="00C378D9"/>
    <w:rsid w:val="00C405EF"/>
    <w:rsid w:val="00C40849"/>
    <w:rsid w:val="00C40856"/>
    <w:rsid w:val="00C408ED"/>
    <w:rsid w:val="00C409C6"/>
    <w:rsid w:val="00C40A26"/>
    <w:rsid w:val="00C40E0E"/>
    <w:rsid w:val="00C40F28"/>
    <w:rsid w:val="00C4132D"/>
    <w:rsid w:val="00C4134C"/>
    <w:rsid w:val="00C42176"/>
    <w:rsid w:val="00C42853"/>
    <w:rsid w:val="00C42887"/>
    <w:rsid w:val="00C4297F"/>
    <w:rsid w:val="00C42B4A"/>
    <w:rsid w:val="00C42BF8"/>
    <w:rsid w:val="00C42DF9"/>
    <w:rsid w:val="00C43D61"/>
    <w:rsid w:val="00C43E75"/>
    <w:rsid w:val="00C43F71"/>
    <w:rsid w:val="00C443F5"/>
    <w:rsid w:val="00C4472C"/>
    <w:rsid w:val="00C44867"/>
    <w:rsid w:val="00C44CA4"/>
    <w:rsid w:val="00C453C7"/>
    <w:rsid w:val="00C456DD"/>
    <w:rsid w:val="00C45A4B"/>
    <w:rsid w:val="00C45A81"/>
    <w:rsid w:val="00C45F12"/>
    <w:rsid w:val="00C461F0"/>
    <w:rsid w:val="00C463D1"/>
    <w:rsid w:val="00C464F4"/>
    <w:rsid w:val="00C46511"/>
    <w:rsid w:val="00C46774"/>
    <w:rsid w:val="00C469DC"/>
    <w:rsid w:val="00C46ABF"/>
    <w:rsid w:val="00C46C74"/>
    <w:rsid w:val="00C46D2E"/>
    <w:rsid w:val="00C46D45"/>
    <w:rsid w:val="00C46D5A"/>
    <w:rsid w:val="00C46DFA"/>
    <w:rsid w:val="00C4707E"/>
    <w:rsid w:val="00C4730B"/>
    <w:rsid w:val="00C47323"/>
    <w:rsid w:val="00C47725"/>
    <w:rsid w:val="00C47A60"/>
    <w:rsid w:val="00C47D33"/>
    <w:rsid w:val="00C47DAA"/>
    <w:rsid w:val="00C47E09"/>
    <w:rsid w:val="00C47E4A"/>
    <w:rsid w:val="00C47EB0"/>
    <w:rsid w:val="00C50043"/>
    <w:rsid w:val="00C502F7"/>
    <w:rsid w:val="00C5066E"/>
    <w:rsid w:val="00C514DE"/>
    <w:rsid w:val="00C51D0C"/>
    <w:rsid w:val="00C51F8A"/>
    <w:rsid w:val="00C521A0"/>
    <w:rsid w:val="00C522E2"/>
    <w:rsid w:val="00C5236A"/>
    <w:rsid w:val="00C523B7"/>
    <w:rsid w:val="00C528CD"/>
    <w:rsid w:val="00C52C9A"/>
    <w:rsid w:val="00C53540"/>
    <w:rsid w:val="00C53705"/>
    <w:rsid w:val="00C53875"/>
    <w:rsid w:val="00C53AA5"/>
    <w:rsid w:val="00C53B46"/>
    <w:rsid w:val="00C53CE2"/>
    <w:rsid w:val="00C53D83"/>
    <w:rsid w:val="00C53FAA"/>
    <w:rsid w:val="00C5458F"/>
    <w:rsid w:val="00C5477E"/>
    <w:rsid w:val="00C548EC"/>
    <w:rsid w:val="00C54B18"/>
    <w:rsid w:val="00C54D9E"/>
    <w:rsid w:val="00C5519D"/>
    <w:rsid w:val="00C551F1"/>
    <w:rsid w:val="00C5582E"/>
    <w:rsid w:val="00C55992"/>
    <w:rsid w:val="00C559B3"/>
    <w:rsid w:val="00C55BE2"/>
    <w:rsid w:val="00C55D38"/>
    <w:rsid w:val="00C55DFC"/>
    <w:rsid w:val="00C55EF2"/>
    <w:rsid w:val="00C560DF"/>
    <w:rsid w:val="00C56401"/>
    <w:rsid w:val="00C568AF"/>
    <w:rsid w:val="00C56C81"/>
    <w:rsid w:val="00C5708A"/>
    <w:rsid w:val="00C57318"/>
    <w:rsid w:val="00C578E1"/>
    <w:rsid w:val="00C57BD9"/>
    <w:rsid w:val="00C57D0F"/>
    <w:rsid w:val="00C57F8D"/>
    <w:rsid w:val="00C604DF"/>
    <w:rsid w:val="00C60641"/>
    <w:rsid w:val="00C60B04"/>
    <w:rsid w:val="00C616B6"/>
    <w:rsid w:val="00C6261D"/>
    <w:rsid w:val="00C62C46"/>
    <w:rsid w:val="00C630DB"/>
    <w:rsid w:val="00C634D1"/>
    <w:rsid w:val="00C63844"/>
    <w:rsid w:val="00C63922"/>
    <w:rsid w:val="00C641DB"/>
    <w:rsid w:val="00C64387"/>
    <w:rsid w:val="00C644EF"/>
    <w:rsid w:val="00C649C9"/>
    <w:rsid w:val="00C64B1A"/>
    <w:rsid w:val="00C64FF6"/>
    <w:rsid w:val="00C65161"/>
    <w:rsid w:val="00C651B6"/>
    <w:rsid w:val="00C65783"/>
    <w:rsid w:val="00C65794"/>
    <w:rsid w:val="00C65989"/>
    <w:rsid w:val="00C65ACE"/>
    <w:rsid w:val="00C65FEB"/>
    <w:rsid w:val="00C664AB"/>
    <w:rsid w:val="00C665E8"/>
    <w:rsid w:val="00C665FE"/>
    <w:rsid w:val="00C667D0"/>
    <w:rsid w:val="00C66A80"/>
    <w:rsid w:val="00C66C4F"/>
    <w:rsid w:val="00C66D15"/>
    <w:rsid w:val="00C66FC2"/>
    <w:rsid w:val="00C67108"/>
    <w:rsid w:val="00C67491"/>
    <w:rsid w:val="00C675F0"/>
    <w:rsid w:val="00C6787D"/>
    <w:rsid w:val="00C67AA5"/>
    <w:rsid w:val="00C7017A"/>
    <w:rsid w:val="00C709C8"/>
    <w:rsid w:val="00C70A22"/>
    <w:rsid w:val="00C70D3F"/>
    <w:rsid w:val="00C711D7"/>
    <w:rsid w:val="00C713E7"/>
    <w:rsid w:val="00C71445"/>
    <w:rsid w:val="00C7158D"/>
    <w:rsid w:val="00C7175F"/>
    <w:rsid w:val="00C71835"/>
    <w:rsid w:val="00C71975"/>
    <w:rsid w:val="00C71AB8"/>
    <w:rsid w:val="00C71D2E"/>
    <w:rsid w:val="00C71FA3"/>
    <w:rsid w:val="00C720EF"/>
    <w:rsid w:val="00C7221F"/>
    <w:rsid w:val="00C72549"/>
    <w:rsid w:val="00C7287E"/>
    <w:rsid w:val="00C72C2A"/>
    <w:rsid w:val="00C72DCB"/>
    <w:rsid w:val="00C730BF"/>
    <w:rsid w:val="00C7378A"/>
    <w:rsid w:val="00C742DD"/>
    <w:rsid w:val="00C745C1"/>
    <w:rsid w:val="00C7460F"/>
    <w:rsid w:val="00C7476D"/>
    <w:rsid w:val="00C74B35"/>
    <w:rsid w:val="00C756A5"/>
    <w:rsid w:val="00C7573B"/>
    <w:rsid w:val="00C75BDC"/>
    <w:rsid w:val="00C75F96"/>
    <w:rsid w:val="00C7600D"/>
    <w:rsid w:val="00C761CE"/>
    <w:rsid w:val="00C76623"/>
    <w:rsid w:val="00C768B8"/>
    <w:rsid w:val="00C76A2B"/>
    <w:rsid w:val="00C7743F"/>
    <w:rsid w:val="00C776C2"/>
    <w:rsid w:val="00C778A8"/>
    <w:rsid w:val="00C77947"/>
    <w:rsid w:val="00C779CB"/>
    <w:rsid w:val="00C77D91"/>
    <w:rsid w:val="00C77DBB"/>
    <w:rsid w:val="00C77E71"/>
    <w:rsid w:val="00C77EB3"/>
    <w:rsid w:val="00C80064"/>
    <w:rsid w:val="00C80D47"/>
    <w:rsid w:val="00C81173"/>
    <w:rsid w:val="00C81620"/>
    <w:rsid w:val="00C816A1"/>
    <w:rsid w:val="00C81B0F"/>
    <w:rsid w:val="00C82166"/>
    <w:rsid w:val="00C824BE"/>
    <w:rsid w:val="00C826C8"/>
    <w:rsid w:val="00C82AA8"/>
    <w:rsid w:val="00C82ACC"/>
    <w:rsid w:val="00C82B14"/>
    <w:rsid w:val="00C82B8C"/>
    <w:rsid w:val="00C82C65"/>
    <w:rsid w:val="00C82CAA"/>
    <w:rsid w:val="00C8338A"/>
    <w:rsid w:val="00C83A2E"/>
    <w:rsid w:val="00C84501"/>
    <w:rsid w:val="00C84683"/>
    <w:rsid w:val="00C84732"/>
    <w:rsid w:val="00C84A6F"/>
    <w:rsid w:val="00C85653"/>
    <w:rsid w:val="00C85888"/>
    <w:rsid w:val="00C85A0C"/>
    <w:rsid w:val="00C85D7E"/>
    <w:rsid w:val="00C85E43"/>
    <w:rsid w:val="00C85E48"/>
    <w:rsid w:val="00C85E7B"/>
    <w:rsid w:val="00C8658A"/>
    <w:rsid w:val="00C86802"/>
    <w:rsid w:val="00C86A0E"/>
    <w:rsid w:val="00C86A0F"/>
    <w:rsid w:val="00C87219"/>
    <w:rsid w:val="00C875D3"/>
    <w:rsid w:val="00C8762E"/>
    <w:rsid w:val="00C87667"/>
    <w:rsid w:val="00C876CA"/>
    <w:rsid w:val="00C87763"/>
    <w:rsid w:val="00C87CE9"/>
    <w:rsid w:val="00C87D53"/>
    <w:rsid w:val="00C87E90"/>
    <w:rsid w:val="00C903BE"/>
    <w:rsid w:val="00C90873"/>
    <w:rsid w:val="00C90904"/>
    <w:rsid w:val="00C90ACD"/>
    <w:rsid w:val="00C90CF2"/>
    <w:rsid w:val="00C91011"/>
    <w:rsid w:val="00C91953"/>
    <w:rsid w:val="00C91BA1"/>
    <w:rsid w:val="00C91D1E"/>
    <w:rsid w:val="00C92124"/>
    <w:rsid w:val="00C92792"/>
    <w:rsid w:val="00C92804"/>
    <w:rsid w:val="00C92821"/>
    <w:rsid w:val="00C92946"/>
    <w:rsid w:val="00C92BD1"/>
    <w:rsid w:val="00C92EE3"/>
    <w:rsid w:val="00C936B0"/>
    <w:rsid w:val="00C9376F"/>
    <w:rsid w:val="00C9413D"/>
    <w:rsid w:val="00C94444"/>
    <w:rsid w:val="00C94474"/>
    <w:rsid w:val="00C95275"/>
    <w:rsid w:val="00C954A9"/>
    <w:rsid w:val="00C95D4A"/>
    <w:rsid w:val="00C963E3"/>
    <w:rsid w:val="00C966FB"/>
    <w:rsid w:val="00C96F5C"/>
    <w:rsid w:val="00C96F63"/>
    <w:rsid w:val="00C978CA"/>
    <w:rsid w:val="00C97A43"/>
    <w:rsid w:val="00C97A54"/>
    <w:rsid w:val="00C97B3B"/>
    <w:rsid w:val="00C97DCF"/>
    <w:rsid w:val="00C97F65"/>
    <w:rsid w:val="00CA0371"/>
    <w:rsid w:val="00CA0456"/>
    <w:rsid w:val="00CA0814"/>
    <w:rsid w:val="00CA081E"/>
    <w:rsid w:val="00CA0BEA"/>
    <w:rsid w:val="00CA1961"/>
    <w:rsid w:val="00CA2102"/>
    <w:rsid w:val="00CA2C56"/>
    <w:rsid w:val="00CA2D63"/>
    <w:rsid w:val="00CA2DFA"/>
    <w:rsid w:val="00CA2FF3"/>
    <w:rsid w:val="00CA33D7"/>
    <w:rsid w:val="00CA34A6"/>
    <w:rsid w:val="00CA374B"/>
    <w:rsid w:val="00CA3789"/>
    <w:rsid w:val="00CA382A"/>
    <w:rsid w:val="00CA389F"/>
    <w:rsid w:val="00CA3D26"/>
    <w:rsid w:val="00CA424B"/>
    <w:rsid w:val="00CA45D6"/>
    <w:rsid w:val="00CA4EB7"/>
    <w:rsid w:val="00CA515A"/>
    <w:rsid w:val="00CA59AD"/>
    <w:rsid w:val="00CA59CF"/>
    <w:rsid w:val="00CA5ABD"/>
    <w:rsid w:val="00CA5B23"/>
    <w:rsid w:val="00CA5B3E"/>
    <w:rsid w:val="00CA63AB"/>
    <w:rsid w:val="00CA646E"/>
    <w:rsid w:val="00CA6894"/>
    <w:rsid w:val="00CA68EB"/>
    <w:rsid w:val="00CA6C17"/>
    <w:rsid w:val="00CA6E3F"/>
    <w:rsid w:val="00CA72D1"/>
    <w:rsid w:val="00CA7872"/>
    <w:rsid w:val="00CA7889"/>
    <w:rsid w:val="00CA7CB4"/>
    <w:rsid w:val="00CA7CC0"/>
    <w:rsid w:val="00CB00EB"/>
    <w:rsid w:val="00CB0342"/>
    <w:rsid w:val="00CB0523"/>
    <w:rsid w:val="00CB0950"/>
    <w:rsid w:val="00CB0A42"/>
    <w:rsid w:val="00CB0A85"/>
    <w:rsid w:val="00CB0B9B"/>
    <w:rsid w:val="00CB0BF1"/>
    <w:rsid w:val="00CB0CFB"/>
    <w:rsid w:val="00CB13A6"/>
    <w:rsid w:val="00CB1965"/>
    <w:rsid w:val="00CB1ECD"/>
    <w:rsid w:val="00CB2198"/>
    <w:rsid w:val="00CB23DE"/>
    <w:rsid w:val="00CB249E"/>
    <w:rsid w:val="00CB3099"/>
    <w:rsid w:val="00CB33D9"/>
    <w:rsid w:val="00CB34F0"/>
    <w:rsid w:val="00CB393F"/>
    <w:rsid w:val="00CB3EDA"/>
    <w:rsid w:val="00CB3FD0"/>
    <w:rsid w:val="00CB40A3"/>
    <w:rsid w:val="00CB43B9"/>
    <w:rsid w:val="00CB4817"/>
    <w:rsid w:val="00CB49C4"/>
    <w:rsid w:val="00CB4A47"/>
    <w:rsid w:val="00CB4CDB"/>
    <w:rsid w:val="00CB4D4B"/>
    <w:rsid w:val="00CB4EF0"/>
    <w:rsid w:val="00CB55AA"/>
    <w:rsid w:val="00CB5D1F"/>
    <w:rsid w:val="00CB5D74"/>
    <w:rsid w:val="00CB5F86"/>
    <w:rsid w:val="00CB602E"/>
    <w:rsid w:val="00CB603B"/>
    <w:rsid w:val="00CB6170"/>
    <w:rsid w:val="00CB6C4D"/>
    <w:rsid w:val="00CB6E2F"/>
    <w:rsid w:val="00CB6FD2"/>
    <w:rsid w:val="00CB74FE"/>
    <w:rsid w:val="00CB7752"/>
    <w:rsid w:val="00CB7A41"/>
    <w:rsid w:val="00CB7E90"/>
    <w:rsid w:val="00CC03B2"/>
    <w:rsid w:val="00CC040B"/>
    <w:rsid w:val="00CC0F79"/>
    <w:rsid w:val="00CC1025"/>
    <w:rsid w:val="00CC139E"/>
    <w:rsid w:val="00CC161D"/>
    <w:rsid w:val="00CC197A"/>
    <w:rsid w:val="00CC198B"/>
    <w:rsid w:val="00CC1BE8"/>
    <w:rsid w:val="00CC1CF6"/>
    <w:rsid w:val="00CC1E35"/>
    <w:rsid w:val="00CC1F74"/>
    <w:rsid w:val="00CC1FED"/>
    <w:rsid w:val="00CC26C9"/>
    <w:rsid w:val="00CC28A8"/>
    <w:rsid w:val="00CC28BC"/>
    <w:rsid w:val="00CC3BD3"/>
    <w:rsid w:val="00CC3EA0"/>
    <w:rsid w:val="00CC44CA"/>
    <w:rsid w:val="00CC45A7"/>
    <w:rsid w:val="00CC48FF"/>
    <w:rsid w:val="00CC4A07"/>
    <w:rsid w:val="00CC4F7A"/>
    <w:rsid w:val="00CC51A4"/>
    <w:rsid w:val="00CC5A54"/>
    <w:rsid w:val="00CC5C9E"/>
    <w:rsid w:val="00CC62EC"/>
    <w:rsid w:val="00CC6816"/>
    <w:rsid w:val="00CC6DB1"/>
    <w:rsid w:val="00CC6DB4"/>
    <w:rsid w:val="00CC6DBF"/>
    <w:rsid w:val="00CC7053"/>
    <w:rsid w:val="00CC714F"/>
    <w:rsid w:val="00CC77EC"/>
    <w:rsid w:val="00CC791E"/>
    <w:rsid w:val="00CC7D9A"/>
    <w:rsid w:val="00CC7FBB"/>
    <w:rsid w:val="00CD005C"/>
    <w:rsid w:val="00CD0365"/>
    <w:rsid w:val="00CD0823"/>
    <w:rsid w:val="00CD0D24"/>
    <w:rsid w:val="00CD0FA5"/>
    <w:rsid w:val="00CD1806"/>
    <w:rsid w:val="00CD19DA"/>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1BF"/>
    <w:rsid w:val="00CE02B3"/>
    <w:rsid w:val="00CE0370"/>
    <w:rsid w:val="00CE051D"/>
    <w:rsid w:val="00CE0600"/>
    <w:rsid w:val="00CE08DF"/>
    <w:rsid w:val="00CE08EE"/>
    <w:rsid w:val="00CE12C3"/>
    <w:rsid w:val="00CE1335"/>
    <w:rsid w:val="00CE17B7"/>
    <w:rsid w:val="00CE1806"/>
    <w:rsid w:val="00CE1AC1"/>
    <w:rsid w:val="00CE1B28"/>
    <w:rsid w:val="00CE1E42"/>
    <w:rsid w:val="00CE1E8B"/>
    <w:rsid w:val="00CE253F"/>
    <w:rsid w:val="00CE27F7"/>
    <w:rsid w:val="00CE2860"/>
    <w:rsid w:val="00CE2E71"/>
    <w:rsid w:val="00CE3159"/>
    <w:rsid w:val="00CE3850"/>
    <w:rsid w:val="00CE3CCF"/>
    <w:rsid w:val="00CE3D39"/>
    <w:rsid w:val="00CE4461"/>
    <w:rsid w:val="00CE4746"/>
    <w:rsid w:val="00CE493D"/>
    <w:rsid w:val="00CE4993"/>
    <w:rsid w:val="00CE4EB8"/>
    <w:rsid w:val="00CE5854"/>
    <w:rsid w:val="00CE5E3A"/>
    <w:rsid w:val="00CE5ECF"/>
    <w:rsid w:val="00CE60FF"/>
    <w:rsid w:val="00CE69BB"/>
    <w:rsid w:val="00CE6D09"/>
    <w:rsid w:val="00CE7034"/>
    <w:rsid w:val="00CE745B"/>
    <w:rsid w:val="00CE75EA"/>
    <w:rsid w:val="00CE794C"/>
    <w:rsid w:val="00CE7C8A"/>
    <w:rsid w:val="00CF03B5"/>
    <w:rsid w:val="00CF03D7"/>
    <w:rsid w:val="00CF0686"/>
    <w:rsid w:val="00CF06D6"/>
    <w:rsid w:val="00CF07F0"/>
    <w:rsid w:val="00CF07FA"/>
    <w:rsid w:val="00CF0AEE"/>
    <w:rsid w:val="00CF0BB2"/>
    <w:rsid w:val="00CF0C03"/>
    <w:rsid w:val="00CF0D0D"/>
    <w:rsid w:val="00CF0DF6"/>
    <w:rsid w:val="00CF0E3D"/>
    <w:rsid w:val="00CF113B"/>
    <w:rsid w:val="00CF14A5"/>
    <w:rsid w:val="00CF16EE"/>
    <w:rsid w:val="00CF192E"/>
    <w:rsid w:val="00CF1AFA"/>
    <w:rsid w:val="00CF1C3B"/>
    <w:rsid w:val="00CF21CC"/>
    <w:rsid w:val="00CF2268"/>
    <w:rsid w:val="00CF2DE6"/>
    <w:rsid w:val="00CF2F78"/>
    <w:rsid w:val="00CF319D"/>
    <w:rsid w:val="00CF31BB"/>
    <w:rsid w:val="00CF3435"/>
    <w:rsid w:val="00CF3449"/>
    <w:rsid w:val="00CF3691"/>
    <w:rsid w:val="00CF36F6"/>
    <w:rsid w:val="00CF38C0"/>
    <w:rsid w:val="00CF3E2E"/>
    <w:rsid w:val="00CF3EE8"/>
    <w:rsid w:val="00CF415E"/>
    <w:rsid w:val="00CF41B6"/>
    <w:rsid w:val="00CF41C8"/>
    <w:rsid w:val="00CF4414"/>
    <w:rsid w:val="00CF4727"/>
    <w:rsid w:val="00CF497C"/>
    <w:rsid w:val="00CF4CEC"/>
    <w:rsid w:val="00CF4D83"/>
    <w:rsid w:val="00CF5442"/>
    <w:rsid w:val="00CF56E2"/>
    <w:rsid w:val="00CF5BCD"/>
    <w:rsid w:val="00CF5ED4"/>
    <w:rsid w:val="00CF621A"/>
    <w:rsid w:val="00CF6325"/>
    <w:rsid w:val="00CF77B3"/>
    <w:rsid w:val="00CF77F7"/>
    <w:rsid w:val="00CF7ABC"/>
    <w:rsid w:val="00CF7E22"/>
    <w:rsid w:val="00D001AB"/>
    <w:rsid w:val="00D0035C"/>
    <w:rsid w:val="00D00A21"/>
    <w:rsid w:val="00D00BC2"/>
    <w:rsid w:val="00D00FB9"/>
    <w:rsid w:val="00D01737"/>
    <w:rsid w:val="00D01A04"/>
    <w:rsid w:val="00D02017"/>
    <w:rsid w:val="00D0281E"/>
    <w:rsid w:val="00D02BC8"/>
    <w:rsid w:val="00D02CA3"/>
    <w:rsid w:val="00D02CF9"/>
    <w:rsid w:val="00D02EDD"/>
    <w:rsid w:val="00D032A3"/>
    <w:rsid w:val="00D03466"/>
    <w:rsid w:val="00D03722"/>
    <w:rsid w:val="00D0379B"/>
    <w:rsid w:val="00D0380A"/>
    <w:rsid w:val="00D03871"/>
    <w:rsid w:val="00D03934"/>
    <w:rsid w:val="00D03D16"/>
    <w:rsid w:val="00D03F04"/>
    <w:rsid w:val="00D04033"/>
    <w:rsid w:val="00D041F9"/>
    <w:rsid w:val="00D04705"/>
    <w:rsid w:val="00D04766"/>
    <w:rsid w:val="00D04782"/>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907"/>
    <w:rsid w:val="00D06A68"/>
    <w:rsid w:val="00D06E56"/>
    <w:rsid w:val="00D07846"/>
    <w:rsid w:val="00D07B84"/>
    <w:rsid w:val="00D07E64"/>
    <w:rsid w:val="00D07EEE"/>
    <w:rsid w:val="00D07FEA"/>
    <w:rsid w:val="00D10712"/>
    <w:rsid w:val="00D10F51"/>
    <w:rsid w:val="00D1122C"/>
    <w:rsid w:val="00D112B6"/>
    <w:rsid w:val="00D1144E"/>
    <w:rsid w:val="00D11744"/>
    <w:rsid w:val="00D11785"/>
    <w:rsid w:val="00D11EB3"/>
    <w:rsid w:val="00D125A1"/>
    <w:rsid w:val="00D12B42"/>
    <w:rsid w:val="00D1341D"/>
    <w:rsid w:val="00D13441"/>
    <w:rsid w:val="00D134F2"/>
    <w:rsid w:val="00D13726"/>
    <w:rsid w:val="00D1380B"/>
    <w:rsid w:val="00D144FB"/>
    <w:rsid w:val="00D14CE0"/>
    <w:rsid w:val="00D14D72"/>
    <w:rsid w:val="00D14FBF"/>
    <w:rsid w:val="00D150E7"/>
    <w:rsid w:val="00D15185"/>
    <w:rsid w:val="00D16013"/>
    <w:rsid w:val="00D161AA"/>
    <w:rsid w:val="00D16213"/>
    <w:rsid w:val="00D16957"/>
    <w:rsid w:val="00D16BD4"/>
    <w:rsid w:val="00D16D85"/>
    <w:rsid w:val="00D16E30"/>
    <w:rsid w:val="00D17DE4"/>
    <w:rsid w:val="00D200A1"/>
    <w:rsid w:val="00D2013A"/>
    <w:rsid w:val="00D204EC"/>
    <w:rsid w:val="00D20B50"/>
    <w:rsid w:val="00D20C40"/>
    <w:rsid w:val="00D20EA3"/>
    <w:rsid w:val="00D212E4"/>
    <w:rsid w:val="00D21344"/>
    <w:rsid w:val="00D21768"/>
    <w:rsid w:val="00D21B52"/>
    <w:rsid w:val="00D21CE1"/>
    <w:rsid w:val="00D21D38"/>
    <w:rsid w:val="00D21D43"/>
    <w:rsid w:val="00D21FDC"/>
    <w:rsid w:val="00D22443"/>
    <w:rsid w:val="00D225D9"/>
    <w:rsid w:val="00D227C1"/>
    <w:rsid w:val="00D22883"/>
    <w:rsid w:val="00D22AB3"/>
    <w:rsid w:val="00D22C3C"/>
    <w:rsid w:val="00D22C7E"/>
    <w:rsid w:val="00D22E8B"/>
    <w:rsid w:val="00D23336"/>
    <w:rsid w:val="00D23568"/>
    <w:rsid w:val="00D23BDD"/>
    <w:rsid w:val="00D23C46"/>
    <w:rsid w:val="00D23DC1"/>
    <w:rsid w:val="00D23DFF"/>
    <w:rsid w:val="00D23F7B"/>
    <w:rsid w:val="00D24410"/>
    <w:rsid w:val="00D24420"/>
    <w:rsid w:val="00D251AD"/>
    <w:rsid w:val="00D25DBA"/>
    <w:rsid w:val="00D262A3"/>
    <w:rsid w:val="00D26714"/>
    <w:rsid w:val="00D26783"/>
    <w:rsid w:val="00D26797"/>
    <w:rsid w:val="00D26C2D"/>
    <w:rsid w:val="00D2745F"/>
    <w:rsid w:val="00D27478"/>
    <w:rsid w:val="00D274F3"/>
    <w:rsid w:val="00D27B75"/>
    <w:rsid w:val="00D27CE3"/>
    <w:rsid w:val="00D27DB8"/>
    <w:rsid w:val="00D27FFE"/>
    <w:rsid w:val="00D305A3"/>
    <w:rsid w:val="00D30926"/>
    <w:rsid w:val="00D309F7"/>
    <w:rsid w:val="00D30AC7"/>
    <w:rsid w:val="00D3117F"/>
    <w:rsid w:val="00D3132F"/>
    <w:rsid w:val="00D3168A"/>
    <w:rsid w:val="00D31987"/>
    <w:rsid w:val="00D325DD"/>
    <w:rsid w:val="00D32BD4"/>
    <w:rsid w:val="00D32F77"/>
    <w:rsid w:val="00D33305"/>
    <w:rsid w:val="00D334F0"/>
    <w:rsid w:val="00D337D1"/>
    <w:rsid w:val="00D338B0"/>
    <w:rsid w:val="00D33B3B"/>
    <w:rsid w:val="00D33D24"/>
    <w:rsid w:val="00D33FEB"/>
    <w:rsid w:val="00D34073"/>
    <w:rsid w:val="00D3444A"/>
    <w:rsid w:val="00D34637"/>
    <w:rsid w:val="00D346DE"/>
    <w:rsid w:val="00D34759"/>
    <w:rsid w:val="00D34980"/>
    <w:rsid w:val="00D35455"/>
    <w:rsid w:val="00D35638"/>
    <w:rsid w:val="00D35932"/>
    <w:rsid w:val="00D35949"/>
    <w:rsid w:val="00D359B1"/>
    <w:rsid w:val="00D35B63"/>
    <w:rsid w:val="00D35C90"/>
    <w:rsid w:val="00D3609B"/>
    <w:rsid w:val="00D361AF"/>
    <w:rsid w:val="00D3627B"/>
    <w:rsid w:val="00D362A9"/>
    <w:rsid w:val="00D362D9"/>
    <w:rsid w:val="00D3649B"/>
    <w:rsid w:val="00D36720"/>
    <w:rsid w:val="00D3706C"/>
    <w:rsid w:val="00D3734D"/>
    <w:rsid w:val="00D37468"/>
    <w:rsid w:val="00D37492"/>
    <w:rsid w:val="00D374E3"/>
    <w:rsid w:val="00D40460"/>
    <w:rsid w:val="00D405AA"/>
    <w:rsid w:val="00D406C0"/>
    <w:rsid w:val="00D407B0"/>
    <w:rsid w:val="00D40FE1"/>
    <w:rsid w:val="00D41168"/>
    <w:rsid w:val="00D4136F"/>
    <w:rsid w:val="00D4198D"/>
    <w:rsid w:val="00D41A12"/>
    <w:rsid w:val="00D41F91"/>
    <w:rsid w:val="00D420F9"/>
    <w:rsid w:val="00D42214"/>
    <w:rsid w:val="00D422B6"/>
    <w:rsid w:val="00D42572"/>
    <w:rsid w:val="00D42AD9"/>
    <w:rsid w:val="00D43035"/>
    <w:rsid w:val="00D4315A"/>
    <w:rsid w:val="00D431BB"/>
    <w:rsid w:val="00D43250"/>
    <w:rsid w:val="00D43BCC"/>
    <w:rsid w:val="00D43F15"/>
    <w:rsid w:val="00D43FF3"/>
    <w:rsid w:val="00D4417E"/>
    <w:rsid w:val="00D44317"/>
    <w:rsid w:val="00D44847"/>
    <w:rsid w:val="00D44C46"/>
    <w:rsid w:val="00D44ED0"/>
    <w:rsid w:val="00D45185"/>
    <w:rsid w:val="00D451E3"/>
    <w:rsid w:val="00D455FC"/>
    <w:rsid w:val="00D456F6"/>
    <w:rsid w:val="00D45758"/>
    <w:rsid w:val="00D458B4"/>
    <w:rsid w:val="00D4590E"/>
    <w:rsid w:val="00D45F85"/>
    <w:rsid w:val="00D46189"/>
    <w:rsid w:val="00D46281"/>
    <w:rsid w:val="00D46432"/>
    <w:rsid w:val="00D466D1"/>
    <w:rsid w:val="00D468C0"/>
    <w:rsid w:val="00D46DFA"/>
    <w:rsid w:val="00D46F43"/>
    <w:rsid w:val="00D46FCA"/>
    <w:rsid w:val="00D46FD0"/>
    <w:rsid w:val="00D47038"/>
    <w:rsid w:val="00D470DC"/>
    <w:rsid w:val="00D472BD"/>
    <w:rsid w:val="00D473CE"/>
    <w:rsid w:val="00D475EB"/>
    <w:rsid w:val="00D476C3"/>
    <w:rsid w:val="00D47970"/>
    <w:rsid w:val="00D500EE"/>
    <w:rsid w:val="00D5022E"/>
    <w:rsid w:val="00D50452"/>
    <w:rsid w:val="00D505AD"/>
    <w:rsid w:val="00D50661"/>
    <w:rsid w:val="00D50930"/>
    <w:rsid w:val="00D50D9F"/>
    <w:rsid w:val="00D5122F"/>
    <w:rsid w:val="00D513D7"/>
    <w:rsid w:val="00D51B52"/>
    <w:rsid w:val="00D51CD7"/>
    <w:rsid w:val="00D51E34"/>
    <w:rsid w:val="00D51F6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5E6A"/>
    <w:rsid w:val="00D55F08"/>
    <w:rsid w:val="00D56517"/>
    <w:rsid w:val="00D56AFB"/>
    <w:rsid w:val="00D56B09"/>
    <w:rsid w:val="00D56FAE"/>
    <w:rsid w:val="00D57023"/>
    <w:rsid w:val="00D57144"/>
    <w:rsid w:val="00D57B7A"/>
    <w:rsid w:val="00D60705"/>
    <w:rsid w:val="00D60816"/>
    <w:rsid w:val="00D6102E"/>
    <w:rsid w:val="00D6108B"/>
    <w:rsid w:val="00D610C6"/>
    <w:rsid w:val="00D61156"/>
    <w:rsid w:val="00D612D5"/>
    <w:rsid w:val="00D615EA"/>
    <w:rsid w:val="00D61EBA"/>
    <w:rsid w:val="00D6204B"/>
    <w:rsid w:val="00D6219F"/>
    <w:rsid w:val="00D62297"/>
    <w:rsid w:val="00D62587"/>
    <w:rsid w:val="00D62AEC"/>
    <w:rsid w:val="00D62C0B"/>
    <w:rsid w:val="00D633DD"/>
    <w:rsid w:val="00D63723"/>
    <w:rsid w:val="00D6394E"/>
    <w:rsid w:val="00D64034"/>
    <w:rsid w:val="00D64559"/>
    <w:rsid w:val="00D64568"/>
    <w:rsid w:val="00D64646"/>
    <w:rsid w:val="00D64732"/>
    <w:rsid w:val="00D64786"/>
    <w:rsid w:val="00D64B45"/>
    <w:rsid w:val="00D64E08"/>
    <w:rsid w:val="00D64F65"/>
    <w:rsid w:val="00D6525A"/>
    <w:rsid w:val="00D6537E"/>
    <w:rsid w:val="00D65475"/>
    <w:rsid w:val="00D65982"/>
    <w:rsid w:val="00D65A8F"/>
    <w:rsid w:val="00D65DFC"/>
    <w:rsid w:val="00D667E0"/>
    <w:rsid w:val="00D66C0B"/>
    <w:rsid w:val="00D67BB9"/>
    <w:rsid w:val="00D67D8D"/>
    <w:rsid w:val="00D67DAF"/>
    <w:rsid w:val="00D67ED9"/>
    <w:rsid w:val="00D702A3"/>
    <w:rsid w:val="00D703E5"/>
    <w:rsid w:val="00D70CA1"/>
    <w:rsid w:val="00D70D24"/>
    <w:rsid w:val="00D70DFB"/>
    <w:rsid w:val="00D7115A"/>
    <w:rsid w:val="00D71326"/>
    <w:rsid w:val="00D714E6"/>
    <w:rsid w:val="00D71814"/>
    <w:rsid w:val="00D71D0E"/>
    <w:rsid w:val="00D71E7F"/>
    <w:rsid w:val="00D7219F"/>
    <w:rsid w:val="00D7232C"/>
    <w:rsid w:val="00D7245A"/>
    <w:rsid w:val="00D7283C"/>
    <w:rsid w:val="00D72865"/>
    <w:rsid w:val="00D72B50"/>
    <w:rsid w:val="00D72CB4"/>
    <w:rsid w:val="00D72DF3"/>
    <w:rsid w:val="00D7370E"/>
    <w:rsid w:val="00D737BA"/>
    <w:rsid w:val="00D737DD"/>
    <w:rsid w:val="00D73920"/>
    <w:rsid w:val="00D73A26"/>
    <w:rsid w:val="00D74143"/>
    <w:rsid w:val="00D74387"/>
    <w:rsid w:val="00D74467"/>
    <w:rsid w:val="00D748D7"/>
    <w:rsid w:val="00D74E08"/>
    <w:rsid w:val="00D750E9"/>
    <w:rsid w:val="00D75230"/>
    <w:rsid w:val="00D75394"/>
    <w:rsid w:val="00D75B1C"/>
    <w:rsid w:val="00D75D06"/>
    <w:rsid w:val="00D75FDB"/>
    <w:rsid w:val="00D76389"/>
    <w:rsid w:val="00D766DF"/>
    <w:rsid w:val="00D7673E"/>
    <w:rsid w:val="00D7679F"/>
    <w:rsid w:val="00D76D9A"/>
    <w:rsid w:val="00D76E37"/>
    <w:rsid w:val="00D76F4B"/>
    <w:rsid w:val="00D76FAF"/>
    <w:rsid w:val="00D77174"/>
    <w:rsid w:val="00D7772E"/>
    <w:rsid w:val="00D77E21"/>
    <w:rsid w:val="00D806E9"/>
    <w:rsid w:val="00D807A8"/>
    <w:rsid w:val="00D8098E"/>
    <w:rsid w:val="00D809BB"/>
    <w:rsid w:val="00D80A64"/>
    <w:rsid w:val="00D80A89"/>
    <w:rsid w:val="00D81305"/>
    <w:rsid w:val="00D813F1"/>
    <w:rsid w:val="00D8155A"/>
    <w:rsid w:val="00D816C0"/>
    <w:rsid w:val="00D81718"/>
    <w:rsid w:val="00D81BCA"/>
    <w:rsid w:val="00D81C44"/>
    <w:rsid w:val="00D81C64"/>
    <w:rsid w:val="00D8206C"/>
    <w:rsid w:val="00D822FD"/>
    <w:rsid w:val="00D8267D"/>
    <w:rsid w:val="00D82814"/>
    <w:rsid w:val="00D82BD1"/>
    <w:rsid w:val="00D830B9"/>
    <w:rsid w:val="00D833EB"/>
    <w:rsid w:val="00D837FD"/>
    <w:rsid w:val="00D83884"/>
    <w:rsid w:val="00D83B7B"/>
    <w:rsid w:val="00D83C7A"/>
    <w:rsid w:val="00D83CA2"/>
    <w:rsid w:val="00D83E42"/>
    <w:rsid w:val="00D84275"/>
    <w:rsid w:val="00D8439B"/>
    <w:rsid w:val="00D8444F"/>
    <w:rsid w:val="00D848A0"/>
    <w:rsid w:val="00D85047"/>
    <w:rsid w:val="00D85534"/>
    <w:rsid w:val="00D85558"/>
    <w:rsid w:val="00D85612"/>
    <w:rsid w:val="00D85756"/>
    <w:rsid w:val="00D85B77"/>
    <w:rsid w:val="00D85D4B"/>
    <w:rsid w:val="00D861A1"/>
    <w:rsid w:val="00D86547"/>
    <w:rsid w:val="00D86778"/>
    <w:rsid w:val="00D8689D"/>
    <w:rsid w:val="00D868CB"/>
    <w:rsid w:val="00D86ADB"/>
    <w:rsid w:val="00D86D85"/>
    <w:rsid w:val="00D871E1"/>
    <w:rsid w:val="00D8726E"/>
    <w:rsid w:val="00D876FC"/>
    <w:rsid w:val="00D878F2"/>
    <w:rsid w:val="00D90046"/>
    <w:rsid w:val="00D90288"/>
    <w:rsid w:val="00D90436"/>
    <w:rsid w:val="00D90479"/>
    <w:rsid w:val="00D90788"/>
    <w:rsid w:val="00D9092B"/>
    <w:rsid w:val="00D90ED6"/>
    <w:rsid w:val="00D915F0"/>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6FC"/>
    <w:rsid w:val="00D937A7"/>
    <w:rsid w:val="00D93AA3"/>
    <w:rsid w:val="00D93DFC"/>
    <w:rsid w:val="00D93EA0"/>
    <w:rsid w:val="00D94094"/>
    <w:rsid w:val="00D940B5"/>
    <w:rsid w:val="00D9420F"/>
    <w:rsid w:val="00D94614"/>
    <w:rsid w:val="00D9479B"/>
    <w:rsid w:val="00D94CDD"/>
    <w:rsid w:val="00D94F46"/>
    <w:rsid w:val="00D950E8"/>
    <w:rsid w:val="00D953DD"/>
    <w:rsid w:val="00D95462"/>
    <w:rsid w:val="00D95F4B"/>
    <w:rsid w:val="00D960CB"/>
    <w:rsid w:val="00D960FB"/>
    <w:rsid w:val="00D96444"/>
    <w:rsid w:val="00D96AEB"/>
    <w:rsid w:val="00D973BA"/>
    <w:rsid w:val="00D97A99"/>
    <w:rsid w:val="00D97D08"/>
    <w:rsid w:val="00DA026D"/>
    <w:rsid w:val="00DA031E"/>
    <w:rsid w:val="00DA0709"/>
    <w:rsid w:val="00DA0DA7"/>
    <w:rsid w:val="00DA1666"/>
    <w:rsid w:val="00DA186E"/>
    <w:rsid w:val="00DA19C3"/>
    <w:rsid w:val="00DA1DA6"/>
    <w:rsid w:val="00DA21EA"/>
    <w:rsid w:val="00DA26FE"/>
    <w:rsid w:val="00DA3555"/>
    <w:rsid w:val="00DA4116"/>
    <w:rsid w:val="00DA41FA"/>
    <w:rsid w:val="00DA437C"/>
    <w:rsid w:val="00DA456B"/>
    <w:rsid w:val="00DA4694"/>
    <w:rsid w:val="00DA480D"/>
    <w:rsid w:val="00DA4BDF"/>
    <w:rsid w:val="00DA53C7"/>
    <w:rsid w:val="00DA54C7"/>
    <w:rsid w:val="00DA6003"/>
    <w:rsid w:val="00DA6357"/>
    <w:rsid w:val="00DA66A4"/>
    <w:rsid w:val="00DA6901"/>
    <w:rsid w:val="00DA6BB7"/>
    <w:rsid w:val="00DA6C54"/>
    <w:rsid w:val="00DA6D8D"/>
    <w:rsid w:val="00DA70CA"/>
    <w:rsid w:val="00DA73BF"/>
    <w:rsid w:val="00DA7546"/>
    <w:rsid w:val="00DA7552"/>
    <w:rsid w:val="00DA7564"/>
    <w:rsid w:val="00DA7724"/>
    <w:rsid w:val="00DA7922"/>
    <w:rsid w:val="00DA7C2A"/>
    <w:rsid w:val="00DA7CA5"/>
    <w:rsid w:val="00DA7E95"/>
    <w:rsid w:val="00DB0245"/>
    <w:rsid w:val="00DB0936"/>
    <w:rsid w:val="00DB0B69"/>
    <w:rsid w:val="00DB0D53"/>
    <w:rsid w:val="00DB1345"/>
    <w:rsid w:val="00DB1655"/>
    <w:rsid w:val="00DB1C72"/>
    <w:rsid w:val="00DB20ED"/>
    <w:rsid w:val="00DB251C"/>
    <w:rsid w:val="00DB2E8B"/>
    <w:rsid w:val="00DB31A1"/>
    <w:rsid w:val="00DB3BE9"/>
    <w:rsid w:val="00DB3ED8"/>
    <w:rsid w:val="00DB44A4"/>
    <w:rsid w:val="00DB4630"/>
    <w:rsid w:val="00DB487E"/>
    <w:rsid w:val="00DB4A76"/>
    <w:rsid w:val="00DB4C80"/>
    <w:rsid w:val="00DB4D03"/>
    <w:rsid w:val="00DB4F4B"/>
    <w:rsid w:val="00DB51BE"/>
    <w:rsid w:val="00DB588D"/>
    <w:rsid w:val="00DB5AC2"/>
    <w:rsid w:val="00DB5E7B"/>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D18"/>
    <w:rsid w:val="00DC1E98"/>
    <w:rsid w:val="00DC22D9"/>
    <w:rsid w:val="00DC31CB"/>
    <w:rsid w:val="00DC33AE"/>
    <w:rsid w:val="00DC3CC6"/>
    <w:rsid w:val="00DC3CFA"/>
    <w:rsid w:val="00DC4175"/>
    <w:rsid w:val="00DC41FE"/>
    <w:rsid w:val="00DC4240"/>
    <w:rsid w:val="00DC48DB"/>
    <w:rsid w:val="00DC4C8E"/>
    <w:rsid w:val="00DC4F88"/>
    <w:rsid w:val="00DC4F90"/>
    <w:rsid w:val="00DC5602"/>
    <w:rsid w:val="00DC59D6"/>
    <w:rsid w:val="00DC5BEF"/>
    <w:rsid w:val="00DC60E9"/>
    <w:rsid w:val="00DC6A02"/>
    <w:rsid w:val="00DC6CAE"/>
    <w:rsid w:val="00DC6D12"/>
    <w:rsid w:val="00DC6D44"/>
    <w:rsid w:val="00DC6E11"/>
    <w:rsid w:val="00DC786E"/>
    <w:rsid w:val="00DC7A92"/>
    <w:rsid w:val="00DC7E98"/>
    <w:rsid w:val="00DD049A"/>
    <w:rsid w:val="00DD0B38"/>
    <w:rsid w:val="00DD1187"/>
    <w:rsid w:val="00DD16AC"/>
    <w:rsid w:val="00DD1762"/>
    <w:rsid w:val="00DD1850"/>
    <w:rsid w:val="00DD196C"/>
    <w:rsid w:val="00DD1A6E"/>
    <w:rsid w:val="00DD2DCC"/>
    <w:rsid w:val="00DD30FB"/>
    <w:rsid w:val="00DD33C8"/>
    <w:rsid w:val="00DD3501"/>
    <w:rsid w:val="00DD3B38"/>
    <w:rsid w:val="00DD3DBA"/>
    <w:rsid w:val="00DD3E7A"/>
    <w:rsid w:val="00DD423B"/>
    <w:rsid w:val="00DD4CF2"/>
    <w:rsid w:val="00DD577B"/>
    <w:rsid w:val="00DD57CD"/>
    <w:rsid w:val="00DD5839"/>
    <w:rsid w:val="00DD68AD"/>
    <w:rsid w:val="00DD69CB"/>
    <w:rsid w:val="00DD6B28"/>
    <w:rsid w:val="00DD6BEE"/>
    <w:rsid w:val="00DD6C4B"/>
    <w:rsid w:val="00DD74CE"/>
    <w:rsid w:val="00DD75F2"/>
    <w:rsid w:val="00DD7CD3"/>
    <w:rsid w:val="00DD7D40"/>
    <w:rsid w:val="00DE01EE"/>
    <w:rsid w:val="00DE08DE"/>
    <w:rsid w:val="00DE0902"/>
    <w:rsid w:val="00DE0D64"/>
    <w:rsid w:val="00DE107C"/>
    <w:rsid w:val="00DE1082"/>
    <w:rsid w:val="00DE114E"/>
    <w:rsid w:val="00DE11EA"/>
    <w:rsid w:val="00DE1445"/>
    <w:rsid w:val="00DE147B"/>
    <w:rsid w:val="00DE18E7"/>
    <w:rsid w:val="00DE1B0A"/>
    <w:rsid w:val="00DE1DB0"/>
    <w:rsid w:val="00DE1E71"/>
    <w:rsid w:val="00DE1E80"/>
    <w:rsid w:val="00DE2574"/>
    <w:rsid w:val="00DE284D"/>
    <w:rsid w:val="00DE2944"/>
    <w:rsid w:val="00DE2B03"/>
    <w:rsid w:val="00DE2C29"/>
    <w:rsid w:val="00DE2C8C"/>
    <w:rsid w:val="00DE336A"/>
    <w:rsid w:val="00DE36EF"/>
    <w:rsid w:val="00DE36F8"/>
    <w:rsid w:val="00DE3743"/>
    <w:rsid w:val="00DE3970"/>
    <w:rsid w:val="00DE3B1A"/>
    <w:rsid w:val="00DE3D50"/>
    <w:rsid w:val="00DE3F1E"/>
    <w:rsid w:val="00DE3FE8"/>
    <w:rsid w:val="00DE4679"/>
    <w:rsid w:val="00DE5219"/>
    <w:rsid w:val="00DE5736"/>
    <w:rsid w:val="00DE57EB"/>
    <w:rsid w:val="00DE5CBB"/>
    <w:rsid w:val="00DE63D0"/>
    <w:rsid w:val="00DE6559"/>
    <w:rsid w:val="00DE7035"/>
    <w:rsid w:val="00DE78A9"/>
    <w:rsid w:val="00DE79F4"/>
    <w:rsid w:val="00DE7A77"/>
    <w:rsid w:val="00DF0228"/>
    <w:rsid w:val="00DF051F"/>
    <w:rsid w:val="00DF0976"/>
    <w:rsid w:val="00DF167A"/>
    <w:rsid w:val="00DF1F4E"/>
    <w:rsid w:val="00DF1F61"/>
    <w:rsid w:val="00DF2011"/>
    <w:rsid w:val="00DF2098"/>
    <w:rsid w:val="00DF21C2"/>
    <w:rsid w:val="00DF22DB"/>
    <w:rsid w:val="00DF2388"/>
    <w:rsid w:val="00DF271C"/>
    <w:rsid w:val="00DF28BD"/>
    <w:rsid w:val="00DF305F"/>
    <w:rsid w:val="00DF330D"/>
    <w:rsid w:val="00DF3F82"/>
    <w:rsid w:val="00DF3FBC"/>
    <w:rsid w:val="00DF3FFC"/>
    <w:rsid w:val="00DF402A"/>
    <w:rsid w:val="00DF425D"/>
    <w:rsid w:val="00DF45D7"/>
    <w:rsid w:val="00DF46E1"/>
    <w:rsid w:val="00DF5689"/>
    <w:rsid w:val="00DF5873"/>
    <w:rsid w:val="00DF5A41"/>
    <w:rsid w:val="00DF5F8F"/>
    <w:rsid w:val="00DF6507"/>
    <w:rsid w:val="00DF724F"/>
    <w:rsid w:val="00DF76B6"/>
    <w:rsid w:val="00E00005"/>
    <w:rsid w:val="00E00407"/>
    <w:rsid w:val="00E004A1"/>
    <w:rsid w:val="00E00BDC"/>
    <w:rsid w:val="00E0100E"/>
    <w:rsid w:val="00E01326"/>
    <w:rsid w:val="00E01845"/>
    <w:rsid w:val="00E019B5"/>
    <w:rsid w:val="00E02149"/>
    <w:rsid w:val="00E024DC"/>
    <w:rsid w:val="00E02E90"/>
    <w:rsid w:val="00E02FC5"/>
    <w:rsid w:val="00E03425"/>
    <w:rsid w:val="00E0356F"/>
    <w:rsid w:val="00E037F1"/>
    <w:rsid w:val="00E0384E"/>
    <w:rsid w:val="00E038F3"/>
    <w:rsid w:val="00E03ACB"/>
    <w:rsid w:val="00E03CC6"/>
    <w:rsid w:val="00E04044"/>
    <w:rsid w:val="00E042AE"/>
    <w:rsid w:val="00E042B7"/>
    <w:rsid w:val="00E044F8"/>
    <w:rsid w:val="00E049D6"/>
    <w:rsid w:val="00E04F56"/>
    <w:rsid w:val="00E0504A"/>
    <w:rsid w:val="00E050C4"/>
    <w:rsid w:val="00E0521A"/>
    <w:rsid w:val="00E05543"/>
    <w:rsid w:val="00E05644"/>
    <w:rsid w:val="00E05704"/>
    <w:rsid w:val="00E05E65"/>
    <w:rsid w:val="00E05F5E"/>
    <w:rsid w:val="00E063FF"/>
    <w:rsid w:val="00E06482"/>
    <w:rsid w:val="00E06656"/>
    <w:rsid w:val="00E06EA5"/>
    <w:rsid w:val="00E071BD"/>
    <w:rsid w:val="00E07263"/>
    <w:rsid w:val="00E077B0"/>
    <w:rsid w:val="00E07A25"/>
    <w:rsid w:val="00E07B6D"/>
    <w:rsid w:val="00E07BE4"/>
    <w:rsid w:val="00E07E36"/>
    <w:rsid w:val="00E10171"/>
    <w:rsid w:val="00E10D6E"/>
    <w:rsid w:val="00E1170A"/>
    <w:rsid w:val="00E1188C"/>
    <w:rsid w:val="00E11E5E"/>
    <w:rsid w:val="00E11E83"/>
    <w:rsid w:val="00E11F88"/>
    <w:rsid w:val="00E12295"/>
    <w:rsid w:val="00E124F3"/>
    <w:rsid w:val="00E1300D"/>
    <w:rsid w:val="00E13BBF"/>
    <w:rsid w:val="00E14159"/>
    <w:rsid w:val="00E1429F"/>
    <w:rsid w:val="00E14F19"/>
    <w:rsid w:val="00E1509E"/>
    <w:rsid w:val="00E154B8"/>
    <w:rsid w:val="00E1589C"/>
    <w:rsid w:val="00E16104"/>
    <w:rsid w:val="00E161A3"/>
    <w:rsid w:val="00E165D1"/>
    <w:rsid w:val="00E168AD"/>
    <w:rsid w:val="00E16A82"/>
    <w:rsid w:val="00E179BE"/>
    <w:rsid w:val="00E17C5F"/>
    <w:rsid w:val="00E20637"/>
    <w:rsid w:val="00E206FA"/>
    <w:rsid w:val="00E20CE5"/>
    <w:rsid w:val="00E21344"/>
    <w:rsid w:val="00E21643"/>
    <w:rsid w:val="00E216B3"/>
    <w:rsid w:val="00E2175F"/>
    <w:rsid w:val="00E217C0"/>
    <w:rsid w:val="00E2180D"/>
    <w:rsid w:val="00E22207"/>
    <w:rsid w:val="00E22582"/>
    <w:rsid w:val="00E227A1"/>
    <w:rsid w:val="00E22881"/>
    <w:rsid w:val="00E22B5F"/>
    <w:rsid w:val="00E22B8A"/>
    <w:rsid w:val="00E22BD2"/>
    <w:rsid w:val="00E22D15"/>
    <w:rsid w:val="00E22EB5"/>
    <w:rsid w:val="00E22EC5"/>
    <w:rsid w:val="00E2351E"/>
    <w:rsid w:val="00E23BBA"/>
    <w:rsid w:val="00E2440E"/>
    <w:rsid w:val="00E24A47"/>
    <w:rsid w:val="00E24BA7"/>
    <w:rsid w:val="00E24C76"/>
    <w:rsid w:val="00E25131"/>
    <w:rsid w:val="00E2552F"/>
    <w:rsid w:val="00E256D5"/>
    <w:rsid w:val="00E25A07"/>
    <w:rsid w:val="00E260F8"/>
    <w:rsid w:val="00E2631D"/>
    <w:rsid w:val="00E263A9"/>
    <w:rsid w:val="00E26565"/>
    <w:rsid w:val="00E2666F"/>
    <w:rsid w:val="00E268E4"/>
    <w:rsid w:val="00E26DE2"/>
    <w:rsid w:val="00E2713A"/>
    <w:rsid w:val="00E2777B"/>
    <w:rsid w:val="00E27DA7"/>
    <w:rsid w:val="00E27E45"/>
    <w:rsid w:val="00E30049"/>
    <w:rsid w:val="00E308C7"/>
    <w:rsid w:val="00E308CC"/>
    <w:rsid w:val="00E30ED6"/>
    <w:rsid w:val="00E30ED9"/>
    <w:rsid w:val="00E30FDB"/>
    <w:rsid w:val="00E310A9"/>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3E5B"/>
    <w:rsid w:val="00E343CE"/>
    <w:rsid w:val="00E346F5"/>
    <w:rsid w:val="00E34A01"/>
    <w:rsid w:val="00E34D4E"/>
    <w:rsid w:val="00E35783"/>
    <w:rsid w:val="00E35BF2"/>
    <w:rsid w:val="00E35C24"/>
    <w:rsid w:val="00E37CA7"/>
    <w:rsid w:val="00E400B2"/>
    <w:rsid w:val="00E401D6"/>
    <w:rsid w:val="00E40C30"/>
    <w:rsid w:val="00E40C33"/>
    <w:rsid w:val="00E40D35"/>
    <w:rsid w:val="00E40E6A"/>
    <w:rsid w:val="00E411F4"/>
    <w:rsid w:val="00E4193A"/>
    <w:rsid w:val="00E42349"/>
    <w:rsid w:val="00E4237A"/>
    <w:rsid w:val="00E42735"/>
    <w:rsid w:val="00E427A1"/>
    <w:rsid w:val="00E4280C"/>
    <w:rsid w:val="00E42B14"/>
    <w:rsid w:val="00E42F0F"/>
    <w:rsid w:val="00E43095"/>
    <w:rsid w:val="00E4337E"/>
    <w:rsid w:val="00E4365D"/>
    <w:rsid w:val="00E436AD"/>
    <w:rsid w:val="00E436B5"/>
    <w:rsid w:val="00E43922"/>
    <w:rsid w:val="00E439F1"/>
    <w:rsid w:val="00E43D1F"/>
    <w:rsid w:val="00E43DA0"/>
    <w:rsid w:val="00E43E95"/>
    <w:rsid w:val="00E442C9"/>
    <w:rsid w:val="00E44737"/>
    <w:rsid w:val="00E44844"/>
    <w:rsid w:val="00E44AAC"/>
    <w:rsid w:val="00E4520A"/>
    <w:rsid w:val="00E456FD"/>
    <w:rsid w:val="00E45A10"/>
    <w:rsid w:val="00E45D57"/>
    <w:rsid w:val="00E466C1"/>
    <w:rsid w:val="00E469B8"/>
    <w:rsid w:val="00E46B57"/>
    <w:rsid w:val="00E46DDB"/>
    <w:rsid w:val="00E470DE"/>
    <w:rsid w:val="00E47994"/>
    <w:rsid w:val="00E47DC7"/>
    <w:rsid w:val="00E47DCB"/>
    <w:rsid w:val="00E5004F"/>
    <w:rsid w:val="00E5097A"/>
    <w:rsid w:val="00E50BA0"/>
    <w:rsid w:val="00E50C38"/>
    <w:rsid w:val="00E51421"/>
    <w:rsid w:val="00E51448"/>
    <w:rsid w:val="00E514BD"/>
    <w:rsid w:val="00E517AF"/>
    <w:rsid w:val="00E51B1F"/>
    <w:rsid w:val="00E51C94"/>
    <w:rsid w:val="00E51FE8"/>
    <w:rsid w:val="00E51FEA"/>
    <w:rsid w:val="00E52492"/>
    <w:rsid w:val="00E5366A"/>
    <w:rsid w:val="00E53912"/>
    <w:rsid w:val="00E53AA6"/>
    <w:rsid w:val="00E53C9F"/>
    <w:rsid w:val="00E54063"/>
    <w:rsid w:val="00E5433D"/>
    <w:rsid w:val="00E544BB"/>
    <w:rsid w:val="00E5495B"/>
    <w:rsid w:val="00E54C00"/>
    <w:rsid w:val="00E5514E"/>
    <w:rsid w:val="00E5519C"/>
    <w:rsid w:val="00E55F57"/>
    <w:rsid w:val="00E55FA3"/>
    <w:rsid w:val="00E565F7"/>
    <w:rsid w:val="00E5679C"/>
    <w:rsid w:val="00E56AB5"/>
    <w:rsid w:val="00E56B86"/>
    <w:rsid w:val="00E57461"/>
    <w:rsid w:val="00E574C3"/>
    <w:rsid w:val="00E576FC"/>
    <w:rsid w:val="00E57878"/>
    <w:rsid w:val="00E57AE9"/>
    <w:rsid w:val="00E57B4D"/>
    <w:rsid w:val="00E601E5"/>
    <w:rsid w:val="00E60248"/>
    <w:rsid w:val="00E60765"/>
    <w:rsid w:val="00E607D9"/>
    <w:rsid w:val="00E60994"/>
    <w:rsid w:val="00E60ABC"/>
    <w:rsid w:val="00E60F11"/>
    <w:rsid w:val="00E61BD4"/>
    <w:rsid w:val="00E61C4A"/>
    <w:rsid w:val="00E61F3C"/>
    <w:rsid w:val="00E62B80"/>
    <w:rsid w:val="00E62C76"/>
    <w:rsid w:val="00E62DAC"/>
    <w:rsid w:val="00E62ED9"/>
    <w:rsid w:val="00E63259"/>
    <w:rsid w:val="00E63379"/>
    <w:rsid w:val="00E639DA"/>
    <w:rsid w:val="00E63D70"/>
    <w:rsid w:val="00E6495C"/>
    <w:rsid w:val="00E64A41"/>
    <w:rsid w:val="00E65187"/>
    <w:rsid w:val="00E65309"/>
    <w:rsid w:val="00E65576"/>
    <w:rsid w:val="00E658DE"/>
    <w:rsid w:val="00E65D06"/>
    <w:rsid w:val="00E65E30"/>
    <w:rsid w:val="00E660B8"/>
    <w:rsid w:val="00E66500"/>
    <w:rsid w:val="00E6660A"/>
    <w:rsid w:val="00E667BE"/>
    <w:rsid w:val="00E668F9"/>
    <w:rsid w:val="00E66B35"/>
    <w:rsid w:val="00E66D13"/>
    <w:rsid w:val="00E66D79"/>
    <w:rsid w:val="00E66D7E"/>
    <w:rsid w:val="00E6721D"/>
    <w:rsid w:val="00E673EB"/>
    <w:rsid w:val="00E673FB"/>
    <w:rsid w:val="00E67AE3"/>
    <w:rsid w:val="00E709CC"/>
    <w:rsid w:val="00E709E4"/>
    <w:rsid w:val="00E70E3D"/>
    <w:rsid w:val="00E70E88"/>
    <w:rsid w:val="00E70FB0"/>
    <w:rsid w:val="00E710C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863"/>
    <w:rsid w:val="00E73DED"/>
    <w:rsid w:val="00E743A8"/>
    <w:rsid w:val="00E744F7"/>
    <w:rsid w:val="00E74617"/>
    <w:rsid w:val="00E748F5"/>
    <w:rsid w:val="00E74A34"/>
    <w:rsid w:val="00E74DC7"/>
    <w:rsid w:val="00E74F99"/>
    <w:rsid w:val="00E75204"/>
    <w:rsid w:val="00E7545C"/>
    <w:rsid w:val="00E75627"/>
    <w:rsid w:val="00E75B4D"/>
    <w:rsid w:val="00E75CBE"/>
    <w:rsid w:val="00E764F2"/>
    <w:rsid w:val="00E7650C"/>
    <w:rsid w:val="00E76677"/>
    <w:rsid w:val="00E7675E"/>
    <w:rsid w:val="00E768AE"/>
    <w:rsid w:val="00E768CE"/>
    <w:rsid w:val="00E76C1A"/>
    <w:rsid w:val="00E77150"/>
    <w:rsid w:val="00E77152"/>
    <w:rsid w:val="00E773FD"/>
    <w:rsid w:val="00E7758E"/>
    <w:rsid w:val="00E7785F"/>
    <w:rsid w:val="00E77AAF"/>
    <w:rsid w:val="00E77F2D"/>
    <w:rsid w:val="00E77F42"/>
    <w:rsid w:val="00E801F1"/>
    <w:rsid w:val="00E8073F"/>
    <w:rsid w:val="00E8075A"/>
    <w:rsid w:val="00E807C7"/>
    <w:rsid w:val="00E80930"/>
    <w:rsid w:val="00E80C84"/>
    <w:rsid w:val="00E8139D"/>
    <w:rsid w:val="00E81533"/>
    <w:rsid w:val="00E815D0"/>
    <w:rsid w:val="00E816FD"/>
    <w:rsid w:val="00E81F94"/>
    <w:rsid w:val="00E82158"/>
    <w:rsid w:val="00E82EAC"/>
    <w:rsid w:val="00E8302B"/>
    <w:rsid w:val="00E8361D"/>
    <w:rsid w:val="00E83726"/>
    <w:rsid w:val="00E838B4"/>
    <w:rsid w:val="00E83B34"/>
    <w:rsid w:val="00E83CDF"/>
    <w:rsid w:val="00E83F94"/>
    <w:rsid w:val="00E84080"/>
    <w:rsid w:val="00E84391"/>
    <w:rsid w:val="00E844E4"/>
    <w:rsid w:val="00E846C0"/>
    <w:rsid w:val="00E84873"/>
    <w:rsid w:val="00E84940"/>
    <w:rsid w:val="00E85085"/>
    <w:rsid w:val="00E85439"/>
    <w:rsid w:val="00E8558A"/>
    <w:rsid w:val="00E85D43"/>
    <w:rsid w:val="00E85E27"/>
    <w:rsid w:val="00E86037"/>
    <w:rsid w:val="00E86119"/>
    <w:rsid w:val="00E86520"/>
    <w:rsid w:val="00E8655B"/>
    <w:rsid w:val="00E8671B"/>
    <w:rsid w:val="00E868CA"/>
    <w:rsid w:val="00E86917"/>
    <w:rsid w:val="00E87343"/>
    <w:rsid w:val="00E87767"/>
    <w:rsid w:val="00E87B98"/>
    <w:rsid w:val="00E90063"/>
    <w:rsid w:val="00E9027C"/>
    <w:rsid w:val="00E90727"/>
    <w:rsid w:val="00E912C8"/>
    <w:rsid w:val="00E9189C"/>
    <w:rsid w:val="00E91E2F"/>
    <w:rsid w:val="00E91F16"/>
    <w:rsid w:val="00E922CE"/>
    <w:rsid w:val="00E92AD4"/>
    <w:rsid w:val="00E92EE0"/>
    <w:rsid w:val="00E933D4"/>
    <w:rsid w:val="00E93450"/>
    <w:rsid w:val="00E93A0D"/>
    <w:rsid w:val="00E93CA0"/>
    <w:rsid w:val="00E940D8"/>
    <w:rsid w:val="00E94530"/>
    <w:rsid w:val="00E94964"/>
    <w:rsid w:val="00E94967"/>
    <w:rsid w:val="00E94B99"/>
    <w:rsid w:val="00E94D5E"/>
    <w:rsid w:val="00E94DE2"/>
    <w:rsid w:val="00E94E0C"/>
    <w:rsid w:val="00E94F6D"/>
    <w:rsid w:val="00E95DD9"/>
    <w:rsid w:val="00E9608B"/>
    <w:rsid w:val="00E961F9"/>
    <w:rsid w:val="00E96437"/>
    <w:rsid w:val="00E96633"/>
    <w:rsid w:val="00E96CB2"/>
    <w:rsid w:val="00E96D01"/>
    <w:rsid w:val="00E970F9"/>
    <w:rsid w:val="00E9750A"/>
    <w:rsid w:val="00E975D9"/>
    <w:rsid w:val="00EA0189"/>
    <w:rsid w:val="00EA023A"/>
    <w:rsid w:val="00EA057C"/>
    <w:rsid w:val="00EA088B"/>
    <w:rsid w:val="00EA0B40"/>
    <w:rsid w:val="00EA1700"/>
    <w:rsid w:val="00EA17F6"/>
    <w:rsid w:val="00EA1E07"/>
    <w:rsid w:val="00EA20A4"/>
    <w:rsid w:val="00EA23AB"/>
    <w:rsid w:val="00EA2401"/>
    <w:rsid w:val="00EA26D5"/>
    <w:rsid w:val="00EA2AF2"/>
    <w:rsid w:val="00EA2ED7"/>
    <w:rsid w:val="00EA2EE6"/>
    <w:rsid w:val="00EA3354"/>
    <w:rsid w:val="00EA3510"/>
    <w:rsid w:val="00EA355D"/>
    <w:rsid w:val="00EA363C"/>
    <w:rsid w:val="00EA403F"/>
    <w:rsid w:val="00EA4D98"/>
    <w:rsid w:val="00EA50B1"/>
    <w:rsid w:val="00EA5902"/>
    <w:rsid w:val="00EA59D2"/>
    <w:rsid w:val="00EA5D59"/>
    <w:rsid w:val="00EA6240"/>
    <w:rsid w:val="00EA635E"/>
    <w:rsid w:val="00EA63F7"/>
    <w:rsid w:val="00EA67BC"/>
    <w:rsid w:val="00EA6996"/>
    <w:rsid w:val="00EA6B5E"/>
    <w:rsid w:val="00EA6B6E"/>
    <w:rsid w:val="00EA6DB2"/>
    <w:rsid w:val="00EA6E50"/>
    <w:rsid w:val="00EA7100"/>
    <w:rsid w:val="00EA75C9"/>
    <w:rsid w:val="00EA78B7"/>
    <w:rsid w:val="00EA7982"/>
    <w:rsid w:val="00EA7A90"/>
    <w:rsid w:val="00EA7B35"/>
    <w:rsid w:val="00EA7B90"/>
    <w:rsid w:val="00EA7E75"/>
    <w:rsid w:val="00EA7F9F"/>
    <w:rsid w:val="00EB0307"/>
    <w:rsid w:val="00EB036D"/>
    <w:rsid w:val="00EB0914"/>
    <w:rsid w:val="00EB0CA8"/>
    <w:rsid w:val="00EB0E4E"/>
    <w:rsid w:val="00EB0EC8"/>
    <w:rsid w:val="00EB0F13"/>
    <w:rsid w:val="00EB0F59"/>
    <w:rsid w:val="00EB1274"/>
    <w:rsid w:val="00EB13C6"/>
    <w:rsid w:val="00EB18EE"/>
    <w:rsid w:val="00EB1F7C"/>
    <w:rsid w:val="00EB2113"/>
    <w:rsid w:val="00EB269F"/>
    <w:rsid w:val="00EB2A10"/>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8B9"/>
    <w:rsid w:val="00EB7B02"/>
    <w:rsid w:val="00EB7BAA"/>
    <w:rsid w:val="00EB7BB3"/>
    <w:rsid w:val="00EB7D22"/>
    <w:rsid w:val="00EB7EC2"/>
    <w:rsid w:val="00EB7FAC"/>
    <w:rsid w:val="00EC007B"/>
    <w:rsid w:val="00EC0094"/>
    <w:rsid w:val="00EC00F7"/>
    <w:rsid w:val="00EC042B"/>
    <w:rsid w:val="00EC07E7"/>
    <w:rsid w:val="00EC0819"/>
    <w:rsid w:val="00EC0D84"/>
    <w:rsid w:val="00EC177D"/>
    <w:rsid w:val="00EC1939"/>
    <w:rsid w:val="00EC19EF"/>
    <w:rsid w:val="00EC1E60"/>
    <w:rsid w:val="00EC200D"/>
    <w:rsid w:val="00EC208B"/>
    <w:rsid w:val="00EC2192"/>
    <w:rsid w:val="00EC2CC6"/>
    <w:rsid w:val="00EC2FFA"/>
    <w:rsid w:val="00EC30B0"/>
    <w:rsid w:val="00EC31EF"/>
    <w:rsid w:val="00EC3366"/>
    <w:rsid w:val="00EC3EF8"/>
    <w:rsid w:val="00EC4385"/>
    <w:rsid w:val="00EC45F4"/>
    <w:rsid w:val="00EC49FD"/>
    <w:rsid w:val="00EC4A79"/>
    <w:rsid w:val="00EC4E0C"/>
    <w:rsid w:val="00EC522F"/>
    <w:rsid w:val="00EC54B5"/>
    <w:rsid w:val="00EC578E"/>
    <w:rsid w:val="00EC5815"/>
    <w:rsid w:val="00EC5ACE"/>
    <w:rsid w:val="00EC5E2F"/>
    <w:rsid w:val="00EC61B8"/>
    <w:rsid w:val="00EC6845"/>
    <w:rsid w:val="00EC6C19"/>
    <w:rsid w:val="00EC6CC3"/>
    <w:rsid w:val="00EC7150"/>
    <w:rsid w:val="00EC7276"/>
    <w:rsid w:val="00EC78BA"/>
    <w:rsid w:val="00EC791B"/>
    <w:rsid w:val="00EC7A2C"/>
    <w:rsid w:val="00ED0317"/>
    <w:rsid w:val="00ED0A9B"/>
    <w:rsid w:val="00ED0B9C"/>
    <w:rsid w:val="00ED0D4D"/>
    <w:rsid w:val="00ED1140"/>
    <w:rsid w:val="00ED175E"/>
    <w:rsid w:val="00ED18F2"/>
    <w:rsid w:val="00ED1B3E"/>
    <w:rsid w:val="00ED1C0B"/>
    <w:rsid w:val="00ED1E66"/>
    <w:rsid w:val="00ED2025"/>
    <w:rsid w:val="00ED233D"/>
    <w:rsid w:val="00ED260C"/>
    <w:rsid w:val="00ED29BF"/>
    <w:rsid w:val="00ED2A5A"/>
    <w:rsid w:val="00ED2B27"/>
    <w:rsid w:val="00ED2BB6"/>
    <w:rsid w:val="00ED2E8D"/>
    <w:rsid w:val="00ED30DB"/>
    <w:rsid w:val="00ED34E1"/>
    <w:rsid w:val="00ED38C7"/>
    <w:rsid w:val="00ED3B8D"/>
    <w:rsid w:val="00ED3C15"/>
    <w:rsid w:val="00ED3D0C"/>
    <w:rsid w:val="00ED3E59"/>
    <w:rsid w:val="00ED3E9D"/>
    <w:rsid w:val="00ED41D8"/>
    <w:rsid w:val="00ED421E"/>
    <w:rsid w:val="00ED435D"/>
    <w:rsid w:val="00ED4582"/>
    <w:rsid w:val="00ED4707"/>
    <w:rsid w:val="00ED483B"/>
    <w:rsid w:val="00ED4B31"/>
    <w:rsid w:val="00ED4F0A"/>
    <w:rsid w:val="00ED4F4B"/>
    <w:rsid w:val="00ED4FDF"/>
    <w:rsid w:val="00ED511B"/>
    <w:rsid w:val="00ED52DE"/>
    <w:rsid w:val="00ED53FE"/>
    <w:rsid w:val="00ED5728"/>
    <w:rsid w:val="00ED5808"/>
    <w:rsid w:val="00ED58FB"/>
    <w:rsid w:val="00ED59F9"/>
    <w:rsid w:val="00ED5C55"/>
    <w:rsid w:val="00ED5D02"/>
    <w:rsid w:val="00ED5E97"/>
    <w:rsid w:val="00ED5F11"/>
    <w:rsid w:val="00ED6489"/>
    <w:rsid w:val="00ED653A"/>
    <w:rsid w:val="00ED69EB"/>
    <w:rsid w:val="00ED6A8C"/>
    <w:rsid w:val="00ED6AA6"/>
    <w:rsid w:val="00ED6F68"/>
    <w:rsid w:val="00ED70A7"/>
    <w:rsid w:val="00ED724B"/>
    <w:rsid w:val="00ED749D"/>
    <w:rsid w:val="00ED75A5"/>
    <w:rsid w:val="00ED75AF"/>
    <w:rsid w:val="00ED75FB"/>
    <w:rsid w:val="00ED79DB"/>
    <w:rsid w:val="00ED7ADA"/>
    <w:rsid w:val="00ED7BA5"/>
    <w:rsid w:val="00EE049C"/>
    <w:rsid w:val="00EE054C"/>
    <w:rsid w:val="00EE05AB"/>
    <w:rsid w:val="00EE0B5B"/>
    <w:rsid w:val="00EE0BA9"/>
    <w:rsid w:val="00EE0E54"/>
    <w:rsid w:val="00EE0F52"/>
    <w:rsid w:val="00EE11E5"/>
    <w:rsid w:val="00EE1226"/>
    <w:rsid w:val="00EE1685"/>
    <w:rsid w:val="00EE1B0A"/>
    <w:rsid w:val="00EE1D06"/>
    <w:rsid w:val="00EE1DB7"/>
    <w:rsid w:val="00EE2526"/>
    <w:rsid w:val="00EE28B9"/>
    <w:rsid w:val="00EE28C1"/>
    <w:rsid w:val="00EE29F1"/>
    <w:rsid w:val="00EE2B25"/>
    <w:rsid w:val="00EE2BFA"/>
    <w:rsid w:val="00EE2C46"/>
    <w:rsid w:val="00EE2EA1"/>
    <w:rsid w:val="00EE30E2"/>
    <w:rsid w:val="00EE33D7"/>
    <w:rsid w:val="00EE34EC"/>
    <w:rsid w:val="00EE387A"/>
    <w:rsid w:val="00EE3C0F"/>
    <w:rsid w:val="00EE3E56"/>
    <w:rsid w:val="00EE3F29"/>
    <w:rsid w:val="00EE4404"/>
    <w:rsid w:val="00EE45A9"/>
    <w:rsid w:val="00EE4A4A"/>
    <w:rsid w:val="00EE4DF7"/>
    <w:rsid w:val="00EE4E2B"/>
    <w:rsid w:val="00EE591A"/>
    <w:rsid w:val="00EE5E36"/>
    <w:rsid w:val="00EE60BC"/>
    <w:rsid w:val="00EE6255"/>
    <w:rsid w:val="00EE62B3"/>
    <w:rsid w:val="00EE6342"/>
    <w:rsid w:val="00EE6471"/>
    <w:rsid w:val="00EE66B2"/>
    <w:rsid w:val="00EE67DB"/>
    <w:rsid w:val="00EE6D5F"/>
    <w:rsid w:val="00EE6EEA"/>
    <w:rsid w:val="00EE7850"/>
    <w:rsid w:val="00EE78A9"/>
    <w:rsid w:val="00EE7C51"/>
    <w:rsid w:val="00EF000F"/>
    <w:rsid w:val="00EF0106"/>
    <w:rsid w:val="00EF03A2"/>
    <w:rsid w:val="00EF0E15"/>
    <w:rsid w:val="00EF1186"/>
    <w:rsid w:val="00EF1490"/>
    <w:rsid w:val="00EF14B0"/>
    <w:rsid w:val="00EF16D3"/>
    <w:rsid w:val="00EF1932"/>
    <w:rsid w:val="00EF1BC1"/>
    <w:rsid w:val="00EF1C18"/>
    <w:rsid w:val="00EF1C66"/>
    <w:rsid w:val="00EF1C99"/>
    <w:rsid w:val="00EF1EFA"/>
    <w:rsid w:val="00EF1F9D"/>
    <w:rsid w:val="00EF25DB"/>
    <w:rsid w:val="00EF2817"/>
    <w:rsid w:val="00EF2C97"/>
    <w:rsid w:val="00EF2E3A"/>
    <w:rsid w:val="00EF2E3D"/>
    <w:rsid w:val="00EF32C4"/>
    <w:rsid w:val="00EF3347"/>
    <w:rsid w:val="00EF3D6D"/>
    <w:rsid w:val="00EF3DE4"/>
    <w:rsid w:val="00EF4783"/>
    <w:rsid w:val="00EF4810"/>
    <w:rsid w:val="00EF48F6"/>
    <w:rsid w:val="00EF4951"/>
    <w:rsid w:val="00EF4B92"/>
    <w:rsid w:val="00EF501E"/>
    <w:rsid w:val="00EF50B8"/>
    <w:rsid w:val="00EF55BA"/>
    <w:rsid w:val="00EF5DB4"/>
    <w:rsid w:val="00EF6100"/>
    <w:rsid w:val="00EF64EA"/>
    <w:rsid w:val="00EF6713"/>
    <w:rsid w:val="00EF6842"/>
    <w:rsid w:val="00EF6AF5"/>
    <w:rsid w:val="00EF75A2"/>
    <w:rsid w:val="00EF75E4"/>
    <w:rsid w:val="00EF7C07"/>
    <w:rsid w:val="00F000CC"/>
    <w:rsid w:val="00F0079D"/>
    <w:rsid w:val="00F00C96"/>
    <w:rsid w:val="00F0109E"/>
    <w:rsid w:val="00F015A2"/>
    <w:rsid w:val="00F01871"/>
    <w:rsid w:val="00F01B0E"/>
    <w:rsid w:val="00F01EAC"/>
    <w:rsid w:val="00F0243F"/>
    <w:rsid w:val="00F02A09"/>
    <w:rsid w:val="00F02B76"/>
    <w:rsid w:val="00F02C7C"/>
    <w:rsid w:val="00F02FA2"/>
    <w:rsid w:val="00F02FF6"/>
    <w:rsid w:val="00F03636"/>
    <w:rsid w:val="00F036A4"/>
    <w:rsid w:val="00F03AAA"/>
    <w:rsid w:val="00F04053"/>
    <w:rsid w:val="00F04064"/>
    <w:rsid w:val="00F0414A"/>
    <w:rsid w:val="00F04776"/>
    <w:rsid w:val="00F0519D"/>
    <w:rsid w:val="00F056A5"/>
    <w:rsid w:val="00F0580C"/>
    <w:rsid w:val="00F0596F"/>
    <w:rsid w:val="00F05A5E"/>
    <w:rsid w:val="00F05B86"/>
    <w:rsid w:val="00F05C00"/>
    <w:rsid w:val="00F05D11"/>
    <w:rsid w:val="00F05FF2"/>
    <w:rsid w:val="00F06236"/>
    <w:rsid w:val="00F06276"/>
    <w:rsid w:val="00F06573"/>
    <w:rsid w:val="00F069AC"/>
    <w:rsid w:val="00F06ABC"/>
    <w:rsid w:val="00F06E07"/>
    <w:rsid w:val="00F06FCD"/>
    <w:rsid w:val="00F072A7"/>
    <w:rsid w:val="00F072DC"/>
    <w:rsid w:val="00F0735F"/>
    <w:rsid w:val="00F07699"/>
    <w:rsid w:val="00F076AE"/>
    <w:rsid w:val="00F078DC"/>
    <w:rsid w:val="00F07B34"/>
    <w:rsid w:val="00F07C8E"/>
    <w:rsid w:val="00F07D4C"/>
    <w:rsid w:val="00F07E5B"/>
    <w:rsid w:val="00F07EF1"/>
    <w:rsid w:val="00F10E41"/>
    <w:rsid w:val="00F1106E"/>
    <w:rsid w:val="00F11327"/>
    <w:rsid w:val="00F11B88"/>
    <w:rsid w:val="00F11C62"/>
    <w:rsid w:val="00F11E97"/>
    <w:rsid w:val="00F11FCF"/>
    <w:rsid w:val="00F12229"/>
    <w:rsid w:val="00F1232E"/>
    <w:rsid w:val="00F12473"/>
    <w:rsid w:val="00F124D1"/>
    <w:rsid w:val="00F12A77"/>
    <w:rsid w:val="00F13038"/>
    <w:rsid w:val="00F133C1"/>
    <w:rsid w:val="00F134D6"/>
    <w:rsid w:val="00F1391F"/>
    <w:rsid w:val="00F13C4C"/>
    <w:rsid w:val="00F14084"/>
    <w:rsid w:val="00F143F1"/>
    <w:rsid w:val="00F1452E"/>
    <w:rsid w:val="00F14687"/>
    <w:rsid w:val="00F14928"/>
    <w:rsid w:val="00F150E3"/>
    <w:rsid w:val="00F15218"/>
    <w:rsid w:val="00F15392"/>
    <w:rsid w:val="00F154DF"/>
    <w:rsid w:val="00F154E3"/>
    <w:rsid w:val="00F156D3"/>
    <w:rsid w:val="00F15790"/>
    <w:rsid w:val="00F1588B"/>
    <w:rsid w:val="00F15BF6"/>
    <w:rsid w:val="00F16754"/>
    <w:rsid w:val="00F16C01"/>
    <w:rsid w:val="00F1735C"/>
    <w:rsid w:val="00F176AD"/>
    <w:rsid w:val="00F1799A"/>
    <w:rsid w:val="00F17BA6"/>
    <w:rsid w:val="00F17BBB"/>
    <w:rsid w:val="00F17BC2"/>
    <w:rsid w:val="00F202AD"/>
    <w:rsid w:val="00F207F6"/>
    <w:rsid w:val="00F20ED8"/>
    <w:rsid w:val="00F21258"/>
    <w:rsid w:val="00F214C6"/>
    <w:rsid w:val="00F2161C"/>
    <w:rsid w:val="00F2278C"/>
    <w:rsid w:val="00F22885"/>
    <w:rsid w:val="00F2290A"/>
    <w:rsid w:val="00F22B17"/>
    <w:rsid w:val="00F230A8"/>
    <w:rsid w:val="00F23160"/>
    <w:rsid w:val="00F2318F"/>
    <w:rsid w:val="00F23435"/>
    <w:rsid w:val="00F237DC"/>
    <w:rsid w:val="00F238DF"/>
    <w:rsid w:val="00F23B96"/>
    <w:rsid w:val="00F23F5A"/>
    <w:rsid w:val="00F24205"/>
    <w:rsid w:val="00F2452A"/>
    <w:rsid w:val="00F2461F"/>
    <w:rsid w:val="00F24B70"/>
    <w:rsid w:val="00F24C3A"/>
    <w:rsid w:val="00F24D2C"/>
    <w:rsid w:val="00F24E72"/>
    <w:rsid w:val="00F24FAC"/>
    <w:rsid w:val="00F2522C"/>
    <w:rsid w:val="00F2527E"/>
    <w:rsid w:val="00F2537F"/>
    <w:rsid w:val="00F25587"/>
    <w:rsid w:val="00F25665"/>
    <w:rsid w:val="00F2577C"/>
    <w:rsid w:val="00F25A41"/>
    <w:rsid w:val="00F25C08"/>
    <w:rsid w:val="00F25C74"/>
    <w:rsid w:val="00F25CA4"/>
    <w:rsid w:val="00F26136"/>
    <w:rsid w:val="00F26429"/>
    <w:rsid w:val="00F26DEB"/>
    <w:rsid w:val="00F26E9F"/>
    <w:rsid w:val="00F27186"/>
    <w:rsid w:val="00F275B4"/>
    <w:rsid w:val="00F276F1"/>
    <w:rsid w:val="00F27730"/>
    <w:rsid w:val="00F27CC8"/>
    <w:rsid w:val="00F27E4B"/>
    <w:rsid w:val="00F302E8"/>
    <w:rsid w:val="00F303BE"/>
    <w:rsid w:val="00F3056C"/>
    <w:rsid w:val="00F3080A"/>
    <w:rsid w:val="00F30A09"/>
    <w:rsid w:val="00F30A9A"/>
    <w:rsid w:val="00F3104C"/>
    <w:rsid w:val="00F313B4"/>
    <w:rsid w:val="00F315A0"/>
    <w:rsid w:val="00F320C8"/>
    <w:rsid w:val="00F3293D"/>
    <w:rsid w:val="00F3295C"/>
    <w:rsid w:val="00F32BA8"/>
    <w:rsid w:val="00F32EE0"/>
    <w:rsid w:val="00F32F63"/>
    <w:rsid w:val="00F33216"/>
    <w:rsid w:val="00F332E7"/>
    <w:rsid w:val="00F33501"/>
    <w:rsid w:val="00F33B1C"/>
    <w:rsid w:val="00F33E8C"/>
    <w:rsid w:val="00F33EB1"/>
    <w:rsid w:val="00F33FB7"/>
    <w:rsid w:val="00F34448"/>
    <w:rsid w:val="00F349A7"/>
    <w:rsid w:val="00F349F1"/>
    <w:rsid w:val="00F34B46"/>
    <w:rsid w:val="00F3549A"/>
    <w:rsid w:val="00F356E4"/>
    <w:rsid w:val="00F35751"/>
    <w:rsid w:val="00F35AC7"/>
    <w:rsid w:val="00F35E9C"/>
    <w:rsid w:val="00F36379"/>
    <w:rsid w:val="00F365ED"/>
    <w:rsid w:val="00F368A2"/>
    <w:rsid w:val="00F36C4B"/>
    <w:rsid w:val="00F36FAD"/>
    <w:rsid w:val="00F37017"/>
    <w:rsid w:val="00F37088"/>
    <w:rsid w:val="00F37106"/>
    <w:rsid w:val="00F3720A"/>
    <w:rsid w:val="00F37961"/>
    <w:rsid w:val="00F379FC"/>
    <w:rsid w:val="00F37CB3"/>
    <w:rsid w:val="00F37F2E"/>
    <w:rsid w:val="00F40F8C"/>
    <w:rsid w:val="00F41565"/>
    <w:rsid w:val="00F41634"/>
    <w:rsid w:val="00F417FA"/>
    <w:rsid w:val="00F41872"/>
    <w:rsid w:val="00F419AB"/>
    <w:rsid w:val="00F41A6F"/>
    <w:rsid w:val="00F41C20"/>
    <w:rsid w:val="00F41FB6"/>
    <w:rsid w:val="00F42A88"/>
    <w:rsid w:val="00F42A98"/>
    <w:rsid w:val="00F42BE3"/>
    <w:rsid w:val="00F42F98"/>
    <w:rsid w:val="00F433F8"/>
    <w:rsid w:val="00F43422"/>
    <w:rsid w:val="00F4350D"/>
    <w:rsid w:val="00F4405C"/>
    <w:rsid w:val="00F4421A"/>
    <w:rsid w:val="00F45AFF"/>
    <w:rsid w:val="00F463F7"/>
    <w:rsid w:val="00F46586"/>
    <w:rsid w:val="00F46765"/>
    <w:rsid w:val="00F46789"/>
    <w:rsid w:val="00F46B04"/>
    <w:rsid w:val="00F46B32"/>
    <w:rsid w:val="00F46C21"/>
    <w:rsid w:val="00F46D99"/>
    <w:rsid w:val="00F47078"/>
    <w:rsid w:val="00F473B6"/>
    <w:rsid w:val="00F4785C"/>
    <w:rsid w:val="00F479C4"/>
    <w:rsid w:val="00F50000"/>
    <w:rsid w:val="00F500AC"/>
    <w:rsid w:val="00F50151"/>
    <w:rsid w:val="00F5035A"/>
    <w:rsid w:val="00F504CC"/>
    <w:rsid w:val="00F5063D"/>
    <w:rsid w:val="00F5069E"/>
    <w:rsid w:val="00F5128B"/>
    <w:rsid w:val="00F514D9"/>
    <w:rsid w:val="00F51591"/>
    <w:rsid w:val="00F516D9"/>
    <w:rsid w:val="00F52205"/>
    <w:rsid w:val="00F52651"/>
    <w:rsid w:val="00F526D6"/>
    <w:rsid w:val="00F52C27"/>
    <w:rsid w:val="00F52EEB"/>
    <w:rsid w:val="00F5364A"/>
    <w:rsid w:val="00F5365F"/>
    <w:rsid w:val="00F544AE"/>
    <w:rsid w:val="00F54890"/>
    <w:rsid w:val="00F54A8A"/>
    <w:rsid w:val="00F54B3A"/>
    <w:rsid w:val="00F54C32"/>
    <w:rsid w:val="00F54D07"/>
    <w:rsid w:val="00F54DE5"/>
    <w:rsid w:val="00F55110"/>
    <w:rsid w:val="00F55641"/>
    <w:rsid w:val="00F55879"/>
    <w:rsid w:val="00F55B0C"/>
    <w:rsid w:val="00F55D7E"/>
    <w:rsid w:val="00F55F1C"/>
    <w:rsid w:val="00F56110"/>
    <w:rsid w:val="00F56148"/>
    <w:rsid w:val="00F561D5"/>
    <w:rsid w:val="00F5668E"/>
    <w:rsid w:val="00F567F7"/>
    <w:rsid w:val="00F5693B"/>
    <w:rsid w:val="00F56B9A"/>
    <w:rsid w:val="00F56F38"/>
    <w:rsid w:val="00F56F93"/>
    <w:rsid w:val="00F56FBB"/>
    <w:rsid w:val="00F5712B"/>
    <w:rsid w:val="00F57283"/>
    <w:rsid w:val="00F572C5"/>
    <w:rsid w:val="00F5734F"/>
    <w:rsid w:val="00F57497"/>
    <w:rsid w:val="00F57684"/>
    <w:rsid w:val="00F57832"/>
    <w:rsid w:val="00F5796A"/>
    <w:rsid w:val="00F57B02"/>
    <w:rsid w:val="00F57CE7"/>
    <w:rsid w:val="00F6029B"/>
    <w:rsid w:val="00F606AF"/>
    <w:rsid w:val="00F607C9"/>
    <w:rsid w:val="00F60DFC"/>
    <w:rsid w:val="00F60F26"/>
    <w:rsid w:val="00F61162"/>
    <w:rsid w:val="00F61A68"/>
    <w:rsid w:val="00F61BAB"/>
    <w:rsid w:val="00F623E3"/>
    <w:rsid w:val="00F6256A"/>
    <w:rsid w:val="00F625CE"/>
    <w:rsid w:val="00F625EF"/>
    <w:rsid w:val="00F62E4D"/>
    <w:rsid w:val="00F62FAE"/>
    <w:rsid w:val="00F634B8"/>
    <w:rsid w:val="00F636B0"/>
    <w:rsid w:val="00F63B22"/>
    <w:rsid w:val="00F6412C"/>
    <w:rsid w:val="00F64632"/>
    <w:rsid w:val="00F64645"/>
    <w:rsid w:val="00F64769"/>
    <w:rsid w:val="00F648FC"/>
    <w:rsid w:val="00F64AAF"/>
    <w:rsid w:val="00F64C7A"/>
    <w:rsid w:val="00F64F99"/>
    <w:rsid w:val="00F6587E"/>
    <w:rsid w:val="00F65949"/>
    <w:rsid w:val="00F66124"/>
    <w:rsid w:val="00F662B0"/>
    <w:rsid w:val="00F6653E"/>
    <w:rsid w:val="00F6696E"/>
    <w:rsid w:val="00F66D51"/>
    <w:rsid w:val="00F67051"/>
    <w:rsid w:val="00F671F0"/>
    <w:rsid w:val="00F672B2"/>
    <w:rsid w:val="00F67401"/>
    <w:rsid w:val="00F67D3D"/>
    <w:rsid w:val="00F67F90"/>
    <w:rsid w:val="00F70543"/>
    <w:rsid w:val="00F7059B"/>
    <w:rsid w:val="00F706B0"/>
    <w:rsid w:val="00F709CE"/>
    <w:rsid w:val="00F70B7E"/>
    <w:rsid w:val="00F70DDB"/>
    <w:rsid w:val="00F70DFC"/>
    <w:rsid w:val="00F70FE3"/>
    <w:rsid w:val="00F7101F"/>
    <w:rsid w:val="00F71024"/>
    <w:rsid w:val="00F71171"/>
    <w:rsid w:val="00F711BA"/>
    <w:rsid w:val="00F712D1"/>
    <w:rsid w:val="00F71319"/>
    <w:rsid w:val="00F7186B"/>
    <w:rsid w:val="00F71D76"/>
    <w:rsid w:val="00F72122"/>
    <w:rsid w:val="00F72759"/>
    <w:rsid w:val="00F7298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425"/>
    <w:rsid w:val="00F76485"/>
    <w:rsid w:val="00F76511"/>
    <w:rsid w:val="00F76E96"/>
    <w:rsid w:val="00F77681"/>
    <w:rsid w:val="00F77952"/>
    <w:rsid w:val="00F77AF2"/>
    <w:rsid w:val="00F801C3"/>
    <w:rsid w:val="00F80367"/>
    <w:rsid w:val="00F80435"/>
    <w:rsid w:val="00F812F2"/>
    <w:rsid w:val="00F813D7"/>
    <w:rsid w:val="00F81694"/>
    <w:rsid w:val="00F81B82"/>
    <w:rsid w:val="00F81C25"/>
    <w:rsid w:val="00F81DA8"/>
    <w:rsid w:val="00F81F5C"/>
    <w:rsid w:val="00F825A0"/>
    <w:rsid w:val="00F8273B"/>
    <w:rsid w:val="00F82B97"/>
    <w:rsid w:val="00F83398"/>
    <w:rsid w:val="00F83889"/>
    <w:rsid w:val="00F83989"/>
    <w:rsid w:val="00F83AD7"/>
    <w:rsid w:val="00F83CD0"/>
    <w:rsid w:val="00F83D49"/>
    <w:rsid w:val="00F83F50"/>
    <w:rsid w:val="00F83F89"/>
    <w:rsid w:val="00F83FE8"/>
    <w:rsid w:val="00F84263"/>
    <w:rsid w:val="00F84406"/>
    <w:rsid w:val="00F84ABB"/>
    <w:rsid w:val="00F84B82"/>
    <w:rsid w:val="00F84E36"/>
    <w:rsid w:val="00F8505E"/>
    <w:rsid w:val="00F85099"/>
    <w:rsid w:val="00F85141"/>
    <w:rsid w:val="00F85274"/>
    <w:rsid w:val="00F8562D"/>
    <w:rsid w:val="00F856B7"/>
    <w:rsid w:val="00F8598B"/>
    <w:rsid w:val="00F85D60"/>
    <w:rsid w:val="00F85DD9"/>
    <w:rsid w:val="00F85F83"/>
    <w:rsid w:val="00F871D8"/>
    <w:rsid w:val="00F8737C"/>
    <w:rsid w:val="00F87420"/>
    <w:rsid w:val="00F875F7"/>
    <w:rsid w:val="00F8793E"/>
    <w:rsid w:val="00F87956"/>
    <w:rsid w:val="00F87C2B"/>
    <w:rsid w:val="00F87DD2"/>
    <w:rsid w:val="00F87F48"/>
    <w:rsid w:val="00F9012D"/>
    <w:rsid w:val="00F902E6"/>
    <w:rsid w:val="00F90432"/>
    <w:rsid w:val="00F90771"/>
    <w:rsid w:val="00F90A37"/>
    <w:rsid w:val="00F90AB6"/>
    <w:rsid w:val="00F90BFA"/>
    <w:rsid w:val="00F9131E"/>
    <w:rsid w:val="00F9151C"/>
    <w:rsid w:val="00F9164B"/>
    <w:rsid w:val="00F916E3"/>
    <w:rsid w:val="00F918A5"/>
    <w:rsid w:val="00F918B2"/>
    <w:rsid w:val="00F918FE"/>
    <w:rsid w:val="00F91A56"/>
    <w:rsid w:val="00F92064"/>
    <w:rsid w:val="00F921DE"/>
    <w:rsid w:val="00F924BA"/>
    <w:rsid w:val="00F92694"/>
    <w:rsid w:val="00F92C16"/>
    <w:rsid w:val="00F92EAF"/>
    <w:rsid w:val="00F9314C"/>
    <w:rsid w:val="00F9319D"/>
    <w:rsid w:val="00F9369D"/>
    <w:rsid w:val="00F9379C"/>
    <w:rsid w:val="00F93B47"/>
    <w:rsid w:val="00F93B61"/>
    <w:rsid w:val="00F940C1"/>
    <w:rsid w:val="00F94394"/>
    <w:rsid w:val="00F9449A"/>
    <w:rsid w:val="00F94875"/>
    <w:rsid w:val="00F949C1"/>
    <w:rsid w:val="00F94A47"/>
    <w:rsid w:val="00F94F6D"/>
    <w:rsid w:val="00F9504F"/>
    <w:rsid w:val="00F9511A"/>
    <w:rsid w:val="00F9537D"/>
    <w:rsid w:val="00F9569C"/>
    <w:rsid w:val="00F9632C"/>
    <w:rsid w:val="00F9694F"/>
    <w:rsid w:val="00F96BB3"/>
    <w:rsid w:val="00F96CA2"/>
    <w:rsid w:val="00F9705E"/>
    <w:rsid w:val="00F976CC"/>
    <w:rsid w:val="00F976E0"/>
    <w:rsid w:val="00F97B39"/>
    <w:rsid w:val="00F97BB6"/>
    <w:rsid w:val="00F97DB2"/>
    <w:rsid w:val="00F97EF5"/>
    <w:rsid w:val="00FA04D3"/>
    <w:rsid w:val="00FA04DA"/>
    <w:rsid w:val="00FA0591"/>
    <w:rsid w:val="00FA06B3"/>
    <w:rsid w:val="00FA0740"/>
    <w:rsid w:val="00FA0B6F"/>
    <w:rsid w:val="00FA0C0F"/>
    <w:rsid w:val="00FA0CFE"/>
    <w:rsid w:val="00FA0E9B"/>
    <w:rsid w:val="00FA13F0"/>
    <w:rsid w:val="00FA14C2"/>
    <w:rsid w:val="00FA14D0"/>
    <w:rsid w:val="00FA15B3"/>
    <w:rsid w:val="00FA18E6"/>
    <w:rsid w:val="00FA19F7"/>
    <w:rsid w:val="00FA1D27"/>
    <w:rsid w:val="00FA1E52"/>
    <w:rsid w:val="00FA1E76"/>
    <w:rsid w:val="00FA22D1"/>
    <w:rsid w:val="00FA31C2"/>
    <w:rsid w:val="00FA32E6"/>
    <w:rsid w:val="00FA3A0C"/>
    <w:rsid w:val="00FA3AF1"/>
    <w:rsid w:val="00FA3BD3"/>
    <w:rsid w:val="00FA3C0C"/>
    <w:rsid w:val="00FA3F90"/>
    <w:rsid w:val="00FA42B2"/>
    <w:rsid w:val="00FA4465"/>
    <w:rsid w:val="00FA48EE"/>
    <w:rsid w:val="00FA4B55"/>
    <w:rsid w:val="00FA4BDC"/>
    <w:rsid w:val="00FA4F80"/>
    <w:rsid w:val="00FA5127"/>
    <w:rsid w:val="00FA5438"/>
    <w:rsid w:val="00FA54E5"/>
    <w:rsid w:val="00FA55C1"/>
    <w:rsid w:val="00FA5783"/>
    <w:rsid w:val="00FA57E5"/>
    <w:rsid w:val="00FA5A74"/>
    <w:rsid w:val="00FA5E5F"/>
    <w:rsid w:val="00FA5F55"/>
    <w:rsid w:val="00FA6154"/>
    <w:rsid w:val="00FA65A7"/>
    <w:rsid w:val="00FA6A7B"/>
    <w:rsid w:val="00FA708A"/>
    <w:rsid w:val="00FA7337"/>
    <w:rsid w:val="00FA7771"/>
    <w:rsid w:val="00FA7ECE"/>
    <w:rsid w:val="00FA7FC9"/>
    <w:rsid w:val="00FB0612"/>
    <w:rsid w:val="00FB07C1"/>
    <w:rsid w:val="00FB07D5"/>
    <w:rsid w:val="00FB08A9"/>
    <w:rsid w:val="00FB08BF"/>
    <w:rsid w:val="00FB0908"/>
    <w:rsid w:val="00FB0A22"/>
    <w:rsid w:val="00FB0A2C"/>
    <w:rsid w:val="00FB0F3E"/>
    <w:rsid w:val="00FB0FA5"/>
    <w:rsid w:val="00FB12D3"/>
    <w:rsid w:val="00FB16E5"/>
    <w:rsid w:val="00FB1EDD"/>
    <w:rsid w:val="00FB2105"/>
    <w:rsid w:val="00FB2240"/>
    <w:rsid w:val="00FB2623"/>
    <w:rsid w:val="00FB2C76"/>
    <w:rsid w:val="00FB2C87"/>
    <w:rsid w:val="00FB2E2D"/>
    <w:rsid w:val="00FB442E"/>
    <w:rsid w:val="00FB4613"/>
    <w:rsid w:val="00FB491C"/>
    <w:rsid w:val="00FB49E3"/>
    <w:rsid w:val="00FB4B6A"/>
    <w:rsid w:val="00FB4D4A"/>
    <w:rsid w:val="00FB4FC5"/>
    <w:rsid w:val="00FB522A"/>
    <w:rsid w:val="00FB524C"/>
    <w:rsid w:val="00FB5A08"/>
    <w:rsid w:val="00FB5BBF"/>
    <w:rsid w:val="00FB5E6B"/>
    <w:rsid w:val="00FB61F3"/>
    <w:rsid w:val="00FB6550"/>
    <w:rsid w:val="00FB68A5"/>
    <w:rsid w:val="00FB6D4B"/>
    <w:rsid w:val="00FB7421"/>
    <w:rsid w:val="00FB74C3"/>
    <w:rsid w:val="00FB7600"/>
    <w:rsid w:val="00FB7D6C"/>
    <w:rsid w:val="00FC019C"/>
    <w:rsid w:val="00FC05A2"/>
    <w:rsid w:val="00FC0B51"/>
    <w:rsid w:val="00FC0C8A"/>
    <w:rsid w:val="00FC0D06"/>
    <w:rsid w:val="00FC0F09"/>
    <w:rsid w:val="00FC137B"/>
    <w:rsid w:val="00FC143C"/>
    <w:rsid w:val="00FC1462"/>
    <w:rsid w:val="00FC1985"/>
    <w:rsid w:val="00FC1A65"/>
    <w:rsid w:val="00FC1EA3"/>
    <w:rsid w:val="00FC20B5"/>
    <w:rsid w:val="00FC2474"/>
    <w:rsid w:val="00FC24A3"/>
    <w:rsid w:val="00FC24CB"/>
    <w:rsid w:val="00FC277D"/>
    <w:rsid w:val="00FC29A9"/>
    <w:rsid w:val="00FC2B54"/>
    <w:rsid w:val="00FC305F"/>
    <w:rsid w:val="00FC3214"/>
    <w:rsid w:val="00FC33C5"/>
    <w:rsid w:val="00FC394C"/>
    <w:rsid w:val="00FC3D10"/>
    <w:rsid w:val="00FC3E2A"/>
    <w:rsid w:val="00FC4044"/>
    <w:rsid w:val="00FC464B"/>
    <w:rsid w:val="00FC477B"/>
    <w:rsid w:val="00FC48FF"/>
    <w:rsid w:val="00FC4BD5"/>
    <w:rsid w:val="00FC4C61"/>
    <w:rsid w:val="00FC513C"/>
    <w:rsid w:val="00FC54E8"/>
    <w:rsid w:val="00FC56EA"/>
    <w:rsid w:val="00FC5A1D"/>
    <w:rsid w:val="00FC6250"/>
    <w:rsid w:val="00FC6938"/>
    <w:rsid w:val="00FC6A20"/>
    <w:rsid w:val="00FC6A80"/>
    <w:rsid w:val="00FC6B1C"/>
    <w:rsid w:val="00FC71E1"/>
    <w:rsid w:val="00FC726A"/>
    <w:rsid w:val="00FC734A"/>
    <w:rsid w:val="00FC734E"/>
    <w:rsid w:val="00FC7452"/>
    <w:rsid w:val="00FC74C8"/>
    <w:rsid w:val="00FC7CFC"/>
    <w:rsid w:val="00FD03FE"/>
    <w:rsid w:val="00FD065F"/>
    <w:rsid w:val="00FD0D3D"/>
    <w:rsid w:val="00FD1246"/>
    <w:rsid w:val="00FD134A"/>
    <w:rsid w:val="00FD1371"/>
    <w:rsid w:val="00FD141B"/>
    <w:rsid w:val="00FD1450"/>
    <w:rsid w:val="00FD1804"/>
    <w:rsid w:val="00FD18CE"/>
    <w:rsid w:val="00FD1A47"/>
    <w:rsid w:val="00FD1D01"/>
    <w:rsid w:val="00FD1DC7"/>
    <w:rsid w:val="00FD2027"/>
    <w:rsid w:val="00FD202A"/>
    <w:rsid w:val="00FD2176"/>
    <w:rsid w:val="00FD2210"/>
    <w:rsid w:val="00FD22FF"/>
    <w:rsid w:val="00FD28DE"/>
    <w:rsid w:val="00FD3D31"/>
    <w:rsid w:val="00FD46FD"/>
    <w:rsid w:val="00FD4A05"/>
    <w:rsid w:val="00FD4A09"/>
    <w:rsid w:val="00FD5759"/>
    <w:rsid w:val="00FD5804"/>
    <w:rsid w:val="00FD5F73"/>
    <w:rsid w:val="00FD691B"/>
    <w:rsid w:val="00FD70CA"/>
    <w:rsid w:val="00FD70E0"/>
    <w:rsid w:val="00FD71A7"/>
    <w:rsid w:val="00FD73BB"/>
    <w:rsid w:val="00FD74E8"/>
    <w:rsid w:val="00FD7694"/>
    <w:rsid w:val="00FD7873"/>
    <w:rsid w:val="00FD7D4B"/>
    <w:rsid w:val="00FD7EE2"/>
    <w:rsid w:val="00FE0096"/>
    <w:rsid w:val="00FE057F"/>
    <w:rsid w:val="00FE075C"/>
    <w:rsid w:val="00FE0E1B"/>
    <w:rsid w:val="00FE0FD0"/>
    <w:rsid w:val="00FE1DF8"/>
    <w:rsid w:val="00FE20CA"/>
    <w:rsid w:val="00FE2205"/>
    <w:rsid w:val="00FE254F"/>
    <w:rsid w:val="00FE27D6"/>
    <w:rsid w:val="00FE30DA"/>
    <w:rsid w:val="00FE35E4"/>
    <w:rsid w:val="00FE39C1"/>
    <w:rsid w:val="00FE3D44"/>
    <w:rsid w:val="00FE3DD1"/>
    <w:rsid w:val="00FE42F8"/>
    <w:rsid w:val="00FE4688"/>
    <w:rsid w:val="00FE497A"/>
    <w:rsid w:val="00FE49D3"/>
    <w:rsid w:val="00FE4A50"/>
    <w:rsid w:val="00FE4F8C"/>
    <w:rsid w:val="00FE5209"/>
    <w:rsid w:val="00FE569E"/>
    <w:rsid w:val="00FE59D3"/>
    <w:rsid w:val="00FE5BB7"/>
    <w:rsid w:val="00FE5E4D"/>
    <w:rsid w:val="00FE5F80"/>
    <w:rsid w:val="00FE61A5"/>
    <w:rsid w:val="00FE6317"/>
    <w:rsid w:val="00FE680D"/>
    <w:rsid w:val="00FE6A8A"/>
    <w:rsid w:val="00FE6F50"/>
    <w:rsid w:val="00FE7309"/>
    <w:rsid w:val="00FE7F23"/>
    <w:rsid w:val="00FF012E"/>
    <w:rsid w:val="00FF0B6D"/>
    <w:rsid w:val="00FF16E1"/>
    <w:rsid w:val="00FF1800"/>
    <w:rsid w:val="00FF1C6A"/>
    <w:rsid w:val="00FF1CBC"/>
    <w:rsid w:val="00FF1FEF"/>
    <w:rsid w:val="00FF205D"/>
    <w:rsid w:val="00FF2130"/>
    <w:rsid w:val="00FF2282"/>
    <w:rsid w:val="00FF228B"/>
    <w:rsid w:val="00FF2BB1"/>
    <w:rsid w:val="00FF2BE9"/>
    <w:rsid w:val="00FF2D32"/>
    <w:rsid w:val="00FF2F6B"/>
    <w:rsid w:val="00FF39A8"/>
    <w:rsid w:val="00FF409B"/>
    <w:rsid w:val="00FF46F9"/>
    <w:rsid w:val="00FF5239"/>
    <w:rsid w:val="00FF5539"/>
    <w:rsid w:val="00FF5704"/>
    <w:rsid w:val="00FF657B"/>
    <w:rsid w:val="00FF690A"/>
    <w:rsid w:val="00FF6D25"/>
    <w:rsid w:val="00FF71D2"/>
    <w:rsid w:val="00FF73B9"/>
    <w:rsid w:val="00FF73F8"/>
    <w:rsid w:val="00FF74E5"/>
    <w:rsid w:val="00FF75A8"/>
    <w:rsid w:val="00FF7626"/>
    <w:rsid w:val="00FF7CF7"/>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9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72569"/>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autoRedefine/>
    <w:rsid w:val="00041538"/>
    <w:pPr>
      <w:tabs>
        <w:tab w:val="right" w:pos="57"/>
      </w:tabs>
      <w:spacing w:before="60" w:line="240" w:lineRule="auto"/>
      <w:ind w:left="425" w:hanging="425"/>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6A44C9"/>
    <w:pPr>
      <w:tabs>
        <w:tab w:val="right" w:pos="737"/>
      </w:tabs>
      <w:spacing w:line="240" w:lineRule="exact"/>
      <w:ind w:left="851" w:hanging="851"/>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2"/>
    <w:unhideWhenUsed/>
    <w:rsid w:val="00314493"/>
    <w:pPr>
      <w:spacing w:line="240" w:lineRule="auto"/>
    </w:pPr>
    <w:rPr>
      <w:sz w:val="20"/>
    </w:rPr>
  </w:style>
  <w:style w:type="character" w:customStyle="1" w:styleId="FootnoteTextChar">
    <w:name w:val="Footnote Text Char"/>
    <w:basedOn w:val="DefaultParagraphFont"/>
    <w:link w:val="FootnoteText"/>
    <w:uiPriority w:val="2"/>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ShortT"/>
    <w:qFormat/>
    <w:rsid w:val="005B3ADF"/>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D51A1"/>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iPriority w:val="99"/>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CF41B6"/>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CF41B6"/>
    <w:pPr>
      <w:numPr>
        <w:numId w:val="6"/>
      </w:numPr>
    </w:pPr>
    <w:rPr>
      <w:rFonts w:eastAsia="Times New Roman" w:cs="Times New Roman"/>
      <w:lang w:eastAsia="en-AU"/>
    </w:rPr>
  </w:style>
  <w:style w:type="paragraph" w:customStyle="1" w:styleId="EnStatementHeading">
    <w:name w:val="EnStatementHeading"/>
    <w:basedOn w:val="Normal"/>
    <w:rsid w:val="00CF41B6"/>
    <w:rPr>
      <w:rFonts w:eastAsia="Times New Roman" w:cs="Times New Roman"/>
      <w:b/>
      <w:lang w:eastAsia="en-AU"/>
    </w:rPr>
  </w:style>
  <w:style w:type="paragraph" w:customStyle="1" w:styleId="Transitional">
    <w:name w:val="Transitional"/>
    <w:aliases w:val="tr"/>
    <w:basedOn w:val="Normal"/>
    <w:next w:val="Normal"/>
    <w:rsid w:val="00CF41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paragraph" w:customStyle="1" w:styleId="CommencementTable">
    <w:name w:val="CommencementTable"/>
    <w:basedOn w:val="Normal"/>
    <w:autoRedefine/>
    <w:qFormat/>
    <w:rsid w:val="00B04341"/>
    <w:pPr>
      <w:spacing w:line="240" w:lineRule="auto"/>
    </w:pPr>
    <w:rPr>
      <w:sz w:val="16"/>
    </w:rPr>
  </w:style>
  <w:style w:type="character" w:customStyle="1" w:styleId="apple-converted-space">
    <w:name w:val="apple-converted-space"/>
    <w:basedOn w:val="DefaultParagraphFont"/>
    <w:rsid w:val="00975B55"/>
  </w:style>
  <w:style w:type="table" w:styleId="LightGrid-Accent3">
    <w:name w:val="Light Grid Accent 3"/>
    <w:basedOn w:val="TableNormal"/>
    <w:uiPriority w:val="62"/>
    <w:rsid w:val="007B5FF6"/>
    <w:rPr>
      <w:rFonts w:asciiTheme="minorHAnsi" w:hAnsi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ase-text-paragraph">
    <w:name w:val="base-text-paragraph"/>
    <w:rsid w:val="005231E5"/>
    <w:pPr>
      <w:numPr>
        <w:numId w:val="15"/>
      </w:numPr>
      <w:spacing w:before="120" w:after="120"/>
    </w:pPr>
    <w:rPr>
      <w:rFonts w:eastAsia="Times New Roman" w:cs="Times New Roman"/>
      <w:sz w:val="22"/>
      <w:lang w:eastAsia="en-AU"/>
    </w:rPr>
  </w:style>
  <w:style w:type="paragraph" w:customStyle="1" w:styleId="OutlineNumbered1">
    <w:name w:val="Outline Numbered 1"/>
    <w:basedOn w:val="Normal"/>
    <w:link w:val="OutlineNumbered1Char"/>
    <w:rsid w:val="00696A1A"/>
    <w:pPr>
      <w:numPr>
        <w:numId w:val="16"/>
      </w:numPr>
      <w:spacing w:after="160" w:line="259" w:lineRule="auto"/>
    </w:pPr>
    <w:rPr>
      <w:rFonts w:asciiTheme="minorHAnsi" w:hAnsiTheme="minorHAnsi"/>
      <w:iCs/>
      <w:color w:val="FF0000"/>
      <w:szCs w:val="22"/>
    </w:rPr>
  </w:style>
  <w:style w:type="character" w:customStyle="1" w:styleId="OutlineNumbered1Char">
    <w:name w:val="Outline Numbered 1 Char"/>
    <w:basedOn w:val="DefaultParagraphFont"/>
    <w:link w:val="OutlineNumbered1"/>
    <w:rsid w:val="00696A1A"/>
    <w:rPr>
      <w:rFonts w:asciiTheme="minorHAnsi" w:hAnsiTheme="minorHAnsi"/>
      <w:iCs/>
      <w:color w:val="FF0000"/>
      <w:sz w:val="22"/>
      <w:szCs w:val="22"/>
    </w:rPr>
  </w:style>
  <w:style w:type="paragraph" w:customStyle="1" w:styleId="OutlineNumbered2">
    <w:name w:val="Outline Numbered 2"/>
    <w:basedOn w:val="Normal"/>
    <w:rsid w:val="00696A1A"/>
    <w:pPr>
      <w:numPr>
        <w:ilvl w:val="1"/>
        <w:numId w:val="16"/>
      </w:numPr>
      <w:spacing w:after="160" w:line="259" w:lineRule="auto"/>
    </w:pPr>
    <w:rPr>
      <w:rFonts w:asciiTheme="minorHAnsi" w:hAnsiTheme="minorHAnsi"/>
      <w:iCs/>
      <w:color w:val="FF0000"/>
      <w:szCs w:val="22"/>
    </w:rPr>
  </w:style>
  <w:style w:type="paragraph" w:customStyle="1" w:styleId="OutlineNumbered3">
    <w:name w:val="Outline Numbered 3"/>
    <w:basedOn w:val="Normal"/>
    <w:link w:val="OutlineNumbered3Char"/>
    <w:rsid w:val="00696A1A"/>
    <w:pPr>
      <w:numPr>
        <w:ilvl w:val="2"/>
        <w:numId w:val="16"/>
      </w:numPr>
      <w:spacing w:after="160" w:line="259" w:lineRule="auto"/>
    </w:pPr>
    <w:rPr>
      <w:rFonts w:asciiTheme="minorHAnsi" w:hAnsiTheme="minorHAnsi"/>
      <w:iCs/>
      <w:color w:val="FF0000"/>
      <w:szCs w:val="22"/>
    </w:rPr>
  </w:style>
  <w:style w:type="paragraph" w:customStyle="1" w:styleId="subsectionhead0">
    <w:name w:val="subsectionhead"/>
    <w:basedOn w:val="Normal"/>
    <w:rsid w:val="005848BC"/>
    <w:pPr>
      <w:spacing w:before="100" w:beforeAutospacing="1" w:after="100" w:afterAutospacing="1" w:line="240" w:lineRule="auto"/>
    </w:pPr>
    <w:rPr>
      <w:rFonts w:eastAsia="Times New Roman" w:cs="Times New Roman"/>
      <w:sz w:val="24"/>
      <w:szCs w:val="24"/>
      <w:lang w:eastAsia="en-AU"/>
    </w:rPr>
  </w:style>
  <w:style w:type="character" w:customStyle="1" w:styleId="UnresolvedMention1">
    <w:name w:val="Unresolved Mention1"/>
    <w:basedOn w:val="DefaultParagraphFont"/>
    <w:uiPriority w:val="99"/>
    <w:semiHidden/>
    <w:unhideWhenUsed/>
    <w:rsid w:val="00FC734A"/>
    <w:rPr>
      <w:color w:val="605E5C"/>
      <w:shd w:val="clear" w:color="auto" w:fill="E1DFDD"/>
    </w:rPr>
  </w:style>
  <w:style w:type="character" w:customStyle="1" w:styleId="OutlineNumbered3Char">
    <w:name w:val="Outline Numbered 3 Char"/>
    <w:basedOn w:val="DefaultParagraphFont"/>
    <w:link w:val="OutlineNumbered3"/>
    <w:rsid w:val="00D77174"/>
    <w:rPr>
      <w:rFonts w:asciiTheme="minorHAnsi" w:hAnsiTheme="minorHAnsi"/>
      <w:iCs/>
      <w:color w:val="FF0000"/>
      <w:sz w:val="22"/>
      <w:szCs w:val="22"/>
    </w:rPr>
  </w:style>
  <w:style w:type="paragraph" w:customStyle="1" w:styleId="Bullet">
    <w:name w:val="Bullet"/>
    <w:basedOn w:val="Normal"/>
    <w:link w:val="BulletChar"/>
    <w:rsid w:val="003649E2"/>
    <w:pPr>
      <w:numPr>
        <w:numId w:val="18"/>
      </w:numPr>
      <w:spacing w:after="160" w:line="259" w:lineRule="auto"/>
    </w:pPr>
    <w:rPr>
      <w:rFonts w:ascii="Calibri" w:eastAsia="Times New Roman" w:hAnsi="Calibri" w:cs="Calibri"/>
      <w:szCs w:val="22"/>
    </w:rPr>
  </w:style>
  <w:style w:type="character" w:customStyle="1" w:styleId="BulletChar">
    <w:name w:val="Bullet Char"/>
    <w:basedOn w:val="DefaultParagraphFont"/>
    <w:link w:val="Bullet"/>
    <w:rsid w:val="003649E2"/>
    <w:rPr>
      <w:rFonts w:ascii="Calibri" w:eastAsia="Times New Roman" w:hAnsi="Calibri" w:cs="Calibri"/>
      <w:sz w:val="22"/>
      <w:szCs w:val="22"/>
    </w:rPr>
  </w:style>
  <w:style w:type="paragraph" w:customStyle="1" w:styleId="Dash">
    <w:name w:val="Dash"/>
    <w:basedOn w:val="Normal"/>
    <w:rsid w:val="003649E2"/>
    <w:pPr>
      <w:numPr>
        <w:ilvl w:val="1"/>
        <w:numId w:val="18"/>
      </w:numPr>
      <w:spacing w:after="160" w:line="259" w:lineRule="auto"/>
    </w:pPr>
    <w:rPr>
      <w:rFonts w:ascii="Calibri" w:eastAsia="Times New Roman" w:hAnsi="Calibri" w:cs="Calibri"/>
      <w:szCs w:val="22"/>
    </w:rPr>
  </w:style>
  <w:style w:type="paragraph" w:customStyle="1" w:styleId="DoubleDot">
    <w:name w:val="Double Dot"/>
    <w:basedOn w:val="Normal"/>
    <w:rsid w:val="003649E2"/>
    <w:pPr>
      <w:numPr>
        <w:ilvl w:val="2"/>
        <w:numId w:val="18"/>
      </w:numPr>
      <w:spacing w:after="160" w:line="259" w:lineRule="auto"/>
    </w:pPr>
    <w:rPr>
      <w:rFonts w:ascii="Calibri" w:eastAsia="Times New Roman"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40">
      <w:bodyDiv w:val="1"/>
      <w:marLeft w:val="0"/>
      <w:marRight w:val="0"/>
      <w:marTop w:val="0"/>
      <w:marBottom w:val="0"/>
      <w:divBdr>
        <w:top w:val="none" w:sz="0" w:space="0" w:color="auto"/>
        <w:left w:val="none" w:sz="0" w:space="0" w:color="auto"/>
        <w:bottom w:val="none" w:sz="0" w:space="0" w:color="auto"/>
        <w:right w:val="none" w:sz="0" w:space="0" w:color="auto"/>
      </w:divBdr>
    </w:div>
    <w:div w:id="38166597">
      <w:bodyDiv w:val="1"/>
      <w:marLeft w:val="0"/>
      <w:marRight w:val="0"/>
      <w:marTop w:val="0"/>
      <w:marBottom w:val="0"/>
      <w:divBdr>
        <w:top w:val="none" w:sz="0" w:space="0" w:color="auto"/>
        <w:left w:val="none" w:sz="0" w:space="0" w:color="auto"/>
        <w:bottom w:val="none" w:sz="0" w:space="0" w:color="auto"/>
        <w:right w:val="none" w:sz="0" w:space="0" w:color="auto"/>
      </w:divBdr>
    </w:div>
    <w:div w:id="74280056">
      <w:bodyDiv w:val="1"/>
      <w:marLeft w:val="0"/>
      <w:marRight w:val="0"/>
      <w:marTop w:val="0"/>
      <w:marBottom w:val="0"/>
      <w:divBdr>
        <w:top w:val="none" w:sz="0" w:space="0" w:color="auto"/>
        <w:left w:val="none" w:sz="0" w:space="0" w:color="auto"/>
        <w:bottom w:val="none" w:sz="0" w:space="0" w:color="auto"/>
        <w:right w:val="none" w:sz="0" w:space="0" w:color="auto"/>
      </w:divBdr>
    </w:div>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84095459">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04891298">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30721291">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25662765">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488400493">
      <w:bodyDiv w:val="1"/>
      <w:marLeft w:val="0"/>
      <w:marRight w:val="0"/>
      <w:marTop w:val="0"/>
      <w:marBottom w:val="0"/>
      <w:divBdr>
        <w:top w:val="none" w:sz="0" w:space="0" w:color="auto"/>
        <w:left w:val="none" w:sz="0" w:space="0" w:color="auto"/>
        <w:bottom w:val="none" w:sz="0" w:space="0" w:color="auto"/>
        <w:right w:val="none" w:sz="0" w:space="0" w:color="auto"/>
      </w:divBdr>
    </w:div>
    <w:div w:id="501435067">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75018147">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593559917">
      <w:bodyDiv w:val="1"/>
      <w:marLeft w:val="0"/>
      <w:marRight w:val="0"/>
      <w:marTop w:val="0"/>
      <w:marBottom w:val="0"/>
      <w:divBdr>
        <w:top w:val="none" w:sz="0" w:space="0" w:color="auto"/>
        <w:left w:val="none" w:sz="0" w:space="0" w:color="auto"/>
        <w:bottom w:val="none" w:sz="0" w:space="0" w:color="auto"/>
        <w:right w:val="none" w:sz="0" w:space="0" w:color="auto"/>
      </w:divBdr>
    </w:div>
    <w:div w:id="598027492">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424738">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766850272">
      <w:bodyDiv w:val="1"/>
      <w:marLeft w:val="0"/>
      <w:marRight w:val="0"/>
      <w:marTop w:val="0"/>
      <w:marBottom w:val="0"/>
      <w:divBdr>
        <w:top w:val="none" w:sz="0" w:space="0" w:color="auto"/>
        <w:left w:val="none" w:sz="0" w:space="0" w:color="auto"/>
        <w:bottom w:val="none" w:sz="0" w:space="0" w:color="auto"/>
        <w:right w:val="none" w:sz="0" w:space="0" w:color="auto"/>
      </w:divBdr>
    </w:div>
    <w:div w:id="779302217">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sChild>
        <w:div w:id="1945767094">
          <w:marLeft w:val="0"/>
          <w:marRight w:val="0"/>
          <w:marTop w:val="0"/>
          <w:marBottom w:val="0"/>
          <w:divBdr>
            <w:top w:val="none" w:sz="0" w:space="0" w:color="auto"/>
            <w:left w:val="none" w:sz="0" w:space="0" w:color="auto"/>
            <w:bottom w:val="none" w:sz="0" w:space="0" w:color="auto"/>
            <w:right w:val="none" w:sz="0" w:space="0" w:color="auto"/>
          </w:divBdr>
          <w:divsChild>
            <w:div w:id="1971670905">
              <w:marLeft w:val="0"/>
              <w:marRight w:val="0"/>
              <w:marTop w:val="0"/>
              <w:marBottom w:val="0"/>
              <w:divBdr>
                <w:top w:val="none" w:sz="0" w:space="0" w:color="auto"/>
                <w:left w:val="none" w:sz="0" w:space="0" w:color="auto"/>
                <w:bottom w:val="none" w:sz="0" w:space="0" w:color="auto"/>
                <w:right w:val="none" w:sz="0" w:space="0" w:color="auto"/>
              </w:divBdr>
              <w:divsChild>
                <w:div w:id="1433429986">
                  <w:marLeft w:val="0"/>
                  <w:marRight w:val="0"/>
                  <w:marTop w:val="0"/>
                  <w:marBottom w:val="0"/>
                  <w:divBdr>
                    <w:top w:val="none" w:sz="0" w:space="0" w:color="auto"/>
                    <w:left w:val="none" w:sz="0" w:space="0" w:color="auto"/>
                    <w:bottom w:val="none" w:sz="0" w:space="0" w:color="auto"/>
                    <w:right w:val="none" w:sz="0" w:space="0" w:color="auto"/>
                  </w:divBdr>
                  <w:divsChild>
                    <w:div w:id="1242787336">
                      <w:marLeft w:val="0"/>
                      <w:marRight w:val="0"/>
                      <w:marTop w:val="0"/>
                      <w:marBottom w:val="0"/>
                      <w:divBdr>
                        <w:top w:val="none" w:sz="0" w:space="0" w:color="auto"/>
                        <w:left w:val="none" w:sz="0" w:space="0" w:color="auto"/>
                        <w:bottom w:val="none" w:sz="0" w:space="0" w:color="auto"/>
                        <w:right w:val="none" w:sz="0" w:space="0" w:color="auto"/>
                      </w:divBdr>
                      <w:divsChild>
                        <w:div w:id="1125467019">
                          <w:marLeft w:val="0"/>
                          <w:marRight w:val="0"/>
                          <w:marTop w:val="0"/>
                          <w:marBottom w:val="0"/>
                          <w:divBdr>
                            <w:top w:val="none" w:sz="0" w:space="0" w:color="auto"/>
                            <w:left w:val="none" w:sz="0" w:space="0" w:color="auto"/>
                            <w:bottom w:val="none" w:sz="0" w:space="0" w:color="auto"/>
                            <w:right w:val="none" w:sz="0" w:space="0" w:color="auto"/>
                          </w:divBdr>
                          <w:divsChild>
                            <w:div w:id="177888074">
                              <w:marLeft w:val="0"/>
                              <w:marRight w:val="0"/>
                              <w:marTop w:val="0"/>
                              <w:marBottom w:val="0"/>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sChild>
                                    <w:div w:id="543761245">
                                      <w:marLeft w:val="0"/>
                                      <w:marRight w:val="0"/>
                                      <w:marTop w:val="0"/>
                                      <w:marBottom w:val="0"/>
                                      <w:divBdr>
                                        <w:top w:val="none" w:sz="0" w:space="0" w:color="auto"/>
                                        <w:left w:val="none" w:sz="0" w:space="0" w:color="auto"/>
                                        <w:bottom w:val="none" w:sz="0" w:space="0" w:color="auto"/>
                                        <w:right w:val="none" w:sz="0" w:space="0" w:color="auto"/>
                                      </w:divBdr>
                                      <w:divsChild>
                                        <w:div w:id="2125810147">
                                          <w:marLeft w:val="0"/>
                                          <w:marRight w:val="0"/>
                                          <w:marTop w:val="0"/>
                                          <w:marBottom w:val="0"/>
                                          <w:divBdr>
                                            <w:top w:val="none" w:sz="0" w:space="0" w:color="auto"/>
                                            <w:left w:val="none" w:sz="0" w:space="0" w:color="auto"/>
                                            <w:bottom w:val="none" w:sz="0" w:space="0" w:color="auto"/>
                                            <w:right w:val="none" w:sz="0" w:space="0" w:color="auto"/>
                                          </w:divBdr>
                                          <w:divsChild>
                                            <w:div w:id="523901707">
                                              <w:marLeft w:val="0"/>
                                              <w:marRight w:val="0"/>
                                              <w:marTop w:val="0"/>
                                              <w:marBottom w:val="0"/>
                                              <w:divBdr>
                                                <w:top w:val="none" w:sz="0" w:space="0" w:color="auto"/>
                                                <w:left w:val="none" w:sz="0" w:space="0" w:color="auto"/>
                                                <w:bottom w:val="none" w:sz="0" w:space="0" w:color="auto"/>
                                                <w:right w:val="none" w:sz="0" w:space="0" w:color="auto"/>
                                              </w:divBdr>
                                              <w:divsChild>
                                                <w:div w:id="644505144">
                                                  <w:marLeft w:val="0"/>
                                                  <w:marRight w:val="0"/>
                                                  <w:marTop w:val="0"/>
                                                  <w:marBottom w:val="0"/>
                                                  <w:divBdr>
                                                    <w:top w:val="none" w:sz="0" w:space="0" w:color="auto"/>
                                                    <w:left w:val="none" w:sz="0" w:space="0" w:color="auto"/>
                                                    <w:bottom w:val="none" w:sz="0" w:space="0" w:color="auto"/>
                                                    <w:right w:val="none" w:sz="0" w:space="0" w:color="auto"/>
                                                  </w:divBdr>
                                                  <w:divsChild>
                                                    <w:div w:id="466748861">
                                                      <w:marLeft w:val="0"/>
                                                      <w:marRight w:val="0"/>
                                                      <w:marTop w:val="0"/>
                                                      <w:marBottom w:val="0"/>
                                                      <w:divBdr>
                                                        <w:top w:val="none" w:sz="0" w:space="0" w:color="auto"/>
                                                        <w:left w:val="none" w:sz="0" w:space="0" w:color="auto"/>
                                                        <w:bottom w:val="none" w:sz="0" w:space="0" w:color="auto"/>
                                                        <w:right w:val="none" w:sz="0" w:space="0" w:color="auto"/>
                                                      </w:divBdr>
                                                      <w:divsChild>
                                                        <w:div w:id="8915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74080212">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888957715">
      <w:bodyDiv w:val="1"/>
      <w:marLeft w:val="0"/>
      <w:marRight w:val="0"/>
      <w:marTop w:val="0"/>
      <w:marBottom w:val="0"/>
      <w:divBdr>
        <w:top w:val="none" w:sz="0" w:space="0" w:color="auto"/>
        <w:left w:val="none" w:sz="0" w:space="0" w:color="auto"/>
        <w:bottom w:val="none" w:sz="0" w:space="0" w:color="auto"/>
        <w:right w:val="none" w:sz="0" w:space="0" w:color="auto"/>
      </w:divBdr>
    </w:div>
    <w:div w:id="91128149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25531414">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981155405">
      <w:bodyDiv w:val="1"/>
      <w:marLeft w:val="0"/>
      <w:marRight w:val="0"/>
      <w:marTop w:val="0"/>
      <w:marBottom w:val="0"/>
      <w:divBdr>
        <w:top w:val="none" w:sz="0" w:space="0" w:color="auto"/>
        <w:left w:val="none" w:sz="0" w:space="0" w:color="auto"/>
        <w:bottom w:val="none" w:sz="0" w:space="0" w:color="auto"/>
        <w:right w:val="none" w:sz="0" w:space="0" w:color="auto"/>
      </w:divBdr>
    </w:div>
    <w:div w:id="983125262">
      <w:bodyDiv w:val="1"/>
      <w:marLeft w:val="0"/>
      <w:marRight w:val="0"/>
      <w:marTop w:val="0"/>
      <w:marBottom w:val="0"/>
      <w:divBdr>
        <w:top w:val="none" w:sz="0" w:space="0" w:color="auto"/>
        <w:left w:val="none" w:sz="0" w:space="0" w:color="auto"/>
        <w:bottom w:val="none" w:sz="0" w:space="0" w:color="auto"/>
        <w:right w:val="none" w:sz="0" w:space="0" w:color="auto"/>
      </w:divBdr>
    </w:div>
    <w:div w:id="1013845781">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0002491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187018786">
      <w:bodyDiv w:val="1"/>
      <w:marLeft w:val="0"/>
      <w:marRight w:val="0"/>
      <w:marTop w:val="0"/>
      <w:marBottom w:val="0"/>
      <w:divBdr>
        <w:top w:val="none" w:sz="0" w:space="0" w:color="auto"/>
        <w:left w:val="none" w:sz="0" w:space="0" w:color="auto"/>
        <w:bottom w:val="none" w:sz="0" w:space="0" w:color="auto"/>
        <w:right w:val="none" w:sz="0" w:space="0" w:color="auto"/>
      </w:divBdr>
    </w:div>
    <w:div w:id="1229269431">
      <w:bodyDiv w:val="1"/>
      <w:marLeft w:val="0"/>
      <w:marRight w:val="0"/>
      <w:marTop w:val="0"/>
      <w:marBottom w:val="0"/>
      <w:divBdr>
        <w:top w:val="none" w:sz="0" w:space="0" w:color="auto"/>
        <w:left w:val="none" w:sz="0" w:space="0" w:color="auto"/>
        <w:bottom w:val="none" w:sz="0" w:space="0" w:color="auto"/>
        <w:right w:val="none" w:sz="0" w:space="0" w:color="auto"/>
      </w:divBdr>
    </w:div>
    <w:div w:id="1259799773">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0555575">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16102886">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39965209">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84261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3404714">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17115139">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2374941">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5868123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08067260">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4910564">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24270860">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11765238">
      <w:bodyDiv w:val="1"/>
      <w:marLeft w:val="0"/>
      <w:marRight w:val="0"/>
      <w:marTop w:val="0"/>
      <w:marBottom w:val="0"/>
      <w:divBdr>
        <w:top w:val="none" w:sz="0" w:space="0" w:color="auto"/>
        <w:left w:val="none" w:sz="0" w:space="0" w:color="auto"/>
        <w:bottom w:val="none" w:sz="0" w:space="0" w:color="auto"/>
        <w:right w:val="none" w:sz="0" w:space="0" w:color="auto"/>
      </w:divBdr>
    </w:div>
    <w:div w:id="1938171561">
      <w:bodyDiv w:val="1"/>
      <w:marLeft w:val="0"/>
      <w:marRight w:val="0"/>
      <w:marTop w:val="0"/>
      <w:marBottom w:val="0"/>
      <w:divBdr>
        <w:top w:val="none" w:sz="0" w:space="0" w:color="auto"/>
        <w:left w:val="none" w:sz="0" w:space="0" w:color="auto"/>
        <w:bottom w:val="none" w:sz="0" w:space="0" w:color="auto"/>
        <w:right w:val="none" w:sz="0" w:space="0" w:color="auto"/>
      </w:divBdr>
    </w:div>
    <w:div w:id="1958682149">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7176605">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28019253">
      <w:bodyDiv w:val="1"/>
      <w:marLeft w:val="0"/>
      <w:marRight w:val="0"/>
      <w:marTop w:val="0"/>
      <w:marBottom w:val="0"/>
      <w:divBdr>
        <w:top w:val="none" w:sz="0" w:space="0" w:color="auto"/>
        <w:left w:val="none" w:sz="0" w:space="0" w:color="auto"/>
        <w:bottom w:val="none" w:sz="0" w:space="0" w:color="auto"/>
        <w:right w:val="none" w:sz="0" w:space="0" w:color="auto"/>
      </w:divBdr>
    </w:div>
    <w:div w:id="204355466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64476664">
      <w:bodyDiv w:val="1"/>
      <w:marLeft w:val="0"/>
      <w:marRight w:val="0"/>
      <w:marTop w:val="0"/>
      <w:marBottom w:val="0"/>
      <w:divBdr>
        <w:top w:val="none" w:sz="0" w:space="0" w:color="auto"/>
        <w:left w:val="none" w:sz="0" w:space="0" w:color="auto"/>
        <w:bottom w:val="none" w:sz="0" w:space="0" w:color="auto"/>
        <w:right w:val="none" w:sz="0" w:space="0" w:color="auto"/>
      </w:divBdr>
    </w:div>
    <w:div w:id="2134015605">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yperlink" Target="https://compare.energy.vic.gov.au/"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energymadeeasy.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s://www.aer.gov.au/retail-markets/retailer-failure/register-of-rolrs/energyaustralia-pty-ltd"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7056-241C-403F-9DF6-CC09B3D5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215</Pages>
  <Words>61409</Words>
  <Characters>350036</Characters>
  <Application>Microsoft Office Word</Application>
  <DocSecurity>0</DocSecurity>
  <Lines>2916</Lines>
  <Paragraphs>821</Paragraphs>
  <ScaleCrop>false</ScaleCrop>
  <HeadingPairs>
    <vt:vector size="2" baseType="variant">
      <vt:variant>
        <vt:lpstr>Title</vt:lpstr>
      </vt:variant>
      <vt:variant>
        <vt:i4>1</vt:i4>
      </vt:variant>
    </vt:vector>
  </HeadingPairs>
  <TitlesOfParts>
    <vt:vector size="1" baseType="lpstr">
      <vt:lpstr>Exposure Draft: Competition and Consumer (Consumer Data Right) Amendment Rules (No. 2) 2021</vt:lpstr>
    </vt:vector>
  </TitlesOfParts>
  <Company/>
  <LinksUpToDate>false</LinksUpToDate>
  <CharactersWithSpaces>410624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Competition and Consumer (Consumer Data Right) Amendment Rules (No. 2) 2021</dc:title>
  <dc:subject/>
  <dc:creator/>
  <cp:keywords/>
  <cp:lastModifiedBy/>
  <cp:revision>1</cp:revision>
  <dcterms:created xsi:type="dcterms:W3CDTF">2021-08-16T11:34:00Z</dcterms:created>
  <dcterms:modified xsi:type="dcterms:W3CDTF">2021-08-16T11:35:00Z</dcterms:modified>
</cp:coreProperties>
</file>