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96B66" w14:textId="77777777" w:rsidR="00ED5F55" w:rsidRPr="00620D25" w:rsidRDefault="00ED5F55" w:rsidP="00ED5F55">
      <w:pPr>
        <w:pStyle w:val="Title"/>
        <w:jc w:val="both"/>
        <w:rPr>
          <w:b/>
          <w:color w:val="auto"/>
        </w:rPr>
      </w:pPr>
      <w:bookmarkStart w:id="0" w:name="_GoBack"/>
      <w:bookmarkEnd w:id="0"/>
      <w:r>
        <w:rPr>
          <w:noProof/>
          <w:lang w:eastAsia="en-AU"/>
        </w:rPr>
        <w:drawing>
          <wp:anchor distT="0" distB="0" distL="114300" distR="114300" simplePos="0" relativeHeight="251659264" behindDoc="0" locked="0" layoutInCell="1" allowOverlap="1" wp14:anchorId="31A3DA58" wp14:editId="75FC36C9">
            <wp:simplePos x="0" y="0"/>
            <wp:positionH relativeFrom="column">
              <wp:posOffset>-419735</wp:posOffset>
            </wp:positionH>
            <wp:positionV relativeFrom="paragraph">
              <wp:posOffset>-468630</wp:posOffset>
            </wp:positionV>
            <wp:extent cx="1363980" cy="86677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0288" behindDoc="1" locked="0" layoutInCell="1" allowOverlap="1" wp14:anchorId="67CEC589" wp14:editId="027D172D">
                <wp:simplePos x="0" y="0"/>
                <wp:positionH relativeFrom="column">
                  <wp:posOffset>-443230</wp:posOffset>
                </wp:positionH>
                <wp:positionV relativeFrom="paragraph">
                  <wp:posOffset>-683260</wp:posOffset>
                </wp:positionV>
                <wp:extent cx="1400175" cy="9334500"/>
                <wp:effectExtent l="0" t="0" r="9525"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334500"/>
                        </a:xfrm>
                        <a:prstGeom prst="rect">
                          <a:avLst/>
                        </a:prstGeom>
                        <a:gradFill flip="none" rotWithShape="1">
                          <a:gsLst>
                            <a:gs pos="40000">
                              <a:srgbClr val="0000FF"/>
                            </a:gs>
                            <a:gs pos="0">
                              <a:sysClr val="windowText" lastClr="000000">
                                <a:lumMod val="75000"/>
                                <a:lumOff val="25000"/>
                              </a:sysClr>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29029C" id="Rectangle 38" o:spid="_x0000_s1026" style="position:absolute;margin-left:-34.9pt;margin-top:-53.8pt;width:110.25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zj2QIAAL0FAAAOAAAAZHJzL2Uyb0RvYy54bWysVE1v2zAMvQ/YfxB0X52kSbsadYqgRYYB&#10;WVusHXpWZNkWJkuapMTJfv2eZCfNup2G+WBIJMWPx0de3+xaRbbCeWl0QcdnI0qE5qaUui7ot+fl&#10;h4+U+MB0yZTRoqB74enN/P27687mYmIao0rhCJxon3e2oE0INs8yzxvRMn9mrNBQVsa1LODq6qx0&#10;rIP3VmWT0egi64wrrTNceA/pXa+k8+S/qgQPD1XlRSCqoMgtpL9L/3X8Z/NrlteO2UbyIQ32D1m0&#10;TGoEPbq6Y4GRjZN/uGold8abKpxx02amqiQXqQZUMx69qeapYVakWgCOt0eY/P9zy++3j47IsqDn&#10;6JRmLXr0FagxXStBIANAnfU57J7so4slersy/LuHIvtNEy9+sNlVro22KJDsEtr7I9piFwiHcDwd&#10;jcaXM0o4dFfn59PZKPUjY/nhuXU+fBKmJfFQUIfEEspsu/IhJsDyg8kAfrmUSpFKSXBJg3GUOBNe&#10;ZGgSlgjad8njfXrhiTWAE6kgeKrO1etb5ciWRcbgWy4jBohU+9MXg/XeH43BytJ0zyiPEsV8gKL3&#10;MHhWm/aLKXvHl6h1IB/EoGgvnhzECOeT62PklMCQtZKaoEGo5gIzED0Rz5kS6OK4Z3SQSsQ2Dpk7&#10;lnCJ+StNuoJOZqgYyDPAVCmGjHlr8dzrmhKmaswyDy4Bok2EFI56rO+Yb/pkvVGyHLBROupFGrih&#10;Na90iKe1KfcgGpoReUC85UuJnq6A0yNzGDkIsUbCA36VMkjRDCdKGuN+/k0e7TEJ0FLSYYSR/o8N&#10;c+i5+qzR1KvxdAq3IV2ms8sJLu5Usz7V6E17a9DzccouHaN9UIdj5Uz7gm2ziFGhYpojdg/UcLkN&#10;/WrBvuJisUhmmHPLwko/WX6gX+Ts8+6FOTsQO4A09+Yw7ix/w+/eNiKszWITTCVTY19xHUYRO6Ln&#10;S7/P4hI6vSer1607/wUAAP//AwBQSwMEFAAGAAgAAAAhALeprqPiAAAADQEAAA8AAABkcnMvZG93&#10;bnJldi54bWxMj8FOwzAQRO9I/IO1SNxauwUSCHGqCsEl7QEKUq9ubGKr8TqK3Tbw9WxP9DarGc28&#10;LRej79jRDNEFlDCbCmAGm6AdthK+Pt8mj8BiUqhVF9BI+DERFtX1VakKHU74YY6b1DIqwVgoCTal&#10;vuA8NtZ4FaehN0jedxi8SnQOLdeDOlG57/hciIx75ZAWrOrNizXNfnPwEvbvr3nIV/Xa9WK13a5t&#10;/bt0tZS3N+PyGVgyY/oPwxmf0KEipl04oI6skzDJngg9kZiJPAN2jjyIHNiOxF02vwdelfzyi+oP&#10;AAD//wMAUEsBAi0AFAAGAAgAAAAhALaDOJL+AAAA4QEAABMAAAAAAAAAAAAAAAAAAAAAAFtDb250&#10;ZW50X1R5cGVzXS54bWxQSwECLQAUAAYACAAAACEAOP0h/9YAAACUAQAACwAAAAAAAAAAAAAAAAAv&#10;AQAAX3JlbHMvLnJlbHNQSwECLQAUAAYACAAAACEAS5Ec49kCAAC9BQAADgAAAAAAAAAAAAAAAAAu&#10;AgAAZHJzL2Uyb0RvYy54bWxQSwECLQAUAAYACAAAACEAt6muo+IAAAANAQAADwAAAAAAAAAAAAAA&#10;AAAzBQAAZHJzL2Rvd25yZXYueG1sUEsFBgAAAAAEAAQA8wAAAEIGAAAAAA==&#10;" fillcolor="#404040" stroked="f" strokeweight="2pt">
                <v:fill color2="blue" rotate="t" angle="180" colors="0 #404040;26214f blue" focus="100%" type="gradient"/>
                <v:path arrowok="t"/>
              </v:rect>
            </w:pict>
          </mc:Fallback>
        </mc:AlternateContent>
      </w:r>
    </w:p>
    <w:p w14:paraId="28FA0066" w14:textId="77777777" w:rsidR="00ED5F55" w:rsidRPr="00965416" w:rsidRDefault="00ED5F55" w:rsidP="00ED5F55">
      <w:pPr>
        <w:spacing w:line="600" w:lineRule="exact"/>
        <w:jc w:val="left"/>
        <w:rPr>
          <w:rFonts w:ascii="Tahoma" w:hAnsi="Tahoma" w:cs="Tahoma"/>
          <w:color w:val="0000FF"/>
          <w:sz w:val="60"/>
          <w:szCs w:val="60"/>
        </w:rPr>
      </w:pPr>
    </w:p>
    <w:p w14:paraId="19EE0274" w14:textId="77777777" w:rsidR="00ED5F55" w:rsidRPr="00965416" w:rsidRDefault="00ED5F55" w:rsidP="00ED5F55">
      <w:pPr>
        <w:spacing w:line="600" w:lineRule="exact"/>
        <w:jc w:val="left"/>
        <w:rPr>
          <w:rFonts w:ascii="Tahoma" w:hAnsi="Tahoma" w:cs="Tahoma"/>
          <w:color w:val="0000FF"/>
          <w:sz w:val="60"/>
          <w:szCs w:val="60"/>
        </w:rPr>
      </w:pPr>
    </w:p>
    <w:p w14:paraId="5AE0D4DC" w14:textId="77777777" w:rsidR="00ED5F55" w:rsidRDefault="00ED5F55" w:rsidP="00ED5F55">
      <w:pPr>
        <w:spacing w:line="600" w:lineRule="exact"/>
        <w:ind w:left="2127"/>
        <w:jc w:val="left"/>
        <w:rPr>
          <w:rFonts w:ascii="Tahoma" w:hAnsi="Tahoma" w:cs="Tahoma"/>
          <w:color w:val="0000FF"/>
          <w:sz w:val="60"/>
          <w:szCs w:val="60"/>
        </w:rPr>
      </w:pPr>
    </w:p>
    <w:p w14:paraId="7E52E904" w14:textId="77777777" w:rsidR="00ED5F55" w:rsidRDefault="00ED5F55" w:rsidP="00ED5F55">
      <w:pPr>
        <w:spacing w:line="600" w:lineRule="exact"/>
        <w:ind w:left="2127"/>
        <w:jc w:val="left"/>
        <w:rPr>
          <w:rFonts w:ascii="Tahoma" w:hAnsi="Tahoma" w:cs="Tahoma"/>
          <w:color w:val="0000FF"/>
          <w:sz w:val="60"/>
          <w:szCs w:val="60"/>
        </w:rPr>
      </w:pPr>
    </w:p>
    <w:p w14:paraId="4DC22A46" w14:textId="77777777" w:rsidR="00ED5F55" w:rsidRPr="00965416" w:rsidRDefault="00ED5F55" w:rsidP="00ED5F55">
      <w:pPr>
        <w:spacing w:line="600" w:lineRule="exact"/>
        <w:ind w:left="2127"/>
        <w:jc w:val="left"/>
        <w:rPr>
          <w:rFonts w:ascii="Tahoma" w:hAnsi="Tahoma" w:cs="Tahoma"/>
          <w:color w:val="0000FF"/>
          <w:sz w:val="60"/>
          <w:szCs w:val="60"/>
        </w:rPr>
      </w:pPr>
      <w:r w:rsidRPr="00965416">
        <w:rPr>
          <w:rFonts w:ascii="Tahoma" w:hAnsi="Tahoma" w:cs="Tahoma"/>
          <w:color w:val="0000FF"/>
          <w:sz w:val="60"/>
          <w:szCs w:val="60"/>
        </w:rPr>
        <w:t>JOINT ECONOMIC FORECASTING GROUP REPORT</w:t>
      </w:r>
    </w:p>
    <w:p w14:paraId="2CDCA7F5" w14:textId="77777777" w:rsidR="00ED5F55" w:rsidRPr="008302A5" w:rsidRDefault="00ED5F55" w:rsidP="00ED5F55">
      <w:pPr>
        <w:ind w:left="2127"/>
        <w:jc w:val="right"/>
        <w:rPr>
          <w:rFonts w:ascii="Calibri" w:hAnsi="Calibri" w:cs="Arial"/>
          <w:b/>
          <w:color w:val="0000FF"/>
          <w:sz w:val="22"/>
          <w:szCs w:val="22"/>
        </w:rPr>
      </w:pPr>
    </w:p>
    <w:p w14:paraId="28242464" w14:textId="77777777" w:rsidR="00ED5F55" w:rsidRPr="008302A5" w:rsidRDefault="00ED5F55" w:rsidP="00ED5F55">
      <w:pPr>
        <w:spacing w:line="400" w:lineRule="exact"/>
        <w:ind w:left="2127"/>
        <w:jc w:val="left"/>
        <w:rPr>
          <w:rFonts w:ascii="Calibri" w:hAnsi="Calibri" w:cs="Arial"/>
          <w:color w:val="0000FF"/>
          <w:sz w:val="40"/>
          <w:szCs w:val="40"/>
        </w:rPr>
      </w:pPr>
    </w:p>
    <w:p w14:paraId="0D94E79F" w14:textId="77777777" w:rsidR="00ED5F55" w:rsidRPr="008302A5" w:rsidRDefault="00ED5F55" w:rsidP="00ED5F55">
      <w:pPr>
        <w:spacing w:line="400" w:lineRule="exact"/>
        <w:ind w:left="2127"/>
        <w:jc w:val="left"/>
        <w:rPr>
          <w:rFonts w:ascii="Calibri" w:hAnsi="Calibri" w:cs="Arial"/>
          <w:color w:val="0000FF"/>
          <w:sz w:val="40"/>
          <w:szCs w:val="40"/>
        </w:rPr>
      </w:pPr>
    </w:p>
    <w:p w14:paraId="248689B1" w14:textId="77777777" w:rsidR="00ED5F55" w:rsidRPr="008302A5" w:rsidRDefault="00ED5F55" w:rsidP="00ED5F55">
      <w:pPr>
        <w:spacing w:line="400" w:lineRule="exact"/>
        <w:ind w:left="2127"/>
        <w:jc w:val="left"/>
        <w:rPr>
          <w:rFonts w:ascii="Calibri" w:hAnsi="Calibri" w:cs="Arial"/>
          <w:color w:val="0000FF"/>
          <w:sz w:val="40"/>
          <w:szCs w:val="40"/>
        </w:rPr>
      </w:pPr>
      <w:r w:rsidRPr="008302A5">
        <w:rPr>
          <w:rFonts w:ascii="Calibri" w:hAnsi="Calibri" w:cs="Arial"/>
          <w:color w:val="0000FF"/>
          <w:sz w:val="40"/>
          <w:szCs w:val="40"/>
        </w:rPr>
        <w:t xml:space="preserve">ECONOMIC OUTLOOK FOR </w:t>
      </w:r>
      <w:r w:rsidRPr="008302A5">
        <w:rPr>
          <w:rFonts w:ascii="Calibri" w:hAnsi="Calibri" w:cs="Arial"/>
          <w:color w:val="0000FF"/>
          <w:sz w:val="40"/>
          <w:szCs w:val="40"/>
        </w:rPr>
        <w:br/>
        <w:t>201</w:t>
      </w:r>
      <w:r w:rsidR="00EE1F75">
        <w:rPr>
          <w:rFonts w:ascii="Calibri" w:hAnsi="Calibri" w:cs="Arial"/>
          <w:color w:val="0000FF"/>
          <w:sz w:val="40"/>
          <w:szCs w:val="40"/>
        </w:rPr>
        <w:t>7</w:t>
      </w:r>
      <w:r w:rsidRPr="008302A5">
        <w:rPr>
          <w:rFonts w:ascii="Calibri" w:hAnsi="Calibri" w:cs="Arial"/>
          <w:color w:val="0000FF"/>
          <w:sz w:val="40"/>
          <w:szCs w:val="40"/>
        </w:rPr>
        <w:t>-1</w:t>
      </w:r>
      <w:r w:rsidR="00EE1F75">
        <w:rPr>
          <w:rFonts w:ascii="Calibri" w:hAnsi="Calibri" w:cs="Arial"/>
          <w:color w:val="0000FF"/>
          <w:sz w:val="40"/>
          <w:szCs w:val="40"/>
        </w:rPr>
        <w:t>8</w:t>
      </w:r>
      <w:r w:rsidR="00D75DFC">
        <w:rPr>
          <w:rFonts w:ascii="Calibri" w:hAnsi="Calibri" w:cs="Arial"/>
          <w:color w:val="0000FF"/>
          <w:sz w:val="40"/>
          <w:szCs w:val="40"/>
        </w:rPr>
        <w:t xml:space="preserve">, </w:t>
      </w:r>
      <w:r>
        <w:rPr>
          <w:rFonts w:ascii="Calibri" w:hAnsi="Calibri" w:cs="Arial"/>
          <w:color w:val="0000FF"/>
          <w:sz w:val="40"/>
          <w:szCs w:val="40"/>
        </w:rPr>
        <w:t>201</w:t>
      </w:r>
      <w:r w:rsidR="00EE1F75">
        <w:rPr>
          <w:rFonts w:ascii="Calibri" w:hAnsi="Calibri" w:cs="Arial"/>
          <w:color w:val="0000FF"/>
          <w:sz w:val="40"/>
          <w:szCs w:val="40"/>
        </w:rPr>
        <w:t>8</w:t>
      </w:r>
      <w:r>
        <w:rPr>
          <w:rFonts w:ascii="Calibri" w:hAnsi="Calibri" w:cs="Arial"/>
          <w:color w:val="0000FF"/>
          <w:sz w:val="40"/>
          <w:szCs w:val="40"/>
        </w:rPr>
        <w:t>-1</w:t>
      </w:r>
      <w:r w:rsidR="00EE1F75">
        <w:rPr>
          <w:rFonts w:ascii="Calibri" w:hAnsi="Calibri" w:cs="Arial"/>
          <w:color w:val="0000FF"/>
          <w:sz w:val="40"/>
          <w:szCs w:val="40"/>
        </w:rPr>
        <w:t>9</w:t>
      </w:r>
      <w:r w:rsidR="00D75DFC">
        <w:rPr>
          <w:rFonts w:ascii="Calibri" w:hAnsi="Calibri" w:cs="Arial"/>
          <w:color w:val="0000FF"/>
          <w:sz w:val="40"/>
          <w:szCs w:val="40"/>
        </w:rPr>
        <w:t xml:space="preserve"> and 2019-20</w:t>
      </w:r>
    </w:p>
    <w:p w14:paraId="585D175A" w14:textId="77777777" w:rsidR="00ED5F55" w:rsidRPr="008302A5" w:rsidRDefault="00D75DFC" w:rsidP="00ED5F55">
      <w:pPr>
        <w:spacing w:line="400" w:lineRule="exact"/>
        <w:ind w:left="2127"/>
        <w:jc w:val="left"/>
        <w:rPr>
          <w:rFonts w:ascii="Calibri" w:hAnsi="Calibri" w:cs="Arial"/>
          <w:color w:val="0000FF"/>
          <w:sz w:val="40"/>
          <w:szCs w:val="40"/>
        </w:rPr>
      </w:pPr>
      <w:r>
        <w:rPr>
          <w:rFonts w:ascii="Calibri" w:hAnsi="Calibri" w:cs="Arial"/>
          <w:color w:val="0000FF"/>
          <w:sz w:val="40"/>
          <w:szCs w:val="40"/>
        </w:rPr>
        <w:t>December</w:t>
      </w:r>
      <w:r w:rsidR="000F2D42">
        <w:rPr>
          <w:rFonts w:ascii="Calibri" w:hAnsi="Calibri" w:cs="Arial"/>
          <w:color w:val="0000FF"/>
          <w:sz w:val="40"/>
          <w:szCs w:val="40"/>
        </w:rPr>
        <w:t xml:space="preserve"> </w:t>
      </w:r>
      <w:r w:rsidR="00EE1F75">
        <w:rPr>
          <w:rFonts w:ascii="Calibri" w:hAnsi="Calibri" w:cs="Arial"/>
          <w:color w:val="0000FF"/>
          <w:sz w:val="40"/>
          <w:szCs w:val="40"/>
        </w:rPr>
        <w:t>201</w:t>
      </w:r>
      <w:r w:rsidR="000F2D42">
        <w:rPr>
          <w:rFonts w:ascii="Calibri" w:hAnsi="Calibri" w:cs="Arial"/>
          <w:color w:val="0000FF"/>
          <w:sz w:val="40"/>
          <w:szCs w:val="40"/>
        </w:rPr>
        <w:t>7</w:t>
      </w:r>
    </w:p>
    <w:p w14:paraId="0655BF8D" w14:textId="77777777" w:rsidR="00ED5F55" w:rsidRPr="008302A5" w:rsidRDefault="00ED5F55" w:rsidP="00ED5F55">
      <w:pPr>
        <w:spacing w:line="400" w:lineRule="exact"/>
        <w:ind w:left="2127"/>
        <w:jc w:val="left"/>
        <w:rPr>
          <w:rFonts w:ascii="Calibri" w:hAnsi="Calibri" w:cs="Arial"/>
          <w:color w:val="0000FF"/>
          <w:sz w:val="40"/>
          <w:szCs w:val="40"/>
        </w:rPr>
      </w:pPr>
    </w:p>
    <w:p w14:paraId="22A22E42" w14:textId="77777777" w:rsidR="00ED5F55" w:rsidRPr="008302A5" w:rsidRDefault="00ED5F55" w:rsidP="00ED5F55">
      <w:pPr>
        <w:spacing w:line="400" w:lineRule="exact"/>
        <w:ind w:left="2127"/>
        <w:jc w:val="left"/>
        <w:rPr>
          <w:rFonts w:ascii="Calibri" w:hAnsi="Calibri" w:cs="Arial"/>
          <w:color w:val="0000FF"/>
          <w:sz w:val="40"/>
          <w:szCs w:val="40"/>
        </w:rPr>
      </w:pPr>
    </w:p>
    <w:p w14:paraId="42D56FFF" w14:textId="77777777" w:rsidR="00ED5F55" w:rsidRPr="008302A5" w:rsidRDefault="00ED5F55" w:rsidP="00ED5F55">
      <w:pPr>
        <w:spacing w:line="400" w:lineRule="exact"/>
        <w:ind w:left="2127"/>
        <w:jc w:val="left"/>
        <w:rPr>
          <w:rFonts w:ascii="Calibri" w:hAnsi="Calibri" w:cs="Arial"/>
          <w:color w:val="0000FF"/>
          <w:sz w:val="40"/>
          <w:szCs w:val="40"/>
        </w:rPr>
      </w:pPr>
    </w:p>
    <w:p w14:paraId="11365132" w14:textId="77777777" w:rsidR="00ED5F55" w:rsidRPr="008302A5" w:rsidRDefault="00ED5F55" w:rsidP="00ED5F55">
      <w:pPr>
        <w:spacing w:line="400" w:lineRule="exact"/>
        <w:ind w:left="2127"/>
        <w:jc w:val="left"/>
        <w:rPr>
          <w:rFonts w:ascii="Calibri" w:hAnsi="Calibri" w:cs="Arial"/>
          <w:color w:val="0000FF"/>
          <w:sz w:val="40"/>
          <w:szCs w:val="40"/>
        </w:rPr>
      </w:pPr>
    </w:p>
    <w:p w14:paraId="6BD5B08C" w14:textId="77777777" w:rsidR="00ED5F55" w:rsidRPr="008302A5" w:rsidRDefault="00ED5F55" w:rsidP="00ED5F55">
      <w:pPr>
        <w:spacing w:line="400" w:lineRule="exact"/>
        <w:ind w:left="2127"/>
        <w:jc w:val="left"/>
        <w:rPr>
          <w:rFonts w:ascii="Calibri" w:hAnsi="Calibri" w:cs="Arial"/>
          <w:color w:val="404040"/>
          <w:sz w:val="16"/>
          <w:szCs w:val="16"/>
        </w:rPr>
      </w:pPr>
      <w:r w:rsidRPr="00070252">
        <w:rPr>
          <w:rFonts w:ascii="Calibri" w:hAnsi="Calibri" w:cs="Arial"/>
          <w:color w:val="404040"/>
          <w:sz w:val="16"/>
          <w:szCs w:val="16"/>
        </w:rPr>
        <w:t xml:space="preserve">This report incorporates domestic and international data released </w:t>
      </w:r>
      <w:r w:rsidRPr="00721FE0">
        <w:rPr>
          <w:rFonts w:ascii="Calibri" w:hAnsi="Calibri" w:cs="Arial"/>
          <w:color w:val="404040"/>
          <w:sz w:val="16"/>
          <w:szCs w:val="16"/>
        </w:rPr>
        <w:t xml:space="preserve">up to </w:t>
      </w:r>
      <w:r w:rsidR="00D75DFC">
        <w:rPr>
          <w:rFonts w:ascii="Calibri" w:hAnsi="Calibri" w:cs="Arial"/>
          <w:color w:val="404040"/>
          <w:sz w:val="16"/>
          <w:szCs w:val="16"/>
        </w:rPr>
        <w:t>6 February</w:t>
      </w:r>
      <w:r w:rsidR="000F2D42" w:rsidRPr="000C491E">
        <w:rPr>
          <w:rFonts w:ascii="Calibri" w:hAnsi="Calibri" w:cs="Arial"/>
          <w:color w:val="404040"/>
          <w:sz w:val="16"/>
          <w:szCs w:val="16"/>
        </w:rPr>
        <w:t xml:space="preserve"> </w:t>
      </w:r>
      <w:r w:rsidRPr="000C491E">
        <w:rPr>
          <w:rFonts w:ascii="Calibri" w:hAnsi="Calibri" w:cs="Arial"/>
          <w:color w:val="404040"/>
          <w:sz w:val="16"/>
          <w:szCs w:val="16"/>
        </w:rPr>
        <w:t>201</w:t>
      </w:r>
      <w:r w:rsidR="00D75DFC">
        <w:rPr>
          <w:rFonts w:ascii="Calibri" w:hAnsi="Calibri" w:cs="Arial"/>
          <w:color w:val="404040"/>
          <w:sz w:val="16"/>
          <w:szCs w:val="16"/>
        </w:rPr>
        <w:t>8</w:t>
      </w:r>
      <w:r w:rsidRPr="00721FE0">
        <w:rPr>
          <w:rFonts w:ascii="Calibri" w:hAnsi="Calibri" w:cs="Arial"/>
          <w:color w:val="404040"/>
          <w:sz w:val="16"/>
          <w:szCs w:val="16"/>
        </w:rPr>
        <w:t>.</w:t>
      </w:r>
    </w:p>
    <w:p w14:paraId="7FE2CC56" w14:textId="77777777" w:rsidR="00ED5F55" w:rsidRDefault="00ED5F55" w:rsidP="00ED5F55">
      <w:pPr>
        <w:rPr>
          <w:highlight w:val="yellow"/>
        </w:rPr>
      </w:pPr>
    </w:p>
    <w:p w14:paraId="3AC60B95" w14:textId="77777777" w:rsidR="00ED5F55" w:rsidRPr="00E03CF2" w:rsidRDefault="00ED5F55" w:rsidP="00ED5F55">
      <w:pPr>
        <w:rPr>
          <w:highlight w:val="yellow"/>
        </w:rPr>
        <w:sectPr w:rsidR="00ED5F55" w:rsidRPr="00E03CF2" w:rsidSect="00843281">
          <w:headerReference w:type="default" r:id="rId9"/>
          <w:footerReference w:type="even" r:id="rId10"/>
          <w:footerReference w:type="default" r:id="rId11"/>
          <w:pgSz w:w="11907" w:h="16840" w:code="9"/>
          <w:pgMar w:top="1961" w:right="1418" w:bottom="1276" w:left="1418" w:header="170" w:footer="170" w:gutter="0"/>
          <w:cols w:space="720"/>
          <w:titlePg/>
          <w:docGrid w:linePitch="272"/>
        </w:sectPr>
      </w:pPr>
    </w:p>
    <w:p w14:paraId="5AB73535" w14:textId="596A8B6B" w:rsidR="00EC71A9" w:rsidRDefault="00BA611D" w:rsidP="00EC71A9">
      <w:pPr>
        <w:pStyle w:val="OutlineNumbered1"/>
        <w:rPr>
          <w:rFonts w:asciiTheme="minorHAnsi" w:hAnsiTheme="minorHAnsi"/>
          <w:szCs w:val="20"/>
        </w:rPr>
      </w:pPr>
      <w:r w:rsidRPr="004A066C">
        <w:rPr>
          <w:rFonts w:asciiTheme="minorHAnsi" w:hAnsiTheme="minorHAnsi"/>
          <w:szCs w:val="20"/>
        </w:rPr>
        <w:lastRenderedPageBreak/>
        <w:t>The</w:t>
      </w:r>
      <w:r w:rsidR="007A2400">
        <w:rPr>
          <w:rFonts w:asciiTheme="minorHAnsi" w:hAnsiTheme="minorHAnsi"/>
          <w:szCs w:val="20"/>
        </w:rPr>
        <w:t xml:space="preserve"> economic outlook is broadly unchanged from the 2017-18 Mid-Year Economic and Fiscal Outlook (MYEFO)</w:t>
      </w:r>
      <w:r w:rsidR="00EC71A9" w:rsidRPr="00EC71A9">
        <w:rPr>
          <w:rFonts w:asciiTheme="minorHAnsi" w:hAnsiTheme="minorHAnsi"/>
          <w:szCs w:val="20"/>
        </w:rPr>
        <w:t>.</w:t>
      </w:r>
      <w:r w:rsidR="007A2400">
        <w:rPr>
          <w:rFonts w:asciiTheme="minorHAnsi" w:hAnsiTheme="minorHAnsi"/>
          <w:szCs w:val="20"/>
        </w:rPr>
        <w:t xml:space="preserve"> </w:t>
      </w:r>
      <w:r w:rsidR="000B11D9">
        <w:rPr>
          <w:rFonts w:asciiTheme="minorHAnsi" w:hAnsiTheme="minorHAnsi"/>
          <w:szCs w:val="20"/>
        </w:rPr>
        <w:t xml:space="preserve">The economy is expected </w:t>
      </w:r>
      <w:r w:rsidR="00BF676C">
        <w:rPr>
          <w:rFonts w:asciiTheme="minorHAnsi" w:hAnsiTheme="minorHAnsi"/>
          <w:szCs w:val="20"/>
        </w:rPr>
        <w:t>to grow at a solid pace as the d</w:t>
      </w:r>
      <w:r w:rsidR="000B11D9">
        <w:rPr>
          <w:rFonts w:asciiTheme="minorHAnsi" w:hAnsiTheme="minorHAnsi"/>
          <w:szCs w:val="20"/>
        </w:rPr>
        <w:t xml:space="preserve">rag on growth from falling mining investment </w:t>
      </w:r>
      <w:r w:rsidR="00BF676C">
        <w:rPr>
          <w:rFonts w:asciiTheme="minorHAnsi" w:hAnsiTheme="minorHAnsi"/>
          <w:szCs w:val="20"/>
        </w:rPr>
        <w:t>reaches</w:t>
      </w:r>
      <w:r w:rsidR="000B11D9">
        <w:rPr>
          <w:rFonts w:asciiTheme="minorHAnsi" w:hAnsiTheme="minorHAnsi"/>
          <w:szCs w:val="20"/>
        </w:rPr>
        <w:t xml:space="preserve"> completion. Real GDP is forecast to grow by 2½ per cent in 2017-18 and 3 per cent in 2018-19 (see Table 1).  </w:t>
      </w:r>
      <w:r w:rsidR="00DB1062">
        <w:rPr>
          <w:rFonts w:asciiTheme="minorHAnsi" w:hAnsiTheme="minorHAnsi"/>
          <w:szCs w:val="20"/>
        </w:rPr>
        <w:t xml:space="preserve">The forecasts for employment growth and the participation rate have been </w:t>
      </w:r>
      <w:r w:rsidR="00F406E5">
        <w:rPr>
          <w:rFonts w:asciiTheme="minorHAnsi" w:hAnsiTheme="minorHAnsi"/>
          <w:szCs w:val="20"/>
        </w:rPr>
        <w:t xml:space="preserve">upgraded </w:t>
      </w:r>
      <w:r w:rsidR="00DB1062">
        <w:rPr>
          <w:rFonts w:asciiTheme="minorHAnsi" w:hAnsiTheme="minorHAnsi"/>
          <w:szCs w:val="20"/>
        </w:rPr>
        <w:t xml:space="preserve">to reflect </w:t>
      </w:r>
      <w:r w:rsidR="00F406E5">
        <w:rPr>
          <w:rFonts w:asciiTheme="minorHAnsi" w:hAnsiTheme="minorHAnsi"/>
          <w:szCs w:val="20"/>
        </w:rPr>
        <w:t xml:space="preserve">recent </w:t>
      </w:r>
      <w:r w:rsidR="00DB1062">
        <w:rPr>
          <w:rFonts w:asciiTheme="minorHAnsi" w:hAnsiTheme="minorHAnsi"/>
          <w:szCs w:val="20"/>
        </w:rPr>
        <w:t>strong labour force data</w:t>
      </w:r>
      <w:r w:rsidR="00F406E5">
        <w:rPr>
          <w:rFonts w:asciiTheme="minorHAnsi" w:hAnsiTheme="minorHAnsi"/>
          <w:szCs w:val="20"/>
        </w:rPr>
        <w:t>, while the forecast for the unemployment rate remains unchanged compared with the MYEFO.</w:t>
      </w:r>
    </w:p>
    <w:p w14:paraId="4181298A" w14:textId="0F3739A1" w:rsidR="004864EA" w:rsidRPr="00F406E5" w:rsidRDefault="00747BBE" w:rsidP="00B818F3">
      <w:pPr>
        <w:pStyle w:val="OutlineNumbered1"/>
        <w:rPr>
          <w:rFonts w:asciiTheme="minorHAnsi" w:hAnsiTheme="minorHAnsi"/>
          <w:szCs w:val="20"/>
        </w:rPr>
      </w:pPr>
      <w:r w:rsidRPr="00F51113">
        <w:rPr>
          <w:rFonts w:asciiTheme="minorHAnsi" w:hAnsiTheme="minorHAnsi"/>
          <w:szCs w:val="20"/>
        </w:rPr>
        <w:t xml:space="preserve">The outlook for the global economy continues to improve. A number of major economies including Japan and the euro area have performed better than expected </w:t>
      </w:r>
      <w:r w:rsidR="007C4AED" w:rsidRPr="00812EC7">
        <w:rPr>
          <w:rFonts w:asciiTheme="minorHAnsi" w:hAnsiTheme="minorHAnsi"/>
          <w:szCs w:val="20"/>
        </w:rPr>
        <w:t>since the</w:t>
      </w:r>
      <w:r w:rsidRPr="00812EC7">
        <w:rPr>
          <w:rFonts w:asciiTheme="minorHAnsi" w:hAnsiTheme="minorHAnsi"/>
          <w:szCs w:val="20"/>
        </w:rPr>
        <w:t xml:space="preserve"> M</w:t>
      </w:r>
      <w:r w:rsidRPr="00F406E5">
        <w:rPr>
          <w:rFonts w:asciiTheme="minorHAnsi" w:hAnsiTheme="minorHAnsi"/>
          <w:szCs w:val="20"/>
        </w:rPr>
        <w:t>YEFO</w:t>
      </w:r>
      <w:r w:rsidR="005E07CE">
        <w:rPr>
          <w:rFonts w:asciiTheme="minorHAnsi" w:hAnsiTheme="minorHAnsi"/>
          <w:szCs w:val="20"/>
        </w:rPr>
        <w:t xml:space="preserve"> and the </w:t>
      </w:r>
      <w:r w:rsidR="00F406E5" w:rsidRPr="00F51113">
        <w:rPr>
          <w:rFonts w:asciiTheme="minorHAnsi" w:hAnsiTheme="minorHAnsi"/>
          <w:szCs w:val="20"/>
        </w:rPr>
        <w:t>U</w:t>
      </w:r>
      <w:r w:rsidR="00F406E5" w:rsidRPr="00812EC7">
        <w:rPr>
          <w:rFonts w:asciiTheme="minorHAnsi" w:hAnsiTheme="minorHAnsi"/>
          <w:szCs w:val="20"/>
        </w:rPr>
        <w:t xml:space="preserve">S </w:t>
      </w:r>
      <w:r w:rsidR="00F406E5" w:rsidRPr="00F406E5">
        <w:rPr>
          <w:rFonts w:asciiTheme="minorHAnsi" w:hAnsiTheme="minorHAnsi"/>
          <w:szCs w:val="20"/>
        </w:rPr>
        <w:t>tax reform package has been a significant development</w:t>
      </w:r>
      <w:r w:rsidR="00AC2D8C">
        <w:rPr>
          <w:rFonts w:asciiTheme="minorHAnsi" w:hAnsiTheme="minorHAnsi"/>
          <w:szCs w:val="20"/>
        </w:rPr>
        <w:t>.</w:t>
      </w:r>
      <w:r w:rsidR="00F406E5" w:rsidRPr="00F51113">
        <w:rPr>
          <w:rFonts w:asciiTheme="minorHAnsi" w:hAnsiTheme="minorHAnsi"/>
          <w:szCs w:val="20"/>
        </w:rPr>
        <w:t xml:space="preserve"> </w:t>
      </w:r>
      <w:r w:rsidR="00F406E5" w:rsidRPr="00812EC7">
        <w:rPr>
          <w:rFonts w:asciiTheme="minorHAnsi" w:hAnsiTheme="minorHAnsi"/>
          <w:szCs w:val="20"/>
        </w:rPr>
        <w:t>The size of the reform exceeded expectations, resulting in an upgrade to the US GDP growth forecast. Significant support for consumption and business investment is expected, particularly in the short term as the economy adjusts to the new settings.</w:t>
      </w:r>
      <w:r w:rsidR="00F406E5" w:rsidRPr="00F406E5">
        <w:rPr>
          <w:rFonts w:asciiTheme="minorHAnsi" w:hAnsiTheme="minorHAnsi"/>
          <w:szCs w:val="20"/>
        </w:rPr>
        <w:t xml:space="preserve"> </w:t>
      </w:r>
      <w:r w:rsidR="00F406E5">
        <w:rPr>
          <w:rFonts w:asciiTheme="minorHAnsi" w:hAnsiTheme="minorHAnsi"/>
          <w:szCs w:val="20"/>
        </w:rPr>
        <w:t>W</w:t>
      </w:r>
      <w:r w:rsidR="00444999" w:rsidRPr="00F51113">
        <w:rPr>
          <w:rFonts w:asciiTheme="minorHAnsi" w:hAnsiTheme="minorHAnsi"/>
          <w:szCs w:val="20"/>
        </w:rPr>
        <w:t xml:space="preserve">orld GDP </w:t>
      </w:r>
      <w:r w:rsidR="00125763">
        <w:rPr>
          <w:rFonts w:asciiTheme="minorHAnsi" w:hAnsiTheme="minorHAnsi"/>
          <w:szCs w:val="20"/>
        </w:rPr>
        <w:t xml:space="preserve">is </w:t>
      </w:r>
      <w:r w:rsidR="00717132" w:rsidRPr="00812EC7">
        <w:rPr>
          <w:rFonts w:asciiTheme="minorHAnsi" w:hAnsiTheme="minorHAnsi"/>
          <w:szCs w:val="20"/>
        </w:rPr>
        <w:t xml:space="preserve">forecast to grow by </w:t>
      </w:r>
      <w:r w:rsidR="007A2400" w:rsidRPr="00812EC7">
        <w:rPr>
          <w:rFonts w:asciiTheme="minorHAnsi" w:hAnsiTheme="minorHAnsi"/>
          <w:szCs w:val="20"/>
        </w:rPr>
        <w:t>3¾</w:t>
      </w:r>
      <w:r w:rsidR="00F406E5" w:rsidRPr="00F406E5">
        <w:rPr>
          <w:rFonts w:asciiTheme="minorHAnsi" w:hAnsiTheme="minorHAnsi"/>
          <w:szCs w:val="20"/>
        </w:rPr>
        <w:t> </w:t>
      </w:r>
      <w:r w:rsidR="000B11D9" w:rsidRPr="00F406E5">
        <w:rPr>
          <w:rFonts w:asciiTheme="minorHAnsi" w:hAnsiTheme="minorHAnsi"/>
          <w:szCs w:val="20"/>
        </w:rPr>
        <w:t>per cent in 2018</w:t>
      </w:r>
      <w:r w:rsidR="00A62BF7" w:rsidRPr="00F406E5">
        <w:rPr>
          <w:rFonts w:asciiTheme="minorHAnsi" w:hAnsiTheme="minorHAnsi"/>
          <w:szCs w:val="20"/>
        </w:rPr>
        <w:t xml:space="preserve">, </w:t>
      </w:r>
      <w:r w:rsidR="000B11D9" w:rsidRPr="00F406E5">
        <w:rPr>
          <w:rFonts w:asciiTheme="minorHAnsi" w:hAnsiTheme="minorHAnsi"/>
          <w:szCs w:val="20"/>
        </w:rPr>
        <w:t>2019</w:t>
      </w:r>
      <w:r w:rsidR="00A62BF7" w:rsidRPr="00F406E5">
        <w:rPr>
          <w:rFonts w:asciiTheme="minorHAnsi" w:hAnsiTheme="minorHAnsi"/>
          <w:szCs w:val="20"/>
        </w:rPr>
        <w:t xml:space="preserve"> and 20</w:t>
      </w:r>
      <w:r w:rsidR="000B11D9" w:rsidRPr="00F406E5">
        <w:rPr>
          <w:rFonts w:asciiTheme="minorHAnsi" w:hAnsiTheme="minorHAnsi"/>
          <w:szCs w:val="20"/>
        </w:rPr>
        <w:t>20</w:t>
      </w:r>
      <w:r w:rsidR="00A62BF7" w:rsidRPr="00F406E5">
        <w:rPr>
          <w:rFonts w:asciiTheme="minorHAnsi" w:hAnsiTheme="minorHAnsi"/>
          <w:szCs w:val="20"/>
        </w:rPr>
        <w:t xml:space="preserve">. This is a slight upgrade </w:t>
      </w:r>
      <w:r w:rsidR="004C79BB" w:rsidRPr="00F406E5">
        <w:rPr>
          <w:rFonts w:asciiTheme="minorHAnsi" w:hAnsiTheme="minorHAnsi"/>
          <w:szCs w:val="20"/>
        </w:rPr>
        <w:t xml:space="preserve">to </w:t>
      </w:r>
      <w:r w:rsidR="00444999" w:rsidRPr="00F406E5">
        <w:rPr>
          <w:rFonts w:asciiTheme="minorHAnsi" w:hAnsiTheme="minorHAnsi"/>
          <w:szCs w:val="20"/>
        </w:rPr>
        <w:t>the 2018 forecast which was 3½ </w:t>
      </w:r>
      <w:r w:rsidR="004C79BB" w:rsidRPr="00F406E5">
        <w:rPr>
          <w:rFonts w:asciiTheme="minorHAnsi" w:hAnsiTheme="minorHAnsi"/>
          <w:szCs w:val="20"/>
        </w:rPr>
        <w:t xml:space="preserve">per cent at the MYEFO. </w:t>
      </w:r>
      <w:r w:rsidR="00A62BF7" w:rsidRPr="00F406E5">
        <w:rPr>
          <w:rFonts w:asciiTheme="minorHAnsi" w:hAnsiTheme="minorHAnsi"/>
          <w:szCs w:val="20"/>
        </w:rPr>
        <w:t>Major trading partner growth is fo</w:t>
      </w:r>
      <w:r w:rsidR="004864EA" w:rsidRPr="00F406E5">
        <w:rPr>
          <w:rFonts w:asciiTheme="minorHAnsi" w:hAnsiTheme="minorHAnsi"/>
          <w:szCs w:val="20"/>
        </w:rPr>
        <w:t>recast to be 4¼ per cent in 2018</w:t>
      </w:r>
      <w:r w:rsidR="00A62BF7" w:rsidRPr="00F406E5">
        <w:rPr>
          <w:rFonts w:asciiTheme="minorHAnsi" w:hAnsiTheme="minorHAnsi"/>
          <w:szCs w:val="20"/>
        </w:rPr>
        <w:t xml:space="preserve">, </w:t>
      </w:r>
      <w:r w:rsidR="004864EA" w:rsidRPr="00F406E5">
        <w:rPr>
          <w:rFonts w:asciiTheme="minorHAnsi" w:hAnsiTheme="minorHAnsi"/>
          <w:szCs w:val="20"/>
        </w:rPr>
        <w:t>2019 and</w:t>
      </w:r>
      <w:r w:rsidR="00441D1A" w:rsidRPr="00F406E5">
        <w:rPr>
          <w:rFonts w:asciiTheme="minorHAnsi" w:hAnsiTheme="minorHAnsi"/>
          <w:szCs w:val="20"/>
        </w:rPr>
        <w:t xml:space="preserve"> </w:t>
      </w:r>
      <w:r w:rsidRPr="00F406E5">
        <w:rPr>
          <w:rFonts w:asciiTheme="minorHAnsi" w:hAnsiTheme="minorHAnsi"/>
          <w:szCs w:val="20"/>
        </w:rPr>
        <w:t xml:space="preserve">2020 – this is ¼ of a percentage point higher in 2018 and 2019 compared with the MYEFO. </w:t>
      </w:r>
    </w:p>
    <w:p w14:paraId="521552BF" w14:textId="4E4BAA56" w:rsidR="00747BBE" w:rsidRDefault="00F51113" w:rsidP="003A78EC">
      <w:pPr>
        <w:pStyle w:val="OutlineNumbered1"/>
        <w:rPr>
          <w:rFonts w:asciiTheme="minorHAnsi" w:hAnsiTheme="minorHAnsi"/>
          <w:szCs w:val="20"/>
        </w:rPr>
      </w:pPr>
      <w:r>
        <w:rPr>
          <w:rFonts w:asciiTheme="minorHAnsi" w:hAnsiTheme="minorHAnsi"/>
          <w:szCs w:val="20"/>
        </w:rPr>
        <w:t>Bulk c</w:t>
      </w:r>
      <w:r w:rsidR="00444999">
        <w:rPr>
          <w:rFonts w:asciiTheme="minorHAnsi" w:hAnsiTheme="minorHAnsi"/>
          <w:szCs w:val="20"/>
        </w:rPr>
        <w:t>ommodity prices have also remained elevated since the MYEFO</w:t>
      </w:r>
      <w:r w:rsidR="00747BBE">
        <w:rPr>
          <w:rFonts w:asciiTheme="minorHAnsi" w:hAnsiTheme="minorHAnsi"/>
          <w:szCs w:val="20"/>
        </w:rPr>
        <w:t xml:space="preserve">. </w:t>
      </w:r>
      <w:r w:rsidR="00444999">
        <w:rPr>
          <w:rFonts w:asciiTheme="minorHAnsi" w:hAnsiTheme="minorHAnsi"/>
          <w:szCs w:val="20"/>
        </w:rPr>
        <w:t xml:space="preserve">Oil prices and the exchange rate are also higher than the MYEFO assumption. </w:t>
      </w:r>
      <w:r w:rsidR="00346139">
        <w:rPr>
          <w:rFonts w:asciiTheme="minorHAnsi" w:hAnsiTheme="minorHAnsi"/>
          <w:szCs w:val="20"/>
        </w:rPr>
        <w:t xml:space="preserve">The iron ore price is assumed to fall through the March and June quarters of 2018 to reach US$55 per tonne in the September quarter 2018. </w:t>
      </w:r>
      <w:r w:rsidR="006F364A">
        <w:rPr>
          <w:rFonts w:asciiTheme="minorHAnsi" w:hAnsiTheme="minorHAnsi"/>
          <w:szCs w:val="20"/>
        </w:rPr>
        <w:t>The metallurgical coal price is assumed to fall through the March and June quarters of 2018 to reach US$120</w:t>
      </w:r>
      <w:r w:rsidR="006F364A" w:rsidRPr="006F364A">
        <w:rPr>
          <w:rFonts w:asciiTheme="minorHAnsi" w:hAnsiTheme="minorHAnsi"/>
          <w:szCs w:val="20"/>
        </w:rPr>
        <w:t xml:space="preserve"> </w:t>
      </w:r>
      <w:r w:rsidR="006F364A">
        <w:rPr>
          <w:rFonts w:asciiTheme="minorHAnsi" w:hAnsiTheme="minorHAnsi"/>
          <w:szCs w:val="20"/>
        </w:rPr>
        <w:t xml:space="preserve">per tonne in the September quarter 2018. </w:t>
      </w:r>
      <w:r w:rsidR="00AC4483">
        <w:rPr>
          <w:rFonts w:asciiTheme="minorHAnsi" w:hAnsiTheme="minorHAnsi"/>
          <w:szCs w:val="20"/>
        </w:rPr>
        <w:t xml:space="preserve">The thermal coal price is assumed to be flat at US$85 per tonne. </w:t>
      </w:r>
      <w:r w:rsidR="006F364A">
        <w:rPr>
          <w:rFonts w:asciiTheme="minorHAnsi" w:hAnsiTheme="minorHAnsi"/>
          <w:szCs w:val="20"/>
        </w:rPr>
        <w:t>The oil price assumption (Malaysian Tapis) is US$70</w:t>
      </w:r>
      <w:r w:rsidR="00AC4483">
        <w:rPr>
          <w:rFonts w:asciiTheme="minorHAnsi" w:hAnsiTheme="minorHAnsi"/>
          <w:szCs w:val="20"/>
        </w:rPr>
        <w:t> </w:t>
      </w:r>
      <w:r w:rsidR="006F364A">
        <w:rPr>
          <w:rFonts w:asciiTheme="minorHAnsi" w:hAnsiTheme="minorHAnsi"/>
          <w:szCs w:val="20"/>
        </w:rPr>
        <w:t xml:space="preserve">per barrel and the exchange rate assumption is 79 US cents and a TWI of 65. </w:t>
      </w:r>
    </w:p>
    <w:p w14:paraId="171457C2" w14:textId="4A9A1ABF" w:rsidR="00762DE7" w:rsidRPr="00812EC7" w:rsidRDefault="006F364A" w:rsidP="00F51113">
      <w:pPr>
        <w:pStyle w:val="OutlineNumbered1"/>
        <w:rPr>
          <w:rFonts w:asciiTheme="minorHAnsi" w:hAnsiTheme="minorHAnsi"/>
          <w:szCs w:val="20"/>
        </w:rPr>
      </w:pPr>
      <w:r>
        <w:rPr>
          <w:rFonts w:asciiTheme="minorHAnsi" w:hAnsiTheme="minorHAnsi"/>
          <w:szCs w:val="20"/>
        </w:rPr>
        <w:t xml:space="preserve">Reflecting the </w:t>
      </w:r>
      <w:r w:rsidR="00F51113">
        <w:rPr>
          <w:rFonts w:asciiTheme="minorHAnsi" w:hAnsiTheme="minorHAnsi"/>
          <w:szCs w:val="20"/>
        </w:rPr>
        <w:t xml:space="preserve">new </w:t>
      </w:r>
      <w:r>
        <w:rPr>
          <w:rFonts w:asciiTheme="minorHAnsi" w:hAnsiTheme="minorHAnsi"/>
          <w:szCs w:val="20"/>
        </w:rPr>
        <w:t xml:space="preserve">assumption for iron ore prices, the terms of trade are forecast </w:t>
      </w:r>
      <w:r w:rsidR="00F51113">
        <w:rPr>
          <w:rFonts w:asciiTheme="minorHAnsi" w:hAnsiTheme="minorHAnsi"/>
          <w:szCs w:val="20"/>
        </w:rPr>
        <w:t xml:space="preserve">to be slightly higher in the near-term compared with the MYEFO but then fall by slightly more in 2018-19 with the phase-down in the iron ore price assumption. </w:t>
      </w:r>
      <w:r w:rsidR="007B18A6" w:rsidRPr="00F51113">
        <w:rPr>
          <w:rFonts w:asciiTheme="minorHAnsi" w:hAnsiTheme="minorHAnsi"/>
          <w:szCs w:val="20"/>
        </w:rPr>
        <w:t xml:space="preserve">As a result, nominal GDP is forecast to grow by 3¾ per cent in both 2017-18 and 2018-19, up from 3½ per cent and down from 4 per cent respectively, compared </w:t>
      </w:r>
      <w:r w:rsidR="00F51113">
        <w:rPr>
          <w:rFonts w:asciiTheme="minorHAnsi" w:hAnsiTheme="minorHAnsi"/>
          <w:szCs w:val="20"/>
        </w:rPr>
        <w:t>with</w:t>
      </w:r>
      <w:r w:rsidR="007B18A6" w:rsidRPr="00812EC7">
        <w:rPr>
          <w:rFonts w:asciiTheme="minorHAnsi" w:hAnsiTheme="minorHAnsi"/>
          <w:szCs w:val="20"/>
        </w:rPr>
        <w:t xml:space="preserve"> the MYEFO. </w:t>
      </w:r>
    </w:p>
    <w:p w14:paraId="02777650" w14:textId="5FF67A1C" w:rsidR="006F364A" w:rsidRPr="005D11CF" w:rsidRDefault="00762DE7" w:rsidP="005D11CF">
      <w:pPr>
        <w:pStyle w:val="OutlineNumbered1"/>
        <w:rPr>
          <w:rFonts w:asciiTheme="minorHAnsi" w:hAnsiTheme="minorHAnsi"/>
          <w:szCs w:val="20"/>
        </w:rPr>
      </w:pPr>
      <w:r w:rsidRPr="000B18B2">
        <w:rPr>
          <w:rFonts w:asciiTheme="minorHAnsi" w:hAnsiTheme="minorHAnsi"/>
          <w:szCs w:val="20"/>
        </w:rPr>
        <w:t xml:space="preserve">This JEFG Report includes 2019-20 as a forecast year for the first time. </w:t>
      </w:r>
      <w:r w:rsidR="0094447C" w:rsidRPr="000B18B2">
        <w:rPr>
          <w:rFonts w:asciiTheme="minorHAnsi" w:hAnsiTheme="minorHAnsi"/>
          <w:szCs w:val="20"/>
        </w:rPr>
        <w:t xml:space="preserve">Real GDP is forecast to grow by </w:t>
      </w:r>
      <w:r w:rsidR="00663596" w:rsidRPr="000B18B2">
        <w:rPr>
          <w:rFonts w:asciiTheme="minorHAnsi" w:hAnsiTheme="minorHAnsi"/>
          <w:szCs w:val="20"/>
        </w:rPr>
        <w:t>3 </w:t>
      </w:r>
      <w:r w:rsidR="0094447C" w:rsidRPr="000B18B2">
        <w:rPr>
          <w:rFonts w:asciiTheme="minorHAnsi" w:hAnsiTheme="minorHAnsi"/>
          <w:szCs w:val="20"/>
        </w:rPr>
        <w:t>per cent in 2019-20</w:t>
      </w:r>
      <w:r w:rsidR="0090446F" w:rsidRPr="000B18B2">
        <w:rPr>
          <w:rFonts w:asciiTheme="minorHAnsi" w:hAnsiTheme="minorHAnsi"/>
          <w:szCs w:val="20"/>
        </w:rPr>
        <w:t xml:space="preserve">, </w:t>
      </w:r>
      <w:r w:rsidR="000B18B2" w:rsidRPr="000B18B2">
        <w:rPr>
          <w:rFonts w:asciiTheme="minorHAnsi" w:hAnsiTheme="minorHAnsi"/>
          <w:szCs w:val="20"/>
        </w:rPr>
        <w:t xml:space="preserve">with support from business </w:t>
      </w:r>
      <w:r w:rsidR="00025B2A" w:rsidRPr="000B18B2">
        <w:rPr>
          <w:rFonts w:asciiTheme="minorHAnsi" w:hAnsiTheme="minorHAnsi"/>
          <w:szCs w:val="20"/>
        </w:rPr>
        <w:t xml:space="preserve">investment, </w:t>
      </w:r>
      <w:r w:rsidR="000B18B2" w:rsidRPr="000B18B2">
        <w:rPr>
          <w:rFonts w:asciiTheme="minorHAnsi" w:hAnsiTheme="minorHAnsi"/>
          <w:szCs w:val="20"/>
        </w:rPr>
        <w:t>as</w:t>
      </w:r>
      <w:r w:rsidR="0090446F" w:rsidRPr="000B18B2">
        <w:rPr>
          <w:rFonts w:asciiTheme="minorHAnsi" w:hAnsiTheme="minorHAnsi"/>
          <w:szCs w:val="20"/>
        </w:rPr>
        <w:t xml:space="preserve"> the drag from </w:t>
      </w:r>
      <w:r w:rsidR="008E2C65" w:rsidRPr="000B18B2">
        <w:rPr>
          <w:rFonts w:asciiTheme="minorHAnsi" w:hAnsiTheme="minorHAnsi"/>
          <w:szCs w:val="20"/>
        </w:rPr>
        <w:t xml:space="preserve">mining investment </w:t>
      </w:r>
      <w:r w:rsidR="00025B2A" w:rsidRPr="000B18B2">
        <w:rPr>
          <w:rFonts w:asciiTheme="minorHAnsi" w:hAnsiTheme="minorHAnsi"/>
          <w:szCs w:val="20"/>
        </w:rPr>
        <w:t>reach</w:t>
      </w:r>
      <w:r w:rsidR="000B18B2" w:rsidRPr="000B18B2">
        <w:rPr>
          <w:rFonts w:asciiTheme="minorHAnsi" w:hAnsiTheme="minorHAnsi"/>
          <w:szCs w:val="20"/>
        </w:rPr>
        <w:t>es</w:t>
      </w:r>
      <w:r w:rsidR="00025B2A" w:rsidRPr="000B18B2">
        <w:rPr>
          <w:rFonts w:asciiTheme="minorHAnsi" w:hAnsiTheme="minorHAnsi"/>
          <w:szCs w:val="20"/>
        </w:rPr>
        <w:t xml:space="preserve"> completion. </w:t>
      </w:r>
      <w:r w:rsidR="000B18B2" w:rsidRPr="000B18B2">
        <w:rPr>
          <w:rFonts w:asciiTheme="minorHAnsi" w:hAnsiTheme="minorHAnsi"/>
          <w:szCs w:val="20"/>
        </w:rPr>
        <w:t xml:space="preserve">Support to growth is also expected from household consumption, public final demand and exports. </w:t>
      </w:r>
      <w:r w:rsidR="007B18A6" w:rsidRPr="000B18B2">
        <w:rPr>
          <w:rFonts w:asciiTheme="minorHAnsi" w:hAnsiTheme="minorHAnsi"/>
          <w:szCs w:val="20"/>
        </w:rPr>
        <w:t xml:space="preserve"> </w:t>
      </w:r>
      <w:r w:rsidR="000B18B2" w:rsidRPr="000B18B2">
        <w:rPr>
          <w:rFonts w:asciiTheme="minorHAnsi" w:hAnsiTheme="minorHAnsi"/>
          <w:szCs w:val="20"/>
        </w:rPr>
        <w:t>Dwelling investment is expected to fall slightly, following its strong expansion over recent years</w:t>
      </w:r>
      <w:r w:rsidR="00812EC7">
        <w:rPr>
          <w:rFonts w:asciiTheme="minorHAnsi" w:hAnsiTheme="minorHAnsi"/>
          <w:szCs w:val="20"/>
        </w:rPr>
        <w:t>.</w:t>
      </w:r>
    </w:p>
    <w:p w14:paraId="3C027D75" w14:textId="42F36A06" w:rsidR="005D11CF" w:rsidRPr="00722D7A" w:rsidRDefault="00812EC7" w:rsidP="005D11CF">
      <w:pPr>
        <w:pStyle w:val="OutlineNumbered1"/>
        <w:rPr>
          <w:rFonts w:asciiTheme="minorHAnsi" w:hAnsiTheme="minorHAnsi"/>
          <w:szCs w:val="20"/>
        </w:rPr>
      </w:pPr>
      <w:r>
        <w:rPr>
          <w:rFonts w:asciiTheme="minorHAnsi" w:hAnsiTheme="minorHAnsi"/>
          <w:szCs w:val="20"/>
        </w:rPr>
        <w:t>A</w:t>
      </w:r>
      <w:r w:rsidR="00172985">
        <w:rPr>
          <w:rFonts w:asciiTheme="minorHAnsi" w:hAnsiTheme="minorHAnsi"/>
          <w:szCs w:val="20"/>
        </w:rPr>
        <w:t>bove</w:t>
      </w:r>
      <w:r>
        <w:rPr>
          <w:rFonts w:asciiTheme="minorHAnsi" w:hAnsiTheme="minorHAnsi"/>
          <w:szCs w:val="20"/>
        </w:rPr>
        <w:t>-</w:t>
      </w:r>
      <w:r w:rsidR="00172985">
        <w:rPr>
          <w:rFonts w:asciiTheme="minorHAnsi" w:hAnsiTheme="minorHAnsi"/>
          <w:szCs w:val="20"/>
        </w:rPr>
        <w:t>trend</w:t>
      </w:r>
      <w:r w:rsidR="005D11CF" w:rsidRPr="00722D7A">
        <w:rPr>
          <w:rFonts w:asciiTheme="minorHAnsi" w:hAnsiTheme="minorHAnsi"/>
          <w:szCs w:val="20"/>
        </w:rPr>
        <w:t xml:space="preserve"> real GDP growth </w:t>
      </w:r>
      <w:r>
        <w:rPr>
          <w:rFonts w:asciiTheme="minorHAnsi" w:hAnsiTheme="minorHAnsi"/>
          <w:szCs w:val="20"/>
        </w:rPr>
        <w:t>is</w:t>
      </w:r>
      <w:r w:rsidRPr="00722D7A">
        <w:rPr>
          <w:rFonts w:asciiTheme="minorHAnsi" w:hAnsiTheme="minorHAnsi"/>
          <w:szCs w:val="20"/>
        </w:rPr>
        <w:t xml:space="preserve"> </w:t>
      </w:r>
      <w:r w:rsidR="005D11CF" w:rsidRPr="00722D7A">
        <w:rPr>
          <w:rFonts w:asciiTheme="minorHAnsi" w:hAnsiTheme="minorHAnsi"/>
          <w:szCs w:val="20"/>
        </w:rPr>
        <w:t>expected to support solid employment growth, with the unemployment rate forecast to be 5¼ per cent in the June quarter 20</w:t>
      </w:r>
      <w:r w:rsidR="00172985">
        <w:rPr>
          <w:rFonts w:asciiTheme="minorHAnsi" w:hAnsiTheme="minorHAnsi"/>
          <w:szCs w:val="20"/>
        </w:rPr>
        <w:t>20</w:t>
      </w:r>
      <w:r w:rsidR="005D11CF" w:rsidRPr="00722D7A">
        <w:rPr>
          <w:rFonts w:asciiTheme="minorHAnsi" w:hAnsiTheme="minorHAnsi"/>
          <w:szCs w:val="20"/>
        </w:rPr>
        <w:t xml:space="preserve">. Wages are forecast to grow by </w:t>
      </w:r>
      <w:r w:rsidR="00172985">
        <w:rPr>
          <w:rFonts w:asciiTheme="minorHAnsi" w:hAnsiTheme="minorHAnsi"/>
          <w:szCs w:val="20"/>
        </w:rPr>
        <w:t xml:space="preserve">3¼ </w:t>
      </w:r>
      <w:r w:rsidR="005D11CF" w:rsidRPr="00722D7A">
        <w:rPr>
          <w:rFonts w:asciiTheme="minorHAnsi" w:hAnsiTheme="minorHAnsi"/>
          <w:szCs w:val="20"/>
        </w:rPr>
        <w:t>per cent through the year to the June quarter of 20</w:t>
      </w:r>
      <w:r w:rsidR="00172985">
        <w:rPr>
          <w:rFonts w:asciiTheme="minorHAnsi" w:hAnsiTheme="minorHAnsi"/>
          <w:szCs w:val="20"/>
        </w:rPr>
        <w:t>20</w:t>
      </w:r>
      <w:r w:rsidR="005D11CF" w:rsidRPr="00722D7A">
        <w:rPr>
          <w:rFonts w:asciiTheme="minorHAnsi" w:hAnsiTheme="minorHAnsi"/>
          <w:szCs w:val="20"/>
        </w:rPr>
        <w:t>, while headline consumer price inflation is forecast to be 2</w:t>
      </w:r>
      <w:r w:rsidR="00172985">
        <w:rPr>
          <w:rFonts w:asciiTheme="minorHAnsi" w:hAnsiTheme="minorHAnsi"/>
          <w:szCs w:val="20"/>
        </w:rPr>
        <w:t xml:space="preserve">½ </w:t>
      </w:r>
      <w:r w:rsidR="005D11CF" w:rsidRPr="00722D7A">
        <w:rPr>
          <w:rFonts w:asciiTheme="minorHAnsi" w:hAnsiTheme="minorHAnsi"/>
          <w:szCs w:val="20"/>
        </w:rPr>
        <w:t>per cent. Nominal GDP growth is expected to be 4</w:t>
      </w:r>
      <w:r w:rsidR="00172985">
        <w:rPr>
          <w:rFonts w:asciiTheme="minorHAnsi" w:hAnsiTheme="minorHAnsi"/>
          <w:szCs w:val="20"/>
        </w:rPr>
        <w:t xml:space="preserve">¾ </w:t>
      </w:r>
      <w:r w:rsidR="005D11CF" w:rsidRPr="00722D7A">
        <w:rPr>
          <w:rFonts w:asciiTheme="minorHAnsi" w:hAnsiTheme="minorHAnsi"/>
          <w:szCs w:val="20"/>
        </w:rPr>
        <w:t>per cent in 201</w:t>
      </w:r>
      <w:r w:rsidR="00172985">
        <w:rPr>
          <w:rFonts w:asciiTheme="minorHAnsi" w:hAnsiTheme="minorHAnsi"/>
          <w:szCs w:val="20"/>
        </w:rPr>
        <w:t>9-20</w:t>
      </w:r>
      <w:r>
        <w:rPr>
          <w:rFonts w:asciiTheme="minorHAnsi" w:hAnsiTheme="minorHAnsi"/>
          <w:szCs w:val="20"/>
        </w:rPr>
        <w:t>.</w:t>
      </w:r>
    </w:p>
    <w:p w14:paraId="4693B34B" w14:textId="7FA87A1C" w:rsidR="007348EC" w:rsidRPr="00E12C1F" w:rsidRDefault="007348EC" w:rsidP="00E12C1F">
      <w:pPr>
        <w:pStyle w:val="OutlineNumbered1"/>
        <w:rPr>
          <w:rFonts w:asciiTheme="minorHAnsi" w:hAnsiTheme="minorHAnsi"/>
          <w:szCs w:val="20"/>
        </w:rPr>
      </w:pPr>
      <w:r w:rsidRPr="00E12C1F">
        <w:rPr>
          <w:rFonts w:asciiTheme="minorHAnsi" w:hAnsiTheme="minorHAnsi"/>
          <w:szCs w:val="20"/>
        </w:rPr>
        <w:t xml:space="preserve">There are a number of uncertainties for </w:t>
      </w:r>
      <w:r w:rsidR="00EB5CA9" w:rsidRPr="00E12C1F">
        <w:rPr>
          <w:rFonts w:asciiTheme="minorHAnsi" w:hAnsiTheme="minorHAnsi"/>
          <w:szCs w:val="20"/>
        </w:rPr>
        <w:t>both the international and domestic forecasts</w:t>
      </w:r>
      <w:r w:rsidRPr="00E12C1F">
        <w:rPr>
          <w:rFonts w:asciiTheme="minorHAnsi" w:hAnsiTheme="minorHAnsi"/>
          <w:szCs w:val="20"/>
        </w:rPr>
        <w:t xml:space="preserve">. </w:t>
      </w:r>
      <w:r w:rsidR="00EB5CA9" w:rsidRPr="00E12C1F">
        <w:rPr>
          <w:rFonts w:asciiTheme="minorHAnsi" w:hAnsiTheme="minorHAnsi"/>
          <w:szCs w:val="20"/>
        </w:rPr>
        <w:t xml:space="preserve">While </w:t>
      </w:r>
      <w:r w:rsidR="00E12C1F" w:rsidRPr="00E12C1F">
        <w:rPr>
          <w:rFonts w:asciiTheme="minorHAnsi" w:hAnsiTheme="minorHAnsi"/>
          <w:szCs w:val="20"/>
        </w:rPr>
        <w:t xml:space="preserve">current adjustments to US monetary policy have been anticipated by markets, faster-than-expected tightening in US monetary policy could lead to tighter </w:t>
      </w:r>
      <w:r w:rsidR="00966A8D">
        <w:rPr>
          <w:rFonts w:asciiTheme="minorHAnsi" w:hAnsiTheme="minorHAnsi"/>
          <w:szCs w:val="20"/>
        </w:rPr>
        <w:t>financial</w:t>
      </w:r>
      <w:r w:rsidR="00E12C1F" w:rsidRPr="00E12C1F">
        <w:rPr>
          <w:rFonts w:asciiTheme="minorHAnsi" w:hAnsiTheme="minorHAnsi"/>
          <w:szCs w:val="20"/>
        </w:rPr>
        <w:t xml:space="preserve"> conditions and disruptions in markets. High levels of debt in some euro area countries could also pose a risk</w:t>
      </w:r>
      <w:r w:rsidR="00BF4F0F">
        <w:rPr>
          <w:rFonts w:asciiTheme="minorHAnsi" w:hAnsiTheme="minorHAnsi"/>
          <w:szCs w:val="20"/>
        </w:rPr>
        <w:t>.</w:t>
      </w:r>
      <w:r w:rsidR="00E12C1F" w:rsidRPr="00E12C1F">
        <w:rPr>
          <w:rFonts w:asciiTheme="minorHAnsi" w:hAnsiTheme="minorHAnsi"/>
          <w:szCs w:val="20"/>
        </w:rPr>
        <w:t xml:space="preserve"> In China, the main challenge will be progressing structural reforms needed to sustain growth while managing the risks associated with continued debt accumulation and excess capacity in parts of the economy. More broadly, geopolitical risks remain elevated</w:t>
      </w:r>
      <w:r w:rsidR="00966A8D">
        <w:rPr>
          <w:rFonts w:asciiTheme="minorHAnsi" w:hAnsiTheme="minorHAnsi"/>
          <w:szCs w:val="20"/>
        </w:rPr>
        <w:t>, including</w:t>
      </w:r>
      <w:r w:rsidR="00911CC2">
        <w:rPr>
          <w:rFonts w:asciiTheme="minorHAnsi" w:hAnsiTheme="minorHAnsi"/>
          <w:szCs w:val="20"/>
        </w:rPr>
        <w:t xml:space="preserve"> in</w:t>
      </w:r>
      <w:r w:rsidR="00966A8D">
        <w:rPr>
          <w:rFonts w:asciiTheme="minorHAnsi" w:hAnsiTheme="minorHAnsi"/>
          <w:szCs w:val="20"/>
        </w:rPr>
        <w:t xml:space="preserve"> the Middle East and on the Korean peninsula</w:t>
      </w:r>
      <w:r w:rsidR="00E12C1F" w:rsidRPr="00E12C1F">
        <w:rPr>
          <w:rFonts w:asciiTheme="minorHAnsi" w:hAnsiTheme="minorHAnsi"/>
          <w:szCs w:val="20"/>
        </w:rPr>
        <w:t>.</w:t>
      </w:r>
    </w:p>
    <w:p w14:paraId="2B522129" w14:textId="77777777" w:rsidR="00530227" w:rsidRDefault="00DD4D52" w:rsidP="00530227">
      <w:pPr>
        <w:pStyle w:val="OutlineNumbered1"/>
        <w:rPr>
          <w:rFonts w:asciiTheme="minorHAnsi" w:hAnsiTheme="minorHAnsi"/>
          <w:szCs w:val="20"/>
        </w:rPr>
      </w:pPr>
      <w:r w:rsidRPr="00530227">
        <w:rPr>
          <w:rFonts w:asciiTheme="minorHAnsi" w:hAnsiTheme="minorHAnsi"/>
          <w:szCs w:val="20"/>
        </w:rPr>
        <w:t>There are both upside and downside risks</w:t>
      </w:r>
      <w:r w:rsidR="00EB5CA9" w:rsidRPr="00530227">
        <w:rPr>
          <w:rFonts w:asciiTheme="minorHAnsi" w:hAnsiTheme="minorHAnsi"/>
          <w:szCs w:val="20"/>
        </w:rPr>
        <w:t xml:space="preserve"> to the domestic forecasts</w:t>
      </w:r>
      <w:r w:rsidRPr="00530227">
        <w:rPr>
          <w:rFonts w:asciiTheme="minorHAnsi" w:hAnsiTheme="minorHAnsi"/>
          <w:szCs w:val="20"/>
        </w:rPr>
        <w:t>. The outlook for business investment appears to be firming, however growth in non-mining business investment has not broadened across all industries</w:t>
      </w:r>
      <w:r w:rsidR="00BF4F0F" w:rsidRPr="00530227">
        <w:rPr>
          <w:rFonts w:asciiTheme="minorHAnsi" w:hAnsiTheme="minorHAnsi"/>
          <w:szCs w:val="20"/>
        </w:rPr>
        <w:t xml:space="preserve">. </w:t>
      </w:r>
      <w:r w:rsidR="00011AAE" w:rsidRPr="00530227">
        <w:rPr>
          <w:rFonts w:asciiTheme="minorHAnsi" w:hAnsiTheme="minorHAnsi"/>
          <w:szCs w:val="20"/>
        </w:rPr>
        <w:t xml:space="preserve">Household consumption growth has slowed over the past year and there is a risk that continued subdued income growth may result in slower consumption growth than forecast. However, stronger labour market conditions than forecast could provide an upside risk to consumption growth. </w:t>
      </w:r>
      <w:r w:rsidR="00530227">
        <w:rPr>
          <w:rFonts w:asciiTheme="minorHAnsi" w:hAnsiTheme="minorHAnsi"/>
          <w:szCs w:val="20"/>
        </w:rPr>
        <w:t>Commodity prices are a key uncertainty for the nominal economy, while weak inflation and wage growth pose downside risks.</w:t>
      </w:r>
    </w:p>
    <w:p w14:paraId="08CEDE5E" w14:textId="72B66604" w:rsidR="009E7768" w:rsidRPr="00530227" w:rsidRDefault="006D5A5E" w:rsidP="003D66CE">
      <w:pPr>
        <w:pStyle w:val="OutlineNumbered1"/>
        <w:keepNext/>
        <w:numPr>
          <w:ilvl w:val="0"/>
          <w:numId w:val="0"/>
        </w:numPr>
        <w:spacing w:after="200" w:line="276" w:lineRule="auto"/>
        <w:contextualSpacing/>
        <w:jc w:val="left"/>
        <w:rPr>
          <w:rFonts w:asciiTheme="minorHAnsi" w:hAnsiTheme="minorHAnsi"/>
          <w:b/>
          <w:sz w:val="22"/>
          <w:szCs w:val="22"/>
        </w:rPr>
      </w:pPr>
      <w:r w:rsidRPr="000826A0">
        <w:rPr>
          <w:rFonts w:asciiTheme="minorHAnsi" w:hAnsiTheme="minorHAnsi"/>
          <w:b/>
          <w:sz w:val="22"/>
          <w:szCs w:val="22"/>
        </w:rPr>
        <w:lastRenderedPageBreak/>
        <w:t>T</w:t>
      </w:r>
      <w:r w:rsidR="00943678" w:rsidRPr="000826A0">
        <w:rPr>
          <w:rFonts w:asciiTheme="minorHAnsi" w:hAnsiTheme="minorHAnsi"/>
          <w:b/>
          <w:sz w:val="22"/>
          <w:szCs w:val="22"/>
        </w:rPr>
        <w:t>able 1: Domestic economy forecasts</w:t>
      </w:r>
      <w:r w:rsidR="00812EC7" w:rsidRPr="000826A0">
        <w:rPr>
          <w:rFonts w:asciiTheme="minorHAnsi" w:hAnsiTheme="minorHAnsi"/>
          <w:b/>
          <w:sz w:val="22"/>
          <w:szCs w:val="22"/>
        </w:rPr>
        <w:t xml:space="preserve"> </w:t>
      </w:r>
    </w:p>
    <w:p w14:paraId="03355FAB" w14:textId="1ECA3980" w:rsidR="00775C67" w:rsidRDefault="009B316F" w:rsidP="00D945BB">
      <w:pPr>
        <w:pStyle w:val="TableGraphic"/>
      </w:pPr>
      <w:r w:rsidRPr="009B316F">
        <w:rPr>
          <w:noProof/>
        </w:rPr>
        <w:drawing>
          <wp:anchor distT="0" distB="0" distL="114300" distR="114300" simplePos="0" relativeHeight="251661312" behindDoc="0" locked="0" layoutInCell="1" allowOverlap="1" wp14:anchorId="0CB5E0DD" wp14:editId="695DCE79">
            <wp:simplePos x="0" y="0"/>
            <wp:positionH relativeFrom="column">
              <wp:posOffset>-2282</wp:posOffset>
            </wp:positionH>
            <wp:positionV relativeFrom="paragraph">
              <wp:posOffset>5934710</wp:posOffset>
            </wp:positionV>
            <wp:extent cx="6120130" cy="9179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917994"/>
                    </a:xfrm>
                    <a:prstGeom prst="rect">
                      <a:avLst/>
                    </a:prstGeom>
                    <a:noFill/>
                    <a:ln>
                      <a:noFill/>
                    </a:ln>
                  </pic:spPr>
                </pic:pic>
              </a:graphicData>
            </a:graphic>
            <wp14:sizeRelH relativeFrom="page">
              <wp14:pctWidth>0</wp14:pctWidth>
            </wp14:sizeRelH>
            <wp14:sizeRelV relativeFrom="page">
              <wp14:pctHeight>0</wp14:pctHeight>
            </wp14:sizeRelV>
          </wp:anchor>
        </w:drawing>
      </w:r>
      <w:r w:rsidR="00255F4F" w:rsidRPr="00255F4F">
        <w:rPr>
          <w:noProof/>
          <w:lang w:eastAsia="en-AU"/>
        </w:rPr>
        <w:drawing>
          <wp:inline distT="0" distB="0" distL="0" distR="0" wp14:anchorId="36F18CB5" wp14:editId="1F9AEFD5">
            <wp:extent cx="5783580" cy="678243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3580" cy="6782435"/>
                    </a:xfrm>
                    <a:prstGeom prst="rect">
                      <a:avLst/>
                    </a:prstGeom>
                    <a:noFill/>
                    <a:ln>
                      <a:noFill/>
                    </a:ln>
                  </pic:spPr>
                </pic:pic>
              </a:graphicData>
            </a:graphic>
          </wp:inline>
        </w:drawing>
      </w:r>
    </w:p>
    <w:sectPr w:rsidR="00775C67" w:rsidSect="00F406E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3F31A" w14:textId="77777777" w:rsidR="00CB3A12" w:rsidRDefault="00CB3A12" w:rsidP="00ED5F55">
      <w:pPr>
        <w:spacing w:after="0" w:line="240" w:lineRule="auto"/>
      </w:pPr>
      <w:r>
        <w:separator/>
      </w:r>
    </w:p>
  </w:endnote>
  <w:endnote w:type="continuationSeparator" w:id="0">
    <w:p w14:paraId="6B474226" w14:textId="77777777" w:rsidR="00CB3A12" w:rsidRDefault="00CB3A12" w:rsidP="00ED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2B4D" w14:textId="77777777" w:rsidR="00FC79CC" w:rsidRDefault="00064C36"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D50E34" w14:textId="77777777" w:rsidR="00FC79CC" w:rsidRDefault="00B259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63192" w14:textId="67B39B6B" w:rsidR="00FC79CC" w:rsidRDefault="00064C36"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316F">
      <w:rPr>
        <w:rStyle w:val="PageNumber"/>
        <w:noProof/>
      </w:rPr>
      <w:t>3</w:t>
    </w:r>
    <w:r>
      <w:rPr>
        <w:rStyle w:val="PageNumber"/>
      </w:rPr>
      <w:fldChar w:fldCharType="end"/>
    </w:r>
  </w:p>
  <w:p w14:paraId="7F48687B" w14:textId="77777777" w:rsidR="00FC79CC" w:rsidRDefault="00B259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A1001" w14:textId="77777777" w:rsidR="00CB3A12" w:rsidRDefault="00CB3A12" w:rsidP="00ED5F55">
      <w:pPr>
        <w:spacing w:after="0" w:line="240" w:lineRule="auto"/>
      </w:pPr>
      <w:r>
        <w:separator/>
      </w:r>
    </w:p>
  </w:footnote>
  <w:footnote w:type="continuationSeparator" w:id="0">
    <w:p w14:paraId="5580286C" w14:textId="77777777" w:rsidR="00CB3A12" w:rsidRDefault="00CB3A12" w:rsidP="00ED5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AB07" w14:textId="3ADFF53F" w:rsidR="00FC79CC" w:rsidRPr="00704E0D" w:rsidRDefault="00B25955" w:rsidP="00B0145C">
    <w:pPr>
      <w:pStyle w:val="StatementContentsHeading"/>
      <w:jc w:val="both"/>
      <w:rPr>
        <w:sz w:val="20"/>
        <w:szCs w:val="20"/>
      </w:rPr>
    </w:pPr>
  </w:p>
  <w:p w14:paraId="452E024F" w14:textId="77777777" w:rsidR="00FC79CC" w:rsidRDefault="00B259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2710"/>
    <w:multiLevelType w:val="multilevel"/>
    <w:tmpl w:val="D8CCB9A0"/>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356C2B0F"/>
    <w:multiLevelType w:val="hybridMultilevel"/>
    <w:tmpl w:val="4B321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167D44"/>
    <w:multiLevelType w:val="multilevel"/>
    <w:tmpl w:val="607877A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1465"/>
        </w:tabs>
        <w:ind w:left="1465"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A004F15"/>
    <w:multiLevelType w:val="multilevel"/>
    <w:tmpl w:val="06B24F6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55"/>
    <w:rsid w:val="00007577"/>
    <w:rsid w:val="00011AAE"/>
    <w:rsid w:val="00012A72"/>
    <w:rsid w:val="00023212"/>
    <w:rsid w:val="00025B2A"/>
    <w:rsid w:val="0003161B"/>
    <w:rsid w:val="00036D08"/>
    <w:rsid w:val="00052A45"/>
    <w:rsid w:val="000540EA"/>
    <w:rsid w:val="000610A4"/>
    <w:rsid w:val="00064C36"/>
    <w:rsid w:val="0006506F"/>
    <w:rsid w:val="00066CC8"/>
    <w:rsid w:val="00070252"/>
    <w:rsid w:val="0007545C"/>
    <w:rsid w:val="000826A0"/>
    <w:rsid w:val="000827CF"/>
    <w:rsid w:val="0008498B"/>
    <w:rsid w:val="00090987"/>
    <w:rsid w:val="000A1363"/>
    <w:rsid w:val="000A2C8A"/>
    <w:rsid w:val="000A4950"/>
    <w:rsid w:val="000B056C"/>
    <w:rsid w:val="000B0B96"/>
    <w:rsid w:val="000B11D9"/>
    <w:rsid w:val="000B18B2"/>
    <w:rsid w:val="000B6359"/>
    <w:rsid w:val="000C0AC9"/>
    <w:rsid w:val="000C491E"/>
    <w:rsid w:val="000D04E8"/>
    <w:rsid w:val="000E766D"/>
    <w:rsid w:val="000F26DB"/>
    <w:rsid w:val="000F2D42"/>
    <w:rsid w:val="000F2FC6"/>
    <w:rsid w:val="00105D62"/>
    <w:rsid w:val="001147B5"/>
    <w:rsid w:val="001160B8"/>
    <w:rsid w:val="00125763"/>
    <w:rsid w:val="00130187"/>
    <w:rsid w:val="001326A1"/>
    <w:rsid w:val="00132DFF"/>
    <w:rsid w:val="00137FF8"/>
    <w:rsid w:val="00141A62"/>
    <w:rsid w:val="001453A8"/>
    <w:rsid w:val="00147995"/>
    <w:rsid w:val="00153C20"/>
    <w:rsid w:val="00163DE8"/>
    <w:rsid w:val="00171200"/>
    <w:rsid w:val="001717BE"/>
    <w:rsid w:val="00172985"/>
    <w:rsid w:val="00180007"/>
    <w:rsid w:val="0018190A"/>
    <w:rsid w:val="00182CB1"/>
    <w:rsid w:val="00186847"/>
    <w:rsid w:val="001905A8"/>
    <w:rsid w:val="00193718"/>
    <w:rsid w:val="001B1164"/>
    <w:rsid w:val="001B6C91"/>
    <w:rsid w:val="001D072F"/>
    <w:rsid w:val="001D282C"/>
    <w:rsid w:val="001D48D5"/>
    <w:rsid w:val="001D561C"/>
    <w:rsid w:val="001E51DD"/>
    <w:rsid w:val="001E5D37"/>
    <w:rsid w:val="001F0697"/>
    <w:rsid w:val="001F554A"/>
    <w:rsid w:val="001F647F"/>
    <w:rsid w:val="002000B7"/>
    <w:rsid w:val="00200B8C"/>
    <w:rsid w:val="00201932"/>
    <w:rsid w:val="00214E19"/>
    <w:rsid w:val="002261BB"/>
    <w:rsid w:val="002328B9"/>
    <w:rsid w:val="002377A2"/>
    <w:rsid w:val="00246CFE"/>
    <w:rsid w:val="002546EA"/>
    <w:rsid w:val="00255F4F"/>
    <w:rsid w:val="00275628"/>
    <w:rsid w:val="00275D46"/>
    <w:rsid w:val="00291816"/>
    <w:rsid w:val="002A685C"/>
    <w:rsid w:val="002B2234"/>
    <w:rsid w:val="002B3B69"/>
    <w:rsid w:val="002B4488"/>
    <w:rsid w:val="002B6671"/>
    <w:rsid w:val="002B7779"/>
    <w:rsid w:val="002C5D12"/>
    <w:rsid w:val="002E7BFA"/>
    <w:rsid w:val="002F2244"/>
    <w:rsid w:val="003064BB"/>
    <w:rsid w:val="00312CD8"/>
    <w:rsid w:val="00315523"/>
    <w:rsid w:val="00326BAC"/>
    <w:rsid w:val="003332DF"/>
    <w:rsid w:val="00333F51"/>
    <w:rsid w:val="00340624"/>
    <w:rsid w:val="00341D30"/>
    <w:rsid w:val="003448C7"/>
    <w:rsid w:val="00346139"/>
    <w:rsid w:val="0034675E"/>
    <w:rsid w:val="00351CEB"/>
    <w:rsid w:val="00353FC3"/>
    <w:rsid w:val="003572D9"/>
    <w:rsid w:val="003611E0"/>
    <w:rsid w:val="00375AD0"/>
    <w:rsid w:val="00376225"/>
    <w:rsid w:val="00381C01"/>
    <w:rsid w:val="00383AFF"/>
    <w:rsid w:val="00386C2E"/>
    <w:rsid w:val="0038793D"/>
    <w:rsid w:val="0039266D"/>
    <w:rsid w:val="00394EF3"/>
    <w:rsid w:val="003953BD"/>
    <w:rsid w:val="003A0A3B"/>
    <w:rsid w:val="003A2334"/>
    <w:rsid w:val="003A42C7"/>
    <w:rsid w:val="003A78EC"/>
    <w:rsid w:val="003B5AEF"/>
    <w:rsid w:val="003C6E31"/>
    <w:rsid w:val="003D00AE"/>
    <w:rsid w:val="003D4B54"/>
    <w:rsid w:val="003D66CE"/>
    <w:rsid w:val="003D6C4D"/>
    <w:rsid w:val="003D7A78"/>
    <w:rsid w:val="003E0FCB"/>
    <w:rsid w:val="003E4996"/>
    <w:rsid w:val="003E4BCC"/>
    <w:rsid w:val="003E73D5"/>
    <w:rsid w:val="003F710D"/>
    <w:rsid w:val="00402390"/>
    <w:rsid w:val="00414366"/>
    <w:rsid w:val="004150F0"/>
    <w:rsid w:val="00416CE2"/>
    <w:rsid w:val="00423B45"/>
    <w:rsid w:val="00427D83"/>
    <w:rsid w:val="00437F18"/>
    <w:rsid w:val="00441D1A"/>
    <w:rsid w:val="00444999"/>
    <w:rsid w:val="00446CB0"/>
    <w:rsid w:val="004543A5"/>
    <w:rsid w:val="00461F46"/>
    <w:rsid w:val="004755DC"/>
    <w:rsid w:val="004772E6"/>
    <w:rsid w:val="004825AF"/>
    <w:rsid w:val="00484734"/>
    <w:rsid w:val="004864EA"/>
    <w:rsid w:val="00486901"/>
    <w:rsid w:val="004A066C"/>
    <w:rsid w:val="004B2DE0"/>
    <w:rsid w:val="004B45AD"/>
    <w:rsid w:val="004C1577"/>
    <w:rsid w:val="004C79BB"/>
    <w:rsid w:val="004E470B"/>
    <w:rsid w:val="004F404F"/>
    <w:rsid w:val="0050033C"/>
    <w:rsid w:val="00505065"/>
    <w:rsid w:val="0050574C"/>
    <w:rsid w:val="00510DCF"/>
    <w:rsid w:val="00522651"/>
    <w:rsid w:val="00527E3C"/>
    <w:rsid w:val="00530227"/>
    <w:rsid w:val="00546FE9"/>
    <w:rsid w:val="0056591A"/>
    <w:rsid w:val="005777E0"/>
    <w:rsid w:val="00584D88"/>
    <w:rsid w:val="0059410C"/>
    <w:rsid w:val="0059737A"/>
    <w:rsid w:val="005A172F"/>
    <w:rsid w:val="005A5558"/>
    <w:rsid w:val="005B1D7D"/>
    <w:rsid w:val="005B2566"/>
    <w:rsid w:val="005C2AF0"/>
    <w:rsid w:val="005C3313"/>
    <w:rsid w:val="005C3A13"/>
    <w:rsid w:val="005D0F2B"/>
    <w:rsid w:val="005D11CF"/>
    <w:rsid w:val="005E07CE"/>
    <w:rsid w:val="005E3443"/>
    <w:rsid w:val="005F12FE"/>
    <w:rsid w:val="005F2D6D"/>
    <w:rsid w:val="005F4C37"/>
    <w:rsid w:val="00611901"/>
    <w:rsid w:val="00614FFD"/>
    <w:rsid w:val="006242D9"/>
    <w:rsid w:val="006267DE"/>
    <w:rsid w:val="00631A4B"/>
    <w:rsid w:val="0063711B"/>
    <w:rsid w:val="0064022B"/>
    <w:rsid w:val="0064125A"/>
    <w:rsid w:val="00641E27"/>
    <w:rsid w:val="006475E6"/>
    <w:rsid w:val="00654ABE"/>
    <w:rsid w:val="00663596"/>
    <w:rsid w:val="00664E70"/>
    <w:rsid w:val="00665D21"/>
    <w:rsid w:val="006661CA"/>
    <w:rsid w:val="00667567"/>
    <w:rsid w:val="00675261"/>
    <w:rsid w:val="0067620E"/>
    <w:rsid w:val="00690626"/>
    <w:rsid w:val="006942D4"/>
    <w:rsid w:val="006A3282"/>
    <w:rsid w:val="006B0600"/>
    <w:rsid w:val="006B5985"/>
    <w:rsid w:val="006C2D1D"/>
    <w:rsid w:val="006D09D9"/>
    <w:rsid w:val="006D0F28"/>
    <w:rsid w:val="006D26D6"/>
    <w:rsid w:val="006D5A5E"/>
    <w:rsid w:val="006F364A"/>
    <w:rsid w:val="0070392C"/>
    <w:rsid w:val="00703D44"/>
    <w:rsid w:val="00714F86"/>
    <w:rsid w:val="00717032"/>
    <w:rsid w:val="00717132"/>
    <w:rsid w:val="007213DA"/>
    <w:rsid w:val="00721A63"/>
    <w:rsid w:val="00721FE0"/>
    <w:rsid w:val="00722D7A"/>
    <w:rsid w:val="00725ED7"/>
    <w:rsid w:val="007260D7"/>
    <w:rsid w:val="00732D98"/>
    <w:rsid w:val="007348E3"/>
    <w:rsid w:val="007348EC"/>
    <w:rsid w:val="007357C5"/>
    <w:rsid w:val="007375EB"/>
    <w:rsid w:val="007457A2"/>
    <w:rsid w:val="00745F0B"/>
    <w:rsid w:val="00747BBE"/>
    <w:rsid w:val="0075273D"/>
    <w:rsid w:val="00752CD3"/>
    <w:rsid w:val="007559E0"/>
    <w:rsid w:val="00762DE7"/>
    <w:rsid w:val="00773DC2"/>
    <w:rsid w:val="0077579B"/>
    <w:rsid w:val="00775C67"/>
    <w:rsid w:val="007764C0"/>
    <w:rsid w:val="00776D58"/>
    <w:rsid w:val="00777412"/>
    <w:rsid w:val="00787CDA"/>
    <w:rsid w:val="007974BC"/>
    <w:rsid w:val="007A09F7"/>
    <w:rsid w:val="007A2400"/>
    <w:rsid w:val="007B1798"/>
    <w:rsid w:val="007B18A6"/>
    <w:rsid w:val="007B396C"/>
    <w:rsid w:val="007B408B"/>
    <w:rsid w:val="007C4AED"/>
    <w:rsid w:val="007F1373"/>
    <w:rsid w:val="007F2721"/>
    <w:rsid w:val="00805E9E"/>
    <w:rsid w:val="0080687F"/>
    <w:rsid w:val="0080797F"/>
    <w:rsid w:val="00812EC7"/>
    <w:rsid w:val="008214FF"/>
    <w:rsid w:val="008253D0"/>
    <w:rsid w:val="0082705A"/>
    <w:rsid w:val="00830AD3"/>
    <w:rsid w:val="00833833"/>
    <w:rsid w:val="00863DEC"/>
    <w:rsid w:val="00872C5B"/>
    <w:rsid w:val="00875A42"/>
    <w:rsid w:val="00876B3E"/>
    <w:rsid w:val="00880464"/>
    <w:rsid w:val="00881E0F"/>
    <w:rsid w:val="00892DAB"/>
    <w:rsid w:val="00897820"/>
    <w:rsid w:val="008A4883"/>
    <w:rsid w:val="008B42FB"/>
    <w:rsid w:val="008B5269"/>
    <w:rsid w:val="008D17BE"/>
    <w:rsid w:val="008D2701"/>
    <w:rsid w:val="008E031D"/>
    <w:rsid w:val="008E2476"/>
    <w:rsid w:val="008E2C65"/>
    <w:rsid w:val="008F3AD2"/>
    <w:rsid w:val="0090401F"/>
    <w:rsid w:val="0090446F"/>
    <w:rsid w:val="00911CC2"/>
    <w:rsid w:val="00913BA0"/>
    <w:rsid w:val="00924933"/>
    <w:rsid w:val="00926B46"/>
    <w:rsid w:val="00932A52"/>
    <w:rsid w:val="00934E55"/>
    <w:rsid w:val="00935F7D"/>
    <w:rsid w:val="00936A85"/>
    <w:rsid w:val="00943678"/>
    <w:rsid w:val="00943E92"/>
    <w:rsid w:val="0094447C"/>
    <w:rsid w:val="009460C6"/>
    <w:rsid w:val="009519A6"/>
    <w:rsid w:val="00951D63"/>
    <w:rsid w:val="00960403"/>
    <w:rsid w:val="00966A8D"/>
    <w:rsid w:val="00972E66"/>
    <w:rsid w:val="00982A3B"/>
    <w:rsid w:val="0099686A"/>
    <w:rsid w:val="009B2D47"/>
    <w:rsid w:val="009B316F"/>
    <w:rsid w:val="009C690B"/>
    <w:rsid w:val="009C79AC"/>
    <w:rsid w:val="009D1CE9"/>
    <w:rsid w:val="009D3C41"/>
    <w:rsid w:val="009E7768"/>
    <w:rsid w:val="00A06434"/>
    <w:rsid w:val="00A102A2"/>
    <w:rsid w:val="00A11F7F"/>
    <w:rsid w:val="00A2080D"/>
    <w:rsid w:val="00A24F1F"/>
    <w:rsid w:val="00A25744"/>
    <w:rsid w:val="00A34594"/>
    <w:rsid w:val="00A437E1"/>
    <w:rsid w:val="00A51E09"/>
    <w:rsid w:val="00A61787"/>
    <w:rsid w:val="00A62BF7"/>
    <w:rsid w:val="00A64073"/>
    <w:rsid w:val="00A76BF3"/>
    <w:rsid w:val="00A815B0"/>
    <w:rsid w:val="00A83497"/>
    <w:rsid w:val="00A87379"/>
    <w:rsid w:val="00AA4BFF"/>
    <w:rsid w:val="00AA7DAF"/>
    <w:rsid w:val="00AB4731"/>
    <w:rsid w:val="00AC1FB0"/>
    <w:rsid w:val="00AC2D8C"/>
    <w:rsid w:val="00AC4483"/>
    <w:rsid w:val="00AD7E7B"/>
    <w:rsid w:val="00B0145C"/>
    <w:rsid w:val="00B1739A"/>
    <w:rsid w:val="00B25955"/>
    <w:rsid w:val="00B316EE"/>
    <w:rsid w:val="00B40795"/>
    <w:rsid w:val="00B451B4"/>
    <w:rsid w:val="00B47EC3"/>
    <w:rsid w:val="00B6114A"/>
    <w:rsid w:val="00B72747"/>
    <w:rsid w:val="00B7524A"/>
    <w:rsid w:val="00B84FCF"/>
    <w:rsid w:val="00BA4823"/>
    <w:rsid w:val="00BA611D"/>
    <w:rsid w:val="00BA6DE7"/>
    <w:rsid w:val="00BB2CB2"/>
    <w:rsid w:val="00BB564E"/>
    <w:rsid w:val="00BB7DE3"/>
    <w:rsid w:val="00BC44CA"/>
    <w:rsid w:val="00BD3AE0"/>
    <w:rsid w:val="00BD56A3"/>
    <w:rsid w:val="00BD6086"/>
    <w:rsid w:val="00BD719F"/>
    <w:rsid w:val="00BE3E9A"/>
    <w:rsid w:val="00BF4F0F"/>
    <w:rsid w:val="00BF676C"/>
    <w:rsid w:val="00C01E79"/>
    <w:rsid w:val="00C243AB"/>
    <w:rsid w:val="00C406F2"/>
    <w:rsid w:val="00C41343"/>
    <w:rsid w:val="00C41AC5"/>
    <w:rsid w:val="00C514ED"/>
    <w:rsid w:val="00C54EA0"/>
    <w:rsid w:val="00C6738F"/>
    <w:rsid w:val="00C716C2"/>
    <w:rsid w:val="00C71D01"/>
    <w:rsid w:val="00C73D0C"/>
    <w:rsid w:val="00C74119"/>
    <w:rsid w:val="00C771AC"/>
    <w:rsid w:val="00C82E52"/>
    <w:rsid w:val="00C83289"/>
    <w:rsid w:val="00C8422F"/>
    <w:rsid w:val="00C85A60"/>
    <w:rsid w:val="00CA0FF7"/>
    <w:rsid w:val="00CA3EC6"/>
    <w:rsid w:val="00CA4545"/>
    <w:rsid w:val="00CB3A12"/>
    <w:rsid w:val="00CC287C"/>
    <w:rsid w:val="00CC31BE"/>
    <w:rsid w:val="00CC53F0"/>
    <w:rsid w:val="00CD1B67"/>
    <w:rsid w:val="00CD53C8"/>
    <w:rsid w:val="00CE4F03"/>
    <w:rsid w:val="00CE686F"/>
    <w:rsid w:val="00CE7B68"/>
    <w:rsid w:val="00CF0407"/>
    <w:rsid w:val="00CF3231"/>
    <w:rsid w:val="00CF4FDF"/>
    <w:rsid w:val="00CF5A45"/>
    <w:rsid w:val="00CF661F"/>
    <w:rsid w:val="00CF7197"/>
    <w:rsid w:val="00D11550"/>
    <w:rsid w:val="00D179A3"/>
    <w:rsid w:val="00D216D1"/>
    <w:rsid w:val="00D34F9D"/>
    <w:rsid w:val="00D42573"/>
    <w:rsid w:val="00D44420"/>
    <w:rsid w:val="00D45B3B"/>
    <w:rsid w:val="00D6723F"/>
    <w:rsid w:val="00D7423D"/>
    <w:rsid w:val="00D75DFC"/>
    <w:rsid w:val="00D830A5"/>
    <w:rsid w:val="00D858F9"/>
    <w:rsid w:val="00D945BB"/>
    <w:rsid w:val="00DA0D78"/>
    <w:rsid w:val="00DA0DBB"/>
    <w:rsid w:val="00DA1757"/>
    <w:rsid w:val="00DB1062"/>
    <w:rsid w:val="00DB2263"/>
    <w:rsid w:val="00DC3865"/>
    <w:rsid w:val="00DC5A62"/>
    <w:rsid w:val="00DD2C92"/>
    <w:rsid w:val="00DD4D52"/>
    <w:rsid w:val="00DE0424"/>
    <w:rsid w:val="00DE09B0"/>
    <w:rsid w:val="00DE4796"/>
    <w:rsid w:val="00DF25A2"/>
    <w:rsid w:val="00E02438"/>
    <w:rsid w:val="00E05B69"/>
    <w:rsid w:val="00E06C3C"/>
    <w:rsid w:val="00E11740"/>
    <w:rsid w:val="00E11E84"/>
    <w:rsid w:val="00E12C1F"/>
    <w:rsid w:val="00E147EE"/>
    <w:rsid w:val="00E20007"/>
    <w:rsid w:val="00E21EED"/>
    <w:rsid w:val="00E376B7"/>
    <w:rsid w:val="00E4130E"/>
    <w:rsid w:val="00E44FEC"/>
    <w:rsid w:val="00E531C7"/>
    <w:rsid w:val="00E65D1E"/>
    <w:rsid w:val="00E80AA7"/>
    <w:rsid w:val="00E80BAA"/>
    <w:rsid w:val="00E95F9D"/>
    <w:rsid w:val="00EA1F46"/>
    <w:rsid w:val="00EA272E"/>
    <w:rsid w:val="00EB5CA9"/>
    <w:rsid w:val="00EC5E4B"/>
    <w:rsid w:val="00EC716D"/>
    <w:rsid w:val="00EC71A9"/>
    <w:rsid w:val="00ED5F55"/>
    <w:rsid w:val="00EE130B"/>
    <w:rsid w:val="00EE1897"/>
    <w:rsid w:val="00EE1F75"/>
    <w:rsid w:val="00EE66EC"/>
    <w:rsid w:val="00EF3868"/>
    <w:rsid w:val="00EF50DD"/>
    <w:rsid w:val="00F03121"/>
    <w:rsid w:val="00F03289"/>
    <w:rsid w:val="00F04FA2"/>
    <w:rsid w:val="00F1302E"/>
    <w:rsid w:val="00F35F9B"/>
    <w:rsid w:val="00F406E5"/>
    <w:rsid w:val="00F429D4"/>
    <w:rsid w:val="00F47170"/>
    <w:rsid w:val="00F51113"/>
    <w:rsid w:val="00F70ED4"/>
    <w:rsid w:val="00F71C58"/>
    <w:rsid w:val="00F72617"/>
    <w:rsid w:val="00F7704C"/>
    <w:rsid w:val="00F82A87"/>
    <w:rsid w:val="00F84165"/>
    <w:rsid w:val="00F87BF6"/>
    <w:rsid w:val="00F93770"/>
    <w:rsid w:val="00F94E4D"/>
    <w:rsid w:val="00FA0F78"/>
    <w:rsid w:val="00FA4AD8"/>
    <w:rsid w:val="00FA6F27"/>
    <w:rsid w:val="00FB0F7A"/>
    <w:rsid w:val="00FB7DA7"/>
    <w:rsid w:val="00FC4BED"/>
    <w:rsid w:val="00FC70A0"/>
    <w:rsid w:val="00FE6B92"/>
    <w:rsid w:val="00FF6BC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AEAB"/>
  <w15:docId w15:val="{6B0177C2-E76E-41F4-A31D-8B650624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55"/>
    <w:pPr>
      <w:spacing w:after="240" w:line="260" w:lineRule="exact"/>
      <w:jc w:val="both"/>
    </w:pPr>
    <w:rPr>
      <w:rFonts w:ascii="Book Antiqua" w:eastAsia="SimSun" w:hAnsi="Book Antiqua" w:cs="Times New Roman"/>
      <w:sz w:val="20"/>
      <w:szCs w:val="24"/>
    </w:rPr>
  </w:style>
  <w:style w:type="paragraph" w:styleId="Heading1">
    <w:name w:val="heading 1"/>
    <w:basedOn w:val="Normal"/>
    <w:next w:val="Normal"/>
    <w:link w:val="Heading1Char"/>
    <w:uiPriority w:val="9"/>
    <w:qFormat/>
    <w:rsid w:val="00ED5F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5F55"/>
    <w:pPr>
      <w:tabs>
        <w:tab w:val="center" w:pos="3856"/>
        <w:tab w:val="right" w:pos="7711"/>
      </w:tabs>
    </w:pPr>
    <w:rPr>
      <w:rFonts w:ascii="Tahoma" w:hAnsi="Tahoma"/>
      <w:sz w:val="18"/>
    </w:rPr>
  </w:style>
  <w:style w:type="character" w:customStyle="1" w:styleId="HeaderChar">
    <w:name w:val="Header Char"/>
    <w:basedOn w:val="DefaultParagraphFont"/>
    <w:link w:val="Header"/>
    <w:rsid w:val="00ED5F55"/>
    <w:rPr>
      <w:rFonts w:ascii="Tahoma" w:eastAsia="SimSun" w:hAnsi="Tahoma" w:cs="Times New Roman"/>
      <w:sz w:val="18"/>
      <w:szCs w:val="24"/>
    </w:rPr>
  </w:style>
  <w:style w:type="paragraph" w:styleId="Footer">
    <w:name w:val="footer"/>
    <w:basedOn w:val="Normal"/>
    <w:link w:val="FooterChar"/>
    <w:uiPriority w:val="99"/>
    <w:rsid w:val="00ED5F55"/>
    <w:pPr>
      <w:spacing w:after="0"/>
    </w:pPr>
    <w:rPr>
      <w:rFonts w:ascii="Tahoma" w:hAnsi="Tahoma"/>
    </w:rPr>
  </w:style>
  <w:style w:type="character" w:customStyle="1" w:styleId="FooterChar">
    <w:name w:val="Footer Char"/>
    <w:basedOn w:val="DefaultParagraphFont"/>
    <w:link w:val="Footer"/>
    <w:uiPriority w:val="99"/>
    <w:rsid w:val="00ED5F55"/>
    <w:rPr>
      <w:rFonts w:ascii="Tahoma" w:eastAsia="SimSun" w:hAnsi="Tahoma" w:cs="Times New Roman"/>
      <w:sz w:val="20"/>
      <w:szCs w:val="24"/>
    </w:rPr>
  </w:style>
  <w:style w:type="character" w:styleId="PageNumber">
    <w:name w:val="page number"/>
    <w:basedOn w:val="DefaultParagraphFont"/>
    <w:rsid w:val="00ED5F55"/>
  </w:style>
  <w:style w:type="paragraph" w:customStyle="1" w:styleId="StatementContentsHeading">
    <w:name w:val="StatementContentsHeading"/>
    <w:basedOn w:val="Heading1"/>
    <w:next w:val="Normal"/>
    <w:rsid w:val="00ED5F55"/>
    <w:pPr>
      <w:keepLines w:val="0"/>
      <w:spacing w:before="0" w:after="240"/>
      <w:jc w:val="center"/>
    </w:pPr>
    <w:rPr>
      <w:rFonts w:ascii="Tahoma" w:eastAsia="SimSun" w:hAnsi="Tahoma" w:cs="Times New Roman"/>
      <w:bCs w:val="0"/>
      <w:smallCaps/>
      <w:color w:val="auto"/>
      <w:kern w:val="28"/>
      <w:sz w:val="34"/>
      <w:szCs w:val="24"/>
    </w:rPr>
  </w:style>
  <w:style w:type="paragraph" w:styleId="Title">
    <w:name w:val="Title"/>
    <w:basedOn w:val="Normal"/>
    <w:link w:val="TitleChar"/>
    <w:uiPriority w:val="10"/>
    <w:qFormat/>
    <w:rsid w:val="00ED5F55"/>
    <w:pPr>
      <w:spacing w:line="240" w:lineRule="auto"/>
      <w:jc w:val="center"/>
    </w:pPr>
    <w:rPr>
      <w:rFonts w:ascii="Tahoma" w:hAnsi="Tahoma"/>
      <w:smallCaps/>
      <w:color w:val="000000"/>
      <w:sz w:val="34"/>
      <w:szCs w:val="20"/>
    </w:rPr>
  </w:style>
  <w:style w:type="character" w:customStyle="1" w:styleId="TitleChar">
    <w:name w:val="Title Char"/>
    <w:basedOn w:val="DefaultParagraphFont"/>
    <w:link w:val="Title"/>
    <w:uiPriority w:val="10"/>
    <w:rsid w:val="00ED5F55"/>
    <w:rPr>
      <w:rFonts w:ascii="Tahoma" w:eastAsia="SimSun" w:hAnsi="Tahoma" w:cs="Times New Roman"/>
      <w:smallCaps/>
      <w:color w:val="000000"/>
      <w:sz w:val="34"/>
      <w:szCs w:val="20"/>
    </w:rPr>
  </w:style>
  <w:style w:type="paragraph" w:styleId="IntenseQuote">
    <w:name w:val="Intense Quote"/>
    <w:basedOn w:val="Normal"/>
    <w:next w:val="Normal"/>
    <w:link w:val="IntenseQuoteChar"/>
    <w:uiPriority w:val="30"/>
    <w:qFormat/>
    <w:rsid w:val="00ED5F55"/>
    <w:pPr>
      <w:pBdr>
        <w:bottom w:val="single" w:sz="4" w:space="4" w:color="4F81BD"/>
      </w:pBdr>
      <w:spacing w:before="200" w:after="280" w:line="276" w:lineRule="auto"/>
      <w:ind w:left="936" w:right="936"/>
      <w:jc w:val="left"/>
    </w:pPr>
    <w:rPr>
      <w:rFonts w:ascii="Calibri" w:eastAsia="Calibri" w:hAnsi="Calibri"/>
      <w:b/>
      <w:bCs/>
      <w:i/>
      <w:iCs/>
      <w:color w:val="4F81BD"/>
      <w:sz w:val="22"/>
      <w:szCs w:val="22"/>
    </w:rPr>
  </w:style>
  <w:style w:type="character" w:customStyle="1" w:styleId="IntenseQuoteChar">
    <w:name w:val="Intense Quote Char"/>
    <w:basedOn w:val="DefaultParagraphFont"/>
    <w:link w:val="IntenseQuote"/>
    <w:uiPriority w:val="30"/>
    <w:rsid w:val="00ED5F55"/>
    <w:rPr>
      <w:rFonts w:ascii="Calibri" w:eastAsia="Calibri" w:hAnsi="Calibri" w:cs="Times New Roman"/>
      <w:b/>
      <w:bCs/>
      <w:i/>
      <w:iCs/>
      <w:color w:val="4F81BD"/>
    </w:rPr>
  </w:style>
  <w:style w:type="character" w:customStyle="1" w:styleId="Heading1Char">
    <w:name w:val="Heading 1 Char"/>
    <w:basedOn w:val="DefaultParagraphFont"/>
    <w:link w:val="Heading1"/>
    <w:uiPriority w:val="9"/>
    <w:rsid w:val="00ED5F55"/>
    <w:rPr>
      <w:rFonts w:asciiTheme="majorHAnsi" w:eastAsiaTheme="majorEastAsia" w:hAnsiTheme="majorHAnsi" w:cstheme="majorBidi"/>
      <w:b/>
      <w:bCs/>
      <w:color w:val="365F91" w:themeColor="accent1" w:themeShade="BF"/>
      <w:sz w:val="28"/>
      <w:szCs w:val="28"/>
    </w:rPr>
  </w:style>
  <w:style w:type="paragraph" w:customStyle="1" w:styleId="OutlineNumbered1">
    <w:name w:val="Outline Numbered 1"/>
    <w:basedOn w:val="Normal"/>
    <w:link w:val="OutlineNumbered1Char"/>
    <w:rsid w:val="00ED5F55"/>
    <w:pPr>
      <w:numPr>
        <w:numId w:val="1"/>
      </w:numPr>
    </w:pPr>
  </w:style>
  <w:style w:type="character" w:customStyle="1" w:styleId="OutlineNumbered1Char">
    <w:name w:val="Outline Numbered 1 Char"/>
    <w:basedOn w:val="DefaultParagraphFont"/>
    <w:link w:val="OutlineNumbered1"/>
    <w:rsid w:val="00ED5F55"/>
    <w:rPr>
      <w:rFonts w:ascii="Book Antiqua" w:eastAsia="SimSun" w:hAnsi="Book Antiqua" w:cs="Times New Roman"/>
      <w:sz w:val="20"/>
      <w:szCs w:val="24"/>
    </w:rPr>
  </w:style>
  <w:style w:type="paragraph" w:customStyle="1" w:styleId="OutlineNumbered2">
    <w:name w:val="Outline Numbered 2"/>
    <w:basedOn w:val="Normal"/>
    <w:link w:val="OutlineNumbered2Char"/>
    <w:rsid w:val="00ED5F55"/>
    <w:pPr>
      <w:numPr>
        <w:ilvl w:val="1"/>
        <w:numId w:val="1"/>
      </w:numPr>
      <w:tabs>
        <w:tab w:val="clear" w:pos="1465"/>
        <w:tab w:val="num" w:pos="944"/>
      </w:tabs>
      <w:ind w:left="944"/>
    </w:pPr>
  </w:style>
  <w:style w:type="character" w:customStyle="1" w:styleId="OutlineNumbered2Char">
    <w:name w:val="Outline Numbered 2 Char"/>
    <w:basedOn w:val="DefaultParagraphFont"/>
    <w:link w:val="OutlineNumbered2"/>
    <w:rsid w:val="00ED5F55"/>
    <w:rPr>
      <w:rFonts w:ascii="Book Antiqua" w:eastAsia="SimSun" w:hAnsi="Book Antiqua" w:cs="Times New Roman"/>
      <w:sz w:val="20"/>
      <w:szCs w:val="24"/>
    </w:rPr>
  </w:style>
  <w:style w:type="paragraph" w:customStyle="1" w:styleId="OutlineNumbered3">
    <w:name w:val="Outline Numbered 3"/>
    <w:basedOn w:val="Normal"/>
    <w:link w:val="OutlineNumbered3Char"/>
    <w:rsid w:val="00ED5F55"/>
    <w:pPr>
      <w:numPr>
        <w:ilvl w:val="2"/>
        <w:numId w:val="1"/>
      </w:numPr>
    </w:pPr>
  </w:style>
  <w:style w:type="character" w:customStyle="1" w:styleId="OutlineNumbered3Char">
    <w:name w:val="Outline Numbered 3 Char"/>
    <w:basedOn w:val="DefaultParagraphFont"/>
    <w:link w:val="OutlineNumbered3"/>
    <w:rsid w:val="00ED5F55"/>
    <w:rPr>
      <w:rFonts w:ascii="Book Antiqua" w:eastAsia="SimSun" w:hAnsi="Book Antiqua" w:cs="Times New Roman"/>
      <w:sz w:val="20"/>
      <w:szCs w:val="24"/>
    </w:rPr>
  </w:style>
  <w:style w:type="paragraph" w:styleId="BalloonText">
    <w:name w:val="Balloon Text"/>
    <w:basedOn w:val="Normal"/>
    <w:link w:val="BalloonTextChar"/>
    <w:uiPriority w:val="99"/>
    <w:semiHidden/>
    <w:unhideWhenUsed/>
    <w:rsid w:val="00943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678"/>
    <w:rPr>
      <w:rFonts w:ascii="Tahoma" w:eastAsia="SimSun" w:hAnsi="Tahoma" w:cs="Tahoma"/>
      <w:sz w:val="16"/>
      <w:szCs w:val="16"/>
    </w:rPr>
  </w:style>
  <w:style w:type="paragraph" w:styleId="ListParagraph">
    <w:name w:val="List Paragraph"/>
    <w:basedOn w:val="Normal"/>
    <w:link w:val="ListParagraphChar"/>
    <w:uiPriority w:val="34"/>
    <w:qFormat/>
    <w:rsid w:val="0050033C"/>
    <w:pPr>
      <w:spacing w:after="160" w:line="259"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qFormat/>
    <w:rsid w:val="0050033C"/>
  </w:style>
  <w:style w:type="table" w:styleId="TableGrid">
    <w:name w:val="Table Grid"/>
    <w:basedOn w:val="TableNormal"/>
    <w:uiPriority w:val="59"/>
    <w:rsid w:val="007A0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2B"/>
    <w:rPr>
      <w:sz w:val="16"/>
      <w:szCs w:val="16"/>
    </w:rPr>
  </w:style>
  <w:style w:type="paragraph" w:styleId="CommentText">
    <w:name w:val="annotation text"/>
    <w:basedOn w:val="Normal"/>
    <w:link w:val="CommentTextChar"/>
    <w:uiPriority w:val="99"/>
    <w:semiHidden/>
    <w:unhideWhenUsed/>
    <w:rsid w:val="005D0F2B"/>
    <w:pPr>
      <w:spacing w:line="240" w:lineRule="auto"/>
    </w:pPr>
    <w:rPr>
      <w:szCs w:val="20"/>
    </w:rPr>
  </w:style>
  <w:style w:type="character" w:customStyle="1" w:styleId="CommentTextChar">
    <w:name w:val="Comment Text Char"/>
    <w:basedOn w:val="DefaultParagraphFont"/>
    <w:link w:val="CommentText"/>
    <w:uiPriority w:val="99"/>
    <w:semiHidden/>
    <w:rsid w:val="005D0F2B"/>
    <w:rPr>
      <w:rFonts w:ascii="Book Antiqua" w:eastAsia="SimSun"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5D0F2B"/>
    <w:rPr>
      <w:b/>
      <w:bCs/>
    </w:rPr>
  </w:style>
  <w:style w:type="character" w:customStyle="1" w:styleId="CommentSubjectChar">
    <w:name w:val="Comment Subject Char"/>
    <w:basedOn w:val="CommentTextChar"/>
    <w:link w:val="CommentSubject"/>
    <w:uiPriority w:val="99"/>
    <w:semiHidden/>
    <w:rsid w:val="005D0F2B"/>
    <w:rPr>
      <w:rFonts w:ascii="Book Antiqua" w:eastAsia="SimSun" w:hAnsi="Book Antiqua" w:cs="Times New Roman"/>
      <w:b/>
      <w:bCs/>
      <w:sz w:val="20"/>
      <w:szCs w:val="20"/>
    </w:rPr>
  </w:style>
  <w:style w:type="paragraph" w:styleId="NormalWeb">
    <w:name w:val="Normal (Web)"/>
    <w:basedOn w:val="Normal"/>
    <w:uiPriority w:val="99"/>
    <w:semiHidden/>
    <w:unhideWhenUsed/>
    <w:rsid w:val="0077579B"/>
    <w:pPr>
      <w:spacing w:before="180" w:after="180" w:line="255" w:lineRule="atLeast"/>
      <w:jc w:val="left"/>
    </w:pPr>
    <w:rPr>
      <w:rFonts w:ascii="Times New Roman" w:eastAsia="Times New Roman" w:hAnsi="Times New Roman"/>
      <w:sz w:val="24"/>
      <w:lang w:eastAsia="en-AU"/>
    </w:rPr>
  </w:style>
  <w:style w:type="paragraph" w:customStyle="1" w:styleId="TableGraphic">
    <w:name w:val="Table Graphic"/>
    <w:basedOn w:val="Normal"/>
    <w:next w:val="Normal"/>
    <w:link w:val="TableGraphicChar"/>
    <w:rsid w:val="001E5D37"/>
    <w:pPr>
      <w:spacing w:before="120" w:after="120" w:line="276" w:lineRule="auto"/>
      <w:contextualSpacing/>
      <w:jc w:val="left"/>
    </w:pPr>
    <w:rPr>
      <w:rFonts w:ascii="Calibri" w:hAnsi="Calibri"/>
      <w:szCs w:val="22"/>
    </w:rPr>
  </w:style>
  <w:style w:type="character" w:customStyle="1" w:styleId="TableGraphicChar">
    <w:name w:val="Table Graphic Char"/>
    <w:basedOn w:val="DefaultParagraphFont"/>
    <w:link w:val="TableGraphic"/>
    <w:rsid w:val="001E5D37"/>
    <w:rPr>
      <w:rFonts w:ascii="Calibri" w:eastAsia="SimSun" w:hAnsi="Calibri" w:cs="Times New Roman"/>
      <w:sz w:val="20"/>
    </w:rPr>
  </w:style>
  <w:style w:type="paragraph" w:customStyle="1" w:styleId="Bullet">
    <w:name w:val="Bullet"/>
    <w:aliases w:val="b,b1,b + line,level 1,Body,Bullet + line"/>
    <w:basedOn w:val="Normal"/>
    <w:link w:val="BulletChar"/>
    <w:qFormat/>
    <w:rsid w:val="003572D9"/>
    <w:pPr>
      <w:numPr>
        <w:numId w:val="2"/>
      </w:numPr>
      <w:spacing w:after="200" w:line="276" w:lineRule="auto"/>
      <w:jc w:val="left"/>
    </w:pPr>
    <w:rPr>
      <w:rFonts w:ascii="Times New Roman" w:eastAsiaTheme="minorHAnsi" w:hAnsi="Times New Roman"/>
      <w:sz w:val="24"/>
      <w:szCs w:val="22"/>
    </w:rPr>
  </w:style>
  <w:style w:type="character" w:customStyle="1" w:styleId="BulletChar">
    <w:name w:val="Bullet Char"/>
    <w:aliases w:val="b Char Char,b Char,b + line Char Char,L Char,List Paragraph1 Char,List Paragraph11 Char,Number Char,Recommendation Char"/>
    <w:basedOn w:val="DefaultParagraphFont"/>
    <w:link w:val="Bullet"/>
    <w:rsid w:val="003572D9"/>
    <w:rPr>
      <w:rFonts w:ascii="Times New Roman" w:hAnsi="Times New Roman" w:cs="Times New Roman"/>
      <w:sz w:val="24"/>
    </w:rPr>
  </w:style>
  <w:style w:type="paragraph" w:customStyle="1" w:styleId="Dash">
    <w:name w:val="Dash"/>
    <w:basedOn w:val="Normal"/>
    <w:qFormat/>
    <w:rsid w:val="003572D9"/>
    <w:pPr>
      <w:numPr>
        <w:ilvl w:val="1"/>
        <w:numId w:val="2"/>
      </w:numPr>
      <w:spacing w:after="200" w:line="276" w:lineRule="auto"/>
      <w:jc w:val="left"/>
    </w:pPr>
    <w:rPr>
      <w:rFonts w:ascii="Times New Roman" w:eastAsiaTheme="minorHAnsi" w:hAnsi="Times New Roman"/>
      <w:sz w:val="24"/>
      <w:szCs w:val="22"/>
    </w:rPr>
  </w:style>
  <w:style w:type="paragraph" w:customStyle="1" w:styleId="DoubleDot">
    <w:name w:val="Double Dot"/>
    <w:basedOn w:val="Normal"/>
    <w:qFormat/>
    <w:rsid w:val="003572D9"/>
    <w:pPr>
      <w:numPr>
        <w:ilvl w:val="2"/>
        <w:numId w:val="2"/>
      </w:numPr>
      <w:spacing w:after="200" w:line="276" w:lineRule="auto"/>
      <w:jc w:val="left"/>
    </w:pPr>
    <w:rPr>
      <w:rFonts w:ascii="Times New Roman" w:eastAsiaTheme="minorHAnsi" w:hAnsi="Times New Roman"/>
      <w:sz w:val="24"/>
      <w:szCs w:val="22"/>
    </w:rPr>
  </w:style>
  <w:style w:type="paragraph" w:styleId="Revision">
    <w:name w:val="Revision"/>
    <w:hidden/>
    <w:uiPriority w:val="99"/>
    <w:semiHidden/>
    <w:rsid w:val="003A0A3B"/>
    <w:pPr>
      <w:spacing w:after="0" w:line="240" w:lineRule="auto"/>
    </w:pPr>
    <w:rPr>
      <w:rFonts w:ascii="Book Antiqua" w:eastAsia="SimSun" w:hAnsi="Book Antiqua" w:cs="Times New Roman"/>
      <w:sz w:val="20"/>
      <w:szCs w:val="24"/>
    </w:rPr>
  </w:style>
  <w:style w:type="numbering" w:customStyle="1" w:styleId="BulletedList">
    <w:name w:val="Bulleted List"/>
    <w:uiPriority w:val="99"/>
    <w:rsid w:val="00DB226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75033">
      <w:bodyDiv w:val="1"/>
      <w:marLeft w:val="0"/>
      <w:marRight w:val="0"/>
      <w:marTop w:val="0"/>
      <w:marBottom w:val="0"/>
      <w:divBdr>
        <w:top w:val="none" w:sz="0" w:space="0" w:color="auto"/>
        <w:left w:val="none" w:sz="0" w:space="0" w:color="auto"/>
        <w:bottom w:val="none" w:sz="0" w:space="0" w:color="auto"/>
        <w:right w:val="none" w:sz="0" w:space="0" w:color="auto"/>
      </w:divBdr>
    </w:div>
    <w:div w:id="371223544">
      <w:bodyDiv w:val="1"/>
      <w:marLeft w:val="0"/>
      <w:marRight w:val="0"/>
      <w:marTop w:val="0"/>
      <w:marBottom w:val="0"/>
      <w:divBdr>
        <w:top w:val="none" w:sz="0" w:space="0" w:color="auto"/>
        <w:left w:val="none" w:sz="0" w:space="0" w:color="auto"/>
        <w:bottom w:val="none" w:sz="0" w:space="0" w:color="auto"/>
        <w:right w:val="none" w:sz="0" w:space="0" w:color="auto"/>
      </w:divBdr>
    </w:div>
    <w:div w:id="669524089">
      <w:bodyDiv w:val="1"/>
      <w:marLeft w:val="0"/>
      <w:marRight w:val="0"/>
      <w:marTop w:val="0"/>
      <w:marBottom w:val="0"/>
      <w:divBdr>
        <w:top w:val="none" w:sz="0" w:space="0" w:color="auto"/>
        <w:left w:val="none" w:sz="0" w:space="0" w:color="auto"/>
        <w:bottom w:val="none" w:sz="0" w:space="0" w:color="auto"/>
        <w:right w:val="none" w:sz="0" w:space="0" w:color="auto"/>
      </w:divBdr>
    </w:div>
    <w:div w:id="677925540">
      <w:bodyDiv w:val="1"/>
      <w:marLeft w:val="0"/>
      <w:marRight w:val="0"/>
      <w:marTop w:val="0"/>
      <w:marBottom w:val="0"/>
      <w:divBdr>
        <w:top w:val="none" w:sz="0" w:space="0" w:color="auto"/>
        <w:left w:val="none" w:sz="0" w:space="0" w:color="auto"/>
        <w:bottom w:val="none" w:sz="0" w:space="0" w:color="auto"/>
        <w:right w:val="none" w:sz="0" w:space="0" w:color="auto"/>
      </w:divBdr>
    </w:div>
    <w:div w:id="705914451">
      <w:bodyDiv w:val="1"/>
      <w:marLeft w:val="0"/>
      <w:marRight w:val="0"/>
      <w:marTop w:val="0"/>
      <w:marBottom w:val="0"/>
      <w:divBdr>
        <w:top w:val="none" w:sz="0" w:space="0" w:color="auto"/>
        <w:left w:val="none" w:sz="0" w:space="0" w:color="auto"/>
        <w:bottom w:val="none" w:sz="0" w:space="0" w:color="auto"/>
        <w:right w:val="none" w:sz="0" w:space="0" w:color="auto"/>
      </w:divBdr>
    </w:div>
    <w:div w:id="802043659">
      <w:bodyDiv w:val="1"/>
      <w:marLeft w:val="0"/>
      <w:marRight w:val="0"/>
      <w:marTop w:val="0"/>
      <w:marBottom w:val="0"/>
      <w:divBdr>
        <w:top w:val="none" w:sz="0" w:space="0" w:color="auto"/>
        <w:left w:val="none" w:sz="0" w:space="0" w:color="auto"/>
        <w:bottom w:val="none" w:sz="0" w:space="0" w:color="auto"/>
        <w:right w:val="none" w:sz="0" w:space="0" w:color="auto"/>
      </w:divBdr>
    </w:div>
    <w:div w:id="1516767600">
      <w:bodyDiv w:val="1"/>
      <w:marLeft w:val="0"/>
      <w:marRight w:val="0"/>
      <w:marTop w:val="0"/>
      <w:marBottom w:val="0"/>
      <w:divBdr>
        <w:top w:val="none" w:sz="0" w:space="0" w:color="auto"/>
        <w:left w:val="none" w:sz="0" w:space="0" w:color="auto"/>
        <w:bottom w:val="none" w:sz="0" w:space="0" w:color="auto"/>
        <w:right w:val="none" w:sz="0" w:space="0" w:color="auto"/>
      </w:divBdr>
    </w:div>
    <w:div w:id="2033460469">
      <w:bodyDiv w:val="1"/>
      <w:marLeft w:val="0"/>
      <w:marRight w:val="0"/>
      <w:marTop w:val="0"/>
      <w:marBottom w:val="0"/>
      <w:divBdr>
        <w:top w:val="none" w:sz="0" w:space="0" w:color="auto"/>
        <w:left w:val="none" w:sz="0" w:space="0" w:color="auto"/>
        <w:bottom w:val="none" w:sz="0" w:space="0" w:color="auto"/>
        <w:right w:val="none" w:sz="0" w:space="0" w:color="auto"/>
      </w:divBdr>
      <w:divsChild>
        <w:div w:id="1187670790">
          <w:marLeft w:val="0"/>
          <w:marRight w:val="0"/>
          <w:marTop w:val="0"/>
          <w:marBottom w:val="0"/>
          <w:divBdr>
            <w:top w:val="none" w:sz="0" w:space="0" w:color="auto"/>
            <w:left w:val="none" w:sz="0" w:space="0" w:color="auto"/>
            <w:bottom w:val="none" w:sz="0" w:space="0" w:color="auto"/>
            <w:right w:val="none" w:sz="0" w:space="0" w:color="auto"/>
          </w:divBdr>
          <w:divsChild>
            <w:div w:id="503545536">
              <w:marLeft w:val="0"/>
              <w:marRight w:val="0"/>
              <w:marTop w:val="0"/>
              <w:marBottom w:val="0"/>
              <w:divBdr>
                <w:top w:val="none" w:sz="0" w:space="0" w:color="auto"/>
                <w:left w:val="none" w:sz="0" w:space="0" w:color="auto"/>
                <w:bottom w:val="none" w:sz="0" w:space="0" w:color="auto"/>
                <w:right w:val="none" w:sz="0" w:space="0" w:color="auto"/>
              </w:divBdr>
              <w:divsChild>
                <w:div w:id="489642515">
                  <w:marLeft w:val="0"/>
                  <w:marRight w:val="0"/>
                  <w:marTop w:val="0"/>
                  <w:marBottom w:val="0"/>
                  <w:divBdr>
                    <w:top w:val="none" w:sz="0" w:space="0" w:color="auto"/>
                    <w:left w:val="none" w:sz="0" w:space="0" w:color="auto"/>
                    <w:bottom w:val="none" w:sz="0" w:space="0" w:color="auto"/>
                    <w:right w:val="none" w:sz="0" w:space="0" w:color="auto"/>
                  </w:divBdr>
                  <w:divsChild>
                    <w:div w:id="6423872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2D8D2-5DB4-4919-BD6A-678BDB77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788</Words>
  <Characters>3934</Characters>
  <Application>Microsoft Office Word</Application>
  <DocSecurity>0</DocSecurity>
  <Lines>67</Lines>
  <Paragraphs>13</Paragraphs>
  <ScaleCrop>false</ScaleCrop>
  <HeadingPairs>
    <vt:vector size="2" baseType="variant">
      <vt:variant>
        <vt:lpstr>Title</vt:lpstr>
      </vt:variant>
      <vt:variant>
        <vt:i4>1</vt:i4>
      </vt:variant>
    </vt:vector>
  </HeadingPairs>
  <TitlesOfParts>
    <vt:vector size="1" baseType="lpstr">
      <vt:lpstr>Joint Economic Forecasting Group Report - December 2017</vt:lpstr>
    </vt:vector>
  </TitlesOfParts>
  <Company>Australian Government - The Treasury</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Economic Forecasting Group Report - December 2017</dc:title>
  <dc:creator>The Treasury</dc:creator>
  <cp:lastModifiedBy>Hill, Christine</cp:lastModifiedBy>
  <cp:revision>5</cp:revision>
  <cp:lastPrinted>2017-10-26T02:11:00Z</cp:lastPrinted>
  <dcterms:created xsi:type="dcterms:W3CDTF">2021-01-15T06:41:00Z</dcterms:created>
  <dcterms:modified xsi:type="dcterms:W3CDTF">2021-08-05T05:13:00Z</dcterms:modified>
</cp:coreProperties>
</file>