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41B76" w14:textId="77777777" w:rsidR="000E0B74" w:rsidRPr="006D0240" w:rsidRDefault="000E0B74" w:rsidP="008E6292">
      <w:bookmarkStart w:id="0" w:name="_GoBack"/>
      <w:bookmarkEnd w:id="0"/>
    </w:p>
    <w:p w14:paraId="183E4354" w14:textId="77777777" w:rsidR="000E0B74" w:rsidRPr="006D0240" w:rsidRDefault="000E0B74" w:rsidP="00E15601">
      <w:pPr>
        <w:pStyle w:val="Crest"/>
        <w:spacing w:after="1320"/>
        <w:jc w:val="right"/>
      </w:pPr>
    </w:p>
    <w:p w14:paraId="27A9AF9B" w14:textId="77777777" w:rsidR="000E0B74" w:rsidRPr="00A524B9" w:rsidRDefault="00B55AC5" w:rsidP="000E0B74">
      <w:pPr>
        <w:pStyle w:val="Title"/>
      </w:pPr>
      <w:r w:rsidRPr="00B55AC5">
        <w:t>J</w:t>
      </w:r>
      <w:r>
        <w:t xml:space="preserve">OINT ECONOMIC FORECASTING GROUP </w:t>
      </w:r>
      <w:r w:rsidRPr="00B55AC5">
        <w:t>REPORT</w:t>
      </w:r>
    </w:p>
    <w:p w14:paraId="33C288BA" w14:textId="77777777" w:rsidR="000E0B74" w:rsidRPr="00706E8E" w:rsidRDefault="00B55AC5" w:rsidP="00706E8E">
      <w:pPr>
        <w:pStyle w:val="Subtitle"/>
      </w:pPr>
      <w:r>
        <w:t>ECONOMIC OUTLOOK FOR</w:t>
      </w:r>
      <w:r>
        <w:br/>
        <w:t>2017-18, 2018-19 and 2019-20</w:t>
      </w:r>
    </w:p>
    <w:p w14:paraId="490422FC" w14:textId="77777777" w:rsidR="00056880" w:rsidRDefault="00B55AC5" w:rsidP="000E0B74">
      <w:pPr>
        <w:pStyle w:val="ReportDate"/>
        <w:ind w:right="0"/>
        <w:rPr>
          <w:rFonts w:ascii="Rockwell" w:hAnsi="Rockwell"/>
          <w:sz w:val="24"/>
        </w:rPr>
      </w:pPr>
      <w:r>
        <w:rPr>
          <w:rStyle w:val="ReportDateChar"/>
        </w:rPr>
        <w:t>March 2018</w:t>
      </w:r>
    </w:p>
    <w:p w14:paraId="3EBEE81A" w14:textId="77777777" w:rsidR="002F617F" w:rsidRPr="005D561D" w:rsidRDefault="002F617F" w:rsidP="002F617F">
      <w:pPr>
        <w:pStyle w:val="Divider"/>
      </w:pPr>
    </w:p>
    <w:p w14:paraId="3CDAFD05" w14:textId="77777777" w:rsidR="002F617F" w:rsidRDefault="002F617F"/>
    <w:p w14:paraId="38297EE9" w14:textId="77777777" w:rsidR="000E0B74" w:rsidRDefault="000E0B74" w:rsidP="000E0B74">
      <w:pPr>
        <w:rPr>
          <w:rFonts w:cs="Calibri"/>
          <w:sz w:val="20"/>
        </w:rPr>
      </w:pPr>
    </w:p>
    <w:p w14:paraId="2AF67F2C" w14:textId="77777777" w:rsidR="000E0B74" w:rsidRDefault="000E0B74" w:rsidP="000E0B74">
      <w:pPr>
        <w:sectPr w:rsidR="000E0B74" w:rsidSect="00C01DCC">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20"/>
        </w:sectPr>
      </w:pPr>
    </w:p>
    <w:p w14:paraId="4D797C3F" w14:textId="77777777" w:rsidR="00B55AC5" w:rsidRDefault="00BA6F99" w:rsidP="00740500">
      <w:pPr>
        <w:pStyle w:val="OutlineNumbered1"/>
        <w:spacing w:after="180"/>
        <w:jc w:val="both"/>
      </w:pPr>
      <w:r>
        <w:lastRenderedPageBreak/>
        <w:t>Since the December 2017 JEFG, t</w:t>
      </w:r>
      <w:r w:rsidR="00B55AC5">
        <w:t xml:space="preserve">he </w:t>
      </w:r>
      <w:r>
        <w:t xml:space="preserve">near-term </w:t>
      </w:r>
      <w:r w:rsidR="00B55AC5">
        <w:t xml:space="preserve">economic outlook </w:t>
      </w:r>
      <w:r w:rsidR="00D96017">
        <w:t>has been upgraded</w:t>
      </w:r>
      <w:r>
        <w:t>, with</w:t>
      </w:r>
      <w:r w:rsidR="00B55AC5">
        <w:t xml:space="preserve"> </w:t>
      </w:r>
      <w:r>
        <w:t>t</w:t>
      </w:r>
      <w:r w:rsidR="00B55AC5">
        <w:t xml:space="preserve">he economy expected to grow at a solid pace as the drag on growth from falling mining investment reaches completion. Real GDP is forecast to grow </w:t>
      </w:r>
      <w:r w:rsidR="00B55AC5" w:rsidRPr="00147A19">
        <w:t xml:space="preserve">by 2¾ per cent in 2017-18 before </w:t>
      </w:r>
      <w:r w:rsidR="00DB7A0B">
        <w:t>picking up</w:t>
      </w:r>
      <w:r w:rsidR="00DB7A0B" w:rsidRPr="00147A19">
        <w:t xml:space="preserve"> </w:t>
      </w:r>
      <w:r w:rsidR="00B55AC5" w:rsidRPr="00147A19">
        <w:t>to 3</w:t>
      </w:r>
      <w:r w:rsidR="00FD0AAA">
        <w:t> per </w:t>
      </w:r>
      <w:r w:rsidR="00B55AC5" w:rsidRPr="00147A19">
        <w:t xml:space="preserve">cent in </w:t>
      </w:r>
      <w:r w:rsidR="00FD0AAA">
        <w:t xml:space="preserve">both </w:t>
      </w:r>
      <w:r w:rsidR="00B55AC5" w:rsidRPr="00147A19">
        <w:t xml:space="preserve">2018-19 </w:t>
      </w:r>
      <w:r w:rsidR="00FD0AAA">
        <w:t>and</w:t>
      </w:r>
      <w:r w:rsidR="00147A19" w:rsidRPr="00147A19">
        <w:t xml:space="preserve"> </w:t>
      </w:r>
      <w:r w:rsidR="00B55AC5" w:rsidRPr="00147A19">
        <w:t xml:space="preserve">2019-20 (see Table 1). </w:t>
      </w:r>
    </w:p>
    <w:p w14:paraId="48A05EBE" w14:textId="77777777" w:rsidR="00325888" w:rsidRPr="00147A19" w:rsidRDefault="00325888" w:rsidP="00740500">
      <w:pPr>
        <w:pStyle w:val="OutlineNumbered1"/>
        <w:spacing w:after="180"/>
        <w:jc w:val="both"/>
      </w:pPr>
      <w:r w:rsidRPr="00147A19">
        <w:t xml:space="preserve">The upgrade to real GDP growth in 2017-18, from 2½ per cent at the December 2017 JEFG, </w:t>
      </w:r>
      <w:r>
        <w:t>largely reflects stronger-than-expected outcomes for consumption, business investment and public final demand in the December quarter. Partially offsetting the increase in real GDP growth in 2017-18 are downgrades to dwelling investment and the contribution from net exports.</w:t>
      </w:r>
    </w:p>
    <w:p w14:paraId="4B5F8167" w14:textId="77777777" w:rsidR="00B55AC5" w:rsidRDefault="00FD0AAA" w:rsidP="00740500">
      <w:pPr>
        <w:pStyle w:val="OutlineNumbered1"/>
        <w:spacing w:after="180"/>
        <w:jc w:val="both"/>
      </w:pPr>
      <w:r>
        <w:t>Overall t</w:t>
      </w:r>
      <w:r w:rsidR="00B55AC5">
        <w:t xml:space="preserve">he outlook for the global economy </w:t>
      </w:r>
      <w:r>
        <w:t>remains positive</w:t>
      </w:r>
      <w:r w:rsidR="00B55AC5">
        <w:t>. Global GDP is forecast to grow by 3¾</w:t>
      </w:r>
      <w:r w:rsidR="00147A19">
        <w:t> </w:t>
      </w:r>
      <w:r w:rsidR="00B55AC5">
        <w:t>per cent in each of 2018, 2019 and 2020. Of particular importance to Australia, our major trading partner GDP growth is expected to outpace global GDP growth. Major trading partner GDP</w:t>
      </w:r>
      <w:r w:rsidR="00BA6F99">
        <w:t> </w:t>
      </w:r>
      <w:r w:rsidR="00B55AC5">
        <w:t xml:space="preserve">growth is forecast to </w:t>
      </w:r>
      <w:r w:rsidR="00BA6F99">
        <w:t>be</w:t>
      </w:r>
      <w:r w:rsidR="00B55AC5">
        <w:t xml:space="preserve"> 4¼ per cent in each of 2018, 2019 and 2020. </w:t>
      </w:r>
    </w:p>
    <w:p w14:paraId="29F43937" w14:textId="77777777" w:rsidR="00B55AC5" w:rsidRDefault="00B55AC5" w:rsidP="00740500">
      <w:pPr>
        <w:pStyle w:val="OutlineNumbered1"/>
        <w:spacing w:after="180"/>
        <w:jc w:val="both"/>
      </w:pPr>
      <w:r>
        <w:t xml:space="preserve">Bulk commodity prices have remained </w:t>
      </w:r>
      <w:r w:rsidRPr="00147A19">
        <w:t>elevated since the December 2017 JEFG</w:t>
      </w:r>
      <w:r w:rsidR="002A0583" w:rsidRPr="00147A19">
        <w:t>.</w:t>
      </w:r>
      <w:r w:rsidR="002A0583" w:rsidRPr="00147A19">
        <w:rPr>
          <w:rFonts w:asciiTheme="minorHAnsi" w:hAnsiTheme="minorHAnsi"/>
        </w:rPr>
        <w:t xml:space="preserve"> The iron ore </w:t>
      </w:r>
      <w:r w:rsidR="005D2A6F" w:rsidRPr="00147A19">
        <w:rPr>
          <w:rFonts w:asciiTheme="minorHAnsi" w:hAnsiTheme="minorHAnsi"/>
        </w:rPr>
        <w:t xml:space="preserve">spot </w:t>
      </w:r>
      <w:r w:rsidR="002A0583" w:rsidRPr="00147A19">
        <w:rPr>
          <w:rFonts w:asciiTheme="minorHAnsi" w:hAnsiTheme="minorHAnsi"/>
        </w:rPr>
        <w:t>price is assumed to</w:t>
      </w:r>
      <w:r w:rsidR="00FD0AAA">
        <w:rPr>
          <w:rFonts w:asciiTheme="minorHAnsi" w:hAnsiTheme="minorHAnsi"/>
        </w:rPr>
        <w:t xml:space="preserve"> </w:t>
      </w:r>
      <w:r w:rsidR="006344A9">
        <w:rPr>
          <w:rFonts w:asciiTheme="minorHAnsi" w:hAnsiTheme="minorHAnsi"/>
        </w:rPr>
        <w:t>be</w:t>
      </w:r>
      <w:r w:rsidR="002A0583" w:rsidRPr="00147A19">
        <w:rPr>
          <w:rFonts w:asciiTheme="minorHAnsi" w:hAnsiTheme="minorHAnsi"/>
        </w:rPr>
        <w:t xml:space="preserve"> US$55 per tonne </w:t>
      </w:r>
      <w:r w:rsidR="006344A9">
        <w:rPr>
          <w:rFonts w:asciiTheme="minorHAnsi" w:hAnsiTheme="minorHAnsi"/>
        </w:rPr>
        <w:t>throughout</w:t>
      </w:r>
      <w:r w:rsidR="00FD0AAA">
        <w:rPr>
          <w:rFonts w:asciiTheme="minorHAnsi" w:hAnsiTheme="minorHAnsi"/>
        </w:rPr>
        <w:t xml:space="preserve"> </w:t>
      </w:r>
      <w:r w:rsidR="006344A9">
        <w:rPr>
          <w:rFonts w:asciiTheme="minorHAnsi" w:hAnsiTheme="minorHAnsi"/>
        </w:rPr>
        <w:t xml:space="preserve">the </w:t>
      </w:r>
      <w:r w:rsidR="00FD0AAA">
        <w:rPr>
          <w:rFonts w:asciiTheme="minorHAnsi" w:hAnsiTheme="minorHAnsi"/>
        </w:rPr>
        <w:t>forecast period</w:t>
      </w:r>
      <w:r w:rsidR="002A0583" w:rsidRPr="00147A19">
        <w:rPr>
          <w:rFonts w:asciiTheme="minorHAnsi" w:hAnsiTheme="minorHAnsi"/>
        </w:rPr>
        <w:t xml:space="preserve">. The metallurgical coal </w:t>
      </w:r>
      <w:r w:rsidR="005D2A6F" w:rsidRPr="00147A19">
        <w:rPr>
          <w:rFonts w:asciiTheme="minorHAnsi" w:hAnsiTheme="minorHAnsi"/>
        </w:rPr>
        <w:t xml:space="preserve">spot </w:t>
      </w:r>
      <w:r w:rsidR="002A0583" w:rsidRPr="00147A19">
        <w:rPr>
          <w:rFonts w:asciiTheme="minorHAnsi" w:hAnsiTheme="minorHAnsi"/>
        </w:rPr>
        <w:t>price is assumed to fall</w:t>
      </w:r>
      <w:r w:rsidR="00FD0AAA">
        <w:rPr>
          <w:rFonts w:asciiTheme="minorHAnsi" w:hAnsiTheme="minorHAnsi"/>
        </w:rPr>
        <w:t xml:space="preserve"> from a recent average of US$223</w:t>
      </w:r>
      <w:r w:rsidR="002A0583" w:rsidRPr="00147A19">
        <w:rPr>
          <w:rFonts w:asciiTheme="minorHAnsi" w:hAnsiTheme="minorHAnsi"/>
        </w:rPr>
        <w:t xml:space="preserve"> per tonne</w:t>
      </w:r>
      <w:r w:rsidR="00610C63">
        <w:rPr>
          <w:rStyle w:val="FootnoteReference"/>
        </w:rPr>
        <w:footnoteReference w:id="1"/>
      </w:r>
      <w:r w:rsidR="002A0583" w:rsidRPr="00147A19">
        <w:rPr>
          <w:rFonts w:asciiTheme="minorHAnsi" w:hAnsiTheme="minorHAnsi"/>
        </w:rPr>
        <w:t xml:space="preserve"> through </w:t>
      </w:r>
      <w:r w:rsidR="00BA6F99">
        <w:rPr>
          <w:rFonts w:asciiTheme="minorHAnsi" w:hAnsiTheme="minorHAnsi"/>
        </w:rPr>
        <w:t xml:space="preserve">the </w:t>
      </w:r>
      <w:r w:rsidR="002A0583" w:rsidRPr="00147A19">
        <w:rPr>
          <w:rFonts w:asciiTheme="minorHAnsi" w:hAnsiTheme="minorHAnsi"/>
        </w:rPr>
        <w:t xml:space="preserve">June and September quarters of 2018 to reach US$120 per tonne in the December quarter 2018. The thermal coal </w:t>
      </w:r>
      <w:r w:rsidR="005D2A6F" w:rsidRPr="00147A19">
        <w:rPr>
          <w:rFonts w:asciiTheme="minorHAnsi" w:hAnsiTheme="minorHAnsi"/>
        </w:rPr>
        <w:t xml:space="preserve">spot </w:t>
      </w:r>
      <w:r w:rsidR="002A0583" w:rsidRPr="00147A19">
        <w:rPr>
          <w:rFonts w:asciiTheme="minorHAnsi" w:hAnsiTheme="minorHAnsi"/>
        </w:rPr>
        <w:t xml:space="preserve">price is assumed to </w:t>
      </w:r>
      <w:r w:rsidR="006344A9">
        <w:rPr>
          <w:rFonts w:asciiTheme="minorHAnsi" w:hAnsiTheme="minorHAnsi"/>
        </w:rPr>
        <w:t>be</w:t>
      </w:r>
      <w:r w:rsidR="002A0583" w:rsidRPr="00147A19">
        <w:rPr>
          <w:rFonts w:asciiTheme="minorHAnsi" w:hAnsiTheme="minorHAnsi"/>
        </w:rPr>
        <w:t xml:space="preserve"> US$85 per tonne</w:t>
      </w:r>
      <w:r w:rsidR="0014590D">
        <w:rPr>
          <w:rFonts w:asciiTheme="minorHAnsi" w:hAnsiTheme="minorHAnsi"/>
        </w:rPr>
        <w:t xml:space="preserve"> </w:t>
      </w:r>
      <w:r w:rsidR="006344A9">
        <w:rPr>
          <w:rFonts w:asciiTheme="minorHAnsi" w:hAnsiTheme="minorHAnsi"/>
        </w:rPr>
        <w:t>throughout</w:t>
      </w:r>
      <w:r w:rsidR="0014590D">
        <w:rPr>
          <w:rFonts w:asciiTheme="minorHAnsi" w:hAnsiTheme="minorHAnsi"/>
        </w:rPr>
        <w:t xml:space="preserve"> the forecast period</w:t>
      </w:r>
      <w:r w:rsidR="002A0583" w:rsidRPr="00147A19">
        <w:rPr>
          <w:rFonts w:asciiTheme="minorHAnsi" w:hAnsiTheme="minorHAnsi"/>
        </w:rPr>
        <w:t>.</w:t>
      </w:r>
      <w:r w:rsidR="002A0583">
        <w:rPr>
          <w:rFonts w:asciiTheme="minorHAnsi" w:hAnsiTheme="minorHAnsi"/>
        </w:rPr>
        <w:t xml:space="preserve"> </w:t>
      </w:r>
      <w:r>
        <w:t>Oil prices and the exchange rate are lower than the December 2017 JEFG assumption. The oil price assumption (Malaysian Tapis) is US$67 per barrel and th</w:t>
      </w:r>
      <w:r w:rsidR="00FD0AAA">
        <w:t xml:space="preserve">e exchange rate is </w:t>
      </w:r>
      <w:r w:rsidR="00677831">
        <w:t xml:space="preserve">assumed to be </w:t>
      </w:r>
      <w:r w:rsidR="00FD0AAA">
        <w:t>78</w:t>
      </w:r>
      <w:r w:rsidR="001B5AA6">
        <w:t> </w:t>
      </w:r>
      <w:r w:rsidR="00FD0AAA">
        <w:t>US</w:t>
      </w:r>
      <w:r w:rsidR="001B5AA6">
        <w:t> </w:t>
      </w:r>
      <w:r w:rsidR="00FD0AAA">
        <w:t>cents and 63</w:t>
      </w:r>
      <w:r w:rsidR="00677831" w:rsidRPr="00677831">
        <w:t xml:space="preserve"> </w:t>
      </w:r>
      <w:r w:rsidR="00677831">
        <w:t>on a trade-weighted basis (TWI)</w:t>
      </w:r>
      <w:r>
        <w:t xml:space="preserve">. </w:t>
      </w:r>
    </w:p>
    <w:p w14:paraId="1943C2EF" w14:textId="77777777" w:rsidR="00B55AC5" w:rsidRDefault="00B55AC5" w:rsidP="00740500">
      <w:pPr>
        <w:pStyle w:val="OutlineNumbered1"/>
        <w:spacing w:after="180"/>
        <w:jc w:val="both"/>
      </w:pPr>
      <w:r>
        <w:t xml:space="preserve">Reflecting the new assumptions for commodity prices, the terms of trade are forecast to be higher in the near term compared with the December 2017 JEFG but then fall by slightly </w:t>
      </w:r>
      <w:r w:rsidR="0014590D">
        <w:t xml:space="preserve">more in </w:t>
      </w:r>
      <w:r>
        <w:t>2019-20. As a result, nominal GDP is forecast to grow by 4</w:t>
      </w:r>
      <w:r w:rsidR="000D3F64">
        <w:t>¼ </w:t>
      </w:r>
      <w:r>
        <w:t>per cent in 2017-18</w:t>
      </w:r>
      <w:r w:rsidR="000D3F64">
        <w:t>, 3¾ per cent in 2018-19 and 4</w:t>
      </w:r>
      <w:r w:rsidR="000D3F64" w:rsidRPr="00147A19">
        <w:t>½</w:t>
      </w:r>
      <w:r w:rsidR="00147A19">
        <w:t> </w:t>
      </w:r>
      <w:r>
        <w:t xml:space="preserve">per cent in 2019-20. </w:t>
      </w:r>
    </w:p>
    <w:p w14:paraId="5799F708" w14:textId="108EA995" w:rsidR="001B5AA6" w:rsidRDefault="001B5AA6" w:rsidP="00740500">
      <w:pPr>
        <w:pStyle w:val="OutlineNumbered1"/>
        <w:spacing w:after="180"/>
        <w:jc w:val="both"/>
      </w:pPr>
      <w:r w:rsidRPr="00336633">
        <w:t xml:space="preserve">Household consumption is forecast to grow by </w:t>
      </w:r>
      <w:r>
        <w:t>2¾ per cent in 2017</w:t>
      </w:r>
      <w:r>
        <w:noBreakHyphen/>
        <w:t>18, 2018</w:t>
      </w:r>
      <w:r>
        <w:noBreakHyphen/>
      </w:r>
      <w:r w:rsidRPr="00336633">
        <w:t xml:space="preserve">19 and 2019-20. </w:t>
      </w:r>
      <w:r w:rsidR="00D84346">
        <w:t>Consumption growth in</w:t>
      </w:r>
      <w:r>
        <w:t xml:space="preserve"> 2017-18 has been revised up by </w:t>
      </w:r>
      <w:r w:rsidR="00D84346">
        <w:t xml:space="preserve">½ </w:t>
      </w:r>
      <w:r w:rsidR="00C53F73">
        <w:t xml:space="preserve">of a </w:t>
      </w:r>
      <w:r>
        <w:t xml:space="preserve">percentage point since the December 2017 JEFG, in line with recent actuals (including revisions). </w:t>
      </w:r>
      <w:r w:rsidRPr="00336633">
        <w:t>As has occurred over</w:t>
      </w:r>
      <w:r>
        <w:t xml:space="preserve"> the past few years, consumption is expected to grow faster than household income over the forecast period, resulting in a further decline in the household saving rate.</w:t>
      </w:r>
    </w:p>
    <w:p w14:paraId="48A6CE30" w14:textId="77777777" w:rsidR="00D322DF" w:rsidRDefault="00D322DF" w:rsidP="00740500">
      <w:pPr>
        <w:pStyle w:val="OutlineNumbered1"/>
        <w:jc w:val="both"/>
      </w:pPr>
      <w:r w:rsidRPr="00740500">
        <w:t>Dwelling investment</w:t>
      </w:r>
      <w:r w:rsidRPr="00D322DF">
        <w:t xml:space="preserve"> is forecast to fall</w:t>
      </w:r>
      <w:r>
        <w:t xml:space="preserve"> by 3 per cent in 2017-18, reflecting recent weak outcomes that followed softness in approvals in late 2016</w:t>
      </w:r>
      <w:r w:rsidRPr="00336633">
        <w:t>.</w:t>
      </w:r>
      <w:r>
        <w:t xml:space="preserve"> </w:t>
      </w:r>
      <w:r w:rsidRPr="00336633">
        <w:t xml:space="preserve">Dwelling investment is forecast to rise slightly </w:t>
      </w:r>
      <w:r w:rsidR="00943528">
        <w:t>by 1½ </w:t>
      </w:r>
      <w:r w:rsidRPr="00336633">
        <w:t>per</w:t>
      </w:r>
      <w:r>
        <w:t> </w:t>
      </w:r>
      <w:r w:rsidRPr="00336633">
        <w:t>cent in 2018</w:t>
      </w:r>
      <w:r w:rsidRPr="00336633">
        <w:noBreakHyphen/>
        <w:t xml:space="preserve">19 </w:t>
      </w:r>
      <w:r>
        <w:t>with no further growth in</w:t>
      </w:r>
      <w:r w:rsidRPr="00336633">
        <w:t xml:space="preserve"> 2019-20</w:t>
      </w:r>
      <w:r>
        <w:t>. The elevated level of dwelling investment will be supported by the strong</w:t>
      </w:r>
      <w:r w:rsidRPr="00336633">
        <w:t xml:space="preserve"> pipeline of work to be done and strength in approvals since mid-2017. </w:t>
      </w:r>
    </w:p>
    <w:p w14:paraId="4240F0F0" w14:textId="77777777" w:rsidR="00D322DF" w:rsidRPr="00D322DF" w:rsidRDefault="00D322DF" w:rsidP="00740500">
      <w:pPr>
        <w:pStyle w:val="OutlineNumbered1"/>
        <w:jc w:val="both"/>
      </w:pPr>
      <w:r w:rsidRPr="00740500">
        <w:t xml:space="preserve">Total </w:t>
      </w:r>
      <w:r>
        <w:t>new private business investment is forecast to grow by 4½ per cent in 2017-1</w:t>
      </w:r>
      <w:r w:rsidR="00943528">
        <w:t>8, 3 per cent in 2018-19 and 4½ </w:t>
      </w:r>
      <w:r>
        <w:t xml:space="preserve">per cent in 2019-20. </w:t>
      </w:r>
      <w:r w:rsidR="00D97D33">
        <w:t>The near-term upgrade to growth reflects strength in non</w:t>
      </w:r>
      <w:r w:rsidR="00D97D33">
        <w:noBreakHyphen/>
        <w:t xml:space="preserve">mining business investment in recent quarters, in line with survey measures of </w:t>
      </w:r>
      <w:r w:rsidR="00D97D33" w:rsidRPr="00336633">
        <w:t>business conditions</w:t>
      </w:r>
      <w:r w:rsidR="005B3B04">
        <w:t xml:space="preserve"> as well as evidence that increasing infrastructure investment in the public sector is having positive spillovers to investment in the private sector</w:t>
      </w:r>
      <w:r w:rsidR="00D97D33">
        <w:t>. Growth in non-mining investment is expected to continue to offset falls in</w:t>
      </w:r>
      <w:r>
        <w:t xml:space="preserve"> mining investment over the next few year</w:t>
      </w:r>
      <w:r w:rsidR="005B3B04">
        <w:t>s.</w:t>
      </w:r>
    </w:p>
    <w:p w14:paraId="5067F76F" w14:textId="05DA5AFA" w:rsidR="00D322DF" w:rsidRDefault="005B3B04" w:rsidP="00740500">
      <w:pPr>
        <w:pStyle w:val="OutlineNumbered1"/>
        <w:spacing w:after="180"/>
        <w:jc w:val="both"/>
      </w:pPr>
      <w:r>
        <w:t>Net ex</w:t>
      </w:r>
      <w:r w:rsidR="00943528">
        <w:t>ports are expected to detract ½ </w:t>
      </w:r>
      <w:r w:rsidR="00C53F73">
        <w:t xml:space="preserve">of a </w:t>
      </w:r>
      <w:r>
        <w:t xml:space="preserve">percentage point from GDP growth in 2017-18, </w:t>
      </w:r>
      <w:r w:rsidR="002C75B9">
        <w:t xml:space="preserve">reflecting strong outcomes for imports across the first half of the year. Rural </w:t>
      </w:r>
      <w:r>
        <w:t xml:space="preserve">commodity exports </w:t>
      </w:r>
      <w:r w:rsidR="002C75B9">
        <w:t xml:space="preserve">are also expected to detract from </w:t>
      </w:r>
      <w:r w:rsidR="007C5D9A">
        <w:t xml:space="preserve">GDP </w:t>
      </w:r>
      <w:r w:rsidR="002C75B9">
        <w:t xml:space="preserve">growth as they </w:t>
      </w:r>
      <w:r>
        <w:t xml:space="preserve">return to more usual levels following </w:t>
      </w:r>
      <w:r w:rsidRPr="00676DD5">
        <w:t>a recent period of favourable weather conditions and record output</w:t>
      </w:r>
      <w:r w:rsidR="009965A8">
        <w:t>.</w:t>
      </w:r>
      <w:r>
        <w:t xml:space="preserve"> Resource exports are expected to</w:t>
      </w:r>
      <w:r w:rsidRPr="005B3B04">
        <w:t xml:space="preserve"> </w:t>
      </w:r>
      <w:r>
        <w:t xml:space="preserve">continue to </w:t>
      </w:r>
      <w:r>
        <w:lastRenderedPageBreak/>
        <w:t xml:space="preserve">grow solidly as </w:t>
      </w:r>
      <w:r w:rsidRPr="00CC391E">
        <w:t>the last of Australia’s liquefied natural gas (LNG) projects under construction come online</w:t>
      </w:r>
      <w:r>
        <w:t>, though exports growth moderates in 2019-20 as the big boost to production</w:t>
      </w:r>
      <w:r w:rsidR="00934A5D">
        <w:t xml:space="preserve"> growth</w:t>
      </w:r>
      <w:r>
        <w:t xml:space="preserve"> from the mining investment boom is completed.</w:t>
      </w:r>
      <w:r w:rsidRPr="00CC391E">
        <w:t xml:space="preserve"> </w:t>
      </w:r>
      <w:r>
        <w:t xml:space="preserve">Services </w:t>
      </w:r>
      <w:r w:rsidR="004C1D2F">
        <w:t xml:space="preserve">exports </w:t>
      </w:r>
      <w:r>
        <w:t xml:space="preserve">are expected to grow solidly through the forecast horizon. </w:t>
      </w:r>
      <w:r w:rsidR="002A496C">
        <w:t>Growth in i</w:t>
      </w:r>
      <w:r>
        <w:t xml:space="preserve">mport volumes </w:t>
      </w:r>
      <w:r w:rsidR="002A496C">
        <w:t xml:space="preserve">is expected to ease from the </w:t>
      </w:r>
      <w:r w:rsidR="004C1D2F">
        <w:t xml:space="preserve">strong </w:t>
      </w:r>
      <w:r w:rsidR="002A496C">
        <w:t xml:space="preserve">growth in 2017-18, </w:t>
      </w:r>
      <w:r w:rsidR="002A496C" w:rsidRPr="00CC391E">
        <w:t xml:space="preserve">as </w:t>
      </w:r>
      <w:r w:rsidR="00740500">
        <w:t xml:space="preserve">import-intensive </w:t>
      </w:r>
      <w:r w:rsidR="002A496C" w:rsidRPr="00CC391E">
        <w:t>investment in Australia’s large-scale mining projects winds down</w:t>
      </w:r>
      <w:r w:rsidR="00740500">
        <w:t>.</w:t>
      </w:r>
    </w:p>
    <w:p w14:paraId="3F8C4BC5" w14:textId="77777777" w:rsidR="002A496C" w:rsidRPr="00CC391E" w:rsidRDefault="0016460C" w:rsidP="00740500">
      <w:pPr>
        <w:pStyle w:val="OutlineNumbered1"/>
        <w:spacing w:after="180"/>
        <w:jc w:val="both"/>
      </w:pPr>
      <w:r>
        <w:t xml:space="preserve">The </w:t>
      </w:r>
      <w:r w:rsidR="002A496C">
        <w:t>labour market is expected to be supported by solid growth in domestic demand. Following very strong employment growth over the second half of 2017, employm</w:t>
      </w:r>
      <w:r w:rsidR="00943528">
        <w:t>ent growth is forecast to be 2¾ </w:t>
      </w:r>
      <w:r w:rsidR="002A496C">
        <w:t>per cent over the year to June 2018, easing to 1½ per cent in 2018-19 and 2019-20. The participation rate has also been upgra</w:t>
      </w:r>
      <w:r w:rsidR="00740500">
        <w:t>ded in line with recent actuals</w:t>
      </w:r>
      <w:r>
        <w:t xml:space="preserve">, while the forecast </w:t>
      </w:r>
      <w:r w:rsidR="002A496C">
        <w:t xml:space="preserve">is for the unemployment rate to continue to gradually decline. </w:t>
      </w:r>
    </w:p>
    <w:p w14:paraId="0443945E" w14:textId="77777777" w:rsidR="0016460C" w:rsidRDefault="002A496C" w:rsidP="00740500">
      <w:pPr>
        <w:pStyle w:val="OutlineNumbered1"/>
        <w:spacing w:after="180"/>
        <w:jc w:val="both"/>
      </w:pPr>
      <w:r>
        <w:t>The forecast for the Consumer Price Index and the Wage Price Index also remains unchanged from the December 2017 JEFG.</w:t>
      </w:r>
      <w:r w:rsidRPr="002A496C">
        <w:t xml:space="preserve"> </w:t>
      </w:r>
      <w:r w:rsidRPr="00FA504F">
        <w:t>While the labour market has experienced broad-based improvements,</w:t>
      </w:r>
      <w:r>
        <w:t xml:space="preserve"> </w:t>
      </w:r>
      <w:r w:rsidRPr="00740500">
        <w:t>wage growth</w:t>
      </w:r>
      <w:r>
        <w:t xml:space="preserve"> remains subdued. </w:t>
      </w:r>
      <w:r w:rsidR="00694EEB">
        <w:t>As the unemployment rate falls, wage growth is forecast to pick up to 2¼ per cent through the year to the June quarter 2018, 2¾ per cent through the year to the June quarter 2019 and 3¼ per cent through the year to</w:t>
      </w:r>
      <w:r w:rsidR="006E5D8A">
        <w:t xml:space="preserve"> the June quarter 2020.</w:t>
      </w:r>
      <w:r w:rsidR="00694EEB">
        <w:t xml:space="preserve"> </w:t>
      </w:r>
      <w:r w:rsidRPr="00740500">
        <w:t>Consumer price</w:t>
      </w:r>
      <w:r w:rsidRPr="00694EEB">
        <w:rPr>
          <w:b/>
        </w:rPr>
        <w:t xml:space="preserve"> </w:t>
      </w:r>
      <w:r w:rsidR="00694EEB">
        <w:t xml:space="preserve">inflation also remains subdued, reflecting </w:t>
      </w:r>
      <w:r>
        <w:t xml:space="preserve">subdued wage growth, </w:t>
      </w:r>
      <w:r w:rsidRPr="00CC391E">
        <w:t>ongoing competition among retailers</w:t>
      </w:r>
      <w:r w:rsidR="00694EEB">
        <w:t xml:space="preserve"> and </w:t>
      </w:r>
      <w:r w:rsidRPr="00CC391E">
        <w:t>subdued rental price growth</w:t>
      </w:r>
      <w:r w:rsidR="00694EEB">
        <w:t xml:space="preserve">. </w:t>
      </w:r>
      <w:r w:rsidRPr="00CC391E">
        <w:t>Inflation is expected to rise gradually over the forecast horizon as economic growth accelerates and wage growth picks up. Through</w:t>
      </w:r>
      <w:r>
        <w:t>-</w:t>
      </w:r>
      <w:r w:rsidRPr="00CC391E">
        <w:t>the</w:t>
      </w:r>
      <w:r>
        <w:t>-</w:t>
      </w:r>
      <w:r w:rsidRPr="00CC391E">
        <w:t xml:space="preserve">year growth in consumer prices is forecast to be </w:t>
      </w:r>
      <w:r w:rsidR="00694EEB">
        <w:t>2</w:t>
      </w:r>
      <w:r w:rsidRPr="00CC391E">
        <w:t xml:space="preserve"> per cent in the June quarter 2018, </w:t>
      </w:r>
      <w:r w:rsidR="00694EEB">
        <w:t xml:space="preserve">2¼ </w:t>
      </w:r>
      <w:r w:rsidRPr="00CC391E">
        <w:t xml:space="preserve">per cent in the June quarter 2019 and </w:t>
      </w:r>
      <w:r w:rsidR="00694EEB">
        <w:t xml:space="preserve">2½ </w:t>
      </w:r>
      <w:r w:rsidRPr="00CC391E">
        <w:t>per cent in the June quarter 2020.</w:t>
      </w:r>
    </w:p>
    <w:p w14:paraId="2F9F9EC9" w14:textId="77777777" w:rsidR="00FF6E4F" w:rsidRDefault="00B55AC5" w:rsidP="00740500">
      <w:pPr>
        <w:pStyle w:val="OutlineNumbered1"/>
        <w:spacing w:after="180"/>
        <w:jc w:val="both"/>
      </w:pPr>
      <w:r>
        <w:t xml:space="preserve">There are a number of </w:t>
      </w:r>
      <w:r w:rsidR="00F476F8">
        <w:t>risks</w:t>
      </w:r>
      <w:r>
        <w:t xml:space="preserve"> </w:t>
      </w:r>
      <w:r w:rsidR="00F476F8">
        <w:t>around</w:t>
      </w:r>
      <w:r>
        <w:t xml:space="preserve"> both the international and domestic forecasts.</w:t>
      </w:r>
      <w:r w:rsidR="00F476F8">
        <w:t xml:space="preserve"> In terms of the global outlook</w:t>
      </w:r>
      <w:r w:rsidR="006656DD">
        <w:t>,</w:t>
      </w:r>
      <w:r w:rsidR="00F476F8">
        <w:t xml:space="preserve"> </w:t>
      </w:r>
      <w:r w:rsidR="006656DD">
        <w:t>growth could exceed</w:t>
      </w:r>
      <w:r w:rsidR="003F58B2">
        <w:t xml:space="preserve"> forecasts in some key economies, including in the United States </w:t>
      </w:r>
      <w:r w:rsidR="00740500">
        <w:t>from expansionary fiscal policy</w:t>
      </w:r>
      <w:r w:rsidR="003F58B2">
        <w:t>. In contrast, downside risks include g</w:t>
      </w:r>
      <w:r w:rsidR="003F58B2" w:rsidRPr="002737F6">
        <w:t xml:space="preserve">eopolitical uncertainty and recent moves towards </w:t>
      </w:r>
      <w:r w:rsidR="003F58B2" w:rsidRPr="008F5F75">
        <w:t>trade protectionism</w:t>
      </w:r>
      <w:r w:rsidR="00740500">
        <w:t xml:space="preserve"> and a </w:t>
      </w:r>
      <w:r w:rsidR="00740500" w:rsidRPr="00C614FD">
        <w:t>faster-than-expected tightening of monetary policy</w:t>
      </w:r>
      <w:r w:rsidR="003F58B2" w:rsidRPr="003A38E5">
        <w:t>.</w:t>
      </w:r>
    </w:p>
    <w:p w14:paraId="199B472F" w14:textId="77777777" w:rsidR="00B55AC5" w:rsidRDefault="00F476F8" w:rsidP="00740500">
      <w:pPr>
        <w:pStyle w:val="OutlineNumbered1"/>
        <w:spacing w:after="180"/>
        <w:jc w:val="both"/>
      </w:pPr>
      <w:r>
        <w:t xml:space="preserve">In terms of the domestic outlook there are both </w:t>
      </w:r>
      <w:r w:rsidR="00B55AC5">
        <w:t xml:space="preserve">upside and downside risks. </w:t>
      </w:r>
      <w:r w:rsidR="00FF6E4F" w:rsidRPr="00FF6E4F">
        <w:t>For consumption there</w:t>
      </w:r>
      <w:r w:rsidR="00B55AC5" w:rsidRPr="00FF6E4F">
        <w:t xml:space="preserve"> is a risk that continued subdued income growth may result in slower consumption growth</w:t>
      </w:r>
      <w:r w:rsidR="00FF6E4F" w:rsidRPr="00FF6E4F">
        <w:t xml:space="preserve"> than forecast</w:t>
      </w:r>
      <w:r w:rsidR="00677831">
        <w:t>;</w:t>
      </w:r>
      <w:r w:rsidR="00FF6E4F" w:rsidRPr="00FF6E4F">
        <w:t xml:space="preserve"> h</w:t>
      </w:r>
      <w:r w:rsidR="00B55AC5" w:rsidRPr="00FF6E4F">
        <w:t>owever</w:t>
      </w:r>
      <w:r w:rsidR="00677831">
        <w:t>,</w:t>
      </w:r>
      <w:r w:rsidR="00FF6E4F" w:rsidRPr="00FF6E4F">
        <w:t xml:space="preserve"> on the upside</w:t>
      </w:r>
      <w:r w:rsidR="00B55AC5" w:rsidRPr="00FF6E4F">
        <w:t xml:space="preserve">, stronger labour market conditions </w:t>
      </w:r>
      <w:r w:rsidR="00FF6E4F" w:rsidRPr="00FF6E4F">
        <w:t xml:space="preserve">could result in stronger </w:t>
      </w:r>
      <w:r w:rsidR="00B55AC5" w:rsidRPr="00FF6E4F">
        <w:t xml:space="preserve">consumption growth. </w:t>
      </w:r>
      <w:r w:rsidR="00FF6E4F" w:rsidRPr="00FF6E4F">
        <w:t>For dwelling investment</w:t>
      </w:r>
      <w:r w:rsidR="00677831">
        <w:t>,</w:t>
      </w:r>
      <w:r w:rsidR="00FF6E4F" w:rsidRPr="00FF6E4F">
        <w:t xml:space="preserve"> delays between </w:t>
      </w:r>
      <w:r w:rsidR="00677831">
        <w:t xml:space="preserve">a project being </w:t>
      </w:r>
      <w:r w:rsidR="00FF6E4F" w:rsidRPr="00FF6E4F">
        <w:t>approv</w:t>
      </w:r>
      <w:r w:rsidR="00677831">
        <w:t>ed</w:t>
      </w:r>
      <w:r w:rsidR="00FF6E4F" w:rsidRPr="00FF6E4F">
        <w:t xml:space="preserve"> and </w:t>
      </w:r>
      <w:r w:rsidR="00677831" w:rsidRPr="00FF6E4F">
        <w:t>commenc</w:t>
      </w:r>
      <w:r w:rsidR="00677831">
        <w:t>ed</w:t>
      </w:r>
      <w:r w:rsidR="00677831" w:rsidRPr="00FF6E4F">
        <w:t xml:space="preserve"> </w:t>
      </w:r>
      <w:r w:rsidR="00383202">
        <w:t>could provide a downside risk</w:t>
      </w:r>
      <w:r w:rsidR="00694EEB">
        <w:t>, while non-mining business investment could be stronger or weaker than expected</w:t>
      </w:r>
      <w:r w:rsidR="00383202">
        <w:t xml:space="preserve">. </w:t>
      </w:r>
      <w:r w:rsidR="00B55AC5" w:rsidRPr="00FF6E4F">
        <w:t xml:space="preserve">Commodity prices </w:t>
      </w:r>
      <w:r w:rsidR="00383202">
        <w:t>remain</w:t>
      </w:r>
      <w:r w:rsidR="00B55AC5" w:rsidRPr="00FF6E4F">
        <w:t xml:space="preserve"> a key uncertainty for the nominal economy, while weak</w:t>
      </w:r>
      <w:r w:rsidR="00BA6F99">
        <w:t>er</w:t>
      </w:r>
      <w:r w:rsidR="00677831">
        <w:t>-</w:t>
      </w:r>
      <w:r w:rsidR="00BA6F99">
        <w:t>than</w:t>
      </w:r>
      <w:r w:rsidR="00677831">
        <w:t>-</w:t>
      </w:r>
      <w:r w:rsidR="00BA6F99">
        <w:t>expected</w:t>
      </w:r>
      <w:r w:rsidR="00B55AC5" w:rsidRPr="00FF6E4F">
        <w:t xml:space="preserve"> inflation and wage growth pose downside risks.</w:t>
      </w:r>
    </w:p>
    <w:p w14:paraId="75069875" w14:textId="77777777" w:rsidR="00F476F8" w:rsidRDefault="00F476F8" w:rsidP="00EC236D">
      <w:pPr>
        <w:spacing w:before="0" w:after="160" w:line="259" w:lineRule="auto"/>
        <w:rPr>
          <w:rFonts w:asciiTheme="minorHAnsi" w:hAnsiTheme="minorHAnsi"/>
          <w:b/>
          <w:szCs w:val="22"/>
        </w:rPr>
      </w:pPr>
      <w:r>
        <w:rPr>
          <w:rFonts w:asciiTheme="minorHAnsi" w:hAnsiTheme="minorHAnsi"/>
          <w:b/>
          <w:szCs w:val="22"/>
        </w:rPr>
        <w:br w:type="page"/>
      </w:r>
    </w:p>
    <w:p w14:paraId="1913BE29" w14:textId="77777777" w:rsidR="009E171B" w:rsidRDefault="00B55AC5" w:rsidP="00EC236D">
      <w:pPr>
        <w:spacing w:before="0" w:after="160" w:line="259" w:lineRule="auto"/>
        <w:rPr>
          <w:rFonts w:asciiTheme="minorHAnsi" w:hAnsiTheme="minorHAnsi"/>
          <w:b/>
          <w:szCs w:val="22"/>
        </w:rPr>
      </w:pPr>
      <w:r w:rsidRPr="000826A0">
        <w:rPr>
          <w:rFonts w:asciiTheme="minorHAnsi" w:hAnsiTheme="minorHAnsi"/>
          <w:b/>
          <w:szCs w:val="22"/>
        </w:rPr>
        <w:lastRenderedPageBreak/>
        <w:t>Table 1: Domestic economy forecasts</w:t>
      </w:r>
    </w:p>
    <w:p w14:paraId="2572F5E6" w14:textId="339852DF" w:rsidR="00B55AC5" w:rsidRDefault="00845D88" w:rsidP="00FD0AAA">
      <w:pPr>
        <w:pStyle w:val="TableGraphic"/>
      </w:pPr>
      <w:r>
        <w:rPr>
          <w:lang w:val="en-US"/>
        </w:rPr>
        <w:pict w14:anchorId="684B8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604.5pt">
            <v:imagedata r:id="rId14" o:title=""/>
          </v:shape>
        </w:pict>
      </w:r>
    </w:p>
    <w:sectPr w:rsidR="00B55AC5" w:rsidSect="00B55AC5">
      <w:headerReference w:type="even" r:id="rId15"/>
      <w:headerReference w:type="default" r:id="rId16"/>
      <w:footerReference w:type="even" r:id="rId17"/>
      <w:footerReference w:type="default" r:id="rId18"/>
      <w:headerReference w:type="first" r:id="rId19"/>
      <w:footerReference w:type="first" r:id="rId20"/>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6A005" w14:textId="77777777" w:rsidR="00B55AC5" w:rsidRDefault="00B55AC5">
      <w:pPr>
        <w:spacing w:before="0" w:after="0"/>
      </w:pPr>
      <w:r>
        <w:separator/>
      </w:r>
    </w:p>
  </w:endnote>
  <w:endnote w:type="continuationSeparator" w:id="0">
    <w:p w14:paraId="18E48290" w14:textId="77777777" w:rsidR="00B55AC5" w:rsidRDefault="00B55A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7EEF8" w14:textId="77777777" w:rsidR="00EF145E" w:rsidRDefault="00EF145E" w:rsidP="003C24B4">
    <w:pPr>
      <w:pStyle w:val="FooterEven"/>
    </w:pPr>
    <w:r>
      <w:rPr>
        <w:noProof w:val="0"/>
      </w:rPr>
      <w:fldChar w:fldCharType="begin"/>
    </w:r>
    <w:r>
      <w:instrText xml:space="preserve"> PAGE   \* MERGEFORMAT </w:instrText>
    </w:r>
    <w:r>
      <w:rPr>
        <w:noProof w:val="0"/>
      </w:rPr>
      <w:fldChar w:fldCharType="separate"/>
    </w:r>
    <w:r w:rsidR="00B55AC5">
      <w:t>2</w:t>
    </w:r>
    <w:r>
      <w:fldChar w:fldCharType="end"/>
    </w:r>
  </w:p>
  <w:p w14:paraId="58476241" w14:textId="77777777" w:rsidR="00B55AC5" w:rsidRDefault="00845D88" w:rsidP="00B55AC5">
    <w:pPr>
      <w:pStyle w:val="SecurityClassificationFooter"/>
    </w:pPr>
    <w:r>
      <w:fldChar w:fldCharType="begin"/>
    </w:r>
    <w:r>
      <w:instrText xml:space="preserve"> DOCPROPERTY SecurityClassification \* MERGEFORMAT </w:instrText>
    </w:r>
    <w:r>
      <w:fldChar w:fldCharType="separate"/>
    </w:r>
    <w:r w:rsidR="00C94EF5">
      <w:t>Protected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F0713" w14:textId="77777777" w:rsidR="00784A98" w:rsidRDefault="00784A98" w:rsidP="00784A98">
    <w:pPr>
      <w:pStyle w:val="FooterEven"/>
      <w:jc w:val="right"/>
    </w:pPr>
  </w:p>
  <w:p w14:paraId="089F5533" w14:textId="77777777" w:rsidR="00C72318" w:rsidRDefault="00C72318" w:rsidP="006344A9">
    <w:pPr>
      <w:pStyle w:val="SecurityClassificationHeader"/>
    </w:pPr>
    <w:r>
      <w:rPr>
        <w:noProof/>
      </w:rPr>
      <w:drawing>
        <wp:anchor distT="0" distB="0" distL="114300" distR="114300" simplePos="0" relativeHeight="251659264" behindDoc="1" locked="0" layoutInCell="1" allowOverlap="1" wp14:anchorId="1F256A7E" wp14:editId="79732B54">
          <wp:simplePos x="904875" y="5705475"/>
          <wp:positionH relativeFrom="page">
            <wp:align>center</wp:align>
          </wp:positionH>
          <wp:positionV relativeFrom="page">
            <wp:align>bottom</wp:align>
          </wp:positionV>
          <wp:extent cx="7560000" cy="5959800"/>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959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47B50" w14:textId="77777777" w:rsidR="00B55AC5" w:rsidRDefault="00845D88" w:rsidP="00B55AC5">
    <w:pPr>
      <w:pStyle w:val="SecurityClassificationFooter"/>
    </w:pPr>
    <w:r>
      <w:fldChar w:fldCharType="begin"/>
    </w:r>
    <w:r>
      <w:instrText xml:space="preserve"> DOCPROPERTY SecurityClassification \* MERGEFORMAT </w:instrText>
    </w:r>
    <w:r>
      <w:fldChar w:fldCharType="separate"/>
    </w:r>
    <w:r w:rsidR="00C94EF5">
      <w:t>Protected</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6CAC3" w14:textId="77777777" w:rsidR="00EF145E" w:rsidRDefault="00EF145E" w:rsidP="00784A98">
    <w:pPr>
      <w:pStyle w:val="FooterEven"/>
      <w:jc w:val="right"/>
    </w:pPr>
    <w:r>
      <w:fldChar w:fldCharType="begin"/>
    </w:r>
    <w:r>
      <w:instrText xml:space="preserve"> PAGE  \* Arabic  \* MERGEFORMAT </w:instrText>
    </w:r>
    <w:r>
      <w:fldChar w:fldCharType="separate"/>
    </w:r>
    <w:r w:rsidR="00C94EF5">
      <w:t>4</w:t>
    </w:r>
    <w:r>
      <w:fldChar w:fldCharType="end"/>
    </w:r>
  </w:p>
  <w:p w14:paraId="493D85FD" w14:textId="77777777" w:rsidR="00674B04" w:rsidRDefault="00674B04" w:rsidP="006344A9">
    <w:pPr>
      <w:pStyle w:val="SecurityClassificationHead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AEBFA" w14:textId="77777777" w:rsidR="00EF145E" w:rsidRDefault="00EF145E" w:rsidP="006C5B73">
    <w:pPr>
      <w:pStyle w:val="FooterOdd"/>
      <w:rPr>
        <w:noProof/>
      </w:rPr>
    </w:pPr>
    <w:r>
      <w:fldChar w:fldCharType="begin"/>
    </w:r>
    <w:r>
      <w:instrText xml:space="preserve"> PAGE   \* MERGEFORMAT </w:instrText>
    </w:r>
    <w:r>
      <w:fldChar w:fldCharType="separate"/>
    </w:r>
    <w:r w:rsidR="00C94EF5">
      <w:rPr>
        <w:noProof/>
      </w:rPr>
      <w:t>3</w:t>
    </w:r>
    <w:r>
      <w:rPr>
        <w:noProof/>
      </w:rPr>
      <w:fldChar w:fldCharType="end"/>
    </w:r>
  </w:p>
  <w:p w14:paraId="715BA59E" w14:textId="77777777" w:rsidR="00B55AC5" w:rsidRDefault="00B55AC5" w:rsidP="006344A9">
    <w:pPr>
      <w:pStyle w:val="SecurityClassificationHead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AFB3A" w14:textId="77777777" w:rsidR="00EF145E" w:rsidRDefault="00845D88" w:rsidP="00B55AC5">
    <w:pPr>
      <w:pStyle w:val="SecurityClassificationFooter"/>
    </w:pPr>
    <w:r>
      <w:fldChar w:fldCharType="begin"/>
    </w:r>
    <w:r>
      <w:instrText xml:space="preserve"> DOCPROPERTY SecurityClassification \* MERGEFORMAT </w:instrText>
    </w:r>
    <w:r>
      <w:fldChar w:fldCharType="separate"/>
    </w:r>
    <w:r w:rsidR="00C94EF5">
      <w:t>Protected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02A23" w14:textId="77777777" w:rsidR="00B55AC5" w:rsidRDefault="00B55AC5">
      <w:pPr>
        <w:spacing w:before="0" w:after="0"/>
      </w:pPr>
      <w:r>
        <w:separator/>
      </w:r>
    </w:p>
  </w:footnote>
  <w:footnote w:type="continuationSeparator" w:id="0">
    <w:p w14:paraId="6F3C3D1E" w14:textId="77777777" w:rsidR="00B55AC5" w:rsidRDefault="00B55AC5">
      <w:pPr>
        <w:spacing w:before="0" w:after="0"/>
      </w:pPr>
      <w:r>
        <w:continuationSeparator/>
      </w:r>
    </w:p>
  </w:footnote>
  <w:footnote w:id="1">
    <w:p w14:paraId="52522143" w14:textId="77777777" w:rsidR="00610C63" w:rsidRDefault="00610C63">
      <w:pPr>
        <w:pStyle w:val="FootnoteText"/>
      </w:pPr>
      <w:r>
        <w:rPr>
          <w:rStyle w:val="FootnoteReference"/>
        </w:rPr>
        <w:footnoteRef/>
      </w:r>
      <w:r>
        <w:t xml:space="preserve"> S&amp;P Global Platts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428EF" w14:textId="77777777" w:rsidR="00B55AC5" w:rsidRDefault="00845D88" w:rsidP="00B55AC5">
    <w:pPr>
      <w:pStyle w:val="SecurityClassificationHeader"/>
    </w:pPr>
    <w:r>
      <w:fldChar w:fldCharType="begin"/>
    </w:r>
    <w:r>
      <w:instrText xml:space="preserve"> DOCPROPERTY SecurityClassification \* MERGEFORMAT </w:instrText>
    </w:r>
    <w:r>
      <w:fldChar w:fldCharType="separate"/>
    </w:r>
    <w:r w:rsidR="00C94EF5">
      <w:t>Protected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B85FB" w14:textId="77777777" w:rsidR="00C72318" w:rsidRDefault="00C72318" w:rsidP="00AA47D6">
    <w:pPr>
      <w:pStyle w:val="SecurityClassificationHeader"/>
      <w:jc w:val="left"/>
    </w:pPr>
    <w:r>
      <w:rPr>
        <w:noProof/>
      </w:rPr>
      <w:drawing>
        <wp:anchor distT="0" distB="0" distL="114300" distR="114300" simplePos="0" relativeHeight="251658240" behindDoc="1" locked="0" layoutInCell="1" allowOverlap="1" wp14:anchorId="0CF63994" wp14:editId="5D0B8CCD">
          <wp:simplePos x="904875" y="447675"/>
          <wp:positionH relativeFrom="page">
            <wp:align>center</wp:align>
          </wp:positionH>
          <wp:positionV relativeFrom="page">
            <wp:posOffset>180340</wp:posOffset>
          </wp:positionV>
          <wp:extent cx="7200000" cy="107964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C4D5" w14:textId="77777777" w:rsidR="00B55AC5" w:rsidRDefault="00845D88" w:rsidP="00B55AC5">
    <w:pPr>
      <w:pStyle w:val="SecurityClassificationHeader"/>
    </w:pPr>
    <w:r>
      <w:fldChar w:fldCharType="begin"/>
    </w:r>
    <w:r>
      <w:instrText xml:space="preserve"> DOCPROPERTY SecurityClassification \* MERGEFORMAT </w:instrText>
    </w:r>
    <w:r>
      <w:fldChar w:fldCharType="separate"/>
    </w:r>
    <w:r w:rsidR="00C94EF5">
      <w:t>Protected</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6025" w14:textId="77777777" w:rsidR="00B55AC5" w:rsidRPr="001F3912" w:rsidRDefault="00B55AC5" w:rsidP="00AA47D6">
    <w:pPr>
      <w:pStyle w:val="SecurityClassification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BDFA2" w14:textId="77777777" w:rsidR="00B55AC5" w:rsidRPr="006344A9" w:rsidRDefault="00B55AC5" w:rsidP="006344A9">
    <w:pPr>
      <w:pStyle w:val="SecurityClassification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CD038" w14:textId="77777777" w:rsidR="00EF145E" w:rsidRDefault="00845D88" w:rsidP="00B55AC5">
    <w:pPr>
      <w:pStyle w:val="SecurityClassificationHeader"/>
    </w:pPr>
    <w:r>
      <w:fldChar w:fldCharType="begin"/>
    </w:r>
    <w:r>
      <w:instrText xml:space="preserve"> DOCPROPERTY SecurityClassification \* MERGEFORMAT </w:instrText>
    </w:r>
    <w:r>
      <w:fldChar w:fldCharType="separate"/>
    </w:r>
    <w:r w:rsidR="00C94EF5">
      <w:t>Protected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C42909"/>
    <w:multiLevelType w:val="multilevel"/>
    <w:tmpl w:val="753AC1FE"/>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2" w15:restartNumberingAfterBreak="0">
    <w:nsid w:val="510D2021"/>
    <w:multiLevelType w:val="multilevel"/>
    <w:tmpl w:val="72F8140E"/>
    <w:numStyleLink w:val="OutlineList"/>
  </w:abstractNum>
  <w:abstractNum w:abstractNumId="13"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8"/>
  </w:num>
  <w:num w:numId="2">
    <w:abstractNumId w:val="0"/>
  </w:num>
  <w:num w:numId="3">
    <w:abstractNumId w:val="10"/>
  </w:num>
  <w:num w:numId="4">
    <w:abstractNumId w:val="3"/>
  </w:num>
  <w:num w:numId="5">
    <w:abstractNumId w:val="4"/>
  </w:num>
  <w:num w:numId="6">
    <w:abstractNumId w:val="12"/>
  </w:num>
  <w:num w:numId="7">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5"/>
  </w:num>
  <w:num w:numId="9">
    <w:abstractNumId w:val="1"/>
  </w:num>
  <w:num w:numId="10">
    <w:abstractNumId w:val="7"/>
  </w:num>
  <w:num w:numId="11">
    <w:abstractNumId w:val="15"/>
  </w:num>
  <w:num w:numId="12">
    <w:abstractNumId w:val="12"/>
  </w:num>
  <w:num w:numId="13">
    <w:abstractNumId w:val="16"/>
  </w:num>
  <w:num w:numId="14">
    <w:abstractNumId w:val="11"/>
  </w:num>
  <w:num w:numId="15">
    <w:abstractNumId w:val="6"/>
  </w:num>
  <w:num w:numId="16">
    <w:abstractNumId w:val="13"/>
  </w:num>
  <w:num w:numId="17">
    <w:abstractNumId w:val="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B55AC5"/>
    <w:rsid w:val="00011725"/>
    <w:rsid w:val="00012C62"/>
    <w:rsid w:val="0002544D"/>
    <w:rsid w:val="0004274D"/>
    <w:rsid w:val="00043348"/>
    <w:rsid w:val="0004483F"/>
    <w:rsid w:val="0005138B"/>
    <w:rsid w:val="00051DFD"/>
    <w:rsid w:val="000522B7"/>
    <w:rsid w:val="00056880"/>
    <w:rsid w:val="000675D1"/>
    <w:rsid w:val="00073521"/>
    <w:rsid w:val="000775DE"/>
    <w:rsid w:val="00087FAF"/>
    <w:rsid w:val="000C571D"/>
    <w:rsid w:val="000C5B08"/>
    <w:rsid w:val="000C5F40"/>
    <w:rsid w:val="000D3F64"/>
    <w:rsid w:val="000E0B74"/>
    <w:rsid w:val="000E7901"/>
    <w:rsid w:val="00131DC3"/>
    <w:rsid w:val="00135E4C"/>
    <w:rsid w:val="001373F5"/>
    <w:rsid w:val="0014590D"/>
    <w:rsid w:val="00147A19"/>
    <w:rsid w:val="00154063"/>
    <w:rsid w:val="001606CF"/>
    <w:rsid w:val="0016128D"/>
    <w:rsid w:val="0016460C"/>
    <w:rsid w:val="0017089D"/>
    <w:rsid w:val="0018024F"/>
    <w:rsid w:val="0019101A"/>
    <w:rsid w:val="001972D2"/>
    <w:rsid w:val="001B5AA6"/>
    <w:rsid w:val="001C358D"/>
    <w:rsid w:val="001F1B27"/>
    <w:rsid w:val="00221EC0"/>
    <w:rsid w:val="00231049"/>
    <w:rsid w:val="002314D2"/>
    <w:rsid w:val="0023305C"/>
    <w:rsid w:val="00241881"/>
    <w:rsid w:val="0024294C"/>
    <w:rsid w:val="0025652F"/>
    <w:rsid w:val="00263B6C"/>
    <w:rsid w:val="00272939"/>
    <w:rsid w:val="0027590B"/>
    <w:rsid w:val="00285969"/>
    <w:rsid w:val="002A0583"/>
    <w:rsid w:val="002A496C"/>
    <w:rsid w:val="002A74EF"/>
    <w:rsid w:val="002B3829"/>
    <w:rsid w:val="002C22EF"/>
    <w:rsid w:val="002C2ED4"/>
    <w:rsid w:val="002C75B9"/>
    <w:rsid w:val="002E454C"/>
    <w:rsid w:val="002F617F"/>
    <w:rsid w:val="00300109"/>
    <w:rsid w:val="00306894"/>
    <w:rsid w:val="003122F4"/>
    <w:rsid w:val="00325888"/>
    <w:rsid w:val="003268D5"/>
    <w:rsid w:val="003448F6"/>
    <w:rsid w:val="00350759"/>
    <w:rsid w:val="00354D27"/>
    <w:rsid w:val="0035738A"/>
    <w:rsid w:val="00375504"/>
    <w:rsid w:val="00383202"/>
    <w:rsid w:val="003858A6"/>
    <w:rsid w:val="00392DCC"/>
    <w:rsid w:val="003A5B36"/>
    <w:rsid w:val="003C24B4"/>
    <w:rsid w:val="003E20D6"/>
    <w:rsid w:val="003E4D87"/>
    <w:rsid w:val="003F58B2"/>
    <w:rsid w:val="00401082"/>
    <w:rsid w:val="004140D9"/>
    <w:rsid w:val="00416762"/>
    <w:rsid w:val="00416E55"/>
    <w:rsid w:val="0042518A"/>
    <w:rsid w:val="00445265"/>
    <w:rsid w:val="004559CE"/>
    <w:rsid w:val="00460E1A"/>
    <w:rsid w:val="00463DF8"/>
    <w:rsid w:val="00475085"/>
    <w:rsid w:val="00476CF6"/>
    <w:rsid w:val="00477AA8"/>
    <w:rsid w:val="00492FCB"/>
    <w:rsid w:val="004A0F11"/>
    <w:rsid w:val="004A3EAA"/>
    <w:rsid w:val="004A7D97"/>
    <w:rsid w:val="004B5133"/>
    <w:rsid w:val="004C1D2F"/>
    <w:rsid w:val="004C41B6"/>
    <w:rsid w:val="004D6E37"/>
    <w:rsid w:val="004E00EA"/>
    <w:rsid w:val="004F4B92"/>
    <w:rsid w:val="00511428"/>
    <w:rsid w:val="00516785"/>
    <w:rsid w:val="0052419D"/>
    <w:rsid w:val="005301F8"/>
    <w:rsid w:val="005312FC"/>
    <w:rsid w:val="0053569E"/>
    <w:rsid w:val="0053603D"/>
    <w:rsid w:val="0053742A"/>
    <w:rsid w:val="00537C85"/>
    <w:rsid w:val="00541D29"/>
    <w:rsid w:val="00562F17"/>
    <w:rsid w:val="0056582C"/>
    <w:rsid w:val="00584470"/>
    <w:rsid w:val="005868DE"/>
    <w:rsid w:val="005966B7"/>
    <w:rsid w:val="005B3B04"/>
    <w:rsid w:val="005B5E2A"/>
    <w:rsid w:val="005C02A4"/>
    <w:rsid w:val="005C20D2"/>
    <w:rsid w:val="005C32FE"/>
    <w:rsid w:val="005D024A"/>
    <w:rsid w:val="005D2A6F"/>
    <w:rsid w:val="005D4FD4"/>
    <w:rsid w:val="005D6D64"/>
    <w:rsid w:val="005F47DC"/>
    <w:rsid w:val="00601650"/>
    <w:rsid w:val="00605AFD"/>
    <w:rsid w:val="00610C63"/>
    <w:rsid w:val="006123D4"/>
    <w:rsid w:val="0061445B"/>
    <w:rsid w:val="00624C4B"/>
    <w:rsid w:val="006344A9"/>
    <w:rsid w:val="00654CDB"/>
    <w:rsid w:val="00663898"/>
    <w:rsid w:val="006656DD"/>
    <w:rsid w:val="00674B04"/>
    <w:rsid w:val="00677831"/>
    <w:rsid w:val="00685CF7"/>
    <w:rsid w:val="00686165"/>
    <w:rsid w:val="00691CB5"/>
    <w:rsid w:val="00694EEB"/>
    <w:rsid w:val="006A37F5"/>
    <w:rsid w:val="006C1892"/>
    <w:rsid w:val="006C5B73"/>
    <w:rsid w:val="006C645D"/>
    <w:rsid w:val="006E3CC3"/>
    <w:rsid w:val="006E486E"/>
    <w:rsid w:val="006E5D8A"/>
    <w:rsid w:val="00706E8E"/>
    <w:rsid w:val="00722B53"/>
    <w:rsid w:val="00740500"/>
    <w:rsid w:val="00745001"/>
    <w:rsid w:val="007509DD"/>
    <w:rsid w:val="00763474"/>
    <w:rsid w:val="00784A98"/>
    <w:rsid w:val="00784C0A"/>
    <w:rsid w:val="00794B40"/>
    <w:rsid w:val="007A1079"/>
    <w:rsid w:val="007B76AB"/>
    <w:rsid w:val="007C4761"/>
    <w:rsid w:val="007C5D9A"/>
    <w:rsid w:val="007D592B"/>
    <w:rsid w:val="007D5AA6"/>
    <w:rsid w:val="007D7A91"/>
    <w:rsid w:val="007E6456"/>
    <w:rsid w:val="007E7FA4"/>
    <w:rsid w:val="00811943"/>
    <w:rsid w:val="008311B8"/>
    <w:rsid w:val="00834243"/>
    <w:rsid w:val="00845D88"/>
    <w:rsid w:val="00857969"/>
    <w:rsid w:val="00882CC4"/>
    <w:rsid w:val="008C7F71"/>
    <w:rsid w:val="008D339F"/>
    <w:rsid w:val="008E6292"/>
    <w:rsid w:val="00925AA5"/>
    <w:rsid w:val="00934A5D"/>
    <w:rsid w:val="0093540D"/>
    <w:rsid w:val="0094019D"/>
    <w:rsid w:val="00942C11"/>
    <w:rsid w:val="0094351F"/>
    <w:rsid w:val="00943528"/>
    <w:rsid w:val="009547F8"/>
    <w:rsid w:val="00962CD7"/>
    <w:rsid w:val="009729D4"/>
    <w:rsid w:val="00973CB7"/>
    <w:rsid w:val="00975C8C"/>
    <w:rsid w:val="009817B0"/>
    <w:rsid w:val="009821CE"/>
    <w:rsid w:val="009965A8"/>
    <w:rsid w:val="009A277C"/>
    <w:rsid w:val="009A658F"/>
    <w:rsid w:val="009E171B"/>
    <w:rsid w:val="00A015E8"/>
    <w:rsid w:val="00A07D47"/>
    <w:rsid w:val="00A12F62"/>
    <w:rsid w:val="00A14FE9"/>
    <w:rsid w:val="00A304AE"/>
    <w:rsid w:val="00A3749B"/>
    <w:rsid w:val="00A37D87"/>
    <w:rsid w:val="00A50D88"/>
    <w:rsid w:val="00A56923"/>
    <w:rsid w:val="00A62E42"/>
    <w:rsid w:val="00A64A71"/>
    <w:rsid w:val="00A72960"/>
    <w:rsid w:val="00A72D8F"/>
    <w:rsid w:val="00A93401"/>
    <w:rsid w:val="00AA47D6"/>
    <w:rsid w:val="00AC3196"/>
    <w:rsid w:val="00AE2F90"/>
    <w:rsid w:val="00B03DD6"/>
    <w:rsid w:val="00B3583B"/>
    <w:rsid w:val="00B37A8F"/>
    <w:rsid w:val="00B55AC5"/>
    <w:rsid w:val="00B65347"/>
    <w:rsid w:val="00B87927"/>
    <w:rsid w:val="00BA6F99"/>
    <w:rsid w:val="00BD26AA"/>
    <w:rsid w:val="00BD454F"/>
    <w:rsid w:val="00C01DCC"/>
    <w:rsid w:val="00C202B3"/>
    <w:rsid w:val="00C21EE0"/>
    <w:rsid w:val="00C30297"/>
    <w:rsid w:val="00C53F73"/>
    <w:rsid w:val="00C72318"/>
    <w:rsid w:val="00C724E6"/>
    <w:rsid w:val="00C747A5"/>
    <w:rsid w:val="00C85314"/>
    <w:rsid w:val="00C94EF5"/>
    <w:rsid w:val="00CA0116"/>
    <w:rsid w:val="00CA1B62"/>
    <w:rsid w:val="00CA4BC0"/>
    <w:rsid w:val="00CA5CA8"/>
    <w:rsid w:val="00CB0157"/>
    <w:rsid w:val="00CB5205"/>
    <w:rsid w:val="00CB5706"/>
    <w:rsid w:val="00CC559D"/>
    <w:rsid w:val="00CD25E4"/>
    <w:rsid w:val="00CD654B"/>
    <w:rsid w:val="00CE223E"/>
    <w:rsid w:val="00CF3F0D"/>
    <w:rsid w:val="00D145F5"/>
    <w:rsid w:val="00D322DF"/>
    <w:rsid w:val="00D355F0"/>
    <w:rsid w:val="00D43AC8"/>
    <w:rsid w:val="00D56113"/>
    <w:rsid w:val="00D833D9"/>
    <w:rsid w:val="00D83BD9"/>
    <w:rsid w:val="00D84346"/>
    <w:rsid w:val="00D94DCF"/>
    <w:rsid w:val="00D94EAE"/>
    <w:rsid w:val="00D96017"/>
    <w:rsid w:val="00D97D33"/>
    <w:rsid w:val="00DA586F"/>
    <w:rsid w:val="00DB08DA"/>
    <w:rsid w:val="00DB7A0B"/>
    <w:rsid w:val="00DB7F09"/>
    <w:rsid w:val="00DC00E8"/>
    <w:rsid w:val="00DC1C56"/>
    <w:rsid w:val="00DC4756"/>
    <w:rsid w:val="00DC6379"/>
    <w:rsid w:val="00DE3C77"/>
    <w:rsid w:val="00DF6F61"/>
    <w:rsid w:val="00E101C6"/>
    <w:rsid w:val="00E15601"/>
    <w:rsid w:val="00E22D51"/>
    <w:rsid w:val="00E50E7C"/>
    <w:rsid w:val="00E51545"/>
    <w:rsid w:val="00E51D9E"/>
    <w:rsid w:val="00E537D1"/>
    <w:rsid w:val="00E567E6"/>
    <w:rsid w:val="00E56971"/>
    <w:rsid w:val="00E61484"/>
    <w:rsid w:val="00E711D7"/>
    <w:rsid w:val="00E815E1"/>
    <w:rsid w:val="00E902B0"/>
    <w:rsid w:val="00E902E8"/>
    <w:rsid w:val="00EA23AC"/>
    <w:rsid w:val="00EA7C3D"/>
    <w:rsid w:val="00EB6878"/>
    <w:rsid w:val="00EC1E0E"/>
    <w:rsid w:val="00EC236D"/>
    <w:rsid w:val="00EC6B16"/>
    <w:rsid w:val="00EC7D27"/>
    <w:rsid w:val="00ED07AF"/>
    <w:rsid w:val="00ED094B"/>
    <w:rsid w:val="00EE1447"/>
    <w:rsid w:val="00EF145E"/>
    <w:rsid w:val="00EF2BBB"/>
    <w:rsid w:val="00F0082D"/>
    <w:rsid w:val="00F015AB"/>
    <w:rsid w:val="00F07C90"/>
    <w:rsid w:val="00F476F8"/>
    <w:rsid w:val="00F57BED"/>
    <w:rsid w:val="00F7613A"/>
    <w:rsid w:val="00F82746"/>
    <w:rsid w:val="00F836F9"/>
    <w:rsid w:val="00F845D7"/>
    <w:rsid w:val="00F92279"/>
    <w:rsid w:val="00FB4D21"/>
    <w:rsid w:val="00FB762B"/>
    <w:rsid w:val="00FC6ADA"/>
    <w:rsid w:val="00FD0AAA"/>
    <w:rsid w:val="00FF6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A93549E"/>
  <w15:docId w15:val="{1A356E0C-F813-4E99-BE32-CA3513D4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475085"/>
    <w:pPr>
      <w:spacing w:before="480"/>
      <w:outlineLvl w:val="0"/>
    </w:pPr>
    <w:rPr>
      <w:bCs w:val="0"/>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1972D2"/>
    <w:pPr>
      <w:outlineLvl w:val="4"/>
    </w:pPr>
    <w:rPr>
      <w:b/>
      <w:bCs w:val="0"/>
      <w:iCs/>
      <w:sz w:val="22"/>
    </w:rPr>
  </w:style>
  <w:style w:type="paragraph" w:styleId="Heading6">
    <w:name w:val="heading 6"/>
    <w:basedOn w:val="HeadingBase"/>
    <w:next w:val="Normal"/>
    <w:link w:val="Heading6Char"/>
    <w:qFormat/>
    <w:rsid w:val="001972D2"/>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085"/>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qFormat/>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qFormat/>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EE1447"/>
    <w:pPr>
      <w:keepNext/>
      <w:tabs>
        <w:tab w:val="clear" w:pos="4513"/>
        <w:tab w:val="clear" w:pos="9026"/>
      </w:tabs>
      <w:jc w:val="left"/>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1F1B27"/>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25652F"/>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25652F"/>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24294C"/>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24294C"/>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475085"/>
    <w:pPr>
      <w:keepNext/>
      <w:spacing w:after="120" w:line="240" w:lineRule="auto"/>
    </w:pPr>
    <w:rPr>
      <w:rFonts w:ascii="Calibri" w:eastAsia="Times New Roman" w:hAnsi="Calibri" w:cs="Arial"/>
      <w:bCs/>
      <w:color w:val="004A7F"/>
      <w:kern w:val="32"/>
      <w:sz w:val="48"/>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A12F62"/>
    <w:pPr>
      <w:jc w:val="left"/>
    </w:pPr>
  </w:style>
  <w:style w:type="paragraph" w:customStyle="1" w:styleId="HeaderOdd">
    <w:name w:val="Header Odd"/>
    <w:basedOn w:val="Header"/>
    <w:qFormat/>
    <w:rsid w:val="00A12F62"/>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paragraph" w:customStyle="1" w:styleId="SecurityClassificationHeader">
    <w:name w:val="Security Classification Header"/>
    <w:link w:val="SecurityClassificationHeaderChar"/>
    <w:rsid w:val="00B55AC5"/>
    <w:pPr>
      <w:spacing w:before="240" w:after="60"/>
      <w:jc w:val="center"/>
    </w:pPr>
    <w:rPr>
      <w:rFonts w:ascii="Calibri" w:eastAsia="Times New Roman" w:hAnsi="Calibri" w:cs="Times New Roman"/>
      <w:b/>
      <w:caps/>
      <w:color w:val="004A7F"/>
      <w:sz w:val="24"/>
      <w:szCs w:val="20"/>
      <w:lang w:eastAsia="en-AU"/>
    </w:rPr>
  </w:style>
  <w:style w:type="character" w:customStyle="1" w:styleId="SecurityClassificationHeaderChar">
    <w:name w:val="Security Classification Header Char"/>
    <w:basedOn w:val="HeaderChar"/>
    <w:link w:val="SecurityClassificationHeader"/>
    <w:rsid w:val="00B55AC5"/>
    <w:rPr>
      <w:rFonts w:ascii="Calibri" w:eastAsia="Times New Roman" w:hAnsi="Calibri" w:cs="Times New Roman"/>
      <w:b/>
      <w:caps/>
      <w:color w:val="004A7F"/>
      <w:sz w:val="24"/>
      <w:szCs w:val="20"/>
      <w:lang w:eastAsia="en-AU"/>
    </w:rPr>
  </w:style>
  <w:style w:type="paragraph" w:customStyle="1" w:styleId="SecurityClassificationFooter">
    <w:name w:val="Security Classification Footer"/>
    <w:link w:val="SecurityClassificationFooterChar"/>
    <w:rsid w:val="00B55AC5"/>
    <w:pPr>
      <w:spacing w:before="60" w:after="240"/>
      <w:jc w:val="center"/>
    </w:pPr>
    <w:rPr>
      <w:rFonts w:ascii="Calibri" w:eastAsia="Times New Roman" w:hAnsi="Calibri" w:cs="Times New Roman"/>
      <w:b/>
      <w:caps/>
      <w:color w:val="004A7F"/>
      <w:sz w:val="24"/>
      <w:szCs w:val="20"/>
      <w:lang w:eastAsia="en-AU"/>
    </w:rPr>
  </w:style>
  <w:style w:type="character" w:customStyle="1" w:styleId="SecurityClassificationFooterChar">
    <w:name w:val="Security Classification Footer Char"/>
    <w:basedOn w:val="HeaderChar"/>
    <w:link w:val="SecurityClassificationFooter"/>
    <w:rsid w:val="00B55AC5"/>
    <w:rPr>
      <w:rFonts w:ascii="Calibri" w:eastAsia="Times New Roman" w:hAnsi="Calibri" w:cs="Times New Roman"/>
      <w:b/>
      <w:caps/>
      <w:color w:val="004A7F"/>
      <w:sz w:val="24"/>
      <w:szCs w:val="20"/>
      <w:lang w:eastAsia="en-AU"/>
    </w:rPr>
  </w:style>
  <w:style w:type="paragraph" w:customStyle="1" w:styleId="DLMSecurityHeader">
    <w:name w:val="DLM Security Header"/>
    <w:link w:val="DLMSecurityHeaderChar"/>
    <w:rsid w:val="00B55AC5"/>
    <w:pPr>
      <w:spacing w:before="60" w:after="240"/>
      <w:jc w:val="center"/>
    </w:pPr>
    <w:rPr>
      <w:rFonts w:ascii="Calibri" w:eastAsia="Times New Roman" w:hAnsi="Calibri" w:cs="Times New Roman"/>
      <w:b/>
      <w:caps/>
      <w:color w:val="004A7F"/>
      <w:sz w:val="24"/>
      <w:szCs w:val="20"/>
      <w:lang w:eastAsia="en-AU"/>
    </w:rPr>
  </w:style>
  <w:style w:type="character" w:customStyle="1" w:styleId="DLMSecurityHeaderChar">
    <w:name w:val="DLM Security Header Char"/>
    <w:basedOn w:val="HeaderChar"/>
    <w:link w:val="DLMSecurityHeader"/>
    <w:rsid w:val="00B55AC5"/>
    <w:rPr>
      <w:rFonts w:ascii="Calibri" w:eastAsia="Times New Roman" w:hAnsi="Calibri" w:cs="Times New Roman"/>
      <w:b/>
      <w:caps/>
      <w:color w:val="004A7F"/>
      <w:sz w:val="24"/>
      <w:szCs w:val="20"/>
      <w:lang w:eastAsia="en-AU"/>
    </w:rPr>
  </w:style>
  <w:style w:type="paragraph" w:customStyle="1" w:styleId="DLMSecurityFooter">
    <w:name w:val="DLM Security Footer"/>
    <w:link w:val="DLMSecurityFooterChar"/>
    <w:rsid w:val="00B55AC5"/>
    <w:pPr>
      <w:spacing w:before="240" w:after="60"/>
      <w:jc w:val="center"/>
    </w:pPr>
    <w:rPr>
      <w:rFonts w:ascii="Calibri" w:eastAsia="Times New Roman" w:hAnsi="Calibri" w:cs="Times New Roman"/>
      <w:b/>
      <w:caps/>
      <w:color w:val="004A7F"/>
      <w:sz w:val="24"/>
      <w:szCs w:val="20"/>
      <w:lang w:eastAsia="en-AU"/>
    </w:rPr>
  </w:style>
  <w:style w:type="character" w:customStyle="1" w:styleId="DLMSecurityFooterChar">
    <w:name w:val="DLM Security Footer Char"/>
    <w:basedOn w:val="HeaderChar"/>
    <w:link w:val="DLMSecurityFooter"/>
    <w:rsid w:val="00B55AC5"/>
    <w:rPr>
      <w:rFonts w:ascii="Calibri" w:eastAsia="Times New Roman" w:hAnsi="Calibri" w:cs="Times New Roman"/>
      <w:b/>
      <w:caps/>
      <w:color w:val="004A7F"/>
      <w:sz w:val="24"/>
      <w:szCs w:val="20"/>
      <w:lang w:eastAsia="en-AU"/>
    </w:rPr>
  </w:style>
  <w:style w:type="character" w:styleId="CommentReference">
    <w:name w:val="annotation reference"/>
    <w:basedOn w:val="DefaultParagraphFont"/>
    <w:uiPriority w:val="99"/>
    <w:semiHidden/>
    <w:unhideWhenUsed/>
    <w:rsid w:val="00BA6F99"/>
    <w:rPr>
      <w:sz w:val="16"/>
      <w:szCs w:val="16"/>
    </w:rPr>
  </w:style>
  <w:style w:type="paragraph" w:styleId="CommentText">
    <w:name w:val="annotation text"/>
    <w:basedOn w:val="Normal"/>
    <w:link w:val="CommentTextChar"/>
    <w:uiPriority w:val="99"/>
    <w:semiHidden/>
    <w:unhideWhenUsed/>
    <w:rsid w:val="00BA6F99"/>
    <w:rPr>
      <w:sz w:val="20"/>
    </w:rPr>
  </w:style>
  <w:style w:type="character" w:customStyle="1" w:styleId="CommentTextChar">
    <w:name w:val="Comment Text Char"/>
    <w:basedOn w:val="DefaultParagraphFont"/>
    <w:link w:val="CommentText"/>
    <w:uiPriority w:val="99"/>
    <w:semiHidden/>
    <w:rsid w:val="00BA6F99"/>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A6F99"/>
    <w:rPr>
      <w:b/>
      <w:bCs/>
    </w:rPr>
  </w:style>
  <w:style w:type="character" w:customStyle="1" w:styleId="CommentSubjectChar">
    <w:name w:val="Comment Subject Char"/>
    <w:basedOn w:val="CommentTextChar"/>
    <w:link w:val="CommentSubject"/>
    <w:uiPriority w:val="99"/>
    <w:semiHidden/>
    <w:rsid w:val="00BA6F99"/>
    <w:rPr>
      <w:rFonts w:ascii="Calibri" w:eastAsia="Times New Roman" w:hAnsi="Calibri"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Basic%20A4%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439E3-667E-4FC7-B4CD-67EBB4B2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A4 Report.dotm</Template>
  <TotalTime>12</TotalTime>
  <Pages>4</Pages>
  <Words>1125</Words>
  <Characters>5740</Characters>
  <Application>Microsoft Office Word</Application>
  <DocSecurity>0</DocSecurity>
  <Lines>91</Lines>
  <Paragraphs>17</Paragraphs>
  <ScaleCrop>false</ScaleCrop>
  <HeadingPairs>
    <vt:vector size="2" baseType="variant">
      <vt:variant>
        <vt:lpstr>Title</vt:lpstr>
      </vt:variant>
      <vt:variant>
        <vt:i4>1</vt:i4>
      </vt:variant>
    </vt:vector>
  </HeadingPairs>
  <TitlesOfParts>
    <vt:vector size="1" baseType="lpstr">
      <vt:lpstr>Joint Economic Forecasting Group Report - March 2018</vt:lpstr>
    </vt:vector>
  </TitlesOfParts>
  <Company>Australian Government - The Treasury</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Economic Forecasting Group Report - March 2018</dc:title>
  <dc:creator>The Treasury</dc:creator>
  <cp:lastModifiedBy>Hill, Christine</cp:lastModifiedBy>
  <cp:revision>9</cp:revision>
  <cp:lastPrinted>2021-01-19T02:57:00Z</cp:lastPrinted>
  <dcterms:created xsi:type="dcterms:W3CDTF">2021-01-17T22:48:00Z</dcterms:created>
  <dcterms:modified xsi:type="dcterms:W3CDTF">2021-08-05T05:14:00Z</dcterms:modified>
</cp:coreProperties>
</file>