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7970"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795D89D0" w14:textId="70FD6DC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8A5B9C295AC846ACB8EC3C023B16580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11140">
            <w:rPr>
              <w:sz w:val="24"/>
              <w:szCs w:val="24"/>
            </w:rPr>
            <w:t>Assistant Treasurer, Minister for Housing and Minister for Homelessness, Social and Community Housing</w:t>
          </w:r>
        </w:sdtContent>
      </w:sdt>
    </w:p>
    <w:p w14:paraId="147CDF62" w14:textId="0B51AA85" w:rsidR="00F109D4" w:rsidRDefault="00D11140" w:rsidP="003C7907">
      <w:pPr>
        <w:spacing w:before="240" w:after="240"/>
        <w:jc w:val="center"/>
        <w:rPr>
          <w:i/>
        </w:rPr>
      </w:pPr>
      <w:r>
        <w:rPr>
          <w:i/>
        </w:rPr>
        <w:t>Corporations Act 2001</w:t>
      </w:r>
    </w:p>
    <w:p w14:paraId="570775C6" w14:textId="41283DF0" w:rsidR="00D11140" w:rsidRDefault="00C16DC4" w:rsidP="003C7907">
      <w:pPr>
        <w:spacing w:before="240" w:after="240"/>
        <w:jc w:val="center"/>
        <w:rPr>
          <w:i/>
        </w:rPr>
      </w:pPr>
      <w:r>
        <w:rPr>
          <w:i/>
        </w:rPr>
        <w:t>Foreign Acquisitions and Takeovers Act 1975</w:t>
      </w:r>
    </w:p>
    <w:p w14:paraId="3C928E60" w14:textId="05944DFB" w:rsidR="00C16DC4" w:rsidRDefault="00C16DC4" w:rsidP="003C7907">
      <w:pPr>
        <w:spacing w:before="240" w:after="240"/>
        <w:jc w:val="center"/>
        <w:rPr>
          <w:i/>
        </w:rPr>
      </w:pPr>
      <w:r>
        <w:rPr>
          <w:i/>
        </w:rPr>
        <w:t>National Consumer Credit Protection Act 2009</w:t>
      </w:r>
    </w:p>
    <w:p w14:paraId="5633CC55" w14:textId="7E2AA498" w:rsidR="00C16DC4" w:rsidRDefault="00C16DC4" w:rsidP="003C7907">
      <w:pPr>
        <w:spacing w:before="240" w:after="240"/>
        <w:jc w:val="center"/>
        <w:rPr>
          <w:i/>
        </w:rPr>
      </w:pPr>
      <w:r>
        <w:rPr>
          <w:i/>
        </w:rPr>
        <w:t>Retirement Savings Accounts Act 1997</w:t>
      </w:r>
    </w:p>
    <w:p w14:paraId="56366380" w14:textId="0AAC09A7" w:rsidR="00C16DC4" w:rsidRDefault="00C16DC4" w:rsidP="003C7907">
      <w:pPr>
        <w:spacing w:before="240" w:after="240"/>
        <w:jc w:val="center"/>
        <w:rPr>
          <w:i/>
        </w:rPr>
      </w:pPr>
      <w:r>
        <w:rPr>
          <w:i/>
        </w:rPr>
        <w:t>Superannuation (Unclaimed Money and Lost Members) Act 1999</w:t>
      </w:r>
    </w:p>
    <w:p w14:paraId="15927EF5" w14:textId="5E7359FC" w:rsidR="00F109D4" w:rsidRPr="00503E44" w:rsidRDefault="00C16DC4" w:rsidP="00AA1689">
      <w:pPr>
        <w:tabs>
          <w:tab w:val="left" w:pos="1418"/>
        </w:tabs>
        <w:spacing w:before="0" w:after="240"/>
        <w:jc w:val="center"/>
        <w:rPr>
          <w:i/>
        </w:rPr>
      </w:pPr>
      <w:r w:rsidRPr="008B7186">
        <w:rPr>
          <w:i/>
        </w:rPr>
        <w:t>Treasury Laws Amendment (Measures for Consultation) Regulation 2021</w:t>
      </w:r>
      <w:r w:rsidR="00D5264F" w:rsidRPr="008B7186">
        <w:rPr>
          <w:i/>
        </w:rPr>
        <w:t>: Miscellaneous and Technical Amendments No. 2</w:t>
      </w:r>
    </w:p>
    <w:p w14:paraId="301D3401" w14:textId="151745D7" w:rsidR="00F109D4" w:rsidRDefault="00C55D29" w:rsidP="00647BB7">
      <w:pPr>
        <w:spacing w:before="240"/>
      </w:pPr>
      <w:r w:rsidRPr="00503E44">
        <w:t xml:space="preserve">Section </w:t>
      </w:r>
      <w:r w:rsidR="00C16DC4">
        <w:t>1364</w:t>
      </w:r>
      <w:r w:rsidR="005E4BAC">
        <w:t xml:space="preserve"> </w:t>
      </w:r>
      <w:r w:rsidR="00F109D4" w:rsidRPr="00503E44">
        <w:t xml:space="preserve">of the </w:t>
      </w:r>
      <w:r w:rsidR="00C16DC4" w:rsidRPr="00C16DC4">
        <w:rPr>
          <w:i/>
          <w:iCs/>
        </w:rPr>
        <w:t>Corporations Act 2001</w:t>
      </w:r>
      <w:r w:rsidR="00C16DC4">
        <w:t xml:space="preserve">, </w:t>
      </w:r>
      <w:r w:rsidR="00263004">
        <w:t>section 139 of the</w:t>
      </w:r>
      <w:r w:rsidR="00AD3297">
        <w:t xml:space="preserve"> </w:t>
      </w:r>
      <w:r w:rsidR="009F26C8">
        <w:t xml:space="preserve">of the </w:t>
      </w:r>
      <w:r w:rsidR="009F26C8">
        <w:rPr>
          <w:i/>
          <w:iCs/>
        </w:rPr>
        <w:t xml:space="preserve">Foreign Acquisitions and Takeovers Act 1975, </w:t>
      </w:r>
      <w:r w:rsidR="009F26C8">
        <w:t xml:space="preserve">section 329 of the </w:t>
      </w:r>
      <w:r w:rsidR="009F26C8">
        <w:rPr>
          <w:i/>
          <w:iCs/>
        </w:rPr>
        <w:t>National Consumer Credit Protection Act 2009</w:t>
      </w:r>
      <w:r w:rsidR="009F26C8">
        <w:t xml:space="preserve">, section 200 of the </w:t>
      </w:r>
      <w:r w:rsidR="009F26C8">
        <w:rPr>
          <w:i/>
          <w:iCs/>
        </w:rPr>
        <w:t xml:space="preserve">Retirement Savings Accounts Act 1997 </w:t>
      </w:r>
      <w:r w:rsidR="009F26C8">
        <w:t xml:space="preserve">and section 50 of the </w:t>
      </w:r>
      <w:r w:rsidR="009F26C8">
        <w:rPr>
          <w:i/>
          <w:iCs/>
        </w:rPr>
        <w:t>Superannuation (Unclaimed Money and Lost Members) Act 1999</w:t>
      </w:r>
      <w:r w:rsidR="00263004">
        <w:t xml:space="preserve"> </w:t>
      </w:r>
      <w:r w:rsidR="00F109D4" w:rsidRPr="00503E44">
        <w:t>provides that the Governor-General may make regulations prescribing matters required or permitted by th</w:t>
      </w:r>
      <w:r w:rsidR="009F26C8">
        <w:t>ose</w:t>
      </w:r>
      <w:r w:rsidR="00F109D4" w:rsidRPr="00503E44">
        <w:t xml:space="preserve"> Act</w:t>
      </w:r>
      <w:r w:rsidR="009F26C8">
        <w:t>s</w:t>
      </w:r>
      <w:r w:rsidR="00F109D4" w:rsidRPr="00503E44">
        <w:t xml:space="preserve"> to be prescribed, or necessary or convenient to be prescribed for carrying out or giving effect to th</w:t>
      </w:r>
      <w:r w:rsidR="009F26C8">
        <w:t>ose</w:t>
      </w:r>
      <w:r w:rsidR="00F109D4" w:rsidRPr="00503E44">
        <w:t xml:space="preserve"> Act</w:t>
      </w:r>
      <w:r w:rsidR="009F26C8">
        <w:t>s</w:t>
      </w:r>
      <w:r w:rsidR="00F109D4" w:rsidRPr="00503E44">
        <w:t>.</w:t>
      </w:r>
    </w:p>
    <w:p w14:paraId="6B60CA46" w14:textId="28B4A358" w:rsidR="00F109D4" w:rsidRDefault="009F26C8" w:rsidP="006E2DC0">
      <w:pPr>
        <w:tabs>
          <w:tab w:val="left" w:pos="1418"/>
        </w:tabs>
        <w:spacing w:before="0" w:after="240"/>
        <w:rPr>
          <w:color w:val="000000"/>
          <w:szCs w:val="24"/>
        </w:rPr>
      </w:pPr>
      <w:r w:rsidRPr="004A56CE">
        <w:rPr>
          <w:color w:val="000000"/>
          <w:szCs w:val="24"/>
        </w:rPr>
        <w:t>The purpose of the </w:t>
      </w:r>
      <w:r>
        <w:rPr>
          <w:i/>
        </w:rPr>
        <w:t>Treasury Laws Amendment (Measures for Consultation) Regulation 2021</w:t>
      </w:r>
      <w:r w:rsidR="00D5264F" w:rsidRPr="00D5264F">
        <w:rPr>
          <w:i/>
        </w:rPr>
        <w:t>: Miscellaneous and Technical Amendments No. 2</w:t>
      </w:r>
      <w:r>
        <w:rPr>
          <w:i/>
        </w:rPr>
        <w:t xml:space="preserve"> </w:t>
      </w:r>
      <w:r w:rsidRPr="004A56CE">
        <w:rPr>
          <w:color w:val="000000"/>
          <w:szCs w:val="24"/>
        </w:rPr>
        <w:t xml:space="preserve">(the Regulations) is to make minor and technical amendments in the Treasury portfolio, including to </w:t>
      </w:r>
      <w:proofErr w:type="gramStart"/>
      <w:r w:rsidRPr="004A56CE">
        <w:rPr>
          <w:color w:val="000000"/>
          <w:szCs w:val="24"/>
        </w:rPr>
        <w:t>corporations</w:t>
      </w:r>
      <w:proofErr w:type="gramEnd"/>
      <w:r w:rsidRPr="004A56CE">
        <w:rPr>
          <w:color w:val="000000"/>
          <w:szCs w:val="24"/>
        </w:rPr>
        <w:t xml:space="preserve"> law</w:t>
      </w:r>
      <w:r w:rsidR="006E2DC0">
        <w:rPr>
          <w:color w:val="000000"/>
          <w:szCs w:val="24"/>
        </w:rPr>
        <w:t>, laws relating to foreign acquisitions and takeovers, laws relating to consumer credit,</w:t>
      </w:r>
      <w:r>
        <w:rPr>
          <w:color w:val="000000"/>
          <w:szCs w:val="24"/>
        </w:rPr>
        <w:t xml:space="preserve"> </w:t>
      </w:r>
      <w:r w:rsidRPr="004A56CE">
        <w:rPr>
          <w:color w:val="000000"/>
          <w:szCs w:val="24"/>
        </w:rPr>
        <w:t xml:space="preserve">and laws relating to </w:t>
      </w:r>
      <w:r>
        <w:rPr>
          <w:color w:val="000000"/>
          <w:szCs w:val="24"/>
        </w:rPr>
        <w:t>superannuation</w:t>
      </w:r>
      <w:r w:rsidRPr="004A56CE">
        <w:rPr>
          <w:color w:val="000000"/>
          <w:szCs w:val="24"/>
        </w:rPr>
        <w:t>.</w:t>
      </w:r>
    </w:p>
    <w:p w14:paraId="34EB3964" w14:textId="01813393" w:rsidR="001A362B" w:rsidRDefault="001A362B" w:rsidP="006E2DC0">
      <w:pPr>
        <w:tabs>
          <w:tab w:val="left" w:pos="1418"/>
        </w:tabs>
        <w:spacing w:before="0" w:after="240"/>
        <w:rPr>
          <w:color w:val="000000"/>
          <w:szCs w:val="24"/>
        </w:rPr>
      </w:pPr>
      <w:r w:rsidRPr="001A362B">
        <w:rPr>
          <w:color w:val="000000"/>
          <w:szCs w:val="24"/>
        </w:rPr>
        <w:t>Minor and technical amendments are periodically made to Treasury legislation to remove anomalies, update references, correct unintended outcomes and improve the quality of laws. The amendments are part of the Government’s commitment to the care and maintenance of Treasury portfolio legislation. </w:t>
      </w:r>
      <w:r w:rsidRPr="004A56CE">
        <w:rPr>
          <w:color w:val="000000"/>
          <w:szCs w:val="24"/>
        </w:rPr>
        <w:t>The process was first supported by a recommendation of the 2008 Tax Design Review Panel, which considered ways to improve the quality of tax law changes. It has since been expanded to all Treasury legislation.</w:t>
      </w:r>
    </w:p>
    <w:p w14:paraId="242E7776" w14:textId="287A156E" w:rsidR="006E2DC0" w:rsidRDefault="006E2DC0" w:rsidP="006E2DC0">
      <w:pPr>
        <w:shd w:val="clear" w:color="auto" w:fill="FFFFFF"/>
        <w:rPr>
          <w:color w:val="000000"/>
          <w:szCs w:val="24"/>
        </w:rPr>
      </w:pPr>
      <w:r w:rsidRPr="004A56CE">
        <w:rPr>
          <w:color w:val="000000"/>
          <w:szCs w:val="24"/>
        </w:rPr>
        <w:t xml:space="preserve">The Regulations amend various Treasury portfolio regulations to make minor and technical changes that correct typographical and referencing errors, </w:t>
      </w:r>
      <w:r w:rsidRPr="00505058">
        <w:rPr>
          <w:color w:val="000000"/>
          <w:szCs w:val="24"/>
        </w:rPr>
        <w:t xml:space="preserve">address unintended outcomes, </w:t>
      </w:r>
      <w:r w:rsidR="00CF1724" w:rsidRPr="00505058">
        <w:rPr>
          <w:color w:val="000000"/>
          <w:szCs w:val="24"/>
        </w:rPr>
        <w:t xml:space="preserve">update </w:t>
      </w:r>
      <w:r w:rsidRPr="00505058">
        <w:rPr>
          <w:color w:val="000000"/>
          <w:szCs w:val="24"/>
        </w:rPr>
        <w:t xml:space="preserve">out of date </w:t>
      </w:r>
      <w:r w:rsidR="00CF1724" w:rsidRPr="00505058">
        <w:rPr>
          <w:color w:val="000000"/>
          <w:szCs w:val="24"/>
        </w:rPr>
        <w:t>references</w:t>
      </w:r>
      <w:r w:rsidRPr="00505058">
        <w:rPr>
          <w:color w:val="000000"/>
          <w:szCs w:val="24"/>
        </w:rPr>
        <w:t>, and repeal inoperative provisions.</w:t>
      </w:r>
      <w:r w:rsidRPr="004A56CE">
        <w:rPr>
          <w:color w:val="000000"/>
          <w:szCs w:val="24"/>
        </w:rPr>
        <w:t xml:space="preserve"> These changes ensure that the Treasury regulations operate as intended.</w:t>
      </w:r>
    </w:p>
    <w:p w14:paraId="6694CC4B" w14:textId="553AF6D4" w:rsidR="006E2DC0" w:rsidRDefault="006E2DC0" w:rsidP="006E2DC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r w:rsidR="00F3288B" w:rsidRPr="00F3288B">
        <w:t xml:space="preserve"> </w:t>
      </w:r>
      <w:r w:rsidR="00F3288B">
        <w:t xml:space="preserve">Details of the Regulations are set out in </w:t>
      </w:r>
      <w:r w:rsidR="00F3288B" w:rsidRPr="00317816">
        <w:rPr>
          <w:u w:val="single"/>
        </w:rPr>
        <w:t>Attachment</w:t>
      </w:r>
      <w:r w:rsidR="00F3288B">
        <w:rPr>
          <w:u w:val="single"/>
        </w:rPr>
        <w:t xml:space="preserve"> A</w:t>
      </w:r>
    </w:p>
    <w:p w14:paraId="31F9EB38" w14:textId="77777777" w:rsidR="007D224A" w:rsidRDefault="006E2DC0" w:rsidP="007D224A">
      <w:pPr>
        <w:spacing w:before="240"/>
        <w:sectPr w:rsidR="007D224A" w:rsidSect="007D224A">
          <w:footerReference w:type="default" r:id="rId13"/>
          <w:headerReference w:type="first" r:id="rId14"/>
          <w:pgSz w:w="11906" w:h="16838"/>
          <w:pgMar w:top="1440" w:right="1800" w:bottom="1440" w:left="1800" w:header="720" w:footer="720" w:gutter="0"/>
          <w:cols w:space="720"/>
          <w:titlePg/>
          <w:docGrid w:linePitch="360"/>
        </w:sectPr>
      </w:pPr>
      <w:r>
        <w:t xml:space="preserve">Part 1 of Schedule 1 of the regulations commences the day after registration. Part 2 of Schedule 2 commences at the same time as the </w:t>
      </w:r>
      <w:r>
        <w:rPr>
          <w:i/>
          <w:iCs/>
        </w:rPr>
        <w:t>Treasury Laws Amendment (Measures for Consultation) Act 2021</w:t>
      </w:r>
      <w:r w:rsidR="00CF1724">
        <w:rPr>
          <w:i/>
          <w:iCs/>
        </w:rPr>
        <w:t xml:space="preserve">: </w:t>
      </w:r>
      <w:r w:rsidR="00CF1724" w:rsidRPr="00D5264F">
        <w:rPr>
          <w:i/>
        </w:rPr>
        <w:t>Miscellaneous and Technical Amendments No. 2</w:t>
      </w:r>
      <w:r>
        <w:t xml:space="preserve">. </w:t>
      </w:r>
    </w:p>
    <w:p w14:paraId="3C13D94F" w14:textId="0055E289" w:rsidR="00EA4DD8" w:rsidRDefault="00EA4DD8" w:rsidP="00EA4DD8">
      <w:pPr>
        <w:pageBreakBefore/>
        <w:spacing w:before="240"/>
        <w:jc w:val="right"/>
        <w:rPr>
          <w:b/>
          <w:u w:val="single"/>
        </w:rPr>
      </w:pPr>
      <w:r w:rsidRPr="007B335E">
        <w:rPr>
          <w:b/>
          <w:u w:val="single"/>
        </w:rPr>
        <w:lastRenderedPageBreak/>
        <w:t xml:space="preserve">ATTACHMENT </w:t>
      </w:r>
      <w:r w:rsidR="006E2DC0">
        <w:rPr>
          <w:b/>
          <w:u w:val="single"/>
        </w:rPr>
        <w:t>A</w:t>
      </w:r>
    </w:p>
    <w:p w14:paraId="60847474" w14:textId="481CD162" w:rsidR="00EA4DD8" w:rsidRDefault="00EA4DD8" w:rsidP="00EA4DD8">
      <w:pPr>
        <w:spacing w:before="240"/>
        <w:ind w:right="91"/>
        <w:rPr>
          <w:b/>
          <w:bCs/>
          <w:szCs w:val="24"/>
          <w:u w:val="single"/>
        </w:rPr>
      </w:pPr>
      <w:r>
        <w:rPr>
          <w:b/>
          <w:bCs/>
          <w:u w:val="single"/>
        </w:rPr>
        <w:t xml:space="preserve">Details of the </w:t>
      </w:r>
      <w:r w:rsidR="00A434CC">
        <w:rPr>
          <w:b/>
          <w:bCs/>
          <w:i/>
          <w:iCs/>
          <w:u w:val="single"/>
        </w:rPr>
        <w:t>Treasury Laws Amendment (Measures for Consultation) Regulation 2021: Miscellaneous and Technical Amendments No. 2</w:t>
      </w:r>
      <w:r>
        <w:rPr>
          <w:b/>
          <w:bCs/>
          <w:u w:val="single"/>
        </w:rPr>
        <w:t xml:space="preserve"> </w:t>
      </w:r>
    </w:p>
    <w:p w14:paraId="1F4B73AD" w14:textId="77777777" w:rsidR="00A91FA3" w:rsidRDefault="006E2DC0" w:rsidP="00EA4DD8">
      <w:pPr>
        <w:spacing w:before="240"/>
        <w:ind w:right="91"/>
        <w:rPr>
          <w:color w:val="000000" w:themeColor="text1"/>
        </w:rPr>
      </w:pPr>
      <w:r>
        <w:t xml:space="preserve">Part 1 of </w:t>
      </w:r>
      <w:r w:rsidR="00EA4DD8">
        <w:t>Schedule 1 to the Regulations commence</w:t>
      </w:r>
      <w:r>
        <w:t>s</w:t>
      </w:r>
      <w:r w:rsidR="00EA4DD8">
        <w:t xml:space="preserve"> on </w:t>
      </w:r>
      <w:r w:rsidR="00EA4DD8" w:rsidRPr="006E2DC0">
        <w:rPr>
          <w:color w:val="000000" w:themeColor="text1"/>
        </w:rPr>
        <w:t>the day after the instrument is registered</w:t>
      </w:r>
      <w:r w:rsidR="00A91FA3">
        <w:rPr>
          <w:color w:val="000000" w:themeColor="text1"/>
        </w:rPr>
        <w:t xml:space="preserve"> </w:t>
      </w:r>
      <w:r w:rsidR="00A91FA3">
        <w:t>on the Federal Register of Legislation</w:t>
      </w:r>
      <w:r>
        <w:rPr>
          <w:color w:val="000000" w:themeColor="text1"/>
        </w:rPr>
        <w:t xml:space="preserve">. </w:t>
      </w:r>
    </w:p>
    <w:p w14:paraId="3D400A3B" w14:textId="04A83625" w:rsidR="00EA4DD8" w:rsidRDefault="006E2DC0" w:rsidP="00EA4DD8">
      <w:pPr>
        <w:spacing w:before="240"/>
        <w:ind w:right="91"/>
      </w:pPr>
      <w:r>
        <w:rPr>
          <w:color w:val="000000" w:themeColor="text1"/>
        </w:rPr>
        <w:t xml:space="preserve">Part 2 of Schedule 1 commences </w:t>
      </w:r>
      <w:r w:rsidR="00A91FA3">
        <w:rPr>
          <w:color w:val="000000" w:themeColor="text1"/>
        </w:rPr>
        <w:t xml:space="preserve">at the same time as Part 1 of Schedule 1 to the </w:t>
      </w:r>
      <w:r w:rsidR="00A91FA3">
        <w:rPr>
          <w:i/>
          <w:iCs/>
          <w:color w:val="000000" w:themeColor="text1"/>
        </w:rPr>
        <w:t>Treasury Laws Amendment (Measures for Consultation) Act 2021</w:t>
      </w:r>
      <w:r w:rsidR="00374C03">
        <w:rPr>
          <w:i/>
          <w:iCs/>
          <w:color w:val="000000" w:themeColor="text1"/>
        </w:rPr>
        <w:t xml:space="preserve">: </w:t>
      </w:r>
      <w:r w:rsidR="00374C03" w:rsidRPr="00D5264F">
        <w:rPr>
          <w:i/>
        </w:rPr>
        <w:t>Miscellaneous and Technical Amendments No. 2</w:t>
      </w:r>
      <w:r w:rsidR="00A91FA3">
        <w:rPr>
          <w:color w:val="000000" w:themeColor="text1"/>
        </w:rPr>
        <w:t>. However</w:t>
      </w:r>
      <w:r w:rsidR="00A10087">
        <w:rPr>
          <w:color w:val="000000" w:themeColor="text1"/>
        </w:rPr>
        <w:t>,</w:t>
      </w:r>
      <w:r w:rsidR="00A91FA3">
        <w:rPr>
          <w:color w:val="000000" w:themeColor="text1"/>
        </w:rPr>
        <w:t xml:space="preserve"> Part 2 of Schedule 1 does not commence at all if that Part in the Act does not commence. </w:t>
      </w:r>
    </w:p>
    <w:p w14:paraId="46688C31" w14:textId="1178E74B" w:rsidR="00A91FA3" w:rsidRPr="00A91FA3" w:rsidRDefault="00EA4DD8" w:rsidP="00A91FA3">
      <w:pPr>
        <w:spacing w:before="240" w:after="240"/>
        <w:rPr>
          <w:iCs/>
        </w:rPr>
      </w:pPr>
      <w:r>
        <w:t xml:space="preserve">The Regulations are made under the </w:t>
      </w:r>
      <w:r w:rsidR="00A91FA3">
        <w:rPr>
          <w:i/>
        </w:rPr>
        <w:t xml:space="preserve">Corporations Act </w:t>
      </w:r>
      <w:r w:rsidR="00A91FA3" w:rsidRPr="00A91FA3">
        <w:rPr>
          <w:i/>
        </w:rPr>
        <w:t>2001, Foreign</w:t>
      </w:r>
      <w:r w:rsidR="00A91FA3">
        <w:rPr>
          <w:i/>
        </w:rPr>
        <w:t xml:space="preserve"> Acquisitions and Takeovers Act 1975, National Consumer Credit Protection Act 2009, Retirement Savings Accounts Act </w:t>
      </w:r>
      <w:r w:rsidR="00A91FA3" w:rsidRPr="00A91FA3">
        <w:rPr>
          <w:iCs/>
        </w:rPr>
        <w:t>1997</w:t>
      </w:r>
      <w:r w:rsidR="003C30AD">
        <w:rPr>
          <w:iCs/>
        </w:rPr>
        <w:t xml:space="preserve"> </w:t>
      </w:r>
      <w:r w:rsidR="00A91FA3">
        <w:rPr>
          <w:iCs/>
        </w:rPr>
        <w:t xml:space="preserve">and the </w:t>
      </w:r>
      <w:r w:rsidR="00A91FA3" w:rsidRPr="00A91FA3">
        <w:rPr>
          <w:i/>
        </w:rPr>
        <w:t>Superannuation (Unclaimed Money and Lost Members) Act 1999</w:t>
      </w:r>
      <w:r w:rsidR="00A91FA3">
        <w:rPr>
          <w:i/>
        </w:rPr>
        <w:t xml:space="preserve">. </w:t>
      </w:r>
    </w:p>
    <w:p w14:paraId="20D151F6" w14:textId="44291C1C" w:rsidR="00EA4DD8" w:rsidRDefault="00EA4DD8" w:rsidP="004326E7">
      <w:pPr>
        <w:spacing w:after="0"/>
        <w:ind w:right="91"/>
        <w:rPr>
          <w:color w:val="FF0000"/>
          <w:u w:val="single"/>
        </w:rPr>
      </w:pPr>
      <w:r>
        <w:rPr>
          <w:u w:val="single"/>
        </w:rPr>
        <w:t xml:space="preserve">Schedule 1 – Amendments </w:t>
      </w:r>
    </w:p>
    <w:p w14:paraId="78282CD8" w14:textId="384D5008" w:rsidR="004326E7" w:rsidRDefault="004326E7" w:rsidP="004326E7">
      <w:pPr>
        <w:spacing w:after="0"/>
        <w:ind w:right="91"/>
        <w:rPr>
          <w:color w:val="FF0000"/>
          <w:u w:val="single"/>
        </w:rPr>
      </w:pPr>
    </w:p>
    <w:p w14:paraId="09041C99" w14:textId="1766B45A" w:rsidR="004326E7" w:rsidRDefault="004326E7" w:rsidP="004326E7">
      <w:pPr>
        <w:spacing w:after="0"/>
        <w:ind w:right="91"/>
        <w:rPr>
          <w:b/>
          <w:bCs/>
          <w:color w:val="000000" w:themeColor="text1"/>
        </w:rPr>
      </w:pPr>
      <w:r>
        <w:rPr>
          <w:b/>
          <w:bCs/>
          <w:color w:val="000000" w:themeColor="text1"/>
        </w:rPr>
        <w:t xml:space="preserve">Part 1 – Amendments </w:t>
      </w:r>
      <w:r w:rsidR="00D11140">
        <w:rPr>
          <w:b/>
          <w:bCs/>
          <w:color w:val="000000" w:themeColor="text1"/>
        </w:rPr>
        <w:t>commencing day after registration</w:t>
      </w:r>
    </w:p>
    <w:p w14:paraId="0269F5EC" w14:textId="506A05E1" w:rsidR="001E32A0" w:rsidRDefault="001E32A0" w:rsidP="004326E7">
      <w:pPr>
        <w:spacing w:after="0"/>
        <w:ind w:right="91"/>
        <w:rPr>
          <w:i/>
          <w:iCs/>
          <w:color w:val="000000" w:themeColor="text1"/>
          <w:u w:val="single"/>
        </w:rPr>
      </w:pPr>
      <w:r>
        <w:rPr>
          <w:color w:val="000000" w:themeColor="text1"/>
          <w:u w:val="single"/>
        </w:rPr>
        <w:t xml:space="preserve">Items 1 – 10 – Amendments to the </w:t>
      </w:r>
      <w:r>
        <w:rPr>
          <w:i/>
          <w:iCs/>
          <w:color w:val="000000" w:themeColor="text1"/>
          <w:u w:val="single"/>
        </w:rPr>
        <w:t>Corporations Regulations 2001</w:t>
      </w:r>
    </w:p>
    <w:p w14:paraId="6DDB5DFF" w14:textId="6184E907" w:rsidR="001E32A0" w:rsidRPr="00E574C2" w:rsidRDefault="001E32A0" w:rsidP="001E32A0">
      <w:pPr>
        <w:spacing w:after="0"/>
        <w:ind w:right="91"/>
        <w:rPr>
          <w:color w:val="000000"/>
          <w:shd w:val="clear" w:color="auto" w:fill="FFFFFF"/>
        </w:rPr>
      </w:pPr>
      <w:bookmarkStart w:id="0" w:name="_Hlk81811867"/>
      <w:r w:rsidRPr="00505058">
        <w:rPr>
          <w:color w:val="000000"/>
          <w:shd w:val="clear" w:color="auto" w:fill="FFFFFF"/>
        </w:rPr>
        <w:t>Item 1</w:t>
      </w:r>
      <w:r w:rsidR="00CD3C9F">
        <w:rPr>
          <w:color w:val="000000"/>
          <w:shd w:val="clear" w:color="auto" w:fill="FFFFFF"/>
        </w:rPr>
        <w:t xml:space="preserve"> </w:t>
      </w:r>
      <w:r w:rsidR="00A26114" w:rsidRPr="00505058">
        <w:rPr>
          <w:color w:val="000000"/>
          <w:shd w:val="clear" w:color="auto" w:fill="FFFFFF"/>
        </w:rPr>
        <w:t xml:space="preserve">incorporates </w:t>
      </w:r>
      <w:r w:rsidRPr="00505058">
        <w:rPr>
          <w:color w:val="000000"/>
          <w:shd w:val="clear" w:color="auto" w:fill="FFFFFF"/>
        </w:rPr>
        <w:t xml:space="preserve">the </w:t>
      </w:r>
      <w:r w:rsidRPr="00505058">
        <w:rPr>
          <w:i/>
          <w:color w:val="000000"/>
          <w:shd w:val="clear" w:color="auto" w:fill="FFFFFF"/>
        </w:rPr>
        <w:t>ASIC Corporations (AFSL Audit Opinion) Instrument 2015/586</w:t>
      </w:r>
      <w:r w:rsidRPr="00505058">
        <w:rPr>
          <w:color w:val="000000"/>
          <w:shd w:val="clear" w:color="auto" w:fill="FFFFFF"/>
        </w:rPr>
        <w:t xml:space="preserve"> </w:t>
      </w:r>
      <w:r w:rsidR="00A26114" w:rsidRPr="00505058">
        <w:rPr>
          <w:color w:val="000000"/>
          <w:shd w:val="clear" w:color="auto" w:fill="FFFFFF"/>
        </w:rPr>
        <w:t>into the primary law</w:t>
      </w:r>
      <w:r w:rsidRPr="00505058" w:rsidDel="00A26114">
        <w:rPr>
          <w:color w:val="000000"/>
          <w:shd w:val="clear" w:color="auto" w:fill="FFFFFF"/>
        </w:rPr>
        <w:t>)</w:t>
      </w:r>
      <w:r w:rsidRPr="00505058">
        <w:rPr>
          <w:color w:val="000000"/>
          <w:shd w:val="clear" w:color="auto" w:fill="FFFFFF"/>
        </w:rPr>
        <w:t xml:space="preserve">. </w:t>
      </w:r>
      <w:r w:rsidR="00A26114" w:rsidRPr="00505058">
        <w:rPr>
          <w:color w:val="000000"/>
          <w:shd w:val="clear" w:color="auto" w:fill="FFFFFF"/>
        </w:rPr>
        <w:t>This instrument</w:t>
      </w:r>
      <w:r w:rsidRPr="00505058">
        <w:rPr>
          <w:color w:val="000000"/>
          <w:shd w:val="clear" w:color="auto" w:fill="FFFFFF"/>
        </w:rPr>
        <w:t xml:space="preserve"> </w:t>
      </w:r>
      <w:r w:rsidR="006D680C">
        <w:rPr>
          <w:color w:val="000000"/>
          <w:shd w:val="clear" w:color="auto" w:fill="FFFFFF"/>
        </w:rPr>
        <w:t>has</w:t>
      </w:r>
      <w:r w:rsidRPr="00505058">
        <w:rPr>
          <w:color w:val="000000"/>
          <w:shd w:val="clear" w:color="auto" w:fill="FFFFFF"/>
        </w:rPr>
        <w:t xml:space="preserve"> the effect of inserting an omitted reference to Division 4A of the </w:t>
      </w:r>
      <w:r w:rsidRPr="00505058">
        <w:rPr>
          <w:i/>
          <w:color w:val="000000"/>
          <w:shd w:val="clear" w:color="auto" w:fill="FFFFFF"/>
        </w:rPr>
        <w:t>Corporations Act 2001</w:t>
      </w:r>
      <w:r w:rsidRPr="00505058">
        <w:rPr>
          <w:color w:val="000000"/>
          <w:shd w:val="clear" w:color="auto" w:fill="FFFFFF"/>
        </w:rPr>
        <w:t xml:space="preserve"> to the list of provisions in </w:t>
      </w:r>
      <w:r w:rsidR="002530DD" w:rsidRPr="00505058">
        <w:rPr>
          <w:color w:val="000000"/>
          <w:shd w:val="clear" w:color="auto" w:fill="FFFFFF"/>
        </w:rPr>
        <w:t xml:space="preserve">section </w:t>
      </w:r>
      <w:r w:rsidRPr="00505058">
        <w:rPr>
          <w:color w:val="000000"/>
          <w:shd w:val="clear" w:color="auto" w:fill="FFFFFF"/>
        </w:rPr>
        <w:t>7.8.13(2)(a)(</w:t>
      </w:r>
      <w:proofErr w:type="spellStart"/>
      <w:r w:rsidRPr="00505058">
        <w:rPr>
          <w:color w:val="000000"/>
          <w:shd w:val="clear" w:color="auto" w:fill="FFFFFF"/>
        </w:rPr>
        <w:t>i</w:t>
      </w:r>
      <w:proofErr w:type="spellEnd"/>
      <w:r w:rsidRPr="00505058">
        <w:rPr>
          <w:color w:val="000000"/>
          <w:shd w:val="clear" w:color="auto" w:fill="FFFFFF"/>
        </w:rPr>
        <w:t xml:space="preserve">) of the </w:t>
      </w:r>
      <w:r w:rsidRPr="00505058">
        <w:rPr>
          <w:i/>
          <w:color w:val="000000"/>
          <w:shd w:val="clear" w:color="auto" w:fill="FFFFFF"/>
        </w:rPr>
        <w:t>Corporations Regulations 2001.</w:t>
      </w:r>
      <w:r w:rsidRPr="00505058">
        <w:rPr>
          <w:color w:val="000000"/>
          <w:shd w:val="clear" w:color="auto" w:fill="FFFFFF"/>
        </w:rPr>
        <w:t xml:space="preserve"> The omission of the reference occurred when Division 4A of the </w:t>
      </w:r>
      <w:r w:rsidRPr="00505058">
        <w:rPr>
          <w:i/>
          <w:color w:val="000000"/>
          <w:shd w:val="clear" w:color="auto" w:fill="FFFFFF"/>
        </w:rPr>
        <w:t>Corporations Act 2001</w:t>
      </w:r>
      <w:r w:rsidRPr="00505058">
        <w:rPr>
          <w:color w:val="000000"/>
          <w:shd w:val="clear" w:color="auto" w:fill="FFFFFF"/>
        </w:rPr>
        <w:t xml:space="preserve"> was inserted into part 7.8 of that Act in 2009.</w:t>
      </w:r>
      <w:r w:rsidRPr="00B057FD">
        <w:rPr>
          <w:color w:val="000000"/>
          <w:shd w:val="clear" w:color="auto" w:fill="FFFFFF"/>
        </w:rPr>
        <w:t xml:space="preserve"> Item </w:t>
      </w:r>
      <w:r>
        <w:rPr>
          <w:color w:val="000000"/>
          <w:shd w:val="clear" w:color="auto" w:fill="FFFFFF"/>
        </w:rPr>
        <w:t>1</w:t>
      </w:r>
      <w:r w:rsidRPr="00B057FD">
        <w:rPr>
          <w:color w:val="000000"/>
          <w:shd w:val="clear" w:color="auto" w:fill="FFFFFF"/>
        </w:rPr>
        <w:t xml:space="preserve"> inserts the reference to Division 4A of the </w:t>
      </w:r>
      <w:r w:rsidRPr="00B057FD">
        <w:rPr>
          <w:i/>
          <w:iCs/>
          <w:color w:val="000000"/>
          <w:shd w:val="clear" w:color="auto" w:fill="FFFFFF"/>
        </w:rPr>
        <w:t>Corporations Act 2001</w:t>
      </w:r>
      <w:r w:rsidRPr="00B057FD">
        <w:rPr>
          <w:color w:val="000000"/>
          <w:shd w:val="clear" w:color="auto" w:fill="FFFFFF"/>
        </w:rPr>
        <w:t xml:space="preserve"> directly into </w:t>
      </w:r>
      <w:r w:rsidR="003E6173">
        <w:rPr>
          <w:color w:val="000000"/>
          <w:shd w:val="clear" w:color="auto" w:fill="FFFFFF"/>
        </w:rPr>
        <w:t>section</w:t>
      </w:r>
      <w:r w:rsidR="003E6173" w:rsidRPr="00B057FD">
        <w:rPr>
          <w:color w:val="000000"/>
          <w:shd w:val="clear" w:color="auto" w:fill="FFFFFF"/>
        </w:rPr>
        <w:t xml:space="preserve"> </w:t>
      </w:r>
      <w:r w:rsidRPr="00B057FD">
        <w:rPr>
          <w:color w:val="000000"/>
          <w:shd w:val="clear" w:color="auto" w:fill="FFFFFF"/>
        </w:rPr>
        <w:t>7.8.13(2)(a)(</w:t>
      </w:r>
      <w:proofErr w:type="spellStart"/>
      <w:r w:rsidRPr="00B057FD">
        <w:rPr>
          <w:color w:val="000000"/>
          <w:shd w:val="clear" w:color="auto" w:fill="FFFFFF"/>
        </w:rPr>
        <w:t>i</w:t>
      </w:r>
      <w:proofErr w:type="spellEnd"/>
      <w:r w:rsidRPr="00B057FD">
        <w:rPr>
          <w:color w:val="000000"/>
          <w:shd w:val="clear" w:color="auto" w:fill="FFFFFF"/>
        </w:rPr>
        <w:t xml:space="preserve">) of the </w:t>
      </w:r>
      <w:r w:rsidRPr="00B057FD">
        <w:rPr>
          <w:i/>
          <w:iCs/>
          <w:color w:val="000000"/>
          <w:shd w:val="clear" w:color="auto" w:fill="FFFFFF"/>
        </w:rPr>
        <w:t>Corporations Regulations 2001</w:t>
      </w:r>
      <w:r w:rsidRPr="00B057FD">
        <w:rPr>
          <w:color w:val="000000"/>
          <w:shd w:val="clear" w:color="auto" w:fill="FFFFFF"/>
        </w:rPr>
        <w:t xml:space="preserve">. </w:t>
      </w:r>
      <w:r w:rsidRPr="00E574C2">
        <w:rPr>
          <w:color w:val="000000"/>
          <w:shd w:val="clear" w:color="auto" w:fill="FFFFFF"/>
        </w:rPr>
        <w:t xml:space="preserve"> </w:t>
      </w:r>
    </w:p>
    <w:bookmarkEnd w:id="0"/>
    <w:p w14:paraId="50B8AFE3" w14:textId="4ADDFD18" w:rsidR="00A22159" w:rsidRDefault="001E32A0" w:rsidP="00CE025B">
      <w:pPr>
        <w:spacing w:after="0"/>
        <w:ind w:right="91"/>
      </w:pPr>
      <w:r>
        <w:rPr>
          <w:color w:val="000000"/>
          <w:shd w:val="clear" w:color="auto" w:fill="FFFFFF"/>
        </w:rPr>
        <w:t xml:space="preserve">Items 2 and 3 remove the </w:t>
      </w:r>
      <w:r w:rsidRPr="00A13650">
        <w:rPr>
          <w:color w:val="000000"/>
          <w:shd w:val="clear" w:color="auto" w:fill="FFFFFF"/>
        </w:rPr>
        <w:t>phone number</w:t>
      </w:r>
      <w:r>
        <w:rPr>
          <w:color w:val="000000"/>
          <w:shd w:val="clear" w:color="auto" w:fill="FFFFFF"/>
        </w:rPr>
        <w:t xml:space="preserve"> and updates </w:t>
      </w:r>
      <w:r w:rsidRPr="00A13650">
        <w:rPr>
          <w:color w:val="000000"/>
          <w:shd w:val="clear" w:color="auto" w:fill="FFFFFF"/>
        </w:rPr>
        <w:t xml:space="preserve">the website </w:t>
      </w:r>
      <w:r>
        <w:rPr>
          <w:color w:val="000000"/>
          <w:shd w:val="clear" w:color="auto" w:fill="FFFFFF"/>
        </w:rPr>
        <w:t xml:space="preserve">in </w:t>
      </w:r>
      <w:r w:rsidR="003E6173">
        <w:rPr>
          <w:color w:val="000000"/>
          <w:shd w:val="clear" w:color="auto" w:fill="FFFFFF"/>
        </w:rPr>
        <w:t>sections</w:t>
      </w:r>
      <w:r w:rsidR="003E6173" w:rsidRPr="00A13650">
        <w:rPr>
          <w:color w:val="000000"/>
          <w:shd w:val="clear" w:color="auto" w:fill="FFFFFF"/>
        </w:rPr>
        <w:t xml:space="preserve"> </w:t>
      </w:r>
      <w:r w:rsidRPr="00A13650">
        <w:rPr>
          <w:color w:val="000000"/>
          <w:shd w:val="clear" w:color="auto" w:fill="FFFFFF"/>
        </w:rPr>
        <w:t>7.9.07FA(7</w:t>
      </w:r>
      <w:proofErr w:type="gramStart"/>
      <w:r w:rsidRPr="00A13650">
        <w:rPr>
          <w:color w:val="000000"/>
          <w:shd w:val="clear" w:color="auto" w:fill="FFFFFF"/>
        </w:rPr>
        <w:t>A)(</w:t>
      </w:r>
      <w:proofErr w:type="gramEnd"/>
      <w:r w:rsidRPr="00A13650">
        <w:rPr>
          <w:color w:val="000000"/>
          <w:shd w:val="clear" w:color="auto" w:fill="FFFFFF"/>
        </w:rPr>
        <w:t xml:space="preserve">ca)(iii) and 7.9.14D(1)(c) of the </w:t>
      </w:r>
      <w:r w:rsidRPr="00A13650">
        <w:rPr>
          <w:i/>
          <w:iCs/>
          <w:color w:val="000000"/>
          <w:shd w:val="clear" w:color="auto" w:fill="FFFFFF"/>
        </w:rPr>
        <w:t>Corporations Regulations 2001</w:t>
      </w:r>
      <w:r>
        <w:rPr>
          <w:color w:val="000000"/>
          <w:shd w:val="clear" w:color="auto" w:fill="FFFFFF"/>
        </w:rPr>
        <w:t xml:space="preserve"> to </w:t>
      </w:r>
      <w:hyperlink r:id="rId15" w:history="1">
        <w:r w:rsidRPr="00D53D62">
          <w:rPr>
            <w:rStyle w:val="Hyperlink"/>
            <w:shd w:val="clear" w:color="auto" w:fill="FFFFFF"/>
          </w:rPr>
          <w:t>http://www.fcs.gov.au</w:t>
        </w:r>
      </w:hyperlink>
      <w:r>
        <w:rPr>
          <w:color w:val="000000"/>
          <w:shd w:val="clear" w:color="auto" w:fill="FFFFFF"/>
        </w:rPr>
        <w:t xml:space="preserve">. This is a result of updates to the </w:t>
      </w:r>
      <w:r w:rsidRPr="003C6A30">
        <w:rPr>
          <w:color w:val="000000"/>
          <w:shd w:val="clear" w:color="auto" w:fill="FFFFFF"/>
        </w:rPr>
        <w:t xml:space="preserve">contact details for </w:t>
      </w:r>
      <w:r>
        <w:rPr>
          <w:color w:val="000000"/>
          <w:shd w:val="clear" w:color="auto" w:fill="FFFFFF"/>
        </w:rPr>
        <w:t>the Australian Prudential Regulation Authority’s</w:t>
      </w:r>
      <w:r w:rsidRPr="003C6A30">
        <w:rPr>
          <w:color w:val="000000"/>
          <w:shd w:val="clear" w:color="auto" w:fill="FFFFFF"/>
        </w:rPr>
        <w:t xml:space="preserve"> Financial Claims Scheme</w:t>
      </w:r>
      <w:r>
        <w:t>.</w:t>
      </w:r>
      <w:r w:rsidR="00AD3A8F">
        <w:t xml:space="preserve"> </w:t>
      </w:r>
    </w:p>
    <w:p w14:paraId="3ACDD485" w14:textId="0A748A05" w:rsidR="00474779" w:rsidRDefault="00474779" w:rsidP="00CE025B">
      <w:pPr>
        <w:pStyle w:val="base-text-paragraph"/>
        <w:ind w:left="0"/>
      </w:pPr>
      <w:r>
        <w:t xml:space="preserve">Items 4 to 10 </w:t>
      </w:r>
      <w:r w:rsidR="00AD5902">
        <w:t xml:space="preserve">have the effect of </w:t>
      </w:r>
      <w:r>
        <w:t>mov</w:t>
      </w:r>
      <w:r w:rsidR="00AD5902">
        <w:t>ing</w:t>
      </w:r>
      <w:r>
        <w:t xml:space="preserve"> a longstanding ASIC class order into the </w:t>
      </w:r>
      <w:r>
        <w:rPr>
          <w:i/>
          <w:iCs/>
        </w:rPr>
        <w:t>Corporations Regulations 2001</w:t>
      </w:r>
      <w:r>
        <w:t xml:space="preserve">. </w:t>
      </w:r>
    </w:p>
    <w:p w14:paraId="055ED5C0" w14:textId="332E660D" w:rsidR="00474779" w:rsidRDefault="00474779" w:rsidP="00CE025B">
      <w:pPr>
        <w:pStyle w:val="base-text-paragraph"/>
        <w:ind w:left="0"/>
      </w:pPr>
      <w:bookmarkStart w:id="1" w:name="_Hlk81490314"/>
      <w:r>
        <w:t xml:space="preserve">In 2010, the Government announced </w:t>
      </w:r>
      <w:r w:rsidR="006E0163">
        <w:t>changes</w:t>
      </w:r>
      <w:r>
        <w:t xml:space="preserve"> to the long-term performance superannuation disclosure reporting requirements for periodic statements to: </w:t>
      </w:r>
    </w:p>
    <w:bookmarkEnd w:id="1"/>
    <w:p w14:paraId="36058450" w14:textId="77777777" w:rsidR="00474779" w:rsidRDefault="00474779" w:rsidP="00CE025B">
      <w:pPr>
        <w:pStyle w:val="Bullet"/>
      </w:pPr>
      <w:r w:rsidRPr="00474779">
        <w:t xml:space="preserve">exclude exit </w:t>
      </w:r>
      <w:proofErr w:type="gramStart"/>
      <w:r w:rsidRPr="00474779">
        <w:t>statements;</w:t>
      </w:r>
      <w:proofErr w:type="gramEnd"/>
    </w:p>
    <w:p w14:paraId="270BD9F6" w14:textId="77777777" w:rsidR="00474779" w:rsidRDefault="00474779" w:rsidP="00CE025B">
      <w:pPr>
        <w:pStyle w:val="Bullet"/>
      </w:pPr>
      <w:r w:rsidRPr="00474779">
        <w:t>allow the industry to use inserts to provide 5-year performance information for 1 more year up until 30 June 2011 rather than embed the information on the face of the periodic statement; and</w:t>
      </w:r>
    </w:p>
    <w:p w14:paraId="4BA69256" w14:textId="0CB5732F" w:rsidR="00474779" w:rsidRPr="00474779" w:rsidRDefault="00474779" w:rsidP="00CE025B">
      <w:pPr>
        <w:pStyle w:val="Bullet"/>
      </w:pPr>
      <w:r>
        <w:t>e</w:t>
      </w:r>
      <w:r w:rsidRPr="00474779">
        <w:t>xempt “traditional funds (of an insurance nature)”.</w:t>
      </w:r>
    </w:p>
    <w:p w14:paraId="5048C296" w14:textId="74E12AA8" w:rsidR="00474779" w:rsidRDefault="00CE025B" w:rsidP="00CE025B">
      <w:pPr>
        <w:pStyle w:val="base-text-paragraph"/>
        <w:ind w:left="0"/>
      </w:pPr>
      <w:r>
        <w:lastRenderedPageBreak/>
        <w:t xml:space="preserve">The </w:t>
      </w:r>
      <w:r w:rsidR="00474779" w:rsidRPr="008D14F3">
        <w:t xml:space="preserve">Government </w:t>
      </w:r>
      <w:r>
        <w:t>also announced they</w:t>
      </w:r>
      <w:r w:rsidR="00474779" w:rsidRPr="008D14F3">
        <w:t xml:space="preserve"> allow approved deposit funds and pooled superannuation trusts to provide annual reports online, consistent with the entitlement for regulated superannuation funds.</w:t>
      </w:r>
    </w:p>
    <w:p w14:paraId="125DCA10" w14:textId="67290CF7" w:rsidR="00474779" w:rsidRDefault="00474779" w:rsidP="00CE025B">
      <w:pPr>
        <w:pStyle w:val="base-text-paragraph"/>
        <w:ind w:left="0"/>
      </w:pPr>
      <w:r>
        <w:t xml:space="preserve">ASIC instrument CO 10/630 was made on 16 July 2010 to implement the </w:t>
      </w:r>
      <w:r w:rsidR="00CE025B">
        <w:t>announcements</w:t>
      </w:r>
      <w:r>
        <w:t xml:space="preserve">, pending </w:t>
      </w:r>
      <w:r w:rsidR="00AD5902">
        <w:t>the making o</w:t>
      </w:r>
      <w:r w:rsidR="00654667">
        <w:t>f</w:t>
      </w:r>
      <w:r w:rsidR="00AD5902">
        <w:t xml:space="preserve"> regulations</w:t>
      </w:r>
      <w:r>
        <w:t xml:space="preserve">. CO 10/630 has been amended six times to extend its operation, with the section imposing the time limit ultimately being removed in 2015. </w:t>
      </w:r>
    </w:p>
    <w:p w14:paraId="331D8BEC" w14:textId="6A408D54" w:rsidR="00474779" w:rsidRDefault="00474779" w:rsidP="00CE025B">
      <w:pPr>
        <w:pStyle w:val="base-text-paragraph"/>
        <w:ind w:left="0"/>
      </w:pPr>
      <w:r>
        <w:t>The amendments</w:t>
      </w:r>
      <w:r w:rsidR="006D702D">
        <w:t xml:space="preserve"> </w:t>
      </w:r>
      <w:r w:rsidR="00930AB8">
        <w:t xml:space="preserve">provided by items 4 to 10 </w:t>
      </w:r>
      <w:r w:rsidR="006D702D">
        <w:t>largely</w:t>
      </w:r>
      <w:r>
        <w:t xml:space="preserve"> mirror CO10/630 in its amendment of </w:t>
      </w:r>
      <w:r w:rsidR="00930AB8">
        <w:t>sections</w:t>
      </w:r>
      <w:r>
        <w:t xml:space="preserve"> 7.9.20AA and 7.9.75BA</w:t>
      </w:r>
      <w:r w:rsidR="00C61742">
        <w:t xml:space="preserve"> of the </w:t>
      </w:r>
      <w:r>
        <w:rPr>
          <w:i/>
          <w:iCs/>
        </w:rPr>
        <w:t>Corporations Regulations 2001</w:t>
      </w:r>
      <w:r>
        <w:t xml:space="preserve">. </w:t>
      </w:r>
    </w:p>
    <w:p w14:paraId="0F8DBAD9" w14:textId="774DACCE" w:rsidR="00474779" w:rsidRDefault="00930AB8" w:rsidP="00CE025B">
      <w:pPr>
        <w:pStyle w:val="base-text-paragraph"/>
        <w:ind w:left="0"/>
      </w:pPr>
      <w:r>
        <w:t>Section</w:t>
      </w:r>
      <w:r w:rsidR="00474779">
        <w:t xml:space="preserve"> 7.9.20AA sets out requirements for periodic statements for superannuation funds other than </w:t>
      </w:r>
      <w:proofErr w:type="spellStart"/>
      <w:r w:rsidR="00474779">
        <w:t>self managed</w:t>
      </w:r>
      <w:proofErr w:type="spellEnd"/>
      <w:r w:rsidR="00474779">
        <w:t xml:space="preserve"> superannuation funds. These requirements include requirements as to the content of the statements and the </w:t>
      </w:r>
      <w:proofErr w:type="gramStart"/>
      <w:r w:rsidR="00474779">
        <w:t>manner in which</w:t>
      </w:r>
      <w:proofErr w:type="gramEnd"/>
      <w:r w:rsidR="00474779">
        <w:t xml:space="preserve"> that content is expressed. There are different requirements applying to the period of 1 July 2009 to 30 June 2010 and applying from 30 June 2010</w:t>
      </w:r>
      <w:r w:rsidR="006E0163">
        <w:t xml:space="preserve"> onwards</w:t>
      </w:r>
      <w:r w:rsidR="00474779">
        <w:t xml:space="preserve">. </w:t>
      </w:r>
    </w:p>
    <w:p w14:paraId="4B45CFB4" w14:textId="1A340B7F" w:rsidR="00474779" w:rsidRDefault="00474779" w:rsidP="00CE025B">
      <w:pPr>
        <w:pStyle w:val="base-text-paragraph"/>
        <w:ind w:left="0"/>
      </w:pPr>
      <w:r>
        <w:t xml:space="preserve">The amendments exclude from those requirements the following circumstances: </w:t>
      </w:r>
    </w:p>
    <w:p w14:paraId="62B8EF45" w14:textId="77777777" w:rsidR="00474779" w:rsidRDefault="00474779" w:rsidP="00CE025B">
      <w:pPr>
        <w:pStyle w:val="Bullet"/>
      </w:pPr>
      <w:r>
        <w:t xml:space="preserve">superannuation products that are non-investment or accumulation life insurance policies offered through the regulated superannuation </w:t>
      </w:r>
      <w:proofErr w:type="gramStart"/>
      <w:r>
        <w:t>fund;</w:t>
      </w:r>
      <w:proofErr w:type="gramEnd"/>
      <w:r>
        <w:t xml:space="preserve"> </w:t>
      </w:r>
    </w:p>
    <w:p w14:paraId="75BB8007" w14:textId="43104878" w:rsidR="00474779" w:rsidRDefault="00474779" w:rsidP="00CE025B">
      <w:pPr>
        <w:pStyle w:val="Bullet"/>
      </w:pPr>
      <w:r>
        <w:t xml:space="preserve">superannuation products that have no investment component; and </w:t>
      </w:r>
    </w:p>
    <w:p w14:paraId="352B75BE" w14:textId="5CD093FE" w:rsidR="00474779" w:rsidRDefault="00474779" w:rsidP="00CE025B">
      <w:pPr>
        <w:pStyle w:val="Bullet"/>
      </w:pPr>
      <w:r>
        <w:t>periodic statements relating to a reporting period which starts at the end of a preceding reporting period and ends when the holder of a financial product ceases to hold the product.</w:t>
      </w:r>
    </w:p>
    <w:p w14:paraId="5F50D4C3" w14:textId="0557A92A" w:rsidR="00474779" w:rsidRDefault="00474779" w:rsidP="00CE025B">
      <w:pPr>
        <w:pStyle w:val="base-text-paragraph"/>
        <w:ind w:left="0"/>
      </w:pPr>
      <w:r>
        <w:t>The amendments also alter the periods in which the requirements differ</w:t>
      </w:r>
      <w:r w:rsidR="003D2B25">
        <w:t>. The first</w:t>
      </w:r>
      <w:r w:rsidR="006D680C">
        <w:t xml:space="preserve"> </w:t>
      </w:r>
      <w:r>
        <w:t xml:space="preserve">period </w:t>
      </w:r>
      <w:r w:rsidR="003D2B25">
        <w:t>now</w:t>
      </w:r>
      <w:r w:rsidR="006D680C">
        <w:t xml:space="preserve"> </w:t>
      </w:r>
      <w:r w:rsidR="003D2B25">
        <w:t xml:space="preserve">spans from </w:t>
      </w:r>
      <w:r>
        <w:t xml:space="preserve">1 July 2009 to 30 June 2011 and the </w:t>
      </w:r>
      <w:r w:rsidR="003D2B25">
        <w:t xml:space="preserve">second </w:t>
      </w:r>
      <w:r>
        <w:t xml:space="preserve">period </w:t>
      </w:r>
      <w:r w:rsidR="003D2B25">
        <w:t xml:space="preserve">spans </w:t>
      </w:r>
      <w:r>
        <w:t>from 30 June 2011</w:t>
      </w:r>
      <w:r w:rsidR="006E0163">
        <w:t xml:space="preserve"> onwards</w:t>
      </w:r>
      <w:r>
        <w:t>.</w:t>
      </w:r>
    </w:p>
    <w:p w14:paraId="3AFF1568" w14:textId="771B08D7" w:rsidR="00474779" w:rsidRDefault="00474779" w:rsidP="00CE025B">
      <w:pPr>
        <w:pStyle w:val="base-text-paragraph"/>
        <w:ind w:left="0"/>
      </w:pPr>
      <w:r>
        <w:t>Th</w:t>
      </w:r>
      <w:r w:rsidR="000B550A">
        <w:t xml:space="preserve">e amendments have the </w:t>
      </w:r>
      <w:r>
        <w:t>effect of:</w:t>
      </w:r>
    </w:p>
    <w:p w14:paraId="66E50514" w14:textId="3C60466F" w:rsidR="00474779" w:rsidRDefault="00474779" w:rsidP="00CE025B">
      <w:pPr>
        <w:pStyle w:val="Bullet"/>
      </w:pPr>
      <w:r>
        <w:t xml:space="preserve">extending the period in which inserts may be used for providing a statement of long-term returns, from the period ending 30 June 2010 to the period ending </w:t>
      </w:r>
      <w:proofErr w:type="gramStart"/>
      <w:r>
        <w:t>in</w:t>
      </w:r>
      <w:proofErr w:type="gramEnd"/>
      <w:r>
        <w:t xml:space="preserve"> 30 June 2011;</w:t>
      </w:r>
      <w:r w:rsidR="006E0163">
        <w:t xml:space="preserve"> and</w:t>
      </w:r>
    </w:p>
    <w:p w14:paraId="7B00C959" w14:textId="572E0D36" w:rsidR="00474779" w:rsidRDefault="00474779" w:rsidP="00CE025B">
      <w:pPr>
        <w:pStyle w:val="Bullet"/>
      </w:pPr>
      <w:r>
        <w:t>delaying by one year (that is, moving from 30 June 2010 to 30 June 2011) the requirement to state long-term returns as the compound a</w:t>
      </w:r>
      <w:r w:rsidRPr="008E52D5">
        <w:t>verage effective rate of net earnings of the investment option for the period of 10 years ending at the end of</w:t>
      </w:r>
      <w:r>
        <w:t xml:space="preserve"> t</w:t>
      </w:r>
      <w:r w:rsidRPr="008E52D5">
        <w:t>he last financial year or reporting period before the provision of the periodic statement</w:t>
      </w:r>
      <w:r w:rsidR="006E0163">
        <w:t>.</w:t>
      </w:r>
    </w:p>
    <w:p w14:paraId="6839498D" w14:textId="4E81CEBB" w:rsidR="00474779" w:rsidRPr="00E360C3" w:rsidRDefault="00474779" w:rsidP="00CE025B">
      <w:pPr>
        <w:pStyle w:val="base-text-paragraph"/>
        <w:ind w:left="0"/>
        <w:rPr>
          <w:rStyle w:val="Referencingstyle"/>
          <w:b w:val="0"/>
          <w:i w:val="0"/>
          <w:sz w:val="22"/>
        </w:rPr>
      </w:pPr>
      <w:r>
        <w:t>In relation to the period from 1 July 2009 until 30 June 2011, the amendment</w:t>
      </w:r>
      <w:r w:rsidR="006E0163">
        <w:t>s</w:t>
      </w:r>
      <w:r>
        <w:t xml:space="preserve"> substitute the words “the period statement” for “a periodic statement”, to account for the fact that multiple periodic statements may have been sent during that period.</w:t>
      </w:r>
    </w:p>
    <w:p w14:paraId="78C7878D" w14:textId="7B847B6B" w:rsidR="00474779" w:rsidRPr="00E360C3" w:rsidRDefault="00474779" w:rsidP="00CE025B">
      <w:pPr>
        <w:pStyle w:val="base-text-paragraph"/>
        <w:ind w:left="0"/>
        <w:rPr>
          <w:rStyle w:val="Referencingstyle"/>
          <w:b w:val="0"/>
          <w:i w:val="0"/>
          <w:sz w:val="22"/>
        </w:rPr>
      </w:pPr>
      <w:r w:rsidRPr="00E360C3">
        <w:t>The amendment</w:t>
      </w:r>
      <w:r w:rsidR="0048656A">
        <w:t>s</w:t>
      </w:r>
      <w:r w:rsidRPr="00E360C3">
        <w:t xml:space="preserve"> also </w:t>
      </w:r>
      <w:r w:rsidR="0048656A">
        <w:t>extend</w:t>
      </w:r>
      <w:r w:rsidRPr="00E360C3">
        <w:t xml:space="preserve"> the allowance to provide required information by publishing it online (previously available only to regulated superannuation funds) to approved deposit funds and pooled superannuation trusts.</w:t>
      </w:r>
    </w:p>
    <w:p w14:paraId="4B94B4B0" w14:textId="1BB7BB8E" w:rsidR="00A22159" w:rsidRDefault="00A22159" w:rsidP="00CD3C9F">
      <w:pPr>
        <w:keepNext/>
        <w:spacing w:before="0" w:after="0"/>
        <w:rPr>
          <w:i/>
          <w:iCs/>
          <w:u w:val="single"/>
        </w:rPr>
      </w:pPr>
      <w:r>
        <w:rPr>
          <w:u w:val="single"/>
        </w:rPr>
        <w:lastRenderedPageBreak/>
        <w:t xml:space="preserve">Item 11 – Amendment to the </w:t>
      </w:r>
      <w:r>
        <w:rPr>
          <w:i/>
          <w:iCs/>
          <w:u w:val="single"/>
        </w:rPr>
        <w:t xml:space="preserve">Foreign Acquisitions and Takeovers Regulations 2015 </w:t>
      </w:r>
    </w:p>
    <w:p w14:paraId="7B0CE92E" w14:textId="39D0BA39" w:rsidR="00A22159" w:rsidRDefault="00A22159" w:rsidP="00A22159">
      <w:pPr>
        <w:spacing w:after="0"/>
        <w:ind w:right="91"/>
        <w:rPr>
          <w:color w:val="000000" w:themeColor="text1"/>
        </w:rPr>
      </w:pPr>
      <w:r>
        <w:t xml:space="preserve">Item 11 </w:t>
      </w:r>
      <w:r>
        <w:rPr>
          <w:color w:val="000000" w:themeColor="text1"/>
        </w:rPr>
        <w:t xml:space="preserve">repeals </w:t>
      </w:r>
      <w:r w:rsidR="003E6173">
        <w:rPr>
          <w:color w:val="000000" w:themeColor="text1"/>
        </w:rPr>
        <w:t xml:space="preserve">section </w:t>
      </w:r>
      <w:r>
        <w:rPr>
          <w:color w:val="000000" w:themeColor="text1"/>
        </w:rPr>
        <w:t xml:space="preserve">66 of the </w:t>
      </w:r>
      <w:r w:rsidRPr="00914010">
        <w:rPr>
          <w:i/>
          <w:iCs/>
          <w:color w:val="000000" w:themeColor="text1"/>
        </w:rPr>
        <w:t>Foreign Acquisitions and Takeovers Regulation 2015</w:t>
      </w:r>
      <w:r>
        <w:rPr>
          <w:i/>
          <w:iCs/>
          <w:color w:val="000000" w:themeColor="text1"/>
        </w:rPr>
        <w:t xml:space="preserve">. </w:t>
      </w:r>
      <w:r w:rsidRPr="003E5AE9">
        <w:rPr>
          <w:color w:val="000000" w:themeColor="text1"/>
        </w:rPr>
        <w:t xml:space="preserve">The 2020 foreign investment reforms removed a restriction on the disclosure of protected information under the </w:t>
      </w:r>
      <w:r w:rsidRPr="003E5AE9">
        <w:rPr>
          <w:i/>
          <w:iCs/>
          <w:color w:val="000000" w:themeColor="text1"/>
        </w:rPr>
        <w:t>Foreign Acquisitions and Takeovers Act 1975</w:t>
      </w:r>
      <w:r>
        <w:rPr>
          <w:color w:val="000000" w:themeColor="text1"/>
        </w:rPr>
        <w:t xml:space="preserve">. </w:t>
      </w:r>
      <w:r w:rsidRPr="00034185">
        <w:rPr>
          <w:color w:val="000000" w:themeColor="text1"/>
        </w:rPr>
        <w:t>The reforms also repealed</w:t>
      </w:r>
      <w:r>
        <w:rPr>
          <w:color w:val="000000" w:themeColor="text1"/>
        </w:rPr>
        <w:t xml:space="preserve"> the then relevant</w:t>
      </w:r>
      <w:r w:rsidRPr="00034185">
        <w:rPr>
          <w:color w:val="000000" w:themeColor="text1"/>
        </w:rPr>
        <w:t xml:space="preserve"> </w:t>
      </w:r>
      <w:r w:rsidR="00435895">
        <w:rPr>
          <w:color w:val="000000" w:themeColor="text1"/>
        </w:rPr>
        <w:t>section</w:t>
      </w:r>
      <w:r w:rsidR="00435895" w:rsidRPr="00034185">
        <w:rPr>
          <w:color w:val="000000" w:themeColor="text1"/>
        </w:rPr>
        <w:t xml:space="preserve"> </w:t>
      </w:r>
      <w:r w:rsidRPr="00034185">
        <w:rPr>
          <w:color w:val="000000" w:themeColor="text1"/>
        </w:rPr>
        <w:t xml:space="preserve">62 of the </w:t>
      </w:r>
      <w:r w:rsidRPr="00034185">
        <w:rPr>
          <w:i/>
          <w:iCs/>
          <w:color w:val="000000" w:themeColor="text1"/>
        </w:rPr>
        <w:t>Foreign Acquisitions and Takeovers Regulation 2015</w:t>
      </w:r>
      <w:r w:rsidRPr="00034185">
        <w:rPr>
          <w:color w:val="000000" w:themeColor="text1"/>
        </w:rPr>
        <w:t>.</w:t>
      </w:r>
      <w:r>
        <w:rPr>
          <w:color w:val="000000" w:themeColor="text1"/>
        </w:rPr>
        <w:t xml:space="preserve"> Subsequently, the</w:t>
      </w:r>
      <w:r w:rsidRPr="00034185">
        <w:rPr>
          <w:color w:val="000000" w:themeColor="text1"/>
        </w:rPr>
        <w:t xml:space="preserve"> reforms </w:t>
      </w:r>
      <w:r>
        <w:rPr>
          <w:color w:val="000000" w:themeColor="text1"/>
        </w:rPr>
        <w:t>also</w:t>
      </w:r>
      <w:r w:rsidRPr="00034185">
        <w:rPr>
          <w:color w:val="000000" w:themeColor="text1"/>
        </w:rPr>
        <w:t xml:space="preserve"> made an unrelated regulation using the number 62</w:t>
      </w:r>
      <w:r>
        <w:rPr>
          <w:color w:val="000000" w:themeColor="text1"/>
        </w:rPr>
        <w:t xml:space="preserve">. However, </w:t>
      </w:r>
      <w:r w:rsidR="00435895">
        <w:rPr>
          <w:color w:val="000000" w:themeColor="text1"/>
        </w:rPr>
        <w:t xml:space="preserve">section </w:t>
      </w:r>
      <w:r>
        <w:rPr>
          <w:color w:val="000000" w:themeColor="text1"/>
        </w:rPr>
        <w:t xml:space="preserve">66 was an application provision that applied to the former version of </w:t>
      </w:r>
      <w:r w:rsidR="00435895">
        <w:rPr>
          <w:color w:val="000000" w:themeColor="text1"/>
        </w:rPr>
        <w:t xml:space="preserve">section </w:t>
      </w:r>
      <w:r>
        <w:rPr>
          <w:color w:val="000000" w:themeColor="text1"/>
        </w:rPr>
        <w:t xml:space="preserve">62. Therefore, it is now redundant. The repeal will prevent any issues with interpretation, especially as </w:t>
      </w:r>
      <w:r w:rsidR="00435895">
        <w:rPr>
          <w:color w:val="000000" w:themeColor="text1"/>
        </w:rPr>
        <w:t xml:space="preserve">section </w:t>
      </w:r>
      <w:r>
        <w:rPr>
          <w:color w:val="000000" w:themeColor="text1"/>
        </w:rPr>
        <w:t xml:space="preserve">66 is unrelated to the content currently covered in </w:t>
      </w:r>
      <w:r w:rsidR="00435895">
        <w:rPr>
          <w:color w:val="000000" w:themeColor="text1"/>
        </w:rPr>
        <w:t xml:space="preserve">section </w:t>
      </w:r>
      <w:r>
        <w:rPr>
          <w:color w:val="000000" w:themeColor="text1"/>
        </w:rPr>
        <w:t xml:space="preserve">62. </w:t>
      </w:r>
    </w:p>
    <w:p w14:paraId="6AE63C11" w14:textId="5FEC3ADB" w:rsidR="00A22159" w:rsidRDefault="00A22159" w:rsidP="00A22159">
      <w:pPr>
        <w:spacing w:after="0"/>
        <w:ind w:right="91"/>
        <w:rPr>
          <w:i/>
          <w:iCs/>
          <w:color w:val="000000" w:themeColor="text1"/>
          <w:u w:val="single"/>
        </w:rPr>
      </w:pPr>
      <w:r>
        <w:rPr>
          <w:color w:val="000000" w:themeColor="text1"/>
          <w:u w:val="single"/>
        </w:rPr>
        <w:t xml:space="preserve">Item 12 </w:t>
      </w:r>
      <w:r w:rsidR="00B73B5F">
        <w:rPr>
          <w:color w:val="000000" w:themeColor="text1"/>
          <w:u w:val="single"/>
        </w:rPr>
        <w:t>–</w:t>
      </w:r>
      <w:r>
        <w:rPr>
          <w:color w:val="000000" w:themeColor="text1"/>
          <w:u w:val="single"/>
        </w:rPr>
        <w:t xml:space="preserve"> </w:t>
      </w:r>
      <w:r w:rsidR="00B73B5F">
        <w:rPr>
          <w:color w:val="000000" w:themeColor="text1"/>
          <w:u w:val="single"/>
        </w:rPr>
        <w:t xml:space="preserve">Amendment to the </w:t>
      </w:r>
      <w:r w:rsidR="00B73B5F">
        <w:rPr>
          <w:i/>
          <w:iCs/>
          <w:color w:val="000000" w:themeColor="text1"/>
          <w:u w:val="single"/>
        </w:rPr>
        <w:t xml:space="preserve">National Consumer Credit Protection Regulations </w:t>
      </w:r>
    </w:p>
    <w:p w14:paraId="49D35750" w14:textId="77777777" w:rsidR="00B73B5F" w:rsidRPr="001C4C6F" w:rsidRDefault="00B73B5F" w:rsidP="00B73B5F">
      <w:pPr>
        <w:spacing w:after="0"/>
        <w:ind w:right="91"/>
        <w:rPr>
          <w:color w:val="000000" w:themeColor="text1"/>
        </w:rPr>
      </w:pPr>
      <w:r w:rsidRPr="001C4C6F">
        <w:rPr>
          <w:color w:val="000000" w:themeColor="text1"/>
        </w:rPr>
        <w:t>Th</w:t>
      </w:r>
      <w:r>
        <w:rPr>
          <w:color w:val="000000" w:themeColor="text1"/>
        </w:rPr>
        <w:t>is</w:t>
      </w:r>
      <w:r w:rsidRPr="001C4C6F">
        <w:rPr>
          <w:color w:val="000000" w:themeColor="text1"/>
        </w:rPr>
        <w:t xml:space="preserve"> item</w:t>
      </w:r>
      <w:r>
        <w:rPr>
          <w:color w:val="000000" w:themeColor="text1"/>
        </w:rPr>
        <w:t xml:space="preserve"> </w:t>
      </w:r>
      <w:r w:rsidRPr="001C4C6F">
        <w:rPr>
          <w:color w:val="000000" w:themeColor="text1"/>
        </w:rPr>
        <w:t>repeal</w:t>
      </w:r>
      <w:r>
        <w:rPr>
          <w:color w:val="000000" w:themeColor="text1"/>
        </w:rPr>
        <w:t>s</w:t>
      </w:r>
      <w:r w:rsidRPr="001C4C6F">
        <w:rPr>
          <w:color w:val="000000" w:themeColor="text1"/>
        </w:rPr>
        <w:t xml:space="preserve"> certain out of date provisions. </w:t>
      </w:r>
    </w:p>
    <w:p w14:paraId="4BC9690F" w14:textId="54CE3B9C" w:rsidR="00B73B5F" w:rsidRPr="001C4C6F" w:rsidRDefault="00B73B5F" w:rsidP="00B73B5F">
      <w:pPr>
        <w:spacing w:after="0"/>
        <w:ind w:right="91"/>
        <w:rPr>
          <w:color w:val="000000" w:themeColor="text1"/>
        </w:rPr>
      </w:pPr>
      <w:r>
        <w:rPr>
          <w:color w:val="000000" w:themeColor="text1"/>
        </w:rPr>
        <w:t xml:space="preserve">Item 12 repeals </w:t>
      </w:r>
      <w:r w:rsidR="00435895">
        <w:rPr>
          <w:color w:val="000000" w:themeColor="text1"/>
        </w:rPr>
        <w:t>section</w:t>
      </w:r>
      <w:r w:rsidR="00435895" w:rsidRPr="001C4C6F">
        <w:rPr>
          <w:color w:val="000000" w:themeColor="text1"/>
        </w:rPr>
        <w:t xml:space="preserve"> </w:t>
      </w:r>
      <w:r w:rsidRPr="001C4C6F">
        <w:rPr>
          <w:color w:val="000000" w:themeColor="text1"/>
        </w:rPr>
        <w:t xml:space="preserve">65B </w:t>
      </w:r>
      <w:r>
        <w:rPr>
          <w:color w:val="000000" w:themeColor="text1"/>
        </w:rPr>
        <w:t xml:space="preserve">of the </w:t>
      </w:r>
      <w:r w:rsidRPr="00D675A1">
        <w:rPr>
          <w:i/>
          <w:iCs/>
          <w:color w:val="000000" w:themeColor="text1"/>
        </w:rPr>
        <w:t>National Consumer Credit Protection Regulations 2010</w:t>
      </w:r>
      <w:r>
        <w:rPr>
          <w:color w:val="000000" w:themeColor="text1"/>
        </w:rPr>
        <w:t xml:space="preserve">. This </w:t>
      </w:r>
      <w:r w:rsidR="00435895">
        <w:rPr>
          <w:color w:val="000000" w:themeColor="text1"/>
        </w:rPr>
        <w:t xml:space="preserve">section </w:t>
      </w:r>
      <w:r w:rsidRPr="001C4C6F">
        <w:rPr>
          <w:color w:val="000000" w:themeColor="text1"/>
        </w:rPr>
        <w:t xml:space="preserve">provided an exemption </w:t>
      </w:r>
      <w:r>
        <w:rPr>
          <w:color w:val="000000" w:themeColor="text1"/>
        </w:rPr>
        <w:t xml:space="preserve">from section 16 of the National Credit Code </w:t>
      </w:r>
      <w:r w:rsidRPr="001C4C6F">
        <w:rPr>
          <w:color w:val="000000" w:themeColor="text1"/>
        </w:rPr>
        <w:t xml:space="preserve">in relation to a residential investment property </w:t>
      </w:r>
      <w:r>
        <w:rPr>
          <w:color w:val="000000" w:themeColor="text1"/>
        </w:rPr>
        <w:t>and</w:t>
      </w:r>
      <w:r w:rsidRPr="001C4C6F">
        <w:rPr>
          <w:color w:val="000000" w:themeColor="text1"/>
        </w:rPr>
        <w:t xml:space="preserve"> ceased to </w:t>
      </w:r>
      <w:r>
        <w:rPr>
          <w:color w:val="000000" w:themeColor="text1"/>
        </w:rPr>
        <w:t>have effect</w:t>
      </w:r>
      <w:r w:rsidRPr="001C4C6F">
        <w:rPr>
          <w:color w:val="000000" w:themeColor="text1"/>
        </w:rPr>
        <w:t xml:space="preserve"> on 1 October 2010. </w:t>
      </w:r>
    </w:p>
    <w:p w14:paraId="08D04BDB" w14:textId="375A95FE" w:rsidR="00B73B5F" w:rsidRPr="001C4C6F" w:rsidRDefault="00B73B5F" w:rsidP="00B73B5F">
      <w:pPr>
        <w:spacing w:after="0"/>
        <w:ind w:right="91"/>
        <w:rPr>
          <w:color w:val="000000" w:themeColor="text1"/>
        </w:rPr>
      </w:pPr>
      <w:r>
        <w:rPr>
          <w:color w:val="000000" w:themeColor="text1"/>
        </w:rPr>
        <w:t xml:space="preserve">Item 12 also repeals </w:t>
      </w:r>
      <w:r w:rsidR="00BE5664">
        <w:rPr>
          <w:color w:val="000000" w:themeColor="text1"/>
        </w:rPr>
        <w:t>section</w:t>
      </w:r>
      <w:r w:rsidR="00BE5664" w:rsidRPr="001C4C6F">
        <w:rPr>
          <w:color w:val="000000" w:themeColor="text1"/>
        </w:rPr>
        <w:t xml:space="preserve"> </w:t>
      </w:r>
      <w:r w:rsidRPr="001C4C6F">
        <w:rPr>
          <w:color w:val="000000" w:themeColor="text1"/>
        </w:rPr>
        <w:t xml:space="preserve">24A </w:t>
      </w:r>
      <w:r>
        <w:rPr>
          <w:color w:val="000000" w:themeColor="text1"/>
        </w:rPr>
        <w:t xml:space="preserve">of the </w:t>
      </w:r>
      <w:r w:rsidRPr="00D675A1">
        <w:rPr>
          <w:i/>
          <w:iCs/>
          <w:color w:val="000000" w:themeColor="text1"/>
        </w:rPr>
        <w:t>National Consumer Credit Protection Regulations 2010</w:t>
      </w:r>
      <w:r>
        <w:rPr>
          <w:color w:val="000000" w:themeColor="text1"/>
        </w:rPr>
        <w:t xml:space="preserve">. This regulation </w:t>
      </w:r>
      <w:r w:rsidRPr="001C4C6F">
        <w:rPr>
          <w:color w:val="000000" w:themeColor="text1"/>
        </w:rPr>
        <w:t xml:space="preserve">provided </w:t>
      </w:r>
      <w:r>
        <w:rPr>
          <w:color w:val="000000" w:themeColor="text1"/>
        </w:rPr>
        <w:t xml:space="preserve">an exemption </w:t>
      </w:r>
      <w:r w:rsidRPr="001C4C6F">
        <w:rPr>
          <w:color w:val="000000" w:themeColor="text1"/>
        </w:rPr>
        <w:t xml:space="preserve">for </w:t>
      </w:r>
      <w:r>
        <w:rPr>
          <w:color w:val="000000" w:themeColor="text1"/>
        </w:rPr>
        <w:t>certain persons</w:t>
      </w:r>
      <w:r w:rsidRPr="001C4C6F">
        <w:rPr>
          <w:color w:val="000000" w:themeColor="text1"/>
        </w:rPr>
        <w:t xml:space="preserve"> from responsible lending contract obligations </w:t>
      </w:r>
      <w:r>
        <w:rPr>
          <w:color w:val="000000" w:themeColor="text1"/>
        </w:rPr>
        <w:t xml:space="preserve">under the </w:t>
      </w:r>
      <w:r w:rsidRPr="00D675A1">
        <w:rPr>
          <w:i/>
          <w:iCs/>
          <w:color w:val="000000" w:themeColor="text1"/>
        </w:rPr>
        <w:t>National Consumer Credit Protection Act</w:t>
      </w:r>
      <w:r>
        <w:rPr>
          <w:i/>
          <w:iCs/>
          <w:color w:val="000000" w:themeColor="text1"/>
        </w:rPr>
        <w:t xml:space="preserve"> 2009 </w:t>
      </w:r>
      <w:r>
        <w:rPr>
          <w:color w:val="000000" w:themeColor="text1"/>
        </w:rPr>
        <w:t xml:space="preserve">and </w:t>
      </w:r>
      <w:r w:rsidRPr="001C4C6F">
        <w:rPr>
          <w:color w:val="000000" w:themeColor="text1"/>
        </w:rPr>
        <w:t>ceased</w:t>
      </w:r>
      <w:r>
        <w:rPr>
          <w:color w:val="000000" w:themeColor="text1"/>
        </w:rPr>
        <w:t xml:space="preserve"> to have effect</w:t>
      </w:r>
      <w:r w:rsidRPr="001C4C6F">
        <w:rPr>
          <w:color w:val="000000" w:themeColor="text1"/>
        </w:rPr>
        <w:t xml:space="preserve"> on 1 April 2011. </w:t>
      </w:r>
    </w:p>
    <w:p w14:paraId="39FAB726" w14:textId="338B8BA0" w:rsidR="00B73B5F" w:rsidRDefault="00B73B5F" w:rsidP="00B73B5F">
      <w:pPr>
        <w:spacing w:after="0"/>
        <w:ind w:right="91"/>
        <w:rPr>
          <w:color w:val="000000" w:themeColor="text1"/>
        </w:rPr>
      </w:pPr>
      <w:r>
        <w:rPr>
          <w:color w:val="000000" w:themeColor="text1"/>
        </w:rPr>
        <w:t xml:space="preserve">Finally, the item repeals </w:t>
      </w:r>
      <w:r w:rsidR="00BE5664">
        <w:rPr>
          <w:color w:val="000000" w:themeColor="text1"/>
        </w:rPr>
        <w:t>sections</w:t>
      </w:r>
      <w:r w:rsidR="00BE5664" w:rsidRPr="001C4C6F">
        <w:rPr>
          <w:color w:val="000000" w:themeColor="text1"/>
        </w:rPr>
        <w:t xml:space="preserve"> </w:t>
      </w:r>
      <w:r w:rsidRPr="001C4C6F">
        <w:rPr>
          <w:color w:val="000000" w:themeColor="text1"/>
        </w:rPr>
        <w:t>69A and 69B</w:t>
      </w:r>
      <w:r>
        <w:rPr>
          <w:color w:val="000000" w:themeColor="text1"/>
        </w:rPr>
        <w:t xml:space="preserve"> of the </w:t>
      </w:r>
      <w:r w:rsidRPr="004F5B95">
        <w:rPr>
          <w:i/>
          <w:iCs/>
          <w:color w:val="000000" w:themeColor="text1"/>
        </w:rPr>
        <w:t>National Consumer Credit Regulations 2010</w:t>
      </w:r>
      <w:r>
        <w:rPr>
          <w:color w:val="000000" w:themeColor="text1"/>
        </w:rPr>
        <w:t>. Th</w:t>
      </w:r>
      <w:r w:rsidR="00BE5664">
        <w:rPr>
          <w:color w:val="000000" w:themeColor="text1"/>
        </w:rPr>
        <w:t>ese</w:t>
      </w:r>
      <w:r>
        <w:rPr>
          <w:color w:val="000000" w:themeColor="text1"/>
        </w:rPr>
        <w:t xml:space="preserve"> </w:t>
      </w:r>
      <w:r w:rsidR="005808E2">
        <w:rPr>
          <w:color w:val="000000" w:themeColor="text1"/>
        </w:rPr>
        <w:t>sections</w:t>
      </w:r>
      <w:r w:rsidRPr="001C4C6F">
        <w:rPr>
          <w:color w:val="000000" w:themeColor="text1"/>
        </w:rPr>
        <w:t xml:space="preserve"> exempted certain persons from requirements to give </w:t>
      </w:r>
      <w:r w:rsidR="00DF1467">
        <w:rPr>
          <w:color w:val="000000" w:themeColor="text1"/>
        </w:rPr>
        <w:t xml:space="preserve">certain </w:t>
      </w:r>
      <w:r w:rsidRPr="001C4C6F">
        <w:rPr>
          <w:color w:val="000000" w:themeColor="text1"/>
        </w:rPr>
        <w:t>notice</w:t>
      </w:r>
      <w:r w:rsidR="00DF1467">
        <w:rPr>
          <w:color w:val="000000" w:themeColor="text1"/>
        </w:rPr>
        <w:t>s</w:t>
      </w:r>
      <w:r w:rsidRPr="001C4C6F">
        <w:rPr>
          <w:color w:val="000000" w:themeColor="text1"/>
        </w:rPr>
        <w:t xml:space="preserve"> that ceased to have effect from 2 March 2014.</w:t>
      </w:r>
    </w:p>
    <w:p w14:paraId="32D75AD0" w14:textId="57CD8058" w:rsidR="00B73B5F" w:rsidRDefault="00B73B5F" w:rsidP="00B73B5F">
      <w:pPr>
        <w:spacing w:after="0"/>
        <w:ind w:right="91"/>
        <w:rPr>
          <w:i/>
          <w:iCs/>
          <w:color w:val="000000" w:themeColor="text1"/>
          <w:u w:val="single"/>
        </w:rPr>
      </w:pPr>
      <w:r w:rsidRPr="00B73B5F">
        <w:rPr>
          <w:color w:val="000000" w:themeColor="text1"/>
          <w:u w:val="single"/>
        </w:rPr>
        <w:t xml:space="preserve">Items 13 and 14 – Amendments to the </w:t>
      </w:r>
      <w:r w:rsidRPr="00B73B5F">
        <w:rPr>
          <w:i/>
          <w:iCs/>
          <w:color w:val="000000" w:themeColor="text1"/>
          <w:u w:val="single"/>
        </w:rPr>
        <w:t xml:space="preserve">Retirement Savings Accounts Regulations 1997 </w:t>
      </w:r>
    </w:p>
    <w:p w14:paraId="0796B10A" w14:textId="77777777" w:rsidR="00B73B5F" w:rsidRDefault="00B73B5F" w:rsidP="00B73B5F">
      <w:pPr>
        <w:rPr>
          <w:color w:val="000000"/>
        </w:rPr>
      </w:pPr>
      <w:r w:rsidRPr="001C4C6F">
        <w:rPr>
          <w:color w:val="000000"/>
        </w:rPr>
        <w:t xml:space="preserve">Item </w:t>
      </w:r>
      <w:r>
        <w:rPr>
          <w:color w:val="000000"/>
        </w:rPr>
        <w:t>13</w:t>
      </w:r>
      <w:r w:rsidRPr="001C4C6F">
        <w:rPr>
          <w:color w:val="000000"/>
        </w:rPr>
        <w:t xml:space="preserve"> repeals </w:t>
      </w:r>
      <w:r w:rsidRPr="008D67EC">
        <w:rPr>
          <w:color w:val="000000"/>
        </w:rPr>
        <w:t xml:space="preserve">Division 2.2 of Part 2 of the </w:t>
      </w:r>
      <w:r w:rsidRPr="008D67EC">
        <w:rPr>
          <w:i/>
          <w:iCs/>
          <w:color w:val="000000"/>
        </w:rPr>
        <w:t>Retirement Savings Accounts Regulations 1997</w:t>
      </w:r>
      <w:r>
        <w:rPr>
          <w:color w:val="000000"/>
        </w:rPr>
        <w:t>. This Division</w:t>
      </w:r>
      <w:r w:rsidRPr="008D67EC">
        <w:rPr>
          <w:color w:val="000000"/>
        </w:rPr>
        <w:t xml:space="preserve"> prescribe</w:t>
      </w:r>
      <w:r>
        <w:rPr>
          <w:color w:val="000000"/>
        </w:rPr>
        <w:t>d</w:t>
      </w:r>
      <w:r w:rsidRPr="008D67EC">
        <w:rPr>
          <w:color w:val="000000"/>
        </w:rPr>
        <w:t xml:space="preserve"> information for the purposes of paragraph 52(2)(a) of the </w:t>
      </w:r>
      <w:r w:rsidRPr="008D67EC">
        <w:rPr>
          <w:i/>
          <w:iCs/>
          <w:color w:val="000000"/>
        </w:rPr>
        <w:t>Retirement Savings Account Act 1997</w:t>
      </w:r>
      <w:r w:rsidRPr="008D67EC">
        <w:rPr>
          <w:color w:val="000000"/>
        </w:rPr>
        <w:t xml:space="preserve">. Section 52 </w:t>
      </w:r>
      <w:r w:rsidRPr="001C4C6F">
        <w:rPr>
          <w:color w:val="000000"/>
        </w:rPr>
        <w:t xml:space="preserve">of the </w:t>
      </w:r>
      <w:r w:rsidRPr="008D67EC">
        <w:rPr>
          <w:i/>
          <w:iCs/>
          <w:color w:val="000000"/>
        </w:rPr>
        <w:t>Retirement Savings Account Act 1997</w:t>
      </w:r>
      <w:r w:rsidRPr="001C4C6F">
        <w:rPr>
          <w:i/>
          <w:iCs/>
          <w:color w:val="000000"/>
        </w:rPr>
        <w:t xml:space="preserve"> </w:t>
      </w:r>
      <w:r w:rsidRPr="008D67EC">
        <w:rPr>
          <w:color w:val="000000"/>
        </w:rPr>
        <w:t xml:space="preserve">was repealed by the </w:t>
      </w:r>
      <w:r w:rsidRPr="008D67EC">
        <w:rPr>
          <w:i/>
          <w:iCs/>
          <w:color w:val="000000"/>
        </w:rPr>
        <w:t>Superannuation Legislation Amendment (Choice of Fund) Act 2004</w:t>
      </w:r>
      <w:r w:rsidRPr="001C4C6F">
        <w:rPr>
          <w:color w:val="000000"/>
        </w:rPr>
        <w:t xml:space="preserve">, making </w:t>
      </w:r>
      <w:r w:rsidRPr="008D67EC">
        <w:rPr>
          <w:color w:val="000000"/>
        </w:rPr>
        <w:t>Division 2.2 redundant</w:t>
      </w:r>
      <w:r w:rsidRPr="001C4C6F">
        <w:rPr>
          <w:color w:val="000000"/>
        </w:rPr>
        <w:t xml:space="preserve">. </w:t>
      </w:r>
    </w:p>
    <w:p w14:paraId="3B1275C5" w14:textId="2136495D" w:rsidR="00B73B5F" w:rsidRPr="001C4C6F" w:rsidRDefault="00B73B5F" w:rsidP="00B73B5F">
      <w:pPr>
        <w:rPr>
          <w:color w:val="000000"/>
        </w:rPr>
      </w:pPr>
      <w:r>
        <w:rPr>
          <w:color w:val="000000"/>
          <w:shd w:val="clear" w:color="auto" w:fill="FFFFFF"/>
        </w:rPr>
        <w:t>Item 14 amends the reference in t</w:t>
      </w:r>
      <w:r w:rsidRPr="00962F23">
        <w:rPr>
          <w:color w:val="000000"/>
        </w:rPr>
        <w:t xml:space="preserve">he note </w:t>
      </w:r>
      <w:r w:rsidR="002C3358">
        <w:rPr>
          <w:color w:val="000000"/>
        </w:rPr>
        <w:t>to</w:t>
      </w:r>
      <w:r>
        <w:rPr>
          <w:color w:val="000000"/>
        </w:rPr>
        <w:t xml:space="preserve"> </w:t>
      </w:r>
      <w:r w:rsidR="002C3358">
        <w:rPr>
          <w:color w:val="000000"/>
        </w:rPr>
        <w:t>section</w:t>
      </w:r>
      <w:r w:rsidRPr="00962F23">
        <w:rPr>
          <w:color w:val="000000"/>
        </w:rPr>
        <w:t xml:space="preserve"> 2.18A</w:t>
      </w:r>
      <w:r>
        <w:rPr>
          <w:color w:val="000000"/>
        </w:rPr>
        <w:t xml:space="preserve"> of the </w:t>
      </w:r>
      <w:r w:rsidRPr="00962F23">
        <w:rPr>
          <w:i/>
          <w:iCs/>
          <w:color w:val="000000"/>
        </w:rPr>
        <w:t xml:space="preserve">Retirement Savings Account </w:t>
      </w:r>
      <w:r>
        <w:rPr>
          <w:i/>
          <w:iCs/>
          <w:color w:val="000000"/>
        </w:rPr>
        <w:t>Regulations</w:t>
      </w:r>
      <w:r w:rsidRPr="00962F23">
        <w:rPr>
          <w:i/>
          <w:iCs/>
          <w:color w:val="000000"/>
        </w:rPr>
        <w:t xml:space="preserve"> 1997</w:t>
      </w:r>
      <w:r w:rsidRPr="00962F23">
        <w:rPr>
          <w:color w:val="000000"/>
        </w:rPr>
        <w:t xml:space="preserve"> </w:t>
      </w:r>
      <w:r>
        <w:rPr>
          <w:color w:val="000000"/>
        </w:rPr>
        <w:t xml:space="preserve">as it previously </w:t>
      </w:r>
      <w:r w:rsidRPr="00962F23">
        <w:rPr>
          <w:color w:val="000000"/>
        </w:rPr>
        <w:t>refer</w:t>
      </w:r>
      <w:r>
        <w:rPr>
          <w:color w:val="000000"/>
        </w:rPr>
        <w:t>red</w:t>
      </w:r>
      <w:r w:rsidRPr="00962F23">
        <w:rPr>
          <w:color w:val="000000"/>
        </w:rPr>
        <w:t xml:space="preserve"> to section 53 of the </w:t>
      </w:r>
      <w:r w:rsidRPr="00962F23">
        <w:rPr>
          <w:i/>
          <w:iCs/>
          <w:color w:val="000000"/>
        </w:rPr>
        <w:t>Retirement Savings Account Act 1997</w:t>
      </w:r>
      <w:r w:rsidRPr="00962F23">
        <w:rPr>
          <w:color w:val="000000"/>
        </w:rPr>
        <w:t xml:space="preserve">. Section 53 was repealed by the </w:t>
      </w:r>
      <w:r w:rsidRPr="00962F23">
        <w:rPr>
          <w:i/>
          <w:iCs/>
          <w:color w:val="000000"/>
        </w:rPr>
        <w:t>Financial Services Reform (Consequential Provisions) Act 2001</w:t>
      </w:r>
      <w:r w:rsidRPr="00962F23">
        <w:rPr>
          <w:color w:val="000000"/>
        </w:rPr>
        <w:t xml:space="preserve">. The reference in the note is </w:t>
      </w:r>
      <w:r>
        <w:rPr>
          <w:color w:val="000000"/>
        </w:rPr>
        <w:t xml:space="preserve">therefore </w:t>
      </w:r>
      <w:r w:rsidRPr="00962F23">
        <w:rPr>
          <w:color w:val="000000"/>
        </w:rPr>
        <w:t xml:space="preserve">redundant </w:t>
      </w:r>
      <w:r>
        <w:rPr>
          <w:color w:val="000000"/>
        </w:rPr>
        <w:t xml:space="preserve">and has been removed. </w:t>
      </w:r>
    </w:p>
    <w:p w14:paraId="0B60D48A" w14:textId="6F3591E6" w:rsidR="00B73B5F" w:rsidRDefault="00B73B5F" w:rsidP="00B73B5F">
      <w:pPr>
        <w:rPr>
          <w:i/>
          <w:iCs/>
          <w:color w:val="000000"/>
          <w:u w:val="single"/>
          <w:shd w:val="clear" w:color="auto" w:fill="FFFFFF"/>
        </w:rPr>
      </w:pPr>
      <w:r>
        <w:rPr>
          <w:color w:val="000000"/>
          <w:u w:val="single"/>
          <w:shd w:val="clear" w:color="auto" w:fill="FFFFFF"/>
        </w:rPr>
        <w:t xml:space="preserve">Item 15 – Amendment to the </w:t>
      </w:r>
      <w:r>
        <w:rPr>
          <w:i/>
          <w:iCs/>
          <w:color w:val="000000"/>
          <w:u w:val="single"/>
          <w:shd w:val="clear" w:color="auto" w:fill="FFFFFF"/>
        </w:rPr>
        <w:t>Superannuation (Unclaimed Money and Lost Members) Regulations 2019</w:t>
      </w:r>
    </w:p>
    <w:p w14:paraId="0C3B73B8" w14:textId="44531BBE" w:rsidR="004F6C62" w:rsidRPr="004F6C62" w:rsidRDefault="00E6394A" w:rsidP="004F6C62">
      <w:pPr>
        <w:rPr>
          <w:color w:val="000000"/>
          <w:shd w:val="clear" w:color="auto" w:fill="FFFFFF"/>
        </w:rPr>
      </w:pPr>
      <w:r>
        <w:rPr>
          <w:color w:val="000000"/>
          <w:shd w:val="clear" w:color="auto" w:fill="FFFFFF"/>
        </w:rPr>
        <w:t xml:space="preserve">Item 15 </w:t>
      </w:r>
      <w:r w:rsidR="00603153">
        <w:rPr>
          <w:color w:val="000000"/>
          <w:shd w:val="clear" w:color="auto" w:fill="FFFFFF"/>
        </w:rPr>
        <w:t xml:space="preserve">amends the </w:t>
      </w:r>
      <w:r w:rsidR="004F6C62" w:rsidRPr="00505058">
        <w:rPr>
          <w:i/>
          <w:iCs/>
          <w:color w:val="000000"/>
          <w:shd w:val="clear" w:color="auto" w:fill="FFFFFF"/>
        </w:rPr>
        <w:t xml:space="preserve">Superannuation (Unclaimed Money and Lost Members) Regulations 2019 </w:t>
      </w:r>
      <w:r w:rsidR="004F6C62" w:rsidRPr="004F6C62">
        <w:rPr>
          <w:color w:val="000000"/>
          <w:shd w:val="clear" w:color="auto" w:fill="FFFFFF"/>
        </w:rPr>
        <w:t xml:space="preserve">to ensure the recovery of overpayment in Part 4B of the </w:t>
      </w:r>
      <w:r w:rsidR="004F6C62" w:rsidRPr="00505058">
        <w:rPr>
          <w:i/>
          <w:iCs/>
          <w:color w:val="000000"/>
          <w:shd w:val="clear" w:color="auto" w:fill="FFFFFF"/>
        </w:rPr>
        <w:t>Superannuation (Unclaimed Money and Lost Members) Act 1999</w:t>
      </w:r>
      <w:r w:rsidR="004F6C62" w:rsidRPr="004F6C62">
        <w:rPr>
          <w:color w:val="000000"/>
          <w:shd w:val="clear" w:color="auto" w:fill="FFFFFF"/>
        </w:rPr>
        <w:t xml:space="preserve"> operates properly and consistent with the other recovery of overpayment provisions in that Act.</w:t>
      </w:r>
    </w:p>
    <w:p w14:paraId="20A1FB3C" w14:textId="46F3E81E" w:rsidR="00B73B5F" w:rsidRPr="00CF1845" w:rsidRDefault="004F6C62" w:rsidP="00B73B5F">
      <w:pPr>
        <w:rPr>
          <w:color w:val="000000"/>
          <w:shd w:val="clear" w:color="auto" w:fill="FFFFFF"/>
        </w:rPr>
      </w:pPr>
      <w:r w:rsidRPr="004F6C62">
        <w:rPr>
          <w:color w:val="000000"/>
          <w:shd w:val="clear" w:color="auto" w:fill="FFFFFF"/>
        </w:rPr>
        <w:t>The amendments have the effect of requiring the Commissioner of Taxation to give a debtor written notice, as prescribed by the regulations, of the proposed recovery and the amount to be recovered. The regulations require certain information to be included in the notice.</w:t>
      </w:r>
      <w:r w:rsidR="00B73B5F">
        <w:rPr>
          <w:color w:val="000000"/>
          <w:shd w:val="clear" w:color="auto" w:fill="FFFFFF"/>
        </w:rPr>
        <w:t xml:space="preserve"> </w:t>
      </w:r>
    </w:p>
    <w:p w14:paraId="01C19401" w14:textId="5CBC3B1B" w:rsidR="00B73B5F" w:rsidRDefault="00D11140" w:rsidP="00B73B5F">
      <w:pPr>
        <w:spacing w:after="0"/>
        <w:ind w:right="91"/>
        <w:rPr>
          <w:b/>
          <w:bCs/>
          <w:color w:val="000000"/>
          <w:shd w:val="clear" w:color="auto" w:fill="FFFFFF"/>
        </w:rPr>
      </w:pPr>
      <w:r>
        <w:rPr>
          <w:b/>
          <w:bCs/>
          <w:color w:val="000000"/>
          <w:shd w:val="clear" w:color="auto" w:fill="FFFFFF"/>
        </w:rPr>
        <w:lastRenderedPageBreak/>
        <w:t>Part 2 – Amendments commencing at the same time as the Treasury Laws Amendment (Measures for Consultation) Act 2021</w:t>
      </w:r>
    </w:p>
    <w:p w14:paraId="3C346EB9" w14:textId="2B79EB39" w:rsidR="00D11140" w:rsidRDefault="00D11140" w:rsidP="00B73B5F">
      <w:pPr>
        <w:spacing w:after="0"/>
        <w:ind w:right="91"/>
        <w:rPr>
          <w:color w:val="000000"/>
          <w:u w:val="single"/>
          <w:shd w:val="clear" w:color="auto" w:fill="FFFFFF"/>
        </w:rPr>
      </w:pPr>
      <w:r>
        <w:rPr>
          <w:color w:val="000000"/>
          <w:u w:val="single"/>
          <w:shd w:val="clear" w:color="auto" w:fill="FFFFFF"/>
        </w:rPr>
        <w:t xml:space="preserve">Items 16 to 18 – Amendments to the </w:t>
      </w:r>
      <w:r>
        <w:rPr>
          <w:i/>
          <w:iCs/>
          <w:color w:val="000000"/>
          <w:u w:val="single"/>
          <w:shd w:val="clear" w:color="auto" w:fill="FFFFFF"/>
        </w:rPr>
        <w:t xml:space="preserve">Corporations Regulations 2001 </w:t>
      </w:r>
    </w:p>
    <w:p w14:paraId="56B81283" w14:textId="20914354" w:rsidR="00D11140" w:rsidRDefault="006A3643" w:rsidP="00D11140">
      <w:pPr>
        <w:spacing w:after="0"/>
        <w:ind w:right="91"/>
        <w:rPr>
          <w:color w:val="000000"/>
          <w:shd w:val="clear" w:color="auto" w:fill="FFFFFF"/>
        </w:rPr>
      </w:pPr>
      <w:r>
        <w:rPr>
          <w:color w:val="000000"/>
          <w:shd w:val="clear" w:color="auto" w:fill="FFFFFF"/>
        </w:rPr>
        <w:t>Items</w:t>
      </w:r>
      <w:r w:rsidR="0015586F">
        <w:rPr>
          <w:color w:val="000000"/>
          <w:shd w:val="clear" w:color="auto" w:fill="FFFFFF"/>
        </w:rPr>
        <w:t xml:space="preserve"> 14 to 16</w:t>
      </w:r>
      <w:r w:rsidR="00D11140">
        <w:rPr>
          <w:color w:val="000000"/>
          <w:shd w:val="clear" w:color="auto" w:fill="FFFFFF"/>
        </w:rPr>
        <w:t xml:space="preserve"> of the </w:t>
      </w:r>
      <w:r w:rsidR="00D11140">
        <w:rPr>
          <w:i/>
          <w:iCs/>
          <w:color w:val="000000"/>
          <w:shd w:val="clear" w:color="auto" w:fill="FFFFFF"/>
        </w:rPr>
        <w:t>Treasury Laws Amendment (Measures for Consultation) Bill 2021</w:t>
      </w:r>
      <w:r w:rsidR="0015586F">
        <w:rPr>
          <w:i/>
          <w:iCs/>
          <w:color w:val="000000"/>
          <w:shd w:val="clear" w:color="auto" w:fill="FFFFFF"/>
        </w:rPr>
        <w:t>:</w:t>
      </w:r>
      <w:r w:rsidR="0015586F" w:rsidRPr="0015586F">
        <w:rPr>
          <w:i/>
        </w:rPr>
        <w:t xml:space="preserve"> </w:t>
      </w:r>
      <w:r w:rsidR="0015586F" w:rsidRPr="00D5264F">
        <w:rPr>
          <w:i/>
        </w:rPr>
        <w:t>Miscellaneous and Technical Amendments No. 2</w:t>
      </w:r>
      <w:r w:rsidR="00D11140" w:rsidRPr="00B94BB4">
        <w:rPr>
          <w:color w:val="000000"/>
          <w:shd w:val="clear" w:color="auto" w:fill="FFFFFF"/>
        </w:rPr>
        <w:t xml:space="preserve"> </w:t>
      </w:r>
      <w:bookmarkStart w:id="2" w:name="_Hlk81587926"/>
      <w:r w:rsidR="00D11140" w:rsidRPr="00B94BB4">
        <w:rPr>
          <w:color w:val="000000"/>
          <w:shd w:val="clear" w:color="auto" w:fill="FFFFFF"/>
        </w:rPr>
        <w:t>updates references from ‘days’ to ‘business days’ in section</w:t>
      </w:r>
      <w:r w:rsidR="00201CF8">
        <w:rPr>
          <w:color w:val="000000"/>
          <w:shd w:val="clear" w:color="auto" w:fill="FFFFFF"/>
        </w:rPr>
        <w:t>s</w:t>
      </w:r>
      <w:r w:rsidR="00D11140" w:rsidRPr="00B94BB4">
        <w:rPr>
          <w:color w:val="000000"/>
          <w:shd w:val="clear" w:color="auto" w:fill="FFFFFF"/>
        </w:rPr>
        <w:t xml:space="preserve"> 946C and 1019B of the </w:t>
      </w:r>
      <w:r w:rsidR="00D11140" w:rsidRPr="00B94BB4">
        <w:rPr>
          <w:i/>
          <w:iCs/>
          <w:color w:val="000000"/>
          <w:shd w:val="clear" w:color="auto" w:fill="FFFFFF"/>
        </w:rPr>
        <w:t>Corporations Act 2001</w:t>
      </w:r>
      <w:r w:rsidR="00D11140" w:rsidRPr="00B94BB4">
        <w:rPr>
          <w:color w:val="000000"/>
          <w:shd w:val="clear" w:color="auto" w:fill="FFFFFF"/>
        </w:rPr>
        <w:t xml:space="preserve">. </w:t>
      </w:r>
    </w:p>
    <w:p w14:paraId="6EAB159C" w14:textId="17AA0AC9" w:rsidR="00D11140" w:rsidRPr="00B94BB4" w:rsidRDefault="00D11140" w:rsidP="00D11140">
      <w:pPr>
        <w:spacing w:after="0"/>
        <w:ind w:right="91"/>
        <w:rPr>
          <w:color w:val="000000"/>
          <w:shd w:val="clear" w:color="auto" w:fill="FFFFFF"/>
        </w:rPr>
      </w:pPr>
      <w:r w:rsidRPr="00C5440C">
        <w:rPr>
          <w:color w:val="000000"/>
          <w:shd w:val="clear" w:color="auto" w:fill="FFFFFF"/>
        </w:rPr>
        <w:t xml:space="preserve">The modification power in </w:t>
      </w:r>
      <w:r w:rsidR="003F7A0A">
        <w:rPr>
          <w:color w:val="000000"/>
          <w:shd w:val="clear" w:color="auto" w:fill="FFFFFF"/>
        </w:rPr>
        <w:t>section</w:t>
      </w:r>
      <w:r w:rsidRPr="00C5440C">
        <w:rPr>
          <w:color w:val="000000"/>
          <w:shd w:val="clear" w:color="auto" w:fill="FFFFFF"/>
        </w:rPr>
        <w:t xml:space="preserve"> 7.7.10AH</w:t>
      </w:r>
      <w:r>
        <w:rPr>
          <w:color w:val="000000"/>
          <w:shd w:val="clear" w:color="auto" w:fill="FFFFFF"/>
        </w:rPr>
        <w:t xml:space="preserve"> </w:t>
      </w:r>
      <w:r w:rsidRPr="00C54321">
        <w:rPr>
          <w:color w:val="000000"/>
          <w:shd w:val="clear" w:color="auto" w:fill="FFFFFF"/>
        </w:rPr>
        <w:t>of the</w:t>
      </w:r>
      <w:r w:rsidRPr="00C5440C">
        <w:rPr>
          <w:color w:val="000000"/>
          <w:shd w:val="clear" w:color="auto" w:fill="FFFFFF"/>
        </w:rPr>
        <w:t xml:space="preserve"> </w:t>
      </w:r>
      <w:r w:rsidRPr="00B94BB4">
        <w:rPr>
          <w:i/>
          <w:iCs/>
          <w:color w:val="000000"/>
          <w:shd w:val="clear" w:color="auto" w:fill="FFFFFF"/>
        </w:rPr>
        <w:t>Corporations Regulations 2001</w:t>
      </w:r>
      <w:r>
        <w:rPr>
          <w:color w:val="000000"/>
          <w:shd w:val="clear" w:color="auto" w:fill="FFFFFF"/>
        </w:rPr>
        <w:t xml:space="preserve"> </w:t>
      </w:r>
      <w:r w:rsidRPr="00C5440C">
        <w:rPr>
          <w:color w:val="000000"/>
          <w:shd w:val="clear" w:color="auto" w:fill="FFFFFF"/>
        </w:rPr>
        <w:t xml:space="preserve">was used to modify the reference in section </w:t>
      </w:r>
      <w:r w:rsidRPr="00B94BB4">
        <w:rPr>
          <w:color w:val="000000"/>
          <w:shd w:val="clear" w:color="auto" w:fill="FFFFFF"/>
        </w:rPr>
        <w:t xml:space="preserve">946C of the </w:t>
      </w:r>
      <w:r w:rsidRPr="00B94BB4">
        <w:rPr>
          <w:i/>
          <w:iCs/>
          <w:color w:val="000000"/>
          <w:shd w:val="clear" w:color="auto" w:fill="FFFFFF"/>
        </w:rPr>
        <w:t>Corporations Act 2001</w:t>
      </w:r>
      <w:r w:rsidRPr="00B94BB4">
        <w:rPr>
          <w:color w:val="000000"/>
          <w:shd w:val="clear" w:color="auto" w:fill="FFFFFF"/>
        </w:rPr>
        <w:t xml:space="preserve"> </w:t>
      </w:r>
      <w:r w:rsidRPr="00C5440C">
        <w:rPr>
          <w:color w:val="000000"/>
          <w:shd w:val="clear" w:color="auto" w:fill="FFFFFF"/>
        </w:rPr>
        <w:t>from calendar days to business days until the change could be made permanently in th</w:t>
      </w:r>
      <w:r>
        <w:rPr>
          <w:color w:val="000000"/>
          <w:shd w:val="clear" w:color="auto" w:fill="FFFFFF"/>
        </w:rPr>
        <w:t>at</w:t>
      </w:r>
      <w:r w:rsidRPr="00C5440C">
        <w:rPr>
          <w:color w:val="000000"/>
          <w:shd w:val="clear" w:color="auto" w:fill="FFFFFF"/>
        </w:rPr>
        <w:t xml:space="preserve"> Act</w:t>
      </w:r>
      <w:r>
        <w:rPr>
          <w:color w:val="000000"/>
          <w:shd w:val="clear" w:color="auto" w:fill="FFFFFF"/>
        </w:rPr>
        <w:t xml:space="preserve">. </w:t>
      </w:r>
      <w:r w:rsidRPr="00B94BB4">
        <w:rPr>
          <w:color w:val="000000"/>
          <w:shd w:val="clear" w:color="auto" w:fill="FFFFFF"/>
        </w:rPr>
        <w:t xml:space="preserve">The effect of this modification was that time critical provision of a Statement of Advice(s) must occur within five business days of an additional service being provided, rather than within five calendar days. As a result of incorporating this amendment into the </w:t>
      </w:r>
      <w:r w:rsidRPr="00B94BB4">
        <w:rPr>
          <w:i/>
          <w:iCs/>
          <w:color w:val="000000"/>
          <w:shd w:val="clear" w:color="auto" w:fill="FFFFFF"/>
        </w:rPr>
        <w:t>Corporations Act 2001,</w:t>
      </w:r>
      <w:r w:rsidR="008032B4">
        <w:rPr>
          <w:i/>
          <w:iCs/>
          <w:color w:val="000000"/>
          <w:shd w:val="clear" w:color="auto" w:fill="FFFFFF"/>
        </w:rPr>
        <w:t xml:space="preserve"> </w:t>
      </w:r>
      <w:r w:rsidR="008032B4">
        <w:rPr>
          <w:color w:val="000000"/>
          <w:shd w:val="clear" w:color="auto" w:fill="FFFFFF"/>
        </w:rPr>
        <w:t>sub-sections 7.6.08(1) and (2) are repealed by item 16 and</w:t>
      </w:r>
      <w:r w:rsidRPr="00B94BB4">
        <w:rPr>
          <w:i/>
          <w:iCs/>
          <w:color w:val="000000"/>
          <w:shd w:val="clear" w:color="auto" w:fill="FFFFFF"/>
        </w:rPr>
        <w:t xml:space="preserve"> </w:t>
      </w:r>
      <w:r w:rsidR="003F7A0A">
        <w:rPr>
          <w:color w:val="000000"/>
          <w:shd w:val="clear" w:color="auto" w:fill="FFFFFF"/>
        </w:rPr>
        <w:t>section</w:t>
      </w:r>
      <w:r w:rsidR="003F7A0A" w:rsidRPr="00B94BB4">
        <w:rPr>
          <w:color w:val="000000"/>
          <w:shd w:val="clear" w:color="auto" w:fill="FFFFFF"/>
        </w:rPr>
        <w:t xml:space="preserve"> </w:t>
      </w:r>
      <w:r w:rsidRPr="00B94BB4">
        <w:rPr>
          <w:color w:val="000000"/>
          <w:shd w:val="clear" w:color="auto" w:fill="FFFFFF"/>
        </w:rPr>
        <w:t xml:space="preserve">7.7.10AH of the </w:t>
      </w:r>
      <w:r w:rsidRPr="00B94BB4">
        <w:rPr>
          <w:i/>
          <w:iCs/>
          <w:color w:val="000000"/>
          <w:shd w:val="clear" w:color="auto" w:fill="FFFFFF"/>
        </w:rPr>
        <w:t xml:space="preserve">Corporations Regulations 2001 </w:t>
      </w:r>
      <w:r>
        <w:rPr>
          <w:color w:val="000000"/>
          <w:shd w:val="clear" w:color="auto" w:fill="FFFFFF"/>
        </w:rPr>
        <w:t>is</w:t>
      </w:r>
      <w:r w:rsidRPr="00B94BB4">
        <w:rPr>
          <w:color w:val="000000"/>
          <w:shd w:val="clear" w:color="auto" w:fill="FFFFFF"/>
        </w:rPr>
        <w:t xml:space="preserve"> repealed</w:t>
      </w:r>
      <w:r w:rsidR="0015586F">
        <w:rPr>
          <w:color w:val="000000"/>
          <w:shd w:val="clear" w:color="auto" w:fill="FFFFFF"/>
        </w:rPr>
        <w:t xml:space="preserve"> by item 17</w:t>
      </w:r>
      <w:r w:rsidRPr="00B94BB4">
        <w:rPr>
          <w:color w:val="000000"/>
          <w:shd w:val="clear" w:color="auto" w:fill="FFFFFF"/>
        </w:rPr>
        <w:t xml:space="preserve">.  </w:t>
      </w:r>
    </w:p>
    <w:p w14:paraId="346902B3" w14:textId="68B48BC0" w:rsidR="00D11140" w:rsidRPr="00B94BB4" w:rsidRDefault="00D11140" w:rsidP="00D11140">
      <w:pPr>
        <w:spacing w:after="0"/>
        <w:ind w:right="91"/>
        <w:rPr>
          <w:color w:val="000000"/>
          <w:shd w:val="clear" w:color="auto" w:fill="FFFFFF"/>
        </w:rPr>
      </w:pPr>
      <w:r w:rsidRPr="00B94BB4">
        <w:rPr>
          <w:color w:val="000000"/>
          <w:shd w:val="clear" w:color="auto" w:fill="FFFFFF"/>
        </w:rPr>
        <w:t xml:space="preserve">Section 1019B of the </w:t>
      </w:r>
      <w:r w:rsidRPr="00B94BB4">
        <w:rPr>
          <w:i/>
          <w:iCs/>
          <w:color w:val="000000"/>
          <w:shd w:val="clear" w:color="auto" w:fill="FFFFFF"/>
        </w:rPr>
        <w:t>Corporations Act 2001</w:t>
      </w:r>
      <w:r w:rsidRPr="00B94BB4">
        <w:rPr>
          <w:color w:val="000000"/>
          <w:shd w:val="clear" w:color="auto" w:fill="FFFFFF"/>
        </w:rPr>
        <w:t xml:space="preserve"> was modified by </w:t>
      </w:r>
      <w:r w:rsidR="003F7A0A">
        <w:rPr>
          <w:color w:val="000000"/>
          <w:shd w:val="clear" w:color="auto" w:fill="FFFFFF"/>
        </w:rPr>
        <w:t>section</w:t>
      </w:r>
      <w:r w:rsidR="003F7A0A" w:rsidRPr="00B94BB4">
        <w:rPr>
          <w:color w:val="000000"/>
          <w:shd w:val="clear" w:color="auto" w:fill="FFFFFF"/>
        </w:rPr>
        <w:t xml:space="preserve"> </w:t>
      </w:r>
      <w:r w:rsidRPr="00B94BB4">
        <w:rPr>
          <w:color w:val="000000"/>
          <w:shd w:val="clear" w:color="auto" w:fill="FFFFFF"/>
        </w:rPr>
        <w:t xml:space="preserve">7.9.15G of the </w:t>
      </w:r>
      <w:r w:rsidRPr="00B94BB4">
        <w:rPr>
          <w:i/>
          <w:iCs/>
          <w:color w:val="000000"/>
          <w:shd w:val="clear" w:color="auto" w:fill="FFFFFF"/>
        </w:rPr>
        <w:t>Corporations Regulations 2001</w:t>
      </w:r>
      <w:r w:rsidRPr="00B94BB4">
        <w:rPr>
          <w:color w:val="000000"/>
          <w:shd w:val="clear" w:color="auto" w:fill="FFFFFF"/>
        </w:rPr>
        <w:t xml:space="preserve">. The effect of this modification was that consumers’ cooling off rights start no later than the fifth business day after they acquire the product, rather than the fifth calendar day. As a result of incorporating this amendment into the </w:t>
      </w:r>
      <w:r w:rsidRPr="00B94BB4">
        <w:rPr>
          <w:i/>
          <w:iCs/>
          <w:color w:val="000000"/>
          <w:shd w:val="clear" w:color="auto" w:fill="FFFFFF"/>
        </w:rPr>
        <w:t>Corporations Act 2001</w:t>
      </w:r>
      <w:r w:rsidRPr="00B94BB4">
        <w:rPr>
          <w:color w:val="000000"/>
          <w:shd w:val="clear" w:color="auto" w:fill="FFFFFF"/>
        </w:rPr>
        <w:t xml:space="preserve">, </w:t>
      </w:r>
      <w:r w:rsidR="003F7A0A">
        <w:rPr>
          <w:color w:val="000000"/>
          <w:shd w:val="clear" w:color="auto" w:fill="FFFFFF"/>
        </w:rPr>
        <w:t>section</w:t>
      </w:r>
      <w:r w:rsidR="003F7A0A" w:rsidRPr="00B94BB4">
        <w:rPr>
          <w:color w:val="000000"/>
          <w:shd w:val="clear" w:color="auto" w:fill="FFFFFF"/>
        </w:rPr>
        <w:t xml:space="preserve"> </w:t>
      </w:r>
      <w:r w:rsidRPr="00B94BB4">
        <w:rPr>
          <w:color w:val="000000"/>
          <w:shd w:val="clear" w:color="auto" w:fill="FFFFFF"/>
        </w:rPr>
        <w:t xml:space="preserve">7.9.15G of the </w:t>
      </w:r>
      <w:r w:rsidRPr="00B94BB4">
        <w:rPr>
          <w:i/>
          <w:iCs/>
          <w:color w:val="000000"/>
          <w:shd w:val="clear" w:color="auto" w:fill="FFFFFF"/>
        </w:rPr>
        <w:t xml:space="preserve">Corporations Regulations 2001 </w:t>
      </w:r>
      <w:r>
        <w:rPr>
          <w:color w:val="000000"/>
          <w:shd w:val="clear" w:color="auto" w:fill="FFFFFF"/>
        </w:rPr>
        <w:t>is</w:t>
      </w:r>
      <w:r w:rsidRPr="00B94BB4">
        <w:rPr>
          <w:color w:val="000000"/>
          <w:shd w:val="clear" w:color="auto" w:fill="FFFFFF"/>
        </w:rPr>
        <w:t xml:space="preserve"> repealed</w:t>
      </w:r>
      <w:r w:rsidR="0015586F">
        <w:rPr>
          <w:color w:val="000000"/>
          <w:shd w:val="clear" w:color="auto" w:fill="FFFFFF"/>
        </w:rPr>
        <w:t xml:space="preserve"> item 18</w:t>
      </w:r>
      <w:r w:rsidRPr="00B94BB4">
        <w:rPr>
          <w:color w:val="000000"/>
          <w:shd w:val="clear" w:color="auto" w:fill="FFFFFF"/>
        </w:rPr>
        <w:t xml:space="preserve">. </w:t>
      </w:r>
    </w:p>
    <w:bookmarkEnd w:id="2"/>
    <w:p w14:paraId="19420F3B" w14:textId="44C2B4CA" w:rsidR="00EA4DD8" w:rsidRDefault="00EA4DD8" w:rsidP="00EA4DD8">
      <w:pPr>
        <w:spacing w:before="0" w:after="0"/>
      </w:pPr>
    </w:p>
    <w:p w14:paraId="57C383A6" w14:textId="0E5F6CD5" w:rsidR="00A22159" w:rsidRDefault="00A22159" w:rsidP="00EA4DD8">
      <w:pPr>
        <w:spacing w:before="0" w:after="0"/>
        <w:rPr>
          <w:b/>
          <w:kern w:val="28"/>
        </w:rPr>
      </w:pPr>
    </w:p>
    <w:p w14:paraId="78681411" w14:textId="77777777" w:rsidR="00482B81" w:rsidRPr="00EA4DD8" w:rsidRDefault="00482B81" w:rsidP="00EA4DD8">
      <w:pPr>
        <w:spacing w:before="0" w:after="0"/>
      </w:pPr>
    </w:p>
    <w:sectPr w:rsidR="00482B81" w:rsidRPr="00EA4DD8"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D803D" w14:textId="77777777" w:rsidR="00C25CA5" w:rsidRDefault="00C25CA5" w:rsidP="00954679">
      <w:pPr>
        <w:spacing w:before="0" w:after="0"/>
      </w:pPr>
      <w:r>
        <w:separator/>
      </w:r>
    </w:p>
  </w:endnote>
  <w:endnote w:type="continuationSeparator" w:id="0">
    <w:p w14:paraId="760A60D6" w14:textId="77777777" w:rsidR="00C25CA5" w:rsidRDefault="00C25CA5" w:rsidP="00954679">
      <w:pPr>
        <w:spacing w:before="0" w:after="0"/>
      </w:pPr>
      <w:r>
        <w:continuationSeparator/>
      </w:r>
    </w:p>
  </w:endnote>
  <w:endnote w:type="continuationNotice" w:id="1">
    <w:p w14:paraId="1EE587A6" w14:textId="77777777" w:rsidR="00C25CA5" w:rsidRDefault="00C25C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35F360B" w14:textId="24313E4E" w:rsidR="00F86E1D" w:rsidRDefault="00F86E1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7A2F0" w14:textId="77777777" w:rsidR="00C25CA5" w:rsidRDefault="00C25CA5" w:rsidP="00954679">
      <w:pPr>
        <w:spacing w:before="0" w:after="0"/>
      </w:pPr>
      <w:r>
        <w:separator/>
      </w:r>
    </w:p>
  </w:footnote>
  <w:footnote w:type="continuationSeparator" w:id="0">
    <w:p w14:paraId="1A61977D" w14:textId="77777777" w:rsidR="00C25CA5" w:rsidRDefault="00C25CA5" w:rsidP="00954679">
      <w:pPr>
        <w:spacing w:before="0" w:after="0"/>
      </w:pPr>
      <w:r>
        <w:continuationSeparator/>
      </w:r>
    </w:p>
  </w:footnote>
  <w:footnote w:type="continuationNotice" w:id="1">
    <w:p w14:paraId="0F4FB560" w14:textId="77777777" w:rsidR="00C25CA5" w:rsidRDefault="00C25C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769188"/>
      <w:docPartObj>
        <w:docPartGallery w:val="Watermarks"/>
        <w:docPartUnique/>
      </w:docPartObj>
    </w:sdtPr>
    <w:sdtEndPr/>
    <w:sdtContent>
      <w:p w14:paraId="2ACD8728" w14:textId="4763D875" w:rsidR="00D016FC" w:rsidRDefault="00C25CA5">
        <w:pPr>
          <w:pStyle w:val="Header"/>
        </w:pPr>
        <w:r>
          <w:rPr>
            <w:noProof/>
          </w:rPr>
          <w:pict w14:anchorId="2A416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65DF6494"/>
    <w:multiLevelType w:val="multilevel"/>
    <w:tmpl w:val="A316FE50"/>
    <w:numStyleLink w:val="ChapterList"/>
  </w:abstractNum>
  <w:abstractNum w:abstractNumId="6"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1"/>
  </w:num>
  <w:num w:numId="4">
    <w:abstractNumId w:val="0"/>
  </w:num>
  <w:num w:numId="5">
    <w:abstractNumId w:val="5"/>
    <w:lvlOverride w:ilvl="0">
      <w:lvl w:ilvl="0">
        <w:start w:val="1"/>
        <w:numFmt w:val="decimal"/>
        <w:lvlText w:val="Chapter %1"/>
        <w:lvlJc w:val="left"/>
        <w:pPr>
          <w:tabs>
            <w:tab w:val="num" w:pos="1134"/>
          </w:tabs>
          <w:ind w:left="0" w:firstLine="0"/>
        </w:pPr>
        <w:rPr>
          <w:rFonts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6E7"/>
    <w:rsid w:val="00013390"/>
    <w:rsid w:val="00016EA2"/>
    <w:rsid w:val="00024A32"/>
    <w:rsid w:val="00076178"/>
    <w:rsid w:val="00095211"/>
    <w:rsid w:val="00097CFF"/>
    <w:rsid w:val="000B39A1"/>
    <w:rsid w:val="000B550A"/>
    <w:rsid w:val="000C10DF"/>
    <w:rsid w:val="000C3D45"/>
    <w:rsid w:val="000C6935"/>
    <w:rsid w:val="000E32E3"/>
    <w:rsid w:val="00113B45"/>
    <w:rsid w:val="00143CB2"/>
    <w:rsid w:val="0015586F"/>
    <w:rsid w:val="00182411"/>
    <w:rsid w:val="001925CE"/>
    <w:rsid w:val="001A362B"/>
    <w:rsid w:val="001B7535"/>
    <w:rsid w:val="001D369E"/>
    <w:rsid w:val="001E32A0"/>
    <w:rsid w:val="001E54E4"/>
    <w:rsid w:val="001E6A74"/>
    <w:rsid w:val="001F41D0"/>
    <w:rsid w:val="00201CF8"/>
    <w:rsid w:val="00220F16"/>
    <w:rsid w:val="002361FC"/>
    <w:rsid w:val="002530DD"/>
    <w:rsid w:val="00254C5B"/>
    <w:rsid w:val="00263004"/>
    <w:rsid w:val="00265243"/>
    <w:rsid w:val="002A1930"/>
    <w:rsid w:val="002A7E1F"/>
    <w:rsid w:val="002C106F"/>
    <w:rsid w:val="002C226C"/>
    <w:rsid w:val="002C3358"/>
    <w:rsid w:val="003041FA"/>
    <w:rsid w:val="003342CD"/>
    <w:rsid w:val="00335042"/>
    <w:rsid w:val="00362B70"/>
    <w:rsid w:val="00374C03"/>
    <w:rsid w:val="00392BBA"/>
    <w:rsid w:val="00395352"/>
    <w:rsid w:val="003954FD"/>
    <w:rsid w:val="003C30AD"/>
    <w:rsid w:val="003C7907"/>
    <w:rsid w:val="003D2B25"/>
    <w:rsid w:val="003D41A3"/>
    <w:rsid w:val="003D60D7"/>
    <w:rsid w:val="003E1CE3"/>
    <w:rsid w:val="003E22B8"/>
    <w:rsid w:val="003E6173"/>
    <w:rsid w:val="003F7A0A"/>
    <w:rsid w:val="004326E7"/>
    <w:rsid w:val="00435895"/>
    <w:rsid w:val="00450F71"/>
    <w:rsid w:val="00462095"/>
    <w:rsid w:val="00474779"/>
    <w:rsid w:val="00482B81"/>
    <w:rsid w:val="00482D4C"/>
    <w:rsid w:val="0048656A"/>
    <w:rsid w:val="004B3C0F"/>
    <w:rsid w:val="004C05E4"/>
    <w:rsid w:val="004C69D1"/>
    <w:rsid w:val="004E39E1"/>
    <w:rsid w:val="004F0898"/>
    <w:rsid w:val="004F56D0"/>
    <w:rsid w:val="004F6C62"/>
    <w:rsid w:val="00503E44"/>
    <w:rsid w:val="00505058"/>
    <w:rsid w:val="00510CD3"/>
    <w:rsid w:val="00515283"/>
    <w:rsid w:val="00533926"/>
    <w:rsid w:val="005347D3"/>
    <w:rsid w:val="0055675D"/>
    <w:rsid w:val="00566E8F"/>
    <w:rsid w:val="00567A3D"/>
    <w:rsid w:val="0057422E"/>
    <w:rsid w:val="005808E2"/>
    <w:rsid w:val="005833BE"/>
    <w:rsid w:val="005A1A78"/>
    <w:rsid w:val="005B54FB"/>
    <w:rsid w:val="005D0A67"/>
    <w:rsid w:val="005D58C5"/>
    <w:rsid w:val="005D7D5A"/>
    <w:rsid w:val="005E4BAC"/>
    <w:rsid w:val="005F7338"/>
    <w:rsid w:val="0060130D"/>
    <w:rsid w:val="00603153"/>
    <w:rsid w:val="006339B9"/>
    <w:rsid w:val="0064129F"/>
    <w:rsid w:val="00647BB7"/>
    <w:rsid w:val="00654667"/>
    <w:rsid w:val="0065481C"/>
    <w:rsid w:val="00680297"/>
    <w:rsid w:val="006873CE"/>
    <w:rsid w:val="006A0786"/>
    <w:rsid w:val="006A3643"/>
    <w:rsid w:val="006D680C"/>
    <w:rsid w:val="006D702D"/>
    <w:rsid w:val="006E0163"/>
    <w:rsid w:val="006E2DC0"/>
    <w:rsid w:val="006E652C"/>
    <w:rsid w:val="00710E94"/>
    <w:rsid w:val="00727D8A"/>
    <w:rsid w:val="00731FEA"/>
    <w:rsid w:val="00735057"/>
    <w:rsid w:val="00736F61"/>
    <w:rsid w:val="0073770D"/>
    <w:rsid w:val="00742253"/>
    <w:rsid w:val="00744734"/>
    <w:rsid w:val="007662C7"/>
    <w:rsid w:val="00776306"/>
    <w:rsid w:val="00797D85"/>
    <w:rsid w:val="007A55A7"/>
    <w:rsid w:val="007B1F10"/>
    <w:rsid w:val="007B335E"/>
    <w:rsid w:val="007D224A"/>
    <w:rsid w:val="007E018D"/>
    <w:rsid w:val="007F1B71"/>
    <w:rsid w:val="008032B4"/>
    <w:rsid w:val="008074B2"/>
    <w:rsid w:val="00807E7D"/>
    <w:rsid w:val="00831675"/>
    <w:rsid w:val="0088467C"/>
    <w:rsid w:val="00892ABF"/>
    <w:rsid w:val="00894579"/>
    <w:rsid w:val="008A5B67"/>
    <w:rsid w:val="008B7186"/>
    <w:rsid w:val="008D16F7"/>
    <w:rsid w:val="008E1427"/>
    <w:rsid w:val="009143A0"/>
    <w:rsid w:val="00922E81"/>
    <w:rsid w:val="00930AB8"/>
    <w:rsid w:val="00936902"/>
    <w:rsid w:val="0094724E"/>
    <w:rsid w:val="00954679"/>
    <w:rsid w:val="009C6682"/>
    <w:rsid w:val="009C6A1E"/>
    <w:rsid w:val="009E2F86"/>
    <w:rsid w:val="009F1969"/>
    <w:rsid w:val="009F26C8"/>
    <w:rsid w:val="00A029B8"/>
    <w:rsid w:val="00A10087"/>
    <w:rsid w:val="00A12209"/>
    <w:rsid w:val="00A22159"/>
    <w:rsid w:val="00A26114"/>
    <w:rsid w:val="00A36DF3"/>
    <w:rsid w:val="00A434CC"/>
    <w:rsid w:val="00A532DD"/>
    <w:rsid w:val="00A80BCF"/>
    <w:rsid w:val="00A8369C"/>
    <w:rsid w:val="00A91FA3"/>
    <w:rsid w:val="00AA1689"/>
    <w:rsid w:val="00AA5770"/>
    <w:rsid w:val="00AC1D15"/>
    <w:rsid w:val="00AD3297"/>
    <w:rsid w:val="00AD3A8F"/>
    <w:rsid w:val="00AD5902"/>
    <w:rsid w:val="00B07B0C"/>
    <w:rsid w:val="00B136E1"/>
    <w:rsid w:val="00B25563"/>
    <w:rsid w:val="00B26D48"/>
    <w:rsid w:val="00B429B4"/>
    <w:rsid w:val="00B42EE1"/>
    <w:rsid w:val="00B63FA1"/>
    <w:rsid w:val="00B73B5F"/>
    <w:rsid w:val="00B8293D"/>
    <w:rsid w:val="00B84B25"/>
    <w:rsid w:val="00B878D5"/>
    <w:rsid w:val="00B92478"/>
    <w:rsid w:val="00B973D7"/>
    <w:rsid w:val="00BA6188"/>
    <w:rsid w:val="00BC3A46"/>
    <w:rsid w:val="00BD61A2"/>
    <w:rsid w:val="00BD6903"/>
    <w:rsid w:val="00BE484D"/>
    <w:rsid w:val="00BE5664"/>
    <w:rsid w:val="00C16DC4"/>
    <w:rsid w:val="00C25CA5"/>
    <w:rsid w:val="00C37E05"/>
    <w:rsid w:val="00C40647"/>
    <w:rsid w:val="00C475EA"/>
    <w:rsid w:val="00C55D29"/>
    <w:rsid w:val="00C61742"/>
    <w:rsid w:val="00C86E3C"/>
    <w:rsid w:val="00CA0BE9"/>
    <w:rsid w:val="00CA138D"/>
    <w:rsid w:val="00CC7641"/>
    <w:rsid w:val="00CD3C9F"/>
    <w:rsid w:val="00CE025B"/>
    <w:rsid w:val="00CF1724"/>
    <w:rsid w:val="00CF2A64"/>
    <w:rsid w:val="00D016FC"/>
    <w:rsid w:val="00D11140"/>
    <w:rsid w:val="00D13794"/>
    <w:rsid w:val="00D24052"/>
    <w:rsid w:val="00D24386"/>
    <w:rsid w:val="00D31575"/>
    <w:rsid w:val="00D3408B"/>
    <w:rsid w:val="00D34626"/>
    <w:rsid w:val="00D34FB4"/>
    <w:rsid w:val="00D4257A"/>
    <w:rsid w:val="00D477F0"/>
    <w:rsid w:val="00D47B7F"/>
    <w:rsid w:val="00D5264F"/>
    <w:rsid w:val="00D62665"/>
    <w:rsid w:val="00D82E47"/>
    <w:rsid w:val="00DB6149"/>
    <w:rsid w:val="00DC0CDE"/>
    <w:rsid w:val="00DC4D72"/>
    <w:rsid w:val="00DF1467"/>
    <w:rsid w:val="00E0624D"/>
    <w:rsid w:val="00E4438C"/>
    <w:rsid w:val="00E457F3"/>
    <w:rsid w:val="00E6314B"/>
    <w:rsid w:val="00E6394A"/>
    <w:rsid w:val="00E77C1C"/>
    <w:rsid w:val="00EA4DD8"/>
    <w:rsid w:val="00EB2AEF"/>
    <w:rsid w:val="00EB7E71"/>
    <w:rsid w:val="00F109D4"/>
    <w:rsid w:val="00F15EE9"/>
    <w:rsid w:val="00F3288B"/>
    <w:rsid w:val="00F47585"/>
    <w:rsid w:val="00F85E6F"/>
    <w:rsid w:val="00F86E1D"/>
    <w:rsid w:val="00FA1F50"/>
    <w:rsid w:val="00FB63FD"/>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C97F29"/>
  <w15:docId w15:val="{19B96CBA-9D5D-4BF5-AA38-C27196DA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D47B7F"/>
    <w:rPr>
      <w:sz w:val="24"/>
    </w:rPr>
  </w:style>
  <w:style w:type="paragraph" w:customStyle="1" w:styleId="ChapterHeading">
    <w:name w:val="Chapter Heading"/>
    <w:next w:val="Heading2"/>
    <w:rsid w:val="00D47B7F"/>
    <w:pPr>
      <w:numPr>
        <w:numId w:val="6"/>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47B7F"/>
    <w:pPr>
      <w:numPr>
        <w:numId w:val="6"/>
      </w:numPr>
    </w:pPr>
  </w:style>
  <w:style w:type="paragraph" w:customStyle="1" w:styleId="Diagram">
    <w:name w:val="Diagram"/>
    <w:basedOn w:val="Normal"/>
    <w:next w:val="Normal"/>
    <w:rsid w:val="00D47B7F"/>
    <w:pPr>
      <w:keepNext/>
      <w:numPr>
        <w:ilvl w:val="2"/>
        <w:numId w:val="6"/>
      </w:numPr>
      <w:spacing w:before="0" w:after="0"/>
    </w:pPr>
    <w:rPr>
      <w:b/>
      <w:sz w:val="22"/>
    </w:rPr>
  </w:style>
  <w:style w:type="paragraph" w:customStyle="1" w:styleId="dotpoint0">
    <w:name w:val="dot point"/>
    <w:basedOn w:val="Normal"/>
    <w:rsid w:val="00D47B7F"/>
    <w:pPr>
      <w:numPr>
        <w:numId w:val="7"/>
      </w:numPr>
    </w:pPr>
    <w:rPr>
      <w:sz w:val="22"/>
    </w:rPr>
  </w:style>
  <w:style w:type="paragraph" w:customStyle="1" w:styleId="ExampleHeading">
    <w:name w:val="Example Heading"/>
    <w:basedOn w:val="Normal"/>
    <w:next w:val="Normal"/>
    <w:rsid w:val="00D47B7F"/>
    <w:pPr>
      <w:keepNext/>
      <w:numPr>
        <w:ilvl w:val="3"/>
        <w:numId w:val="6"/>
      </w:numPr>
    </w:pPr>
    <w:rPr>
      <w:b/>
      <w:sz w:val="22"/>
    </w:rPr>
  </w:style>
  <w:style w:type="character" w:customStyle="1" w:styleId="Referencingstyle">
    <w:name w:val="Referencing style"/>
    <w:basedOn w:val="DefaultParagraphFont"/>
    <w:rsid w:val="00D47B7F"/>
    <w:rPr>
      <w:b/>
      <w:i/>
      <w:sz w:val="18"/>
    </w:rPr>
  </w:style>
  <w:style w:type="paragraph" w:customStyle="1" w:styleId="TableHeadingoutsidetable">
    <w:name w:val="Table Heading (outside table)"/>
    <w:basedOn w:val="Heading4"/>
    <w:rsid w:val="00D47B7F"/>
    <w:pPr>
      <w:numPr>
        <w:ilvl w:val="4"/>
        <w:numId w:val="6"/>
      </w:numPr>
      <w:tabs>
        <w:tab w:val="clear" w:pos="1987"/>
        <w:tab w:val="num" w:pos="360"/>
      </w:tabs>
      <w:spacing w:after="200"/>
    </w:pPr>
    <w:rPr>
      <w:b w:val="0"/>
      <w:iCs/>
      <w:kern w:val="0"/>
      <w:sz w:val="22"/>
    </w:rPr>
  </w:style>
  <w:style w:type="paragraph" w:styleId="Revision">
    <w:name w:val="Revision"/>
    <w:hidden/>
    <w:uiPriority w:val="99"/>
    <w:semiHidden/>
    <w:rsid w:val="001824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22095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cs.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5B9C295AC846ACB8EC3C023B16580B"/>
        <w:category>
          <w:name w:val="General"/>
          <w:gallery w:val="placeholder"/>
        </w:category>
        <w:types>
          <w:type w:val="bbPlcHdr"/>
        </w:types>
        <w:behaviors>
          <w:behavior w:val="content"/>
        </w:behaviors>
        <w:guid w:val="{B789B3D0-C0E3-4E25-A7E3-51BEED236A95}"/>
      </w:docPartPr>
      <w:docPartBody>
        <w:p w:rsidR="00FC1E89" w:rsidRDefault="00FC1E89">
          <w:pPr>
            <w:pStyle w:val="8A5B9C295AC846ACB8EC3C023B16580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9"/>
    <w:rsid w:val="00674FFC"/>
    <w:rsid w:val="009000A6"/>
    <w:rsid w:val="00E84E48"/>
    <w:rsid w:val="00FC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5B9C295AC846ACB8EC3C023B16580B">
    <w:name w:val="8A5B9C295AC846ACB8EC3C023B165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2021RG-136-66046</_dlc_DocId>
    <_dlc_DocIdUrl xmlns="0f563589-9cf9-4143-b1eb-fb0534803d38">
      <Url>http://tweb/sites/rg/ldp/_layouts/15/DocIdRedir.aspx?ID=2021RG-136-66046</Url>
      <Description>2021RG-136-66046</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0737" ma:contentTypeDescription="" ma:contentTypeScope="" ma:versionID="6c0e14146cbf9cc3f67ee07a38a83261">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7793DE63-E858-43B7-AC5B-5C25183CFFD9}">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0286920B-6B10-495D-A69B-722034A4C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9</TotalTime>
  <Pages>5</Pages>
  <Words>1887</Words>
  <Characters>10458</Characters>
  <Application>Microsoft Office Word</Application>
  <DocSecurity>0</DocSecurity>
  <Lines>185</Lines>
  <Paragraphs>61</Paragraphs>
  <ScaleCrop>false</ScaleCrop>
  <HeadingPairs>
    <vt:vector size="2" baseType="variant">
      <vt:variant>
        <vt:lpstr>Title</vt:lpstr>
      </vt:variant>
      <vt:variant>
        <vt:i4>1</vt:i4>
      </vt:variant>
    </vt:vector>
  </HeadingPairs>
  <TitlesOfParts>
    <vt:vector size="1" baseType="lpstr">
      <vt:lpstr>Explanatory Statement - Treasury Laws Amendment (Measures for Consultation) Regulation 2021: Miscellaneous and Technical Amendments No. 2</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Treasury Laws Amendment (Measures for Consultation) Regulation 2021: Miscellaneous and Technical Amendments No. 2</dc:title>
  <dc:creator>Australian Government</dc:creator>
  <cp:lastModifiedBy>Smith, Matthew</cp:lastModifiedBy>
  <cp:revision>10</cp:revision>
  <cp:lastPrinted>2021-09-13T01:11:00Z</cp:lastPrinted>
  <dcterms:created xsi:type="dcterms:W3CDTF">2021-09-10T03:48:00Z</dcterms:created>
  <dcterms:modified xsi:type="dcterms:W3CDTF">2021-09-13T02:56:00Z</dcterms:modified>
</cp:coreProperties>
</file>