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00A4D" w14:textId="77777777" w:rsidR="006D224A" w:rsidRDefault="006D224A" w:rsidP="00C3452B">
      <w:pPr>
        <w:pStyle w:val="Baseparagraphcentred"/>
      </w:pPr>
      <w:bookmarkStart w:id="0" w:name="_GoBack"/>
      <w:bookmarkEnd w:id="0"/>
    </w:p>
    <w:p w14:paraId="6AAC08A9" w14:textId="77777777" w:rsidR="006D224A" w:rsidRDefault="006D224A" w:rsidP="00C3452B">
      <w:pPr>
        <w:pStyle w:val="Baseparagraphcentred"/>
      </w:pPr>
    </w:p>
    <w:p w14:paraId="00C0539A" w14:textId="77777777" w:rsidR="006D224A" w:rsidRDefault="006D224A" w:rsidP="00C3452B">
      <w:pPr>
        <w:pStyle w:val="Baseparagraphcentred"/>
      </w:pPr>
    </w:p>
    <w:p w14:paraId="6089C408" w14:textId="77777777" w:rsidR="006D224A" w:rsidRDefault="006D224A" w:rsidP="00C3452B">
      <w:pPr>
        <w:pStyle w:val="Baseparagraphcentred"/>
      </w:pPr>
    </w:p>
    <w:p w14:paraId="465D2251" w14:textId="77777777" w:rsidR="006D224A" w:rsidRDefault="006D224A" w:rsidP="00C3452B">
      <w:pPr>
        <w:pStyle w:val="Baseparagraphcentred"/>
      </w:pPr>
    </w:p>
    <w:p w14:paraId="1F8B6184" w14:textId="77777777" w:rsidR="006D224A" w:rsidRDefault="006D224A" w:rsidP="00C3452B">
      <w:pPr>
        <w:pStyle w:val="Baseparagraphcentred"/>
      </w:pPr>
    </w:p>
    <w:p w14:paraId="54974907" w14:textId="77777777" w:rsidR="006D224A" w:rsidRDefault="006D224A" w:rsidP="00C3452B">
      <w:pPr>
        <w:pStyle w:val="Baseparagraphcentred"/>
      </w:pPr>
    </w:p>
    <w:p w14:paraId="1CD8C90D" w14:textId="77777777" w:rsidR="006D224A" w:rsidRDefault="006D224A" w:rsidP="00C3452B">
      <w:pPr>
        <w:pStyle w:val="Baseparagraphcentred"/>
      </w:pPr>
    </w:p>
    <w:p w14:paraId="185A9607" w14:textId="3FE705DD" w:rsidR="00C3452B" w:rsidRDefault="00C3452B" w:rsidP="00C3452B">
      <w:pPr>
        <w:pStyle w:val="Baseparagraphcentred"/>
      </w:pPr>
    </w:p>
    <w:p w14:paraId="663A53E5" w14:textId="77777777" w:rsidR="00C3452B" w:rsidRDefault="00C3452B" w:rsidP="00C3452B">
      <w:pPr>
        <w:pStyle w:val="Baseparagraphcentred"/>
      </w:pPr>
    </w:p>
    <w:p w14:paraId="66B171B9" w14:textId="0075582D" w:rsidR="00C3452B" w:rsidRDefault="00374B1C" w:rsidP="00C3452B">
      <w:pPr>
        <w:pStyle w:val="BillName"/>
      </w:pPr>
      <w:bookmarkStart w:id="1" w:name="BillName"/>
      <w:bookmarkEnd w:id="1"/>
      <w:r>
        <w:t>Treasury Laws Amendment (</w:t>
      </w:r>
      <w:r w:rsidR="007849A2">
        <w:t>Measures for Consultation</w:t>
      </w:r>
      <w:r>
        <w:t>) Bill 2021</w:t>
      </w:r>
      <w:r w:rsidR="007849A2">
        <w:t xml:space="preserve">: Litigation Funding </w:t>
      </w:r>
    </w:p>
    <w:p w14:paraId="4064B7E0" w14:textId="77777777" w:rsidR="00C3452B" w:rsidRDefault="00C3452B" w:rsidP="00C3452B">
      <w:pPr>
        <w:pStyle w:val="Baseparagraphcentred"/>
      </w:pPr>
    </w:p>
    <w:p w14:paraId="72EED4E7" w14:textId="77777777" w:rsidR="00C3452B" w:rsidRDefault="00C3452B" w:rsidP="00C3452B">
      <w:pPr>
        <w:pStyle w:val="Baseparagraphcentred"/>
      </w:pPr>
    </w:p>
    <w:p w14:paraId="4F6A9B87" w14:textId="77777777" w:rsidR="00C3452B" w:rsidRDefault="00C3452B" w:rsidP="00C3452B">
      <w:pPr>
        <w:pStyle w:val="Baseparagraphcentred"/>
      </w:pPr>
    </w:p>
    <w:p w14:paraId="47DD5C64" w14:textId="77777777" w:rsidR="00C3452B" w:rsidRDefault="00C3452B" w:rsidP="00C3452B">
      <w:pPr>
        <w:pStyle w:val="Baseparagraphcentred"/>
      </w:pPr>
    </w:p>
    <w:p w14:paraId="139B8A75" w14:textId="77777777" w:rsidR="006D224A" w:rsidRDefault="006D224A" w:rsidP="00C3452B">
      <w:pPr>
        <w:pStyle w:val="Baseparagraphcentred"/>
      </w:pPr>
      <w:r>
        <w:t>EXPOSURE DRAFT EXPLANATORY MATERIALS</w:t>
      </w:r>
    </w:p>
    <w:p w14:paraId="11827642" w14:textId="059DD907" w:rsidR="00C3452B" w:rsidRDefault="00C3452B" w:rsidP="00C3452B">
      <w:pPr>
        <w:pStyle w:val="Baseparagraphcentred"/>
      </w:pPr>
    </w:p>
    <w:p w14:paraId="54FF6ABD" w14:textId="77777777" w:rsidR="00C3452B" w:rsidRDefault="00C3452B" w:rsidP="00C3452B">
      <w:pPr>
        <w:pStyle w:val="Baseparagraphcentred"/>
      </w:pPr>
    </w:p>
    <w:p w14:paraId="65AEA74E" w14:textId="77777777" w:rsidR="00C3452B" w:rsidRDefault="00C3452B" w:rsidP="00C3452B">
      <w:pPr>
        <w:pStyle w:val="Baseparagraphcentred"/>
      </w:pPr>
    </w:p>
    <w:p w14:paraId="2FD75BC1" w14:textId="77777777" w:rsidR="006D224A" w:rsidRDefault="006D224A" w:rsidP="00C3452B">
      <w:pPr>
        <w:pStyle w:val="ParaCentredNoSpacing"/>
      </w:pPr>
    </w:p>
    <w:p w14:paraId="45A5FF61" w14:textId="77777777" w:rsidR="006D224A" w:rsidRDefault="006D224A" w:rsidP="00C3452B">
      <w:pPr>
        <w:pStyle w:val="ParaCentredNoSpacing"/>
      </w:pPr>
    </w:p>
    <w:p w14:paraId="61CC90B5" w14:textId="74002C07" w:rsidR="00C3452B" w:rsidRDefault="00C3452B" w:rsidP="00C3452B">
      <w:pPr>
        <w:pStyle w:val="ParaCentredNoSpacing"/>
      </w:pPr>
    </w:p>
    <w:p w14:paraId="7FD861B7" w14:textId="77777777" w:rsidR="00C3452B" w:rsidRDefault="00C3452B" w:rsidP="00C3452B"/>
    <w:p w14:paraId="2B29B440" w14:textId="77777777" w:rsidR="00C3452B" w:rsidRDefault="00C3452B" w:rsidP="00C3452B">
      <w:pPr>
        <w:sectPr w:rsidR="00C3452B" w:rsidSect="00C10AAF">
          <w:headerReference w:type="even" r:id="rId13"/>
          <w:headerReference w:type="default" r:id="rId14"/>
          <w:footerReference w:type="even" r:id="rId15"/>
          <w:footerReference w:type="default" r:id="rId16"/>
          <w:headerReference w:type="first" r:id="rId17"/>
          <w:footerReference w:type="first" r:id="rId18"/>
          <w:type w:val="oddPage"/>
          <w:pgSz w:w="9979" w:h="14175" w:code="138"/>
          <w:pgMar w:top="567" w:right="1134" w:bottom="567" w:left="1134" w:header="709" w:footer="709" w:gutter="0"/>
          <w:cols w:space="708"/>
          <w:titlePg/>
          <w:docGrid w:linePitch="360"/>
        </w:sectPr>
      </w:pPr>
    </w:p>
    <w:p w14:paraId="79F4BE02" w14:textId="77777777" w:rsidR="00C3452B" w:rsidRPr="003E0794" w:rsidRDefault="00C3452B" w:rsidP="00C3452B">
      <w:pPr>
        <w:pStyle w:val="TOCHeading"/>
      </w:pPr>
      <w:r w:rsidRPr="003E0794">
        <w:lastRenderedPageBreak/>
        <w:t>Table of contents</w:t>
      </w:r>
    </w:p>
    <w:p w14:paraId="3AEA3E09" w14:textId="7A165678" w:rsidR="00F57C34" w:rsidRDefault="00C3452B">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F57C34">
        <w:t>Glossary</w:t>
      </w:r>
      <w:r w:rsidR="00F57C34">
        <w:tab/>
      </w:r>
      <w:r w:rsidR="00F57C34">
        <w:fldChar w:fldCharType="begin"/>
      </w:r>
      <w:r w:rsidR="00F57C34">
        <w:instrText xml:space="preserve"> PAGEREF _Toc83834861 \h </w:instrText>
      </w:r>
      <w:r w:rsidR="00F57C34">
        <w:fldChar w:fldCharType="separate"/>
      </w:r>
      <w:r w:rsidR="00F57C34">
        <w:t>1</w:t>
      </w:r>
      <w:r w:rsidR="00F57C34">
        <w:fldChar w:fldCharType="end"/>
      </w:r>
    </w:p>
    <w:p w14:paraId="475AC53F" w14:textId="10CD4369" w:rsidR="00F57C34" w:rsidRDefault="00F57C34">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_Toc83834862 \h </w:instrText>
      </w:r>
      <w:r>
        <w:fldChar w:fldCharType="separate"/>
      </w:r>
      <w:r>
        <w:t>3</w:t>
      </w:r>
      <w:r>
        <w:fldChar w:fldCharType="end"/>
      </w:r>
    </w:p>
    <w:p w14:paraId="004DE3E6" w14:textId="65E12FF1" w:rsidR="00F57C34" w:rsidRDefault="00F57C34">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Litigation Funding</w:t>
      </w:r>
      <w:r>
        <w:rPr>
          <w:noProof/>
        </w:rPr>
        <w:tab/>
      </w:r>
      <w:r>
        <w:rPr>
          <w:noProof/>
        </w:rPr>
        <w:fldChar w:fldCharType="begin"/>
      </w:r>
      <w:r>
        <w:rPr>
          <w:noProof/>
        </w:rPr>
        <w:instrText xml:space="preserve"> PAGEREF _Toc83834863 \h </w:instrText>
      </w:r>
      <w:r>
        <w:rPr>
          <w:noProof/>
        </w:rPr>
      </w:r>
      <w:r>
        <w:rPr>
          <w:noProof/>
        </w:rPr>
        <w:fldChar w:fldCharType="separate"/>
      </w:r>
      <w:r>
        <w:rPr>
          <w:noProof/>
        </w:rPr>
        <w:t>5</w:t>
      </w:r>
      <w:r>
        <w:rPr>
          <w:noProof/>
        </w:rPr>
        <w:fldChar w:fldCharType="end"/>
      </w:r>
    </w:p>
    <w:p w14:paraId="6C5C3D9A" w14:textId="472C9225" w:rsidR="00C3452B" w:rsidRDefault="00C3452B" w:rsidP="00C3452B">
      <w:pPr>
        <w:rPr>
          <w:rFonts w:ascii="Helvetica" w:hAnsi="Helvetica"/>
          <w:noProof/>
          <w:sz w:val="24"/>
        </w:rPr>
      </w:pPr>
      <w:r>
        <w:rPr>
          <w:rFonts w:ascii="Helvetica" w:hAnsi="Helvetica"/>
          <w:noProof/>
          <w:sz w:val="24"/>
        </w:rPr>
        <w:fldChar w:fldCharType="end"/>
      </w:r>
    </w:p>
    <w:p w14:paraId="29B44085" w14:textId="77777777" w:rsidR="00C3452B" w:rsidRDefault="00C3452B" w:rsidP="00C3452B">
      <w:pPr>
        <w:pStyle w:val="Hiddentext"/>
      </w:pPr>
    </w:p>
    <w:p w14:paraId="031C06A9" w14:textId="77777777" w:rsidR="00C3452B" w:rsidRDefault="00C3452B" w:rsidP="00C3452B">
      <w:pPr>
        <w:pStyle w:val="base-text-paragraphnonumbers"/>
        <w:sectPr w:rsidR="00C3452B" w:rsidSect="00C10AAF">
          <w:headerReference w:type="even" r:id="rId19"/>
          <w:headerReference w:type="default" r:id="rId20"/>
          <w:footerReference w:type="even" r:id="rId21"/>
          <w:footerReference w:type="default" r:id="rId22"/>
          <w:headerReference w:type="first" r:id="rId23"/>
          <w:footerReference w:type="first" r:id="rId24"/>
          <w:type w:val="oddPage"/>
          <w:pgSz w:w="9979" w:h="14175" w:code="9"/>
          <w:pgMar w:top="567" w:right="1134" w:bottom="567" w:left="1134" w:header="709" w:footer="709" w:gutter="0"/>
          <w:cols w:space="708"/>
          <w:titlePg/>
          <w:docGrid w:linePitch="360"/>
        </w:sectPr>
      </w:pPr>
    </w:p>
    <w:p w14:paraId="65383ACA" w14:textId="77777777" w:rsidR="00C3452B" w:rsidRPr="00567602" w:rsidRDefault="00C3452B" w:rsidP="00C3452B">
      <w:pPr>
        <w:pStyle w:val="Chapterheadingsubdocument"/>
      </w:pPr>
      <w:bookmarkStart w:id="26" w:name="_Toc83834861"/>
      <w:r w:rsidRPr="00567602">
        <w:rPr>
          <w:rStyle w:val="ChapterNameOnly"/>
        </w:rPr>
        <w:lastRenderedPageBreak/>
        <w:t>Glossary</w:t>
      </w:r>
      <w:bookmarkEnd w:id="26"/>
    </w:p>
    <w:p w14:paraId="39343678" w14:textId="77777777" w:rsidR="00C3452B" w:rsidRDefault="00C3452B" w:rsidP="00C3452B">
      <w:pPr>
        <w:pStyle w:val="BTPwithextraspacing"/>
      </w:pPr>
      <w:r>
        <w:t>The following abbreviations and acronyms are used throughout this explanatory memorandum.</w:t>
      </w:r>
    </w:p>
    <w:tbl>
      <w:tblPr>
        <w:tblW w:w="6606"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C3452B" w:rsidRPr="00123D96" w14:paraId="1DF0A458" w14:textId="77777777" w:rsidTr="002C5392">
        <w:tc>
          <w:tcPr>
            <w:tcW w:w="2721" w:type="dxa"/>
          </w:tcPr>
          <w:p w14:paraId="231A7755" w14:textId="77777777" w:rsidR="00C3452B" w:rsidRPr="00123D96" w:rsidRDefault="00C3452B" w:rsidP="00D65280">
            <w:pPr>
              <w:pStyle w:val="tableheaderwithintable"/>
            </w:pPr>
            <w:r w:rsidRPr="00123D96">
              <w:t>Abbreviation</w:t>
            </w:r>
          </w:p>
        </w:tc>
        <w:tc>
          <w:tcPr>
            <w:tcW w:w="3885" w:type="dxa"/>
          </w:tcPr>
          <w:p w14:paraId="4960B445" w14:textId="77777777" w:rsidR="00C3452B" w:rsidRPr="00123D96" w:rsidRDefault="00C3452B" w:rsidP="00D65280">
            <w:pPr>
              <w:pStyle w:val="tableheaderwithintable"/>
            </w:pPr>
            <w:r w:rsidRPr="00123D96">
              <w:t>Definition</w:t>
            </w:r>
          </w:p>
        </w:tc>
      </w:tr>
      <w:tr w:rsidR="00C3452B" w:rsidRPr="002C43E8" w14:paraId="22D5EDE7" w14:textId="77777777" w:rsidTr="002C5392">
        <w:tc>
          <w:tcPr>
            <w:tcW w:w="2721" w:type="dxa"/>
          </w:tcPr>
          <w:p w14:paraId="33DD7F50" w14:textId="095ECFED" w:rsidR="00C3452B" w:rsidRPr="002C43E8" w:rsidRDefault="003729C8" w:rsidP="00D65280">
            <w:pPr>
              <w:pStyle w:val="Glossarytabletext"/>
              <w:rPr>
                <w:lang w:val="en-US" w:eastAsia="en-US"/>
              </w:rPr>
            </w:pPr>
            <w:bookmarkStart w:id="27" w:name="GlossaryTableStart"/>
            <w:bookmarkEnd w:id="27"/>
            <w:r>
              <w:rPr>
                <w:lang w:val="en-US" w:eastAsia="en-US"/>
              </w:rPr>
              <w:t>Corporations Act</w:t>
            </w:r>
          </w:p>
        </w:tc>
        <w:tc>
          <w:tcPr>
            <w:tcW w:w="3885" w:type="dxa"/>
          </w:tcPr>
          <w:p w14:paraId="5369F481" w14:textId="1CF08F7B" w:rsidR="00C3452B" w:rsidRPr="003729C8" w:rsidRDefault="003729C8" w:rsidP="00D65280">
            <w:pPr>
              <w:pStyle w:val="Glossarytabletext"/>
              <w:rPr>
                <w:lang w:val="en-US" w:eastAsia="en-US"/>
              </w:rPr>
            </w:pPr>
            <w:r>
              <w:rPr>
                <w:i/>
                <w:iCs/>
                <w:lang w:val="en-US" w:eastAsia="en-US"/>
              </w:rPr>
              <w:t>Corporations Act 2001</w:t>
            </w:r>
          </w:p>
        </w:tc>
      </w:tr>
      <w:tr w:rsidR="00C3452B" w:rsidRPr="002C43E8" w14:paraId="5888B2B8" w14:textId="77777777" w:rsidTr="002C5392">
        <w:tc>
          <w:tcPr>
            <w:tcW w:w="2721" w:type="dxa"/>
          </w:tcPr>
          <w:p w14:paraId="0414861F" w14:textId="3DF3044E" w:rsidR="00C3452B" w:rsidRPr="002C43E8" w:rsidRDefault="002C5392" w:rsidP="00D65280">
            <w:pPr>
              <w:pStyle w:val="Glossarytabletext"/>
              <w:rPr>
                <w:lang w:val="en-US" w:eastAsia="en-US"/>
              </w:rPr>
            </w:pPr>
            <w:r>
              <w:rPr>
                <w:lang w:val="en-US" w:eastAsia="en-US"/>
              </w:rPr>
              <w:t xml:space="preserve">Corporations Regulations </w:t>
            </w:r>
          </w:p>
        </w:tc>
        <w:tc>
          <w:tcPr>
            <w:tcW w:w="3885" w:type="dxa"/>
          </w:tcPr>
          <w:p w14:paraId="226A0684" w14:textId="1FA298CB" w:rsidR="00C3452B" w:rsidRPr="002C5392" w:rsidRDefault="00FA57CC" w:rsidP="00D65280">
            <w:pPr>
              <w:pStyle w:val="Glossarytabletext"/>
              <w:rPr>
                <w:i/>
                <w:iCs/>
                <w:lang w:val="en-US" w:eastAsia="en-US"/>
              </w:rPr>
            </w:pPr>
            <w:r>
              <w:rPr>
                <w:i/>
                <w:iCs/>
                <w:lang w:val="en-US" w:eastAsia="en-US"/>
              </w:rPr>
              <w:t>Corporations</w:t>
            </w:r>
            <w:r w:rsidR="002C5392">
              <w:rPr>
                <w:i/>
                <w:iCs/>
                <w:lang w:val="en-US" w:eastAsia="en-US"/>
              </w:rPr>
              <w:t xml:space="preserve"> Regulations 2001</w:t>
            </w:r>
          </w:p>
        </w:tc>
      </w:tr>
      <w:tr w:rsidR="002C5392" w:rsidRPr="002C43E8" w14:paraId="3BD753E4" w14:textId="77777777" w:rsidTr="002C5392">
        <w:tc>
          <w:tcPr>
            <w:tcW w:w="2721" w:type="dxa"/>
          </w:tcPr>
          <w:p w14:paraId="0F3D229A" w14:textId="0C3611CC" w:rsidR="002C5392" w:rsidRPr="002C43E8" w:rsidRDefault="002C5392" w:rsidP="002C5392">
            <w:pPr>
              <w:pStyle w:val="Glossarytabletext"/>
              <w:rPr>
                <w:lang w:val="en-US" w:eastAsia="en-US"/>
              </w:rPr>
            </w:pPr>
            <w:r>
              <w:rPr>
                <w:lang w:val="en-US" w:eastAsia="en-US"/>
              </w:rPr>
              <w:t>ASIC</w:t>
            </w:r>
          </w:p>
        </w:tc>
        <w:tc>
          <w:tcPr>
            <w:tcW w:w="3885" w:type="dxa"/>
          </w:tcPr>
          <w:p w14:paraId="376514AF" w14:textId="19752F80" w:rsidR="002C5392" w:rsidRPr="002C43E8" w:rsidRDefault="002C5392" w:rsidP="002C5392">
            <w:pPr>
              <w:pStyle w:val="Glossarytabletext"/>
              <w:rPr>
                <w:lang w:val="en-US" w:eastAsia="en-US"/>
              </w:rPr>
            </w:pPr>
            <w:r>
              <w:rPr>
                <w:lang w:val="en-US" w:eastAsia="en-US"/>
              </w:rPr>
              <w:t xml:space="preserve">Australian Securities and Investments Commission </w:t>
            </w:r>
          </w:p>
        </w:tc>
      </w:tr>
      <w:tr w:rsidR="00DB27D5" w:rsidRPr="002C43E8" w14:paraId="27080724" w14:textId="77777777" w:rsidTr="002C5392">
        <w:tc>
          <w:tcPr>
            <w:tcW w:w="2721" w:type="dxa"/>
          </w:tcPr>
          <w:p w14:paraId="4EBA3542" w14:textId="54871A00" w:rsidR="00DB27D5" w:rsidRPr="002C43E8" w:rsidRDefault="00DB27D5" w:rsidP="00DB27D5">
            <w:pPr>
              <w:pStyle w:val="Glossarytabletext"/>
              <w:rPr>
                <w:lang w:val="en-US" w:eastAsia="en-US"/>
              </w:rPr>
            </w:pPr>
            <w:r>
              <w:rPr>
                <w:lang w:val="en-US" w:eastAsia="en-US"/>
              </w:rPr>
              <w:t>ALRC</w:t>
            </w:r>
          </w:p>
        </w:tc>
        <w:tc>
          <w:tcPr>
            <w:tcW w:w="3885" w:type="dxa"/>
          </w:tcPr>
          <w:p w14:paraId="589A003D" w14:textId="5A11003E" w:rsidR="00DB27D5" w:rsidRPr="002C43E8" w:rsidRDefault="00DB27D5" w:rsidP="00DB27D5">
            <w:pPr>
              <w:pStyle w:val="Glossarytabletext"/>
              <w:rPr>
                <w:lang w:val="en-US" w:eastAsia="en-US"/>
              </w:rPr>
            </w:pPr>
            <w:r>
              <w:rPr>
                <w:lang w:val="en-US" w:eastAsia="en-US"/>
              </w:rPr>
              <w:t>Australian Law Reform Commission</w:t>
            </w:r>
          </w:p>
        </w:tc>
      </w:tr>
      <w:tr w:rsidR="00DB27D5" w:rsidRPr="002C43E8" w14:paraId="44236A6A" w14:textId="77777777" w:rsidTr="002C5392">
        <w:tc>
          <w:tcPr>
            <w:tcW w:w="2721" w:type="dxa"/>
          </w:tcPr>
          <w:p w14:paraId="7A06C7E4" w14:textId="59432077" w:rsidR="00DB27D5" w:rsidRPr="002C43E8" w:rsidRDefault="00DB27D5" w:rsidP="00DB27D5">
            <w:pPr>
              <w:pStyle w:val="Glossarytabletext"/>
              <w:rPr>
                <w:lang w:val="en-US" w:eastAsia="en-US"/>
              </w:rPr>
            </w:pPr>
            <w:r>
              <w:rPr>
                <w:lang w:val="en-US" w:eastAsia="en-US"/>
              </w:rPr>
              <w:t>ALRC Report</w:t>
            </w:r>
          </w:p>
        </w:tc>
        <w:tc>
          <w:tcPr>
            <w:tcW w:w="3885" w:type="dxa"/>
          </w:tcPr>
          <w:p w14:paraId="712F7188" w14:textId="7F415C2E" w:rsidR="00DB27D5" w:rsidRPr="002C43E8" w:rsidRDefault="00DB27D5" w:rsidP="00DB27D5">
            <w:pPr>
              <w:pStyle w:val="Glossarytabletext"/>
              <w:rPr>
                <w:lang w:val="en-US" w:eastAsia="en-US"/>
              </w:rPr>
            </w:pPr>
            <w:r>
              <w:t xml:space="preserve">Report of the ALRC, </w:t>
            </w:r>
            <w:r w:rsidRPr="0045286C">
              <w:rPr>
                <w:i/>
                <w:iCs/>
              </w:rPr>
              <w:t>Integrity Fairness and Efficiency- An Inquiry into Class Action Proceedings and Third-Party Litigation Funders</w:t>
            </w:r>
          </w:p>
        </w:tc>
      </w:tr>
      <w:tr w:rsidR="00BC3493" w:rsidRPr="002C43E8" w14:paraId="09712330" w14:textId="77777777" w:rsidTr="002C5392">
        <w:tc>
          <w:tcPr>
            <w:tcW w:w="2721" w:type="dxa"/>
          </w:tcPr>
          <w:p w14:paraId="1DB62FAA" w14:textId="5D48DFDD" w:rsidR="00BC3493" w:rsidRPr="002C43E8" w:rsidRDefault="00BC3493" w:rsidP="00BC3493">
            <w:pPr>
              <w:pStyle w:val="Glossarytabletext"/>
              <w:rPr>
                <w:lang w:val="en-US" w:eastAsia="en-US"/>
              </w:rPr>
            </w:pPr>
            <w:r>
              <w:rPr>
                <w:lang w:val="en-US" w:eastAsia="en-US"/>
              </w:rPr>
              <w:t>PJCCFS Report</w:t>
            </w:r>
          </w:p>
        </w:tc>
        <w:tc>
          <w:tcPr>
            <w:tcW w:w="3885" w:type="dxa"/>
          </w:tcPr>
          <w:p w14:paraId="714F4759" w14:textId="6B93A327" w:rsidR="00BC3493" w:rsidRPr="002C43E8" w:rsidRDefault="00BC3493" w:rsidP="00BC3493">
            <w:pPr>
              <w:pStyle w:val="Glossarytabletext"/>
              <w:rPr>
                <w:lang w:val="en-US" w:eastAsia="en-US"/>
              </w:rPr>
            </w:pPr>
            <w:r>
              <w:rPr>
                <w:lang w:val="en-US" w:eastAsia="en-US"/>
              </w:rPr>
              <w:t xml:space="preserve">Report of the Parliamentary Joint Committee on Corporations and Financial </w:t>
            </w:r>
            <w:r w:rsidR="00DF56A1">
              <w:rPr>
                <w:lang w:val="en-US" w:eastAsia="en-US"/>
              </w:rPr>
              <w:t>Services’</w:t>
            </w:r>
            <w:r>
              <w:rPr>
                <w:lang w:val="en-US" w:eastAsia="en-US"/>
              </w:rPr>
              <w:t xml:space="preserve"> inquiry into litigation funding and the regulation of the class action industry</w:t>
            </w:r>
          </w:p>
        </w:tc>
      </w:tr>
    </w:tbl>
    <w:p w14:paraId="64637438" w14:textId="77777777" w:rsidR="00C3452B" w:rsidRDefault="00C3452B" w:rsidP="00C3452B"/>
    <w:p w14:paraId="566E7D9B" w14:textId="77777777" w:rsidR="00C3452B" w:rsidRDefault="00C3452B" w:rsidP="00C3452B"/>
    <w:p w14:paraId="67D58769" w14:textId="77777777" w:rsidR="00C3452B" w:rsidRDefault="00C3452B" w:rsidP="00C3452B">
      <w:pPr>
        <w:sectPr w:rsidR="00C3452B" w:rsidSect="00C10AAF">
          <w:headerReference w:type="even" r:id="rId25"/>
          <w:headerReference w:type="default" r:id="rId26"/>
          <w:footerReference w:type="even" r:id="rId27"/>
          <w:footerReference w:type="default" r:id="rId28"/>
          <w:footerReference w:type="first" r:id="rId29"/>
          <w:type w:val="oddPage"/>
          <w:pgSz w:w="9979" w:h="14175" w:code="9"/>
          <w:pgMar w:top="567" w:right="1134" w:bottom="567" w:left="1134" w:header="709" w:footer="709" w:gutter="0"/>
          <w:pgNumType w:start="1"/>
          <w:cols w:space="708"/>
          <w:titlePg/>
          <w:docGrid w:linePitch="360"/>
        </w:sectPr>
      </w:pPr>
    </w:p>
    <w:p w14:paraId="03A784CB" w14:textId="3C73874D" w:rsidR="00C3452B" w:rsidRPr="007C2B20" w:rsidRDefault="00C3452B" w:rsidP="00C3452B">
      <w:pPr>
        <w:pStyle w:val="ChapterHeading"/>
        <w:numPr>
          <w:ilvl w:val="0"/>
          <w:numId w:val="30"/>
        </w:numPr>
      </w:pPr>
      <w:r w:rsidRPr="000C2A9D">
        <w:lastRenderedPageBreak/>
        <w:br/>
      </w:r>
      <w:bookmarkStart w:id="36" w:name="_Toc83834863"/>
      <w:r w:rsidR="00374B1C">
        <w:rPr>
          <w:rStyle w:val="ChapterNameOnly"/>
        </w:rPr>
        <w:t xml:space="preserve">Litigation </w:t>
      </w:r>
      <w:r w:rsidR="009575A3">
        <w:rPr>
          <w:rStyle w:val="ChapterNameOnly"/>
        </w:rPr>
        <w:t>F</w:t>
      </w:r>
      <w:r w:rsidR="00374B1C">
        <w:rPr>
          <w:rStyle w:val="ChapterNameOnly"/>
        </w:rPr>
        <w:t>unding</w:t>
      </w:r>
      <w:bookmarkEnd w:id="36"/>
    </w:p>
    <w:p w14:paraId="4C9E14DF" w14:textId="77777777" w:rsidR="00C3452B" w:rsidRDefault="00C3452B" w:rsidP="00C3452B">
      <w:pPr>
        <w:pStyle w:val="Heading2"/>
      </w:pPr>
      <w:r>
        <w:t>Outline of chapter</w:t>
      </w:r>
    </w:p>
    <w:p w14:paraId="2B4BD2CA" w14:textId="6FD2038D" w:rsidR="00247355" w:rsidRDefault="005A52CF" w:rsidP="00C3452B">
      <w:pPr>
        <w:numPr>
          <w:ilvl w:val="1"/>
          <w:numId w:val="30"/>
        </w:numPr>
      </w:pPr>
      <w:r>
        <w:t>Schedule # to the Bill</w:t>
      </w:r>
      <w:r w:rsidR="003729C8">
        <w:t xml:space="preserve"> amends Chapter 5C of the Corporations Act</w:t>
      </w:r>
      <w:r w:rsidR="00DF08DB">
        <w:t xml:space="preserve"> to </w:t>
      </w:r>
      <w:r w:rsidR="00DF08DB" w:rsidRPr="00FA57CC">
        <w:t>implement</w:t>
      </w:r>
      <w:r w:rsidR="00194D69">
        <w:t xml:space="preserve"> the governmen</w:t>
      </w:r>
      <w:r w:rsidR="00DB27D5">
        <w:t>t</w:t>
      </w:r>
      <w:r w:rsidR="00194D69">
        <w:t xml:space="preserve"> response to</w:t>
      </w:r>
      <w:r w:rsidR="00DF08DB" w:rsidRPr="00FA57CC">
        <w:t xml:space="preserve"> </w:t>
      </w:r>
      <w:r w:rsidR="00194D69">
        <w:t xml:space="preserve">recommendations </w:t>
      </w:r>
      <w:r w:rsidR="00A648BF">
        <w:t xml:space="preserve">7, </w:t>
      </w:r>
      <w:r w:rsidR="00194D69" w:rsidRPr="00A15EC6">
        <w:t>11, 12, 13</w:t>
      </w:r>
      <w:r w:rsidR="00DB27D5">
        <w:t>,</w:t>
      </w:r>
      <w:r w:rsidR="003D539D">
        <w:t xml:space="preserve"> </w:t>
      </w:r>
      <w:r w:rsidR="00DB27D5">
        <w:t>1</w:t>
      </w:r>
      <w:r w:rsidR="00194D69" w:rsidRPr="00A15EC6">
        <w:t>6</w:t>
      </w:r>
      <w:r w:rsidR="00BC3493">
        <w:t xml:space="preserve">, </w:t>
      </w:r>
      <w:r w:rsidR="000B1688">
        <w:t xml:space="preserve">18 </w:t>
      </w:r>
      <w:r w:rsidR="00DB27D5">
        <w:t xml:space="preserve">and 20 </w:t>
      </w:r>
      <w:r w:rsidR="00194D69">
        <w:t xml:space="preserve">of the </w:t>
      </w:r>
      <w:r w:rsidR="00BC3493">
        <w:t>PJCCFS</w:t>
      </w:r>
      <w:r w:rsidR="00194D69">
        <w:t xml:space="preserve"> Report. </w:t>
      </w:r>
      <w:r w:rsidR="00DF08DB">
        <w:t xml:space="preserve"> </w:t>
      </w:r>
    </w:p>
    <w:p w14:paraId="68742368" w14:textId="5AD9FFA6" w:rsidR="00D132FE" w:rsidRDefault="00247355" w:rsidP="00C3452B">
      <w:pPr>
        <w:numPr>
          <w:ilvl w:val="1"/>
          <w:numId w:val="30"/>
        </w:numPr>
      </w:pPr>
      <w:r>
        <w:t xml:space="preserve">The amendments </w:t>
      </w:r>
      <w:r w:rsidR="004B4496">
        <w:t>introduc</w:t>
      </w:r>
      <w:r w:rsidR="00C20D8D">
        <w:t xml:space="preserve">e </w:t>
      </w:r>
      <w:r w:rsidR="001D0398">
        <w:t xml:space="preserve">additional requirements for the constitutions of </w:t>
      </w:r>
      <w:r w:rsidR="00D132FE">
        <w:t>managed investment schemes that are class action litigation funding schemes.</w:t>
      </w:r>
      <w:r w:rsidR="004B4496">
        <w:t xml:space="preserve"> </w:t>
      </w:r>
      <w:r w:rsidR="00D132FE">
        <w:t xml:space="preserve"> </w:t>
      </w:r>
    </w:p>
    <w:p w14:paraId="133D195B" w14:textId="21CCA803" w:rsidR="004B4496" w:rsidRDefault="00CF2F72" w:rsidP="00C3452B">
      <w:pPr>
        <w:numPr>
          <w:ilvl w:val="1"/>
          <w:numId w:val="30"/>
        </w:numPr>
      </w:pPr>
      <w:r>
        <w:t>The amendments</w:t>
      </w:r>
      <w:r w:rsidR="004B4496">
        <w:t xml:space="preserve"> </w:t>
      </w:r>
      <w:r w:rsidR="00997A09">
        <w:t xml:space="preserve">also </w:t>
      </w:r>
      <w:r w:rsidR="00D132FE">
        <w:t>provide that</w:t>
      </w:r>
      <w:r w:rsidR="004B4496">
        <w:t xml:space="preserve"> a Court must approve</w:t>
      </w:r>
      <w:r w:rsidR="00C20D8D">
        <w:t>,</w:t>
      </w:r>
      <w:r w:rsidR="004B4496">
        <w:t xml:space="preserve"> as fair and reasonable</w:t>
      </w:r>
      <w:r w:rsidR="00C20D8D">
        <w:t>,</w:t>
      </w:r>
      <w:r w:rsidR="004B4496">
        <w:t xml:space="preserve"> the proposed distribution of the claim proceeds</w:t>
      </w:r>
      <w:r w:rsidR="00BC3493">
        <w:t xml:space="preserve"> </w:t>
      </w:r>
      <w:r w:rsidR="004B4496">
        <w:t>achieved in a class action funded by a class action litigation funding scheme</w:t>
      </w:r>
      <w:r>
        <w:t xml:space="preserve"> between general members of the scheme and the litigation funder</w:t>
      </w:r>
      <w:r w:rsidR="004B4496">
        <w:t xml:space="preserve">. </w:t>
      </w:r>
      <w:r>
        <w:t xml:space="preserve">A </w:t>
      </w:r>
      <w:r w:rsidR="00DB27D5">
        <w:t>C</w:t>
      </w:r>
      <w:r>
        <w:t>ourt may vary a proposed distribution to ensure it is fair and reasonable.</w:t>
      </w:r>
      <w:r w:rsidR="001D0398">
        <w:t xml:space="preserve"> </w:t>
      </w:r>
    </w:p>
    <w:p w14:paraId="67938088" w14:textId="550F32F1" w:rsidR="00C3452B" w:rsidRDefault="00D132FE" w:rsidP="00C3452B">
      <w:pPr>
        <w:numPr>
          <w:ilvl w:val="1"/>
          <w:numId w:val="30"/>
        </w:numPr>
      </w:pPr>
      <w:r>
        <w:t xml:space="preserve"> </w:t>
      </w:r>
      <w:r w:rsidR="00BC3493">
        <w:t xml:space="preserve">In considering what is fair and reasonable, a Court would assume that a return of the proceeds of the class action to general members that is less than 70 percent of the members’ claim proceeds, is not fair and reasonable. The Court must also consider factors such as the relative profit of the funder compared with the costs of the funder incurred in funding the proceedings. When determining if the proposed distribution is fair and reasonable, the Court must also </w:t>
      </w:r>
      <w:r w:rsidR="008923A4">
        <w:t>receive and consider</w:t>
      </w:r>
      <w:r w:rsidR="00BC3493">
        <w:t xml:space="preserve"> a report from a litigation funding fees assessor and arguments of a contradictor, </w:t>
      </w:r>
      <w:r w:rsidR="00BC3493" w:rsidRPr="006475AC">
        <w:t xml:space="preserve">unless it is in the interests of justice to </w:t>
      </w:r>
      <w:r w:rsidR="008923A4">
        <w:t>not do</w:t>
      </w:r>
      <w:r w:rsidR="00BC3493" w:rsidRPr="006475AC">
        <w:t xml:space="preserve"> so</w:t>
      </w:r>
      <w:r w:rsidR="00BC3493">
        <w:t>. The litigation funder is required to undertake to pay the fees of such people assisting the Court.</w:t>
      </w:r>
    </w:p>
    <w:p w14:paraId="46C21252" w14:textId="6CE14B16" w:rsidR="00E86E74" w:rsidRDefault="00E86E74" w:rsidP="00E86E74">
      <w:pPr>
        <w:pStyle w:val="base-text-paragraph"/>
      </w:pPr>
      <w:r>
        <w:t xml:space="preserve">Litigation funders </w:t>
      </w:r>
      <w:r w:rsidR="00100725">
        <w:t xml:space="preserve">would </w:t>
      </w:r>
      <w:r>
        <w:t xml:space="preserve">not be able to enforce their litigation funding agreements until a </w:t>
      </w:r>
      <w:r w:rsidR="00BC3493">
        <w:t>C</w:t>
      </w:r>
      <w:r>
        <w:t xml:space="preserve">ourt has made an order to approve or vary the distribution. </w:t>
      </w:r>
    </w:p>
    <w:p w14:paraId="6837397D" w14:textId="256345C1" w:rsidR="00E86E74" w:rsidRDefault="00E86E74" w:rsidP="00E86E74">
      <w:pPr>
        <w:pStyle w:val="base-text-paragraph"/>
      </w:pPr>
      <w:r>
        <w:t xml:space="preserve">The relevant court would not be able to make orders which extend the funder’s fee or commission to class members who are not members of the class action litigation funding scheme (i.e. who have not agreed to become a member of the scheme). </w:t>
      </w:r>
      <w:r w:rsidR="008923A4">
        <w:t xml:space="preserve">This reflects a key intention of the Bill that plaintiffs must consent to become members to a class action litigation funding scheme before a funder can impose a fee or commission on them. </w:t>
      </w:r>
    </w:p>
    <w:p w14:paraId="0F6D297D" w14:textId="7C0EA66D" w:rsidR="00D132FE" w:rsidRDefault="00D132FE" w:rsidP="00C3452B">
      <w:pPr>
        <w:numPr>
          <w:ilvl w:val="1"/>
          <w:numId w:val="30"/>
        </w:numPr>
      </w:pPr>
      <w:r>
        <w:t xml:space="preserve">The amendments also require </w:t>
      </w:r>
      <w:r w:rsidR="00DF08DB">
        <w:t xml:space="preserve">litigation funding agreements to specifically state they are governed by the law of an Australian jurisdiction with disputes heard in an Australian Court. </w:t>
      </w:r>
    </w:p>
    <w:p w14:paraId="5913AD04" w14:textId="597DBB05" w:rsidR="00DF08DB" w:rsidRDefault="001A2C0D" w:rsidP="00C3452B">
      <w:pPr>
        <w:numPr>
          <w:ilvl w:val="1"/>
          <w:numId w:val="30"/>
        </w:numPr>
      </w:pPr>
      <w:r>
        <w:lastRenderedPageBreak/>
        <w:t>The procedures</w:t>
      </w:r>
      <w:r w:rsidR="00CF3955">
        <w:t xml:space="preserve"> and powers</w:t>
      </w:r>
      <w:r>
        <w:t xml:space="preserve"> introduced in </w:t>
      </w:r>
      <w:r w:rsidR="004D2FD9">
        <w:t xml:space="preserve">Schedule # of the Bill are incidental to class action proceedings in federal jurisdiction. If a litigation funder is funding an action in non-federal jurisdiction, the Court in which the action takes place must </w:t>
      </w:r>
      <w:r w:rsidR="008361B9">
        <w:t>either be able to make the orders proposed in the amendments, or be able to make substantially similar orders,</w:t>
      </w:r>
      <w:r w:rsidR="004D2FD9">
        <w:t xml:space="preserve"> </w:t>
      </w:r>
      <w:r w:rsidR="00CF3955">
        <w:t>for</w:t>
      </w:r>
      <w:r w:rsidR="004D2FD9">
        <w:t xml:space="preserve"> the proposed distribution method to be enforceable</w:t>
      </w:r>
      <w:r w:rsidR="00E86E74">
        <w:t xml:space="preserve"> by the funder. </w:t>
      </w:r>
      <w:r w:rsidR="00854AAD">
        <w:t xml:space="preserve"> </w:t>
      </w:r>
    </w:p>
    <w:p w14:paraId="20B6D339" w14:textId="77777777" w:rsidR="00C3452B" w:rsidRDefault="00C3452B" w:rsidP="00C3452B">
      <w:pPr>
        <w:pStyle w:val="Heading2"/>
      </w:pPr>
      <w:r w:rsidRPr="00F973DB">
        <w:t>Context of amendments</w:t>
      </w:r>
    </w:p>
    <w:p w14:paraId="38F33307" w14:textId="251657A9" w:rsidR="004943E0" w:rsidRDefault="00E86E74" w:rsidP="00C3452B">
      <w:pPr>
        <w:pStyle w:val="base-text-paragraph"/>
      </w:pPr>
      <w:r>
        <w:t>Third party l</w:t>
      </w:r>
      <w:r w:rsidR="00B14E0C">
        <w:t xml:space="preserve">itigation funding schemes involve an entity that is not a party to </w:t>
      </w:r>
      <w:r w:rsidR="00A77542">
        <w:t>a</w:t>
      </w:r>
      <w:r w:rsidR="00B14E0C">
        <w:t xml:space="preserve"> </w:t>
      </w:r>
      <w:r w:rsidR="00A77542">
        <w:t>proceeding in a court</w:t>
      </w:r>
      <w:r w:rsidR="00B14E0C">
        <w:t xml:space="preserve"> (a litigation funder) paying the costs of </w:t>
      </w:r>
      <w:r w:rsidR="00A77542">
        <w:t xml:space="preserve">the </w:t>
      </w:r>
      <w:r w:rsidR="00B14E0C">
        <w:t xml:space="preserve">litigation </w:t>
      </w:r>
      <w:r w:rsidR="00A77542">
        <w:t>for a party</w:t>
      </w:r>
      <w:r w:rsidR="006A4126">
        <w:t xml:space="preserve"> </w:t>
      </w:r>
      <w:r w:rsidR="00A77542">
        <w:t>and</w:t>
      </w:r>
      <w:r w:rsidR="00B14E0C">
        <w:t xml:space="preserve"> indemnifying th</w:t>
      </w:r>
      <w:r w:rsidR="00A77542">
        <w:t>at</w:t>
      </w:r>
      <w:r w:rsidR="00B14E0C">
        <w:t xml:space="preserve"> part</w:t>
      </w:r>
      <w:r w:rsidR="00A77542">
        <w:t>y</w:t>
      </w:r>
      <w:r w:rsidR="00B14E0C">
        <w:t xml:space="preserve"> </w:t>
      </w:r>
      <w:r w:rsidR="00A77542">
        <w:t>against</w:t>
      </w:r>
      <w:r w:rsidR="00755179">
        <w:t xml:space="preserve"> an</w:t>
      </w:r>
      <w:r w:rsidR="00B14E0C">
        <w:t xml:space="preserve"> adverse cost order</w:t>
      </w:r>
      <w:r w:rsidR="00A77542">
        <w:t xml:space="preserve">, </w:t>
      </w:r>
      <w:r w:rsidR="00B14E0C">
        <w:t xml:space="preserve">in return for a share of the proceeds if the litigation is successful. </w:t>
      </w:r>
    </w:p>
    <w:p w14:paraId="5A1B2065" w14:textId="7EA90693" w:rsidR="00E86E74" w:rsidRDefault="00E86E74" w:rsidP="00E86E74">
      <w:pPr>
        <w:pStyle w:val="base-text-paragraph"/>
      </w:pPr>
      <w:bookmarkStart w:id="37" w:name="_Ref82616135"/>
      <w:r>
        <w:t>An interest in a litigation funding scheme or arrangement is a ‘financial product’ under Chapter 7 of the Corporations Regulations. Class action litigation funding schemes are litigation funding schemes which are set up to fund class action proceedings on behalf of</w:t>
      </w:r>
      <w:r w:rsidR="0035612B">
        <w:t xml:space="preserve"> a class</w:t>
      </w:r>
      <w:r>
        <w:t xml:space="preserve"> </w:t>
      </w:r>
      <w:r w:rsidR="0035612B">
        <w:t xml:space="preserve">of </w:t>
      </w:r>
      <w:r>
        <w:t>plaintiff</w:t>
      </w:r>
      <w:r w:rsidR="0035612B">
        <w:t>s</w:t>
      </w:r>
      <w:r>
        <w:t xml:space="preserve">. The law regulating class action litigation funding schemes has changed significantly over the past decade. </w:t>
      </w:r>
    </w:p>
    <w:p w14:paraId="27AA59BE" w14:textId="038A6659" w:rsidR="00241C84" w:rsidRDefault="006A4126" w:rsidP="00C3452B">
      <w:pPr>
        <w:pStyle w:val="base-text-paragraph"/>
      </w:pPr>
      <w:r>
        <w:t>In 2009 a</w:t>
      </w:r>
      <w:r w:rsidR="00126191">
        <w:t xml:space="preserve"> majority of the Full</w:t>
      </w:r>
      <w:r>
        <w:t xml:space="preserve"> Court of the</w:t>
      </w:r>
      <w:r w:rsidR="00126191">
        <w:t xml:space="preserve"> Federal Court determined that </w:t>
      </w:r>
      <w:r>
        <w:t xml:space="preserve">a </w:t>
      </w:r>
      <w:r w:rsidR="00A767A2">
        <w:t xml:space="preserve">litigation </w:t>
      </w:r>
      <w:r w:rsidR="00731DA1">
        <w:t>fund</w:t>
      </w:r>
      <w:r>
        <w:t>ing scheme</w:t>
      </w:r>
      <w:r w:rsidR="00731DA1">
        <w:t xml:space="preserve"> </w:t>
      </w:r>
      <w:r w:rsidR="00106E0D">
        <w:t>fall</w:t>
      </w:r>
      <w:r>
        <w:t>s</w:t>
      </w:r>
      <w:r w:rsidR="00106E0D">
        <w:t xml:space="preserve"> within the general definition of a managed investment scheme</w:t>
      </w:r>
      <w:r w:rsidR="00755179">
        <w:t xml:space="preserve"> </w:t>
      </w:r>
      <w:r w:rsidR="00377273">
        <w:t>in</w:t>
      </w:r>
      <w:r>
        <w:t xml:space="preserve"> section 9 of</w:t>
      </w:r>
      <w:r w:rsidR="00377273">
        <w:t xml:space="preserve"> the Corporations Act </w:t>
      </w:r>
      <w:r w:rsidR="00755179">
        <w:t xml:space="preserve">(see </w:t>
      </w:r>
      <w:r w:rsidR="00106E0D">
        <w:rPr>
          <w:i/>
          <w:iCs/>
        </w:rPr>
        <w:t xml:space="preserve">Brookfield Multiplex Limited v International Funding Partners Pty Ltd </w:t>
      </w:r>
      <w:r w:rsidR="00106E0D">
        <w:t xml:space="preserve">(2009) </w:t>
      </w:r>
      <w:r w:rsidR="00126191">
        <w:t>180 FCR 11</w:t>
      </w:r>
      <w:r w:rsidR="00755179">
        <w:t>)</w:t>
      </w:r>
      <w:r w:rsidR="00106E0D">
        <w:t>.</w:t>
      </w:r>
      <w:bookmarkEnd w:id="37"/>
      <w:r w:rsidR="00106E0D">
        <w:t xml:space="preserve"> </w:t>
      </w:r>
    </w:p>
    <w:p w14:paraId="5161C0AF" w14:textId="60FADE4F" w:rsidR="00377273" w:rsidRDefault="006A4126" w:rsidP="00C3452B">
      <w:pPr>
        <w:pStyle w:val="base-text-paragraph"/>
      </w:pPr>
      <w:r>
        <w:t>Amendments to Chapter 5C of the Corporations Regulations</w:t>
      </w:r>
      <w:r w:rsidR="00883A04">
        <w:t xml:space="preserve"> were made</w:t>
      </w:r>
      <w:r>
        <w:t xml:space="preserve"> shortly after the </w:t>
      </w:r>
      <w:r>
        <w:rPr>
          <w:i/>
          <w:iCs/>
        </w:rPr>
        <w:t xml:space="preserve">Brookfield </w:t>
      </w:r>
      <w:r>
        <w:t>decision</w:t>
      </w:r>
      <w:r w:rsidR="00883A04">
        <w:t xml:space="preserve"> to exempt litigation funding schemes from complying with the regulatory framework</w:t>
      </w:r>
      <w:r>
        <w:t xml:space="preserve"> for managed investment schemes</w:t>
      </w:r>
      <w:r w:rsidR="00883A04">
        <w:t xml:space="preserve"> in Chapter 5C of the Corporations Act.</w:t>
      </w:r>
    </w:p>
    <w:p w14:paraId="2B9DF615" w14:textId="3D774DDD" w:rsidR="00755179" w:rsidRDefault="00C1079E" w:rsidP="00C3452B">
      <w:pPr>
        <w:pStyle w:val="base-text-paragraph"/>
      </w:pPr>
      <w:r>
        <w:t xml:space="preserve">The </w:t>
      </w:r>
      <w:r w:rsidR="00755179" w:rsidRPr="00C1079E">
        <w:rPr>
          <w:i/>
        </w:rPr>
        <w:t xml:space="preserve">Corporations Amendment (Litigation </w:t>
      </w:r>
      <w:r w:rsidR="00135951" w:rsidRPr="00C1079E">
        <w:rPr>
          <w:i/>
        </w:rPr>
        <w:t xml:space="preserve">Funding) Regulations 2020 </w:t>
      </w:r>
      <w:r w:rsidR="00135951">
        <w:t>removed th</w:t>
      </w:r>
      <w:r w:rsidR="00932F68">
        <w:t xml:space="preserve">is </w:t>
      </w:r>
      <w:r w:rsidR="00135951">
        <w:t>exemption</w:t>
      </w:r>
      <w:r w:rsidR="00932F68">
        <w:t xml:space="preserve"> </w:t>
      </w:r>
      <w:r w:rsidR="0035612B">
        <w:t>with respect to</w:t>
      </w:r>
      <w:r w:rsidR="006A4126">
        <w:t xml:space="preserve"> class action litigation funding schemes. Th</w:t>
      </w:r>
      <w:r w:rsidR="00C65E70">
        <w:t xml:space="preserve">at instrument, among other things, also amended the Corporations Regulations to </w:t>
      </w:r>
      <w:r w:rsidR="00135951">
        <w:t>require</w:t>
      </w:r>
      <w:r w:rsidR="00C65E70">
        <w:t xml:space="preserve"> entities that deal in class action litigation funding schemes</w:t>
      </w:r>
      <w:r w:rsidR="00135951">
        <w:t xml:space="preserve"> to hold an Australian Financial Services Licences (AFSL)</w:t>
      </w:r>
      <w:r w:rsidR="00883A04">
        <w:t>.</w:t>
      </w:r>
      <w:r w:rsidR="00C65E70">
        <w:t xml:space="preserve"> </w:t>
      </w:r>
    </w:p>
    <w:p w14:paraId="64EB4F56" w14:textId="77777777" w:rsidR="00BC3493" w:rsidRDefault="00032CB7" w:rsidP="00BC3493">
      <w:pPr>
        <w:pStyle w:val="base-text-paragraph"/>
        <w:numPr>
          <w:ilvl w:val="1"/>
          <w:numId w:val="7"/>
        </w:numPr>
      </w:pPr>
      <w:r>
        <w:t xml:space="preserve">A class action ordinarily involves </w:t>
      </w:r>
      <w:r w:rsidR="00887AA9">
        <w:t>a group of</w:t>
      </w:r>
      <w:r>
        <w:t xml:space="preserve"> representative plaintiff</w:t>
      </w:r>
      <w:r w:rsidR="00887AA9">
        <w:t>s</w:t>
      </w:r>
      <w:r>
        <w:t xml:space="preserve">, pursuing a claim on behalf of a larger group that has </w:t>
      </w:r>
      <w:r w:rsidR="00C65E70">
        <w:t>a substantially similar claim</w:t>
      </w:r>
      <w:r>
        <w:t xml:space="preserve">. </w:t>
      </w:r>
      <w:proofErr w:type="gramStart"/>
      <w:r w:rsidR="00BC3493">
        <w:t>Without  the</w:t>
      </w:r>
      <w:proofErr w:type="gramEnd"/>
      <w:r w:rsidR="00BC3493">
        <w:t xml:space="preserve"> support of a litigation funder, group members  may not have the financial resources to fund the action and would be exposed to liability in the event of an adverse cost order made during the proceedings. </w:t>
      </w:r>
    </w:p>
    <w:p w14:paraId="68E81F99" w14:textId="5D5437E0" w:rsidR="00BC3493" w:rsidRDefault="00BC3493" w:rsidP="00BC3493">
      <w:pPr>
        <w:pStyle w:val="base-text-paragraph"/>
        <w:numPr>
          <w:ilvl w:val="1"/>
          <w:numId w:val="7"/>
        </w:numPr>
      </w:pPr>
      <w:r>
        <w:lastRenderedPageBreak/>
        <w:t xml:space="preserve">The ALRC undertook an inquiry into Class Action Proceedings and Third-Party Litigation Funders and tabled its final report in Parliament on 24 January 2019. The report examined the increased prevalence of class action proceedings and the adequacy of regulation around the distribution of proceeds. Recommendation </w:t>
      </w:r>
      <w:r w:rsidRPr="00D05572">
        <w:t>14</w:t>
      </w:r>
      <w:r w:rsidR="00D05572">
        <w:t xml:space="preserve"> </w:t>
      </w:r>
      <w:r w:rsidRPr="00D05572">
        <w:t>o</w:t>
      </w:r>
      <w:r>
        <w:t xml:space="preserve">f the ALRC Report endorsed Court approval of third-party litigation funding agreements or percentage-based fee agreements to protect the interests of class members. </w:t>
      </w:r>
    </w:p>
    <w:p w14:paraId="273C0BBF" w14:textId="77777777" w:rsidR="000C6193" w:rsidRDefault="000C6193" w:rsidP="000C6193">
      <w:pPr>
        <w:pStyle w:val="base-text-paragraph"/>
      </w:pPr>
      <w:r>
        <w:t xml:space="preserve">On 21 December 2020, the Parliamentary Joint Committee on Corporations and Financial Services tabled its report on litigation funding and the regulation of the class action industry.  The Committee determined that litigation funding plays a vital role in enabling individuals to access the civil justice system by minimising the risk of an adverse cost order. </w:t>
      </w:r>
    </w:p>
    <w:p w14:paraId="459B70BC" w14:textId="77777777" w:rsidR="000C6193" w:rsidRDefault="000C6193" w:rsidP="000C6193">
      <w:pPr>
        <w:pStyle w:val="base-text-paragraph"/>
      </w:pPr>
      <w:r>
        <w:t xml:space="preserve">The Committee raised significant concerns over the inadequacy of the regulatory arrangements for litigation funders. The Committee was also concerned that the proportion of proceeds obtained by litigation funders is often disproportionate to the cost and risk undertaken by those funders, resulting in a significant reduction of the share to class members. </w:t>
      </w:r>
    </w:p>
    <w:p w14:paraId="2697336F" w14:textId="77777777" w:rsidR="00BC3493" w:rsidRDefault="00BC3493" w:rsidP="00BC3493">
      <w:pPr>
        <w:pStyle w:val="base-text-paragraph"/>
      </w:pPr>
      <w:r>
        <w:t xml:space="preserve">The PJCFFS Report consisted of 31 recommendations including recommendation 11 which recommended providing the Court with power to approve litigation funding agreements and reject, vary or amend the terms of agreement in the interests of justice. </w:t>
      </w:r>
    </w:p>
    <w:p w14:paraId="119D0112" w14:textId="77777777" w:rsidR="00BC3493" w:rsidRDefault="00BC3493" w:rsidP="00BC3493">
      <w:pPr>
        <w:pStyle w:val="base-text-paragraph"/>
      </w:pPr>
      <w:r>
        <w:t>Recommendation 20 of the PJCCFS Report called on the Government to consult on the design of a guaranteed statutory minimum rate of return for class members. Consistent with this recommendation, the Treasury and Attorney</w:t>
      </w:r>
      <w:r>
        <w:noBreakHyphen/>
        <w:t xml:space="preserve">General’s Department undertook consultation in June 2021 on design elements of guaranteeing a statutory minimum return to class members. </w:t>
      </w:r>
    </w:p>
    <w:p w14:paraId="4F3EB78D" w14:textId="3C492ADB" w:rsidR="00BC3493" w:rsidRPr="00A15EC6" w:rsidRDefault="00BC3493" w:rsidP="00BC3493">
      <w:pPr>
        <w:pStyle w:val="base-text-paragraph"/>
      </w:pPr>
      <w:r w:rsidRPr="00A15EC6">
        <w:t xml:space="preserve">Schedule # to the Bill implements the Government’s response to recommendations </w:t>
      </w:r>
      <w:r>
        <w:t xml:space="preserve">7, </w:t>
      </w:r>
      <w:r w:rsidRPr="00A15EC6">
        <w:t>11, 12, 13</w:t>
      </w:r>
      <w:r>
        <w:t xml:space="preserve">, </w:t>
      </w:r>
      <w:r w:rsidRPr="00A15EC6">
        <w:t>16</w:t>
      </w:r>
      <w:r>
        <w:t xml:space="preserve">, </w:t>
      </w:r>
      <w:r w:rsidR="005C7AA4">
        <w:t>18, and</w:t>
      </w:r>
      <w:r>
        <w:t xml:space="preserve"> 20 </w:t>
      </w:r>
      <w:r w:rsidRPr="00A15EC6">
        <w:t xml:space="preserve">of the </w:t>
      </w:r>
      <w:r>
        <w:t>PJCCFS</w:t>
      </w:r>
      <w:r w:rsidRPr="00A15EC6">
        <w:t xml:space="preserve"> report.  </w:t>
      </w:r>
      <w:r w:rsidR="008923A4">
        <w:t xml:space="preserve">To the </w:t>
      </w:r>
      <w:proofErr w:type="spellStart"/>
      <w:r w:rsidR="008923A4">
        <w:t>extend</w:t>
      </w:r>
      <w:proofErr w:type="spellEnd"/>
      <w:r w:rsidR="008923A4">
        <w:t xml:space="preserve"> of any inconsistency between those recommendations of the PJCCFS Report, or its discussion of those recommendations, the Government’s intention as expressed in the Bill and this Explanatory Memorandum should prevail. </w:t>
      </w:r>
    </w:p>
    <w:p w14:paraId="3490715A" w14:textId="77777777" w:rsidR="00C3452B" w:rsidRPr="002911FC" w:rsidRDefault="00C3452B" w:rsidP="00C3452B">
      <w:pPr>
        <w:pStyle w:val="Heading2"/>
      </w:pPr>
      <w:r w:rsidRPr="002911FC">
        <w:t>Summary of new law</w:t>
      </w:r>
    </w:p>
    <w:p w14:paraId="2A6BD24B" w14:textId="77777777" w:rsidR="00D45A36" w:rsidRPr="002911FC" w:rsidRDefault="00D45A36" w:rsidP="00D45A36">
      <w:pPr>
        <w:pStyle w:val="base-text-paragraph"/>
      </w:pPr>
      <w:bookmarkStart w:id="38" w:name="_Hlk82603151"/>
      <w:r w:rsidRPr="002911FC">
        <w:t xml:space="preserve">Schedule # to the Bill </w:t>
      </w:r>
      <w:r>
        <w:t>amends</w:t>
      </w:r>
      <w:r w:rsidRPr="002911FC">
        <w:t xml:space="preserve"> Chapter 5C of the Corporations Act to </w:t>
      </w:r>
      <w:r>
        <w:t>amend</w:t>
      </w:r>
      <w:r w:rsidRPr="002911FC">
        <w:t xml:space="preserve"> the managed investment scheme regime as it relates to </w:t>
      </w:r>
      <w:r>
        <w:t xml:space="preserve">class </w:t>
      </w:r>
      <w:r w:rsidRPr="00E833D2">
        <w:t>action litigation funding schemes. This measure aims to ensure that under such schemes, the proposed distribution of the proceeds to general members arising from a class action is fair and reasonable.</w:t>
      </w:r>
      <w:r>
        <w:t xml:space="preserve"> </w:t>
      </w:r>
      <w:r w:rsidRPr="002911FC">
        <w:t xml:space="preserve"> </w:t>
      </w:r>
    </w:p>
    <w:p w14:paraId="498CA755" w14:textId="14C1345F" w:rsidR="00577151" w:rsidRPr="002911FC" w:rsidRDefault="00577151" w:rsidP="00577151">
      <w:pPr>
        <w:pStyle w:val="base-text-paragraph"/>
      </w:pPr>
      <w:r>
        <w:lastRenderedPageBreak/>
        <w:t>T</w:t>
      </w:r>
      <w:r w:rsidRPr="002911FC">
        <w:t xml:space="preserve">he amendments require any litigation funding agreement underpinning </w:t>
      </w:r>
      <w:r>
        <w:t xml:space="preserve">a class action litigation funding </w:t>
      </w:r>
      <w:r w:rsidRPr="002911FC">
        <w:t xml:space="preserve">scheme to state how the claim proceeds </w:t>
      </w:r>
      <w:r w:rsidR="00100725">
        <w:t>would</w:t>
      </w:r>
      <w:r w:rsidR="00100725" w:rsidRPr="002911FC">
        <w:t xml:space="preserve"> </w:t>
      </w:r>
      <w:r w:rsidRPr="002911FC">
        <w:t xml:space="preserve">be distributed </w:t>
      </w:r>
      <w:r>
        <w:t>between the general members of the scheme</w:t>
      </w:r>
      <w:r w:rsidRPr="002911FC">
        <w:t xml:space="preserve"> and the litigation funder. </w:t>
      </w:r>
      <w:r>
        <w:t>General members are limited to only those claimants in the class action who have</w:t>
      </w:r>
      <w:r w:rsidR="007441CE">
        <w:t xml:space="preserve"> agreed</w:t>
      </w:r>
      <w:r w:rsidR="006F4641">
        <w:t xml:space="preserve"> in writing</w:t>
      </w:r>
      <w:r>
        <w:t xml:space="preserve"> to enter the scheme</w:t>
      </w:r>
      <w:r w:rsidR="006F4641">
        <w:t xml:space="preserve"> and be bound by the terms of the scheme’s constitution. </w:t>
      </w:r>
      <w:r>
        <w:t xml:space="preserve"> </w:t>
      </w:r>
    </w:p>
    <w:p w14:paraId="74C06FCE" w14:textId="4D0BF819" w:rsidR="00921816" w:rsidRDefault="006200DE" w:rsidP="00C3452B">
      <w:pPr>
        <w:pStyle w:val="base-text-paragraph"/>
      </w:pPr>
      <w:r>
        <w:t xml:space="preserve"> </w:t>
      </w:r>
      <w:r w:rsidR="00577151">
        <w:t>For</w:t>
      </w:r>
      <w:r w:rsidR="00921816">
        <w:t xml:space="preserve"> a litigation funding agreement to be enforceable, to the extent that it relates to the distribution of the claim proceeds, the Court must approve the method of distribution to </w:t>
      </w:r>
      <w:r w:rsidR="00595FFE">
        <w:t>members of the scheme</w:t>
      </w:r>
      <w:r w:rsidR="00921816">
        <w:t xml:space="preserve"> and the litigation funder as fair and reasonable. The Court may vary the litigation funding agreement to ensure the method of distribution is fair and reasonable.  </w:t>
      </w:r>
    </w:p>
    <w:p w14:paraId="7CC3FE5C" w14:textId="2AA67047" w:rsidR="008700AB" w:rsidRDefault="00E43E25" w:rsidP="008700AB">
      <w:pPr>
        <w:pStyle w:val="base-text-paragraph"/>
        <w:numPr>
          <w:ilvl w:val="1"/>
          <w:numId w:val="7"/>
        </w:numPr>
      </w:pPr>
      <w:r>
        <w:t xml:space="preserve"> </w:t>
      </w:r>
      <w:r w:rsidR="008700AB">
        <w:t>In determining whether the method of distribution is fair and reasonable, a rebutt</w:t>
      </w:r>
      <w:r w:rsidR="00EC42E6">
        <w:t>able</w:t>
      </w:r>
      <w:r w:rsidR="008700AB">
        <w:t xml:space="preserve"> presumption is established that </w:t>
      </w:r>
      <w:bookmarkStart w:id="39" w:name="_Hlk83174529"/>
      <w:r w:rsidR="008700AB">
        <w:t xml:space="preserve">a return to general members of less than 70 per cent of the total claim proceeds for the scheme is not fair and reasonable. </w:t>
      </w:r>
      <w:bookmarkEnd w:id="39"/>
      <w:r w:rsidR="008700AB">
        <w:t>A prescribed list of factors is provided that the court must consider when approving or varying the litigation funding agreement.</w:t>
      </w:r>
    </w:p>
    <w:p w14:paraId="6B81D352" w14:textId="3649D8CB" w:rsidR="00577151" w:rsidRDefault="00577151" w:rsidP="00577151">
      <w:pPr>
        <w:pStyle w:val="base-text-paragraph"/>
        <w:numPr>
          <w:ilvl w:val="1"/>
          <w:numId w:val="7"/>
        </w:numPr>
      </w:pPr>
      <w:r>
        <w:t>These factors are wide ranging, but include the costs incurred by the funder, the conduct of the funder in managing the case, and the commercial return to the funder as a result of providing the funding under the agreement.</w:t>
      </w:r>
      <w:r w:rsidR="002E7CEE">
        <w:t xml:space="preserve"> The Government may make regulations to amend </w:t>
      </w:r>
      <w:proofErr w:type="gramStart"/>
      <w:r w:rsidR="002E7CEE">
        <w:t>the  factors</w:t>
      </w:r>
      <w:proofErr w:type="gramEnd"/>
      <w:r w:rsidR="002E7CEE">
        <w:t xml:space="preserve"> the Court must consider to ensure the test </w:t>
      </w:r>
      <w:r w:rsidR="003474A6">
        <w:t xml:space="preserve">remains </w:t>
      </w:r>
      <w:r w:rsidR="002E7CEE">
        <w:t xml:space="preserve">effective and provides adequate protection for class members.  </w:t>
      </w:r>
    </w:p>
    <w:p w14:paraId="25C2DD0E" w14:textId="77777777" w:rsidR="00F27C7D" w:rsidRDefault="00F27C7D" w:rsidP="00F27C7D">
      <w:pPr>
        <w:pStyle w:val="base-text-paragraph"/>
        <w:numPr>
          <w:ilvl w:val="1"/>
          <w:numId w:val="7"/>
        </w:numPr>
      </w:pPr>
      <w:r>
        <w:t xml:space="preserve">The Court must have regard to the report of a </w:t>
      </w:r>
      <w:proofErr w:type="gramStart"/>
      <w:r>
        <w:t>fees</w:t>
      </w:r>
      <w:proofErr w:type="gramEnd"/>
      <w:r>
        <w:t xml:space="preserve"> assessor and representations of a contradictor representing the interest of the scheme’s general members when making the proposed order to approve of vary the agreement.</w:t>
      </w:r>
      <w:r w:rsidRPr="00FF2BB6">
        <w:t xml:space="preserve"> </w:t>
      </w:r>
      <w:r w:rsidRPr="00F43304">
        <w:t>The agreement must also provide that the litigation funder</w:t>
      </w:r>
      <w:r>
        <w:t xml:space="preserve"> will</w:t>
      </w:r>
      <w:r w:rsidRPr="00F43304">
        <w:t xml:space="preserve"> undertake to meet the reasonable costs of </w:t>
      </w:r>
      <w:r>
        <w:t xml:space="preserve">any fees assessor or contradictor appointed by the Court. </w:t>
      </w:r>
    </w:p>
    <w:p w14:paraId="5D167F92" w14:textId="7A042155" w:rsidR="00921816" w:rsidRDefault="00F43304" w:rsidP="00C3452B">
      <w:pPr>
        <w:pStyle w:val="base-text-paragraph"/>
      </w:pPr>
      <w:r>
        <w:t>Chapter 5C of the Corporations Act is also amended so that</w:t>
      </w:r>
      <w:r w:rsidR="00921816" w:rsidRPr="00921816">
        <w:rPr>
          <w:highlight w:val="yellow"/>
        </w:rPr>
        <w:t xml:space="preserve"> </w:t>
      </w:r>
      <w:r w:rsidR="00921816" w:rsidRPr="00F43304">
        <w:t xml:space="preserve">litigation funding agreements must provide that the agreement is subject to the law </w:t>
      </w:r>
      <w:r w:rsidR="00E61D15">
        <w:t>of</w:t>
      </w:r>
      <w:r w:rsidR="00921816" w:rsidRPr="00F43304">
        <w:t xml:space="preserve"> a </w:t>
      </w:r>
      <w:proofErr w:type="gramStart"/>
      <w:r w:rsidR="00921816" w:rsidRPr="00F43304">
        <w:t>particular Australian</w:t>
      </w:r>
      <w:proofErr w:type="gramEnd"/>
      <w:r w:rsidR="00921816" w:rsidRPr="00F43304">
        <w:t xml:space="preserve"> state or territory, with disputes regarding the agreement to be heard in an Australian Court. The agreement </w:t>
      </w:r>
      <w:r w:rsidRPr="00F43304">
        <w:t>must also</w:t>
      </w:r>
      <w:r w:rsidR="00921816" w:rsidRPr="00F43304">
        <w:t xml:space="preserve"> provide that the litigation funder must undertake to meet the reasonable costs of </w:t>
      </w:r>
      <w:r w:rsidR="00BC4368">
        <w:t xml:space="preserve">the </w:t>
      </w:r>
      <w:proofErr w:type="gramStart"/>
      <w:r w:rsidR="00BC4368">
        <w:t>fees</w:t>
      </w:r>
      <w:proofErr w:type="gramEnd"/>
      <w:r w:rsidR="00BC4368">
        <w:t xml:space="preserve"> assessor and contradictor. </w:t>
      </w:r>
      <w:r w:rsidR="00921816">
        <w:t xml:space="preserve">   </w:t>
      </w:r>
    </w:p>
    <w:bookmarkEnd w:id="38"/>
    <w:p w14:paraId="457B46C6" w14:textId="3E7735FA" w:rsidR="00110A5D" w:rsidRPr="008923A4" w:rsidRDefault="00110A5D" w:rsidP="00110A5D">
      <w:pPr>
        <w:pStyle w:val="base-text-paragraph"/>
      </w:pPr>
      <w:r w:rsidRPr="008923A4">
        <w:t xml:space="preserve">Litigation funders cannot enforce the claims proceeds distribution method if, in the relevant class action, the Court makes an order to impose the funder’s fee or commission on claimants who are not members of the class action litigation funding scheme (a common fund order). Such orders do not include orders that ensure all claimants (including those who are not members of the class action litigation funding scheme) contribute to the </w:t>
      </w:r>
      <w:r w:rsidR="008923A4" w:rsidRPr="008923A4">
        <w:t xml:space="preserve">legal </w:t>
      </w:r>
      <w:r w:rsidRPr="008923A4">
        <w:t>costs of the proceeding</w:t>
      </w:r>
      <w:r w:rsidR="008923A4" w:rsidRPr="008923A4">
        <w:t xml:space="preserve">. </w:t>
      </w:r>
    </w:p>
    <w:p w14:paraId="1346BC37" w14:textId="77777777" w:rsidR="00C3452B" w:rsidRDefault="00C3452B" w:rsidP="00C3452B">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04"/>
      </w:tblGrid>
      <w:tr w:rsidR="00C3452B" w:rsidRPr="004666B8" w14:paraId="76CE21F7" w14:textId="77777777" w:rsidTr="00D65280">
        <w:tc>
          <w:tcPr>
            <w:tcW w:w="3275" w:type="dxa"/>
          </w:tcPr>
          <w:p w14:paraId="1BAF3464" w14:textId="77777777" w:rsidR="00C3452B" w:rsidRPr="004666B8" w:rsidRDefault="00C3452B" w:rsidP="00D65280">
            <w:pPr>
              <w:pStyle w:val="tableheaderwithintable"/>
              <w:rPr>
                <w:lang w:val="en-US" w:eastAsia="en-US"/>
              </w:rPr>
            </w:pPr>
            <w:r w:rsidRPr="004666B8">
              <w:rPr>
                <w:lang w:val="en-US" w:eastAsia="en-US"/>
              </w:rPr>
              <w:t>New law</w:t>
            </w:r>
          </w:p>
        </w:tc>
        <w:tc>
          <w:tcPr>
            <w:tcW w:w="3276" w:type="dxa"/>
          </w:tcPr>
          <w:p w14:paraId="2B79B2D3" w14:textId="77777777" w:rsidR="00C3452B" w:rsidRPr="004666B8" w:rsidRDefault="00C3452B" w:rsidP="00D65280">
            <w:pPr>
              <w:pStyle w:val="tableheaderwithintable"/>
              <w:rPr>
                <w:lang w:val="en-US" w:eastAsia="en-US"/>
              </w:rPr>
            </w:pPr>
            <w:r w:rsidRPr="004666B8">
              <w:rPr>
                <w:lang w:val="en-US" w:eastAsia="en-US"/>
              </w:rPr>
              <w:t>Current law</w:t>
            </w:r>
          </w:p>
        </w:tc>
      </w:tr>
      <w:tr w:rsidR="00C3452B" w:rsidRPr="004666B8" w14:paraId="71ED0682" w14:textId="77777777" w:rsidTr="00D65280">
        <w:tc>
          <w:tcPr>
            <w:tcW w:w="3275" w:type="dxa"/>
          </w:tcPr>
          <w:p w14:paraId="5CF9EE59" w14:textId="416FD14F" w:rsidR="00C3452B" w:rsidRPr="004666B8" w:rsidRDefault="008A7891" w:rsidP="00D65280">
            <w:pPr>
              <w:pStyle w:val="tabletext"/>
              <w:rPr>
                <w:lang w:val="en-US" w:eastAsia="en-US"/>
              </w:rPr>
            </w:pPr>
            <w:r>
              <w:rPr>
                <w:lang w:val="en-US" w:eastAsia="en-US"/>
              </w:rPr>
              <w:t>In</w:t>
            </w:r>
            <w:r w:rsidR="00E9142E">
              <w:rPr>
                <w:lang w:val="en-US" w:eastAsia="en-US"/>
              </w:rPr>
              <w:t xml:space="preserve"> a </w:t>
            </w:r>
            <w:r w:rsidR="00C910F8">
              <w:rPr>
                <w:lang w:val="en-US" w:eastAsia="en-US"/>
              </w:rPr>
              <w:t xml:space="preserve">class action </w:t>
            </w:r>
            <w:r w:rsidR="00E9142E">
              <w:rPr>
                <w:lang w:val="en-US" w:eastAsia="en-US"/>
              </w:rPr>
              <w:t xml:space="preserve">litigation funding scheme, the litigation funding agreement must state </w:t>
            </w:r>
            <w:r>
              <w:rPr>
                <w:lang w:val="en-US" w:eastAsia="en-US"/>
              </w:rPr>
              <w:t>the way in which the</w:t>
            </w:r>
            <w:r w:rsidR="00E9142E">
              <w:rPr>
                <w:lang w:val="en-US" w:eastAsia="en-US"/>
              </w:rPr>
              <w:t xml:space="preserve"> proceeds of the class action </w:t>
            </w:r>
            <w:r w:rsidR="00100725">
              <w:rPr>
                <w:lang w:val="en-US" w:eastAsia="en-US"/>
              </w:rPr>
              <w:t xml:space="preserve">would </w:t>
            </w:r>
            <w:r>
              <w:rPr>
                <w:lang w:val="en-US" w:eastAsia="en-US"/>
              </w:rPr>
              <w:t xml:space="preserve">be distributed between general members of the scheme and the litigation funder. </w:t>
            </w:r>
            <w:r w:rsidR="00E9142E">
              <w:rPr>
                <w:lang w:val="en-US" w:eastAsia="en-US"/>
              </w:rPr>
              <w:t xml:space="preserve"> </w:t>
            </w:r>
          </w:p>
        </w:tc>
        <w:tc>
          <w:tcPr>
            <w:tcW w:w="3276" w:type="dxa"/>
          </w:tcPr>
          <w:p w14:paraId="7B39C2A4" w14:textId="705A59C5" w:rsidR="00C3452B" w:rsidRPr="004666B8" w:rsidRDefault="00E9142E" w:rsidP="00D65280">
            <w:pPr>
              <w:pStyle w:val="tabletext"/>
              <w:rPr>
                <w:lang w:val="en-US" w:eastAsia="en-US"/>
              </w:rPr>
            </w:pPr>
            <w:r>
              <w:rPr>
                <w:lang w:val="en-US" w:eastAsia="en-US"/>
              </w:rPr>
              <w:t xml:space="preserve">No </w:t>
            </w:r>
            <w:r w:rsidR="00037237">
              <w:rPr>
                <w:lang w:val="en-US" w:eastAsia="en-US"/>
              </w:rPr>
              <w:t xml:space="preserve">equivalent </w:t>
            </w:r>
            <w:r>
              <w:rPr>
                <w:lang w:val="en-US" w:eastAsia="en-US"/>
              </w:rPr>
              <w:t xml:space="preserve">  </w:t>
            </w:r>
          </w:p>
        </w:tc>
      </w:tr>
      <w:tr w:rsidR="00037237" w:rsidRPr="004666B8" w14:paraId="6DF13BAC" w14:textId="77777777" w:rsidTr="00D65280">
        <w:tc>
          <w:tcPr>
            <w:tcW w:w="3275" w:type="dxa"/>
          </w:tcPr>
          <w:p w14:paraId="0F4D5A0F" w14:textId="077A44F9" w:rsidR="00037237" w:rsidRDefault="00037237" w:rsidP="00D65280">
            <w:pPr>
              <w:pStyle w:val="tabletext"/>
              <w:rPr>
                <w:lang w:val="en-US" w:eastAsia="en-US"/>
              </w:rPr>
            </w:pPr>
            <w:r>
              <w:rPr>
                <w:lang w:val="en-US" w:eastAsia="en-US"/>
              </w:rPr>
              <w:t xml:space="preserve">A litigation funding agreement is only enforceable if a </w:t>
            </w:r>
            <w:r w:rsidR="00E623E2">
              <w:rPr>
                <w:lang w:val="en-US" w:eastAsia="en-US"/>
              </w:rPr>
              <w:t>c</w:t>
            </w:r>
            <w:r>
              <w:rPr>
                <w:lang w:val="en-US" w:eastAsia="en-US"/>
              </w:rPr>
              <w:t xml:space="preserve">ourt approves the </w:t>
            </w:r>
            <w:r w:rsidR="00787159">
              <w:rPr>
                <w:lang w:val="en-US" w:eastAsia="en-US"/>
              </w:rPr>
              <w:t xml:space="preserve">method of </w:t>
            </w:r>
            <w:r w:rsidR="008A7891">
              <w:rPr>
                <w:lang w:val="en-US" w:eastAsia="en-US"/>
              </w:rPr>
              <w:t>distribution</w:t>
            </w:r>
            <w:r>
              <w:rPr>
                <w:lang w:val="en-US" w:eastAsia="en-US"/>
              </w:rPr>
              <w:t xml:space="preserve"> of the proceeds under the agreement as fair and </w:t>
            </w:r>
            <w:proofErr w:type="gramStart"/>
            <w:r>
              <w:rPr>
                <w:lang w:val="en-US" w:eastAsia="en-US"/>
              </w:rPr>
              <w:t>reasonable</w:t>
            </w:r>
            <w:r w:rsidR="008A7891">
              <w:rPr>
                <w:lang w:val="en-US" w:eastAsia="en-US"/>
              </w:rPr>
              <w:t>, or</w:t>
            </w:r>
            <w:proofErr w:type="gramEnd"/>
            <w:r w:rsidR="008A7891">
              <w:rPr>
                <w:lang w:val="en-US" w:eastAsia="en-US"/>
              </w:rPr>
              <w:t xml:space="preserve"> varies the agreement to ensure the distribution is fair and reasonable. </w:t>
            </w:r>
          </w:p>
        </w:tc>
        <w:tc>
          <w:tcPr>
            <w:tcW w:w="3276" w:type="dxa"/>
          </w:tcPr>
          <w:p w14:paraId="2584AD18" w14:textId="00AAAF1C" w:rsidR="00037237" w:rsidRDefault="00233B03" w:rsidP="00D65280">
            <w:pPr>
              <w:pStyle w:val="tabletext"/>
              <w:rPr>
                <w:lang w:val="en-US" w:eastAsia="en-US"/>
              </w:rPr>
            </w:pPr>
            <w:r>
              <w:rPr>
                <w:lang w:val="en-US" w:eastAsia="en-US"/>
              </w:rPr>
              <w:t xml:space="preserve">No equivalent </w:t>
            </w:r>
          </w:p>
        </w:tc>
      </w:tr>
      <w:tr w:rsidR="00037237" w:rsidRPr="004666B8" w14:paraId="7F926277" w14:textId="77777777" w:rsidTr="00D65280">
        <w:tc>
          <w:tcPr>
            <w:tcW w:w="3275" w:type="dxa"/>
          </w:tcPr>
          <w:p w14:paraId="63A08F1F" w14:textId="7DDEB657" w:rsidR="00037237" w:rsidRDefault="00037237" w:rsidP="00D65280">
            <w:pPr>
              <w:pStyle w:val="tabletext"/>
              <w:rPr>
                <w:lang w:val="en-US" w:eastAsia="en-US"/>
              </w:rPr>
            </w:pPr>
            <w:r>
              <w:rPr>
                <w:lang w:val="en-US" w:eastAsia="en-US"/>
              </w:rPr>
              <w:t>When approving or varying</w:t>
            </w:r>
            <w:r w:rsidR="00E623E2">
              <w:rPr>
                <w:lang w:val="en-US" w:eastAsia="en-US"/>
              </w:rPr>
              <w:t xml:space="preserve"> a proposed distribution</w:t>
            </w:r>
            <w:r w:rsidR="00C830AA">
              <w:rPr>
                <w:lang w:val="en-US" w:eastAsia="en-US"/>
              </w:rPr>
              <w:t xml:space="preserve"> method</w:t>
            </w:r>
            <w:r>
              <w:rPr>
                <w:lang w:val="en-US" w:eastAsia="en-US"/>
              </w:rPr>
              <w:t>, the court must</w:t>
            </w:r>
            <w:r w:rsidR="00C830AA">
              <w:rPr>
                <w:lang w:val="en-US" w:eastAsia="en-US"/>
              </w:rPr>
              <w:t xml:space="preserve"> only</w:t>
            </w:r>
            <w:r>
              <w:rPr>
                <w:lang w:val="en-US" w:eastAsia="en-US"/>
              </w:rPr>
              <w:t xml:space="preserve"> consider certain factors as well as a rebuttable presumption that a share of the proceeds of less than 70 per cent to </w:t>
            </w:r>
            <w:r w:rsidR="00C910F8">
              <w:rPr>
                <w:lang w:val="en-US" w:eastAsia="en-US"/>
              </w:rPr>
              <w:t>general</w:t>
            </w:r>
            <w:r>
              <w:rPr>
                <w:lang w:val="en-US" w:eastAsia="en-US"/>
              </w:rPr>
              <w:t xml:space="preserve"> members is not fair and reasonable.  </w:t>
            </w:r>
            <w:r w:rsidR="0006050C">
              <w:rPr>
                <w:lang w:val="en-US" w:eastAsia="en-US"/>
              </w:rPr>
              <w:t xml:space="preserve">The court must also consider the report of a </w:t>
            </w:r>
            <w:proofErr w:type="gramStart"/>
            <w:r w:rsidR="0006050C">
              <w:rPr>
                <w:lang w:val="en-US" w:eastAsia="en-US"/>
              </w:rPr>
              <w:t>fees</w:t>
            </w:r>
            <w:proofErr w:type="gramEnd"/>
            <w:r w:rsidR="0006050C">
              <w:rPr>
                <w:lang w:val="en-US" w:eastAsia="en-US"/>
              </w:rPr>
              <w:t xml:space="preserve"> assessor, and representations of a contradictor unless it is </w:t>
            </w:r>
            <w:r w:rsidR="008923A4">
              <w:rPr>
                <w:lang w:val="en-US" w:eastAsia="en-US"/>
              </w:rPr>
              <w:t xml:space="preserve">interests of justice to not do so. </w:t>
            </w:r>
          </w:p>
        </w:tc>
        <w:tc>
          <w:tcPr>
            <w:tcW w:w="3276" w:type="dxa"/>
          </w:tcPr>
          <w:p w14:paraId="219F83DC" w14:textId="65FC85FD" w:rsidR="00037237" w:rsidRDefault="00233B03" w:rsidP="00D65280">
            <w:pPr>
              <w:pStyle w:val="tabletext"/>
              <w:rPr>
                <w:lang w:val="en-US" w:eastAsia="en-US"/>
              </w:rPr>
            </w:pPr>
            <w:r>
              <w:rPr>
                <w:lang w:val="en-US" w:eastAsia="en-US"/>
              </w:rPr>
              <w:t>No equivalent</w:t>
            </w:r>
          </w:p>
        </w:tc>
      </w:tr>
      <w:tr w:rsidR="00917019" w:rsidRPr="004666B8" w14:paraId="384B4C9E" w14:textId="77777777" w:rsidTr="00D65280">
        <w:tc>
          <w:tcPr>
            <w:tcW w:w="3275" w:type="dxa"/>
          </w:tcPr>
          <w:p w14:paraId="16CBDB8A" w14:textId="79BD9DFC" w:rsidR="00917019" w:rsidRDefault="00917019" w:rsidP="00D65280">
            <w:pPr>
              <w:pStyle w:val="tabletext"/>
              <w:rPr>
                <w:lang w:val="en-US" w:eastAsia="en-US"/>
              </w:rPr>
            </w:pPr>
            <w:r>
              <w:rPr>
                <w:lang w:val="en-US" w:eastAsia="en-US"/>
              </w:rPr>
              <w:t xml:space="preserve">The litigation funding agreement must contain an undertaking from the litigation funder that the funder </w:t>
            </w:r>
            <w:r w:rsidR="00100725">
              <w:rPr>
                <w:lang w:val="en-US" w:eastAsia="en-US"/>
              </w:rPr>
              <w:t xml:space="preserve">would </w:t>
            </w:r>
            <w:r>
              <w:rPr>
                <w:lang w:val="en-US" w:eastAsia="en-US"/>
              </w:rPr>
              <w:t xml:space="preserve">pay the reasonable costs of the </w:t>
            </w:r>
            <w:proofErr w:type="gramStart"/>
            <w:r>
              <w:rPr>
                <w:lang w:val="en-US" w:eastAsia="en-US"/>
              </w:rPr>
              <w:t>fees</w:t>
            </w:r>
            <w:proofErr w:type="gramEnd"/>
            <w:r>
              <w:rPr>
                <w:lang w:val="en-US" w:eastAsia="en-US"/>
              </w:rPr>
              <w:t xml:space="preserve"> assessor and contradictor. </w:t>
            </w:r>
          </w:p>
        </w:tc>
        <w:tc>
          <w:tcPr>
            <w:tcW w:w="3276" w:type="dxa"/>
          </w:tcPr>
          <w:p w14:paraId="25B1FD33" w14:textId="074AFE81" w:rsidR="00917019" w:rsidRDefault="00917019" w:rsidP="00D65280">
            <w:pPr>
              <w:pStyle w:val="tabletext"/>
              <w:rPr>
                <w:lang w:val="en-US" w:eastAsia="en-US"/>
              </w:rPr>
            </w:pPr>
            <w:r>
              <w:rPr>
                <w:lang w:val="en-US" w:eastAsia="en-US"/>
              </w:rPr>
              <w:t>No equivalent</w:t>
            </w:r>
          </w:p>
        </w:tc>
      </w:tr>
      <w:tr w:rsidR="002B76D2" w:rsidRPr="004666B8" w14:paraId="0E7438C6" w14:textId="77777777" w:rsidTr="00D65280">
        <w:tc>
          <w:tcPr>
            <w:tcW w:w="3275" w:type="dxa"/>
          </w:tcPr>
          <w:p w14:paraId="327801D4" w14:textId="51792597" w:rsidR="002B76D2" w:rsidRDefault="00E623E2" w:rsidP="00D65280">
            <w:pPr>
              <w:pStyle w:val="tabletext"/>
              <w:rPr>
                <w:lang w:val="en-US" w:eastAsia="en-US"/>
              </w:rPr>
            </w:pPr>
            <w:r>
              <w:rPr>
                <w:lang w:val="en-US" w:eastAsia="en-US"/>
              </w:rPr>
              <w:t>The litigation funding agreement must state that</w:t>
            </w:r>
            <w:r w:rsidR="00917019">
              <w:rPr>
                <w:lang w:val="en-US" w:eastAsia="en-US"/>
              </w:rPr>
              <w:t xml:space="preserve"> the governing law of the agreement is the law of an Australian jurisdiction, and disputes regarding the agreement at to be heard in an Australian </w:t>
            </w:r>
            <w:r w:rsidR="00770050">
              <w:rPr>
                <w:lang w:val="en-US" w:eastAsia="en-US"/>
              </w:rPr>
              <w:t>c</w:t>
            </w:r>
            <w:r w:rsidR="00917019">
              <w:rPr>
                <w:lang w:val="en-US" w:eastAsia="en-US"/>
              </w:rPr>
              <w:t xml:space="preserve">ourt. </w:t>
            </w:r>
            <w:r>
              <w:rPr>
                <w:lang w:val="en-US" w:eastAsia="en-US"/>
              </w:rPr>
              <w:t xml:space="preserve"> </w:t>
            </w:r>
          </w:p>
        </w:tc>
        <w:tc>
          <w:tcPr>
            <w:tcW w:w="3276" w:type="dxa"/>
          </w:tcPr>
          <w:p w14:paraId="40EAE587" w14:textId="3809A4D5" w:rsidR="002B76D2" w:rsidRDefault="00233B03" w:rsidP="00D65280">
            <w:pPr>
              <w:pStyle w:val="tabletext"/>
              <w:rPr>
                <w:lang w:val="en-US" w:eastAsia="en-US"/>
              </w:rPr>
            </w:pPr>
            <w:r>
              <w:rPr>
                <w:lang w:val="en-US" w:eastAsia="en-US"/>
              </w:rPr>
              <w:t>No equivalent</w:t>
            </w:r>
          </w:p>
        </w:tc>
      </w:tr>
      <w:tr w:rsidR="006F3A0C" w:rsidRPr="004666B8" w14:paraId="42B2CEC5" w14:textId="77777777" w:rsidTr="00D65280">
        <w:tc>
          <w:tcPr>
            <w:tcW w:w="3275" w:type="dxa"/>
          </w:tcPr>
          <w:p w14:paraId="4D9B80BA" w14:textId="7E9783B3" w:rsidR="006F3A0C" w:rsidRDefault="006F3A0C" w:rsidP="00D65280">
            <w:pPr>
              <w:pStyle w:val="tabletext"/>
              <w:rPr>
                <w:lang w:val="en-US" w:eastAsia="en-US"/>
              </w:rPr>
            </w:pPr>
            <w:r>
              <w:rPr>
                <w:lang w:val="en-US" w:eastAsia="en-US"/>
              </w:rPr>
              <w:t xml:space="preserve">The constitution of the class action litigation funding scheme must provide that the general members of the scheme are only those who have agreed to be members of the scheme. </w:t>
            </w:r>
          </w:p>
        </w:tc>
        <w:tc>
          <w:tcPr>
            <w:tcW w:w="3276" w:type="dxa"/>
          </w:tcPr>
          <w:p w14:paraId="61A64506" w14:textId="7CE9980C" w:rsidR="006F3A0C" w:rsidRDefault="006F3A0C" w:rsidP="00D65280">
            <w:pPr>
              <w:pStyle w:val="tabletext"/>
              <w:rPr>
                <w:lang w:val="en-US" w:eastAsia="en-US"/>
              </w:rPr>
            </w:pPr>
            <w:r>
              <w:rPr>
                <w:lang w:val="en-US" w:eastAsia="en-US"/>
              </w:rPr>
              <w:t xml:space="preserve">No equivalent </w:t>
            </w:r>
          </w:p>
        </w:tc>
      </w:tr>
      <w:tr w:rsidR="00917019" w:rsidRPr="004666B8" w14:paraId="4484400E" w14:textId="77777777" w:rsidTr="00D65280">
        <w:tc>
          <w:tcPr>
            <w:tcW w:w="3275" w:type="dxa"/>
          </w:tcPr>
          <w:p w14:paraId="142D3A83" w14:textId="5D0D102F" w:rsidR="00917019" w:rsidRDefault="001378CB" w:rsidP="00D65280">
            <w:pPr>
              <w:pStyle w:val="tabletext"/>
              <w:rPr>
                <w:lang w:val="en-US" w:eastAsia="en-US"/>
              </w:rPr>
            </w:pPr>
            <w:r>
              <w:rPr>
                <w:lang w:val="en-US" w:eastAsia="en-US"/>
              </w:rPr>
              <w:t xml:space="preserve">The claims proceeds distribution method in a litigation funding </w:t>
            </w:r>
            <w:r>
              <w:rPr>
                <w:lang w:val="en-US" w:eastAsia="en-US"/>
              </w:rPr>
              <w:lastRenderedPageBreak/>
              <w:t>agreement would only be enforceable where the action falls under federal jurisdiction, or in a court exercising non-federal jurisdiction, where that court has powers to make substantially similar orders. Additionally, the court must not make an order imposing liability for the funder’s fee on claimants in the proceeding who are not general members of the scheme.</w:t>
            </w:r>
          </w:p>
        </w:tc>
        <w:tc>
          <w:tcPr>
            <w:tcW w:w="3276" w:type="dxa"/>
          </w:tcPr>
          <w:p w14:paraId="262A6C2A" w14:textId="588ED15F" w:rsidR="00917019" w:rsidRDefault="00917019" w:rsidP="00D65280">
            <w:pPr>
              <w:pStyle w:val="tabletext"/>
              <w:rPr>
                <w:lang w:val="en-US" w:eastAsia="en-US"/>
              </w:rPr>
            </w:pPr>
            <w:r>
              <w:rPr>
                <w:lang w:val="en-US" w:eastAsia="en-US"/>
              </w:rPr>
              <w:lastRenderedPageBreak/>
              <w:t>A</w:t>
            </w:r>
            <w:r w:rsidR="00770050">
              <w:rPr>
                <w:lang w:val="en-US" w:eastAsia="en-US"/>
              </w:rPr>
              <w:t xml:space="preserve">ll parts of a </w:t>
            </w:r>
            <w:r>
              <w:rPr>
                <w:lang w:val="en-US" w:eastAsia="en-US"/>
              </w:rPr>
              <w:t xml:space="preserve">litigation funding </w:t>
            </w:r>
            <w:r w:rsidR="00770050">
              <w:rPr>
                <w:lang w:val="en-US" w:eastAsia="en-US"/>
              </w:rPr>
              <w:t xml:space="preserve">agreement are enforceable if the </w:t>
            </w:r>
            <w:r w:rsidR="00770050">
              <w:rPr>
                <w:lang w:val="en-US" w:eastAsia="en-US"/>
              </w:rPr>
              <w:lastRenderedPageBreak/>
              <w:t xml:space="preserve">associated action is brought </w:t>
            </w:r>
            <w:r>
              <w:rPr>
                <w:lang w:val="en-US" w:eastAsia="en-US"/>
              </w:rPr>
              <w:t xml:space="preserve">in any Australian court subject to the rules of the </w:t>
            </w:r>
            <w:r w:rsidR="007B0F79">
              <w:rPr>
                <w:lang w:val="en-US" w:eastAsia="en-US"/>
              </w:rPr>
              <w:t>court</w:t>
            </w:r>
            <w:r>
              <w:rPr>
                <w:lang w:val="en-US" w:eastAsia="en-US"/>
              </w:rPr>
              <w:t xml:space="preserve">. </w:t>
            </w:r>
          </w:p>
        </w:tc>
      </w:tr>
    </w:tbl>
    <w:p w14:paraId="2D1FB006" w14:textId="77777777" w:rsidR="00C3452B" w:rsidRDefault="00C3452B" w:rsidP="00C3452B">
      <w:pPr>
        <w:pStyle w:val="Heading2"/>
      </w:pPr>
      <w:r>
        <w:lastRenderedPageBreak/>
        <w:t>Detailed explanation of new law</w:t>
      </w:r>
    </w:p>
    <w:p w14:paraId="7DFCC75A" w14:textId="30E3E218" w:rsidR="00F43304" w:rsidRDefault="008D266C" w:rsidP="00C3452B">
      <w:pPr>
        <w:pStyle w:val="base-text-paragraph"/>
      </w:pPr>
      <w:r>
        <w:t>The a</w:t>
      </w:r>
      <w:r w:rsidR="00233B03">
        <w:t xml:space="preserve">mendments to Chapter 5C of the Corporations Act provide a framework for the court-based regulation of </w:t>
      </w:r>
      <w:r w:rsidR="00B86AEE">
        <w:t xml:space="preserve">returns </w:t>
      </w:r>
      <w:r w:rsidR="003E5673">
        <w:t xml:space="preserve">of claim proceeds </w:t>
      </w:r>
      <w:r w:rsidR="00B86AEE">
        <w:t xml:space="preserve">to members </w:t>
      </w:r>
      <w:r w:rsidR="00770050">
        <w:t>of a</w:t>
      </w:r>
      <w:r w:rsidR="00B86AEE">
        <w:t xml:space="preserve"> </w:t>
      </w:r>
      <w:r w:rsidR="00F43304">
        <w:t xml:space="preserve">class action </w:t>
      </w:r>
      <w:r w:rsidR="00233B03">
        <w:t xml:space="preserve">litigation funding </w:t>
      </w:r>
      <w:r w:rsidR="00F43304">
        <w:t>scheme</w:t>
      </w:r>
      <w:r>
        <w:t>.</w:t>
      </w:r>
      <w:r w:rsidR="00233B03">
        <w:t xml:space="preserve"> </w:t>
      </w:r>
    </w:p>
    <w:p w14:paraId="24B61F7A" w14:textId="21577AA9" w:rsidR="00D1651F" w:rsidRDefault="00D1651F" w:rsidP="00C3452B">
      <w:pPr>
        <w:pStyle w:val="base-text-paragraph"/>
      </w:pPr>
      <w:r>
        <w:t xml:space="preserve">Class action litigation funding schemes are regulated by Chapter 5C of the Corporations Act as managed investment schemes. Class action litigation funding schemes must comply with the regulatory scheme of Chapter 5C. </w:t>
      </w:r>
    </w:p>
    <w:p w14:paraId="6078315D" w14:textId="3920E366" w:rsidR="00D1651F" w:rsidRDefault="00E03189" w:rsidP="00C3452B">
      <w:pPr>
        <w:pStyle w:val="base-text-paragraph"/>
      </w:pPr>
      <w:r>
        <w:t xml:space="preserve">The basic regulatory requirements for a managed investment scheme are that: </w:t>
      </w:r>
    </w:p>
    <w:p w14:paraId="3DC09D1E" w14:textId="1309F7B7" w:rsidR="00E03189" w:rsidRDefault="00E03189" w:rsidP="00E03189">
      <w:pPr>
        <w:pStyle w:val="dotpoint"/>
      </w:pPr>
      <w:r>
        <w:t>Schemes must be registered with ASIC where the scheme has more than 20 members or was promoted by a person engaged in a business promoting such schemes</w:t>
      </w:r>
    </w:p>
    <w:p w14:paraId="0070D484" w14:textId="4BDC0230" w:rsidR="00E03189" w:rsidRDefault="004F210C" w:rsidP="00E03189">
      <w:pPr>
        <w:pStyle w:val="dotpoint"/>
      </w:pPr>
      <w:r>
        <w:t xml:space="preserve">The scheme must have a responsible entity that operates the scheme and holds the scheme property on trust for scheme members. </w:t>
      </w:r>
    </w:p>
    <w:p w14:paraId="65A68DE4" w14:textId="78269FB1" w:rsidR="004F210C" w:rsidRDefault="004F210C" w:rsidP="004F210C">
      <w:pPr>
        <w:pStyle w:val="dotpoint"/>
      </w:pPr>
      <w:r>
        <w:t xml:space="preserve">The scheme must have a constitution that is compliant with Part 5C.3 of Chapter 5C of the Corporations Act. </w:t>
      </w:r>
    </w:p>
    <w:p w14:paraId="7CC9448E" w14:textId="5FDF5BF2" w:rsidR="00CB39A3" w:rsidRDefault="00CB39A3" w:rsidP="00CB39A3">
      <w:pPr>
        <w:pStyle w:val="Heading4"/>
      </w:pPr>
      <w:r>
        <w:t xml:space="preserve">Definitions </w:t>
      </w:r>
    </w:p>
    <w:p w14:paraId="2DD3618E" w14:textId="0F91CA2F" w:rsidR="00CB39A3" w:rsidRDefault="00081630" w:rsidP="00CB39A3">
      <w:pPr>
        <w:pStyle w:val="base-text-paragraph"/>
      </w:pPr>
      <w:r>
        <w:t>Managed investment schemes are defined by section 9 of the Corporations Act. Previously,</w:t>
      </w:r>
      <w:r w:rsidR="00CB39A3">
        <w:t xml:space="preserve"> a class action litigation funding scheme </w:t>
      </w:r>
      <w:r w:rsidR="00770050">
        <w:t>f</w:t>
      </w:r>
      <w:r>
        <w:t>ell</w:t>
      </w:r>
      <w:r w:rsidR="00770050">
        <w:t xml:space="preserve"> under the definition of </w:t>
      </w:r>
      <w:r w:rsidR="00CB39A3">
        <w:t xml:space="preserve">a managed investment scheme </w:t>
      </w:r>
      <w:r>
        <w:t xml:space="preserve">as a result of the decision of the Full Court of the Federal Court of Australia in </w:t>
      </w:r>
      <w:r>
        <w:rPr>
          <w:i/>
          <w:iCs/>
        </w:rPr>
        <w:t xml:space="preserve">Brookfield Multiplex Limited v International Litigation Funding Partner Pte Ltd </w:t>
      </w:r>
      <w:r>
        <w:t xml:space="preserve">(2009) 190 FCR 11 </w:t>
      </w:r>
      <w:r w:rsidR="008C23C9">
        <w:t xml:space="preserve">(see paragraph </w:t>
      </w:r>
      <w:r w:rsidR="008C23C9">
        <w:fldChar w:fldCharType="begin"/>
      </w:r>
      <w:r w:rsidR="008C23C9">
        <w:instrText xml:space="preserve"> REF _Ref82616135 \r \h </w:instrText>
      </w:r>
      <w:r w:rsidR="008C23C9">
        <w:fldChar w:fldCharType="separate"/>
      </w:r>
      <w:r w:rsidR="00F57C34">
        <w:t>1.10</w:t>
      </w:r>
      <w:r w:rsidR="008C23C9">
        <w:fldChar w:fldCharType="end"/>
      </w:r>
      <w:r w:rsidR="008C23C9">
        <w:t xml:space="preserve">). </w:t>
      </w:r>
      <w:r w:rsidR="00CB39A3">
        <w:t xml:space="preserve"> </w:t>
      </w:r>
    </w:p>
    <w:p w14:paraId="215246D3" w14:textId="3AA09B92" w:rsidR="00CB39A3" w:rsidRPr="00760A87" w:rsidRDefault="00081630" w:rsidP="00CB39A3">
      <w:pPr>
        <w:pStyle w:val="base-text-paragraph"/>
        <w:rPr>
          <w:rStyle w:val="Referencingstyle"/>
          <w:b w:val="0"/>
          <w:i w:val="0"/>
          <w:sz w:val="22"/>
        </w:rPr>
      </w:pPr>
      <w:r w:rsidRPr="00760A87">
        <w:t xml:space="preserve">The </w:t>
      </w:r>
      <w:r w:rsidR="00D67A2C" w:rsidRPr="00760A87">
        <w:t xml:space="preserve">Schedule </w:t>
      </w:r>
      <w:r w:rsidRPr="00760A87">
        <w:t>amend</w:t>
      </w:r>
      <w:r w:rsidR="00D67A2C" w:rsidRPr="00760A87">
        <w:t>s</w:t>
      </w:r>
      <w:r w:rsidRPr="00760A87">
        <w:t xml:space="preserve"> </w:t>
      </w:r>
      <w:r w:rsidR="00CB39A3" w:rsidRPr="00760A87">
        <w:t xml:space="preserve">Section 9 of the Corporations Act to confirm that </w:t>
      </w:r>
      <w:r w:rsidRPr="00760A87">
        <w:t xml:space="preserve">a </w:t>
      </w:r>
      <w:r w:rsidR="00CB39A3" w:rsidRPr="00760A87">
        <w:t xml:space="preserve">class action litigation funding scheme </w:t>
      </w:r>
      <w:r w:rsidRPr="00760A87">
        <w:t>is</w:t>
      </w:r>
      <w:r w:rsidR="00CB39A3" w:rsidRPr="00760A87">
        <w:t xml:space="preserve"> </w:t>
      </w:r>
      <w:r w:rsidR="003E5673" w:rsidRPr="00760A87">
        <w:t xml:space="preserve">a </w:t>
      </w:r>
      <w:r w:rsidR="00CB39A3" w:rsidRPr="00760A87">
        <w:t xml:space="preserve">managed investment scheme. </w:t>
      </w:r>
      <w:r w:rsidR="00CB39A3" w:rsidRPr="00760A87">
        <w:rPr>
          <w:rStyle w:val="Referencingstyle"/>
        </w:rPr>
        <w:t xml:space="preserve">[Schedule #, item </w:t>
      </w:r>
      <w:r w:rsidR="00037081" w:rsidRPr="00760A87">
        <w:rPr>
          <w:rStyle w:val="Referencingstyle"/>
        </w:rPr>
        <w:t>2</w:t>
      </w:r>
      <w:r w:rsidR="00CB39A3" w:rsidRPr="00760A87">
        <w:rPr>
          <w:rStyle w:val="Referencingstyle"/>
        </w:rPr>
        <w:t>, section 9 of the Corporations Act 2001]</w:t>
      </w:r>
    </w:p>
    <w:p w14:paraId="73E2EC5E" w14:textId="77777777" w:rsidR="00C35103" w:rsidRPr="00524DCF" w:rsidRDefault="0081252B" w:rsidP="0081252B">
      <w:pPr>
        <w:pStyle w:val="base-text-paragraph"/>
      </w:pPr>
      <w:r w:rsidRPr="00524DCF">
        <w:lastRenderedPageBreak/>
        <w:t xml:space="preserve">A </w:t>
      </w:r>
      <w:r w:rsidRPr="00524DCF">
        <w:rPr>
          <w:b/>
          <w:bCs/>
          <w:i/>
          <w:iCs/>
        </w:rPr>
        <w:t>class action litigation funding scheme</w:t>
      </w:r>
      <w:r w:rsidRPr="00524DCF">
        <w:t xml:space="preserve"> is</w:t>
      </w:r>
      <w:r w:rsidR="00B86AEE" w:rsidRPr="00524DCF">
        <w:t xml:space="preserve"> a scheme </w:t>
      </w:r>
      <w:r w:rsidR="003440F8" w:rsidRPr="00524DCF">
        <w:t xml:space="preserve">in which a litigation </w:t>
      </w:r>
      <w:r w:rsidR="003440F8" w:rsidRPr="00524DCF">
        <w:rPr>
          <w:b/>
          <w:bCs/>
          <w:i/>
          <w:iCs/>
        </w:rPr>
        <w:t>funder</w:t>
      </w:r>
      <w:r w:rsidR="003440F8" w:rsidRPr="00524DCF">
        <w:t xml:space="preserve"> seeks to fund</w:t>
      </w:r>
      <w:r w:rsidR="00C35103" w:rsidRPr="00524DCF">
        <w:t xml:space="preserve"> a class action proceeding for the benefit of the scheme’s general members. </w:t>
      </w:r>
    </w:p>
    <w:p w14:paraId="0FB72D4F" w14:textId="7BAAFAC1" w:rsidR="00C35103" w:rsidRPr="00524DCF" w:rsidRDefault="00C35103" w:rsidP="0081252B">
      <w:pPr>
        <w:pStyle w:val="base-text-paragraph"/>
      </w:pPr>
      <w:r w:rsidRPr="00524DCF">
        <w:t xml:space="preserve">The funded </w:t>
      </w:r>
      <w:r w:rsidR="003440F8" w:rsidRPr="00524DCF">
        <w:t xml:space="preserve">proceedings </w:t>
      </w:r>
      <w:r w:rsidRPr="00524DCF">
        <w:t>may</w:t>
      </w:r>
      <w:r w:rsidR="003440F8" w:rsidRPr="00524DCF">
        <w:t xml:space="preserve"> seek a remedy </w:t>
      </w:r>
      <w:r w:rsidRPr="00524DCF">
        <w:t xml:space="preserve">for a class of claimants (that includes the scheme’s general members) in </w:t>
      </w:r>
      <w:r w:rsidR="00193BD4" w:rsidRPr="00524DCF">
        <w:t xml:space="preserve">a class action </w:t>
      </w:r>
      <w:r w:rsidRPr="00524DCF">
        <w:t xml:space="preserve">proceeding </w:t>
      </w:r>
      <w:r w:rsidR="003440F8" w:rsidRPr="00524DCF">
        <w:t xml:space="preserve">that </w:t>
      </w:r>
      <w:r w:rsidR="00B2522E" w:rsidRPr="00524DCF">
        <w:t xml:space="preserve">some or </w:t>
      </w:r>
      <w:proofErr w:type="gramStart"/>
      <w:r w:rsidR="00B2522E" w:rsidRPr="00524DCF">
        <w:t xml:space="preserve">all </w:t>
      </w:r>
      <w:r w:rsidRPr="00524DCF">
        <w:t>of</w:t>
      </w:r>
      <w:proofErr w:type="gramEnd"/>
      <w:r w:rsidRPr="00524DCF">
        <w:t xml:space="preserve"> the claimants in the proceeding </w:t>
      </w:r>
      <w:r w:rsidR="003440F8" w:rsidRPr="00524DCF">
        <w:t>may be legally entitled to</w:t>
      </w:r>
      <w:r w:rsidR="00193BD4" w:rsidRPr="00524DCF">
        <w:t xml:space="preserve">. </w:t>
      </w:r>
    </w:p>
    <w:p w14:paraId="59AB4325" w14:textId="7CACE416" w:rsidR="0081252B" w:rsidRPr="00524DCF" w:rsidRDefault="003440F8" w:rsidP="0081252B">
      <w:pPr>
        <w:pStyle w:val="base-text-paragraph"/>
        <w:rPr>
          <w:rStyle w:val="Referencingstyle"/>
          <w:b w:val="0"/>
          <w:i w:val="0"/>
          <w:sz w:val="22"/>
        </w:rPr>
      </w:pPr>
      <w:r w:rsidRPr="00524DCF">
        <w:t xml:space="preserve">Such schemes involve the pooling together of each general member’s potential remedy, with the promise by general members </w:t>
      </w:r>
      <w:r w:rsidR="00B2522E" w:rsidRPr="00524DCF">
        <w:t>to pay</w:t>
      </w:r>
      <w:r w:rsidRPr="00524DCF">
        <w:t xml:space="preserve"> a commission or fee </w:t>
      </w:r>
      <w:r w:rsidR="008C23C9" w:rsidRPr="00524DCF">
        <w:t>to</w:t>
      </w:r>
      <w:r w:rsidRPr="00524DCF">
        <w:t xml:space="preserve"> the funder </w:t>
      </w:r>
      <w:r w:rsidR="00B2522E" w:rsidRPr="00524DCF">
        <w:t>out of their reme</w:t>
      </w:r>
      <w:r w:rsidR="008D6B71" w:rsidRPr="00524DCF">
        <w:t xml:space="preserve">dy </w:t>
      </w:r>
      <w:r w:rsidR="00947CA8" w:rsidRPr="00524DCF">
        <w:t xml:space="preserve">under a litigation </w:t>
      </w:r>
      <w:r w:rsidR="00947CA8" w:rsidRPr="00524DCF">
        <w:rPr>
          <w:b/>
          <w:bCs/>
          <w:i/>
          <w:iCs/>
        </w:rPr>
        <w:t>funding agreement</w:t>
      </w:r>
      <w:r w:rsidR="008D6B71" w:rsidRPr="00524DCF">
        <w:t xml:space="preserve">, </w:t>
      </w:r>
      <w:r w:rsidR="008C23C9" w:rsidRPr="00524DCF">
        <w:t>if the class action is successful.</w:t>
      </w:r>
      <w:r w:rsidRPr="00524DCF">
        <w:t xml:space="preserve"> The funder provides for the upfront payment of legal fees and costs associated with the proceeding. </w:t>
      </w:r>
      <w:r w:rsidRPr="00524DCF">
        <w:rPr>
          <w:rStyle w:val="Referencingstyle"/>
        </w:rPr>
        <w:t>[Schedule #, item</w:t>
      </w:r>
      <w:r w:rsidR="00D04321" w:rsidRPr="00524DCF">
        <w:rPr>
          <w:rStyle w:val="Referencingstyle"/>
        </w:rPr>
        <w:t>s 1 and</w:t>
      </w:r>
      <w:r w:rsidRPr="00524DCF">
        <w:rPr>
          <w:rStyle w:val="Referencingstyle"/>
        </w:rPr>
        <w:t xml:space="preserve"> </w:t>
      </w:r>
      <w:r w:rsidR="00C01B35" w:rsidRPr="00524DCF">
        <w:rPr>
          <w:rStyle w:val="Referencingstyle"/>
        </w:rPr>
        <w:t>3</w:t>
      </w:r>
      <w:r w:rsidRPr="00524DCF">
        <w:rPr>
          <w:rStyle w:val="Referencingstyle"/>
        </w:rPr>
        <w:t>, section</w:t>
      </w:r>
      <w:r w:rsidR="00D04321" w:rsidRPr="00524DCF">
        <w:rPr>
          <w:rStyle w:val="Referencingstyle"/>
        </w:rPr>
        <w:t>s 9 and</w:t>
      </w:r>
      <w:r w:rsidRPr="00524DCF">
        <w:rPr>
          <w:rStyle w:val="Referencingstyle"/>
        </w:rPr>
        <w:t xml:space="preserve"> 9AAA of the Corporations Act 2001]</w:t>
      </w:r>
    </w:p>
    <w:p w14:paraId="3F860577" w14:textId="71FEA8AD" w:rsidR="00E1640F" w:rsidRPr="00DE63D3" w:rsidRDefault="00E1640F" w:rsidP="00E1640F">
      <w:pPr>
        <w:pStyle w:val="base-text-paragraph"/>
        <w:rPr>
          <w:rStyle w:val="Referencingstyle"/>
          <w:b w:val="0"/>
          <w:i w:val="0"/>
          <w:sz w:val="22"/>
        </w:rPr>
      </w:pPr>
      <w:r>
        <w:t xml:space="preserve">A </w:t>
      </w:r>
      <w:r>
        <w:rPr>
          <w:b/>
          <w:bCs/>
          <w:i/>
          <w:iCs/>
        </w:rPr>
        <w:t xml:space="preserve">general member </w:t>
      </w:r>
      <w:r>
        <w:t>of the scheme is a</w:t>
      </w:r>
      <w:r w:rsidR="00193BD4">
        <w:t xml:space="preserve"> person who has a relevant claim to a remedy in the proceeding and has agreed in writing to be a member of the scheme and be bound by the terms of the scheme’s constitution </w:t>
      </w:r>
      <w:r w:rsidR="00502CDA">
        <w:t xml:space="preserve">(see paragraph </w:t>
      </w:r>
      <w:r w:rsidR="004C1703">
        <w:rPr>
          <w:highlight w:val="yellow"/>
        </w:rPr>
        <w:fldChar w:fldCharType="begin"/>
      </w:r>
      <w:r w:rsidR="004C1703">
        <w:instrText xml:space="preserve"> REF _Ref83738685 \r \h </w:instrText>
      </w:r>
      <w:r w:rsidR="004C1703">
        <w:rPr>
          <w:highlight w:val="yellow"/>
        </w:rPr>
      </w:r>
      <w:r w:rsidR="004C1703">
        <w:rPr>
          <w:highlight w:val="yellow"/>
        </w:rPr>
        <w:fldChar w:fldCharType="separate"/>
      </w:r>
      <w:r w:rsidR="00F57C34">
        <w:t>1.44</w:t>
      </w:r>
      <w:r w:rsidR="004C1703">
        <w:rPr>
          <w:highlight w:val="yellow"/>
        </w:rPr>
        <w:fldChar w:fldCharType="end"/>
      </w:r>
      <w:r w:rsidR="00502CDA" w:rsidRPr="004C1703">
        <w:t>)</w:t>
      </w:r>
      <w:r w:rsidRPr="004C1703">
        <w:t>.</w:t>
      </w:r>
      <w:r>
        <w:t xml:space="preserve"> </w:t>
      </w:r>
      <w:r>
        <w:rPr>
          <w:rStyle w:val="Referencingstyle"/>
        </w:rPr>
        <w:t>[Schedule #, item 1, section 9 of the Corporations Act 2001]</w:t>
      </w:r>
    </w:p>
    <w:p w14:paraId="3C2EE1AC" w14:textId="0FAE9077" w:rsidR="00E1640F" w:rsidRPr="00D04321" w:rsidRDefault="00963DEF" w:rsidP="0081252B">
      <w:pPr>
        <w:pStyle w:val="base-text-paragraph"/>
        <w:rPr>
          <w:rStyle w:val="Referencingstyle"/>
          <w:b w:val="0"/>
          <w:i w:val="0"/>
          <w:sz w:val="22"/>
        </w:rPr>
      </w:pPr>
      <w:r>
        <w:rPr>
          <w:rStyle w:val="Referencingstyle"/>
          <w:b w:val="0"/>
          <w:i w:val="0"/>
          <w:sz w:val="22"/>
        </w:rPr>
        <w:t>In a clos</w:t>
      </w:r>
      <w:r w:rsidR="008D6B71">
        <w:rPr>
          <w:rStyle w:val="Referencingstyle"/>
          <w:b w:val="0"/>
          <w:i w:val="0"/>
          <w:sz w:val="22"/>
        </w:rPr>
        <w:t xml:space="preserve">ed class action, where all potential </w:t>
      </w:r>
      <w:r w:rsidR="00AE7CBB">
        <w:rPr>
          <w:rStyle w:val="Referencingstyle"/>
          <w:b w:val="0"/>
          <w:i w:val="0"/>
          <w:sz w:val="22"/>
        </w:rPr>
        <w:t>claimants</w:t>
      </w:r>
      <w:r w:rsidR="008D6B71">
        <w:rPr>
          <w:rStyle w:val="Referencingstyle"/>
          <w:b w:val="0"/>
          <w:i w:val="0"/>
          <w:sz w:val="22"/>
        </w:rPr>
        <w:t xml:space="preserve"> are </w:t>
      </w:r>
      <w:r w:rsidR="00AE7CBB">
        <w:rPr>
          <w:rStyle w:val="Referencingstyle"/>
          <w:b w:val="0"/>
          <w:i w:val="0"/>
          <w:sz w:val="22"/>
        </w:rPr>
        <w:t>known</w:t>
      </w:r>
      <w:r w:rsidR="008D6B71">
        <w:rPr>
          <w:rStyle w:val="Referencingstyle"/>
          <w:b w:val="0"/>
          <w:i w:val="0"/>
          <w:sz w:val="22"/>
        </w:rPr>
        <w:t xml:space="preserve">, </w:t>
      </w:r>
      <w:r w:rsidR="00AE7CBB">
        <w:rPr>
          <w:rStyle w:val="Referencingstyle"/>
          <w:b w:val="0"/>
          <w:i w:val="0"/>
          <w:sz w:val="22"/>
        </w:rPr>
        <w:t>generally all potential claim</w:t>
      </w:r>
      <w:r w:rsidR="00E444A2">
        <w:rPr>
          <w:rStyle w:val="Referencingstyle"/>
          <w:b w:val="0"/>
          <w:i w:val="0"/>
          <w:sz w:val="22"/>
        </w:rPr>
        <w:t>ant</w:t>
      </w:r>
      <w:r w:rsidR="00AE7CBB">
        <w:rPr>
          <w:rStyle w:val="Referencingstyle"/>
          <w:b w:val="0"/>
          <w:i w:val="0"/>
          <w:sz w:val="22"/>
        </w:rPr>
        <w:t xml:space="preserve">s are members of the scheme. This is not the case in an open class action, where group of plaintiffs can </w:t>
      </w:r>
      <w:r w:rsidR="006D76E8">
        <w:rPr>
          <w:rStyle w:val="Referencingstyle"/>
          <w:b w:val="0"/>
          <w:i w:val="0"/>
          <w:sz w:val="22"/>
        </w:rPr>
        <w:t xml:space="preserve">undertake a </w:t>
      </w:r>
      <w:r w:rsidR="00C15B0E">
        <w:rPr>
          <w:rStyle w:val="Referencingstyle"/>
          <w:b w:val="0"/>
          <w:i w:val="0"/>
          <w:sz w:val="22"/>
        </w:rPr>
        <w:t xml:space="preserve">class action </w:t>
      </w:r>
      <w:r w:rsidR="006D76E8">
        <w:rPr>
          <w:rStyle w:val="Referencingstyle"/>
          <w:b w:val="0"/>
          <w:i w:val="0"/>
          <w:sz w:val="22"/>
        </w:rPr>
        <w:t xml:space="preserve">proceeding for an unknown number of claimants. In an open class action, those claimants who </w:t>
      </w:r>
      <w:r w:rsidR="00E444A2">
        <w:rPr>
          <w:rStyle w:val="Referencingstyle"/>
          <w:b w:val="0"/>
          <w:i w:val="0"/>
          <w:sz w:val="22"/>
        </w:rPr>
        <w:t>have not agreed to be bound by a litigation funding agree</w:t>
      </w:r>
      <w:r w:rsidR="008923A4">
        <w:rPr>
          <w:rStyle w:val="Referencingstyle"/>
          <w:b w:val="0"/>
          <w:i w:val="0"/>
          <w:sz w:val="22"/>
        </w:rPr>
        <w:t>ment</w:t>
      </w:r>
      <w:r w:rsidR="00E444A2">
        <w:rPr>
          <w:rStyle w:val="Referencingstyle"/>
          <w:b w:val="0"/>
          <w:i w:val="0"/>
          <w:sz w:val="22"/>
        </w:rPr>
        <w:t xml:space="preserve"> are not members of the </w:t>
      </w:r>
      <w:r w:rsidR="00C15B0E">
        <w:rPr>
          <w:rStyle w:val="Referencingstyle"/>
          <w:b w:val="0"/>
          <w:i w:val="0"/>
          <w:sz w:val="22"/>
        </w:rPr>
        <w:t xml:space="preserve">class action </w:t>
      </w:r>
      <w:r w:rsidR="00E444A2">
        <w:rPr>
          <w:rStyle w:val="Referencingstyle"/>
          <w:b w:val="0"/>
          <w:i w:val="0"/>
          <w:sz w:val="22"/>
        </w:rPr>
        <w:t xml:space="preserve">litigation funding scheme. </w:t>
      </w:r>
    </w:p>
    <w:p w14:paraId="42A1D29A" w14:textId="3D7E8386" w:rsidR="00947CA8" w:rsidRPr="008E5ED7" w:rsidRDefault="00947CA8" w:rsidP="00947CA8">
      <w:pPr>
        <w:pStyle w:val="base-text-paragraph"/>
        <w:rPr>
          <w:rStyle w:val="Referencingstyle"/>
          <w:b w:val="0"/>
          <w:i w:val="0"/>
          <w:sz w:val="22"/>
        </w:rPr>
      </w:pPr>
      <w:r>
        <w:rPr>
          <w:b/>
          <w:bCs/>
          <w:i/>
          <w:iCs/>
        </w:rPr>
        <w:t xml:space="preserve">Class action proceedings </w:t>
      </w:r>
      <w:r>
        <w:t xml:space="preserve">are the legal proceedings of a court though which the general members of a litigation funding scheme seek </w:t>
      </w:r>
      <w:r w:rsidR="000E596D">
        <w:t xml:space="preserve">to realise potential </w:t>
      </w:r>
      <w:r>
        <w:t xml:space="preserve">legal remedies. </w:t>
      </w:r>
      <w:r w:rsidR="00013F38">
        <w:t xml:space="preserve">The proceedings may also entitle individuals who are not part of the scheme to remedies, due to the nature of the claim being pursued in the proceeding. </w:t>
      </w:r>
      <w:r w:rsidR="008C23C9">
        <w:t>Each proceeding must comply with the legislation and rules of the court in which the class action is being heard.</w:t>
      </w:r>
      <w:r w:rsidR="002C3460">
        <w:t xml:space="preserve"> </w:t>
      </w:r>
      <w:r w:rsidR="00AF3D6E">
        <w:rPr>
          <w:rStyle w:val="Referencingstyle"/>
        </w:rPr>
        <w:t>[Schedule #, item 1, section 9 of the Corporations Act 2001]</w:t>
      </w:r>
    </w:p>
    <w:p w14:paraId="21208F81" w14:textId="7C030985" w:rsidR="008E5ED7" w:rsidRPr="008E5ED7" w:rsidRDefault="00CB39A3" w:rsidP="008E5ED7">
      <w:pPr>
        <w:pStyle w:val="base-text-paragraph"/>
      </w:pPr>
      <w:r>
        <w:t>The gross amount obtained as a remedy by the general members of the schem</w:t>
      </w:r>
      <w:r w:rsidR="00D04321">
        <w:t xml:space="preserve">e are referred to in the schedule as the </w:t>
      </w:r>
      <w:proofErr w:type="gramStart"/>
      <w:r w:rsidR="00D04321">
        <w:rPr>
          <w:b/>
          <w:bCs/>
          <w:i/>
          <w:iCs/>
        </w:rPr>
        <w:t>claims</w:t>
      </w:r>
      <w:proofErr w:type="gramEnd"/>
      <w:r w:rsidR="00D04321">
        <w:rPr>
          <w:b/>
          <w:bCs/>
          <w:i/>
          <w:iCs/>
        </w:rPr>
        <w:t xml:space="preserve"> proceeds</w:t>
      </w:r>
      <w:r w:rsidR="00D04321">
        <w:t>.</w:t>
      </w:r>
      <w:r w:rsidR="00B446F7">
        <w:t xml:space="preserve"> Claim proceeds are</w:t>
      </w:r>
      <w:r w:rsidR="00777DC9">
        <w:t xml:space="preserve"> intended to be</w:t>
      </w:r>
      <w:r w:rsidR="00B446F7">
        <w:t xml:space="preserve"> </w:t>
      </w:r>
      <w:r w:rsidR="005175FB">
        <w:t>only the amount obtained as a remedy</w:t>
      </w:r>
      <w:r w:rsidR="000A60F2">
        <w:t xml:space="preserve"> to the substantive claims advanced in the proceeding</w:t>
      </w:r>
      <w:r w:rsidR="005175FB">
        <w:t xml:space="preserve"> and not any other money obtained </w:t>
      </w:r>
      <w:r w:rsidR="00777DC9">
        <w:t xml:space="preserve">during the proceedings, such as </w:t>
      </w:r>
      <w:r w:rsidR="000A60F2">
        <w:t xml:space="preserve">an order for the other side to pay costs. </w:t>
      </w:r>
      <w:r w:rsidR="00D04321">
        <w:t xml:space="preserve"> </w:t>
      </w:r>
      <w:r w:rsidR="00D04321">
        <w:rPr>
          <w:rStyle w:val="Referencingstyle"/>
        </w:rPr>
        <w:t>[Schedule #, item 1, section 9 of the Corporations Act 2001]</w:t>
      </w:r>
    </w:p>
    <w:p w14:paraId="7529723F" w14:textId="633A8ABF" w:rsidR="006F1623" w:rsidRPr="006F1623" w:rsidRDefault="006F1623" w:rsidP="006F1623">
      <w:pPr>
        <w:pStyle w:val="Heading4"/>
      </w:pPr>
      <w:r w:rsidRPr="006F1623">
        <w:lastRenderedPageBreak/>
        <w:t>Requirements for the constitution of a class action litigation funding scheme</w:t>
      </w:r>
    </w:p>
    <w:p w14:paraId="7EAD91B8" w14:textId="4D333DB8" w:rsidR="009E1ABC" w:rsidRDefault="00797242" w:rsidP="00F43304">
      <w:pPr>
        <w:pStyle w:val="base-text-paragraph"/>
      </w:pPr>
      <w:r>
        <w:t>A registered managed investment scheme</w:t>
      </w:r>
      <w:r w:rsidR="009E1ABC">
        <w:t xml:space="preserve"> must be governed by a legally enforceable constitution that complies with Part 5C.3 of the Corporations Act. A</w:t>
      </w:r>
      <w:r>
        <w:t xml:space="preserve">SIC may not register a scheme if the scheme’s constitution does not meet the requirements of that Part (see section 601EB of the Corporations Act). If a scheme that is required to be registered is not registered, that scheme may be wound up in accordance with section 601EE of the Corporations Act. </w:t>
      </w:r>
    </w:p>
    <w:p w14:paraId="41D39A8E" w14:textId="5518B591" w:rsidR="00827E74" w:rsidRDefault="00827E74" w:rsidP="00F43304">
      <w:pPr>
        <w:pStyle w:val="base-text-paragraph"/>
      </w:pPr>
      <w:r>
        <w:t xml:space="preserve">Each managed investment scheme is operated by a responsible entity. The responsible entity must be a public company </w:t>
      </w:r>
      <w:r w:rsidR="0052591A">
        <w:t xml:space="preserve">that holds an AFSL that allows it to operate a scheme. </w:t>
      </w:r>
    </w:p>
    <w:p w14:paraId="0BD4C5FF" w14:textId="246B85B1" w:rsidR="000C45F2" w:rsidRDefault="00F43304" w:rsidP="00F43304">
      <w:pPr>
        <w:pStyle w:val="base-text-paragraph"/>
      </w:pPr>
      <w:r>
        <w:t>T</w:t>
      </w:r>
      <w:r w:rsidR="00233B03">
        <w:t>he</w:t>
      </w:r>
      <w:r w:rsidR="008D266C">
        <w:t xml:space="preserve"> amendments</w:t>
      </w:r>
      <w:r w:rsidR="00233B03">
        <w:t xml:space="preserve"> provide </w:t>
      </w:r>
      <w:r w:rsidR="004F210C">
        <w:t xml:space="preserve">that the </w:t>
      </w:r>
      <w:r w:rsidR="00B1207B">
        <w:t xml:space="preserve">constitution of a </w:t>
      </w:r>
      <w:r w:rsidR="008034F7">
        <w:t xml:space="preserve">managed investment scheme </w:t>
      </w:r>
      <w:r w:rsidR="00B1207B">
        <w:t>that is</w:t>
      </w:r>
      <w:r w:rsidR="004F210C">
        <w:t xml:space="preserve"> </w:t>
      </w:r>
      <w:r w:rsidR="0081252B">
        <w:t xml:space="preserve">a class action </w:t>
      </w:r>
      <w:r w:rsidR="004F210C">
        <w:t>litigation funding scheme</w:t>
      </w:r>
      <w:r w:rsidR="00B1207B">
        <w:t xml:space="preserve"> must require a </w:t>
      </w:r>
      <w:r w:rsidR="00891482">
        <w:t xml:space="preserve">litigation funding agreement under the scheme </w:t>
      </w:r>
      <w:r w:rsidR="00B1207B">
        <w:t>to specify</w:t>
      </w:r>
      <w:r w:rsidR="000C45F2">
        <w:t xml:space="preserve">: </w:t>
      </w:r>
      <w:r w:rsidR="00B1207B">
        <w:rPr>
          <w:rStyle w:val="Referencingstyle"/>
        </w:rPr>
        <w:t>[Schedule #, item 4, section 601</w:t>
      </w:r>
      <w:proofErr w:type="gramStart"/>
      <w:r w:rsidR="00B1207B">
        <w:rPr>
          <w:rStyle w:val="Referencingstyle"/>
        </w:rPr>
        <w:t>GA(</w:t>
      </w:r>
      <w:proofErr w:type="gramEnd"/>
      <w:r w:rsidR="00B1207B">
        <w:rPr>
          <w:rStyle w:val="Referencingstyle"/>
        </w:rPr>
        <w:t>5) of the Corporations Act 2001]</w:t>
      </w:r>
    </w:p>
    <w:p w14:paraId="3C14749C" w14:textId="485E679E" w:rsidR="00524DCF" w:rsidRDefault="00524DCF" w:rsidP="00524DCF">
      <w:pPr>
        <w:pStyle w:val="dotpoint"/>
      </w:pPr>
      <w:r>
        <w:t xml:space="preserve">a general member for the scheme is a person who has agreed in writing to be a member of the scheme and be bound by the scheme’s constitution. </w:t>
      </w:r>
    </w:p>
    <w:p w14:paraId="7C2F9068" w14:textId="349D6C01" w:rsidR="000C45F2" w:rsidRDefault="000C45F2" w:rsidP="000C45F2">
      <w:pPr>
        <w:pStyle w:val="dotpoint"/>
      </w:pPr>
      <w:r>
        <w:t xml:space="preserve">the method for determining the distribution of claim proceeds to general members. </w:t>
      </w:r>
    </w:p>
    <w:p w14:paraId="7FBE67F2" w14:textId="6F78D18D" w:rsidR="000C45F2" w:rsidRDefault="00891482" w:rsidP="000C45F2">
      <w:pPr>
        <w:pStyle w:val="dotpoint"/>
      </w:pPr>
      <w:r>
        <w:t xml:space="preserve">that the agreement is subject to the law of an Australian jurisdiction, and that disputes in relation to the agreement must be heard in an Australian Court. </w:t>
      </w:r>
    </w:p>
    <w:p w14:paraId="2AE1D515" w14:textId="12BF9EFD" w:rsidR="00891482" w:rsidRDefault="00B1207B" w:rsidP="000C45F2">
      <w:pPr>
        <w:pStyle w:val="dotpoint"/>
      </w:pPr>
      <w:r>
        <w:t>that the</w:t>
      </w:r>
      <w:r w:rsidR="00891482">
        <w:t xml:space="preserve"> litigation funder </w:t>
      </w:r>
      <w:r>
        <w:t xml:space="preserve">will </w:t>
      </w:r>
      <w:r w:rsidR="00891482">
        <w:t xml:space="preserve">pay the reasonable costs </w:t>
      </w:r>
      <w:r w:rsidR="008E5ED7">
        <w:t>of the</w:t>
      </w:r>
      <w:r w:rsidR="00891482">
        <w:t xml:space="preserve"> fees assessor </w:t>
      </w:r>
      <w:r w:rsidR="006F1623">
        <w:t xml:space="preserve">or contradictor appointed by the Court to assist it in determining of the proposed method of distribution is fair and reasonable. </w:t>
      </w:r>
    </w:p>
    <w:p w14:paraId="271CDC9C" w14:textId="63C70AC0" w:rsidR="006A3873" w:rsidRDefault="006A3873" w:rsidP="000C45F2">
      <w:pPr>
        <w:pStyle w:val="dotpoint"/>
      </w:pPr>
      <w:r>
        <w:t xml:space="preserve">that the scheme’s responsible entity can </w:t>
      </w:r>
      <w:r w:rsidR="00827E74">
        <w:t xml:space="preserve">only receive payment for reasonable costs incurred in managing the scheme. </w:t>
      </w:r>
      <w:r>
        <w:t xml:space="preserve"> </w:t>
      </w:r>
    </w:p>
    <w:p w14:paraId="10474BBA" w14:textId="77777777" w:rsidR="00524DCF" w:rsidRDefault="00524DCF" w:rsidP="00524DCF">
      <w:pPr>
        <w:pStyle w:val="Heading5"/>
      </w:pPr>
      <w:r>
        <w:t xml:space="preserve">General member of the scheme </w:t>
      </w:r>
    </w:p>
    <w:p w14:paraId="1A30E8FA" w14:textId="28EA8DC1" w:rsidR="00524DCF" w:rsidRDefault="00524DCF" w:rsidP="00524DCF">
      <w:pPr>
        <w:pStyle w:val="base-text-paragraph"/>
      </w:pPr>
      <w:bookmarkStart w:id="40" w:name="_Ref83738685"/>
      <w:r>
        <w:t xml:space="preserve">The constitution of the class action litigation funding scheme must state that the general members of the scheme are only those who have agreed in writing to become members of the scheme and be bound by the terms of the </w:t>
      </w:r>
      <w:r w:rsidR="004A6DA0">
        <w:t xml:space="preserve">scheme’s </w:t>
      </w:r>
      <w:r>
        <w:t xml:space="preserve">constitution. </w:t>
      </w:r>
      <w:r>
        <w:rPr>
          <w:rStyle w:val="Referencingstyle"/>
        </w:rPr>
        <w:t>[Schedule #, item 4, section 601GA(5)</w:t>
      </w:r>
      <w:r w:rsidR="00C64600">
        <w:rPr>
          <w:rStyle w:val="Referencingstyle"/>
        </w:rPr>
        <w:t>(a</w:t>
      </w:r>
      <w:r>
        <w:rPr>
          <w:rStyle w:val="Referencingstyle"/>
        </w:rPr>
        <w:t>) of the Corporations Act 2001]</w:t>
      </w:r>
      <w:bookmarkEnd w:id="40"/>
    </w:p>
    <w:p w14:paraId="61668075" w14:textId="77777777" w:rsidR="00524DCF" w:rsidRPr="00502CDA" w:rsidRDefault="00524DCF" w:rsidP="00524DCF">
      <w:pPr>
        <w:pStyle w:val="base-text-paragraph"/>
      </w:pPr>
      <w:r>
        <w:t xml:space="preserve">This requirement is to be placed in the scheme’s constitution to directly govern who is and is not considered a member of the class action litigation funding scheme. It ensures that class action members cannot be co-opted into a litigation funding scheme without their active consent. </w:t>
      </w:r>
    </w:p>
    <w:p w14:paraId="65F4603C" w14:textId="77777777" w:rsidR="00524DCF" w:rsidRDefault="00524DCF" w:rsidP="00524DCF">
      <w:pPr>
        <w:pStyle w:val="dotpoint"/>
        <w:numPr>
          <w:ilvl w:val="0"/>
          <w:numId w:val="0"/>
        </w:numPr>
      </w:pPr>
    </w:p>
    <w:p w14:paraId="7A9BF9EA" w14:textId="77E75388" w:rsidR="004F210C" w:rsidRDefault="006F1623" w:rsidP="006F1623">
      <w:pPr>
        <w:pStyle w:val="Heading5"/>
      </w:pPr>
      <w:r>
        <w:t>The method for determining the distribution of claim proceeds</w:t>
      </w:r>
      <w:r w:rsidR="004F210C">
        <w:t xml:space="preserve"> </w:t>
      </w:r>
    </w:p>
    <w:p w14:paraId="246207C5" w14:textId="372E1FBC" w:rsidR="004D618D" w:rsidRDefault="004D618D" w:rsidP="004D618D">
      <w:pPr>
        <w:pStyle w:val="base-text-paragraph"/>
      </w:pPr>
      <w:r>
        <w:t>Generally, litigation funding agreements provide for the upfront payment of all legal costs associated with a class action by the litigation funder, and the assumption of liability to pay costs for the other side. The funder offer</w:t>
      </w:r>
      <w:r w:rsidR="00ED4592">
        <w:t>s</w:t>
      </w:r>
      <w:r>
        <w:t xml:space="preserve"> these promises in exchange for a fee or commission which is worked </w:t>
      </w:r>
      <w:r w:rsidR="004E7F8D">
        <w:t>calculated as</w:t>
      </w:r>
      <w:r>
        <w:t xml:space="preserve"> a portion of the remedy obtained by </w:t>
      </w:r>
      <w:r w:rsidR="004438E7">
        <w:t>scheme</w:t>
      </w:r>
      <w:r>
        <w:t xml:space="preserve"> members as a result of the litigation. </w:t>
      </w:r>
    </w:p>
    <w:p w14:paraId="33B0A754" w14:textId="660C4A66" w:rsidR="00C3452B" w:rsidRDefault="0081252B" w:rsidP="0081252B">
      <w:pPr>
        <w:pStyle w:val="base-text-paragraph"/>
      </w:pPr>
      <w:r>
        <w:t xml:space="preserve">The constitution of a managed investment scheme that is a </w:t>
      </w:r>
      <w:r w:rsidR="000C45F2">
        <w:t xml:space="preserve">class action </w:t>
      </w:r>
      <w:r>
        <w:t xml:space="preserve">litigation funding scheme must provide that any litigation funding agreement </w:t>
      </w:r>
      <w:r w:rsidR="007A7B46">
        <w:t>made in relation to the scheme must state the</w:t>
      </w:r>
      <w:r>
        <w:t xml:space="preserve"> method for determining </w:t>
      </w:r>
      <w:r w:rsidR="007A7B46">
        <w:t xml:space="preserve">the </w:t>
      </w:r>
      <w:r w:rsidR="00797242">
        <w:t>distribution</w:t>
      </w:r>
      <w:r w:rsidR="007A7B46">
        <w:t xml:space="preserve"> of the claim proceeds </w:t>
      </w:r>
      <w:r w:rsidR="001D5D5F">
        <w:t>between parties to the scheme</w:t>
      </w:r>
      <w:r w:rsidR="004D618D">
        <w:t xml:space="preserve"> (the </w:t>
      </w:r>
      <w:r w:rsidR="004D618D">
        <w:rPr>
          <w:b/>
          <w:bCs/>
          <w:i/>
          <w:iCs/>
        </w:rPr>
        <w:t>claim proceeds distribution method</w:t>
      </w:r>
      <w:r w:rsidR="004D618D">
        <w:t>)</w:t>
      </w:r>
      <w:r w:rsidR="007A7B46">
        <w:t xml:space="preserve">. </w:t>
      </w:r>
      <w:r w:rsidR="00797242">
        <w:rPr>
          <w:rStyle w:val="Referencingstyle"/>
        </w:rPr>
        <w:t xml:space="preserve">[Schedule #, item </w:t>
      </w:r>
      <w:r w:rsidR="000B002D">
        <w:rPr>
          <w:rStyle w:val="Referencingstyle"/>
        </w:rPr>
        <w:t>4</w:t>
      </w:r>
      <w:r w:rsidR="00797242">
        <w:rPr>
          <w:rStyle w:val="Referencingstyle"/>
        </w:rPr>
        <w:t>, section 601GA</w:t>
      </w:r>
      <w:r w:rsidR="00AF3D6E">
        <w:rPr>
          <w:rStyle w:val="Referencingstyle"/>
        </w:rPr>
        <w:t>(5)</w:t>
      </w:r>
      <w:r w:rsidR="00797242">
        <w:rPr>
          <w:rStyle w:val="Referencingstyle"/>
        </w:rPr>
        <w:t>(</w:t>
      </w:r>
      <w:r w:rsidR="00B1207B">
        <w:rPr>
          <w:rStyle w:val="Referencingstyle"/>
        </w:rPr>
        <w:t>b</w:t>
      </w:r>
      <w:r w:rsidR="00797242">
        <w:rPr>
          <w:rStyle w:val="Referencingstyle"/>
        </w:rPr>
        <w:t>) of the Corporations Act 2001]</w:t>
      </w:r>
    </w:p>
    <w:p w14:paraId="4C5578D5" w14:textId="5C8C5E72" w:rsidR="00A87249" w:rsidRDefault="004D0750" w:rsidP="0081252B">
      <w:pPr>
        <w:pStyle w:val="base-text-paragraph"/>
      </w:pPr>
      <w:r>
        <w:t xml:space="preserve">The method should outline the share of the claim proceeds </w:t>
      </w:r>
      <w:r w:rsidR="005F693A">
        <w:t xml:space="preserve">that general members </w:t>
      </w:r>
      <w:r w:rsidR="00ED4592">
        <w:t xml:space="preserve">would </w:t>
      </w:r>
      <w:r w:rsidR="005F693A">
        <w:t>receive</w:t>
      </w:r>
      <w:r w:rsidR="005905C1">
        <w:t>, as agreed between the members and the funder</w:t>
      </w:r>
      <w:r w:rsidR="004E7325">
        <w:t xml:space="preserve">. </w:t>
      </w:r>
      <w:r w:rsidR="003A6050">
        <w:t>The share of claim proceeds that are not distributed to members</w:t>
      </w:r>
      <w:r w:rsidR="001D5D5F">
        <w:t xml:space="preserve"> would be available to reimburse the litigation funder’s outlay of legal and administrative costs, and</w:t>
      </w:r>
      <w:r w:rsidR="003A6050">
        <w:t xml:space="preserve"> </w:t>
      </w:r>
      <w:r w:rsidR="001D5D5F">
        <w:t xml:space="preserve">beyond those costs form </w:t>
      </w:r>
      <w:r w:rsidR="005F693A">
        <w:t>the litigation funder’s commission</w:t>
      </w:r>
      <w:r w:rsidR="001D5D5F">
        <w:t xml:space="preserve">. </w:t>
      </w:r>
    </w:p>
    <w:p w14:paraId="4A363B9A" w14:textId="1E440D18" w:rsidR="002909B0" w:rsidRDefault="00B1207B" w:rsidP="002909B0">
      <w:pPr>
        <w:pStyle w:val="base-text-paragraph"/>
      </w:pPr>
      <w:r>
        <w:t>An outline of</w:t>
      </w:r>
      <w:r w:rsidR="001D5D5F">
        <w:t xml:space="preserve"> the claim</w:t>
      </w:r>
      <w:r w:rsidR="002909B0">
        <w:t xml:space="preserve"> proceeds distribution method in the litigation funding agreement is required</w:t>
      </w:r>
      <w:r w:rsidR="005F693A">
        <w:t xml:space="preserve"> because all parties to the agreement should have a common understanding</w:t>
      </w:r>
      <w:r w:rsidR="002909B0">
        <w:t xml:space="preserve"> on forming the agreement</w:t>
      </w:r>
      <w:r>
        <w:t xml:space="preserve"> of how the claim proceeds are proposed to be dealt with</w:t>
      </w:r>
      <w:r w:rsidR="002909B0">
        <w:t>.</w:t>
      </w:r>
      <w:r w:rsidR="006F6098">
        <w:t xml:space="preserve"> This is essential to a key intention of the Bill, as stated, that the plaintiffs must consent to become members to a class action litigation funding scheme before a funder can impose a fee or commission on them.</w:t>
      </w:r>
      <w:r w:rsidR="002909B0">
        <w:t xml:space="preserve"> It is also important to clearly outline this method as the Court </w:t>
      </w:r>
      <w:r w:rsidR="00ED4592">
        <w:t xml:space="preserve">would </w:t>
      </w:r>
      <w:r w:rsidR="002909B0">
        <w:t xml:space="preserve">be required to make a determination on whether the distribution method is fair and reasonable, in order for it to be enforceable under the agreement (see paragraph </w:t>
      </w:r>
      <w:r w:rsidR="008C23C9">
        <w:fldChar w:fldCharType="begin"/>
      </w:r>
      <w:r w:rsidR="008C23C9">
        <w:instrText xml:space="preserve"> REF _Ref82616399 \r \h </w:instrText>
      </w:r>
      <w:r w:rsidR="008C23C9">
        <w:fldChar w:fldCharType="separate"/>
      </w:r>
      <w:r w:rsidR="00F57C34">
        <w:t>1.64</w:t>
      </w:r>
      <w:r w:rsidR="008C23C9">
        <w:fldChar w:fldCharType="end"/>
      </w:r>
      <w:r w:rsidR="002909B0">
        <w:t xml:space="preserve">). </w:t>
      </w:r>
    </w:p>
    <w:p w14:paraId="33B71DB2" w14:textId="0BC146C9" w:rsidR="00627E0C" w:rsidRDefault="00627E0C" w:rsidP="00627E0C">
      <w:pPr>
        <w:pStyle w:val="Heading5"/>
      </w:pPr>
      <w:r>
        <w:t>Jurisdiction</w:t>
      </w:r>
    </w:p>
    <w:p w14:paraId="130AB872" w14:textId="570A33FF" w:rsidR="00A61CD2" w:rsidRDefault="005F693A" w:rsidP="005F693A">
      <w:pPr>
        <w:pStyle w:val="base-text-paragraph"/>
      </w:pPr>
      <w:r>
        <w:t>The constitution of a managed investment scheme that is a class action litigation funding scheme must provide that any litigation funding agreement made in relation to the scheme must state</w:t>
      </w:r>
      <w:r w:rsidR="00A61CD2">
        <w:t>:</w:t>
      </w:r>
      <w:r w:rsidR="00624488">
        <w:t xml:space="preserve"> </w:t>
      </w:r>
      <w:r w:rsidR="00624488">
        <w:rPr>
          <w:rStyle w:val="Referencingstyle"/>
        </w:rPr>
        <w:t xml:space="preserve">[Schedule #, item </w:t>
      </w:r>
      <w:r w:rsidR="000940F5">
        <w:rPr>
          <w:rStyle w:val="Referencingstyle"/>
        </w:rPr>
        <w:t>4</w:t>
      </w:r>
      <w:r w:rsidR="00624488">
        <w:rPr>
          <w:rStyle w:val="Referencingstyle"/>
        </w:rPr>
        <w:t>, sections 601GA(5)(</w:t>
      </w:r>
      <w:r w:rsidR="00627E0C">
        <w:rPr>
          <w:rStyle w:val="Referencingstyle"/>
        </w:rPr>
        <w:t>c</w:t>
      </w:r>
      <w:r w:rsidR="00624488">
        <w:rPr>
          <w:rStyle w:val="Referencingstyle"/>
        </w:rPr>
        <w:t>) of the Corporations Act 2001]</w:t>
      </w:r>
    </w:p>
    <w:p w14:paraId="059C590C" w14:textId="03DE21BA" w:rsidR="005F693A" w:rsidRDefault="005F693A" w:rsidP="00A61CD2">
      <w:pPr>
        <w:pStyle w:val="dotpoint"/>
      </w:pPr>
      <w:r>
        <w:t xml:space="preserve">that the agreement </w:t>
      </w:r>
      <w:r w:rsidR="00A61CD2">
        <w:t>is governed by the law of an Australian jurisdiction (</w:t>
      </w:r>
      <w:proofErr w:type="spellStart"/>
      <w:r w:rsidR="00A61CD2">
        <w:t>i.e</w:t>
      </w:r>
      <w:proofErr w:type="spellEnd"/>
      <w:r w:rsidR="00A61CD2">
        <w:t xml:space="preserve"> a specific state or territory) </w:t>
      </w:r>
      <w:r>
        <w:t xml:space="preserve"> </w:t>
      </w:r>
    </w:p>
    <w:p w14:paraId="7BC094D4" w14:textId="766A63AC" w:rsidR="00A61CD2" w:rsidRDefault="00A61CD2" w:rsidP="00A61CD2">
      <w:pPr>
        <w:pStyle w:val="dotpoint"/>
      </w:pPr>
      <w:r>
        <w:t xml:space="preserve">that any disputes in relation to the agreement must be heard in an Australian Court. </w:t>
      </w:r>
    </w:p>
    <w:p w14:paraId="02320B7D" w14:textId="4A7F9B6B" w:rsidR="005A2B7E" w:rsidRDefault="00A61CD2" w:rsidP="005A2B7E">
      <w:pPr>
        <w:pStyle w:val="base-text-paragraph"/>
        <w:numPr>
          <w:ilvl w:val="1"/>
          <w:numId w:val="7"/>
        </w:numPr>
      </w:pPr>
      <w:r>
        <w:t>This requirement implements the</w:t>
      </w:r>
      <w:r w:rsidR="00624488">
        <w:t xml:space="preserve"> Government’s response to</w:t>
      </w:r>
      <w:r>
        <w:t xml:space="preserve"> recommendation 12</w:t>
      </w:r>
      <w:r w:rsidR="005A2B7E">
        <w:t xml:space="preserve"> of the </w:t>
      </w:r>
      <w:r w:rsidR="00BC3493">
        <w:t>PJCCFS</w:t>
      </w:r>
      <w:r w:rsidR="005A2B7E">
        <w:t xml:space="preserve"> Report</w:t>
      </w:r>
      <w:r>
        <w:t xml:space="preserve">. </w:t>
      </w:r>
      <w:r w:rsidR="005A2B7E">
        <w:t xml:space="preserve">However, this amendment </w:t>
      </w:r>
      <w:r w:rsidR="00ED4592">
        <w:lastRenderedPageBreak/>
        <w:t xml:space="preserve">would </w:t>
      </w:r>
      <w:r w:rsidR="005A2B7E">
        <w:t xml:space="preserve">require the litigation funding agreements for all class action litigation funding schemes to state that the governing law of the agreement is that of an Australian jurisdiction. This applies to all class action litigation funding schemes in Australia, not just schemes funding class actions brought in the Federal Court of Australia. </w:t>
      </w:r>
    </w:p>
    <w:p w14:paraId="4035E4DD" w14:textId="54EF66FE" w:rsidR="00C05D39" w:rsidRPr="005A2B7E" w:rsidRDefault="00EC53A5" w:rsidP="00C05D39">
      <w:pPr>
        <w:pStyle w:val="base-text-paragraph"/>
        <w:numPr>
          <w:ilvl w:val="0"/>
          <w:numId w:val="0"/>
        </w:numPr>
        <w:ind w:left="1134"/>
        <w:rPr>
          <w:i/>
          <w:iCs/>
        </w:rPr>
      </w:pPr>
      <w:r w:rsidRPr="005A2B7E">
        <w:rPr>
          <w:i/>
          <w:iCs/>
        </w:rPr>
        <w:t xml:space="preserve">The costs of a fee assessor and contradictor </w:t>
      </w:r>
    </w:p>
    <w:p w14:paraId="61114609" w14:textId="02544927" w:rsidR="00EC53A5" w:rsidRDefault="00EC53A5" w:rsidP="00C3452B">
      <w:pPr>
        <w:pStyle w:val="base-text-paragraph"/>
        <w:numPr>
          <w:ilvl w:val="1"/>
          <w:numId w:val="7"/>
        </w:numPr>
      </w:pPr>
      <w:r>
        <w:t xml:space="preserve">When determining if </w:t>
      </w:r>
      <w:r w:rsidR="00C31F17">
        <w:t>a claim proceeds distribution method</w:t>
      </w:r>
      <w:r>
        <w:t xml:space="preserve"> is fair and reasonable, the Court must conside</w:t>
      </w:r>
      <w:r w:rsidR="005A2B7E">
        <w:t xml:space="preserve">r, unless it </w:t>
      </w:r>
      <w:r w:rsidR="00B63E19">
        <w:t>has ordered</w:t>
      </w:r>
      <w:r w:rsidR="005A2B7E">
        <w:t xml:space="preserve"> otherwise,</w:t>
      </w:r>
      <w:r>
        <w:t xml:space="preserve"> the report </w:t>
      </w:r>
      <w:r w:rsidR="003A6050">
        <w:t xml:space="preserve">of a </w:t>
      </w:r>
      <w:r w:rsidR="0030589C">
        <w:t>person appointed to inquire into and report on</w:t>
      </w:r>
      <w:r w:rsidR="003A6050">
        <w:t xml:space="preserve"> the</w:t>
      </w:r>
      <w:r w:rsidR="0030589C">
        <w:t xml:space="preserve"> fairness and</w:t>
      </w:r>
      <w:r w:rsidR="003A6050">
        <w:t xml:space="preserve"> </w:t>
      </w:r>
      <w:r>
        <w:t>reasonableness of the distribution</w:t>
      </w:r>
      <w:r w:rsidR="00FD3B82">
        <w:t xml:space="preserve"> (a fees assessor)</w:t>
      </w:r>
      <w:r>
        <w:t xml:space="preserve">. The Court must also consider arguments made </w:t>
      </w:r>
      <w:r w:rsidR="0030589C">
        <w:t>by a person</w:t>
      </w:r>
      <w:r>
        <w:t xml:space="preserve"> appointed by the Court to act as </w:t>
      </w:r>
      <w:r w:rsidRPr="00B63E19">
        <w:t>contradictor, regarding the proposed distribution of claim proceeds (see paragraph</w:t>
      </w:r>
      <w:r w:rsidR="00B63E19">
        <w:t xml:space="preserve"> </w:t>
      </w:r>
      <w:r w:rsidR="00B63E19">
        <w:fldChar w:fldCharType="begin"/>
      </w:r>
      <w:r w:rsidR="00B63E19">
        <w:instrText xml:space="preserve"> REF _Ref82616500 \r \h </w:instrText>
      </w:r>
      <w:r w:rsidR="00B63E19">
        <w:fldChar w:fldCharType="separate"/>
      </w:r>
      <w:r w:rsidR="00F57C34">
        <w:t>1.76</w:t>
      </w:r>
      <w:r w:rsidR="00B63E19">
        <w:fldChar w:fldCharType="end"/>
      </w:r>
      <w:r w:rsidRPr="00B63E19">
        <w:t>).</w:t>
      </w:r>
      <w:r>
        <w:t xml:space="preserve"> </w:t>
      </w:r>
    </w:p>
    <w:p w14:paraId="4CC57B1E" w14:textId="2F4D2F1F" w:rsidR="00FD3B82" w:rsidRDefault="00FD3B82" w:rsidP="00FD3B82">
      <w:pPr>
        <w:pStyle w:val="base-text-paragraph"/>
      </w:pPr>
      <w:r>
        <w:t xml:space="preserve">The constitution of a class action litigation funding scheme must provide that any litigation funding agreement must contain an undertaking by the litigation funder to pay the reasonable costs of the </w:t>
      </w:r>
      <w:proofErr w:type="gramStart"/>
      <w:r>
        <w:t>fees</w:t>
      </w:r>
      <w:proofErr w:type="gramEnd"/>
      <w:r>
        <w:t xml:space="preserve"> assessor and the contradicto</w:t>
      </w:r>
      <w:r w:rsidR="003A6050">
        <w:t xml:space="preserve">r. This requirement only applies to the costs incurred in assisting the Court in making its order as to whether the proposed distribution to the general members of the scheme is fair and reasonable. </w:t>
      </w:r>
      <w:r w:rsidR="000940F5">
        <w:rPr>
          <w:rStyle w:val="Referencingstyle"/>
        </w:rPr>
        <w:t>Schedule #, item 4, section</w:t>
      </w:r>
      <w:r w:rsidR="00903697">
        <w:rPr>
          <w:rStyle w:val="Referencingstyle"/>
        </w:rPr>
        <w:t>s</w:t>
      </w:r>
      <w:r w:rsidR="000940F5">
        <w:rPr>
          <w:rStyle w:val="Referencingstyle"/>
        </w:rPr>
        <w:t xml:space="preserve"> 601GA(5)(</w:t>
      </w:r>
      <w:r w:rsidR="00627E0C">
        <w:rPr>
          <w:rStyle w:val="Referencingstyle"/>
        </w:rPr>
        <w:t>d</w:t>
      </w:r>
      <w:r w:rsidR="000940F5">
        <w:rPr>
          <w:rStyle w:val="Referencingstyle"/>
        </w:rPr>
        <w:t xml:space="preserve">) </w:t>
      </w:r>
      <w:r w:rsidR="00903697">
        <w:rPr>
          <w:rStyle w:val="Referencingstyle"/>
        </w:rPr>
        <w:t>and 601</w:t>
      </w:r>
      <w:proofErr w:type="gramStart"/>
      <w:r w:rsidR="00903697">
        <w:rPr>
          <w:rStyle w:val="Referencingstyle"/>
        </w:rPr>
        <w:t>GA(</w:t>
      </w:r>
      <w:proofErr w:type="gramEnd"/>
      <w:r w:rsidR="00903697">
        <w:rPr>
          <w:rStyle w:val="Referencingstyle"/>
        </w:rPr>
        <w:t xml:space="preserve">6) </w:t>
      </w:r>
      <w:r w:rsidR="000940F5">
        <w:rPr>
          <w:rStyle w:val="Referencingstyle"/>
        </w:rPr>
        <w:t>of the Corporations Act 2001]</w:t>
      </w:r>
    </w:p>
    <w:p w14:paraId="6C63D8C3" w14:textId="36D2B8E7" w:rsidR="00CA1206" w:rsidRDefault="00CA1206" w:rsidP="00CA1206">
      <w:pPr>
        <w:pStyle w:val="base-text-paragraph"/>
        <w:numPr>
          <w:ilvl w:val="1"/>
          <w:numId w:val="7"/>
        </w:numPr>
      </w:pPr>
      <w:r>
        <w:t>These requirements collectively address the substance of recommendations 13 and 16 of the PJCCFS Report which sought to enhance the use of litigation funding fee assessors as referees. The Bill goes beyond the PJCCFS Report by mandating their use</w:t>
      </w:r>
      <w:r w:rsidR="00FE5B16">
        <w:t>, unless the interests of justice require otherwise,</w:t>
      </w:r>
      <w:r>
        <w:t xml:space="preserve"> and requiring the funder to meet the costs. This is in recognition of the important role that funding fee assessors play and to uphold the principle that funders should bear responsibility for providing that a proposed claim distribution method is fair and reasonable. Like the governing law requirement (see paragraph </w:t>
      </w:r>
      <w:r>
        <w:fldChar w:fldCharType="begin"/>
      </w:r>
      <w:r>
        <w:instrText xml:space="preserve"> REF _Ref82616500 \r \h </w:instrText>
      </w:r>
      <w:r>
        <w:fldChar w:fldCharType="separate"/>
      </w:r>
      <w:r w:rsidR="00F57C34">
        <w:t>1.76</w:t>
      </w:r>
      <w:r>
        <w:fldChar w:fldCharType="end"/>
      </w:r>
      <w:r>
        <w:t xml:space="preserve">), this requirement goes beyond class actions in the Federal Court and is a requirement for all litigation funding agreements for actions brought in any Australian Court. </w:t>
      </w:r>
    </w:p>
    <w:p w14:paraId="4769512F" w14:textId="3279C815" w:rsidR="005A2B7E" w:rsidRDefault="005A2B7E" w:rsidP="005A2B7E">
      <w:pPr>
        <w:pStyle w:val="base-text-paragraph"/>
        <w:numPr>
          <w:ilvl w:val="1"/>
          <w:numId w:val="7"/>
        </w:numPr>
      </w:pPr>
      <w:r>
        <w:t>Requiring litigation funders to contribute to the costs of a fees assessor and contradictor is to</w:t>
      </w:r>
      <w:r w:rsidR="00634ED7">
        <w:t xml:space="preserve"> seek to</w:t>
      </w:r>
      <w:r>
        <w:t xml:space="preserve"> encourage the funder to structure the method of distribution of the claims proceeds in a way which is fair and reasonable from the outset. A fair and reasonable distribution method from the beginning of the scheme </w:t>
      </w:r>
      <w:r w:rsidR="00ED4592">
        <w:t xml:space="preserve">would </w:t>
      </w:r>
      <w:r>
        <w:t xml:space="preserve">reduce costs when the court needs to determine whether the method is fair and reasonable. </w:t>
      </w:r>
    </w:p>
    <w:p w14:paraId="37DDBF0D" w14:textId="0E90A3BE" w:rsidR="00827E74" w:rsidRDefault="00827E74" w:rsidP="00827E74">
      <w:pPr>
        <w:pStyle w:val="Heading5"/>
      </w:pPr>
      <w:r>
        <w:t>Costs of the responsible entity</w:t>
      </w:r>
    </w:p>
    <w:p w14:paraId="5DE67BED" w14:textId="061BA58A" w:rsidR="00827E74" w:rsidRDefault="0052591A" w:rsidP="00827E74">
      <w:pPr>
        <w:pStyle w:val="base-text-paragraph"/>
      </w:pPr>
      <w:r>
        <w:t>The amendments provide that the scheme’s constitution must provide that the responsible entity is only entitled to b</w:t>
      </w:r>
      <w:r w:rsidR="00266922">
        <w:t xml:space="preserve">e reimbursed its reasonable costs incurred in operating the scheme. </w:t>
      </w:r>
      <w:r w:rsidR="00266922">
        <w:rPr>
          <w:rStyle w:val="Referencingstyle"/>
        </w:rPr>
        <w:t>[Schedule #, item 4, section 601GA(5)(</w:t>
      </w:r>
      <w:r w:rsidR="00627E0C">
        <w:rPr>
          <w:rStyle w:val="Referencingstyle"/>
        </w:rPr>
        <w:t>e</w:t>
      </w:r>
      <w:r w:rsidR="00266922">
        <w:rPr>
          <w:rStyle w:val="Referencingstyle"/>
        </w:rPr>
        <w:t>) of the Corporations Act 2001]</w:t>
      </w:r>
    </w:p>
    <w:p w14:paraId="0950DC46" w14:textId="1DEC9C6D" w:rsidR="00266922" w:rsidRDefault="00266922" w:rsidP="00827E74">
      <w:pPr>
        <w:pStyle w:val="base-text-paragraph"/>
      </w:pPr>
      <w:r>
        <w:lastRenderedPageBreak/>
        <w:t xml:space="preserve">Many entities that operate as the responsible entity for the scheme are associated entities of litigation funders. This constitutional requirement, in addition to the other duties of the responsible entity in Chapter 5C of the Corporations Act, ensures that responsible entities operating litigation funding schemes only incur reasonable costs. </w:t>
      </w:r>
    </w:p>
    <w:p w14:paraId="1E790A74" w14:textId="77777777" w:rsidR="00AE3F5F" w:rsidRDefault="00AE3F5F" w:rsidP="00AE3F5F">
      <w:pPr>
        <w:pStyle w:val="Heading4"/>
      </w:pPr>
      <w:r>
        <w:t xml:space="preserve">Enforceability of funding agreements </w:t>
      </w:r>
    </w:p>
    <w:p w14:paraId="094133A3" w14:textId="01CE7BF9" w:rsidR="00AE3F5F" w:rsidRDefault="00AE3F5F" w:rsidP="00AE3F5F">
      <w:pPr>
        <w:pStyle w:val="base-text-paragraph"/>
      </w:pPr>
      <w:r>
        <w:t xml:space="preserve">The claims proceeds distribution method in a litigation funding agreement is enforceable if, and only if: </w:t>
      </w:r>
      <w:r w:rsidR="006831C7">
        <w:rPr>
          <w:rStyle w:val="Referencingstyle"/>
        </w:rPr>
        <w:t>[Schedule #, item 5</w:t>
      </w:r>
      <w:r w:rsidR="00D24050">
        <w:rPr>
          <w:rStyle w:val="Referencingstyle"/>
        </w:rPr>
        <w:t xml:space="preserve">, section 601LF of the Corporations Act 2001] </w:t>
      </w:r>
    </w:p>
    <w:p w14:paraId="182B16FA" w14:textId="22806B8A" w:rsidR="00C96FE1" w:rsidRDefault="00C96FE1" w:rsidP="00AE3F5F">
      <w:pPr>
        <w:pStyle w:val="dotpoint"/>
      </w:pPr>
      <w:r>
        <w:t>The court approves, as fair and reasonable, a claims proceeds distribution method outlined in the litigation funding agreement</w:t>
      </w:r>
      <w:r w:rsidR="009E08C0">
        <w:t xml:space="preserve">; </w:t>
      </w:r>
    </w:p>
    <w:p w14:paraId="67D8951D" w14:textId="53204BC1" w:rsidR="00C96FE1" w:rsidRDefault="00C96FE1" w:rsidP="00AE3F5F">
      <w:pPr>
        <w:pStyle w:val="dotpoint"/>
      </w:pPr>
      <w:r>
        <w:t xml:space="preserve">The court has varied the claims proceeds distribution method </w:t>
      </w:r>
      <w:r w:rsidR="009F4C14">
        <w:t xml:space="preserve">outlined in the litigation funding agreement </w:t>
      </w:r>
      <w:r>
        <w:t>to ensure that the method is fair and reasonable</w:t>
      </w:r>
      <w:r w:rsidR="009E08C0">
        <w:t>, and;</w:t>
      </w:r>
    </w:p>
    <w:p w14:paraId="7BBAA577" w14:textId="7485256C" w:rsidR="00AE3F5F" w:rsidRDefault="00AE3F5F" w:rsidP="00AE3F5F">
      <w:pPr>
        <w:pStyle w:val="dotpoint"/>
      </w:pPr>
      <w:r>
        <w:t>The court in the proceeding does not make a common fund order</w:t>
      </w:r>
      <w:r w:rsidR="009E08C0">
        <w:t xml:space="preserve">. </w:t>
      </w:r>
    </w:p>
    <w:p w14:paraId="6047E1CC" w14:textId="62AD350B" w:rsidR="00C96FE1" w:rsidRDefault="00C96FE1" w:rsidP="00AE3F5F">
      <w:pPr>
        <w:pStyle w:val="base-text-paragraph"/>
      </w:pPr>
      <w:r>
        <w:t xml:space="preserve">When considering whether the agreement is, or is as varied, fair and reasonable, the Court must </w:t>
      </w:r>
      <w:r w:rsidR="009F4C14">
        <w:t xml:space="preserve">only </w:t>
      </w:r>
      <w:r>
        <w:t xml:space="preserve">consider the prescribed test provided for in the amendments (see paragraphs </w:t>
      </w:r>
      <w:r>
        <w:fldChar w:fldCharType="begin"/>
      </w:r>
      <w:r>
        <w:instrText xml:space="preserve"> REF _Ref82616399 \r \h </w:instrText>
      </w:r>
      <w:r>
        <w:fldChar w:fldCharType="separate"/>
      </w:r>
      <w:r w:rsidR="00F57C34">
        <w:t>1.64</w:t>
      </w:r>
      <w:r>
        <w:fldChar w:fldCharType="end"/>
      </w:r>
      <w:r>
        <w:t xml:space="preserve"> to </w:t>
      </w:r>
      <w:r>
        <w:fldChar w:fldCharType="begin"/>
      </w:r>
      <w:r>
        <w:instrText xml:space="preserve"> REF _Ref83370544 \r \h </w:instrText>
      </w:r>
      <w:r>
        <w:fldChar w:fldCharType="separate"/>
      </w:r>
      <w:r w:rsidR="00F57C34">
        <w:t>1.77</w:t>
      </w:r>
      <w:r>
        <w:fldChar w:fldCharType="end"/>
      </w:r>
      <w:r>
        <w:t xml:space="preserve">). </w:t>
      </w:r>
      <w:r w:rsidR="009E08C0">
        <w:rPr>
          <w:rStyle w:val="Referencingstyle"/>
        </w:rPr>
        <w:t>[Schedule #, item 5, section</w:t>
      </w:r>
      <w:r w:rsidR="00B72506">
        <w:rPr>
          <w:rStyle w:val="Referencingstyle"/>
        </w:rPr>
        <w:t>s</w:t>
      </w:r>
      <w:r w:rsidR="009E08C0">
        <w:rPr>
          <w:rStyle w:val="Referencingstyle"/>
        </w:rPr>
        <w:t xml:space="preserve"> 601LF(</w:t>
      </w:r>
      <w:r w:rsidR="00B72506">
        <w:rPr>
          <w:rStyle w:val="Referencingstyle"/>
        </w:rPr>
        <w:t>2(b)</w:t>
      </w:r>
      <w:r w:rsidR="00EB13C2">
        <w:rPr>
          <w:rStyle w:val="Referencingstyle"/>
        </w:rPr>
        <w:t>, 601LF(3)(c) and 601LF(4)(c)</w:t>
      </w:r>
      <w:r w:rsidR="009E08C0">
        <w:rPr>
          <w:rStyle w:val="Referencingstyle"/>
        </w:rPr>
        <w:t xml:space="preserve"> of the Corporations Act 2001]</w:t>
      </w:r>
    </w:p>
    <w:p w14:paraId="2492CBED" w14:textId="0FB46F95" w:rsidR="00AE3F5F" w:rsidRDefault="00AE3F5F" w:rsidP="00AE3F5F">
      <w:pPr>
        <w:pStyle w:val="base-text-paragraph"/>
      </w:pPr>
      <w:r>
        <w:t>If a funded class action proceeding is in federal jurisdiction, these provisions empower the Court hearing that proceeding to</w:t>
      </w:r>
      <w:r w:rsidR="009E08C0">
        <w:t xml:space="preserve"> make orders to</w:t>
      </w:r>
      <w:r>
        <w:t xml:space="preserve"> approve or vary the claim proceeds distribution method in a litigation funding agreement, subject to the requirements of the provisions. </w:t>
      </w:r>
    </w:p>
    <w:p w14:paraId="27A4071A" w14:textId="10D76922" w:rsidR="008F0A66" w:rsidRPr="006F6098" w:rsidRDefault="008F0A66" w:rsidP="008F0A66">
      <w:pPr>
        <w:pStyle w:val="base-text-paragraph"/>
      </w:pPr>
      <w:r>
        <w:t xml:space="preserve">The claims proceeds distribution method </w:t>
      </w:r>
      <w:r w:rsidR="00ED4592">
        <w:t>would</w:t>
      </w:r>
      <w:r>
        <w:t xml:space="preserve"> not be enforceable if the Court hearing the proceeding does not possess power to make an order approving the method as fair and reasonable, or varying the method so that it is fair and reasonable, or a substantially similar order. This is particularly relevant for class action litigation funding schemes funding actions in a Court which is not exercising federal jurisdiction. Litigation funders would need to examine the rules of that court to </w:t>
      </w:r>
      <w:r w:rsidR="008A0886">
        <w:t>assure</w:t>
      </w:r>
      <w:r>
        <w:t xml:space="preserve"> themselves that the court can make such orders, </w:t>
      </w:r>
      <w:proofErr w:type="gramStart"/>
      <w:r>
        <w:t>in order for</w:t>
      </w:r>
      <w:proofErr w:type="gramEnd"/>
      <w:r>
        <w:t xml:space="preserve"> the litigation funding agreement’s claim proceeds distribution method to be </w:t>
      </w:r>
      <w:r w:rsidRPr="006F6098">
        <w:t xml:space="preserve">enforceable. </w:t>
      </w:r>
      <w:r w:rsidRPr="006F6098">
        <w:rPr>
          <w:rStyle w:val="Referencingstyle"/>
        </w:rPr>
        <w:t>[Schedule #, item 5, section 601</w:t>
      </w:r>
      <w:proofErr w:type="gramStart"/>
      <w:r w:rsidRPr="006F6098">
        <w:rPr>
          <w:rStyle w:val="Referencingstyle"/>
        </w:rPr>
        <w:t>L</w:t>
      </w:r>
      <w:r w:rsidR="00EB13C2" w:rsidRPr="006F6098">
        <w:rPr>
          <w:rStyle w:val="Referencingstyle"/>
        </w:rPr>
        <w:t>F(</w:t>
      </w:r>
      <w:proofErr w:type="gramEnd"/>
      <w:r w:rsidR="00EB13C2" w:rsidRPr="006F6098">
        <w:rPr>
          <w:rStyle w:val="Referencingstyle"/>
        </w:rPr>
        <w:t>1)</w:t>
      </w:r>
      <w:r w:rsidRPr="006F6098">
        <w:rPr>
          <w:rStyle w:val="Referencingstyle"/>
        </w:rPr>
        <w:t xml:space="preserve"> of the Corporations Act 2001]</w:t>
      </w:r>
    </w:p>
    <w:p w14:paraId="1B00C5B1" w14:textId="29422169" w:rsidR="00AE3F5F" w:rsidRPr="006F6098" w:rsidRDefault="00AE3F5F" w:rsidP="00AE3F5F">
      <w:pPr>
        <w:pStyle w:val="base-text-paragraph"/>
      </w:pPr>
      <w:r w:rsidRPr="006F6098">
        <w:t xml:space="preserve">This provision protects general members of class actions and ensures that the claim proceeds distribution method in each litigation funding agreement is fair and reasonable. </w:t>
      </w:r>
    </w:p>
    <w:p w14:paraId="690878AE" w14:textId="666CC565" w:rsidR="008F0A66" w:rsidRPr="006F6098" w:rsidRDefault="000C26CB" w:rsidP="00AE3F5F">
      <w:pPr>
        <w:pStyle w:val="base-text-paragraph"/>
      </w:pPr>
      <w:r w:rsidRPr="006F6098">
        <w:t xml:space="preserve">The claims proceeds distribution method is also unenforceable if the Court has made a common fund order. A common fund order is any </w:t>
      </w:r>
      <w:r w:rsidRPr="006F6098">
        <w:lastRenderedPageBreak/>
        <w:t xml:space="preserve">order which the Court makes to </w:t>
      </w:r>
      <w:r w:rsidR="008A0886" w:rsidRPr="006F6098">
        <w:t xml:space="preserve">order </w:t>
      </w:r>
      <w:r w:rsidR="000E1761" w:rsidRPr="006F6098">
        <w:t xml:space="preserve">claimants in the proceeding, that are not members of the scheme, to contribute to the funder’s fee or commission. </w:t>
      </w:r>
      <w:r w:rsidR="006F6098" w:rsidRPr="006F6098">
        <w:t xml:space="preserve">This again reflects a key intention of the Bill that plaintiffs must consent to become members to a class action litigation funding scheme before a </w:t>
      </w:r>
      <w:r w:rsidR="00EC42E6" w:rsidRPr="006F6098">
        <w:t>funder</w:t>
      </w:r>
      <w:r w:rsidR="006F6098" w:rsidRPr="006F6098">
        <w:t xml:space="preserve"> can impose a fee or commission on them. </w:t>
      </w:r>
      <w:r w:rsidR="00AB5A88" w:rsidRPr="006F6098">
        <w:rPr>
          <w:rStyle w:val="Referencingstyle"/>
        </w:rPr>
        <w:t xml:space="preserve">[Schedule #, item 5, </w:t>
      </w:r>
      <w:r w:rsidR="009E08C0" w:rsidRPr="006F6098">
        <w:rPr>
          <w:rStyle w:val="Referencingstyle"/>
        </w:rPr>
        <w:t>section</w:t>
      </w:r>
      <w:r w:rsidR="0093155E" w:rsidRPr="006F6098">
        <w:rPr>
          <w:rStyle w:val="Referencingstyle"/>
        </w:rPr>
        <w:t>s</w:t>
      </w:r>
      <w:r w:rsidR="009E08C0" w:rsidRPr="006F6098">
        <w:rPr>
          <w:rStyle w:val="Referencingstyle"/>
        </w:rPr>
        <w:t xml:space="preserve"> </w:t>
      </w:r>
      <w:r w:rsidR="00AB5A88" w:rsidRPr="006F6098">
        <w:rPr>
          <w:rStyle w:val="Referencingstyle"/>
        </w:rPr>
        <w:t>601LF</w:t>
      </w:r>
      <w:r w:rsidR="0093155E" w:rsidRPr="006F6098">
        <w:rPr>
          <w:rStyle w:val="Referencingstyle"/>
        </w:rPr>
        <w:t>(2)(c), 601LF(3)(d) and 601LF(4)(d)</w:t>
      </w:r>
      <w:r w:rsidR="009E08C0" w:rsidRPr="006F6098">
        <w:rPr>
          <w:rStyle w:val="Referencingstyle"/>
        </w:rPr>
        <w:t xml:space="preserve"> of the Corporations Act 2001</w:t>
      </w:r>
      <w:r w:rsidR="00AB5A88" w:rsidRPr="006F6098">
        <w:rPr>
          <w:rStyle w:val="Referencingstyle"/>
        </w:rPr>
        <w:t>]</w:t>
      </w:r>
    </w:p>
    <w:p w14:paraId="2339356A" w14:textId="4652BCDC" w:rsidR="008D266C" w:rsidRDefault="00382163" w:rsidP="00382163">
      <w:pPr>
        <w:pStyle w:val="Heading4"/>
      </w:pPr>
      <w:r>
        <w:t>Determining whether the proposed method of distribution of claim proceeds is fair and reasonable</w:t>
      </w:r>
      <w:r w:rsidR="00E6676D">
        <w:t xml:space="preserve"> </w:t>
      </w:r>
    </w:p>
    <w:p w14:paraId="6F240F39" w14:textId="29B42D49" w:rsidR="00E6470C" w:rsidRPr="00E6470C" w:rsidRDefault="00E6470C" w:rsidP="00E6470C">
      <w:pPr>
        <w:pStyle w:val="Heading5"/>
      </w:pPr>
      <w:r>
        <w:t xml:space="preserve">Order to approve or vary claim proceeds distribution method </w:t>
      </w:r>
    </w:p>
    <w:p w14:paraId="68631DA0" w14:textId="47C150E7" w:rsidR="00C70794" w:rsidRDefault="00E6676D" w:rsidP="001F6F8B">
      <w:pPr>
        <w:pStyle w:val="base-text-paragraph"/>
      </w:pPr>
      <w:bookmarkStart w:id="41" w:name="_Ref82616399"/>
      <w:r>
        <w:t xml:space="preserve">In order for the litigation funding agreement to be enforceable with respect to </w:t>
      </w:r>
      <w:r w:rsidR="00615F52">
        <w:t>claim proceeds distribution method</w:t>
      </w:r>
      <w:r w:rsidR="003A6050">
        <w:t xml:space="preserve"> proposed by the agreement</w:t>
      </w:r>
      <w:r>
        <w:t xml:space="preserve">, the Court must approve the proposed distribution method as fair and </w:t>
      </w:r>
      <w:proofErr w:type="gramStart"/>
      <w:r>
        <w:t>reasonable</w:t>
      </w:r>
      <w:r w:rsidR="00355191">
        <w:t>, or</w:t>
      </w:r>
      <w:proofErr w:type="gramEnd"/>
      <w:r w:rsidR="00355191">
        <w:t xml:space="preserve"> vary the agreement to meet that standard</w:t>
      </w:r>
      <w:r>
        <w:t>.</w:t>
      </w:r>
      <w:r w:rsidR="00C70794" w:rsidRPr="00C70794">
        <w:rPr>
          <w:rStyle w:val="Referencingstyle"/>
        </w:rPr>
        <w:t xml:space="preserve"> </w:t>
      </w:r>
      <w:r w:rsidR="00C70794">
        <w:rPr>
          <w:rStyle w:val="Referencingstyle"/>
        </w:rPr>
        <w:t>[Schedule #, item 5, section 601</w:t>
      </w:r>
      <w:proofErr w:type="gramStart"/>
      <w:r w:rsidR="00C70794">
        <w:rPr>
          <w:rStyle w:val="Referencingstyle"/>
        </w:rPr>
        <w:t>LF(</w:t>
      </w:r>
      <w:proofErr w:type="gramEnd"/>
      <w:r w:rsidR="00C70794">
        <w:rPr>
          <w:rStyle w:val="Referencingstyle"/>
        </w:rPr>
        <w:t>1) of the Corporations Act 2001]</w:t>
      </w:r>
    </w:p>
    <w:p w14:paraId="509444CF" w14:textId="0A8D437F" w:rsidR="001F6F8B" w:rsidRDefault="00E6676D" w:rsidP="001F6F8B">
      <w:pPr>
        <w:pStyle w:val="base-text-paragraph"/>
      </w:pPr>
      <w:r>
        <w:t xml:space="preserve"> </w:t>
      </w:r>
      <w:r w:rsidR="001F6F8B">
        <w:t xml:space="preserve">The amendments outline what the Court must </w:t>
      </w:r>
      <w:r w:rsidR="00090CF8">
        <w:t xml:space="preserve">and must not </w:t>
      </w:r>
      <w:r w:rsidR="001F6F8B">
        <w:t xml:space="preserve">consider when determining if a proposed distribution method is fair and reasonable. </w:t>
      </w:r>
      <w:bookmarkEnd w:id="41"/>
    </w:p>
    <w:p w14:paraId="0E730A75" w14:textId="499E34E2" w:rsidR="00F068AD" w:rsidRDefault="00F068AD" w:rsidP="001F6F8B">
      <w:pPr>
        <w:pStyle w:val="base-text-paragraph"/>
      </w:pPr>
      <w:r>
        <w:t>If the Court consider</w:t>
      </w:r>
      <w:r w:rsidR="00C70794">
        <w:t>s</w:t>
      </w:r>
      <w:r>
        <w:t xml:space="preserve"> that the proposed claims proceeds distribution method is fair and reasonable, the court may make an order to approve that method. </w:t>
      </w:r>
      <w:r w:rsidR="00CD14C7">
        <w:t xml:space="preserve">If the Court considers the proposed </w:t>
      </w:r>
      <w:r w:rsidR="00615F52">
        <w:t>claim proceeds distribution method</w:t>
      </w:r>
      <w:r w:rsidR="00CD14C7">
        <w:t xml:space="preserve"> in the agreement to not be fair and reasonable, the </w:t>
      </w:r>
      <w:r>
        <w:t>Court may</w:t>
      </w:r>
      <w:r w:rsidR="00CD14C7">
        <w:t xml:space="preserve"> vary the agreement to ensure the method is fair and reasonable. </w:t>
      </w:r>
      <w:r>
        <w:rPr>
          <w:rStyle w:val="Referencingstyle"/>
        </w:rPr>
        <w:t>[Schedule #, item 4, section 601</w:t>
      </w:r>
      <w:proofErr w:type="gramStart"/>
      <w:r w:rsidR="00FB7BF9">
        <w:rPr>
          <w:rStyle w:val="Referencingstyle"/>
        </w:rPr>
        <w:t>LG</w:t>
      </w:r>
      <w:r>
        <w:rPr>
          <w:rStyle w:val="Referencingstyle"/>
        </w:rPr>
        <w:t>(</w:t>
      </w:r>
      <w:proofErr w:type="gramEnd"/>
      <w:r>
        <w:rPr>
          <w:rStyle w:val="Referencingstyle"/>
        </w:rPr>
        <w:t>1) of the Corporations Act 2001]</w:t>
      </w:r>
    </w:p>
    <w:p w14:paraId="5D4BF71B" w14:textId="0E139A29" w:rsidR="00CD14C7" w:rsidRDefault="00CD14C7" w:rsidP="001F6F8B">
      <w:pPr>
        <w:pStyle w:val="base-text-paragraph"/>
      </w:pPr>
      <w:r>
        <w:t xml:space="preserve">If the Court varies agreement’s claim proceeds distribution method, </w:t>
      </w:r>
      <w:r w:rsidR="00355191">
        <w:t xml:space="preserve">the Court also has the power to declare that the variation has effect from a </w:t>
      </w:r>
      <w:proofErr w:type="gramStart"/>
      <w:r w:rsidR="00355191">
        <w:t>particular time</w:t>
      </w:r>
      <w:proofErr w:type="gramEnd"/>
      <w:r w:rsidR="00355191">
        <w:t xml:space="preserve">. </w:t>
      </w:r>
      <w:r w:rsidR="00036EE0">
        <w:rPr>
          <w:rStyle w:val="Referencingstyle"/>
        </w:rPr>
        <w:t>[Schedule #, item 4, section 601</w:t>
      </w:r>
      <w:proofErr w:type="gramStart"/>
      <w:r w:rsidR="00FB7BF9">
        <w:rPr>
          <w:rStyle w:val="Referencingstyle"/>
        </w:rPr>
        <w:t>LG</w:t>
      </w:r>
      <w:r w:rsidR="00036EE0">
        <w:rPr>
          <w:rStyle w:val="Referencingstyle"/>
        </w:rPr>
        <w:t>(</w:t>
      </w:r>
      <w:proofErr w:type="gramEnd"/>
      <w:r w:rsidR="00FB7BF9">
        <w:rPr>
          <w:rStyle w:val="Referencingstyle"/>
        </w:rPr>
        <w:t>7</w:t>
      </w:r>
      <w:r w:rsidR="00036EE0">
        <w:rPr>
          <w:rStyle w:val="Referencingstyle"/>
        </w:rPr>
        <w:t>) of the Corporations Act 2001]</w:t>
      </w:r>
    </w:p>
    <w:p w14:paraId="4770B520" w14:textId="22CE5A2F" w:rsidR="006E09EC" w:rsidRPr="0067378B" w:rsidRDefault="00090CF8" w:rsidP="006E09EC">
      <w:pPr>
        <w:pStyle w:val="base-text-paragraph"/>
        <w:rPr>
          <w:rStyle w:val="Referencingstyle"/>
          <w:b w:val="0"/>
          <w:i w:val="0"/>
          <w:sz w:val="22"/>
        </w:rPr>
      </w:pPr>
      <w:r>
        <w:t>The Court must consider</w:t>
      </w:r>
      <w:r w:rsidR="00F9534B">
        <w:t xml:space="preserve"> the</w:t>
      </w:r>
      <w:r>
        <w:t xml:space="preserve"> prescribed </w:t>
      </w:r>
      <w:r w:rsidR="00355191" w:rsidRPr="00381BD5">
        <w:rPr>
          <w:color w:val="000000" w:themeColor="text1"/>
        </w:rPr>
        <w:t>factors</w:t>
      </w:r>
      <w:r w:rsidR="00102D67" w:rsidRPr="00381BD5">
        <w:rPr>
          <w:color w:val="000000" w:themeColor="text1"/>
        </w:rPr>
        <w:t xml:space="preserve">, and only those </w:t>
      </w:r>
      <w:r w:rsidR="00536102" w:rsidRPr="00536102">
        <w:rPr>
          <w:color w:val="000000" w:themeColor="text1"/>
        </w:rPr>
        <w:t>factors, when</w:t>
      </w:r>
      <w:r w:rsidR="00355191" w:rsidRPr="00381BD5">
        <w:rPr>
          <w:color w:val="000000" w:themeColor="text1"/>
        </w:rPr>
        <w:t xml:space="preserve"> making an order </w:t>
      </w:r>
      <w:r w:rsidR="00E6470C" w:rsidRPr="00381BD5">
        <w:rPr>
          <w:color w:val="000000" w:themeColor="text1"/>
        </w:rPr>
        <w:t>to approve o</w:t>
      </w:r>
      <w:r w:rsidR="00036EE0" w:rsidRPr="00381BD5">
        <w:rPr>
          <w:color w:val="000000" w:themeColor="text1"/>
        </w:rPr>
        <w:t>r</w:t>
      </w:r>
      <w:r w:rsidR="00E6470C" w:rsidRPr="00381BD5">
        <w:rPr>
          <w:color w:val="000000" w:themeColor="text1"/>
        </w:rPr>
        <w:t xml:space="preserve"> vary the claims proceeds distribution method in an agreement. The factors require</w:t>
      </w:r>
      <w:r w:rsidR="00E6470C">
        <w:t xml:space="preserve"> the Court to turn its mind to themes such as if the litigation funder has run the proceedings efficiently and fairly, and if the litigation funder’s return on investment is appropriate to the circumstances.</w:t>
      </w:r>
      <w:r w:rsidR="006E09EC">
        <w:t xml:space="preserve"> </w:t>
      </w:r>
      <w:r w:rsidR="006E09EC">
        <w:rPr>
          <w:rStyle w:val="Referencingstyle"/>
        </w:rPr>
        <w:t>[Schedule #, item 4, section 601</w:t>
      </w:r>
      <w:proofErr w:type="gramStart"/>
      <w:r w:rsidR="006E09EC">
        <w:rPr>
          <w:rStyle w:val="Referencingstyle"/>
        </w:rPr>
        <w:t>LG(</w:t>
      </w:r>
      <w:proofErr w:type="gramEnd"/>
      <w:r w:rsidR="006E09EC">
        <w:rPr>
          <w:rStyle w:val="Referencingstyle"/>
        </w:rPr>
        <w:t>3) of the Corporations Act 2001]</w:t>
      </w:r>
    </w:p>
    <w:p w14:paraId="0ABD44C1" w14:textId="49A07E3C" w:rsidR="000B0955" w:rsidRPr="00B047F5" w:rsidRDefault="00E6470C" w:rsidP="000B0955">
      <w:pPr>
        <w:pStyle w:val="base-text-paragraph"/>
      </w:pPr>
      <w:r>
        <w:t xml:space="preserve"> </w:t>
      </w:r>
      <w:r w:rsidR="002373A9" w:rsidRPr="00B047F5">
        <w:t xml:space="preserve">A key factor for the Court to consider is the comparative profit of the funder, under the proposed claim proceeds distribution method, compared with the </w:t>
      </w:r>
      <w:r w:rsidR="00B047F5" w:rsidRPr="00B047F5">
        <w:t xml:space="preserve">actual costs incurred by the funder in funding the proceeding – the funder’s investment. For example, in considering whether a claims proceeds distribution method is fair and reasonable, the Court may consider </w:t>
      </w:r>
      <w:r w:rsidR="00113B0A">
        <w:t xml:space="preserve">whether </w:t>
      </w:r>
      <w:r w:rsidR="00B047F5" w:rsidRPr="00B047F5">
        <w:t xml:space="preserve">a larger than normal return on investment is fair and reasonable in the circumstances. </w:t>
      </w:r>
      <w:r w:rsidR="00536102">
        <w:t xml:space="preserve">Other factors also draw the </w:t>
      </w:r>
      <w:r w:rsidR="00536102">
        <w:lastRenderedPageBreak/>
        <w:t>Court’s attention to the nature of the proceeding before it such as the characteristics of the plaintiffs.</w:t>
      </w:r>
    </w:p>
    <w:p w14:paraId="318A7EF6" w14:textId="16C5C276" w:rsidR="00E6470C" w:rsidRPr="00381BD5" w:rsidRDefault="00036EE0" w:rsidP="00E6676D">
      <w:pPr>
        <w:pStyle w:val="base-text-paragraph"/>
        <w:rPr>
          <w:rStyle w:val="Referencingstyle"/>
          <w:b w:val="0"/>
          <w:i w:val="0"/>
          <w:sz w:val="22"/>
        </w:rPr>
      </w:pPr>
      <w:r>
        <w:t>The</w:t>
      </w:r>
      <w:r w:rsidR="00E6470C">
        <w:t xml:space="preserve"> Court must initially assume that a claims proceeds distribution method which </w:t>
      </w:r>
      <w:r w:rsidR="004B4A5A">
        <w:t xml:space="preserve">returns less than 70 percent of the total </w:t>
      </w:r>
      <w:proofErr w:type="gramStart"/>
      <w:r w:rsidR="004B4A5A">
        <w:t>claims</w:t>
      </w:r>
      <w:proofErr w:type="gramEnd"/>
      <w:r w:rsidR="004B4A5A">
        <w:t xml:space="preserve"> proceeds</w:t>
      </w:r>
      <w:r w:rsidR="00090CF8">
        <w:t xml:space="preserve"> for the scheme</w:t>
      </w:r>
      <w:r w:rsidR="004B4A5A">
        <w:t xml:space="preserve"> to the general members of the scheme is not fair and reasonable. This is a rebuttable presumption which the Court can set aside if, considering the prescribed factors, the claims proceeds distribution method is fair and reasonable. </w:t>
      </w:r>
      <w:r>
        <w:rPr>
          <w:rStyle w:val="Referencingstyle"/>
        </w:rPr>
        <w:t xml:space="preserve">[Schedule #, item </w:t>
      </w:r>
      <w:r w:rsidR="006D2394">
        <w:rPr>
          <w:rStyle w:val="Referencingstyle"/>
        </w:rPr>
        <w:t>5</w:t>
      </w:r>
      <w:r>
        <w:rPr>
          <w:rStyle w:val="Referencingstyle"/>
        </w:rPr>
        <w:t>, section 601</w:t>
      </w:r>
      <w:proofErr w:type="gramStart"/>
      <w:r w:rsidR="006D2394">
        <w:rPr>
          <w:rStyle w:val="Referencingstyle"/>
        </w:rPr>
        <w:t>LG</w:t>
      </w:r>
      <w:r>
        <w:rPr>
          <w:rStyle w:val="Referencingstyle"/>
        </w:rPr>
        <w:t>(</w:t>
      </w:r>
      <w:proofErr w:type="gramEnd"/>
      <w:r w:rsidR="006D2394">
        <w:rPr>
          <w:rStyle w:val="Referencingstyle"/>
        </w:rPr>
        <w:t>5</w:t>
      </w:r>
      <w:r>
        <w:rPr>
          <w:rStyle w:val="Referencingstyle"/>
        </w:rPr>
        <w:t>) of the Corporations Act 2001]</w:t>
      </w:r>
    </w:p>
    <w:p w14:paraId="0EF95042" w14:textId="61A53E0F" w:rsidR="00F370D0" w:rsidRPr="0067378B" w:rsidRDefault="00F370D0" w:rsidP="00F370D0">
      <w:pPr>
        <w:pStyle w:val="base-text-paragraph"/>
        <w:rPr>
          <w:rStyle w:val="Referencingstyle"/>
          <w:b w:val="0"/>
          <w:i w:val="0"/>
          <w:sz w:val="22"/>
        </w:rPr>
      </w:pPr>
      <w:r>
        <w:t xml:space="preserve">The amendments allow regulations to </w:t>
      </w:r>
      <w:r w:rsidR="00473DA7">
        <w:t xml:space="preserve">omit, </w:t>
      </w:r>
      <w:r>
        <w:t>modify</w:t>
      </w:r>
      <w:r w:rsidR="008D63EE">
        <w:t xml:space="preserve"> or vary</w:t>
      </w:r>
      <w:r>
        <w:t xml:space="preserve"> the factors the Court must consider when deciding whether the claim proceeds distribution method is fair and reasonable. </w:t>
      </w:r>
      <w:r>
        <w:rPr>
          <w:rStyle w:val="Referencingstyle"/>
        </w:rPr>
        <w:t>[Schedule 1, item 4, section 601</w:t>
      </w:r>
      <w:proofErr w:type="gramStart"/>
      <w:r>
        <w:rPr>
          <w:rStyle w:val="Referencingstyle"/>
        </w:rPr>
        <w:t>LG(</w:t>
      </w:r>
      <w:proofErr w:type="gramEnd"/>
      <w:r w:rsidR="00536102">
        <w:rPr>
          <w:rStyle w:val="Referencingstyle"/>
        </w:rPr>
        <w:t>4)</w:t>
      </w:r>
      <w:r>
        <w:rPr>
          <w:rStyle w:val="Referencingstyle"/>
        </w:rPr>
        <w:t xml:space="preserve"> of the Corporations Act 2001</w:t>
      </w:r>
      <w:r>
        <w:t xml:space="preserve">   </w:t>
      </w:r>
    </w:p>
    <w:p w14:paraId="0D88AE80" w14:textId="167056C9" w:rsidR="00F370D0" w:rsidRDefault="00F370D0" w:rsidP="00F370D0">
      <w:pPr>
        <w:pStyle w:val="base-text-paragraph"/>
        <w:rPr>
          <w:rStyle w:val="Referencingstyle"/>
          <w:b w:val="0"/>
          <w:i w:val="0"/>
          <w:sz w:val="22"/>
        </w:rPr>
      </w:pPr>
      <w:r>
        <w:rPr>
          <w:rStyle w:val="Referencingstyle"/>
          <w:b w:val="0"/>
          <w:i w:val="0"/>
          <w:sz w:val="22"/>
        </w:rPr>
        <w:t xml:space="preserve">This modification power is necessary so that the fairness and reasonableness test </w:t>
      </w:r>
      <w:proofErr w:type="gramStart"/>
      <w:r>
        <w:rPr>
          <w:rStyle w:val="Referencingstyle"/>
          <w:b w:val="0"/>
          <w:i w:val="0"/>
          <w:sz w:val="22"/>
        </w:rPr>
        <w:t>remains</w:t>
      </w:r>
      <w:proofErr w:type="gramEnd"/>
      <w:r>
        <w:rPr>
          <w:rStyle w:val="Referencingstyle"/>
          <w:b w:val="0"/>
          <w:i w:val="0"/>
          <w:sz w:val="22"/>
        </w:rPr>
        <w:t xml:space="preserve"> a relevant and appropriate protection for class members into the future. There is a potential for new factors to be relevant to the Court’s consideration of the test as the conduct of litigation funding schemes, the types of matters that are funded, and the people involved in such schemes evolve to suit commercial circumstances.  </w:t>
      </w:r>
    </w:p>
    <w:p w14:paraId="4A26414F" w14:textId="19C9EC0C" w:rsidR="00784CD9" w:rsidRDefault="00784CD9" w:rsidP="00F370D0">
      <w:pPr>
        <w:pStyle w:val="base-text-paragraph"/>
        <w:rPr>
          <w:rStyle w:val="Referencingstyle"/>
          <w:b w:val="0"/>
          <w:i w:val="0"/>
          <w:sz w:val="22"/>
        </w:rPr>
      </w:pPr>
      <w:r>
        <w:rPr>
          <w:rStyle w:val="Referencingstyle"/>
          <w:b w:val="0"/>
          <w:i w:val="0"/>
          <w:sz w:val="22"/>
        </w:rPr>
        <w:t xml:space="preserve">It is necessary for these changes to be made in regulations so that Government can quickly </w:t>
      </w:r>
      <w:proofErr w:type="gramStart"/>
      <w:r>
        <w:rPr>
          <w:rStyle w:val="Referencingstyle"/>
          <w:b w:val="0"/>
          <w:i w:val="0"/>
          <w:sz w:val="22"/>
        </w:rPr>
        <w:t>take action</w:t>
      </w:r>
      <w:proofErr w:type="gramEnd"/>
      <w:r>
        <w:rPr>
          <w:rStyle w:val="Referencingstyle"/>
          <w:b w:val="0"/>
          <w:i w:val="0"/>
          <w:sz w:val="22"/>
        </w:rPr>
        <w:t xml:space="preserve"> in this regard to protect the interests of general members of the class. </w:t>
      </w:r>
    </w:p>
    <w:p w14:paraId="4F9B12A8" w14:textId="0A4A9678" w:rsidR="00F370D0" w:rsidRDefault="00F370D0" w:rsidP="00F370D0">
      <w:pPr>
        <w:pStyle w:val="base-text-paragraph"/>
        <w:rPr>
          <w:rStyle w:val="Referencingstyle"/>
          <w:b w:val="0"/>
          <w:i w:val="0"/>
          <w:sz w:val="22"/>
        </w:rPr>
      </w:pPr>
      <w:r>
        <w:rPr>
          <w:rStyle w:val="Referencingstyle"/>
          <w:b w:val="0"/>
          <w:i w:val="0"/>
          <w:sz w:val="22"/>
        </w:rPr>
        <w:t>In order to ensure that the test is always relevant and provides effective protection for general members of the scheme, the Government should be able to respond to new developments by modifying test with respect to factors the Court must consider</w:t>
      </w:r>
      <w:r w:rsidR="008B73E9">
        <w:rPr>
          <w:rStyle w:val="Referencingstyle"/>
          <w:b w:val="0"/>
          <w:i w:val="0"/>
          <w:sz w:val="22"/>
        </w:rPr>
        <w:t xml:space="preserve"> when conducting the test</w:t>
      </w:r>
      <w:r>
        <w:rPr>
          <w:rStyle w:val="Referencingstyle"/>
          <w:b w:val="0"/>
          <w:i w:val="0"/>
          <w:sz w:val="22"/>
        </w:rPr>
        <w:t xml:space="preserve">. </w:t>
      </w:r>
    </w:p>
    <w:p w14:paraId="0B278CAE" w14:textId="69BE5800" w:rsidR="00F370D0" w:rsidRPr="000B0955" w:rsidRDefault="00F370D0" w:rsidP="00F370D0">
      <w:pPr>
        <w:pStyle w:val="base-text-paragraph"/>
        <w:rPr>
          <w:rStyle w:val="Referencingstyle"/>
          <w:b w:val="0"/>
          <w:i w:val="0"/>
          <w:sz w:val="22"/>
        </w:rPr>
      </w:pPr>
      <w:r>
        <w:rPr>
          <w:rStyle w:val="Referencingstyle"/>
          <w:b w:val="0"/>
          <w:i w:val="0"/>
          <w:sz w:val="22"/>
        </w:rPr>
        <w:t xml:space="preserve">The modification power only operates on the factors that the Court must consider, it does not operate on the rebuttable presumption. </w:t>
      </w:r>
      <w:r w:rsidR="00446048">
        <w:rPr>
          <w:rStyle w:val="Referencingstyle"/>
          <w:b w:val="0"/>
          <w:i w:val="0"/>
          <w:sz w:val="22"/>
        </w:rPr>
        <w:t xml:space="preserve">The modification power will be exercised through a disallowable instrument, meaning Parliament can maintain control over the use of this regulation making power. </w:t>
      </w:r>
      <w:r>
        <w:rPr>
          <w:rStyle w:val="Referencingstyle"/>
          <w:b w:val="0"/>
          <w:i w:val="0"/>
          <w:sz w:val="22"/>
        </w:rPr>
        <w:t>The Court will always determine whether the claims distribution method is fair and reasonable in light of the prescribe</w:t>
      </w:r>
      <w:r w:rsidR="00017F74">
        <w:rPr>
          <w:rStyle w:val="Referencingstyle"/>
          <w:b w:val="0"/>
          <w:i w:val="0"/>
          <w:sz w:val="22"/>
        </w:rPr>
        <w:t>d</w:t>
      </w:r>
      <w:r>
        <w:rPr>
          <w:rStyle w:val="Referencingstyle"/>
          <w:b w:val="0"/>
          <w:i w:val="0"/>
          <w:sz w:val="22"/>
        </w:rPr>
        <w:t xml:space="preserve"> </w:t>
      </w:r>
      <w:proofErr w:type="spellStart"/>
      <w:proofErr w:type="gramStart"/>
      <w:r>
        <w:rPr>
          <w:rStyle w:val="Referencingstyle"/>
          <w:b w:val="0"/>
          <w:i w:val="0"/>
          <w:sz w:val="22"/>
        </w:rPr>
        <w:t>factors</w:t>
      </w:r>
      <w:r w:rsidR="008B73E9">
        <w:rPr>
          <w:rStyle w:val="Referencingstyle"/>
          <w:b w:val="0"/>
          <w:i w:val="0"/>
          <w:sz w:val="22"/>
        </w:rPr>
        <w:t>,which</w:t>
      </w:r>
      <w:proofErr w:type="spellEnd"/>
      <w:proofErr w:type="gramEnd"/>
      <w:r>
        <w:rPr>
          <w:rStyle w:val="Referencingstyle"/>
          <w:b w:val="0"/>
          <w:i w:val="0"/>
          <w:sz w:val="22"/>
        </w:rPr>
        <w:t xml:space="preserve"> may be modified by regulations, and the rebuttable presumption. </w:t>
      </w:r>
    </w:p>
    <w:p w14:paraId="000BA2A0" w14:textId="029C2BAA" w:rsidR="00E6470C" w:rsidRDefault="00E6470C" w:rsidP="00E6470C">
      <w:pPr>
        <w:pStyle w:val="Heading5"/>
      </w:pPr>
      <w:r>
        <w:t>Referee report and representations by contradictor</w:t>
      </w:r>
    </w:p>
    <w:p w14:paraId="5D6C878B" w14:textId="3B7DB214" w:rsidR="001F6F8B" w:rsidRDefault="0068716E" w:rsidP="00E6676D">
      <w:pPr>
        <w:pStyle w:val="base-text-paragraph"/>
      </w:pPr>
      <w:bookmarkStart w:id="42" w:name="_Ref82616500"/>
      <w:r>
        <w:t>In making the order to approve or vary the claim proceeds distribution method, the Court must</w:t>
      </w:r>
      <w:r w:rsidR="000A3775">
        <w:t xml:space="preserve">, unless it is in the interests of justice to not, </w:t>
      </w:r>
      <w:r w:rsidR="006204B1">
        <w:t>receive and consider a report from a person who has inquired into the proposed claim proceeds distribution method. T</w:t>
      </w:r>
      <w:r w:rsidR="00940EE2">
        <w:t>he role of th</w:t>
      </w:r>
      <w:r w:rsidR="00036EE0">
        <w:t>e</w:t>
      </w:r>
      <w:r w:rsidR="00940EE2">
        <w:t xml:space="preserve"> fee assessor is ultimately to assist the Court in determining if the proposed method is fair and reasonable, and to provide their opinion on whether the proposed method requires variation.</w:t>
      </w:r>
      <w:bookmarkEnd w:id="42"/>
      <w:r w:rsidR="00940EE2">
        <w:t xml:space="preserve"> </w:t>
      </w:r>
    </w:p>
    <w:p w14:paraId="2F4692CF" w14:textId="12547C3B" w:rsidR="00940EE2" w:rsidRDefault="00940EE2" w:rsidP="00E6676D">
      <w:pPr>
        <w:pStyle w:val="base-text-paragraph"/>
      </w:pPr>
      <w:bookmarkStart w:id="43" w:name="_Ref83370544"/>
      <w:r>
        <w:lastRenderedPageBreak/>
        <w:t>The Court m</w:t>
      </w:r>
      <w:r w:rsidR="000A3775">
        <w:t>ust</w:t>
      </w:r>
      <w:r>
        <w:t xml:space="preserve"> also consider representations made by a person representing the interests of the general members of the scheme as a </w:t>
      </w:r>
      <w:r w:rsidR="000A3775">
        <w:t>contradictor unless it is in the interests of justice to not</w:t>
      </w:r>
      <w:r>
        <w:t xml:space="preserve">. This requirement extends only to the representations relevant to the </w:t>
      </w:r>
      <w:proofErr w:type="gramStart"/>
      <w:r>
        <w:t>claims</w:t>
      </w:r>
      <w:proofErr w:type="gramEnd"/>
      <w:r>
        <w:t xml:space="preserve"> proceeds distribution method, and if the method can be considered fair and reasonable. The role of this person is to act in the interests of the general members of the scheme when the Court is considering whether to approve of vary the claims proceeds distribution method.  </w:t>
      </w:r>
      <w:r w:rsidR="00036EE0">
        <w:rPr>
          <w:rStyle w:val="Referencingstyle"/>
        </w:rPr>
        <w:t xml:space="preserve">[Schedule #, item </w:t>
      </w:r>
      <w:r w:rsidR="000A3775">
        <w:rPr>
          <w:rStyle w:val="Referencingstyle"/>
        </w:rPr>
        <w:t>5</w:t>
      </w:r>
      <w:r w:rsidR="00036EE0">
        <w:rPr>
          <w:rStyle w:val="Referencingstyle"/>
        </w:rPr>
        <w:t>, section 601</w:t>
      </w:r>
      <w:proofErr w:type="gramStart"/>
      <w:r w:rsidR="000A3775">
        <w:rPr>
          <w:rStyle w:val="Referencingstyle"/>
        </w:rPr>
        <w:t>LG</w:t>
      </w:r>
      <w:r w:rsidR="00036EE0">
        <w:rPr>
          <w:rStyle w:val="Referencingstyle"/>
        </w:rPr>
        <w:t>(</w:t>
      </w:r>
      <w:proofErr w:type="gramEnd"/>
      <w:r w:rsidR="000A3775">
        <w:rPr>
          <w:rStyle w:val="Referencingstyle"/>
        </w:rPr>
        <w:t>6</w:t>
      </w:r>
      <w:r w:rsidR="00036EE0">
        <w:rPr>
          <w:rStyle w:val="Referencingstyle"/>
        </w:rPr>
        <w:t>) of the Corporations Act 2001]</w:t>
      </w:r>
      <w:bookmarkEnd w:id="43"/>
    </w:p>
    <w:p w14:paraId="079BBAD9" w14:textId="552F13E8" w:rsidR="00940EE2" w:rsidRDefault="00036EE0" w:rsidP="00036EE0">
      <w:pPr>
        <w:pStyle w:val="Heading5"/>
      </w:pPr>
      <w:r>
        <w:t>Application to the Court</w:t>
      </w:r>
    </w:p>
    <w:p w14:paraId="3CDB6A1C" w14:textId="1EC08024" w:rsidR="001F6F8B" w:rsidRDefault="000B0955" w:rsidP="00E6676D">
      <w:pPr>
        <w:pStyle w:val="base-text-paragraph"/>
      </w:pPr>
      <w:r>
        <w:t>An application to the Court under the new sub-section 601</w:t>
      </w:r>
      <w:r w:rsidR="00E92A6B">
        <w:t>LG</w:t>
      </w:r>
      <w:r>
        <w:t>(</w:t>
      </w:r>
      <w:r w:rsidR="00E92A6B">
        <w:t>8</w:t>
      </w:r>
      <w:r>
        <w:t xml:space="preserve">) may be made by any member of the class action litigation funding scheme, the responsible entity for the scheme, or by the Court on its own </w:t>
      </w:r>
      <w:r w:rsidR="00E92A6B">
        <w:t>initiative</w:t>
      </w:r>
      <w:r>
        <w:t xml:space="preserve"> </w:t>
      </w:r>
      <w:r>
        <w:rPr>
          <w:rStyle w:val="Referencingstyle"/>
        </w:rPr>
        <w:t xml:space="preserve">[Schedule #, item </w:t>
      </w:r>
      <w:r w:rsidR="000A3775">
        <w:rPr>
          <w:rStyle w:val="Referencingstyle"/>
        </w:rPr>
        <w:t>5</w:t>
      </w:r>
      <w:r>
        <w:rPr>
          <w:rStyle w:val="Referencingstyle"/>
        </w:rPr>
        <w:t>, section 601</w:t>
      </w:r>
      <w:r w:rsidR="000A3775">
        <w:rPr>
          <w:rStyle w:val="Referencingstyle"/>
        </w:rPr>
        <w:t>LG</w:t>
      </w:r>
      <w:r>
        <w:rPr>
          <w:rStyle w:val="Referencingstyle"/>
        </w:rPr>
        <w:t>(</w:t>
      </w:r>
      <w:r w:rsidR="000A3775">
        <w:rPr>
          <w:rStyle w:val="Referencingstyle"/>
        </w:rPr>
        <w:t>8</w:t>
      </w:r>
      <w:r>
        <w:rPr>
          <w:rStyle w:val="Referencingstyle"/>
        </w:rPr>
        <w:t>) of the Corporations Act 200</w:t>
      </w:r>
      <w:r w:rsidR="00622091">
        <w:rPr>
          <w:rStyle w:val="Referencingstyle"/>
        </w:rPr>
        <w:t>1]</w:t>
      </w:r>
    </w:p>
    <w:p w14:paraId="3C706B18" w14:textId="4CBBB9D4" w:rsidR="004A0CD8" w:rsidRDefault="004A0CD8" w:rsidP="004A0CD8">
      <w:pPr>
        <w:pStyle w:val="base-text-paragraph"/>
        <w:numPr>
          <w:ilvl w:val="0"/>
          <w:numId w:val="0"/>
        </w:numPr>
        <w:ind w:left="1134"/>
      </w:pPr>
    </w:p>
    <w:p w14:paraId="33AF3C2E" w14:textId="0CF1CA09" w:rsidR="00C3452B" w:rsidRDefault="00C3452B" w:rsidP="00C3452B">
      <w:pPr>
        <w:pStyle w:val="Heading2"/>
      </w:pPr>
      <w:r>
        <w:t>Application and transitional provisions</w:t>
      </w:r>
    </w:p>
    <w:p w14:paraId="3F3FF250" w14:textId="236D187E" w:rsidR="003A1C79" w:rsidRDefault="003A1C79" w:rsidP="00C3452B">
      <w:pPr>
        <w:pStyle w:val="base-text-paragraph"/>
      </w:pPr>
      <w:r>
        <w:t xml:space="preserve">The Schedule commences on the day after the Bill receives the Royal Assent. </w:t>
      </w:r>
    </w:p>
    <w:p w14:paraId="64A46EF9" w14:textId="1231DE31" w:rsidR="00C3452B" w:rsidRDefault="003A1C79" w:rsidP="00C3452B">
      <w:pPr>
        <w:pStyle w:val="base-text-paragraph"/>
      </w:pPr>
      <w:r>
        <w:t xml:space="preserve">For a class action litigation funding scheme that is a managed investment scheme, the amendments in Schedule # apply: </w:t>
      </w:r>
      <w:r w:rsidR="000A3775">
        <w:rPr>
          <w:rStyle w:val="Referencingstyle"/>
        </w:rPr>
        <w:t xml:space="preserve">[Schedule #, item 8, section </w:t>
      </w:r>
      <w:r w:rsidR="0080504E">
        <w:rPr>
          <w:rStyle w:val="Referencingstyle"/>
        </w:rPr>
        <w:t>1688 of the Corporations Act 2001]</w:t>
      </w:r>
    </w:p>
    <w:p w14:paraId="4CE8AC4D" w14:textId="5CFE94CA" w:rsidR="003A1C79" w:rsidRDefault="003A1C79" w:rsidP="003A1C79">
      <w:pPr>
        <w:pStyle w:val="dotpoint"/>
      </w:pPr>
      <w:r>
        <w:t xml:space="preserve">To a litigation funding agreement in relation to a class action litigation funding scheme </w:t>
      </w:r>
      <w:proofErr w:type="gramStart"/>
      <w:r>
        <w:t>entered into</w:t>
      </w:r>
      <w:proofErr w:type="gramEnd"/>
      <w:r>
        <w:t xml:space="preserve"> on or after the commencement of the Schedule</w:t>
      </w:r>
      <w:r w:rsidR="00FB2A87">
        <w:t>, if</w:t>
      </w:r>
    </w:p>
    <w:p w14:paraId="112795C5" w14:textId="3EFE7D3E" w:rsidR="00FB2A87" w:rsidRDefault="00FB2A87" w:rsidP="003A1C79">
      <w:pPr>
        <w:pStyle w:val="dotpoint"/>
      </w:pPr>
      <w:r>
        <w:t xml:space="preserve">The managed investment scheme has become a class action litigation funding scheme on and after the commencement of the Bill. </w:t>
      </w:r>
    </w:p>
    <w:p w14:paraId="1342447D" w14:textId="77777777" w:rsidR="00C3452B" w:rsidRDefault="00C3452B" w:rsidP="00C3452B">
      <w:pPr>
        <w:spacing w:before="0" w:after="160" w:line="259" w:lineRule="auto"/>
      </w:pPr>
    </w:p>
    <w:sectPr w:rsidR="00C3452B" w:rsidSect="00C10AAF">
      <w:footerReference w:type="even" r:id="rId30"/>
      <w:footerReference w:type="default" r:id="rId31"/>
      <w:foot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39C4C" w14:textId="77777777" w:rsidR="00CE737A" w:rsidRDefault="00CE737A" w:rsidP="00C3452B">
      <w:pPr>
        <w:spacing w:before="0" w:after="0"/>
      </w:pPr>
      <w:r>
        <w:separator/>
      </w:r>
    </w:p>
  </w:endnote>
  <w:endnote w:type="continuationSeparator" w:id="0">
    <w:p w14:paraId="33778F1B" w14:textId="77777777" w:rsidR="00CE737A" w:rsidRDefault="00CE737A" w:rsidP="00C3452B">
      <w:pPr>
        <w:spacing w:before="0" w:after="0"/>
      </w:pPr>
      <w:r>
        <w:continuationSeparator/>
      </w:r>
    </w:p>
  </w:endnote>
  <w:endnote w:type="continuationNotice" w:id="1">
    <w:p w14:paraId="4D1B939E" w14:textId="77777777" w:rsidR="00CE737A" w:rsidRDefault="00CE73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3E5D" w14:textId="77777777" w:rsidR="006D224A" w:rsidRDefault="006D224A" w:rsidP="00D65280">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2416" w14:textId="77777777" w:rsidR="006D224A" w:rsidRDefault="006D224A" w:rsidP="00D65280">
    <w:pPr>
      <w:pStyle w:val="leftfooter"/>
    </w:pPr>
    <w:r>
      <w:fldChar w:fldCharType="begin"/>
    </w:r>
    <w:r>
      <w:instrText xml:space="preserve"> PAGE   \* MERGEFORMAT </w:instrText>
    </w:r>
    <w:r>
      <w:fldChar w:fldCharType="separate"/>
    </w:r>
    <w:r>
      <w:rPr>
        <w:noProof/>
      </w:rPr>
      <w:t>6</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4" w:name="_Hlk26336195"/>
  <w:bookmarkStart w:id="45" w:name="_Hlk26336196"/>
  <w:bookmarkStart w:id="46" w:name="_Hlk26336199"/>
  <w:bookmarkStart w:id="47" w:name="_Hlk26336200"/>
  <w:p w14:paraId="4AC8B8A1" w14:textId="77777777" w:rsidR="006D224A" w:rsidRDefault="006D224A" w:rsidP="00D65280">
    <w:pPr>
      <w:pStyle w:val="rightfooter"/>
    </w:pPr>
    <w:r>
      <w:fldChar w:fldCharType="begin"/>
    </w:r>
    <w:r>
      <w:instrText xml:space="preserve"> PAGE   \* MERGEFORMAT </w:instrText>
    </w:r>
    <w:r>
      <w:fldChar w:fldCharType="separate"/>
    </w:r>
    <w:r>
      <w:rPr>
        <w:noProof/>
      </w:rPr>
      <w:t>11</w:t>
    </w:r>
    <w:r>
      <w:rPr>
        <w:noProof/>
      </w:rPr>
      <w:fldChar w:fldCharType="end"/>
    </w:r>
    <w:bookmarkEnd w:id="44"/>
    <w:bookmarkEnd w:id="45"/>
    <w:bookmarkEnd w:id="46"/>
    <w:bookmarkEnd w:id="47"/>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8" w:name="_Hlk26336197"/>
  <w:bookmarkStart w:id="49" w:name="_Hlk26336198"/>
  <w:p w14:paraId="25C3DECA" w14:textId="77777777" w:rsidR="006D224A" w:rsidRDefault="006D224A" w:rsidP="00D65280">
    <w:pPr>
      <w:pStyle w:val="rightfooter"/>
    </w:pPr>
    <w:r>
      <w:fldChar w:fldCharType="begin"/>
    </w:r>
    <w:r>
      <w:instrText xml:space="preserve"> PAGE  \* Arabic  \* MERGEFORMAT </w:instrText>
    </w:r>
    <w:r>
      <w:fldChar w:fldCharType="separate"/>
    </w:r>
    <w:r>
      <w:rPr>
        <w:noProof/>
      </w:rPr>
      <w:t>5</w:t>
    </w:r>
    <w:r>
      <w:rPr>
        <w:noProof/>
      </w:rPr>
      <w:fldChar w:fldCharType="end"/>
    </w:r>
    <w:bookmarkEnd w:id="48"/>
    <w:bookmarkEnd w:id="4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Hlk26336147"/>
  <w:bookmarkStart w:id="7" w:name="_Hlk26336148"/>
  <w:bookmarkStart w:id="8" w:name="_Hlk26336151"/>
  <w:bookmarkStart w:id="9" w:name="_Hlk26336152"/>
  <w:p w14:paraId="5BB2F2F4" w14:textId="77777777" w:rsidR="006D224A" w:rsidRDefault="006D224A" w:rsidP="00D65280">
    <w:pPr>
      <w:pStyle w:val="rightfooter"/>
    </w:pPr>
    <w:r>
      <w:fldChar w:fldCharType="begin"/>
    </w:r>
    <w:r>
      <w:instrText xml:space="preserve"> PAGE   \* MERGEFORMAT </w:instrText>
    </w:r>
    <w:r>
      <w:fldChar w:fldCharType="separate"/>
    </w:r>
    <w:r>
      <w:rPr>
        <w:noProof/>
      </w:rPr>
      <w:t>5</w:t>
    </w:r>
    <w:r>
      <w:rPr>
        <w:noProof/>
      </w:rPr>
      <w:fldChar w:fldCharType="end"/>
    </w:r>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15B0" w14:textId="77777777" w:rsidR="006D224A" w:rsidRDefault="006D224A">
    <w:pPr>
      <w:pStyle w:val="Footer"/>
    </w:pPr>
    <w:bookmarkStart w:id="12" w:name="_Hlk26336149"/>
    <w:bookmarkStart w:id="13" w:name="_Hlk26336150"/>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11087" w14:textId="77777777" w:rsidR="006D224A" w:rsidRDefault="006D224A" w:rsidP="00D65280">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8" w:name="_Hlk26336159"/>
  <w:bookmarkStart w:id="19" w:name="_Hlk26336160"/>
  <w:bookmarkStart w:id="20" w:name="_Hlk26336163"/>
  <w:bookmarkStart w:id="21" w:name="_Hlk26336164"/>
  <w:p w14:paraId="2AA3937B" w14:textId="77777777" w:rsidR="006D224A" w:rsidRDefault="006D224A" w:rsidP="00D65280">
    <w:pPr>
      <w:pStyle w:val="rightfooter"/>
    </w:pPr>
    <w:r>
      <w:fldChar w:fldCharType="begin"/>
    </w:r>
    <w:r>
      <w:instrText xml:space="preserve"> PAGE   \* MERGEFORMAT </w:instrText>
    </w:r>
    <w:r>
      <w:fldChar w:fldCharType="separate"/>
    </w:r>
    <w:r>
      <w:rPr>
        <w:noProof/>
      </w:rPr>
      <w:t>5</w:t>
    </w:r>
    <w:r>
      <w:rPr>
        <w:noProof/>
      </w:rPr>
      <w:fldChar w:fldCharType="end"/>
    </w:r>
    <w:bookmarkEnd w:id="18"/>
    <w:bookmarkEnd w:id="19"/>
    <w:bookmarkEnd w:id="20"/>
    <w:bookmarkEnd w:id="21"/>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B8D0" w14:textId="77777777" w:rsidR="006D224A" w:rsidRPr="00B2068E" w:rsidRDefault="006D224A" w:rsidP="00D65280">
    <w:pPr>
      <w:pStyle w:val="Footer"/>
    </w:pPr>
    <w:bookmarkStart w:id="24" w:name="_Hlk26336161"/>
    <w:bookmarkStart w:id="25" w:name="_Hlk26336162"/>
    <w:bookmarkEnd w:id="24"/>
    <w:bookmarkEnd w:id="25"/>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F0028" w14:textId="77777777" w:rsidR="006D224A" w:rsidRDefault="006D224A" w:rsidP="00D65280">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0" w:name="_Hlk26336171"/>
  <w:bookmarkStart w:id="31" w:name="_Hlk26336172"/>
  <w:bookmarkStart w:id="32" w:name="_Hlk26336175"/>
  <w:bookmarkStart w:id="33" w:name="_Hlk26336176"/>
  <w:p w14:paraId="3B84A115" w14:textId="77777777" w:rsidR="006D224A" w:rsidRDefault="006D224A" w:rsidP="00D65280">
    <w:pPr>
      <w:pStyle w:val="rightfooter"/>
    </w:pPr>
    <w:r>
      <w:fldChar w:fldCharType="begin"/>
    </w:r>
    <w:r>
      <w:instrText xml:space="preserve"> PAGE   \* MERGEFORMAT </w:instrText>
    </w:r>
    <w:r>
      <w:fldChar w:fldCharType="separate"/>
    </w:r>
    <w:r>
      <w:rPr>
        <w:noProof/>
      </w:rPr>
      <w:t>3</w:t>
    </w:r>
    <w:r>
      <w:rPr>
        <w:noProof/>
      </w:rPr>
      <w:fldChar w:fldCharType="end"/>
    </w:r>
    <w:bookmarkEnd w:id="30"/>
    <w:bookmarkEnd w:id="31"/>
    <w:bookmarkEnd w:id="32"/>
    <w:bookmarkEnd w:id="33"/>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4" w:name="_Hlk26336173"/>
  <w:bookmarkStart w:id="35" w:name="_Hlk26336174"/>
  <w:p w14:paraId="16B08348" w14:textId="77777777" w:rsidR="006D224A" w:rsidRDefault="006D224A" w:rsidP="00D65280">
    <w:pPr>
      <w:pStyle w:val="rightfooter"/>
    </w:pPr>
    <w:r>
      <w:fldChar w:fldCharType="begin"/>
    </w:r>
    <w:r>
      <w:instrText xml:space="preserve"> PAGE  \* Arabic  \* MERGEFORMAT </w:instrText>
    </w:r>
    <w:r>
      <w:fldChar w:fldCharType="separate"/>
    </w:r>
    <w:r>
      <w:rPr>
        <w:noProof/>
      </w:rPr>
      <w:t>1</w:t>
    </w:r>
    <w:r>
      <w:rPr>
        <w:noProof/>
      </w:rPr>
      <w:fldChar w:fldCharType="end"/>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1B831" w14:textId="77777777" w:rsidR="00CE737A" w:rsidRDefault="00CE737A" w:rsidP="00C3452B">
      <w:pPr>
        <w:spacing w:before="0" w:after="0"/>
      </w:pPr>
      <w:r>
        <w:separator/>
      </w:r>
    </w:p>
  </w:footnote>
  <w:footnote w:type="continuationSeparator" w:id="0">
    <w:p w14:paraId="5D166C3F" w14:textId="77777777" w:rsidR="00CE737A" w:rsidRDefault="00CE737A" w:rsidP="00C3452B">
      <w:pPr>
        <w:spacing w:before="0" w:after="0"/>
      </w:pPr>
      <w:r>
        <w:continuationSeparator/>
      </w:r>
    </w:p>
  </w:footnote>
  <w:footnote w:type="continuationNotice" w:id="1">
    <w:p w14:paraId="7D125705" w14:textId="77777777" w:rsidR="00CE737A" w:rsidRDefault="00CE737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036A" w14:textId="77777777" w:rsidR="006D224A" w:rsidRDefault="006D224A" w:rsidP="00D65280">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26336141"/>
  <w:bookmarkStart w:id="3" w:name="_Hlk26336142"/>
  <w:bookmarkStart w:id="4" w:name="_Hlk26336145"/>
  <w:bookmarkStart w:id="5" w:name="_Hlk26336146"/>
  <w:p w14:paraId="014B8E94" w14:textId="77777777" w:rsidR="006D224A" w:rsidRDefault="006D224A" w:rsidP="00D65280">
    <w:pPr>
      <w:pStyle w:val="rightheader"/>
    </w:pPr>
    <w:r>
      <w:fldChar w:fldCharType="begin"/>
    </w:r>
    <w:r>
      <w:instrText xml:space="preserve"> macrobutton nomacro [Click here and enter the name of the Chapter </w:instrText>
    </w:r>
    <w:r>
      <w:fldChar w:fldCharType="end"/>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 w:name="_Hlk26336144" w:displacedByCustomXml="next"/>
  <w:bookmarkStart w:id="11" w:name="_Hlk26336143" w:displacedByCustomXml="next"/>
  <w:sdt>
    <w:sdtPr>
      <w:id w:val="-1403914990"/>
      <w:docPartObj>
        <w:docPartGallery w:val="Watermarks"/>
        <w:docPartUnique/>
      </w:docPartObj>
    </w:sdtPr>
    <w:sdtEndPr/>
    <w:sdtContent>
      <w:p w14:paraId="7F45DE55" w14:textId="77777777" w:rsidR="006D224A" w:rsidRDefault="00CE737A">
        <w:pPr>
          <w:pStyle w:val="Header"/>
        </w:pPr>
        <w:r>
          <w:rPr>
            <w:noProof/>
            <w:lang w:val="en-US" w:eastAsia="en-US"/>
          </w:rPr>
          <w:pict w14:anchorId="13ED02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bookmarkEnd w:id="10" w:displacedByCustomXml="prev"/>
  <w:bookmarkEnd w:id="11" w:displacedByCustomXml="prev"/>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BF43" w14:textId="77777777" w:rsidR="006D224A" w:rsidRDefault="006D224A" w:rsidP="00D65280">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7F42" w14:textId="77777777" w:rsidR="006D224A" w:rsidRDefault="006D224A" w:rsidP="00D65280">
    <w:pPr>
      <w:pStyle w:val="rightheader"/>
    </w:pPr>
    <w:bookmarkStart w:id="14" w:name="_Hlk26336153"/>
    <w:bookmarkStart w:id="15" w:name="_Hlk26336154"/>
    <w:bookmarkStart w:id="16" w:name="_Hlk26336157"/>
    <w:bookmarkStart w:id="17" w:name="_Hlk26336158"/>
    <w:bookmarkEnd w:id="14"/>
    <w:bookmarkEnd w:id="15"/>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B99D" w14:textId="77777777" w:rsidR="006D224A" w:rsidRDefault="006D224A">
    <w:pPr>
      <w:pStyle w:val="Header"/>
    </w:pPr>
    <w:bookmarkStart w:id="22" w:name="_Hlk26336191"/>
    <w:bookmarkStart w:id="23" w:name="_Hlk26336192"/>
    <w:bookmarkEnd w:id="22"/>
    <w:bookmarkEnd w:id="23"/>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55640" w14:textId="3BAA133F" w:rsidR="006D224A" w:rsidRPr="00422FA2" w:rsidRDefault="00CE737A" w:rsidP="00D65280">
    <w:pPr>
      <w:pStyle w:val="leftheader"/>
    </w:pPr>
    <w:r>
      <w:fldChar w:fldCharType="begin"/>
    </w:r>
    <w:r>
      <w:instrText xml:space="preserve"> STYLEREF  "Bill Name"  \* MERGEFORMAT </w:instrText>
    </w:r>
    <w:r>
      <w:fldChar w:fldCharType="separate"/>
    </w:r>
    <w:r w:rsidR="00176FAD">
      <w:rPr>
        <w:noProof/>
      </w:rPr>
      <w:t>Treasury Laws Amendment (Measures for Consultation) Bill 2021: Litigation Funding</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8" w:name="_Hlk26336193"/>
  <w:bookmarkStart w:id="29" w:name="_Hlk26336194"/>
  <w:p w14:paraId="4DAA938D" w14:textId="5C609A05" w:rsidR="006D224A" w:rsidRDefault="006D224A" w:rsidP="00D65280">
    <w:pPr>
      <w:pStyle w:val="rightheader"/>
    </w:pPr>
    <w:r>
      <w:fldChar w:fldCharType="begin"/>
    </w:r>
    <w:r>
      <w:instrText xml:space="preserve"> STYLEREF  "ChapterNameOnly"  \* MERGEFORMAT </w:instrText>
    </w:r>
    <w:r>
      <w:fldChar w:fldCharType="separate"/>
    </w:r>
    <w:r w:rsidR="00176FAD">
      <w:rPr>
        <w:noProof/>
      </w:rPr>
      <w:t>Litigation Funding</w:t>
    </w:r>
    <w:r>
      <w:rPr>
        <w:noProof/>
      </w:rPr>
      <w:fldChar w:fldCharType="end"/>
    </w:r>
    <w:bookmarkEnd w:id="28"/>
    <w:bookmarkEnd w:id="2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DF6494"/>
    <w:multiLevelType w:val="multilevel"/>
    <w:tmpl w:val="A316FE50"/>
    <w:numStyleLink w:val="ChapterList"/>
  </w:abstractNum>
  <w:abstractNum w:abstractNumId="22"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2"/>
  </w:num>
  <w:num w:numId="5">
    <w:abstractNumId w:val="19"/>
  </w:num>
  <w:num w:numId="6">
    <w:abstractNumId w:val="23"/>
  </w:num>
  <w:num w:numId="7">
    <w:abstractNumId w:val="21"/>
    <w:lvlOverride w:ilvl="0">
      <w:lvl w:ilvl="0">
        <w:start w:val="1"/>
        <w:numFmt w:val="decimal"/>
        <w:lvlText w:val="Chapter %1"/>
        <w:lvlJc w:val="left"/>
        <w:pPr>
          <w:tabs>
            <w:tab w:val="num" w:pos="1134"/>
          </w:tabs>
          <w:ind w:left="0" w:firstLine="0"/>
        </w:pPr>
        <w:rPr>
          <w:rFonts w:hint="default"/>
        </w:rPr>
      </w:lvl>
    </w:lvlOverride>
  </w:num>
  <w:num w:numId="8">
    <w:abstractNumId w:val="21"/>
  </w:num>
  <w:num w:numId="9">
    <w:abstractNumId w:val="16"/>
  </w:num>
  <w:num w:numId="10">
    <w:abstractNumId w:val="21"/>
  </w:num>
  <w:num w:numId="11">
    <w:abstractNumId w:val="17"/>
  </w:num>
  <w:num w:numId="12">
    <w:abstractNumId w:val="18"/>
  </w:num>
  <w:num w:numId="13">
    <w:abstractNumId w:val="20"/>
  </w:num>
  <w:num w:numId="14">
    <w:abstractNumId w:val="2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2"/>
  </w:num>
  <w:num w:numId="26">
    <w:abstractNumId w:val="10"/>
  </w:num>
  <w:num w:numId="27">
    <w:abstractNumId w:val="21"/>
  </w:num>
  <w:num w:numId="28">
    <w:abstractNumId w:val="13"/>
  </w:num>
  <w:num w:numId="29">
    <w:abstractNumId w:val="21"/>
  </w:num>
  <w:num w:numId="30">
    <w:abstractNumId w:val="21"/>
    <w:lvlOverride w:ilvl="0">
      <w:lvl w:ilvl="0">
        <w:start w:val="1"/>
        <w:numFmt w:val="decimal"/>
        <w:lvlText w:val="Chapter %1"/>
        <w:lvlJc w:val="left"/>
        <w:pPr>
          <w:tabs>
            <w:tab w:val="num" w:pos="1134"/>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8A"/>
    <w:rsid w:val="00010EDA"/>
    <w:rsid w:val="00013F38"/>
    <w:rsid w:val="00017F74"/>
    <w:rsid w:val="00032CB7"/>
    <w:rsid w:val="000341E8"/>
    <w:rsid w:val="00036EE0"/>
    <w:rsid w:val="00037081"/>
    <w:rsid w:val="00037237"/>
    <w:rsid w:val="0006050C"/>
    <w:rsid w:val="00072316"/>
    <w:rsid w:val="00075220"/>
    <w:rsid w:val="00081630"/>
    <w:rsid w:val="000836A1"/>
    <w:rsid w:val="00090CF8"/>
    <w:rsid w:val="0009265A"/>
    <w:rsid w:val="000940F5"/>
    <w:rsid w:val="000A33A5"/>
    <w:rsid w:val="000A3775"/>
    <w:rsid w:val="000A60F2"/>
    <w:rsid w:val="000A6FF6"/>
    <w:rsid w:val="000B002D"/>
    <w:rsid w:val="000B0955"/>
    <w:rsid w:val="000B1688"/>
    <w:rsid w:val="000B7264"/>
    <w:rsid w:val="000C0569"/>
    <w:rsid w:val="000C21AB"/>
    <w:rsid w:val="000C26CB"/>
    <w:rsid w:val="000C45F2"/>
    <w:rsid w:val="000C6193"/>
    <w:rsid w:val="000D1E7D"/>
    <w:rsid w:val="000E1761"/>
    <w:rsid w:val="000E596D"/>
    <w:rsid w:val="00100725"/>
    <w:rsid w:val="00102398"/>
    <w:rsid w:val="00102D67"/>
    <w:rsid w:val="00106E0D"/>
    <w:rsid w:val="0011091D"/>
    <w:rsid w:val="00110A5D"/>
    <w:rsid w:val="00113B0A"/>
    <w:rsid w:val="00113F7B"/>
    <w:rsid w:val="00115DE6"/>
    <w:rsid w:val="00117448"/>
    <w:rsid w:val="00120DB2"/>
    <w:rsid w:val="00123C06"/>
    <w:rsid w:val="00124606"/>
    <w:rsid w:val="00126191"/>
    <w:rsid w:val="00135951"/>
    <w:rsid w:val="001378CB"/>
    <w:rsid w:val="0014405A"/>
    <w:rsid w:val="001603E0"/>
    <w:rsid w:val="001609F3"/>
    <w:rsid w:val="00166729"/>
    <w:rsid w:val="0016736D"/>
    <w:rsid w:val="00171238"/>
    <w:rsid w:val="0017152F"/>
    <w:rsid w:val="00176FAD"/>
    <w:rsid w:val="001929BE"/>
    <w:rsid w:val="00193BD4"/>
    <w:rsid w:val="00194D69"/>
    <w:rsid w:val="001A14C4"/>
    <w:rsid w:val="001A2C0D"/>
    <w:rsid w:val="001A2DF2"/>
    <w:rsid w:val="001C34F6"/>
    <w:rsid w:val="001D0398"/>
    <w:rsid w:val="001D5D5F"/>
    <w:rsid w:val="001F6F8B"/>
    <w:rsid w:val="00207C51"/>
    <w:rsid w:val="00223523"/>
    <w:rsid w:val="0022429A"/>
    <w:rsid w:val="002311F5"/>
    <w:rsid w:val="00233B03"/>
    <w:rsid w:val="002373A9"/>
    <w:rsid w:val="00237E81"/>
    <w:rsid w:val="00241C84"/>
    <w:rsid w:val="002471DD"/>
    <w:rsid w:val="00247355"/>
    <w:rsid w:val="00251331"/>
    <w:rsid w:val="00260427"/>
    <w:rsid w:val="0026378C"/>
    <w:rsid w:val="00266922"/>
    <w:rsid w:val="00270389"/>
    <w:rsid w:val="002729B9"/>
    <w:rsid w:val="00286002"/>
    <w:rsid w:val="002902BA"/>
    <w:rsid w:val="002909B0"/>
    <w:rsid w:val="002911FC"/>
    <w:rsid w:val="002A1119"/>
    <w:rsid w:val="002A34BA"/>
    <w:rsid w:val="002A5660"/>
    <w:rsid w:val="002B02C5"/>
    <w:rsid w:val="002B76D2"/>
    <w:rsid w:val="002C3460"/>
    <w:rsid w:val="002C5392"/>
    <w:rsid w:val="002C779B"/>
    <w:rsid w:val="002D03FF"/>
    <w:rsid w:val="002D0D4C"/>
    <w:rsid w:val="002E155D"/>
    <w:rsid w:val="002E40D9"/>
    <w:rsid w:val="002E7CEE"/>
    <w:rsid w:val="002F569B"/>
    <w:rsid w:val="0030589C"/>
    <w:rsid w:val="00311EAB"/>
    <w:rsid w:val="003229B3"/>
    <w:rsid w:val="003440F8"/>
    <w:rsid w:val="003474A6"/>
    <w:rsid w:val="00353934"/>
    <w:rsid w:val="00355191"/>
    <w:rsid w:val="0035612B"/>
    <w:rsid w:val="00371452"/>
    <w:rsid w:val="003729C8"/>
    <w:rsid w:val="00374B1C"/>
    <w:rsid w:val="00377273"/>
    <w:rsid w:val="00381BD5"/>
    <w:rsid w:val="00382163"/>
    <w:rsid w:val="003854AA"/>
    <w:rsid w:val="003A1C79"/>
    <w:rsid w:val="003A5A7F"/>
    <w:rsid w:val="003A6050"/>
    <w:rsid w:val="003B128E"/>
    <w:rsid w:val="003D00E9"/>
    <w:rsid w:val="003D3E9C"/>
    <w:rsid w:val="003D539D"/>
    <w:rsid w:val="003E0518"/>
    <w:rsid w:val="003E5673"/>
    <w:rsid w:val="003E601E"/>
    <w:rsid w:val="003E663F"/>
    <w:rsid w:val="003E7061"/>
    <w:rsid w:val="0042185B"/>
    <w:rsid w:val="00425231"/>
    <w:rsid w:val="00430892"/>
    <w:rsid w:val="00433BF8"/>
    <w:rsid w:val="00434D1D"/>
    <w:rsid w:val="00440788"/>
    <w:rsid w:val="00441186"/>
    <w:rsid w:val="004438E7"/>
    <w:rsid w:val="00446048"/>
    <w:rsid w:val="00450293"/>
    <w:rsid w:val="0045286C"/>
    <w:rsid w:val="00460201"/>
    <w:rsid w:val="0046310D"/>
    <w:rsid w:val="00465C89"/>
    <w:rsid w:val="00473DA7"/>
    <w:rsid w:val="004742D3"/>
    <w:rsid w:val="004806FC"/>
    <w:rsid w:val="004943E0"/>
    <w:rsid w:val="004A0CD8"/>
    <w:rsid w:val="004A0EAF"/>
    <w:rsid w:val="004A5AF7"/>
    <w:rsid w:val="004A6DA0"/>
    <w:rsid w:val="004B0C50"/>
    <w:rsid w:val="004B2615"/>
    <w:rsid w:val="004B4496"/>
    <w:rsid w:val="004B4A5A"/>
    <w:rsid w:val="004B4DF6"/>
    <w:rsid w:val="004B51DA"/>
    <w:rsid w:val="004C1703"/>
    <w:rsid w:val="004C2CF3"/>
    <w:rsid w:val="004D0750"/>
    <w:rsid w:val="004D2FD9"/>
    <w:rsid w:val="004D3659"/>
    <w:rsid w:val="004D618D"/>
    <w:rsid w:val="004E083C"/>
    <w:rsid w:val="004E7325"/>
    <w:rsid w:val="004E7F8D"/>
    <w:rsid w:val="004F1E8F"/>
    <w:rsid w:val="004F210C"/>
    <w:rsid w:val="004F5C31"/>
    <w:rsid w:val="004F647C"/>
    <w:rsid w:val="00502CDA"/>
    <w:rsid w:val="005102A2"/>
    <w:rsid w:val="005175FB"/>
    <w:rsid w:val="00524DCF"/>
    <w:rsid w:val="0052591A"/>
    <w:rsid w:val="00526FD0"/>
    <w:rsid w:val="00532D59"/>
    <w:rsid w:val="00533BC1"/>
    <w:rsid w:val="00536102"/>
    <w:rsid w:val="0053768E"/>
    <w:rsid w:val="00541975"/>
    <w:rsid w:val="00541E55"/>
    <w:rsid w:val="0054349A"/>
    <w:rsid w:val="00543C8F"/>
    <w:rsid w:val="0054768C"/>
    <w:rsid w:val="00566630"/>
    <w:rsid w:val="00577151"/>
    <w:rsid w:val="005862BA"/>
    <w:rsid w:val="005905C1"/>
    <w:rsid w:val="00592B2A"/>
    <w:rsid w:val="00595FFE"/>
    <w:rsid w:val="0059631C"/>
    <w:rsid w:val="005A01A8"/>
    <w:rsid w:val="005A2B7E"/>
    <w:rsid w:val="005A4C58"/>
    <w:rsid w:val="005A52CF"/>
    <w:rsid w:val="005C7AA4"/>
    <w:rsid w:val="005E0B21"/>
    <w:rsid w:val="005F693A"/>
    <w:rsid w:val="0060610E"/>
    <w:rsid w:val="00611E67"/>
    <w:rsid w:val="00615F52"/>
    <w:rsid w:val="006200DE"/>
    <w:rsid w:val="006203B9"/>
    <w:rsid w:val="006204B1"/>
    <w:rsid w:val="00622091"/>
    <w:rsid w:val="006222B7"/>
    <w:rsid w:val="00622BE4"/>
    <w:rsid w:val="00624488"/>
    <w:rsid w:val="006254B5"/>
    <w:rsid w:val="00627E0C"/>
    <w:rsid w:val="00632498"/>
    <w:rsid w:val="00634ED7"/>
    <w:rsid w:val="00657DB4"/>
    <w:rsid w:val="00674AEA"/>
    <w:rsid w:val="00675771"/>
    <w:rsid w:val="0068262D"/>
    <w:rsid w:val="006831C7"/>
    <w:rsid w:val="0068716E"/>
    <w:rsid w:val="006A3873"/>
    <w:rsid w:val="006A4126"/>
    <w:rsid w:val="006A6A86"/>
    <w:rsid w:val="006B6F5F"/>
    <w:rsid w:val="006C7882"/>
    <w:rsid w:val="006D224A"/>
    <w:rsid w:val="006D2394"/>
    <w:rsid w:val="006D6927"/>
    <w:rsid w:val="006D76E8"/>
    <w:rsid w:val="006E0611"/>
    <w:rsid w:val="006E09EC"/>
    <w:rsid w:val="006E678A"/>
    <w:rsid w:val="006F014E"/>
    <w:rsid w:val="006F1623"/>
    <w:rsid w:val="006F2860"/>
    <w:rsid w:val="006F3A0C"/>
    <w:rsid w:val="006F4641"/>
    <w:rsid w:val="006F6098"/>
    <w:rsid w:val="0070652B"/>
    <w:rsid w:val="007108E2"/>
    <w:rsid w:val="00710F21"/>
    <w:rsid w:val="00714F2D"/>
    <w:rsid w:val="007174F0"/>
    <w:rsid w:val="00725CCA"/>
    <w:rsid w:val="00731DA1"/>
    <w:rsid w:val="007419D6"/>
    <w:rsid w:val="007441CE"/>
    <w:rsid w:val="00751408"/>
    <w:rsid w:val="00755179"/>
    <w:rsid w:val="007568FE"/>
    <w:rsid w:val="00760A87"/>
    <w:rsid w:val="00763AC4"/>
    <w:rsid w:val="0076641A"/>
    <w:rsid w:val="007673C3"/>
    <w:rsid w:val="00770050"/>
    <w:rsid w:val="0077027B"/>
    <w:rsid w:val="0077566C"/>
    <w:rsid w:val="00777DC9"/>
    <w:rsid w:val="00781F84"/>
    <w:rsid w:val="007849A2"/>
    <w:rsid w:val="00784CD9"/>
    <w:rsid w:val="00787159"/>
    <w:rsid w:val="00797242"/>
    <w:rsid w:val="007A78F7"/>
    <w:rsid w:val="007A7B46"/>
    <w:rsid w:val="007B0F79"/>
    <w:rsid w:val="007B47F5"/>
    <w:rsid w:val="007D4CEB"/>
    <w:rsid w:val="007D4E15"/>
    <w:rsid w:val="007E3469"/>
    <w:rsid w:val="007F1503"/>
    <w:rsid w:val="00801478"/>
    <w:rsid w:val="008034F7"/>
    <w:rsid w:val="0080504E"/>
    <w:rsid w:val="0081252B"/>
    <w:rsid w:val="0082653D"/>
    <w:rsid w:val="00827E74"/>
    <w:rsid w:val="008361B9"/>
    <w:rsid w:val="00854AAD"/>
    <w:rsid w:val="008700AB"/>
    <w:rsid w:val="00870C02"/>
    <w:rsid w:val="00872513"/>
    <w:rsid w:val="00875FE4"/>
    <w:rsid w:val="008838E3"/>
    <w:rsid w:val="00883A04"/>
    <w:rsid w:val="00887AA9"/>
    <w:rsid w:val="00891482"/>
    <w:rsid w:val="008923A4"/>
    <w:rsid w:val="008A06DA"/>
    <w:rsid w:val="008A0886"/>
    <w:rsid w:val="008A721E"/>
    <w:rsid w:val="008A7891"/>
    <w:rsid w:val="008B73E9"/>
    <w:rsid w:val="008C23C9"/>
    <w:rsid w:val="008D1B6F"/>
    <w:rsid w:val="008D266C"/>
    <w:rsid w:val="008D5DEA"/>
    <w:rsid w:val="008D63EE"/>
    <w:rsid w:val="008D6B71"/>
    <w:rsid w:val="008D6F2F"/>
    <w:rsid w:val="008E5ED7"/>
    <w:rsid w:val="008F0A66"/>
    <w:rsid w:val="008F3872"/>
    <w:rsid w:val="00903697"/>
    <w:rsid w:val="00912393"/>
    <w:rsid w:val="00917019"/>
    <w:rsid w:val="00917323"/>
    <w:rsid w:val="00920043"/>
    <w:rsid w:val="0092148A"/>
    <w:rsid w:val="00921816"/>
    <w:rsid w:val="0093155E"/>
    <w:rsid w:val="00932F68"/>
    <w:rsid w:val="00933D8A"/>
    <w:rsid w:val="00940EE2"/>
    <w:rsid w:val="00946CF5"/>
    <w:rsid w:val="00947211"/>
    <w:rsid w:val="00947CA8"/>
    <w:rsid w:val="00955AEE"/>
    <w:rsid w:val="009575A3"/>
    <w:rsid w:val="00963DEF"/>
    <w:rsid w:val="00971A9E"/>
    <w:rsid w:val="00990F9F"/>
    <w:rsid w:val="00992443"/>
    <w:rsid w:val="00997A09"/>
    <w:rsid w:val="009B10AA"/>
    <w:rsid w:val="009B3031"/>
    <w:rsid w:val="009C3D4B"/>
    <w:rsid w:val="009E08C0"/>
    <w:rsid w:val="009E1ABC"/>
    <w:rsid w:val="009E60DC"/>
    <w:rsid w:val="009F19E1"/>
    <w:rsid w:val="009F4C14"/>
    <w:rsid w:val="00A15EC6"/>
    <w:rsid w:val="00A30D81"/>
    <w:rsid w:val="00A32738"/>
    <w:rsid w:val="00A410F4"/>
    <w:rsid w:val="00A45BD5"/>
    <w:rsid w:val="00A52EF4"/>
    <w:rsid w:val="00A5700B"/>
    <w:rsid w:val="00A61778"/>
    <w:rsid w:val="00A61CD2"/>
    <w:rsid w:val="00A648BF"/>
    <w:rsid w:val="00A71365"/>
    <w:rsid w:val="00A767A2"/>
    <w:rsid w:val="00A77542"/>
    <w:rsid w:val="00A87249"/>
    <w:rsid w:val="00AB5A88"/>
    <w:rsid w:val="00AC6D44"/>
    <w:rsid w:val="00AD46E8"/>
    <w:rsid w:val="00AE3F5F"/>
    <w:rsid w:val="00AE7CBB"/>
    <w:rsid w:val="00AF3D6E"/>
    <w:rsid w:val="00AF5ECB"/>
    <w:rsid w:val="00B047F5"/>
    <w:rsid w:val="00B05588"/>
    <w:rsid w:val="00B11D47"/>
    <w:rsid w:val="00B1207B"/>
    <w:rsid w:val="00B14E0C"/>
    <w:rsid w:val="00B2522E"/>
    <w:rsid w:val="00B446F7"/>
    <w:rsid w:val="00B5276F"/>
    <w:rsid w:val="00B637E1"/>
    <w:rsid w:val="00B63E19"/>
    <w:rsid w:val="00B72506"/>
    <w:rsid w:val="00B76569"/>
    <w:rsid w:val="00B85241"/>
    <w:rsid w:val="00B86AEE"/>
    <w:rsid w:val="00B94F6F"/>
    <w:rsid w:val="00B97CA4"/>
    <w:rsid w:val="00BA0EEF"/>
    <w:rsid w:val="00BB7EE0"/>
    <w:rsid w:val="00BC3493"/>
    <w:rsid w:val="00BC4368"/>
    <w:rsid w:val="00BD4ABC"/>
    <w:rsid w:val="00BE346F"/>
    <w:rsid w:val="00BE369E"/>
    <w:rsid w:val="00BF1F90"/>
    <w:rsid w:val="00C01B35"/>
    <w:rsid w:val="00C05D39"/>
    <w:rsid w:val="00C1079E"/>
    <w:rsid w:val="00C10AAF"/>
    <w:rsid w:val="00C15B0E"/>
    <w:rsid w:val="00C2042C"/>
    <w:rsid w:val="00C20D8D"/>
    <w:rsid w:val="00C22546"/>
    <w:rsid w:val="00C303FC"/>
    <w:rsid w:val="00C31F17"/>
    <w:rsid w:val="00C3452B"/>
    <w:rsid w:val="00C35103"/>
    <w:rsid w:val="00C40873"/>
    <w:rsid w:val="00C47D14"/>
    <w:rsid w:val="00C60C8A"/>
    <w:rsid w:val="00C64600"/>
    <w:rsid w:val="00C65E70"/>
    <w:rsid w:val="00C6692F"/>
    <w:rsid w:val="00C70794"/>
    <w:rsid w:val="00C7236B"/>
    <w:rsid w:val="00C830AA"/>
    <w:rsid w:val="00C849C8"/>
    <w:rsid w:val="00C8531A"/>
    <w:rsid w:val="00C910F8"/>
    <w:rsid w:val="00C9209D"/>
    <w:rsid w:val="00C9500F"/>
    <w:rsid w:val="00C969A8"/>
    <w:rsid w:val="00C96FE1"/>
    <w:rsid w:val="00CA1206"/>
    <w:rsid w:val="00CB39A3"/>
    <w:rsid w:val="00CD14C7"/>
    <w:rsid w:val="00CE65E1"/>
    <w:rsid w:val="00CE737A"/>
    <w:rsid w:val="00CF2F72"/>
    <w:rsid w:val="00CF3955"/>
    <w:rsid w:val="00D04321"/>
    <w:rsid w:val="00D05572"/>
    <w:rsid w:val="00D132FE"/>
    <w:rsid w:val="00D1651F"/>
    <w:rsid w:val="00D211BC"/>
    <w:rsid w:val="00D24050"/>
    <w:rsid w:val="00D25914"/>
    <w:rsid w:val="00D25EC0"/>
    <w:rsid w:val="00D41F63"/>
    <w:rsid w:val="00D45A36"/>
    <w:rsid w:val="00D4660C"/>
    <w:rsid w:val="00D47AE1"/>
    <w:rsid w:val="00D65280"/>
    <w:rsid w:val="00D67A2C"/>
    <w:rsid w:val="00D73132"/>
    <w:rsid w:val="00D860E3"/>
    <w:rsid w:val="00DB27D5"/>
    <w:rsid w:val="00DB5787"/>
    <w:rsid w:val="00DC4346"/>
    <w:rsid w:val="00DE42D2"/>
    <w:rsid w:val="00DE4695"/>
    <w:rsid w:val="00DE63D3"/>
    <w:rsid w:val="00DE7E27"/>
    <w:rsid w:val="00DF08DB"/>
    <w:rsid w:val="00DF56A1"/>
    <w:rsid w:val="00E03189"/>
    <w:rsid w:val="00E07811"/>
    <w:rsid w:val="00E15995"/>
    <w:rsid w:val="00E15C1B"/>
    <w:rsid w:val="00E1640F"/>
    <w:rsid w:val="00E312EF"/>
    <w:rsid w:val="00E41E54"/>
    <w:rsid w:val="00E43E25"/>
    <w:rsid w:val="00E444A2"/>
    <w:rsid w:val="00E4795B"/>
    <w:rsid w:val="00E54BCA"/>
    <w:rsid w:val="00E60DE3"/>
    <w:rsid w:val="00E61D15"/>
    <w:rsid w:val="00E623E2"/>
    <w:rsid w:val="00E6470C"/>
    <w:rsid w:val="00E6676D"/>
    <w:rsid w:val="00E66CD3"/>
    <w:rsid w:val="00E747C2"/>
    <w:rsid w:val="00E7489B"/>
    <w:rsid w:val="00E76BD6"/>
    <w:rsid w:val="00E81800"/>
    <w:rsid w:val="00E833D2"/>
    <w:rsid w:val="00E86121"/>
    <w:rsid w:val="00E86E74"/>
    <w:rsid w:val="00E9142E"/>
    <w:rsid w:val="00E92A28"/>
    <w:rsid w:val="00E92A6B"/>
    <w:rsid w:val="00EA6DE7"/>
    <w:rsid w:val="00EB13C2"/>
    <w:rsid w:val="00EB3835"/>
    <w:rsid w:val="00EC42E6"/>
    <w:rsid w:val="00EC53A5"/>
    <w:rsid w:val="00EC78BB"/>
    <w:rsid w:val="00ED4592"/>
    <w:rsid w:val="00ED55BF"/>
    <w:rsid w:val="00ED6A86"/>
    <w:rsid w:val="00ED6B52"/>
    <w:rsid w:val="00EE3539"/>
    <w:rsid w:val="00F068AD"/>
    <w:rsid w:val="00F13A90"/>
    <w:rsid w:val="00F23B9B"/>
    <w:rsid w:val="00F23F78"/>
    <w:rsid w:val="00F27C7D"/>
    <w:rsid w:val="00F370D0"/>
    <w:rsid w:val="00F43304"/>
    <w:rsid w:val="00F458B1"/>
    <w:rsid w:val="00F51EEA"/>
    <w:rsid w:val="00F530B4"/>
    <w:rsid w:val="00F54D81"/>
    <w:rsid w:val="00F57C34"/>
    <w:rsid w:val="00F57D37"/>
    <w:rsid w:val="00F65DB1"/>
    <w:rsid w:val="00F82B82"/>
    <w:rsid w:val="00F870FC"/>
    <w:rsid w:val="00F9534B"/>
    <w:rsid w:val="00F973DB"/>
    <w:rsid w:val="00FA2575"/>
    <w:rsid w:val="00FA57CC"/>
    <w:rsid w:val="00FB2A87"/>
    <w:rsid w:val="00FB7BF9"/>
    <w:rsid w:val="00FD1375"/>
    <w:rsid w:val="00FD3B82"/>
    <w:rsid w:val="00FD6B2E"/>
    <w:rsid w:val="00FE02FD"/>
    <w:rsid w:val="00FE5B16"/>
    <w:rsid w:val="00FF08A7"/>
    <w:rsid w:val="00FF7C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DF699F"/>
  <w15:chartTrackingRefBased/>
  <w15:docId w15:val="{6E709927-6318-4FF1-B8E0-1F1FA201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52B"/>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C3452B"/>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C3452B"/>
    <w:pPr>
      <w:spacing w:before="480" w:after="200"/>
      <w:outlineLvl w:val="1"/>
    </w:pPr>
    <w:rPr>
      <w:caps w:val="0"/>
      <w:sz w:val="26"/>
    </w:rPr>
  </w:style>
  <w:style w:type="paragraph" w:styleId="Heading3">
    <w:name w:val="heading 3"/>
    <w:basedOn w:val="Heading2"/>
    <w:next w:val="base-text-paragraph"/>
    <w:link w:val="Heading3Char"/>
    <w:qFormat/>
    <w:rsid w:val="00C3452B"/>
    <w:pPr>
      <w:spacing w:before="240"/>
      <w:outlineLvl w:val="2"/>
    </w:pPr>
    <w:rPr>
      <w:sz w:val="22"/>
    </w:rPr>
  </w:style>
  <w:style w:type="paragraph" w:styleId="Heading4">
    <w:name w:val="heading 4"/>
    <w:basedOn w:val="Heading3"/>
    <w:next w:val="base-text-paragraph"/>
    <w:link w:val="Heading4Char"/>
    <w:qFormat/>
    <w:rsid w:val="00C3452B"/>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C3452B"/>
    <w:pPr>
      <w:spacing w:after="60"/>
      <w:outlineLvl w:val="4"/>
    </w:pPr>
    <w:rPr>
      <w:b w:val="0"/>
      <w:bCs/>
      <w:iCs/>
      <w:szCs w:val="26"/>
    </w:rPr>
  </w:style>
  <w:style w:type="paragraph" w:styleId="Heading6">
    <w:name w:val="heading 6"/>
    <w:basedOn w:val="Heading5"/>
    <w:next w:val="base-text-paragraph"/>
    <w:link w:val="Heading6Char"/>
    <w:qFormat/>
    <w:rsid w:val="00C3452B"/>
    <w:pPr>
      <w:outlineLvl w:val="5"/>
    </w:pPr>
    <w:rPr>
      <w:bCs w:val="0"/>
      <w:i w:val="0"/>
      <w:szCs w:val="22"/>
      <w:u w:val="single"/>
    </w:rPr>
  </w:style>
  <w:style w:type="paragraph" w:styleId="Heading7">
    <w:name w:val="heading 7"/>
    <w:basedOn w:val="Normal"/>
    <w:next w:val="Normal"/>
    <w:link w:val="Heading7Char"/>
    <w:qFormat/>
    <w:rsid w:val="00C3452B"/>
    <w:pPr>
      <w:spacing w:before="240" w:after="60"/>
      <w:outlineLvl w:val="6"/>
    </w:pPr>
    <w:rPr>
      <w:sz w:val="24"/>
      <w:szCs w:val="24"/>
    </w:rPr>
  </w:style>
  <w:style w:type="paragraph" w:styleId="Heading8">
    <w:name w:val="heading 8"/>
    <w:basedOn w:val="Normal"/>
    <w:next w:val="Normal"/>
    <w:link w:val="Heading8Char"/>
    <w:qFormat/>
    <w:rsid w:val="00C3452B"/>
    <w:pPr>
      <w:spacing w:before="240" w:after="60"/>
      <w:outlineLvl w:val="7"/>
    </w:pPr>
    <w:rPr>
      <w:i/>
      <w:iCs/>
      <w:sz w:val="24"/>
      <w:szCs w:val="24"/>
    </w:rPr>
  </w:style>
  <w:style w:type="paragraph" w:styleId="Heading9">
    <w:name w:val="heading 9"/>
    <w:basedOn w:val="Normal"/>
    <w:next w:val="Normal"/>
    <w:link w:val="Heading9Char"/>
    <w:qFormat/>
    <w:rsid w:val="00C3452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52B"/>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C3452B"/>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C3452B"/>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C3452B"/>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C3452B"/>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C3452B"/>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C3452B"/>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C3452B"/>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C3452B"/>
    <w:rPr>
      <w:rFonts w:ascii="Arial" w:eastAsia="Times New Roman" w:hAnsi="Arial" w:cs="Arial"/>
      <w:lang w:eastAsia="en-AU"/>
    </w:rPr>
  </w:style>
  <w:style w:type="numbering" w:styleId="111111">
    <w:name w:val="Outline List 2"/>
    <w:basedOn w:val="NoList"/>
    <w:semiHidden/>
    <w:rsid w:val="00C3452B"/>
    <w:pPr>
      <w:numPr>
        <w:numId w:val="1"/>
      </w:numPr>
    </w:pPr>
  </w:style>
  <w:style w:type="numbering" w:styleId="1ai">
    <w:name w:val="Outline List 1"/>
    <w:basedOn w:val="NoList"/>
    <w:semiHidden/>
    <w:rsid w:val="00C3452B"/>
    <w:pPr>
      <w:numPr>
        <w:numId w:val="4"/>
      </w:numPr>
    </w:pPr>
  </w:style>
  <w:style w:type="numbering" w:styleId="ArticleSection">
    <w:name w:val="Outline List 3"/>
    <w:basedOn w:val="NoList"/>
    <w:semiHidden/>
    <w:rsid w:val="00C3452B"/>
    <w:pPr>
      <w:numPr>
        <w:numId w:val="6"/>
      </w:numPr>
    </w:pPr>
  </w:style>
  <w:style w:type="paragraph" w:customStyle="1" w:styleId="Baseparagraphcentred">
    <w:name w:val="Base paragraph centred"/>
    <w:basedOn w:val="Normal"/>
    <w:rsid w:val="00C3452B"/>
    <w:pPr>
      <w:spacing w:before="200" w:after="200"/>
      <w:jc w:val="center"/>
    </w:pPr>
  </w:style>
  <w:style w:type="paragraph" w:customStyle="1" w:styleId="base-text-paragraph">
    <w:name w:val="base-text-paragraph"/>
    <w:basedOn w:val="Normal"/>
    <w:link w:val="base-text-paragraphChar"/>
    <w:qFormat/>
    <w:rsid w:val="00C3452B"/>
    <w:pPr>
      <w:numPr>
        <w:ilvl w:val="1"/>
        <w:numId w:val="30"/>
      </w:numPr>
    </w:pPr>
  </w:style>
  <w:style w:type="character" w:customStyle="1" w:styleId="base-text-paragraphChar">
    <w:name w:val="base-text-paragraph Char"/>
    <w:basedOn w:val="DefaultParagraphFont"/>
    <w:link w:val="base-text-paragraph"/>
    <w:rsid w:val="00C3452B"/>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C3452B"/>
    <w:pPr>
      <w:ind w:left="1134"/>
    </w:pPr>
  </w:style>
  <w:style w:type="paragraph" w:customStyle="1" w:styleId="BillName">
    <w:name w:val="Bill Name"/>
    <w:basedOn w:val="Normal"/>
    <w:next w:val="Baseparagraphcentred"/>
    <w:rsid w:val="00C3452B"/>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C3452B"/>
    <w:pPr>
      <w:ind w:left="1440" w:right="1440"/>
    </w:pPr>
  </w:style>
  <w:style w:type="paragraph" w:styleId="BodyText">
    <w:name w:val="Body Text"/>
    <w:basedOn w:val="Normal"/>
    <w:link w:val="BodyTextChar"/>
    <w:semiHidden/>
    <w:rsid w:val="00C3452B"/>
  </w:style>
  <w:style w:type="character" w:customStyle="1" w:styleId="BodyTextChar">
    <w:name w:val="Body Text Char"/>
    <w:basedOn w:val="DefaultParagraphFont"/>
    <w:link w:val="BodyText"/>
    <w:semiHidden/>
    <w:rsid w:val="00C3452B"/>
    <w:rPr>
      <w:rFonts w:ascii="Times New Roman" w:eastAsia="Times New Roman" w:hAnsi="Times New Roman" w:cs="Times New Roman"/>
      <w:szCs w:val="20"/>
      <w:lang w:eastAsia="en-AU"/>
    </w:rPr>
  </w:style>
  <w:style w:type="paragraph" w:styleId="BodyText2">
    <w:name w:val="Body Text 2"/>
    <w:basedOn w:val="Normal"/>
    <w:link w:val="BodyText2Char"/>
    <w:semiHidden/>
    <w:rsid w:val="00C3452B"/>
    <w:pPr>
      <w:spacing w:line="480" w:lineRule="auto"/>
    </w:pPr>
  </w:style>
  <w:style w:type="character" w:customStyle="1" w:styleId="BodyText2Char">
    <w:name w:val="Body Text 2 Char"/>
    <w:basedOn w:val="DefaultParagraphFont"/>
    <w:link w:val="BodyText2"/>
    <w:semiHidden/>
    <w:rsid w:val="00C3452B"/>
    <w:rPr>
      <w:rFonts w:ascii="Times New Roman" w:eastAsia="Times New Roman" w:hAnsi="Times New Roman" w:cs="Times New Roman"/>
      <w:szCs w:val="20"/>
      <w:lang w:eastAsia="en-AU"/>
    </w:rPr>
  </w:style>
  <w:style w:type="paragraph" w:styleId="BodyText3">
    <w:name w:val="Body Text 3"/>
    <w:basedOn w:val="Normal"/>
    <w:link w:val="BodyText3Char"/>
    <w:semiHidden/>
    <w:rsid w:val="00C3452B"/>
    <w:rPr>
      <w:sz w:val="16"/>
      <w:szCs w:val="16"/>
    </w:rPr>
  </w:style>
  <w:style w:type="character" w:customStyle="1" w:styleId="BodyText3Char">
    <w:name w:val="Body Text 3 Char"/>
    <w:basedOn w:val="DefaultParagraphFont"/>
    <w:link w:val="BodyText3"/>
    <w:semiHidden/>
    <w:rsid w:val="00C3452B"/>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C3452B"/>
    <w:pPr>
      <w:ind w:firstLine="210"/>
    </w:pPr>
  </w:style>
  <w:style w:type="character" w:customStyle="1" w:styleId="BodyTextFirstIndentChar">
    <w:name w:val="Body Text First Indent Char"/>
    <w:basedOn w:val="BodyTextChar"/>
    <w:link w:val="BodyTextFirstIndent"/>
    <w:semiHidden/>
    <w:rsid w:val="00C3452B"/>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C3452B"/>
    <w:pPr>
      <w:ind w:left="283"/>
    </w:pPr>
  </w:style>
  <w:style w:type="character" w:customStyle="1" w:styleId="BodyTextIndentChar">
    <w:name w:val="Body Text Indent Char"/>
    <w:basedOn w:val="DefaultParagraphFont"/>
    <w:link w:val="BodyTextIndent"/>
    <w:semiHidden/>
    <w:rsid w:val="00C3452B"/>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C3452B"/>
    <w:pPr>
      <w:ind w:firstLine="210"/>
    </w:pPr>
  </w:style>
  <w:style w:type="character" w:customStyle="1" w:styleId="BodyTextFirstIndent2Char">
    <w:name w:val="Body Text First Indent 2 Char"/>
    <w:basedOn w:val="BodyTextIndentChar"/>
    <w:link w:val="BodyTextFirstIndent2"/>
    <w:semiHidden/>
    <w:rsid w:val="00C3452B"/>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C3452B"/>
    <w:pPr>
      <w:spacing w:line="480" w:lineRule="auto"/>
      <w:ind w:left="283"/>
    </w:pPr>
  </w:style>
  <w:style w:type="character" w:customStyle="1" w:styleId="BodyTextIndent2Char">
    <w:name w:val="Body Text Indent 2 Char"/>
    <w:basedOn w:val="DefaultParagraphFont"/>
    <w:link w:val="BodyTextIndent2"/>
    <w:semiHidden/>
    <w:rsid w:val="00C3452B"/>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C3452B"/>
    <w:pPr>
      <w:ind w:left="283"/>
    </w:pPr>
    <w:rPr>
      <w:sz w:val="16"/>
      <w:szCs w:val="16"/>
    </w:rPr>
  </w:style>
  <w:style w:type="character" w:customStyle="1" w:styleId="BodyTextIndent3Char">
    <w:name w:val="Body Text Indent 3 Char"/>
    <w:basedOn w:val="DefaultParagraphFont"/>
    <w:link w:val="BodyTextIndent3"/>
    <w:semiHidden/>
    <w:rsid w:val="00C3452B"/>
    <w:rPr>
      <w:rFonts w:ascii="Times New Roman" w:eastAsia="Times New Roman" w:hAnsi="Times New Roman" w:cs="Times New Roman"/>
      <w:sz w:val="16"/>
      <w:szCs w:val="16"/>
      <w:lang w:eastAsia="en-AU"/>
    </w:rPr>
  </w:style>
  <w:style w:type="character" w:customStyle="1" w:styleId="Bold">
    <w:name w:val="Bold"/>
    <w:basedOn w:val="DefaultParagraphFont"/>
    <w:rsid w:val="00C3452B"/>
    <w:rPr>
      <w:b/>
    </w:rPr>
  </w:style>
  <w:style w:type="character" w:customStyle="1" w:styleId="BoldItalic">
    <w:name w:val="BoldItalic"/>
    <w:basedOn w:val="DefaultParagraphFont"/>
    <w:rsid w:val="00C3452B"/>
    <w:rPr>
      <w:b/>
      <w:i/>
    </w:rPr>
  </w:style>
  <w:style w:type="paragraph" w:customStyle="1" w:styleId="BTPwithextraspacing">
    <w:name w:val="BTP with extra spacing"/>
    <w:basedOn w:val="Normal"/>
    <w:rsid w:val="00C3452B"/>
    <w:pPr>
      <w:spacing w:before="360" w:after="360"/>
      <w:ind w:left="1134"/>
    </w:pPr>
  </w:style>
  <w:style w:type="paragraph" w:customStyle="1" w:styleId="ChapterHeading">
    <w:name w:val="Chapter Heading"/>
    <w:next w:val="Heading2"/>
    <w:rsid w:val="00C3452B"/>
    <w:pPr>
      <w:numPr>
        <w:numId w:val="9"/>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C3452B"/>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C3452B"/>
    <w:pPr>
      <w:numPr>
        <w:numId w:val="9"/>
      </w:numPr>
    </w:pPr>
  </w:style>
  <w:style w:type="paragraph" w:styleId="Closing">
    <w:name w:val="Closing"/>
    <w:basedOn w:val="Normal"/>
    <w:link w:val="ClosingChar"/>
    <w:semiHidden/>
    <w:rsid w:val="00C3452B"/>
    <w:pPr>
      <w:ind w:left="4252"/>
    </w:pPr>
  </w:style>
  <w:style w:type="character" w:customStyle="1" w:styleId="ClosingChar">
    <w:name w:val="Closing Char"/>
    <w:basedOn w:val="DefaultParagraphFont"/>
    <w:link w:val="Closing"/>
    <w:semiHidden/>
    <w:rsid w:val="00C3452B"/>
    <w:rPr>
      <w:rFonts w:ascii="Times New Roman" w:eastAsia="Times New Roman" w:hAnsi="Times New Roman" w:cs="Times New Roman"/>
      <w:szCs w:val="20"/>
      <w:lang w:eastAsia="en-AU"/>
    </w:rPr>
  </w:style>
  <w:style w:type="paragraph" w:styleId="Date">
    <w:name w:val="Date"/>
    <w:basedOn w:val="Normal"/>
    <w:next w:val="Normal"/>
    <w:link w:val="DateChar"/>
    <w:semiHidden/>
    <w:rsid w:val="00C3452B"/>
  </w:style>
  <w:style w:type="character" w:customStyle="1" w:styleId="DateChar">
    <w:name w:val="Date Char"/>
    <w:basedOn w:val="DefaultParagraphFont"/>
    <w:link w:val="Date"/>
    <w:semiHidden/>
    <w:rsid w:val="00C3452B"/>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C3452B"/>
    <w:pPr>
      <w:keepNext/>
      <w:numPr>
        <w:ilvl w:val="2"/>
        <w:numId w:val="9"/>
      </w:numPr>
      <w:spacing w:before="0" w:after="0"/>
    </w:pPr>
    <w:rPr>
      <w:b/>
    </w:rPr>
  </w:style>
  <w:style w:type="paragraph" w:customStyle="1" w:styleId="dotpoint">
    <w:name w:val="dot point"/>
    <w:basedOn w:val="Normal"/>
    <w:rsid w:val="00C3452B"/>
    <w:pPr>
      <w:numPr>
        <w:numId w:val="11"/>
      </w:numPr>
    </w:pPr>
  </w:style>
  <w:style w:type="paragraph" w:customStyle="1" w:styleId="dotpoint2">
    <w:name w:val="dot point 2"/>
    <w:basedOn w:val="Normal"/>
    <w:rsid w:val="00C3452B"/>
    <w:pPr>
      <w:numPr>
        <w:ilvl w:val="1"/>
        <w:numId w:val="12"/>
      </w:numPr>
    </w:pPr>
  </w:style>
  <w:style w:type="numbering" w:customStyle="1" w:styleId="DotPointList">
    <w:name w:val="Dot Point List"/>
    <w:uiPriority w:val="99"/>
    <w:rsid w:val="00C3452B"/>
    <w:pPr>
      <w:numPr>
        <w:numId w:val="12"/>
      </w:numPr>
    </w:pPr>
  </w:style>
  <w:style w:type="paragraph" w:styleId="E-mailSignature">
    <w:name w:val="E-mail Signature"/>
    <w:basedOn w:val="Normal"/>
    <w:link w:val="E-mailSignatureChar"/>
    <w:semiHidden/>
    <w:rsid w:val="00C3452B"/>
  </w:style>
  <w:style w:type="character" w:customStyle="1" w:styleId="E-mailSignatureChar">
    <w:name w:val="E-mail Signature Char"/>
    <w:basedOn w:val="DefaultParagraphFont"/>
    <w:link w:val="E-mailSignature"/>
    <w:semiHidden/>
    <w:rsid w:val="00C3452B"/>
    <w:rPr>
      <w:rFonts w:ascii="Times New Roman" w:eastAsia="Times New Roman" w:hAnsi="Times New Roman" w:cs="Times New Roman"/>
      <w:szCs w:val="20"/>
      <w:lang w:eastAsia="en-AU"/>
    </w:rPr>
  </w:style>
  <w:style w:type="character" w:styleId="Emphasis">
    <w:name w:val="Emphasis"/>
    <w:basedOn w:val="DefaultParagraphFont"/>
    <w:qFormat/>
    <w:rsid w:val="00C3452B"/>
    <w:rPr>
      <w:i/>
      <w:iCs/>
    </w:rPr>
  </w:style>
  <w:style w:type="paragraph" w:styleId="EnvelopeAddress">
    <w:name w:val="envelope address"/>
    <w:basedOn w:val="Normal"/>
    <w:semiHidden/>
    <w:rsid w:val="00C3452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452B"/>
    <w:rPr>
      <w:rFonts w:ascii="Arial" w:hAnsi="Arial" w:cs="Arial"/>
      <w:sz w:val="20"/>
    </w:rPr>
  </w:style>
  <w:style w:type="paragraph" w:customStyle="1" w:styleId="exampletext">
    <w:name w:val="example text"/>
    <w:basedOn w:val="Normal"/>
    <w:rsid w:val="00C3452B"/>
    <w:pPr>
      <w:ind w:left="1985"/>
    </w:pPr>
    <w:rPr>
      <w:sz w:val="20"/>
    </w:rPr>
  </w:style>
  <w:style w:type="paragraph" w:customStyle="1" w:styleId="exampledotpoint1">
    <w:name w:val="example dot point 1"/>
    <w:basedOn w:val="exampletext"/>
    <w:rsid w:val="00C3452B"/>
    <w:pPr>
      <w:numPr>
        <w:numId w:val="13"/>
      </w:numPr>
      <w:spacing w:before="200" w:after="200"/>
      <w:ind w:left="2269" w:hanging="284"/>
    </w:pPr>
  </w:style>
  <w:style w:type="paragraph" w:customStyle="1" w:styleId="exampledotpoint2">
    <w:name w:val="example dot point 2"/>
    <w:basedOn w:val="exampletext"/>
    <w:rsid w:val="00C3452B"/>
    <w:pPr>
      <w:numPr>
        <w:ilvl w:val="1"/>
        <w:numId w:val="13"/>
      </w:numPr>
      <w:spacing w:before="200" w:after="200"/>
    </w:pPr>
  </w:style>
  <w:style w:type="numbering" w:customStyle="1" w:styleId="ExampleDotPointList">
    <w:name w:val="Example Dot Point List"/>
    <w:uiPriority w:val="99"/>
    <w:rsid w:val="00C3452B"/>
    <w:pPr>
      <w:numPr>
        <w:numId w:val="13"/>
      </w:numPr>
    </w:pPr>
  </w:style>
  <w:style w:type="paragraph" w:customStyle="1" w:styleId="ExampleHeading">
    <w:name w:val="Example Heading"/>
    <w:basedOn w:val="Normal"/>
    <w:next w:val="exampletext"/>
    <w:rsid w:val="00C3452B"/>
    <w:pPr>
      <w:keepNext/>
      <w:numPr>
        <w:ilvl w:val="3"/>
        <w:numId w:val="9"/>
      </w:numPr>
    </w:pPr>
    <w:rPr>
      <w:b/>
    </w:rPr>
  </w:style>
  <w:style w:type="paragraph" w:customStyle="1" w:styleId="exampleindent">
    <w:name w:val="example indent"/>
    <w:basedOn w:val="exampletext"/>
    <w:rsid w:val="00C3452B"/>
    <w:pPr>
      <w:ind w:left="2268"/>
    </w:pPr>
  </w:style>
  <w:style w:type="character" w:styleId="FollowedHyperlink">
    <w:name w:val="FollowedHyperlink"/>
    <w:basedOn w:val="DefaultParagraphFont"/>
    <w:rsid w:val="00C3452B"/>
    <w:rPr>
      <w:color w:val="954F72" w:themeColor="followedHyperlink"/>
      <w:u w:val="single"/>
    </w:rPr>
  </w:style>
  <w:style w:type="character" w:customStyle="1" w:styleId="Font15point">
    <w:name w:val="Font 15 point"/>
    <w:basedOn w:val="DefaultParagraphFont"/>
    <w:rsid w:val="00C3452B"/>
    <w:rPr>
      <w:sz w:val="30"/>
    </w:rPr>
  </w:style>
  <w:style w:type="character" w:customStyle="1" w:styleId="Font19point">
    <w:name w:val="Font 19 point"/>
    <w:basedOn w:val="DefaultParagraphFont"/>
    <w:rsid w:val="00C3452B"/>
    <w:rPr>
      <w:sz w:val="38"/>
    </w:rPr>
  </w:style>
  <w:style w:type="character" w:customStyle="1" w:styleId="Font30point">
    <w:name w:val="Font 30 point"/>
    <w:basedOn w:val="DefaultParagraphFont"/>
    <w:rsid w:val="00C3452B"/>
    <w:rPr>
      <w:sz w:val="60"/>
    </w:rPr>
  </w:style>
  <w:style w:type="paragraph" w:styleId="Footer">
    <w:name w:val="footer"/>
    <w:basedOn w:val="Normal"/>
    <w:link w:val="FooterChar"/>
    <w:semiHidden/>
    <w:rsid w:val="00C3452B"/>
    <w:pPr>
      <w:tabs>
        <w:tab w:val="center" w:pos="4153"/>
        <w:tab w:val="right" w:pos="8306"/>
      </w:tabs>
    </w:pPr>
  </w:style>
  <w:style w:type="character" w:customStyle="1" w:styleId="FooterChar">
    <w:name w:val="Footer Char"/>
    <w:basedOn w:val="DefaultParagraphFont"/>
    <w:link w:val="Footer"/>
    <w:semiHidden/>
    <w:rsid w:val="00C3452B"/>
    <w:rPr>
      <w:rFonts w:ascii="Times New Roman" w:eastAsia="Times New Roman" w:hAnsi="Times New Roman" w:cs="Times New Roman"/>
      <w:szCs w:val="20"/>
      <w:lang w:eastAsia="en-AU"/>
    </w:rPr>
  </w:style>
  <w:style w:type="paragraph" w:styleId="FootnoteText">
    <w:name w:val="footnote text"/>
    <w:basedOn w:val="Normal"/>
    <w:link w:val="FootnoteTextChar"/>
    <w:rsid w:val="00C3452B"/>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C3452B"/>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C3452B"/>
    <w:pPr>
      <w:spacing w:before="60" w:after="60"/>
    </w:pPr>
    <w:rPr>
      <w:sz w:val="20"/>
    </w:rPr>
  </w:style>
  <w:style w:type="paragraph" w:styleId="Header">
    <w:name w:val="header"/>
    <w:basedOn w:val="Normal"/>
    <w:link w:val="HeaderChar"/>
    <w:semiHidden/>
    <w:rsid w:val="00C3452B"/>
    <w:pPr>
      <w:tabs>
        <w:tab w:val="center" w:pos="4153"/>
        <w:tab w:val="right" w:pos="8306"/>
      </w:tabs>
    </w:pPr>
  </w:style>
  <w:style w:type="character" w:customStyle="1" w:styleId="HeaderChar">
    <w:name w:val="Header Char"/>
    <w:basedOn w:val="DefaultParagraphFont"/>
    <w:link w:val="Header"/>
    <w:semiHidden/>
    <w:rsid w:val="00C3452B"/>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C3452B"/>
    <w:pPr>
      <w:spacing w:after="360"/>
    </w:pPr>
  </w:style>
  <w:style w:type="paragraph" w:customStyle="1" w:styleId="Hiddentext">
    <w:name w:val="Hiddentext"/>
    <w:basedOn w:val="Normal"/>
    <w:rsid w:val="00C3452B"/>
    <w:rPr>
      <w:vanish/>
    </w:rPr>
  </w:style>
  <w:style w:type="character" w:styleId="HTMLAcronym">
    <w:name w:val="HTML Acronym"/>
    <w:basedOn w:val="DefaultParagraphFont"/>
    <w:semiHidden/>
    <w:rsid w:val="00C3452B"/>
  </w:style>
  <w:style w:type="paragraph" w:styleId="HTMLAddress">
    <w:name w:val="HTML Address"/>
    <w:basedOn w:val="Normal"/>
    <w:link w:val="HTMLAddressChar"/>
    <w:semiHidden/>
    <w:rsid w:val="00C3452B"/>
    <w:rPr>
      <w:i/>
      <w:iCs/>
    </w:rPr>
  </w:style>
  <w:style w:type="character" w:customStyle="1" w:styleId="HTMLAddressChar">
    <w:name w:val="HTML Address Char"/>
    <w:basedOn w:val="DefaultParagraphFont"/>
    <w:link w:val="HTMLAddress"/>
    <w:semiHidden/>
    <w:rsid w:val="00C3452B"/>
    <w:rPr>
      <w:rFonts w:ascii="Times New Roman" w:eastAsia="Times New Roman" w:hAnsi="Times New Roman" w:cs="Times New Roman"/>
      <w:i/>
      <w:iCs/>
      <w:szCs w:val="20"/>
      <w:lang w:eastAsia="en-AU"/>
    </w:rPr>
  </w:style>
  <w:style w:type="character" w:styleId="HTMLCite">
    <w:name w:val="HTML Cite"/>
    <w:basedOn w:val="DefaultParagraphFont"/>
    <w:semiHidden/>
    <w:rsid w:val="00C3452B"/>
    <w:rPr>
      <w:i/>
      <w:iCs/>
    </w:rPr>
  </w:style>
  <w:style w:type="character" w:styleId="HTMLCode">
    <w:name w:val="HTML Code"/>
    <w:basedOn w:val="DefaultParagraphFont"/>
    <w:semiHidden/>
    <w:rsid w:val="00C3452B"/>
    <w:rPr>
      <w:rFonts w:ascii="Courier New" w:hAnsi="Courier New" w:cs="Courier New"/>
      <w:sz w:val="20"/>
      <w:szCs w:val="20"/>
    </w:rPr>
  </w:style>
  <w:style w:type="character" w:styleId="HTMLDefinition">
    <w:name w:val="HTML Definition"/>
    <w:basedOn w:val="DefaultParagraphFont"/>
    <w:semiHidden/>
    <w:rsid w:val="00C3452B"/>
    <w:rPr>
      <w:i/>
      <w:iCs/>
    </w:rPr>
  </w:style>
  <w:style w:type="character" w:styleId="HTMLKeyboard">
    <w:name w:val="HTML Keyboard"/>
    <w:basedOn w:val="DefaultParagraphFont"/>
    <w:semiHidden/>
    <w:rsid w:val="00C3452B"/>
    <w:rPr>
      <w:rFonts w:ascii="Courier New" w:hAnsi="Courier New" w:cs="Courier New"/>
      <w:sz w:val="20"/>
      <w:szCs w:val="20"/>
    </w:rPr>
  </w:style>
  <w:style w:type="paragraph" w:styleId="HTMLPreformatted">
    <w:name w:val="HTML Preformatted"/>
    <w:basedOn w:val="Normal"/>
    <w:link w:val="HTMLPreformattedChar"/>
    <w:semiHidden/>
    <w:rsid w:val="00C3452B"/>
    <w:rPr>
      <w:rFonts w:ascii="Courier New" w:hAnsi="Courier New" w:cs="Courier New"/>
      <w:sz w:val="20"/>
    </w:rPr>
  </w:style>
  <w:style w:type="character" w:customStyle="1" w:styleId="HTMLPreformattedChar">
    <w:name w:val="HTML Preformatted Char"/>
    <w:basedOn w:val="DefaultParagraphFont"/>
    <w:link w:val="HTMLPreformatted"/>
    <w:semiHidden/>
    <w:rsid w:val="00C3452B"/>
    <w:rPr>
      <w:rFonts w:ascii="Courier New" w:eastAsia="Times New Roman" w:hAnsi="Courier New" w:cs="Courier New"/>
      <w:sz w:val="20"/>
      <w:szCs w:val="20"/>
      <w:lang w:eastAsia="en-AU"/>
    </w:rPr>
  </w:style>
  <w:style w:type="character" w:styleId="HTMLSample">
    <w:name w:val="HTML Sample"/>
    <w:basedOn w:val="DefaultParagraphFont"/>
    <w:semiHidden/>
    <w:rsid w:val="00C3452B"/>
    <w:rPr>
      <w:rFonts w:ascii="Courier New" w:hAnsi="Courier New" w:cs="Courier New"/>
    </w:rPr>
  </w:style>
  <w:style w:type="character" w:styleId="HTMLTypewriter">
    <w:name w:val="HTML Typewriter"/>
    <w:basedOn w:val="DefaultParagraphFont"/>
    <w:semiHidden/>
    <w:rsid w:val="00C3452B"/>
    <w:rPr>
      <w:rFonts w:ascii="Courier New" w:hAnsi="Courier New" w:cs="Courier New"/>
      <w:sz w:val="20"/>
      <w:szCs w:val="20"/>
    </w:rPr>
  </w:style>
  <w:style w:type="character" w:styleId="HTMLVariable">
    <w:name w:val="HTML Variable"/>
    <w:basedOn w:val="DefaultParagraphFont"/>
    <w:semiHidden/>
    <w:rsid w:val="00C3452B"/>
    <w:rPr>
      <w:i/>
      <w:iCs/>
    </w:rPr>
  </w:style>
  <w:style w:type="character" w:styleId="Hyperlink">
    <w:name w:val="Hyperlink"/>
    <w:basedOn w:val="DefaultParagraphFont"/>
    <w:uiPriority w:val="99"/>
    <w:rsid w:val="00C3452B"/>
    <w:rPr>
      <w:color w:val="0563C1" w:themeColor="hyperlink"/>
      <w:u w:val="single"/>
    </w:rPr>
  </w:style>
  <w:style w:type="character" w:customStyle="1" w:styleId="Italic">
    <w:name w:val="Italic"/>
    <w:basedOn w:val="DefaultParagraphFont"/>
    <w:rsid w:val="00C3452B"/>
    <w:rPr>
      <w:i/>
    </w:rPr>
  </w:style>
  <w:style w:type="paragraph" w:customStyle="1" w:styleId="leftfooter">
    <w:name w:val="left footer"/>
    <w:basedOn w:val="Normal"/>
    <w:rsid w:val="00C3452B"/>
    <w:pPr>
      <w:pBdr>
        <w:top w:val="single" w:sz="4" w:space="1" w:color="auto"/>
      </w:pBdr>
      <w:spacing w:before="240" w:after="0"/>
    </w:pPr>
    <w:rPr>
      <w:i/>
      <w:sz w:val="20"/>
    </w:rPr>
  </w:style>
  <w:style w:type="paragraph" w:customStyle="1" w:styleId="leftheader">
    <w:name w:val="left header"/>
    <w:basedOn w:val="Normal"/>
    <w:rsid w:val="00C3452B"/>
    <w:pPr>
      <w:pBdr>
        <w:bottom w:val="single" w:sz="4" w:space="1" w:color="auto"/>
      </w:pBdr>
    </w:pPr>
    <w:rPr>
      <w:i/>
      <w:sz w:val="20"/>
    </w:rPr>
  </w:style>
  <w:style w:type="character" w:styleId="LineNumber">
    <w:name w:val="line number"/>
    <w:basedOn w:val="DefaultParagraphFont"/>
    <w:semiHidden/>
    <w:rsid w:val="00C3452B"/>
  </w:style>
  <w:style w:type="paragraph" w:styleId="List">
    <w:name w:val="List"/>
    <w:basedOn w:val="Normal"/>
    <w:semiHidden/>
    <w:rsid w:val="00C3452B"/>
    <w:pPr>
      <w:ind w:left="283" w:hanging="283"/>
    </w:pPr>
  </w:style>
  <w:style w:type="paragraph" w:styleId="List2">
    <w:name w:val="List 2"/>
    <w:basedOn w:val="Normal"/>
    <w:semiHidden/>
    <w:rsid w:val="00C3452B"/>
    <w:pPr>
      <w:ind w:left="566" w:hanging="283"/>
    </w:pPr>
  </w:style>
  <w:style w:type="paragraph" w:styleId="List3">
    <w:name w:val="List 3"/>
    <w:basedOn w:val="Normal"/>
    <w:semiHidden/>
    <w:rsid w:val="00C3452B"/>
    <w:pPr>
      <w:ind w:left="849" w:hanging="283"/>
    </w:pPr>
  </w:style>
  <w:style w:type="paragraph" w:styleId="List4">
    <w:name w:val="List 4"/>
    <w:basedOn w:val="Normal"/>
    <w:semiHidden/>
    <w:rsid w:val="00C3452B"/>
    <w:pPr>
      <w:ind w:left="1132" w:hanging="283"/>
    </w:pPr>
  </w:style>
  <w:style w:type="paragraph" w:styleId="List5">
    <w:name w:val="List 5"/>
    <w:basedOn w:val="Normal"/>
    <w:semiHidden/>
    <w:rsid w:val="00C3452B"/>
    <w:pPr>
      <w:ind w:left="1415" w:hanging="283"/>
    </w:pPr>
  </w:style>
  <w:style w:type="paragraph" w:styleId="ListBullet">
    <w:name w:val="List Bullet"/>
    <w:basedOn w:val="Normal"/>
    <w:semiHidden/>
    <w:rsid w:val="00C3452B"/>
    <w:pPr>
      <w:numPr>
        <w:numId w:val="15"/>
      </w:numPr>
    </w:pPr>
  </w:style>
  <w:style w:type="paragraph" w:styleId="ListBullet2">
    <w:name w:val="List Bullet 2"/>
    <w:basedOn w:val="Normal"/>
    <w:semiHidden/>
    <w:rsid w:val="00C3452B"/>
    <w:pPr>
      <w:numPr>
        <w:numId w:val="16"/>
      </w:numPr>
    </w:pPr>
  </w:style>
  <w:style w:type="paragraph" w:styleId="ListBullet3">
    <w:name w:val="List Bullet 3"/>
    <w:basedOn w:val="Normal"/>
    <w:semiHidden/>
    <w:rsid w:val="00C3452B"/>
    <w:pPr>
      <w:numPr>
        <w:numId w:val="17"/>
      </w:numPr>
    </w:pPr>
  </w:style>
  <w:style w:type="paragraph" w:styleId="ListBullet4">
    <w:name w:val="List Bullet 4"/>
    <w:basedOn w:val="Normal"/>
    <w:semiHidden/>
    <w:rsid w:val="00C3452B"/>
    <w:pPr>
      <w:numPr>
        <w:numId w:val="18"/>
      </w:numPr>
    </w:pPr>
  </w:style>
  <w:style w:type="paragraph" w:styleId="ListBullet5">
    <w:name w:val="List Bullet 5"/>
    <w:basedOn w:val="Normal"/>
    <w:semiHidden/>
    <w:rsid w:val="00C3452B"/>
    <w:pPr>
      <w:numPr>
        <w:numId w:val="19"/>
      </w:numPr>
    </w:pPr>
  </w:style>
  <w:style w:type="paragraph" w:styleId="ListContinue">
    <w:name w:val="List Continue"/>
    <w:basedOn w:val="Normal"/>
    <w:semiHidden/>
    <w:rsid w:val="00C3452B"/>
    <w:pPr>
      <w:ind w:left="283"/>
    </w:pPr>
  </w:style>
  <w:style w:type="paragraph" w:styleId="ListContinue2">
    <w:name w:val="List Continue 2"/>
    <w:basedOn w:val="Normal"/>
    <w:semiHidden/>
    <w:rsid w:val="00C3452B"/>
    <w:pPr>
      <w:ind w:left="566"/>
    </w:pPr>
  </w:style>
  <w:style w:type="paragraph" w:styleId="ListContinue3">
    <w:name w:val="List Continue 3"/>
    <w:basedOn w:val="Normal"/>
    <w:semiHidden/>
    <w:rsid w:val="00C3452B"/>
    <w:pPr>
      <w:ind w:left="849"/>
    </w:pPr>
  </w:style>
  <w:style w:type="paragraph" w:styleId="ListContinue4">
    <w:name w:val="List Continue 4"/>
    <w:basedOn w:val="Normal"/>
    <w:semiHidden/>
    <w:rsid w:val="00C3452B"/>
    <w:pPr>
      <w:ind w:left="1132"/>
    </w:pPr>
  </w:style>
  <w:style w:type="paragraph" w:styleId="ListContinue5">
    <w:name w:val="List Continue 5"/>
    <w:basedOn w:val="Normal"/>
    <w:semiHidden/>
    <w:rsid w:val="00C3452B"/>
    <w:pPr>
      <w:ind w:left="1415"/>
    </w:pPr>
  </w:style>
  <w:style w:type="paragraph" w:styleId="ListNumber">
    <w:name w:val="List Number"/>
    <w:basedOn w:val="Normal"/>
    <w:semiHidden/>
    <w:rsid w:val="00C3452B"/>
    <w:pPr>
      <w:numPr>
        <w:numId w:val="20"/>
      </w:numPr>
    </w:pPr>
  </w:style>
  <w:style w:type="paragraph" w:styleId="ListNumber2">
    <w:name w:val="List Number 2"/>
    <w:basedOn w:val="Normal"/>
    <w:semiHidden/>
    <w:rsid w:val="00C3452B"/>
    <w:pPr>
      <w:numPr>
        <w:numId w:val="21"/>
      </w:numPr>
    </w:pPr>
  </w:style>
  <w:style w:type="paragraph" w:styleId="ListNumber3">
    <w:name w:val="List Number 3"/>
    <w:basedOn w:val="Normal"/>
    <w:semiHidden/>
    <w:rsid w:val="00C3452B"/>
    <w:pPr>
      <w:numPr>
        <w:numId w:val="22"/>
      </w:numPr>
    </w:pPr>
  </w:style>
  <w:style w:type="paragraph" w:styleId="ListNumber4">
    <w:name w:val="List Number 4"/>
    <w:basedOn w:val="Normal"/>
    <w:semiHidden/>
    <w:rsid w:val="00C3452B"/>
    <w:pPr>
      <w:numPr>
        <w:numId w:val="23"/>
      </w:numPr>
    </w:pPr>
  </w:style>
  <w:style w:type="paragraph" w:styleId="ListNumber5">
    <w:name w:val="List Number 5"/>
    <w:basedOn w:val="Normal"/>
    <w:semiHidden/>
    <w:rsid w:val="00C3452B"/>
    <w:pPr>
      <w:numPr>
        <w:numId w:val="24"/>
      </w:numPr>
    </w:pPr>
  </w:style>
  <w:style w:type="paragraph" w:styleId="ListParagraph">
    <w:name w:val="List Paragraph"/>
    <w:basedOn w:val="Normal"/>
    <w:uiPriority w:val="34"/>
    <w:qFormat/>
    <w:rsid w:val="00C3452B"/>
    <w:pPr>
      <w:ind w:left="720"/>
      <w:contextualSpacing/>
    </w:pPr>
  </w:style>
  <w:style w:type="paragraph" w:styleId="MessageHeader">
    <w:name w:val="Message Header"/>
    <w:basedOn w:val="Normal"/>
    <w:link w:val="MessageHeaderChar"/>
    <w:semiHidden/>
    <w:rsid w:val="00C3452B"/>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C3452B"/>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C3452B"/>
    <w:rPr>
      <w:sz w:val="24"/>
      <w:szCs w:val="24"/>
    </w:rPr>
  </w:style>
  <w:style w:type="paragraph" w:styleId="NormalIndent">
    <w:name w:val="Normal Indent"/>
    <w:basedOn w:val="Normal"/>
    <w:semiHidden/>
    <w:rsid w:val="00C3452B"/>
    <w:pPr>
      <w:ind w:left="720"/>
    </w:pPr>
  </w:style>
  <w:style w:type="paragraph" w:styleId="NoteHeading">
    <w:name w:val="Note Heading"/>
    <w:basedOn w:val="Normal"/>
    <w:next w:val="Normal"/>
    <w:link w:val="NoteHeadingChar"/>
    <w:semiHidden/>
    <w:rsid w:val="00C3452B"/>
  </w:style>
  <w:style w:type="character" w:customStyle="1" w:styleId="NoteHeadingChar">
    <w:name w:val="Note Heading Char"/>
    <w:basedOn w:val="DefaultParagraphFont"/>
    <w:link w:val="NoteHeading"/>
    <w:semiHidden/>
    <w:rsid w:val="00C3452B"/>
    <w:rPr>
      <w:rFonts w:ascii="Times New Roman" w:eastAsia="Times New Roman" w:hAnsi="Times New Roman" w:cs="Times New Roman"/>
      <w:szCs w:val="20"/>
      <w:lang w:eastAsia="en-AU"/>
    </w:rPr>
  </w:style>
  <w:style w:type="character" w:styleId="PageNumber">
    <w:name w:val="page number"/>
    <w:basedOn w:val="DefaultParagraphFont"/>
    <w:semiHidden/>
    <w:rsid w:val="00C3452B"/>
  </w:style>
  <w:style w:type="paragraph" w:styleId="PlainText">
    <w:name w:val="Plain Text"/>
    <w:basedOn w:val="Normal"/>
    <w:link w:val="PlainTextChar"/>
    <w:semiHidden/>
    <w:rsid w:val="00C3452B"/>
    <w:rPr>
      <w:rFonts w:ascii="Courier New" w:hAnsi="Courier New" w:cs="Courier New"/>
      <w:sz w:val="20"/>
    </w:rPr>
  </w:style>
  <w:style w:type="character" w:customStyle="1" w:styleId="PlainTextChar">
    <w:name w:val="Plain Text Char"/>
    <w:basedOn w:val="DefaultParagraphFont"/>
    <w:link w:val="PlainText"/>
    <w:semiHidden/>
    <w:rsid w:val="00C3452B"/>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C3452B"/>
    <w:rPr>
      <w:b/>
      <w:i/>
      <w:sz w:val="18"/>
    </w:rPr>
  </w:style>
  <w:style w:type="paragraph" w:customStyle="1" w:styleId="rightfooter">
    <w:name w:val="right footer"/>
    <w:basedOn w:val="Normal"/>
    <w:rsid w:val="00C3452B"/>
    <w:pPr>
      <w:pBdr>
        <w:top w:val="single" w:sz="4" w:space="1" w:color="auto"/>
      </w:pBdr>
      <w:spacing w:before="240" w:after="0"/>
      <w:jc w:val="right"/>
    </w:pPr>
    <w:rPr>
      <w:i/>
      <w:sz w:val="20"/>
    </w:rPr>
  </w:style>
  <w:style w:type="paragraph" w:customStyle="1" w:styleId="rightheader">
    <w:name w:val="right header"/>
    <w:basedOn w:val="Normal"/>
    <w:rsid w:val="00C3452B"/>
    <w:pPr>
      <w:pBdr>
        <w:bottom w:val="single" w:sz="4" w:space="1" w:color="auto"/>
      </w:pBdr>
      <w:jc w:val="right"/>
    </w:pPr>
    <w:rPr>
      <w:i/>
      <w:sz w:val="20"/>
    </w:rPr>
  </w:style>
  <w:style w:type="paragraph" w:styleId="Salutation">
    <w:name w:val="Salutation"/>
    <w:basedOn w:val="Normal"/>
    <w:next w:val="Normal"/>
    <w:link w:val="SalutationChar"/>
    <w:semiHidden/>
    <w:rsid w:val="00C3452B"/>
  </w:style>
  <w:style w:type="character" w:customStyle="1" w:styleId="SalutationChar">
    <w:name w:val="Salutation Char"/>
    <w:basedOn w:val="DefaultParagraphFont"/>
    <w:link w:val="Salutation"/>
    <w:semiHidden/>
    <w:rsid w:val="00C3452B"/>
    <w:rPr>
      <w:rFonts w:ascii="Times New Roman" w:eastAsia="Times New Roman" w:hAnsi="Times New Roman" w:cs="Times New Roman"/>
      <w:szCs w:val="20"/>
      <w:lang w:eastAsia="en-AU"/>
    </w:rPr>
  </w:style>
  <w:style w:type="paragraph" w:styleId="Signature">
    <w:name w:val="Signature"/>
    <w:basedOn w:val="Normal"/>
    <w:link w:val="SignatureChar"/>
    <w:semiHidden/>
    <w:rsid w:val="00C3452B"/>
    <w:pPr>
      <w:ind w:left="4252"/>
    </w:pPr>
  </w:style>
  <w:style w:type="character" w:customStyle="1" w:styleId="SignatureChar">
    <w:name w:val="Signature Char"/>
    <w:basedOn w:val="DefaultParagraphFont"/>
    <w:link w:val="Signature"/>
    <w:semiHidden/>
    <w:rsid w:val="00C3452B"/>
    <w:rPr>
      <w:rFonts w:ascii="Times New Roman" w:eastAsia="Times New Roman" w:hAnsi="Times New Roman" w:cs="Times New Roman"/>
      <w:szCs w:val="20"/>
      <w:lang w:eastAsia="en-AU"/>
    </w:rPr>
  </w:style>
  <w:style w:type="paragraph" w:customStyle="1" w:styleId="SingleParagraph">
    <w:name w:val="Single Paragraph"/>
    <w:basedOn w:val="Normal"/>
    <w:rsid w:val="00C3452B"/>
    <w:pPr>
      <w:spacing w:after="0"/>
    </w:pPr>
  </w:style>
  <w:style w:type="character" w:styleId="Strong">
    <w:name w:val="Strong"/>
    <w:basedOn w:val="DefaultParagraphFont"/>
    <w:qFormat/>
    <w:rsid w:val="00C3452B"/>
    <w:rPr>
      <w:b/>
      <w:bCs/>
    </w:rPr>
  </w:style>
  <w:style w:type="paragraph" w:styleId="Subtitle">
    <w:name w:val="Subtitle"/>
    <w:basedOn w:val="Normal"/>
    <w:link w:val="SubtitleChar"/>
    <w:qFormat/>
    <w:rsid w:val="00C3452B"/>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C3452B"/>
    <w:rPr>
      <w:rFonts w:ascii="Arial" w:eastAsia="Times New Roman" w:hAnsi="Arial" w:cs="Arial"/>
      <w:sz w:val="24"/>
      <w:szCs w:val="24"/>
      <w:lang w:eastAsia="en-AU"/>
    </w:rPr>
  </w:style>
  <w:style w:type="table" w:styleId="Table3Deffects1">
    <w:name w:val="Table 3D effects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452B"/>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452B"/>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C3452B"/>
    <w:pPr>
      <w:spacing w:before="40" w:after="40"/>
    </w:pPr>
    <w:rPr>
      <w:sz w:val="20"/>
    </w:rPr>
  </w:style>
  <w:style w:type="paragraph" w:customStyle="1" w:styleId="tabledotpoint">
    <w:name w:val="table dot point"/>
    <w:basedOn w:val="tabletext"/>
    <w:rsid w:val="00C3452B"/>
    <w:pPr>
      <w:numPr>
        <w:numId w:val="26"/>
      </w:numPr>
    </w:pPr>
  </w:style>
  <w:style w:type="paragraph" w:customStyle="1" w:styleId="tabledotpoint2">
    <w:name w:val="table dot point 2"/>
    <w:basedOn w:val="tabletext"/>
    <w:rsid w:val="00C3452B"/>
    <w:pPr>
      <w:numPr>
        <w:ilvl w:val="1"/>
        <w:numId w:val="26"/>
      </w:numPr>
    </w:pPr>
  </w:style>
  <w:style w:type="numbering" w:customStyle="1" w:styleId="TableDotPointList">
    <w:name w:val="Table Dot Point List"/>
    <w:uiPriority w:val="99"/>
    <w:rsid w:val="00C3452B"/>
    <w:pPr>
      <w:numPr>
        <w:numId w:val="26"/>
      </w:numPr>
    </w:pPr>
  </w:style>
  <w:style w:type="table" w:styleId="TableElegant">
    <w:name w:val="Table Elegant"/>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452B"/>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C3452B"/>
    <w:pPr>
      <w:spacing w:before="60" w:after="60"/>
      <w:ind w:left="0"/>
      <w:jc w:val="center"/>
    </w:pPr>
    <w:rPr>
      <w:iCs/>
      <w:sz w:val="20"/>
    </w:rPr>
  </w:style>
  <w:style w:type="paragraph" w:customStyle="1" w:styleId="TableHeadingoutsidetable">
    <w:name w:val="Table Heading (outside table)"/>
    <w:basedOn w:val="Heading4"/>
    <w:rsid w:val="00C3452B"/>
    <w:pPr>
      <w:numPr>
        <w:ilvl w:val="4"/>
        <w:numId w:val="9"/>
      </w:numPr>
      <w:tabs>
        <w:tab w:val="num" w:pos="360"/>
      </w:tabs>
    </w:pPr>
    <w:rPr>
      <w:b w:val="0"/>
      <w:i w:val="0"/>
      <w:iCs/>
    </w:rPr>
  </w:style>
  <w:style w:type="table" w:styleId="TableList1">
    <w:name w:val="Table List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452B"/>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452B"/>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3452B"/>
    <w:rPr>
      <w:rFonts w:ascii="Arial" w:eastAsia="Times New Roman" w:hAnsi="Arial" w:cs="Arial"/>
      <w:b/>
      <w:bCs/>
      <w:kern w:val="28"/>
      <w:sz w:val="32"/>
      <w:szCs w:val="32"/>
      <w:lang w:eastAsia="en-AU"/>
    </w:rPr>
  </w:style>
  <w:style w:type="paragraph" w:styleId="TOC1">
    <w:name w:val="toc 1"/>
    <w:basedOn w:val="Heading2"/>
    <w:next w:val="TOC2"/>
    <w:uiPriority w:val="39"/>
    <w:rsid w:val="00C3452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C3452B"/>
    <w:pPr>
      <w:ind w:left="0" w:firstLine="0"/>
    </w:pPr>
    <w:rPr>
      <w:noProof/>
    </w:rPr>
  </w:style>
  <w:style w:type="paragraph" w:styleId="TOCHeading">
    <w:name w:val="TOC Heading"/>
    <w:basedOn w:val="Normal"/>
    <w:next w:val="base-text-paragraphnonumbers"/>
    <w:qFormat/>
    <w:rsid w:val="00C3452B"/>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C3452B"/>
    <w:rPr>
      <w:color w:val="808080"/>
    </w:rPr>
  </w:style>
  <w:style w:type="paragraph" w:customStyle="1" w:styleId="ParaCentredNoSpacing">
    <w:name w:val="ParaCentredNoSpacing"/>
    <w:basedOn w:val="Baseparagraphcentred"/>
    <w:qFormat/>
    <w:rsid w:val="00C3452B"/>
    <w:pPr>
      <w:spacing w:before="0" w:after="0"/>
    </w:pPr>
  </w:style>
  <w:style w:type="character" w:customStyle="1" w:styleId="ChapterNameOnly">
    <w:name w:val="ChapterNameOnly"/>
    <w:basedOn w:val="DefaultParagraphFont"/>
    <w:uiPriority w:val="1"/>
    <w:qFormat/>
    <w:rsid w:val="00C3452B"/>
  </w:style>
  <w:style w:type="paragraph" w:styleId="TOC3">
    <w:name w:val="toc 3"/>
    <w:basedOn w:val="Normal"/>
    <w:next w:val="Normal"/>
    <w:autoRedefine/>
    <w:uiPriority w:val="39"/>
    <w:unhideWhenUsed/>
    <w:rsid w:val="00C3452B"/>
    <w:pPr>
      <w:tabs>
        <w:tab w:val="right" w:leader="dot" w:pos="7655"/>
      </w:tabs>
      <w:spacing w:after="100"/>
      <w:ind w:left="442"/>
    </w:pPr>
  </w:style>
  <w:style w:type="table" w:customStyle="1" w:styleId="EMTable">
    <w:name w:val="EMTable"/>
    <w:basedOn w:val="TableNormal"/>
    <w:uiPriority w:val="99"/>
    <w:rsid w:val="00C3452B"/>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A5700B"/>
    <w:rPr>
      <w:sz w:val="16"/>
      <w:szCs w:val="16"/>
    </w:rPr>
  </w:style>
  <w:style w:type="paragraph" w:styleId="CommentText">
    <w:name w:val="annotation text"/>
    <w:basedOn w:val="Normal"/>
    <w:link w:val="CommentTextChar"/>
    <w:uiPriority w:val="99"/>
    <w:unhideWhenUsed/>
    <w:rsid w:val="00A5700B"/>
    <w:rPr>
      <w:sz w:val="20"/>
    </w:rPr>
  </w:style>
  <w:style w:type="character" w:customStyle="1" w:styleId="CommentTextChar">
    <w:name w:val="Comment Text Char"/>
    <w:basedOn w:val="DefaultParagraphFont"/>
    <w:link w:val="CommentText"/>
    <w:uiPriority w:val="99"/>
    <w:rsid w:val="00A5700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5700B"/>
    <w:rPr>
      <w:b/>
      <w:bCs/>
    </w:rPr>
  </w:style>
  <w:style w:type="character" w:customStyle="1" w:styleId="CommentSubjectChar">
    <w:name w:val="Comment Subject Char"/>
    <w:basedOn w:val="CommentTextChar"/>
    <w:link w:val="CommentSubject"/>
    <w:uiPriority w:val="99"/>
    <w:semiHidden/>
    <w:rsid w:val="00A5700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41194" ma:contentTypeDescription="" ma:contentTypeScope="" ma:versionID="12365ccda71081dfa1192224ce46f84e">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AE-20260-Destroy 7 years after action completed</TermName>
          <TermId xmlns="http://schemas.microsoft.com/office/infopath/2007/PartnerControls">623f5ec9-ec5d-4824-8e13-9c9bfc51fe7e</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TaxCatchAll xmlns="0f563589-9cf9-4143-b1eb-fb0534803d38">
      <Value>1</Value>
    </TaxCatchAll>
    <Status xmlns="687b78b0-2ddd-4441-8a8b-c9638c2a1939">
      <Value>Current</Value>
    </Status>
    <NAture_x0020_of_x0020_documents1 xmlns="687b78b0-2ddd-4441-8a8b-c9638c2a1939">
      <Value>Explanatory memorandum/statement</Value>
    </NAture_x0020_of_x0020_documents1>
    <i6880fa62fd2465ea894b48b45824d1c xmlns="9f7bc583-7cbe-45b9-a2bd-8bbb6543b37e">
      <Terms xmlns="http://schemas.microsoft.com/office/infopath/2007/PartnerControls"/>
    </i6880fa62fd2465ea894b48b45824d1c>
    <_dlc_DocId xmlns="0f563589-9cf9-4143-b1eb-fb0534803d38">2021RG-136-66752</_dlc_DocId>
    <_dlc_DocIdUrl xmlns="0f563589-9cf9-4143-b1eb-fb0534803d38">
      <Url>http://tweb/sites/rg/ldp/_layouts/15/DocIdRedir.aspx?ID=2021RG-136-66752</Url>
      <Description>2021RG-136-66752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D327-9C2D-493C-BE86-DBC1D65E3F62}">
  <ds:schemaRefs>
    <ds:schemaRef ds:uri="http://schemas.microsoft.com/sharepoint/v3/contenttype/forms"/>
  </ds:schemaRefs>
</ds:datastoreItem>
</file>

<file path=customXml/itemProps2.xml><?xml version="1.0" encoding="utf-8"?>
<ds:datastoreItem xmlns:ds="http://schemas.openxmlformats.org/officeDocument/2006/customXml" ds:itemID="{2BD952C0-EED0-48D0-A4F2-CC56495A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17827-E7C7-446C-A27C-D6889B1D71EB}">
  <ds:schemaRefs>
    <ds:schemaRef ds:uri="office.server.policy"/>
  </ds:schemaRefs>
</ds:datastoreItem>
</file>

<file path=customXml/itemProps4.xml><?xml version="1.0" encoding="utf-8"?>
<ds:datastoreItem xmlns:ds="http://schemas.openxmlformats.org/officeDocument/2006/customXml" ds:itemID="{778485E0-E7E1-4BC3-AAA7-020ED702314E}">
  <ds:schemaRefs>
    <ds:schemaRef ds:uri="http://schemas.microsoft.com/sharepoint/events"/>
  </ds:schemaRefs>
</ds:datastoreItem>
</file>

<file path=customXml/itemProps5.xml><?xml version="1.0" encoding="utf-8"?>
<ds:datastoreItem xmlns:ds="http://schemas.openxmlformats.org/officeDocument/2006/customXml" ds:itemID="{8C22A00C-C25C-48F6-9A1B-D671643A0384}">
  <ds:schemaRefs>
    <ds:schemaRef ds:uri="http://schemas.microsoft.com/office/2006/metadata/properties"/>
    <ds:schemaRef ds:uri="http://schemas.microsoft.com/office/infopath/2007/PartnerControls"/>
    <ds:schemaRef ds:uri="9f7bc583-7cbe-45b9-a2bd-8bbb6543b37e"/>
    <ds:schemaRef ds:uri="687b78b0-2ddd-4441-8a8b-c9638c2a1939"/>
    <ds:schemaRef ds:uri="http://schemas.microsoft.com/sharepoint/v4"/>
    <ds:schemaRef ds:uri="0f563589-9cf9-4143-b1eb-fb0534803d38"/>
  </ds:schemaRefs>
</ds:datastoreItem>
</file>

<file path=customXml/itemProps6.xml><?xml version="1.0" encoding="utf-8"?>
<ds:datastoreItem xmlns:ds="http://schemas.openxmlformats.org/officeDocument/2006/customXml" ds:itemID="{69BE36E2-8B40-44E6-83B6-52FE7C9C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7</TotalTime>
  <Pages>20</Pages>
  <Words>5503</Words>
  <Characters>28854</Characters>
  <Application>Microsoft Office Word</Application>
  <DocSecurity>0</DocSecurity>
  <Lines>633</Lines>
  <Paragraphs>152</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(Measures for Consultation) Bill 2021: Litigation Funding)</vt:lpstr>
    </vt:vector>
  </TitlesOfParts>
  <Company>The Treasury</Company>
  <LinksUpToDate>false</LinksUpToDate>
  <CharactersWithSpaces>34338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(Measures for Consultation) Bill 2021: Litigation Funding)</dc:title>
  <dc:subject/>
  <dc:creator>Treasury</dc:creator>
  <cp:keywords/>
  <dc:description/>
  <cp:lastModifiedBy>Hill, Christine</cp:lastModifiedBy>
  <cp:revision>9</cp:revision>
  <dcterms:created xsi:type="dcterms:W3CDTF">2021-09-29T09:08:00Z</dcterms:created>
  <dcterms:modified xsi:type="dcterms:W3CDTF">2021-09-30T00:00:00Z</dcterms:modified>
</cp:coreProperties>
</file>