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45D95" w14:textId="0C688DDB" w:rsidR="00C86341" w:rsidRPr="00FA2837" w:rsidRDefault="00631154">
      <w:pPr>
        <w:rPr>
          <w:rFonts w:ascii="Open Sans" w:hAnsi="Open Sans" w:cs="Open Sans"/>
          <w:sz w:val="21"/>
          <w:szCs w:val="21"/>
        </w:rPr>
      </w:pPr>
      <w:r w:rsidRPr="00FA2837">
        <w:rPr>
          <w:rFonts w:ascii="Open Sans" w:hAnsi="Open Sans" w:cs="Open Sans"/>
          <w:sz w:val="21"/>
          <w:szCs w:val="21"/>
        </w:rPr>
        <w:t>Treasury,</w:t>
      </w:r>
    </w:p>
    <w:p w14:paraId="2216B173" w14:textId="1B7BA2AA" w:rsidR="001F724D" w:rsidRPr="00FA2837" w:rsidRDefault="001F724D">
      <w:pPr>
        <w:rPr>
          <w:rFonts w:ascii="Open Sans" w:hAnsi="Open Sans" w:cs="Open Sans"/>
          <w:sz w:val="21"/>
          <w:szCs w:val="21"/>
        </w:rPr>
      </w:pPr>
    </w:p>
    <w:p w14:paraId="04C6579F" w14:textId="22DF62BD" w:rsidR="00A7650C" w:rsidRDefault="001F724D">
      <w:pPr>
        <w:rPr>
          <w:rFonts w:ascii="Open Sans" w:hAnsi="Open Sans" w:cs="Open Sans"/>
          <w:sz w:val="21"/>
          <w:szCs w:val="21"/>
        </w:rPr>
      </w:pPr>
      <w:r w:rsidRPr="00FA2837">
        <w:rPr>
          <w:rFonts w:ascii="Open Sans" w:hAnsi="Open Sans" w:cs="Open Sans"/>
          <w:sz w:val="21"/>
          <w:szCs w:val="21"/>
        </w:rPr>
        <w:t>Thank you for the opportunity to respond to the proposed third amendments to the Consumer Data Right Rules.</w:t>
      </w:r>
      <w:r w:rsidR="00E472D9" w:rsidRPr="00FA2837">
        <w:rPr>
          <w:rFonts w:ascii="Open Sans" w:hAnsi="Open Sans" w:cs="Open Sans"/>
          <w:sz w:val="21"/>
          <w:szCs w:val="21"/>
        </w:rPr>
        <w:t xml:space="preserve"> </w:t>
      </w:r>
    </w:p>
    <w:sdt>
      <w:sdtPr>
        <w:rPr>
          <w:rFonts w:asciiTheme="minorHAnsi" w:eastAsiaTheme="minorHAnsi" w:hAnsiTheme="minorHAnsi" w:cstheme="minorBidi"/>
          <w:b w:val="0"/>
          <w:bCs w:val="0"/>
          <w:color w:val="auto"/>
          <w:sz w:val="22"/>
          <w:szCs w:val="22"/>
          <w:lang w:val="en-AU"/>
        </w:rPr>
        <w:id w:val="-366140753"/>
        <w:docPartObj>
          <w:docPartGallery w:val="Table of Contents"/>
          <w:docPartUnique/>
        </w:docPartObj>
      </w:sdtPr>
      <w:sdtEndPr>
        <w:rPr>
          <w:noProof/>
          <w:sz w:val="21"/>
          <w:szCs w:val="21"/>
        </w:rPr>
      </w:sdtEndPr>
      <w:sdtContent>
        <w:p w14:paraId="55E72565" w14:textId="579C1294" w:rsidR="00A7650C" w:rsidRPr="00845DDC" w:rsidRDefault="00A7650C">
          <w:pPr>
            <w:pStyle w:val="TOCHeading"/>
            <w:rPr>
              <w:rFonts w:ascii="Open Sans" w:hAnsi="Open Sans" w:cs="Open Sans"/>
              <w:color w:val="0078EE"/>
              <w:sz w:val="21"/>
              <w:szCs w:val="21"/>
            </w:rPr>
          </w:pPr>
          <w:r w:rsidRPr="00845DDC">
            <w:rPr>
              <w:rFonts w:ascii="Open Sans" w:hAnsi="Open Sans" w:cs="Open Sans"/>
              <w:color w:val="0078EE"/>
              <w:sz w:val="21"/>
              <w:szCs w:val="21"/>
            </w:rPr>
            <w:t>Table of Contents</w:t>
          </w:r>
        </w:p>
        <w:p w14:paraId="66D2F1FC" w14:textId="1BB2B20D" w:rsidR="00BB4AF6" w:rsidRDefault="00A7650C" w:rsidP="00BB4AF6">
          <w:pPr>
            <w:pStyle w:val="TOC1"/>
            <w:rPr>
              <w:rFonts w:eastAsiaTheme="minorEastAsia" w:cstheme="minorBidi"/>
              <w:lang w:eastAsia="en-GB"/>
            </w:rPr>
          </w:pPr>
          <w:r w:rsidRPr="00845DDC">
            <w:rPr>
              <w:rFonts w:ascii="Open Sans" w:hAnsi="Open Sans" w:cs="Open Sans"/>
              <w:noProof w:val="0"/>
              <w:sz w:val="21"/>
              <w:szCs w:val="21"/>
            </w:rPr>
            <w:fldChar w:fldCharType="begin"/>
          </w:r>
          <w:r w:rsidRPr="00845DDC">
            <w:rPr>
              <w:rFonts w:ascii="Open Sans" w:hAnsi="Open Sans" w:cs="Open Sans"/>
              <w:sz w:val="21"/>
              <w:szCs w:val="21"/>
            </w:rPr>
            <w:instrText xml:space="preserve"> TOC \o "1-3" \h \z \u </w:instrText>
          </w:r>
          <w:r w:rsidRPr="00845DDC">
            <w:rPr>
              <w:rFonts w:ascii="Open Sans" w:hAnsi="Open Sans" w:cs="Open Sans"/>
              <w:noProof w:val="0"/>
              <w:sz w:val="21"/>
              <w:szCs w:val="21"/>
            </w:rPr>
            <w:fldChar w:fldCharType="separate"/>
          </w:r>
          <w:hyperlink w:anchor="_Toc77246457" w:history="1">
            <w:r w:rsidR="00BB4AF6" w:rsidRPr="003B0F33">
              <w:rPr>
                <w:rStyle w:val="Hyperlink"/>
                <w:b/>
                <w:bCs/>
              </w:rPr>
              <w:t>About AssuranceLab</w:t>
            </w:r>
            <w:r w:rsidR="00BB4AF6">
              <w:rPr>
                <w:webHidden/>
              </w:rPr>
              <w:tab/>
            </w:r>
            <w:r w:rsidR="00BB4AF6">
              <w:rPr>
                <w:webHidden/>
              </w:rPr>
              <w:fldChar w:fldCharType="begin"/>
            </w:r>
            <w:r w:rsidR="00BB4AF6">
              <w:rPr>
                <w:webHidden/>
              </w:rPr>
              <w:instrText xml:space="preserve"> PAGEREF _Toc77246457 \h </w:instrText>
            </w:r>
            <w:r w:rsidR="00BB4AF6">
              <w:rPr>
                <w:webHidden/>
              </w:rPr>
            </w:r>
            <w:r w:rsidR="00BB4AF6">
              <w:rPr>
                <w:webHidden/>
              </w:rPr>
              <w:fldChar w:fldCharType="separate"/>
            </w:r>
            <w:r w:rsidR="00BB4AF6">
              <w:rPr>
                <w:webHidden/>
              </w:rPr>
              <w:t>2</w:t>
            </w:r>
            <w:r w:rsidR="00BB4AF6">
              <w:rPr>
                <w:webHidden/>
              </w:rPr>
              <w:fldChar w:fldCharType="end"/>
            </w:r>
          </w:hyperlink>
        </w:p>
        <w:p w14:paraId="459A497B" w14:textId="2BB35A4A" w:rsidR="00BB4AF6" w:rsidRDefault="005631DC" w:rsidP="00BB4AF6">
          <w:pPr>
            <w:pStyle w:val="TOC1"/>
            <w:rPr>
              <w:rFonts w:eastAsiaTheme="minorEastAsia" w:cstheme="minorBidi"/>
              <w:lang w:eastAsia="en-GB"/>
            </w:rPr>
          </w:pPr>
          <w:hyperlink w:anchor="_Toc77246458" w:history="1">
            <w:r w:rsidR="00BB4AF6" w:rsidRPr="003B0F33">
              <w:rPr>
                <w:rStyle w:val="Hyperlink"/>
                <w:b/>
                <w:bCs/>
              </w:rPr>
              <w:t>Executive Summary</w:t>
            </w:r>
            <w:r w:rsidR="00BB4AF6">
              <w:rPr>
                <w:webHidden/>
              </w:rPr>
              <w:tab/>
            </w:r>
            <w:r w:rsidR="00BB4AF6">
              <w:rPr>
                <w:webHidden/>
              </w:rPr>
              <w:fldChar w:fldCharType="begin"/>
            </w:r>
            <w:r w:rsidR="00BB4AF6">
              <w:rPr>
                <w:webHidden/>
              </w:rPr>
              <w:instrText xml:space="preserve"> PAGEREF _Toc77246458 \h </w:instrText>
            </w:r>
            <w:r w:rsidR="00BB4AF6">
              <w:rPr>
                <w:webHidden/>
              </w:rPr>
            </w:r>
            <w:r w:rsidR="00BB4AF6">
              <w:rPr>
                <w:webHidden/>
              </w:rPr>
              <w:fldChar w:fldCharType="separate"/>
            </w:r>
            <w:r w:rsidR="00BB4AF6">
              <w:rPr>
                <w:webHidden/>
              </w:rPr>
              <w:t>2</w:t>
            </w:r>
            <w:r w:rsidR="00BB4AF6">
              <w:rPr>
                <w:webHidden/>
              </w:rPr>
              <w:fldChar w:fldCharType="end"/>
            </w:r>
          </w:hyperlink>
        </w:p>
        <w:p w14:paraId="4B01D3F7" w14:textId="45543505" w:rsidR="00BB4AF6" w:rsidRDefault="005631DC" w:rsidP="00BB4AF6">
          <w:pPr>
            <w:pStyle w:val="TOC1"/>
            <w:rPr>
              <w:rFonts w:eastAsiaTheme="minorEastAsia" w:cstheme="minorBidi"/>
              <w:lang w:eastAsia="en-GB"/>
            </w:rPr>
          </w:pPr>
          <w:hyperlink w:anchor="_Toc77246459" w:history="1">
            <w:r w:rsidR="00BB4AF6" w:rsidRPr="003B0F33">
              <w:rPr>
                <w:rStyle w:val="Hyperlink"/>
                <w:b/>
                <w:bCs/>
              </w:rPr>
              <w:t>Proposed Limited Assurance reports</w:t>
            </w:r>
            <w:r w:rsidR="00BB4AF6">
              <w:rPr>
                <w:webHidden/>
              </w:rPr>
              <w:tab/>
            </w:r>
            <w:r w:rsidR="00BB4AF6">
              <w:rPr>
                <w:webHidden/>
              </w:rPr>
              <w:fldChar w:fldCharType="begin"/>
            </w:r>
            <w:r w:rsidR="00BB4AF6">
              <w:rPr>
                <w:webHidden/>
              </w:rPr>
              <w:instrText xml:space="preserve"> PAGEREF _Toc77246459 \h </w:instrText>
            </w:r>
            <w:r w:rsidR="00BB4AF6">
              <w:rPr>
                <w:webHidden/>
              </w:rPr>
            </w:r>
            <w:r w:rsidR="00BB4AF6">
              <w:rPr>
                <w:webHidden/>
              </w:rPr>
              <w:fldChar w:fldCharType="separate"/>
            </w:r>
            <w:r w:rsidR="00BB4AF6">
              <w:rPr>
                <w:webHidden/>
              </w:rPr>
              <w:t>4</w:t>
            </w:r>
            <w:r w:rsidR="00BB4AF6">
              <w:rPr>
                <w:webHidden/>
              </w:rPr>
              <w:fldChar w:fldCharType="end"/>
            </w:r>
          </w:hyperlink>
        </w:p>
        <w:p w14:paraId="2517325E" w14:textId="77777777" w:rsidR="00BB4AF6" w:rsidRDefault="00BB4AF6" w:rsidP="00BB4AF6">
          <w:pPr>
            <w:rPr>
              <w:b/>
              <w:bCs/>
              <w:color w:val="16BA86"/>
            </w:rPr>
          </w:pPr>
        </w:p>
        <w:p w14:paraId="7DF887D0" w14:textId="427F34BE" w:rsidR="00BB4AF6" w:rsidRPr="0074337C" w:rsidRDefault="00BB4AF6" w:rsidP="00BB4AF6">
          <w:pPr>
            <w:rPr>
              <w:b/>
              <w:bCs/>
              <w:color w:val="16BA86"/>
            </w:rPr>
          </w:pPr>
          <w:r w:rsidRPr="0074337C">
            <w:rPr>
              <w:b/>
              <w:bCs/>
              <w:color w:val="16BA86"/>
            </w:rPr>
            <w:t>Appendices:</w:t>
          </w:r>
        </w:p>
        <w:p w14:paraId="202D943B" w14:textId="15374A44" w:rsidR="00BB4AF6" w:rsidRPr="00BB4AF6" w:rsidRDefault="005631DC" w:rsidP="00BB4AF6">
          <w:pPr>
            <w:pStyle w:val="TOC1"/>
            <w:rPr>
              <w:rFonts w:eastAsiaTheme="minorEastAsia" w:cstheme="minorBidi"/>
              <w:lang w:eastAsia="en-GB"/>
            </w:rPr>
          </w:pPr>
          <w:hyperlink w:anchor="_Toc77246460" w:history="1">
            <w:r w:rsidR="00BB4AF6" w:rsidRPr="00BB4AF6">
              <w:rPr>
                <w:rStyle w:val="Hyperlink"/>
              </w:rPr>
              <w:t>Appendix 1 - Background market view</w:t>
            </w:r>
            <w:r w:rsidR="00BB4AF6" w:rsidRPr="00BB4AF6">
              <w:rPr>
                <w:webHidden/>
              </w:rPr>
              <w:tab/>
            </w:r>
            <w:r w:rsidR="00BB4AF6" w:rsidRPr="00BB4AF6">
              <w:rPr>
                <w:webHidden/>
              </w:rPr>
              <w:fldChar w:fldCharType="begin"/>
            </w:r>
            <w:r w:rsidR="00BB4AF6" w:rsidRPr="00BB4AF6">
              <w:rPr>
                <w:webHidden/>
              </w:rPr>
              <w:instrText xml:space="preserve"> PAGEREF _Toc77246460 \h </w:instrText>
            </w:r>
            <w:r w:rsidR="00BB4AF6" w:rsidRPr="00BB4AF6">
              <w:rPr>
                <w:webHidden/>
              </w:rPr>
            </w:r>
            <w:r w:rsidR="00BB4AF6" w:rsidRPr="00BB4AF6">
              <w:rPr>
                <w:webHidden/>
              </w:rPr>
              <w:fldChar w:fldCharType="separate"/>
            </w:r>
            <w:r w:rsidR="00BB4AF6" w:rsidRPr="00BB4AF6">
              <w:rPr>
                <w:webHidden/>
              </w:rPr>
              <w:t>5</w:t>
            </w:r>
            <w:r w:rsidR="00BB4AF6" w:rsidRPr="00BB4AF6">
              <w:rPr>
                <w:webHidden/>
              </w:rPr>
              <w:fldChar w:fldCharType="end"/>
            </w:r>
          </w:hyperlink>
        </w:p>
        <w:p w14:paraId="0F9C6BAF" w14:textId="730DD5D3" w:rsidR="00BB4AF6" w:rsidRPr="00BB4AF6" w:rsidRDefault="005631DC" w:rsidP="00BB4AF6">
          <w:pPr>
            <w:pStyle w:val="TOC1"/>
            <w:rPr>
              <w:rFonts w:eastAsiaTheme="minorEastAsia" w:cstheme="minorBidi"/>
              <w:lang w:eastAsia="en-GB"/>
            </w:rPr>
          </w:pPr>
          <w:hyperlink w:anchor="_Toc77246461" w:history="1">
            <w:r w:rsidR="00BB4AF6" w:rsidRPr="00BB4AF6">
              <w:rPr>
                <w:rStyle w:val="Hyperlink"/>
              </w:rPr>
              <w:t>Appendix 2 - Concerns with the Amendments</w:t>
            </w:r>
            <w:r w:rsidR="00BB4AF6" w:rsidRPr="00BB4AF6">
              <w:rPr>
                <w:webHidden/>
              </w:rPr>
              <w:tab/>
            </w:r>
            <w:r w:rsidR="00BB4AF6" w:rsidRPr="00BB4AF6">
              <w:rPr>
                <w:webHidden/>
              </w:rPr>
              <w:fldChar w:fldCharType="begin"/>
            </w:r>
            <w:r w:rsidR="00BB4AF6" w:rsidRPr="00BB4AF6">
              <w:rPr>
                <w:webHidden/>
              </w:rPr>
              <w:instrText xml:space="preserve"> PAGEREF _Toc77246461 \h </w:instrText>
            </w:r>
            <w:r w:rsidR="00BB4AF6" w:rsidRPr="00BB4AF6">
              <w:rPr>
                <w:webHidden/>
              </w:rPr>
            </w:r>
            <w:r w:rsidR="00BB4AF6" w:rsidRPr="00BB4AF6">
              <w:rPr>
                <w:webHidden/>
              </w:rPr>
              <w:fldChar w:fldCharType="separate"/>
            </w:r>
            <w:r w:rsidR="00BB4AF6" w:rsidRPr="00BB4AF6">
              <w:rPr>
                <w:webHidden/>
              </w:rPr>
              <w:t>6</w:t>
            </w:r>
            <w:r w:rsidR="00BB4AF6" w:rsidRPr="00BB4AF6">
              <w:rPr>
                <w:webHidden/>
              </w:rPr>
              <w:fldChar w:fldCharType="end"/>
            </w:r>
          </w:hyperlink>
        </w:p>
        <w:p w14:paraId="7EDBE0A7" w14:textId="41FFEA6D" w:rsidR="00BB4AF6" w:rsidRPr="00BB4AF6" w:rsidRDefault="005631DC" w:rsidP="00BB4AF6">
          <w:pPr>
            <w:pStyle w:val="TOC1"/>
            <w:rPr>
              <w:rFonts w:eastAsiaTheme="minorEastAsia" w:cstheme="minorBidi"/>
              <w:lang w:eastAsia="en-GB"/>
            </w:rPr>
          </w:pPr>
          <w:hyperlink w:anchor="_Toc77246462" w:history="1">
            <w:r w:rsidR="00BB4AF6" w:rsidRPr="00BB4AF6">
              <w:rPr>
                <w:rStyle w:val="Hyperlink"/>
              </w:rPr>
              <w:t>Appendix 3 – Risk-based access considerations</w:t>
            </w:r>
            <w:r w:rsidR="00BB4AF6" w:rsidRPr="00BB4AF6">
              <w:rPr>
                <w:webHidden/>
              </w:rPr>
              <w:tab/>
            </w:r>
            <w:r w:rsidR="00BB4AF6" w:rsidRPr="00BB4AF6">
              <w:rPr>
                <w:webHidden/>
              </w:rPr>
              <w:fldChar w:fldCharType="begin"/>
            </w:r>
            <w:r w:rsidR="00BB4AF6" w:rsidRPr="00BB4AF6">
              <w:rPr>
                <w:webHidden/>
              </w:rPr>
              <w:instrText xml:space="preserve"> PAGEREF _Toc77246462 \h </w:instrText>
            </w:r>
            <w:r w:rsidR="00BB4AF6" w:rsidRPr="00BB4AF6">
              <w:rPr>
                <w:webHidden/>
              </w:rPr>
            </w:r>
            <w:r w:rsidR="00BB4AF6" w:rsidRPr="00BB4AF6">
              <w:rPr>
                <w:webHidden/>
              </w:rPr>
              <w:fldChar w:fldCharType="separate"/>
            </w:r>
            <w:r w:rsidR="00BB4AF6" w:rsidRPr="00BB4AF6">
              <w:rPr>
                <w:webHidden/>
              </w:rPr>
              <w:t>8</w:t>
            </w:r>
            <w:r w:rsidR="00BB4AF6" w:rsidRPr="00BB4AF6">
              <w:rPr>
                <w:webHidden/>
              </w:rPr>
              <w:fldChar w:fldCharType="end"/>
            </w:r>
          </w:hyperlink>
        </w:p>
        <w:p w14:paraId="54465CD4" w14:textId="5AE77ECE" w:rsidR="00BB4AF6" w:rsidRPr="00BB4AF6" w:rsidRDefault="005631DC" w:rsidP="00BB4AF6">
          <w:pPr>
            <w:pStyle w:val="TOC1"/>
            <w:rPr>
              <w:rFonts w:eastAsiaTheme="minorEastAsia" w:cstheme="minorBidi"/>
              <w:lang w:eastAsia="en-GB"/>
            </w:rPr>
          </w:pPr>
          <w:hyperlink w:anchor="_Toc77246463" w:history="1">
            <w:r w:rsidR="00BB4AF6" w:rsidRPr="00BB4AF6">
              <w:rPr>
                <w:rStyle w:val="Hyperlink"/>
              </w:rPr>
              <w:t>Appendix 4 – Reasonable and limited assurance</w:t>
            </w:r>
            <w:r w:rsidR="00BB4AF6" w:rsidRPr="00BB4AF6">
              <w:rPr>
                <w:webHidden/>
              </w:rPr>
              <w:tab/>
            </w:r>
            <w:r w:rsidR="00BB4AF6" w:rsidRPr="00BB4AF6">
              <w:rPr>
                <w:webHidden/>
              </w:rPr>
              <w:fldChar w:fldCharType="begin"/>
            </w:r>
            <w:r w:rsidR="00BB4AF6" w:rsidRPr="00BB4AF6">
              <w:rPr>
                <w:webHidden/>
              </w:rPr>
              <w:instrText xml:space="preserve"> PAGEREF _Toc77246463 \h </w:instrText>
            </w:r>
            <w:r w:rsidR="00BB4AF6" w:rsidRPr="00BB4AF6">
              <w:rPr>
                <w:webHidden/>
              </w:rPr>
            </w:r>
            <w:r w:rsidR="00BB4AF6" w:rsidRPr="00BB4AF6">
              <w:rPr>
                <w:webHidden/>
              </w:rPr>
              <w:fldChar w:fldCharType="separate"/>
            </w:r>
            <w:r w:rsidR="00BB4AF6" w:rsidRPr="00BB4AF6">
              <w:rPr>
                <w:webHidden/>
              </w:rPr>
              <w:t>9</w:t>
            </w:r>
            <w:r w:rsidR="00BB4AF6" w:rsidRPr="00BB4AF6">
              <w:rPr>
                <w:webHidden/>
              </w:rPr>
              <w:fldChar w:fldCharType="end"/>
            </w:r>
          </w:hyperlink>
        </w:p>
        <w:p w14:paraId="1F928237" w14:textId="2A641C17" w:rsidR="00A7650C" w:rsidRPr="00845DDC" w:rsidRDefault="00A7650C">
          <w:pPr>
            <w:rPr>
              <w:sz w:val="21"/>
              <w:szCs w:val="21"/>
            </w:rPr>
          </w:pPr>
          <w:r w:rsidRPr="00845DDC">
            <w:rPr>
              <w:rFonts w:ascii="Open Sans" w:hAnsi="Open Sans" w:cs="Open Sans"/>
              <w:b/>
              <w:bCs/>
              <w:noProof/>
              <w:sz w:val="21"/>
              <w:szCs w:val="21"/>
            </w:rPr>
            <w:fldChar w:fldCharType="end"/>
          </w:r>
        </w:p>
      </w:sdtContent>
    </w:sdt>
    <w:p w14:paraId="1A92993E" w14:textId="08EEBA51" w:rsidR="00A7650C" w:rsidRDefault="00A7650C">
      <w:pPr>
        <w:rPr>
          <w:rFonts w:ascii="Open Sans" w:hAnsi="Open Sans" w:cs="Open Sans"/>
          <w:sz w:val="21"/>
          <w:szCs w:val="21"/>
        </w:rPr>
      </w:pPr>
    </w:p>
    <w:p w14:paraId="496E7D95" w14:textId="77777777" w:rsidR="00F14869" w:rsidRDefault="00F14869">
      <w:pPr>
        <w:rPr>
          <w:rFonts w:ascii="Open Sans" w:hAnsi="Open Sans" w:cs="Open Sans"/>
          <w:sz w:val="21"/>
          <w:szCs w:val="21"/>
        </w:rPr>
      </w:pPr>
    </w:p>
    <w:p w14:paraId="2050960B" w14:textId="5CAFB02E" w:rsidR="001F724D" w:rsidRDefault="00EA17BC">
      <w:pPr>
        <w:rPr>
          <w:rFonts w:ascii="Open Sans" w:hAnsi="Open Sans" w:cs="Open Sans"/>
          <w:sz w:val="21"/>
          <w:szCs w:val="21"/>
        </w:rPr>
      </w:pPr>
      <w:r w:rsidRPr="00FA2837">
        <w:rPr>
          <w:rFonts w:ascii="Open Sans" w:hAnsi="Open Sans" w:cs="Open Sans"/>
          <w:sz w:val="21"/>
          <w:szCs w:val="21"/>
        </w:rPr>
        <w:t xml:space="preserve">We welcome any questions from Treasury in relation to the contents of this letter, assurance reporting, </w:t>
      </w:r>
      <w:r w:rsidR="00845DDC">
        <w:rPr>
          <w:rFonts w:ascii="Open Sans" w:hAnsi="Open Sans" w:cs="Open Sans"/>
          <w:sz w:val="21"/>
          <w:szCs w:val="21"/>
        </w:rPr>
        <w:t xml:space="preserve">the state of play with </w:t>
      </w:r>
      <w:r w:rsidRPr="00FA2837">
        <w:rPr>
          <w:rFonts w:ascii="Open Sans" w:hAnsi="Open Sans" w:cs="Open Sans"/>
          <w:sz w:val="21"/>
          <w:szCs w:val="21"/>
        </w:rPr>
        <w:t xml:space="preserve">global standards, </w:t>
      </w:r>
      <w:r w:rsidR="00BE4EA4" w:rsidRPr="00FA2837">
        <w:rPr>
          <w:rFonts w:ascii="Open Sans" w:hAnsi="Open Sans" w:cs="Open Sans"/>
          <w:sz w:val="21"/>
          <w:szCs w:val="21"/>
        </w:rPr>
        <w:t>the maturity of Australia’s cybersecurity ecosystem, or the assurance challenges with the CDR rules that has been hindering its accessibility to date.</w:t>
      </w:r>
    </w:p>
    <w:p w14:paraId="5B06CC12" w14:textId="77777777" w:rsidR="00845DDC" w:rsidRPr="00FA2837" w:rsidRDefault="00845DDC">
      <w:pPr>
        <w:rPr>
          <w:rFonts w:ascii="Open Sans" w:hAnsi="Open Sans" w:cs="Open Sans"/>
          <w:sz w:val="21"/>
          <w:szCs w:val="21"/>
        </w:rPr>
      </w:pPr>
    </w:p>
    <w:p w14:paraId="6A2CC8F5" w14:textId="5326613A" w:rsidR="007C58B7" w:rsidRPr="00FA2837" w:rsidRDefault="007C58B7">
      <w:pPr>
        <w:rPr>
          <w:rFonts w:ascii="Open Sans" w:hAnsi="Open Sans" w:cs="Open Sans"/>
          <w:sz w:val="21"/>
          <w:szCs w:val="21"/>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7C58B7" w:rsidRPr="00FA2837" w14:paraId="0783C282" w14:textId="77777777" w:rsidTr="007C58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20"/>
              <w:gridCol w:w="2520"/>
              <w:gridCol w:w="154"/>
              <w:gridCol w:w="35"/>
              <w:gridCol w:w="390"/>
              <w:gridCol w:w="5907"/>
            </w:tblGrid>
            <w:tr w:rsidR="007C58B7" w:rsidRPr="00FA2837" w14:paraId="3A0C2F72" w14:textId="77777777" w:rsidTr="007C58B7">
              <w:trPr>
                <w:tblCellSpacing w:w="0" w:type="dxa"/>
              </w:trPr>
              <w:tc>
                <w:tcPr>
                  <w:tcW w:w="20" w:type="dxa"/>
                  <w:vAlign w:val="center"/>
                  <w:hideMark/>
                </w:tcPr>
                <w:p w14:paraId="6CFCD2E0" w14:textId="290B0FEA" w:rsidR="007C58B7" w:rsidRPr="00FA2837" w:rsidRDefault="007C58B7">
                  <w:pPr>
                    <w:rPr>
                      <w:rFonts w:ascii="Roboto" w:hAnsi="Roboto"/>
                      <w:sz w:val="22"/>
                      <w:szCs w:val="22"/>
                    </w:rPr>
                  </w:pPr>
                </w:p>
              </w:tc>
              <w:tc>
                <w:tcPr>
                  <w:tcW w:w="2520" w:type="dxa"/>
                  <w:vAlign w:val="center"/>
                  <w:hideMark/>
                </w:tcPr>
                <w:p w14:paraId="3A32D6EF" w14:textId="77777777" w:rsidR="007C58B7" w:rsidRPr="00A7650C" w:rsidRDefault="007C58B7" w:rsidP="00A7650C">
                  <w:pPr>
                    <w:rPr>
                      <w:rFonts w:ascii="Roboto" w:eastAsia="Times New Roman" w:hAnsi="Roboto" w:cs="Times New Roman"/>
                      <w:color w:val="061D4E"/>
                      <w:lang w:eastAsia="en-GB"/>
                    </w:rPr>
                  </w:pPr>
                  <w:r w:rsidRPr="00A7650C">
                    <w:rPr>
                      <w:rFonts w:ascii="Roboto" w:eastAsia="Times New Roman" w:hAnsi="Roboto" w:cs="Times New Roman"/>
                      <w:color w:val="061D4E"/>
                      <w:lang w:eastAsia="en-GB"/>
                    </w:rPr>
                    <w:t>Paul Wenham</w:t>
                  </w:r>
                </w:p>
                <w:p w14:paraId="4B6C5688" w14:textId="1FD083AD" w:rsidR="007C58B7" w:rsidRPr="00FA2837" w:rsidRDefault="007C58B7">
                  <w:pPr>
                    <w:pStyle w:val="NormalWeb"/>
                    <w:spacing w:before="0" w:beforeAutospacing="0" w:after="0" w:afterAutospacing="0" w:line="330" w:lineRule="atLeast"/>
                    <w:rPr>
                      <w:rFonts w:ascii="Roboto" w:hAnsi="Roboto"/>
                      <w:color w:val="061D4E"/>
                      <w:sz w:val="20"/>
                      <w:szCs w:val="20"/>
                    </w:rPr>
                  </w:pPr>
                  <w:r w:rsidRPr="00FA2837">
                    <w:rPr>
                      <w:rFonts w:ascii="Roboto" w:hAnsi="Roboto"/>
                      <w:color w:val="061D4E"/>
                      <w:sz w:val="20"/>
                      <w:szCs w:val="20"/>
                    </w:rPr>
                    <w:t>Co-founder &amp; CEO</w:t>
                  </w:r>
                </w:p>
                <w:p w14:paraId="164072BB" w14:textId="77777777" w:rsidR="007C58B7" w:rsidRPr="00FA2837" w:rsidRDefault="007C58B7">
                  <w:pPr>
                    <w:pStyle w:val="NormalWeb"/>
                    <w:spacing w:before="0" w:beforeAutospacing="0" w:after="0" w:afterAutospacing="0" w:line="330" w:lineRule="atLeast"/>
                    <w:rPr>
                      <w:rFonts w:ascii="Roboto" w:hAnsi="Roboto"/>
                      <w:color w:val="061D4E"/>
                      <w:sz w:val="20"/>
                      <w:szCs w:val="20"/>
                    </w:rPr>
                  </w:pPr>
                  <w:r w:rsidRPr="00FA2837">
                    <w:rPr>
                      <w:rFonts w:ascii="Roboto" w:hAnsi="Roboto"/>
                      <w:color w:val="061D4E"/>
                      <w:sz w:val="20"/>
                      <w:szCs w:val="20"/>
                    </w:rPr>
                    <w:t>he/him/his | AssuranceLab</w:t>
                  </w:r>
                </w:p>
              </w:tc>
              <w:tc>
                <w:tcPr>
                  <w:tcW w:w="154" w:type="dxa"/>
                  <w:vAlign w:val="center"/>
                  <w:hideMark/>
                </w:tcPr>
                <w:p w14:paraId="417E22CF" w14:textId="77777777" w:rsidR="007C58B7" w:rsidRPr="00FA2837" w:rsidRDefault="007C58B7">
                  <w:pPr>
                    <w:rPr>
                      <w:rFonts w:ascii="Roboto" w:hAnsi="Roboto"/>
                      <w:color w:val="061D4E"/>
                      <w:sz w:val="20"/>
                      <w:szCs w:val="20"/>
                    </w:rPr>
                  </w:pPr>
                </w:p>
              </w:tc>
              <w:tc>
                <w:tcPr>
                  <w:tcW w:w="35" w:type="dxa"/>
                  <w:tcBorders>
                    <w:left w:val="single" w:sz="6" w:space="0" w:color="0078EE"/>
                    <w:bottom w:val="nil"/>
                  </w:tcBorders>
                  <w:vAlign w:val="center"/>
                  <w:hideMark/>
                </w:tcPr>
                <w:p w14:paraId="1F0A45DA" w14:textId="77777777" w:rsidR="007C58B7" w:rsidRPr="00FA2837" w:rsidRDefault="007C58B7">
                  <w:pPr>
                    <w:rPr>
                      <w:sz w:val="18"/>
                      <w:szCs w:val="18"/>
                    </w:rPr>
                  </w:pPr>
                </w:p>
              </w:tc>
              <w:tc>
                <w:tcPr>
                  <w:tcW w:w="390" w:type="dxa"/>
                  <w:vAlign w:val="center"/>
                  <w:hideMark/>
                </w:tcPr>
                <w:p w14:paraId="68269030" w14:textId="77777777" w:rsidR="007C58B7" w:rsidRPr="00FA2837" w:rsidRDefault="007C58B7">
                  <w:pPr>
                    <w:rPr>
                      <w:sz w:val="18"/>
                      <w:szCs w:val="18"/>
                    </w:rPr>
                  </w:pPr>
                </w:p>
              </w:tc>
              <w:tc>
                <w:tcPr>
                  <w:tcW w:w="5907"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450"/>
                    <w:gridCol w:w="2690"/>
                  </w:tblGrid>
                  <w:tr w:rsidR="007C58B7" w:rsidRPr="00FA2837" w14:paraId="533914A2" w14:textId="77777777" w:rsidTr="007C58B7">
                    <w:trPr>
                      <w:trHeight w:val="239"/>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60"/>
                        </w:tblGrid>
                        <w:tr w:rsidR="007C58B7" w:rsidRPr="00FA2837" w14:paraId="1D27BB79" w14:textId="77777777">
                          <w:trPr>
                            <w:tblCellSpacing w:w="0" w:type="dxa"/>
                          </w:trPr>
                          <w:tc>
                            <w:tcPr>
                              <w:tcW w:w="0" w:type="auto"/>
                              <w:vAlign w:val="bottom"/>
                              <w:hideMark/>
                            </w:tcPr>
                            <w:p w14:paraId="2A767308" w14:textId="414247BD" w:rsidR="007C58B7" w:rsidRPr="00FA2837" w:rsidRDefault="007C58B7">
                              <w:pPr>
                                <w:rPr>
                                  <w:rFonts w:ascii="Roboto" w:hAnsi="Roboto"/>
                                  <w:sz w:val="22"/>
                                  <w:szCs w:val="22"/>
                                </w:rPr>
                              </w:pPr>
                              <w:r w:rsidRPr="00FA2837">
                                <w:rPr>
                                  <w:rFonts w:ascii="Roboto" w:hAnsi="Roboto"/>
                                  <w:sz w:val="22"/>
                                  <w:szCs w:val="22"/>
                                  <w:shd w:val="clear" w:color="auto" w:fill="0078EE"/>
                                </w:rPr>
                                <w:fldChar w:fldCharType="begin"/>
                              </w:r>
                              <w:r w:rsidRPr="00FA2837">
                                <w:rPr>
                                  <w:rFonts w:ascii="Roboto" w:hAnsi="Roboto"/>
                                  <w:sz w:val="22"/>
                                  <w:szCs w:val="22"/>
                                  <w:shd w:val="clear" w:color="auto" w:fill="0078EE"/>
                                </w:rPr>
                                <w:instrText xml:space="preserve"> INCLUDEPICTURE "https://cdn2.hubspot.net/hubfs/53/tools/email-signature-generator/icons/phone-icon-2x.png" \* MERGEFORMATINET </w:instrText>
                              </w:r>
                              <w:r w:rsidRPr="00FA2837">
                                <w:rPr>
                                  <w:rFonts w:ascii="Roboto" w:hAnsi="Roboto"/>
                                  <w:sz w:val="22"/>
                                  <w:szCs w:val="22"/>
                                  <w:shd w:val="clear" w:color="auto" w:fill="0078EE"/>
                                </w:rPr>
                                <w:fldChar w:fldCharType="separate"/>
                              </w:r>
                              <w:r w:rsidRPr="00FA2837">
                                <w:rPr>
                                  <w:rFonts w:ascii="Roboto" w:hAnsi="Roboto"/>
                                  <w:noProof/>
                                  <w:sz w:val="22"/>
                                  <w:szCs w:val="22"/>
                                  <w:shd w:val="clear" w:color="auto" w:fill="0078EE"/>
                                </w:rPr>
                                <w:drawing>
                                  <wp:inline distT="0" distB="0" distL="0" distR="0" wp14:anchorId="41F89959" wp14:editId="7500F84B">
                                    <wp:extent cx="163195" cy="16319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FA2837">
                                <w:rPr>
                                  <w:rFonts w:ascii="Roboto" w:hAnsi="Roboto"/>
                                  <w:sz w:val="22"/>
                                  <w:szCs w:val="22"/>
                                  <w:shd w:val="clear" w:color="auto" w:fill="0078EE"/>
                                </w:rPr>
                                <w:fldChar w:fldCharType="end"/>
                              </w:r>
                            </w:p>
                          </w:tc>
                        </w:tr>
                      </w:tbl>
                      <w:p w14:paraId="184FC1F6" w14:textId="77777777" w:rsidR="007C58B7" w:rsidRPr="00FA2837" w:rsidRDefault="007C58B7">
                        <w:pPr>
                          <w:rPr>
                            <w:rFonts w:ascii="Roboto" w:hAnsi="Roboto"/>
                            <w:sz w:val="22"/>
                            <w:szCs w:val="22"/>
                          </w:rPr>
                        </w:pPr>
                      </w:p>
                    </w:tc>
                    <w:tc>
                      <w:tcPr>
                        <w:tcW w:w="0" w:type="auto"/>
                        <w:vAlign w:val="center"/>
                        <w:hideMark/>
                      </w:tcPr>
                      <w:p w14:paraId="46D0CC44" w14:textId="77777777" w:rsidR="007C58B7" w:rsidRPr="00FA2837" w:rsidRDefault="005631DC">
                        <w:pPr>
                          <w:rPr>
                            <w:rFonts w:ascii="Roboto" w:hAnsi="Roboto"/>
                            <w:color w:val="061D4E"/>
                            <w:sz w:val="22"/>
                            <w:szCs w:val="22"/>
                          </w:rPr>
                        </w:pPr>
                        <w:hyperlink r:id="rId9" w:tgtFrame="_blank" w:history="1">
                          <w:r w:rsidR="007C58B7" w:rsidRPr="00FA2837">
                            <w:rPr>
                              <w:rStyle w:val="Hyperlink"/>
                              <w:rFonts w:ascii="Roboto" w:hAnsi="Roboto"/>
                              <w:color w:val="061D4E"/>
                              <w:sz w:val="16"/>
                              <w:szCs w:val="16"/>
                            </w:rPr>
                            <w:t>+61(0) 490 086 000</w:t>
                          </w:r>
                        </w:hyperlink>
                      </w:p>
                    </w:tc>
                  </w:tr>
                  <w:tr w:rsidR="007C58B7" w:rsidRPr="00FA2837" w14:paraId="4794410C" w14:textId="77777777">
                    <w:trPr>
                      <w:trHeight w:val="500"/>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60"/>
                        </w:tblGrid>
                        <w:tr w:rsidR="007C58B7" w:rsidRPr="00FA2837" w14:paraId="64209324" w14:textId="77777777">
                          <w:trPr>
                            <w:tblCellSpacing w:w="0" w:type="dxa"/>
                          </w:trPr>
                          <w:tc>
                            <w:tcPr>
                              <w:tcW w:w="0" w:type="auto"/>
                              <w:vAlign w:val="bottom"/>
                              <w:hideMark/>
                            </w:tcPr>
                            <w:p w14:paraId="4FD97314" w14:textId="7F2E00BB" w:rsidR="007C58B7" w:rsidRPr="00FA2837" w:rsidRDefault="007C58B7">
                              <w:pPr>
                                <w:rPr>
                                  <w:rFonts w:ascii="Roboto" w:hAnsi="Roboto"/>
                                  <w:sz w:val="22"/>
                                  <w:szCs w:val="22"/>
                                </w:rPr>
                              </w:pPr>
                              <w:r w:rsidRPr="00FA2837">
                                <w:rPr>
                                  <w:rFonts w:ascii="Roboto" w:hAnsi="Roboto"/>
                                  <w:sz w:val="22"/>
                                  <w:szCs w:val="22"/>
                                  <w:shd w:val="clear" w:color="auto" w:fill="0078EE"/>
                                </w:rPr>
                                <w:fldChar w:fldCharType="begin"/>
                              </w:r>
                              <w:r w:rsidRPr="00FA2837">
                                <w:rPr>
                                  <w:rFonts w:ascii="Roboto" w:hAnsi="Roboto"/>
                                  <w:sz w:val="22"/>
                                  <w:szCs w:val="22"/>
                                  <w:shd w:val="clear" w:color="auto" w:fill="0078EE"/>
                                </w:rPr>
                                <w:instrText xml:space="preserve"> INCLUDEPICTURE "https://cdn2.hubspot.net/hubfs/53/tools/email-signature-generator/icons/email-icon-2x.png" \* MERGEFORMATINET </w:instrText>
                              </w:r>
                              <w:r w:rsidRPr="00FA2837">
                                <w:rPr>
                                  <w:rFonts w:ascii="Roboto" w:hAnsi="Roboto"/>
                                  <w:sz w:val="22"/>
                                  <w:szCs w:val="22"/>
                                  <w:shd w:val="clear" w:color="auto" w:fill="0078EE"/>
                                </w:rPr>
                                <w:fldChar w:fldCharType="separate"/>
                              </w:r>
                              <w:r w:rsidRPr="00FA2837">
                                <w:rPr>
                                  <w:rFonts w:ascii="Roboto" w:hAnsi="Roboto"/>
                                  <w:noProof/>
                                  <w:sz w:val="22"/>
                                  <w:szCs w:val="22"/>
                                  <w:shd w:val="clear" w:color="auto" w:fill="0078EE"/>
                                </w:rPr>
                                <w:drawing>
                                  <wp:inline distT="0" distB="0" distL="0" distR="0" wp14:anchorId="791FBE59" wp14:editId="5C3BDA2E">
                                    <wp:extent cx="163195" cy="16319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FA2837">
                                <w:rPr>
                                  <w:rFonts w:ascii="Roboto" w:hAnsi="Roboto"/>
                                  <w:sz w:val="22"/>
                                  <w:szCs w:val="22"/>
                                  <w:shd w:val="clear" w:color="auto" w:fill="0078EE"/>
                                </w:rPr>
                                <w:fldChar w:fldCharType="end"/>
                              </w:r>
                            </w:p>
                          </w:tc>
                        </w:tr>
                      </w:tbl>
                      <w:p w14:paraId="50B9B3DA" w14:textId="77777777" w:rsidR="007C58B7" w:rsidRPr="00FA2837" w:rsidRDefault="007C58B7">
                        <w:pPr>
                          <w:rPr>
                            <w:rFonts w:ascii="Roboto" w:hAnsi="Roboto"/>
                            <w:sz w:val="22"/>
                            <w:szCs w:val="22"/>
                          </w:rPr>
                        </w:pPr>
                      </w:p>
                    </w:tc>
                    <w:tc>
                      <w:tcPr>
                        <w:tcW w:w="0" w:type="auto"/>
                        <w:vAlign w:val="center"/>
                        <w:hideMark/>
                      </w:tcPr>
                      <w:p w14:paraId="7F35A1FC" w14:textId="77777777" w:rsidR="007C58B7" w:rsidRPr="00FA2837" w:rsidRDefault="005631DC">
                        <w:pPr>
                          <w:rPr>
                            <w:rFonts w:ascii="Roboto" w:hAnsi="Roboto"/>
                            <w:sz w:val="22"/>
                            <w:szCs w:val="22"/>
                          </w:rPr>
                        </w:pPr>
                        <w:hyperlink r:id="rId11" w:tgtFrame="_blank" w:history="1">
                          <w:r w:rsidR="007C58B7" w:rsidRPr="00FA2837">
                            <w:rPr>
                              <w:rStyle w:val="Hyperlink"/>
                              <w:rFonts w:ascii="Roboto" w:hAnsi="Roboto"/>
                              <w:color w:val="061D4E"/>
                              <w:sz w:val="16"/>
                              <w:szCs w:val="16"/>
                            </w:rPr>
                            <w:t>paul@assurancelab.com.au</w:t>
                          </w:r>
                        </w:hyperlink>
                      </w:p>
                    </w:tc>
                  </w:tr>
                  <w:tr w:rsidR="007C58B7" w:rsidRPr="00FA2837" w14:paraId="6BE2C9BF" w14:textId="77777777" w:rsidTr="007C58B7">
                    <w:trPr>
                      <w:trHeight w:val="239"/>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60"/>
                        </w:tblGrid>
                        <w:tr w:rsidR="007C58B7" w:rsidRPr="00FA2837" w14:paraId="4565AB0F" w14:textId="77777777">
                          <w:trPr>
                            <w:tblCellSpacing w:w="0" w:type="dxa"/>
                          </w:trPr>
                          <w:tc>
                            <w:tcPr>
                              <w:tcW w:w="0" w:type="auto"/>
                              <w:vAlign w:val="bottom"/>
                              <w:hideMark/>
                            </w:tcPr>
                            <w:p w14:paraId="1D9056FB" w14:textId="60AF34F9" w:rsidR="007C58B7" w:rsidRPr="00FA2837" w:rsidRDefault="007C58B7">
                              <w:pPr>
                                <w:rPr>
                                  <w:rFonts w:ascii="Roboto" w:hAnsi="Roboto"/>
                                  <w:sz w:val="22"/>
                                  <w:szCs w:val="22"/>
                                </w:rPr>
                              </w:pPr>
                              <w:r w:rsidRPr="00FA2837">
                                <w:rPr>
                                  <w:rFonts w:ascii="Roboto" w:hAnsi="Roboto"/>
                                  <w:sz w:val="22"/>
                                  <w:szCs w:val="22"/>
                                  <w:shd w:val="clear" w:color="auto" w:fill="0078EE"/>
                                </w:rPr>
                                <w:fldChar w:fldCharType="begin"/>
                              </w:r>
                              <w:r w:rsidRPr="00FA2837">
                                <w:rPr>
                                  <w:rFonts w:ascii="Roboto" w:hAnsi="Roboto"/>
                                  <w:sz w:val="22"/>
                                  <w:szCs w:val="22"/>
                                  <w:shd w:val="clear" w:color="auto" w:fill="0078EE"/>
                                </w:rPr>
                                <w:instrText xml:space="preserve"> INCLUDEPICTURE "https://cdn2.hubspot.net/hubfs/53/tools/email-signature-generator/icons/link-icon-2x.png" \* MERGEFORMATINET </w:instrText>
                              </w:r>
                              <w:r w:rsidRPr="00FA2837">
                                <w:rPr>
                                  <w:rFonts w:ascii="Roboto" w:hAnsi="Roboto"/>
                                  <w:sz w:val="22"/>
                                  <w:szCs w:val="22"/>
                                  <w:shd w:val="clear" w:color="auto" w:fill="0078EE"/>
                                </w:rPr>
                                <w:fldChar w:fldCharType="separate"/>
                              </w:r>
                              <w:r w:rsidRPr="00FA2837">
                                <w:rPr>
                                  <w:rFonts w:ascii="Roboto" w:hAnsi="Roboto"/>
                                  <w:noProof/>
                                  <w:sz w:val="22"/>
                                  <w:szCs w:val="22"/>
                                  <w:shd w:val="clear" w:color="auto" w:fill="0078EE"/>
                                </w:rPr>
                                <w:drawing>
                                  <wp:inline distT="0" distB="0" distL="0" distR="0" wp14:anchorId="51D6666D" wp14:editId="338717F7">
                                    <wp:extent cx="163195" cy="1631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FA2837">
                                <w:rPr>
                                  <w:rFonts w:ascii="Roboto" w:hAnsi="Roboto"/>
                                  <w:sz w:val="22"/>
                                  <w:szCs w:val="22"/>
                                  <w:shd w:val="clear" w:color="auto" w:fill="0078EE"/>
                                </w:rPr>
                                <w:fldChar w:fldCharType="end"/>
                              </w:r>
                            </w:p>
                          </w:tc>
                        </w:tr>
                      </w:tbl>
                      <w:p w14:paraId="68602A0D" w14:textId="77777777" w:rsidR="007C58B7" w:rsidRPr="00FA2837" w:rsidRDefault="007C58B7">
                        <w:pPr>
                          <w:rPr>
                            <w:rFonts w:ascii="Roboto" w:hAnsi="Roboto"/>
                            <w:sz w:val="22"/>
                            <w:szCs w:val="22"/>
                          </w:rPr>
                        </w:pPr>
                      </w:p>
                    </w:tc>
                    <w:tc>
                      <w:tcPr>
                        <w:tcW w:w="0" w:type="auto"/>
                        <w:vAlign w:val="center"/>
                        <w:hideMark/>
                      </w:tcPr>
                      <w:p w14:paraId="4C3A1920" w14:textId="77777777" w:rsidR="007C58B7" w:rsidRPr="00FA2837" w:rsidRDefault="005631DC">
                        <w:pPr>
                          <w:rPr>
                            <w:rFonts w:ascii="Roboto" w:hAnsi="Roboto"/>
                            <w:sz w:val="22"/>
                            <w:szCs w:val="22"/>
                          </w:rPr>
                        </w:pPr>
                        <w:hyperlink r:id="rId13" w:tgtFrame="_blank" w:history="1">
                          <w:r w:rsidR="007C58B7" w:rsidRPr="00FA2837">
                            <w:rPr>
                              <w:rStyle w:val="Hyperlink"/>
                              <w:rFonts w:ascii="Roboto" w:hAnsi="Roboto"/>
                              <w:color w:val="061D4E"/>
                              <w:sz w:val="16"/>
                              <w:szCs w:val="16"/>
                            </w:rPr>
                            <w:t>https://assurancelab.com.au</w:t>
                          </w:r>
                        </w:hyperlink>
                      </w:p>
                    </w:tc>
                  </w:tr>
                  <w:tr w:rsidR="007C58B7" w:rsidRPr="00FA2837" w14:paraId="59705488" w14:textId="77777777">
                    <w:trPr>
                      <w:trHeight w:val="500"/>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60"/>
                        </w:tblGrid>
                        <w:tr w:rsidR="007C58B7" w:rsidRPr="00FA2837" w14:paraId="40683127" w14:textId="77777777">
                          <w:trPr>
                            <w:tblCellSpacing w:w="0" w:type="dxa"/>
                          </w:trPr>
                          <w:tc>
                            <w:tcPr>
                              <w:tcW w:w="0" w:type="auto"/>
                              <w:vAlign w:val="bottom"/>
                              <w:hideMark/>
                            </w:tcPr>
                            <w:p w14:paraId="76629E84" w14:textId="7300FE8B" w:rsidR="007C58B7" w:rsidRPr="00FA2837" w:rsidRDefault="007C58B7">
                              <w:pPr>
                                <w:rPr>
                                  <w:rFonts w:ascii="Roboto" w:hAnsi="Roboto"/>
                                  <w:sz w:val="22"/>
                                  <w:szCs w:val="22"/>
                                </w:rPr>
                              </w:pPr>
                              <w:r w:rsidRPr="00FA2837">
                                <w:rPr>
                                  <w:rFonts w:ascii="Roboto" w:hAnsi="Roboto"/>
                                  <w:sz w:val="22"/>
                                  <w:szCs w:val="22"/>
                                  <w:shd w:val="clear" w:color="auto" w:fill="0078EE"/>
                                </w:rPr>
                                <w:fldChar w:fldCharType="begin"/>
                              </w:r>
                              <w:r w:rsidRPr="00FA2837">
                                <w:rPr>
                                  <w:rFonts w:ascii="Roboto" w:hAnsi="Roboto"/>
                                  <w:sz w:val="22"/>
                                  <w:szCs w:val="22"/>
                                  <w:shd w:val="clear" w:color="auto" w:fill="0078EE"/>
                                </w:rPr>
                                <w:instrText xml:space="preserve"> INCLUDEPICTURE "https://cdn2.hubspot.net/hubfs/53/tools/email-signature-generator/icons/address-icon-2x.png" \* MERGEFORMATINET </w:instrText>
                              </w:r>
                              <w:r w:rsidRPr="00FA2837">
                                <w:rPr>
                                  <w:rFonts w:ascii="Roboto" w:hAnsi="Roboto"/>
                                  <w:sz w:val="22"/>
                                  <w:szCs w:val="22"/>
                                  <w:shd w:val="clear" w:color="auto" w:fill="0078EE"/>
                                </w:rPr>
                                <w:fldChar w:fldCharType="separate"/>
                              </w:r>
                              <w:r w:rsidRPr="00FA2837">
                                <w:rPr>
                                  <w:rFonts w:ascii="Roboto" w:hAnsi="Roboto"/>
                                  <w:noProof/>
                                  <w:sz w:val="22"/>
                                  <w:szCs w:val="22"/>
                                  <w:shd w:val="clear" w:color="auto" w:fill="0078EE"/>
                                </w:rPr>
                                <w:drawing>
                                  <wp:inline distT="0" distB="0" distL="0" distR="0" wp14:anchorId="29243472" wp14:editId="08A9BE95">
                                    <wp:extent cx="163195" cy="1631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FA2837">
                                <w:rPr>
                                  <w:rFonts w:ascii="Roboto" w:hAnsi="Roboto"/>
                                  <w:sz w:val="22"/>
                                  <w:szCs w:val="22"/>
                                  <w:shd w:val="clear" w:color="auto" w:fill="0078EE"/>
                                </w:rPr>
                                <w:fldChar w:fldCharType="end"/>
                              </w:r>
                            </w:p>
                          </w:tc>
                        </w:tr>
                      </w:tbl>
                      <w:p w14:paraId="7832811A" w14:textId="77777777" w:rsidR="007C58B7" w:rsidRPr="00FA2837" w:rsidRDefault="007C58B7">
                        <w:pPr>
                          <w:rPr>
                            <w:rFonts w:ascii="Roboto" w:hAnsi="Roboto"/>
                            <w:sz w:val="22"/>
                            <w:szCs w:val="22"/>
                          </w:rPr>
                        </w:pPr>
                      </w:p>
                    </w:tc>
                    <w:tc>
                      <w:tcPr>
                        <w:tcW w:w="0" w:type="auto"/>
                        <w:vAlign w:val="center"/>
                        <w:hideMark/>
                      </w:tcPr>
                      <w:p w14:paraId="448FBDC7" w14:textId="77777777" w:rsidR="007C58B7" w:rsidRPr="00FA2837" w:rsidRDefault="007C58B7">
                        <w:pPr>
                          <w:rPr>
                            <w:rFonts w:ascii="Roboto" w:hAnsi="Roboto"/>
                            <w:sz w:val="22"/>
                            <w:szCs w:val="22"/>
                          </w:rPr>
                        </w:pPr>
                        <w:r w:rsidRPr="00FA2837">
                          <w:rPr>
                            <w:rFonts w:ascii="Roboto" w:hAnsi="Roboto"/>
                            <w:color w:val="061D4E"/>
                            <w:sz w:val="16"/>
                            <w:szCs w:val="16"/>
                          </w:rPr>
                          <w:t>Lvl 3/11 York Street, Sydney, Australia</w:t>
                        </w:r>
                      </w:p>
                    </w:tc>
                  </w:tr>
                </w:tbl>
                <w:p w14:paraId="4567CC0F" w14:textId="77777777" w:rsidR="007C58B7" w:rsidRPr="00FA2837" w:rsidRDefault="007C58B7">
                  <w:pPr>
                    <w:rPr>
                      <w:rFonts w:ascii="Roboto" w:hAnsi="Roboto"/>
                      <w:sz w:val="22"/>
                      <w:szCs w:val="22"/>
                    </w:rPr>
                  </w:pPr>
                </w:p>
              </w:tc>
            </w:tr>
          </w:tbl>
          <w:p w14:paraId="0084F3A5" w14:textId="77777777" w:rsidR="007C58B7" w:rsidRPr="00FA2837" w:rsidRDefault="007C58B7">
            <w:pPr>
              <w:rPr>
                <w:rFonts w:ascii="Roboto" w:hAnsi="Roboto"/>
                <w:color w:val="FFFFFF"/>
              </w:rPr>
            </w:pPr>
          </w:p>
        </w:tc>
      </w:tr>
    </w:tbl>
    <w:p w14:paraId="2545051F" w14:textId="6CDEE47C" w:rsidR="007C58B7" w:rsidRDefault="007C58B7">
      <w:pPr>
        <w:rPr>
          <w:rFonts w:ascii="Open Sans" w:hAnsi="Open Sans" w:cs="Open Sans"/>
          <w:sz w:val="21"/>
          <w:szCs w:val="21"/>
        </w:rPr>
      </w:pPr>
    </w:p>
    <w:p w14:paraId="6B83CDB8" w14:textId="77777777" w:rsidR="00A7650C" w:rsidRDefault="00A7650C">
      <w:pPr>
        <w:rPr>
          <w:rFonts w:ascii="Open Sans" w:hAnsi="Open Sans" w:cs="Open Sans"/>
          <w:color w:val="FF0000"/>
          <w:sz w:val="21"/>
          <w:szCs w:val="21"/>
        </w:rPr>
      </w:pPr>
      <w:r>
        <w:rPr>
          <w:rFonts w:ascii="Open Sans" w:hAnsi="Open Sans" w:cs="Open Sans"/>
          <w:color w:val="FF0000"/>
          <w:sz w:val="21"/>
          <w:szCs w:val="21"/>
        </w:rPr>
        <w:br w:type="page"/>
      </w:r>
    </w:p>
    <w:p w14:paraId="1CDC7EF4" w14:textId="77777777" w:rsidR="008E6672" w:rsidRPr="00A7650C" w:rsidRDefault="008E6672" w:rsidP="00A7650C">
      <w:pPr>
        <w:pStyle w:val="Heading1"/>
        <w:rPr>
          <w:b/>
          <w:bCs/>
          <w:sz w:val="24"/>
          <w:szCs w:val="24"/>
        </w:rPr>
      </w:pPr>
      <w:bookmarkStart w:id="0" w:name="_Toc77246457"/>
      <w:r w:rsidRPr="00A7650C">
        <w:rPr>
          <w:b/>
          <w:bCs/>
          <w:sz w:val="24"/>
          <w:szCs w:val="24"/>
        </w:rPr>
        <w:lastRenderedPageBreak/>
        <w:t>About AssuranceLab</w:t>
      </w:r>
      <w:bookmarkEnd w:id="0"/>
    </w:p>
    <w:p w14:paraId="51FF0578" w14:textId="77777777" w:rsidR="008E6672" w:rsidRPr="00FA2837" w:rsidRDefault="008E6672" w:rsidP="008E6672">
      <w:pPr>
        <w:rPr>
          <w:rFonts w:ascii="Open Sans" w:hAnsi="Open Sans" w:cs="Open Sans"/>
          <w:sz w:val="21"/>
          <w:szCs w:val="21"/>
        </w:rPr>
      </w:pPr>
    </w:p>
    <w:p w14:paraId="3A490CD5" w14:textId="38F7E88D" w:rsidR="00E97BD9" w:rsidRDefault="008E6672">
      <w:pPr>
        <w:rPr>
          <w:rFonts w:ascii="Open Sans" w:hAnsi="Open Sans" w:cs="Open Sans"/>
          <w:sz w:val="21"/>
          <w:szCs w:val="21"/>
        </w:rPr>
      </w:pPr>
      <w:r w:rsidRPr="00FA2837">
        <w:rPr>
          <w:rFonts w:ascii="Open Sans" w:hAnsi="Open Sans" w:cs="Open Sans"/>
          <w:sz w:val="21"/>
          <w:szCs w:val="21"/>
        </w:rPr>
        <w:t>AssuranceLab is a</w:t>
      </w:r>
      <w:r w:rsidR="0080724A">
        <w:rPr>
          <w:rFonts w:ascii="Open Sans" w:hAnsi="Open Sans" w:cs="Open Sans"/>
          <w:sz w:val="21"/>
          <w:szCs w:val="21"/>
        </w:rPr>
        <w:t xml:space="preserve"> for-purpose B-Corporation, a</w:t>
      </w:r>
      <w:r w:rsidRPr="00FA2837">
        <w:rPr>
          <w:rFonts w:ascii="Open Sans" w:hAnsi="Open Sans" w:cs="Open Sans"/>
          <w:sz w:val="21"/>
          <w:szCs w:val="21"/>
        </w:rPr>
        <w:t xml:space="preserve"> Certified Public Practice accounting firm, and a leading provider of information security audits under the </w:t>
      </w:r>
      <w:r w:rsidR="00E97BD9">
        <w:rPr>
          <w:rFonts w:ascii="Open Sans" w:hAnsi="Open Sans" w:cs="Open Sans"/>
          <w:sz w:val="21"/>
          <w:szCs w:val="21"/>
        </w:rPr>
        <w:t>System and</w:t>
      </w:r>
      <w:r w:rsidRPr="00FA2837">
        <w:rPr>
          <w:rFonts w:ascii="Open Sans" w:hAnsi="Open Sans" w:cs="Open Sans"/>
          <w:sz w:val="21"/>
          <w:szCs w:val="21"/>
        </w:rPr>
        <w:t xml:space="preserve"> Organisation Control (‘SOC’) standards. </w:t>
      </w:r>
      <w:r w:rsidR="00AC52E8">
        <w:rPr>
          <w:rFonts w:ascii="Open Sans" w:hAnsi="Open Sans" w:cs="Open Sans"/>
          <w:sz w:val="21"/>
          <w:szCs w:val="21"/>
        </w:rPr>
        <w:t>We are the leading provider of SOC 2 reports in ANZ (by # of clients) serving</w:t>
      </w:r>
      <w:r w:rsidRPr="00FA2837">
        <w:rPr>
          <w:rFonts w:ascii="Open Sans" w:hAnsi="Open Sans" w:cs="Open Sans"/>
          <w:sz w:val="21"/>
          <w:szCs w:val="21"/>
        </w:rPr>
        <w:t xml:space="preserve"> over 60 cloud software providers as annual audit clients across Australia, New Zealand, the US, Ireland, Singapore, The Philippines and Vietnam. AssuranceLab began </w:t>
      </w:r>
      <w:r w:rsidR="00E97BD9">
        <w:rPr>
          <w:rFonts w:ascii="Open Sans" w:hAnsi="Open Sans" w:cs="Open Sans"/>
          <w:sz w:val="21"/>
          <w:szCs w:val="21"/>
        </w:rPr>
        <w:t>working with the Consumer Data Right in 2021.</w:t>
      </w:r>
    </w:p>
    <w:p w14:paraId="31B03D29" w14:textId="087FA373" w:rsidR="001F724D" w:rsidRPr="00A7650C" w:rsidRDefault="001F724D" w:rsidP="00A7650C">
      <w:pPr>
        <w:pStyle w:val="Heading1"/>
        <w:rPr>
          <w:b/>
          <w:bCs/>
          <w:color w:val="061D4E"/>
          <w:sz w:val="24"/>
          <w:szCs w:val="24"/>
        </w:rPr>
      </w:pPr>
      <w:bookmarkStart w:id="1" w:name="_Toc77246458"/>
      <w:r w:rsidRPr="00A7650C">
        <w:rPr>
          <w:b/>
          <w:bCs/>
          <w:sz w:val="24"/>
          <w:szCs w:val="24"/>
        </w:rPr>
        <w:t>Executive Summary</w:t>
      </w:r>
      <w:bookmarkEnd w:id="1"/>
    </w:p>
    <w:p w14:paraId="51271BE5" w14:textId="24FECBF1" w:rsidR="001F724D" w:rsidRPr="00FA2837" w:rsidRDefault="001F724D" w:rsidP="001F724D">
      <w:pPr>
        <w:rPr>
          <w:rFonts w:ascii="Open Sans" w:hAnsi="Open Sans" w:cs="Open Sans"/>
          <w:sz w:val="21"/>
          <w:szCs w:val="21"/>
        </w:rPr>
      </w:pPr>
    </w:p>
    <w:p w14:paraId="09E57EF5" w14:textId="0694B3E0" w:rsidR="00E472D9" w:rsidRPr="00FA2837" w:rsidRDefault="00E472D9" w:rsidP="00E472D9">
      <w:pPr>
        <w:rPr>
          <w:rFonts w:ascii="Open Sans" w:hAnsi="Open Sans" w:cs="Open Sans"/>
          <w:sz w:val="21"/>
          <w:szCs w:val="21"/>
        </w:rPr>
      </w:pPr>
      <w:r w:rsidRPr="00FA2837">
        <w:rPr>
          <w:rFonts w:ascii="Open Sans" w:hAnsi="Open Sans" w:cs="Open Sans"/>
          <w:sz w:val="21"/>
          <w:szCs w:val="21"/>
        </w:rPr>
        <w:t>We understand the CDR legislation is design</w:t>
      </w:r>
      <w:r w:rsidR="00A074C8" w:rsidRPr="00FA2837">
        <w:rPr>
          <w:rFonts w:ascii="Open Sans" w:hAnsi="Open Sans" w:cs="Open Sans"/>
          <w:sz w:val="21"/>
          <w:szCs w:val="21"/>
        </w:rPr>
        <w:t>ed</w:t>
      </w:r>
      <w:r w:rsidRPr="00FA2837">
        <w:rPr>
          <w:rFonts w:ascii="Open Sans" w:hAnsi="Open Sans" w:cs="Open Sans"/>
          <w:sz w:val="21"/>
          <w:szCs w:val="21"/>
        </w:rPr>
        <w:t xml:space="preserve"> to increase competition</w:t>
      </w:r>
      <w:r w:rsidR="00570B7A" w:rsidRPr="00FA2837">
        <w:rPr>
          <w:rFonts w:ascii="Open Sans" w:hAnsi="Open Sans" w:cs="Open Sans"/>
          <w:sz w:val="21"/>
          <w:szCs w:val="21"/>
        </w:rPr>
        <w:t xml:space="preserve"> and improve</w:t>
      </w:r>
      <w:r w:rsidRPr="00FA2837">
        <w:rPr>
          <w:rFonts w:ascii="Open Sans" w:hAnsi="Open Sans" w:cs="Open Sans"/>
          <w:sz w:val="21"/>
          <w:szCs w:val="21"/>
        </w:rPr>
        <w:t xml:space="preserve"> the products and services offered to Australians. </w:t>
      </w:r>
      <w:r w:rsidR="0042117D" w:rsidRPr="00FA2837">
        <w:rPr>
          <w:rFonts w:ascii="Open Sans" w:hAnsi="Open Sans" w:cs="Open Sans"/>
          <w:sz w:val="21"/>
          <w:szCs w:val="21"/>
        </w:rPr>
        <w:t xml:space="preserve">The </w:t>
      </w:r>
      <w:r w:rsidRPr="00FA2837">
        <w:rPr>
          <w:rFonts w:ascii="Open Sans" w:hAnsi="Open Sans" w:cs="Open Sans"/>
          <w:sz w:val="21"/>
          <w:szCs w:val="21"/>
        </w:rPr>
        <w:t>policy objectives strike a balance</w:t>
      </w:r>
      <w:r w:rsidR="0042117D" w:rsidRPr="00FA2837">
        <w:rPr>
          <w:rFonts w:ascii="Open Sans" w:hAnsi="Open Sans" w:cs="Open Sans"/>
          <w:sz w:val="21"/>
          <w:szCs w:val="21"/>
        </w:rPr>
        <w:t xml:space="preserve"> between</w:t>
      </w:r>
      <w:r w:rsidRPr="00FA2837">
        <w:rPr>
          <w:rFonts w:ascii="Open Sans" w:hAnsi="Open Sans" w:cs="Open Sans"/>
          <w:sz w:val="21"/>
          <w:szCs w:val="21"/>
        </w:rPr>
        <w:t xml:space="preserve"> </w:t>
      </w:r>
      <w:r w:rsidR="00570B7A" w:rsidRPr="00FA2837">
        <w:rPr>
          <w:rFonts w:ascii="Open Sans" w:hAnsi="Open Sans" w:cs="Open Sans"/>
          <w:sz w:val="21"/>
          <w:szCs w:val="21"/>
        </w:rPr>
        <w:t>broad participation and</w:t>
      </w:r>
      <w:r w:rsidRPr="00FA2837">
        <w:rPr>
          <w:rFonts w:ascii="Open Sans" w:hAnsi="Open Sans" w:cs="Open Sans"/>
          <w:sz w:val="21"/>
          <w:szCs w:val="21"/>
        </w:rPr>
        <w:t xml:space="preserve"> accessibility while minimising the information security</w:t>
      </w:r>
      <w:r w:rsidR="0042117D" w:rsidRPr="00FA2837">
        <w:rPr>
          <w:rFonts w:ascii="Open Sans" w:hAnsi="Open Sans" w:cs="Open Sans"/>
          <w:sz w:val="21"/>
          <w:szCs w:val="21"/>
        </w:rPr>
        <w:t xml:space="preserve"> and privacy</w:t>
      </w:r>
      <w:r w:rsidRPr="00FA2837">
        <w:rPr>
          <w:rFonts w:ascii="Open Sans" w:hAnsi="Open Sans" w:cs="Open Sans"/>
          <w:sz w:val="21"/>
          <w:szCs w:val="21"/>
        </w:rPr>
        <w:t xml:space="preserve"> risk</w:t>
      </w:r>
      <w:r w:rsidR="00E91D34">
        <w:rPr>
          <w:rFonts w:ascii="Open Sans" w:hAnsi="Open Sans" w:cs="Open Sans"/>
          <w:sz w:val="21"/>
          <w:szCs w:val="21"/>
        </w:rPr>
        <w:t>s</w:t>
      </w:r>
      <w:r w:rsidRPr="00FA2837">
        <w:rPr>
          <w:rFonts w:ascii="Open Sans" w:hAnsi="Open Sans" w:cs="Open Sans"/>
          <w:sz w:val="21"/>
          <w:szCs w:val="21"/>
        </w:rPr>
        <w:t xml:space="preserve"> </w:t>
      </w:r>
      <w:r w:rsidR="0042117D" w:rsidRPr="00FA2837">
        <w:rPr>
          <w:rFonts w:ascii="Open Sans" w:hAnsi="Open Sans" w:cs="Open Sans"/>
          <w:sz w:val="21"/>
          <w:szCs w:val="21"/>
        </w:rPr>
        <w:t>for</w:t>
      </w:r>
      <w:r w:rsidRPr="00FA2837">
        <w:rPr>
          <w:rFonts w:ascii="Open Sans" w:hAnsi="Open Sans" w:cs="Open Sans"/>
          <w:sz w:val="21"/>
          <w:szCs w:val="21"/>
        </w:rPr>
        <w:t xml:space="preserve"> Australians</w:t>
      </w:r>
      <w:r w:rsidR="00A074C8" w:rsidRPr="00FA2837">
        <w:rPr>
          <w:rFonts w:ascii="Open Sans" w:hAnsi="Open Sans" w:cs="Open Sans"/>
          <w:sz w:val="21"/>
          <w:szCs w:val="21"/>
        </w:rPr>
        <w:t>’</w:t>
      </w:r>
      <w:r w:rsidRPr="00FA2837">
        <w:rPr>
          <w:rFonts w:ascii="Open Sans" w:hAnsi="Open Sans" w:cs="Open Sans"/>
          <w:sz w:val="21"/>
          <w:szCs w:val="21"/>
        </w:rPr>
        <w:t xml:space="preserve"> data.</w:t>
      </w:r>
    </w:p>
    <w:p w14:paraId="78520A10" w14:textId="48B410EC" w:rsidR="00B97FCB" w:rsidRPr="00FA2837" w:rsidRDefault="00B97FCB">
      <w:pPr>
        <w:rPr>
          <w:rFonts w:ascii="Open Sans" w:hAnsi="Open Sans" w:cs="Open Sans"/>
          <w:b/>
          <w:bCs/>
          <w:color w:val="16BA86"/>
          <w:sz w:val="21"/>
          <w:szCs w:val="21"/>
        </w:rPr>
      </w:pPr>
    </w:p>
    <w:p w14:paraId="1F8E944E" w14:textId="72BBBA08" w:rsidR="009943AE" w:rsidRPr="00FA2837" w:rsidRDefault="009943AE" w:rsidP="00E8529A">
      <w:pPr>
        <w:spacing w:after="120"/>
        <w:rPr>
          <w:rFonts w:ascii="Open Sans" w:hAnsi="Open Sans" w:cs="Open Sans"/>
          <w:sz w:val="21"/>
          <w:szCs w:val="21"/>
        </w:rPr>
      </w:pPr>
      <w:r w:rsidRPr="00FA2837">
        <w:rPr>
          <w:rFonts w:ascii="Open Sans" w:hAnsi="Open Sans" w:cs="Open Sans"/>
          <w:b/>
          <w:bCs/>
          <w:color w:val="16BA86"/>
          <w:sz w:val="21"/>
          <w:szCs w:val="21"/>
        </w:rPr>
        <w:t xml:space="preserve">Market view </w:t>
      </w:r>
    </w:p>
    <w:p w14:paraId="3E223FD6" w14:textId="2124FE6E" w:rsidR="009943AE" w:rsidRPr="00FA2837" w:rsidRDefault="009943AE" w:rsidP="00FA2837">
      <w:pPr>
        <w:spacing w:after="120"/>
        <w:rPr>
          <w:rFonts w:ascii="Open Sans" w:hAnsi="Open Sans" w:cs="Open Sans"/>
          <w:sz w:val="21"/>
          <w:szCs w:val="21"/>
        </w:rPr>
      </w:pPr>
      <w:r w:rsidRPr="00FA2837">
        <w:rPr>
          <w:rFonts w:ascii="Open Sans" w:hAnsi="Open Sans" w:cs="Open Sans"/>
          <w:sz w:val="21"/>
          <w:szCs w:val="21"/>
        </w:rPr>
        <w:t>We recognise the challenges associated with the reasonable assurance reports that have hindered accessibility for the CDR. While those historical observations remain</w:t>
      </w:r>
      <w:r w:rsidR="007C58B7" w:rsidRPr="00FA2837">
        <w:rPr>
          <w:rFonts w:ascii="Open Sans" w:hAnsi="Open Sans" w:cs="Open Sans"/>
          <w:sz w:val="21"/>
          <w:szCs w:val="21"/>
        </w:rPr>
        <w:t xml:space="preserve"> accurate</w:t>
      </w:r>
      <w:r w:rsidRPr="00FA2837">
        <w:rPr>
          <w:rFonts w:ascii="Open Sans" w:hAnsi="Open Sans" w:cs="Open Sans"/>
          <w:sz w:val="21"/>
          <w:szCs w:val="21"/>
        </w:rPr>
        <w:t xml:space="preserve"> </w:t>
      </w:r>
      <w:r w:rsidR="008B130C" w:rsidRPr="00FA2837">
        <w:rPr>
          <w:rFonts w:ascii="Open Sans" w:hAnsi="Open Sans" w:cs="Open Sans"/>
          <w:sz w:val="21"/>
          <w:szCs w:val="21"/>
        </w:rPr>
        <w:t>to some degree</w:t>
      </w:r>
      <w:r w:rsidRPr="00FA2837">
        <w:rPr>
          <w:rFonts w:ascii="Open Sans" w:hAnsi="Open Sans" w:cs="Open Sans"/>
          <w:sz w:val="21"/>
          <w:szCs w:val="21"/>
        </w:rPr>
        <w:t>, it’s important to consider:</w:t>
      </w:r>
    </w:p>
    <w:p w14:paraId="3AE856AB" w14:textId="0F896017" w:rsidR="009943AE" w:rsidRPr="00FA2837" w:rsidRDefault="009943AE" w:rsidP="00FA2837">
      <w:pPr>
        <w:pStyle w:val="ListParagraph"/>
        <w:numPr>
          <w:ilvl w:val="0"/>
          <w:numId w:val="14"/>
        </w:numPr>
        <w:spacing w:after="120"/>
        <w:contextualSpacing w:val="0"/>
        <w:rPr>
          <w:rFonts w:ascii="Open Sans" w:hAnsi="Open Sans" w:cs="Open Sans"/>
          <w:sz w:val="21"/>
          <w:szCs w:val="21"/>
        </w:rPr>
      </w:pPr>
      <w:r w:rsidRPr="00FA2837">
        <w:rPr>
          <w:rFonts w:ascii="Open Sans" w:hAnsi="Open Sans" w:cs="Open Sans"/>
          <w:sz w:val="21"/>
          <w:szCs w:val="21"/>
        </w:rPr>
        <w:t xml:space="preserve">Australia’s cybersecurity maturity trails our </w:t>
      </w:r>
      <w:r w:rsidR="00355A2C" w:rsidRPr="00FA2837">
        <w:rPr>
          <w:rFonts w:ascii="Open Sans" w:hAnsi="Open Sans" w:cs="Open Sans"/>
          <w:sz w:val="21"/>
          <w:szCs w:val="21"/>
        </w:rPr>
        <w:t>US and UK</w:t>
      </w:r>
      <w:r w:rsidRPr="00FA2837">
        <w:rPr>
          <w:rFonts w:ascii="Open Sans" w:hAnsi="Open Sans" w:cs="Open Sans"/>
          <w:sz w:val="21"/>
          <w:szCs w:val="21"/>
        </w:rPr>
        <w:t xml:space="preserve"> </w:t>
      </w:r>
      <w:r w:rsidR="00355A2C" w:rsidRPr="00FA2837">
        <w:rPr>
          <w:rFonts w:ascii="Open Sans" w:hAnsi="Open Sans" w:cs="Open Sans"/>
          <w:sz w:val="21"/>
          <w:szCs w:val="21"/>
        </w:rPr>
        <w:t>peers</w:t>
      </w:r>
      <w:r w:rsidRPr="00FA2837">
        <w:rPr>
          <w:rFonts w:ascii="Open Sans" w:hAnsi="Open Sans" w:cs="Open Sans"/>
          <w:sz w:val="21"/>
          <w:szCs w:val="21"/>
        </w:rPr>
        <w:t xml:space="preserve"> (significantly);</w:t>
      </w:r>
    </w:p>
    <w:p w14:paraId="3F832D3D" w14:textId="2DA4B067" w:rsidR="007C58B7" w:rsidRPr="00FA2837" w:rsidRDefault="009943AE" w:rsidP="00FA2837">
      <w:pPr>
        <w:pStyle w:val="ListParagraph"/>
        <w:numPr>
          <w:ilvl w:val="0"/>
          <w:numId w:val="14"/>
        </w:numPr>
        <w:spacing w:after="120"/>
        <w:contextualSpacing w:val="0"/>
        <w:rPr>
          <w:rFonts w:ascii="Open Sans" w:hAnsi="Open Sans" w:cs="Open Sans"/>
          <w:sz w:val="21"/>
          <w:szCs w:val="21"/>
        </w:rPr>
      </w:pPr>
      <w:r w:rsidRPr="00FA2837">
        <w:rPr>
          <w:rFonts w:ascii="Open Sans" w:hAnsi="Open Sans" w:cs="Open Sans"/>
          <w:sz w:val="21"/>
          <w:szCs w:val="21"/>
        </w:rPr>
        <w:t xml:space="preserve">The existing ASAE 3150 assurance reports for Schedule 2, set a more rigorous standard than global </w:t>
      </w:r>
      <w:r w:rsidR="00355A2C" w:rsidRPr="00FA2837">
        <w:rPr>
          <w:rFonts w:ascii="Open Sans" w:hAnsi="Open Sans" w:cs="Open Sans"/>
          <w:sz w:val="21"/>
          <w:szCs w:val="21"/>
        </w:rPr>
        <w:t>‘</w:t>
      </w:r>
      <w:r w:rsidRPr="00FA2837">
        <w:rPr>
          <w:rFonts w:ascii="Open Sans" w:hAnsi="Open Sans" w:cs="Open Sans"/>
          <w:sz w:val="21"/>
          <w:szCs w:val="21"/>
        </w:rPr>
        <w:t>benchmarks</w:t>
      </w:r>
      <w:r w:rsidR="008B130C" w:rsidRPr="00FA2837">
        <w:rPr>
          <w:rFonts w:ascii="Open Sans" w:hAnsi="Open Sans" w:cs="Open Sans"/>
          <w:sz w:val="21"/>
          <w:szCs w:val="21"/>
        </w:rPr>
        <w:t>’</w:t>
      </w:r>
      <w:r w:rsidRPr="00FA2837">
        <w:rPr>
          <w:rFonts w:ascii="Open Sans" w:hAnsi="Open Sans" w:cs="Open Sans"/>
          <w:sz w:val="21"/>
          <w:szCs w:val="21"/>
        </w:rPr>
        <w:t xml:space="preserve"> like SOC 2 and ISO 27001;</w:t>
      </w:r>
    </w:p>
    <w:p w14:paraId="22102434" w14:textId="38AD2443" w:rsidR="00355A2C" w:rsidRPr="00FA2837" w:rsidRDefault="00355A2C" w:rsidP="00FA2837">
      <w:pPr>
        <w:pStyle w:val="ListParagraph"/>
        <w:numPr>
          <w:ilvl w:val="0"/>
          <w:numId w:val="14"/>
        </w:numPr>
        <w:spacing w:after="120"/>
        <w:contextualSpacing w:val="0"/>
        <w:rPr>
          <w:rFonts w:ascii="Open Sans" w:hAnsi="Open Sans" w:cs="Open Sans"/>
          <w:sz w:val="21"/>
          <w:szCs w:val="21"/>
        </w:rPr>
      </w:pPr>
      <w:r w:rsidRPr="00FA2837">
        <w:rPr>
          <w:rFonts w:ascii="Open Sans" w:hAnsi="Open Sans" w:cs="Open Sans"/>
          <w:sz w:val="21"/>
          <w:szCs w:val="21"/>
        </w:rPr>
        <w:t>That significant uplift in standard is both more challenging and more important in Australia compared to the US and UK where the starting standard is higher;</w:t>
      </w:r>
    </w:p>
    <w:p w14:paraId="208EFB40" w14:textId="5D51AFE7" w:rsidR="009943AE" w:rsidRPr="00FA2837" w:rsidRDefault="009943AE" w:rsidP="00FA2837">
      <w:pPr>
        <w:pStyle w:val="ListParagraph"/>
        <w:numPr>
          <w:ilvl w:val="0"/>
          <w:numId w:val="14"/>
        </w:numPr>
        <w:spacing w:after="120"/>
        <w:contextualSpacing w:val="0"/>
        <w:rPr>
          <w:rFonts w:ascii="Open Sans" w:hAnsi="Open Sans" w:cs="Open Sans"/>
          <w:sz w:val="21"/>
          <w:szCs w:val="21"/>
        </w:rPr>
      </w:pPr>
      <w:r w:rsidRPr="00FA2837">
        <w:rPr>
          <w:rFonts w:ascii="Open Sans" w:hAnsi="Open Sans" w:cs="Open Sans"/>
          <w:sz w:val="21"/>
          <w:szCs w:val="21"/>
        </w:rPr>
        <w:t xml:space="preserve">It takes time for the ecosystem to build </w:t>
      </w:r>
      <w:r w:rsidR="008B130C" w:rsidRPr="00FA2837">
        <w:rPr>
          <w:rFonts w:ascii="Open Sans" w:hAnsi="Open Sans" w:cs="Open Sans"/>
          <w:sz w:val="21"/>
          <w:szCs w:val="21"/>
        </w:rPr>
        <w:t xml:space="preserve">the </w:t>
      </w:r>
      <w:r w:rsidRPr="00FA2837">
        <w:rPr>
          <w:rFonts w:ascii="Open Sans" w:hAnsi="Open Sans" w:cs="Open Sans"/>
          <w:sz w:val="21"/>
          <w:szCs w:val="21"/>
        </w:rPr>
        <w:t xml:space="preserve">knowledge, experience, methodologies, capacity, scale, and the confidence that leads to smoother and lower cost </w:t>
      </w:r>
      <w:r w:rsidR="008B130C" w:rsidRPr="00FA2837">
        <w:rPr>
          <w:rFonts w:ascii="Open Sans" w:hAnsi="Open Sans" w:cs="Open Sans"/>
          <w:sz w:val="21"/>
          <w:szCs w:val="21"/>
        </w:rPr>
        <w:t>accreditation services;</w:t>
      </w:r>
    </w:p>
    <w:p w14:paraId="70811F4F" w14:textId="10076E73" w:rsidR="008B130C" w:rsidRPr="00FA2837" w:rsidRDefault="008B130C" w:rsidP="00FA2837">
      <w:pPr>
        <w:pStyle w:val="ListParagraph"/>
        <w:numPr>
          <w:ilvl w:val="0"/>
          <w:numId w:val="14"/>
        </w:numPr>
        <w:spacing w:after="120"/>
        <w:contextualSpacing w:val="0"/>
        <w:rPr>
          <w:rFonts w:ascii="Open Sans" w:hAnsi="Open Sans" w:cs="Open Sans"/>
          <w:sz w:val="21"/>
          <w:szCs w:val="21"/>
        </w:rPr>
      </w:pPr>
      <w:r w:rsidRPr="00FA2837">
        <w:rPr>
          <w:rFonts w:ascii="Open Sans" w:hAnsi="Open Sans" w:cs="Open Sans"/>
          <w:sz w:val="21"/>
          <w:szCs w:val="21"/>
        </w:rPr>
        <w:t>The path to accreditation is now buoyed by a healthy market of service providers with specialisms in infrastructure and policy implementation, controls assessment</w:t>
      </w:r>
      <w:r w:rsidR="00E91D34">
        <w:rPr>
          <w:rFonts w:ascii="Open Sans" w:hAnsi="Open Sans" w:cs="Open Sans"/>
          <w:sz w:val="21"/>
          <w:szCs w:val="21"/>
        </w:rPr>
        <w:t>s</w:t>
      </w:r>
      <w:r w:rsidRPr="00FA2837">
        <w:rPr>
          <w:rFonts w:ascii="Open Sans" w:hAnsi="Open Sans" w:cs="Open Sans"/>
          <w:sz w:val="21"/>
          <w:szCs w:val="21"/>
        </w:rPr>
        <w:t xml:space="preserve">, </w:t>
      </w:r>
      <w:r w:rsidR="00E91D34">
        <w:rPr>
          <w:rFonts w:ascii="Open Sans" w:hAnsi="Open Sans" w:cs="Open Sans"/>
          <w:sz w:val="21"/>
          <w:szCs w:val="21"/>
        </w:rPr>
        <w:t xml:space="preserve">and </w:t>
      </w:r>
      <w:r w:rsidRPr="00FA2837">
        <w:rPr>
          <w:rFonts w:ascii="Open Sans" w:hAnsi="Open Sans" w:cs="Open Sans"/>
          <w:sz w:val="21"/>
          <w:szCs w:val="21"/>
        </w:rPr>
        <w:t xml:space="preserve">security and privacy experts </w:t>
      </w:r>
      <w:r w:rsidR="00E91D34">
        <w:rPr>
          <w:rFonts w:ascii="Open Sans" w:hAnsi="Open Sans" w:cs="Open Sans"/>
          <w:sz w:val="21"/>
          <w:szCs w:val="21"/>
        </w:rPr>
        <w:t>on</w:t>
      </w:r>
      <w:r w:rsidRPr="00FA2837">
        <w:rPr>
          <w:rFonts w:ascii="Open Sans" w:hAnsi="Open Sans" w:cs="Open Sans"/>
          <w:sz w:val="21"/>
          <w:szCs w:val="21"/>
        </w:rPr>
        <w:t xml:space="preserve"> retainer</w:t>
      </w:r>
      <w:r w:rsidR="00970058">
        <w:rPr>
          <w:rFonts w:ascii="Open Sans" w:hAnsi="Open Sans" w:cs="Open Sans"/>
          <w:sz w:val="21"/>
          <w:szCs w:val="21"/>
        </w:rPr>
        <w:t>s</w:t>
      </w:r>
      <w:r w:rsidRPr="00FA2837">
        <w:rPr>
          <w:rFonts w:ascii="Open Sans" w:hAnsi="Open Sans" w:cs="Open Sans"/>
          <w:sz w:val="21"/>
          <w:szCs w:val="21"/>
        </w:rPr>
        <w:t xml:space="preserve">, </w:t>
      </w:r>
      <w:r w:rsidR="007C58B7" w:rsidRPr="00FA2837">
        <w:rPr>
          <w:rFonts w:ascii="Open Sans" w:hAnsi="Open Sans" w:cs="Open Sans"/>
          <w:sz w:val="21"/>
          <w:szCs w:val="21"/>
        </w:rPr>
        <w:t xml:space="preserve">etc. </w:t>
      </w:r>
      <w:r w:rsidRPr="00FA2837">
        <w:rPr>
          <w:rFonts w:ascii="Open Sans" w:hAnsi="Open Sans" w:cs="Open Sans"/>
          <w:sz w:val="21"/>
          <w:szCs w:val="21"/>
        </w:rPr>
        <w:t>that can help aspiring ADRs achieve compliance;</w:t>
      </w:r>
      <w:r w:rsidR="001A2CAF" w:rsidRPr="00FA2837">
        <w:rPr>
          <w:rFonts w:ascii="Open Sans" w:hAnsi="Open Sans" w:cs="Open Sans"/>
          <w:sz w:val="21"/>
          <w:szCs w:val="21"/>
        </w:rPr>
        <w:t xml:space="preserve"> and</w:t>
      </w:r>
    </w:p>
    <w:p w14:paraId="1489B6A3" w14:textId="2B792E54" w:rsidR="009E728B" w:rsidRPr="00E8529A" w:rsidRDefault="008B130C" w:rsidP="00E8529A">
      <w:pPr>
        <w:pStyle w:val="ListParagraph"/>
        <w:numPr>
          <w:ilvl w:val="0"/>
          <w:numId w:val="14"/>
        </w:numPr>
        <w:spacing w:after="160"/>
        <w:contextualSpacing w:val="0"/>
        <w:rPr>
          <w:rFonts w:ascii="Open Sans" w:hAnsi="Open Sans" w:cs="Open Sans"/>
          <w:sz w:val="21"/>
          <w:szCs w:val="21"/>
        </w:rPr>
      </w:pPr>
      <w:r w:rsidRPr="00FA2837">
        <w:rPr>
          <w:rFonts w:ascii="Open Sans" w:hAnsi="Open Sans" w:cs="Open Sans"/>
          <w:sz w:val="21"/>
          <w:szCs w:val="21"/>
        </w:rPr>
        <w:t xml:space="preserve">The accountancy firm market has further to go to streamline the services for accreditation, but there’s a confluence of positive market developments that is rapidly improving this part of the ecosystem. </w:t>
      </w:r>
    </w:p>
    <w:p w14:paraId="36697A77" w14:textId="7DE6195F" w:rsidR="008E6672" w:rsidRPr="00FA2837" w:rsidRDefault="00780FDF" w:rsidP="00E8529A">
      <w:pPr>
        <w:spacing w:after="160"/>
        <w:rPr>
          <w:rFonts w:ascii="Open Sans" w:hAnsi="Open Sans" w:cs="Open Sans"/>
          <w:sz w:val="21"/>
          <w:szCs w:val="21"/>
        </w:rPr>
      </w:pPr>
      <w:r w:rsidRPr="00FA2837">
        <w:rPr>
          <w:rFonts w:ascii="Open Sans" w:hAnsi="Open Sans" w:cs="Open Sans"/>
          <w:sz w:val="21"/>
          <w:szCs w:val="21"/>
        </w:rPr>
        <w:t>All</w:t>
      </w:r>
      <w:r w:rsidR="008B130C" w:rsidRPr="00FA2837">
        <w:rPr>
          <w:rFonts w:ascii="Open Sans" w:hAnsi="Open Sans" w:cs="Open Sans"/>
          <w:sz w:val="21"/>
          <w:szCs w:val="21"/>
        </w:rPr>
        <w:t xml:space="preserve"> </w:t>
      </w:r>
      <w:r>
        <w:rPr>
          <w:rFonts w:ascii="Open Sans" w:hAnsi="Open Sans" w:cs="Open Sans"/>
          <w:sz w:val="21"/>
          <w:szCs w:val="21"/>
        </w:rPr>
        <w:t xml:space="preserve">of </w:t>
      </w:r>
      <w:r w:rsidR="008B130C" w:rsidRPr="00FA2837">
        <w:rPr>
          <w:rFonts w:ascii="Open Sans" w:hAnsi="Open Sans" w:cs="Open Sans"/>
          <w:sz w:val="21"/>
          <w:szCs w:val="21"/>
        </w:rPr>
        <w:t>the above takes time to develop and has come a long way in the last 12 months</w:t>
      </w:r>
      <w:r w:rsidR="00E91D34">
        <w:rPr>
          <w:rFonts w:ascii="Open Sans" w:hAnsi="Open Sans" w:cs="Open Sans"/>
          <w:sz w:val="21"/>
          <w:szCs w:val="21"/>
        </w:rPr>
        <w:t>, especially the last three</w:t>
      </w:r>
      <w:r w:rsidR="008B130C" w:rsidRPr="00FA2837">
        <w:rPr>
          <w:rFonts w:ascii="Open Sans" w:hAnsi="Open Sans" w:cs="Open Sans"/>
          <w:sz w:val="21"/>
          <w:szCs w:val="21"/>
        </w:rPr>
        <w:t xml:space="preserve">. New </w:t>
      </w:r>
      <w:r w:rsidR="008A7484">
        <w:rPr>
          <w:rFonts w:ascii="Open Sans" w:hAnsi="Open Sans" w:cs="Open Sans"/>
          <w:sz w:val="21"/>
          <w:szCs w:val="21"/>
        </w:rPr>
        <w:t xml:space="preserve">access </w:t>
      </w:r>
      <w:r w:rsidR="008B130C" w:rsidRPr="00FA2837">
        <w:rPr>
          <w:rFonts w:ascii="Open Sans" w:hAnsi="Open Sans" w:cs="Open Sans"/>
          <w:sz w:val="21"/>
          <w:szCs w:val="21"/>
        </w:rPr>
        <w:t xml:space="preserve">models </w:t>
      </w:r>
      <w:r w:rsidR="008A7484">
        <w:rPr>
          <w:rFonts w:ascii="Open Sans" w:hAnsi="Open Sans" w:cs="Open Sans"/>
          <w:sz w:val="21"/>
          <w:szCs w:val="21"/>
        </w:rPr>
        <w:t>without a clearly established minimum standard of validating the</w:t>
      </w:r>
      <w:r w:rsidR="00970058">
        <w:rPr>
          <w:rFonts w:ascii="Open Sans" w:hAnsi="Open Sans" w:cs="Open Sans"/>
          <w:sz w:val="21"/>
          <w:szCs w:val="21"/>
        </w:rPr>
        <w:t xml:space="preserve"> information security</w:t>
      </w:r>
      <w:r w:rsidR="008A7484">
        <w:rPr>
          <w:rFonts w:ascii="Open Sans" w:hAnsi="Open Sans" w:cs="Open Sans"/>
          <w:sz w:val="21"/>
          <w:szCs w:val="21"/>
        </w:rPr>
        <w:t xml:space="preserve"> and compliance to Schedule 2</w:t>
      </w:r>
      <w:r w:rsidR="008B130C" w:rsidRPr="00FA2837">
        <w:rPr>
          <w:rFonts w:ascii="Open Sans" w:hAnsi="Open Sans" w:cs="Open Sans"/>
          <w:sz w:val="21"/>
          <w:szCs w:val="21"/>
        </w:rPr>
        <w:t xml:space="preserve"> may be a backwards step in the policy objectives of the CDR</w:t>
      </w:r>
      <w:r w:rsidR="00970058">
        <w:rPr>
          <w:rFonts w:ascii="Open Sans" w:hAnsi="Open Sans" w:cs="Open Sans"/>
          <w:sz w:val="21"/>
          <w:szCs w:val="21"/>
        </w:rPr>
        <w:t>.</w:t>
      </w:r>
    </w:p>
    <w:p w14:paraId="767EBFE0" w14:textId="24F94AD6" w:rsidR="00BE4EA4" w:rsidRPr="007F1374" w:rsidRDefault="008E6672" w:rsidP="001F724D">
      <w:pPr>
        <w:rPr>
          <w:rFonts w:ascii="Open Sans" w:hAnsi="Open Sans" w:cs="Open Sans"/>
          <w:sz w:val="21"/>
          <w:szCs w:val="21"/>
        </w:rPr>
      </w:pPr>
      <w:r w:rsidRPr="00FA2837">
        <w:rPr>
          <w:rFonts w:ascii="Open Sans" w:hAnsi="Open Sans" w:cs="Open Sans"/>
          <w:sz w:val="21"/>
          <w:szCs w:val="21"/>
        </w:rPr>
        <w:t>Our background narrative</w:t>
      </w:r>
      <w:r w:rsidR="007C58B7" w:rsidRPr="00FA2837">
        <w:rPr>
          <w:rFonts w:ascii="Open Sans" w:hAnsi="Open Sans" w:cs="Open Sans"/>
          <w:sz w:val="21"/>
          <w:szCs w:val="21"/>
        </w:rPr>
        <w:t xml:space="preserve"> expanding on the</w:t>
      </w:r>
      <w:r w:rsidR="0074337C">
        <w:rPr>
          <w:rFonts w:ascii="Open Sans" w:hAnsi="Open Sans" w:cs="Open Sans"/>
          <w:sz w:val="21"/>
          <w:szCs w:val="21"/>
        </w:rPr>
        <w:t xml:space="preserve"> above</w:t>
      </w:r>
      <w:r w:rsidR="007C58B7" w:rsidRPr="00FA2837">
        <w:rPr>
          <w:rFonts w:ascii="Open Sans" w:hAnsi="Open Sans" w:cs="Open Sans"/>
          <w:sz w:val="21"/>
          <w:szCs w:val="21"/>
        </w:rPr>
        <w:t xml:space="preserve"> observations</w:t>
      </w:r>
      <w:r w:rsidRPr="00FA2837">
        <w:rPr>
          <w:rFonts w:ascii="Open Sans" w:hAnsi="Open Sans" w:cs="Open Sans"/>
          <w:sz w:val="21"/>
          <w:szCs w:val="21"/>
        </w:rPr>
        <w:t xml:space="preserve"> is included in </w:t>
      </w:r>
      <w:hyperlink w:anchor="_Appendix_1_-" w:history="1">
        <w:r w:rsidRPr="00FA2837">
          <w:rPr>
            <w:rStyle w:val="Hyperlink"/>
            <w:rFonts w:ascii="Open Sans" w:hAnsi="Open Sans" w:cs="Open Sans"/>
            <w:sz w:val="21"/>
            <w:szCs w:val="21"/>
          </w:rPr>
          <w:t>Appendix 1</w:t>
        </w:r>
      </w:hyperlink>
      <w:r w:rsidRPr="00FA2837">
        <w:rPr>
          <w:rFonts w:ascii="Open Sans" w:hAnsi="Open Sans" w:cs="Open Sans"/>
          <w:sz w:val="21"/>
          <w:szCs w:val="21"/>
        </w:rPr>
        <w:t>.</w:t>
      </w:r>
    </w:p>
    <w:p w14:paraId="2A92BAF5" w14:textId="77777777" w:rsidR="00970058" w:rsidRDefault="00970058">
      <w:pPr>
        <w:rPr>
          <w:rFonts w:ascii="Open Sans" w:hAnsi="Open Sans" w:cs="Open Sans"/>
          <w:b/>
          <w:bCs/>
          <w:color w:val="16BA86"/>
          <w:sz w:val="21"/>
          <w:szCs w:val="21"/>
        </w:rPr>
      </w:pPr>
      <w:r>
        <w:rPr>
          <w:rFonts w:ascii="Open Sans" w:hAnsi="Open Sans" w:cs="Open Sans"/>
          <w:b/>
          <w:bCs/>
          <w:color w:val="16BA86"/>
          <w:sz w:val="21"/>
          <w:szCs w:val="21"/>
        </w:rPr>
        <w:br w:type="page"/>
      </w:r>
    </w:p>
    <w:p w14:paraId="7F71623C" w14:textId="0262FD0E" w:rsidR="00BE4EA4" w:rsidRPr="00FA2837" w:rsidRDefault="002C565C" w:rsidP="00C66708">
      <w:pPr>
        <w:spacing w:after="120"/>
        <w:rPr>
          <w:rFonts w:ascii="Open Sans" w:hAnsi="Open Sans" w:cs="Open Sans"/>
          <w:b/>
          <w:bCs/>
          <w:color w:val="16BA86"/>
          <w:sz w:val="21"/>
          <w:szCs w:val="21"/>
        </w:rPr>
      </w:pPr>
      <w:r w:rsidRPr="00FA2837">
        <w:rPr>
          <w:rFonts w:ascii="Open Sans" w:hAnsi="Open Sans" w:cs="Open Sans"/>
          <w:b/>
          <w:bCs/>
          <w:color w:val="16BA86"/>
          <w:sz w:val="21"/>
          <w:szCs w:val="21"/>
        </w:rPr>
        <w:t>Summary of concerns</w:t>
      </w:r>
    </w:p>
    <w:p w14:paraId="6658C09C" w14:textId="4023A5BA" w:rsidR="00A9710B" w:rsidRPr="00FA2837" w:rsidRDefault="007C58B7" w:rsidP="00FA2837">
      <w:pPr>
        <w:spacing w:after="120"/>
        <w:rPr>
          <w:rFonts w:ascii="Open Sans" w:hAnsi="Open Sans" w:cs="Open Sans"/>
          <w:sz w:val="21"/>
          <w:szCs w:val="21"/>
        </w:rPr>
      </w:pPr>
      <w:r w:rsidRPr="00FA2837">
        <w:rPr>
          <w:rFonts w:ascii="Open Sans" w:hAnsi="Open Sans" w:cs="Open Sans"/>
          <w:sz w:val="21"/>
          <w:szCs w:val="21"/>
        </w:rPr>
        <w:t xml:space="preserve">With respect to the Sponsor-Affiliate and CDR Representative models: </w:t>
      </w:r>
      <w:r w:rsidR="00A9710B">
        <w:rPr>
          <w:rFonts w:ascii="Open Sans" w:hAnsi="Open Sans" w:cs="Open Sans"/>
          <w:sz w:val="21"/>
          <w:szCs w:val="21"/>
        </w:rPr>
        <w:t xml:space="preserve"> </w:t>
      </w:r>
    </w:p>
    <w:p w14:paraId="5E8F9C9C" w14:textId="0A175B23" w:rsidR="00780FDF" w:rsidRDefault="0044101B" w:rsidP="00FA2837">
      <w:pPr>
        <w:pStyle w:val="ListParagraph"/>
        <w:numPr>
          <w:ilvl w:val="0"/>
          <w:numId w:val="12"/>
        </w:numPr>
        <w:spacing w:after="120"/>
        <w:contextualSpacing w:val="0"/>
        <w:rPr>
          <w:rFonts w:ascii="Open Sans" w:hAnsi="Open Sans" w:cs="Open Sans"/>
          <w:color w:val="000000" w:themeColor="text1"/>
          <w:sz w:val="21"/>
          <w:szCs w:val="21"/>
        </w:rPr>
      </w:pPr>
      <w:r w:rsidRPr="0044101B">
        <w:rPr>
          <w:rFonts w:ascii="Open Sans" w:hAnsi="Open Sans" w:cs="Open Sans"/>
          <w:color w:val="000000" w:themeColor="text1"/>
          <w:sz w:val="21"/>
          <w:szCs w:val="21"/>
        </w:rPr>
        <w:t>There is ambiguity in the minimum standard of compliance validation for Schedule 2 by sponsors and principals for their affiliates and representatives.</w:t>
      </w:r>
    </w:p>
    <w:p w14:paraId="59B85CA3" w14:textId="0A431A23" w:rsidR="007B5301" w:rsidRDefault="00A9710B" w:rsidP="00FA2837">
      <w:pPr>
        <w:pStyle w:val="ListParagraph"/>
        <w:numPr>
          <w:ilvl w:val="0"/>
          <w:numId w:val="12"/>
        </w:numPr>
        <w:spacing w:after="120"/>
        <w:contextualSpacing w:val="0"/>
        <w:rPr>
          <w:rFonts w:ascii="Open Sans" w:hAnsi="Open Sans" w:cs="Open Sans"/>
          <w:sz w:val="21"/>
          <w:szCs w:val="21"/>
        </w:rPr>
      </w:pPr>
      <w:r>
        <w:rPr>
          <w:rFonts w:ascii="Open Sans" w:hAnsi="Open Sans" w:cs="Open Sans"/>
          <w:sz w:val="21"/>
          <w:szCs w:val="21"/>
        </w:rPr>
        <w:t>Generally</w:t>
      </w:r>
      <w:r w:rsidR="00365D16">
        <w:rPr>
          <w:rFonts w:ascii="Open Sans" w:hAnsi="Open Sans" w:cs="Open Sans"/>
          <w:sz w:val="21"/>
          <w:szCs w:val="21"/>
        </w:rPr>
        <w:t>,</w:t>
      </w:r>
      <w:r>
        <w:rPr>
          <w:rFonts w:ascii="Open Sans" w:hAnsi="Open Sans" w:cs="Open Sans"/>
          <w:sz w:val="21"/>
          <w:szCs w:val="21"/>
        </w:rPr>
        <w:t xml:space="preserve"> the data recipient organisations,</w:t>
      </w:r>
      <w:r w:rsidR="0042117D" w:rsidRPr="00FA2837">
        <w:rPr>
          <w:rFonts w:ascii="Open Sans" w:hAnsi="Open Sans" w:cs="Open Sans"/>
          <w:sz w:val="21"/>
          <w:szCs w:val="21"/>
        </w:rPr>
        <w:t xml:space="preserve"> do not have the qualifications, expertise, experience, systems, </w:t>
      </w:r>
      <w:r w:rsidR="0044101B">
        <w:rPr>
          <w:rFonts w:ascii="Open Sans" w:hAnsi="Open Sans" w:cs="Open Sans"/>
          <w:sz w:val="21"/>
          <w:szCs w:val="21"/>
        </w:rPr>
        <w:t xml:space="preserve">and </w:t>
      </w:r>
      <w:r w:rsidR="0042117D" w:rsidRPr="00FA2837">
        <w:rPr>
          <w:rFonts w:ascii="Open Sans" w:hAnsi="Open Sans" w:cs="Open Sans"/>
          <w:sz w:val="21"/>
          <w:szCs w:val="21"/>
        </w:rPr>
        <w:t>processes,</w:t>
      </w:r>
      <w:r w:rsidR="0044101B">
        <w:rPr>
          <w:rFonts w:ascii="Open Sans" w:hAnsi="Open Sans" w:cs="Open Sans"/>
          <w:sz w:val="21"/>
          <w:szCs w:val="21"/>
        </w:rPr>
        <w:t xml:space="preserve"> </w:t>
      </w:r>
      <w:r w:rsidR="0042117D" w:rsidRPr="00FA2837">
        <w:rPr>
          <w:rFonts w:ascii="Open Sans" w:hAnsi="Open Sans" w:cs="Open Sans"/>
          <w:sz w:val="21"/>
          <w:szCs w:val="21"/>
        </w:rPr>
        <w:t>to</w:t>
      </w:r>
      <w:r w:rsidR="0044101B">
        <w:rPr>
          <w:rFonts w:ascii="Open Sans" w:hAnsi="Open Sans" w:cs="Open Sans"/>
          <w:sz w:val="21"/>
          <w:szCs w:val="21"/>
        </w:rPr>
        <w:t xml:space="preserve"> know what constitutes compliance and</w:t>
      </w:r>
      <w:r w:rsidR="0042117D" w:rsidRPr="00FA2837">
        <w:rPr>
          <w:rFonts w:ascii="Open Sans" w:hAnsi="Open Sans" w:cs="Open Sans"/>
          <w:sz w:val="21"/>
          <w:szCs w:val="21"/>
        </w:rPr>
        <w:t xml:space="preserve"> </w:t>
      </w:r>
      <w:r w:rsidR="008A7484">
        <w:rPr>
          <w:rFonts w:ascii="Open Sans" w:hAnsi="Open Sans" w:cs="Open Sans"/>
          <w:sz w:val="21"/>
          <w:szCs w:val="21"/>
        </w:rPr>
        <w:t xml:space="preserve">to </w:t>
      </w:r>
      <w:r w:rsidR="007C58B7" w:rsidRPr="00FA2837">
        <w:rPr>
          <w:rFonts w:ascii="Open Sans" w:hAnsi="Open Sans" w:cs="Open Sans"/>
          <w:sz w:val="21"/>
          <w:szCs w:val="21"/>
        </w:rPr>
        <w:t xml:space="preserve">effectively </w:t>
      </w:r>
      <w:r w:rsidR="0042117D" w:rsidRPr="00FA2837">
        <w:rPr>
          <w:rFonts w:ascii="Open Sans" w:hAnsi="Open Sans" w:cs="Open Sans"/>
          <w:sz w:val="21"/>
          <w:szCs w:val="21"/>
        </w:rPr>
        <w:t>verify</w:t>
      </w:r>
      <w:r w:rsidR="00E91D34">
        <w:rPr>
          <w:rFonts w:ascii="Open Sans" w:hAnsi="Open Sans" w:cs="Open Sans"/>
          <w:sz w:val="21"/>
          <w:szCs w:val="21"/>
        </w:rPr>
        <w:t xml:space="preserve"> </w:t>
      </w:r>
      <w:r w:rsidR="00570B7A" w:rsidRPr="00FA2837">
        <w:rPr>
          <w:rFonts w:ascii="Open Sans" w:hAnsi="Open Sans" w:cs="Open Sans"/>
          <w:sz w:val="21"/>
          <w:szCs w:val="21"/>
        </w:rPr>
        <w:t>c</w:t>
      </w:r>
      <w:r w:rsidR="0042117D" w:rsidRPr="00FA2837">
        <w:rPr>
          <w:rFonts w:ascii="Open Sans" w:hAnsi="Open Sans" w:cs="Open Sans"/>
          <w:sz w:val="21"/>
          <w:szCs w:val="21"/>
        </w:rPr>
        <w:t xml:space="preserve">ompliance to </w:t>
      </w:r>
      <w:r w:rsidR="00570B7A" w:rsidRPr="00FA2837">
        <w:rPr>
          <w:rFonts w:ascii="Open Sans" w:hAnsi="Open Sans" w:cs="Open Sans"/>
          <w:sz w:val="21"/>
          <w:szCs w:val="21"/>
        </w:rPr>
        <w:t>Schedule 2</w:t>
      </w:r>
      <w:r w:rsidR="004B1A3A">
        <w:rPr>
          <w:rFonts w:ascii="Open Sans" w:hAnsi="Open Sans" w:cs="Open Sans"/>
          <w:sz w:val="21"/>
          <w:szCs w:val="21"/>
        </w:rPr>
        <w:t>.</w:t>
      </w:r>
    </w:p>
    <w:p w14:paraId="34E9979E" w14:textId="6CAA649E" w:rsidR="00E6116D" w:rsidRDefault="00A9710B" w:rsidP="00D81C1A">
      <w:pPr>
        <w:pStyle w:val="ListParagraph"/>
        <w:numPr>
          <w:ilvl w:val="0"/>
          <w:numId w:val="12"/>
        </w:numPr>
        <w:spacing w:after="120"/>
        <w:contextualSpacing w:val="0"/>
        <w:rPr>
          <w:rFonts w:ascii="Open Sans" w:hAnsi="Open Sans" w:cs="Open Sans"/>
          <w:color w:val="000000" w:themeColor="text1"/>
          <w:sz w:val="21"/>
          <w:szCs w:val="21"/>
        </w:rPr>
      </w:pPr>
      <w:r w:rsidRPr="0044101B">
        <w:rPr>
          <w:rFonts w:ascii="Open Sans" w:hAnsi="Open Sans" w:cs="Open Sans"/>
          <w:color w:val="000000" w:themeColor="text1"/>
          <w:sz w:val="21"/>
          <w:szCs w:val="21"/>
        </w:rPr>
        <w:t xml:space="preserve">Intermediaries are in a competitive market, competing on their ability to lower the barriers to participation for data recipients. </w:t>
      </w:r>
      <w:r w:rsidR="00365D16">
        <w:rPr>
          <w:rFonts w:ascii="Open Sans" w:hAnsi="Open Sans" w:cs="Open Sans"/>
          <w:color w:val="000000" w:themeColor="text1"/>
          <w:sz w:val="21"/>
          <w:szCs w:val="21"/>
        </w:rPr>
        <w:t xml:space="preserve">Also </w:t>
      </w:r>
      <w:r w:rsidR="00D81C1A">
        <w:rPr>
          <w:rFonts w:ascii="Open Sans" w:hAnsi="Open Sans" w:cs="Open Sans"/>
          <w:color w:val="000000" w:themeColor="text1"/>
          <w:sz w:val="21"/>
          <w:szCs w:val="21"/>
        </w:rPr>
        <w:t>being</w:t>
      </w:r>
      <w:r w:rsidR="00365D16">
        <w:rPr>
          <w:rFonts w:ascii="Open Sans" w:hAnsi="Open Sans" w:cs="Open Sans"/>
          <w:color w:val="000000" w:themeColor="text1"/>
          <w:sz w:val="21"/>
          <w:szCs w:val="21"/>
        </w:rPr>
        <w:t xml:space="preserve"> </w:t>
      </w:r>
      <w:r w:rsidRPr="0044101B">
        <w:rPr>
          <w:rFonts w:ascii="Open Sans" w:hAnsi="Open Sans" w:cs="Open Sans"/>
          <w:color w:val="000000" w:themeColor="text1"/>
          <w:sz w:val="21"/>
          <w:szCs w:val="21"/>
        </w:rPr>
        <w:t>the adjudicator on their customers</w:t>
      </w:r>
      <w:r w:rsidR="00D81C1A">
        <w:rPr>
          <w:rFonts w:ascii="Open Sans" w:hAnsi="Open Sans" w:cs="Open Sans"/>
          <w:color w:val="000000" w:themeColor="text1"/>
          <w:sz w:val="21"/>
          <w:szCs w:val="21"/>
        </w:rPr>
        <w:t>’ information security practices</w:t>
      </w:r>
      <w:r w:rsidRPr="0044101B">
        <w:rPr>
          <w:rFonts w:ascii="Open Sans" w:hAnsi="Open Sans" w:cs="Open Sans"/>
          <w:color w:val="000000" w:themeColor="text1"/>
          <w:sz w:val="21"/>
          <w:szCs w:val="21"/>
        </w:rPr>
        <w:t xml:space="preserve"> (</w:t>
      </w:r>
      <w:r>
        <w:rPr>
          <w:rFonts w:ascii="Open Sans" w:hAnsi="Open Sans" w:cs="Open Sans"/>
          <w:color w:val="000000" w:themeColor="text1"/>
          <w:sz w:val="21"/>
          <w:szCs w:val="21"/>
        </w:rPr>
        <w:t xml:space="preserve">one of </w:t>
      </w:r>
      <w:r w:rsidRPr="0044101B">
        <w:rPr>
          <w:rFonts w:ascii="Open Sans" w:hAnsi="Open Sans" w:cs="Open Sans"/>
          <w:color w:val="000000" w:themeColor="text1"/>
          <w:sz w:val="21"/>
          <w:szCs w:val="21"/>
        </w:rPr>
        <w:t>the highest barrier</w:t>
      </w:r>
      <w:r>
        <w:rPr>
          <w:rFonts w:ascii="Open Sans" w:hAnsi="Open Sans" w:cs="Open Sans"/>
          <w:color w:val="000000" w:themeColor="text1"/>
          <w:sz w:val="21"/>
          <w:szCs w:val="21"/>
        </w:rPr>
        <w:t>s</w:t>
      </w:r>
      <w:r w:rsidRPr="0044101B">
        <w:rPr>
          <w:rFonts w:ascii="Open Sans" w:hAnsi="Open Sans" w:cs="Open Sans"/>
          <w:color w:val="000000" w:themeColor="text1"/>
          <w:sz w:val="21"/>
          <w:szCs w:val="21"/>
        </w:rPr>
        <w:t>),</w:t>
      </w:r>
      <w:r w:rsidR="00365D16">
        <w:rPr>
          <w:rFonts w:ascii="Open Sans" w:hAnsi="Open Sans" w:cs="Open Sans"/>
          <w:color w:val="000000" w:themeColor="text1"/>
          <w:sz w:val="21"/>
          <w:szCs w:val="21"/>
        </w:rPr>
        <w:t xml:space="preserve"> raise</w:t>
      </w:r>
      <w:r w:rsidR="00D81C1A">
        <w:rPr>
          <w:rFonts w:ascii="Open Sans" w:hAnsi="Open Sans" w:cs="Open Sans"/>
          <w:color w:val="000000" w:themeColor="text1"/>
          <w:sz w:val="21"/>
          <w:szCs w:val="21"/>
        </w:rPr>
        <w:t>s</w:t>
      </w:r>
      <w:r w:rsidR="00E6116D">
        <w:rPr>
          <w:rFonts w:ascii="Open Sans" w:hAnsi="Open Sans" w:cs="Open Sans"/>
          <w:color w:val="000000" w:themeColor="text1"/>
          <w:sz w:val="21"/>
          <w:szCs w:val="21"/>
        </w:rPr>
        <w:t xml:space="preserve"> two</w:t>
      </w:r>
      <w:r w:rsidR="00365D16">
        <w:rPr>
          <w:rFonts w:ascii="Open Sans" w:hAnsi="Open Sans" w:cs="Open Sans"/>
          <w:color w:val="000000" w:themeColor="text1"/>
          <w:sz w:val="21"/>
          <w:szCs w:val="21"/>
        </w:rPr>
        <w:t xml:space="preserve"> conflict of interest concerns</w:t>
      </w:r>
      <w:r w:rsidR="00E6116D">
        <w:rPr>
          <w:rFonts w:ascii="Open Sans" w:hAnsi="Open Sans" w:cs="Open Sans"/>
          <w:color w:val="000000" w:themeColor="text1"/>
          <w:sz w:val="21"/>
          <w:szCs w:val="21"/>
        </w:rPr>
        <w:t>:</w:t>
      </w:r>
    </w:p>
    <w:p w14:paraId="07F4E1A0" w14:textId="77777777" w:rsidR="00E6116D" w:rsidRDefault="00E6116D" w:rsidP="00E6116D">
      <w:pPr>
        <w:pStyle w:val="ListParagraph"/>
        <w:numPr>
          <w:ilvl w:val="1"/>
          <w:numId w:val="12"/>
        </w:numPr>
        <w:spacing w:after="120"/>
        <w:contextualSpacing w:val="0"/>
        <w:rPr>
          <w:rFonts w:ascii="Open Sans" w:hAnsi="Open Sans" w:cs="Open Sans"/>
          <w:color w:val="000000" w:themeColor="text1"/>
          <w:sz w:val="21"/>
          <w:szCs w:val="21"/>
        </w:rPr>
      </w:pPr>
      <w:r>
        <w:rPr>
          <w:rFonts w:ascii="Open Sans" w:hAnsi="Open Sans" w:cs="Open Sans"/>
          <w:color w:val="000000" w:themeColor="text1"/>
          <w:sz w:val="21"/>
          <w:szCs w:val="21"/>
        </w:rPr>
        <w:t>(1) i</w:t>
      </w:r>
      <w:r w:rsidR="00D81C1A">
        <w:rPr>
          <w:rFonts w:ascii="Open Sans" w:hAnsi="Open Sans" w:cs="Open Sans"/>
          <w:color w:val="000000" w:themeColor="text1"/>
          <w:sz w:val="21"/>
          <w:szCs w:val="21"/>
        </w:rPr>
        <w:t>t puts intermediaries in a position where they may have to choose between protecting consumer interests regarding information security and privacy against onboarding a new customer</w:t>
      </w:r>
      <w:r>
        <w:rPr>
          <w:rFonts w:ascii="Open Sans" w:hAnsi="Open Sans" w:cs="Open Sans"/>
          <w:color w:val="000000" w:themeColor="text1"/>
          <w:sz w:val="21"/>
          <w:szCs w:val="21"/>
        </w:rPr>
        <w:t xml:space="preserve">, and </w:t>
      </w:r>
    </w:p>
    <w:p w14:paraId="1627ED68" w14:textId="006A4565" w:rsidR="00365D16" w:rsidRPr="00D81C1A" w:rsidRDefault="00E6116D" w:rsidP="00E6116D">
      <w:pPr>
        <w:pStyle w:val="ListParagraph"/>
        <w:numPr>
          <w:ilvl w:val="1"/>
          <w:numId w:val="12"/>
        </w:numPr>
        <w:spacing w:after="120"/>
        <w:contextualSpacing w:val="0"/>
        <w:rPr>
          <w:rFonts w:ascii="Open Sans" w:hAnsi="Open Sans" w:cs="Open Sans"/>
          <w:color w:val="000000" w:themeColor="text1"/>
          <w:sz w:val="21"/>
          <w:szCs w:val="21"/>
        </w:rPr>
      </w:pPr>
      <w:r>
        <w:rPr>
          <w:rFonts w:ascii="Open Sans" w:hAnsi="Open Sans" w:cs="Open Sans"/>
          <w:color w:val="000000" w:themeColor="text1"/>
          <w:sz w:val="21"/>
          <w:szCs w:val="21"/>
        </w:rPr>
        <w:t>(2) their competitive proposition is based on the total costs of access, which are lower with reduced rigour of information security validation.</w:t>
      </w:r>
    </w:p>
    <w:p w14:paraId="6E9DBB5C" w14:textId="64AAA48C" w:rsidR="00222C19" w:rsidRPr="00FA2837" w:rsidRDefault="007B5301" w:rsidP="00FA2837">
      <w:pPr>
        <w:pStyle w:val="ListParagraph"/>
        <w:numPr>
          <w:ilvl w:val="0"/>
          <w:numId w:val="12"/>
        </w:numPr>
        <w:spacing w:after="120"/>
        <w:contextualSpacing w:val="0"/>
        <w:rPr>
          <w:rFonts w:ascii="Open Sans" w:hAnsi="Open Sans" w:cs="Open Sans"/>
          <w:sz w:val="21"/>
          <w:szCs w:val="21"/>
        </w:rPr>
      </w:pPr>
      <w:r w:rsidRPr="00FA2837">
        <w:rPr>
          <w:rFonts w:ascii="Open Sans" w:hAnsi="Open Sans" w:cs="Open Sans"/>
          <w:sz w:val="21"/>
          <w:szCs w:val="21"/>
        </w:rPr>
        <w:t xml:space="preserve">As it stands, it’s hard for Fintech’s to </w:t>
      </w:r>
      <w:r w:rsidR="00222C19" w:rsidRPr="00FA2837">
        <w:rPr>
          <w:rFonts w:ascii="Open Sans" w:hAnsi="Open Sans" w:cs="Open Sans"/>
          <w:sz w:val="21"/>
          <w:szCs w:val="21"/>
        </w:rPr>
        <w:t>access cyber liability insurance in Australia’s immature</w:t>
      </w:r>
      <w:r w:rsidR="002C565C" w:rsidRPr="00FA2837">
        <w:rPr>
          <w:rFonts w:ascii="Open Sans" w:hAnsi="Open Sans" w:cs="Open Sans"/>
          <w:sz w:val="21"/>
          <w:szCs w:val="21"/>
        </w:rPr>
        <w:t xml:space="preserve"> insurance</w:t>
      </w:r>
      <w:r w:rsidR="00222C19" w:rsidRPr="00FA2837">
        <w:rPr>
          <w:rFonts w:ascii="Open Sans" w:hAnsi="Open Sans" w:cs="Open Sans"/>
          <w:sz w:val="21"/>
          <w:szCs w:val="21"/>
        </w:rPr>
        <w:t xml:space="preserve"> market. That may get worse for all ADRs with liability that extends to third parties in</w:t>
      </w:r>
      <w:r w:rsidR="00065367" w:rsidRPr="00FA2837">
        <w:rPr>
          <w:rFonts w:ascii="Open Sans" w:hAnsi="Open Sans" w:cs="Open Sans"/>
          <w:sz w:val="21"/>
          <w:szCs w:val="21"/>
        </w:rPr>
        <w:t xml:space="preserve"> the</w:t>
      </w:r>
      <w:r w:rsidR="00222C19" w:rsidRPr="00FA2837">
        <w:rPr>
          <w:rFonts w:ascii="Open Sans" w:hAnsi="Open Sans" w:cs="Open Sans"/>
          <w:sz w:val="21"/>
          <w:szCs w:val="21"/>
        </w:rPr>
        <w:t xml:space="preserve"> complex, uncertain arrangements under</w:t>
      </w:r>
      <w:r w:rsidR="0044101B">
        <w:rPr>
          <w:rFonts w:ascii="Open Sans" w:hAnsi="Open Sans" w:cs="Open Sans"/>
          <w:sz w:val="21"/>
          <w:szCs w:val="21"/>
        </w:rPr>
        <w:t xml:space="preserve"> the</w:t>
      </w:r>
      <w:r w:rsidR="00222C19" w:rsidRPr="00FA2837">
        <w:rPr>
          <w:rFonts w:ascii="Open Sans" w:hAnsi="Open Sans" w:cs="Open Sans"/>
          <w:sz w:val="21"/>
          <w:szCs w:val="21"/>
        </w:rPr>
        <w:t xml:space="preserve"> new models of access</w:t>
      </w:r>
      <w:r w:rsidR="00065367" w:rsidRPr="00FA2837">
        <w:rPr>
          <w:rFonts w:ascii="Open Sans" w:hAnsi="Open Sans" w:cs="Open Sans"/>
          <w:sz w:val="21"/>
          <w:szCs w:val="21"/>
        </w:rPr>
        <w:t>.</w:t>
      </w:r>
    </w:p>
    <w:p w14:paraId="5D7D9F03" w14:textId="19A13E1E" w:rsidR="00441D9C" w:rsidRPr="00441D9C" w:rsidRDefault="00222C19" w:rsidP="001F724D">
      <w:pPr>
        <w:pStyle w:val="ListParagraph"/>
        <w:numPr>
          <w:ilvl w:val="0"/>
          <w:numId w:val="12"/>
        </w:numPr>
        <w:spacing w:after="160"/>
        <w:ind w:left="714" w:hanging="357"/>
        <w:contextualSpacing w:val="0"/>
        <w:rPr>
          <w:rFonts w:ascii="Open Sans" w:hAnsi="Open Sans" w:cs="Open Sans"/>
          <w:color w:val="000000" w:themeColor="text1"/>
          <w:sz w:val="21"/>
          <w:szCs w:val="21"/>
        </w:rPr>
      </w:pPr>
      <w:r w:rsidRPr="00FA2837">
        <w:rPr>
          <w:rFonts w:ascii="Open Sans" w:hAnsi="Open Sans" w:cs="Open Sans"/>
          <w:color w:val="000000" w:themeColor="text1"/>
          <w:sz w:val="21"/>
          <w:szCs w:val="21"/>
        </w:rPr>
        <w:t>The CDR Representatives and Sponsor-Affiliate models set a significantly different standard</w:t>
      </w:r>
      <w:r w:rsidR="00F10346" w:rsidRPr="00FA2837">
        <w:rPr>
          <w:rFonts w:ascii="Open Sans" w:hAnsi="Open Sans" w:cs="Open Sans"/>
          <w:color w:val="000000" w:themeColor="text1"/>
          <w:sz w:val="21"/>
          <w:szCs w:val="21"/>
        </w:rPr>
        <w:t xml:space="preserve"> of </w:t>
      </w:r>
      <w:r w:rsidR="00A70FCE">
        <w:rPr>
          <w:rFonts w:ascii="Open Sans" w:hAnsi="Open Sans" w:cs="Open Sans"/>
          <w:color w:val="000000" w:themeColor="text1"/>
          <w:sz w:val="21"/>
          <w:szCs w:val="21"/>
        </w:rPr>
        <w:t xml:space="preserve">compliance </w:t>
      </w:r>
      <w:r w:rsidRPr="00FA2837">
        <w:rPr>
          <w:rFonts w:ascii="Open Sans" w:hAnsi="Open Sans" w:cs="Open Sans"/>
          <w:color w:val="000000" w:themeColor="text1"/>
          <w:sz w:val="21"/>
          <w:szCs w:val="21"/>
        </w:rPr>
        <w:t xml:space="preserve">to the </w:t>
      </w:r>
      <w:r w:rsidR="00A70FCE">
        <w:rPr>
          <w:rFonts w:ascii="Open Sans" w:hAnsi="Open Sans" w:cs="Open Sans"/>
          <w:color w:val="000000" w:themeColor="text1"/>
          <w:sz w:val="21"/>
          <w:szCs w:val="21"/>
        </w:rPr>
        <w:t>unrestricted</w:t>
      </w:r>
      <w:r w:rsidRPr="00FA2837">
        <w:rPr>
          <w:rFonts w:ascii="Open Sans" w:hAnsi="Open Sans" w:cs="Open Sans"/>
          <w:color w:val="000000" w:themeColor="text1"/>
          <w:sz w:val="21"/>
          <w:szCs w:val="21"/>
        </w:rPr>
        <w:t xml:space="preserve"> ADR model</w:t>
      </w:r>
      <w:r w:rsidR="00A70FCE">
        <w:rPr>
          <w:rFonts w:ascii="Open Sans" w:hAnsi="Open Sans" w:cs="Open Sans"/>
          <w:color w:val="000000" w:themeColor="text1"/>
          <w:sz w:val="21"/>
          <w:szCs w:val="21"/>
        </w:rPr>
        <w:t>, despite in many cases relating to the same information security risks</w:t>
      </w:r>
      <w:r w:rsidR="00970058">
        <w:rPr>
          <w:rFonts w:ascii="Open Sans" w:hAnsi="Open Sans" w:cs="Open Sans"/>
          <w:color w:val="000000" w:themeColor="text1"/>
          <w:sz w:val="21"/>
          <w:szCs w:val="21"/>
        </w:rPr>
        <w:t>. I</w:t>
      </w:r>
      <w:r w:rsidR="002C565C" w:rsidRPr="00FA2837">
        <w:rPr>
          <w:rFonts w:ascii="Open Sans" w:hAnsi="Open Sans" w:cs="Open Sans"/>
          <w:color w:val="000000" w:themeColor="text1"/>
          <w:sz w:val="21"/>
          <w:szCs w:val="21"/>
        </w:rPr>
        <w:t xml:space="preserve">ndependent </w:t>
      </w:r>
      <w:r w:rsidR="00F10346" w:rsidRPr="00FA2837">
        <w:rPr>
          <w:rFonts w:ascii="Open Sans" w:hAnsi="Open Sans" w:cs="Open Sans"/>
          <w:color w:val="000000" w:themeColor="text1"/>
          <w:sz w:val="21"/>
          <w:szCs w:val="21"/>
        </w:rPr>
        <w:t xml:space="preserve">review by qualified professionals </w:t>
      </w:r>
      <w:r w:rsidR="00D10308">
        <w:rPr>
          <w:rFonts w:ascii="Open Sans" w:hAnsi="Open Sans" w:cs="Open Sans"/>
          <w:color w:val="000000" w:themeColor="text1"/>
          <w:sz w:val="21"/>
          <w:szCs w:val="21"/>
        </w:rPr>
        <w:t>governed by</w:t>
      </w:r>
      <w:r w:rsidR="00970058">
        <w:rPr>
          <w:rFonts w:ascii="Open Sans" w:hAnsi="Open Sans" w:cs="Open Sans"/>
          <w:color w:val="000000" w:themeColor="text1"/>
          <w:sz w:val="21"/>
          <w:szCs w:val="21"/>
        </w:rPr>
        <w:t xml:space="preserve"> the</w:t>
      </w:r>
      <w:r w:rsidR="0011474B">
        <w:rPr>
          <w:rFonts w:ascii="Open Sans" w:hAnsi="Open Sans" w:cs="Open Sans"/>
          <w:color w:val="000000" w:themeColor="text1"/>
          <w:sz w:val="21"/>
          <w:szCs w:val="21"/>
        </w:rPr>
        <w:t xml:space="preserve"> ASAE</w:t>
      </w:r>
      <w:r w:rsidR="00970058">
        <w:rPr>
          <w:rFonts w:ascii="Open Sans" w:hAnsi="Open Sans" w:cs="Open Sans"/>
          <w:color w:val="000000" w:themeColor="text1"/>
          <w:sz w:val="21"/>
          <w:szCs w:val="21"/>
        </w:rPr>
        <w:t xml:space="preserve"> standards of professional conduct, </w:t>
      </w:r>
      <w:r w:rsidR="00A70FCE">
        <w:rPr>
          <w:rFonts w:ascii="Open Sans" w:hAnsi="Open Sans" w:cs="Open Sans"/>
          <w:color w:val="000000" w:themeColor="text1"/>
          <w:sz w:val="21"/>
          <w:szCs w:val="21"/>
        </w:rPr>
        <w:t>independence,</w:t>
      </w:r>
      <w:r w:rsidR="00970058">
        <w:rPr>
          <w:rFonts w:ascii="Open Sans" w:hAnsi="Open Sans" w:cs="Open Sans"/>
          <w:color w:val="000000" w:themeColor="text1"/>
          <w:sz w:val="21"/>
          <w:szCs w:val="21"/>
        </w:rPr>
        <w:t xml:space="preserve"> and reasonable assurance practices, sets </w:t>
      </w:r>
      <w:r w:rsidR="00A70FCE">
        <w:rPr>
          <w:rFonts w:ascii="Open Sans" w:hAnsi="Open Sans" w:cs="Open Sans"/>
          <w:color w:val="000000" w:themeColor="text1"/>
          <w:sz w:val="21"/>
          <w:szCs w:val="21"/>
        </w:rPr>
        <w:t>a</w:t>
      </w:r>
      <w:r w:rsidR="00780FDF">
        <w:rPr>
          <w:rFonts w:ascii="Open Sans" w:hAnsi="Open Sans" w:cs="Open Sans"/>
          <w:color w:val="000000" w:themeColor="text1"/>
          <w:sz w:val="21"/>
          <w:szCs w:val="21"/>
        </w:rPr>
        <w:t xml:space="preserve"> significantly</w:t>
      </w:r>
      <w:r w:rsidR="00A70FCE">
        <w:rPr>
          <w:rFonts w:ascii="Open Sans" w:hAnsi="Open Sans" w:cs="Open Sans"/>
          <w:color w:val="000000" w:themeColor="text1"/>
          <w:sz w:val="21"/>
          <w:szCs w:val="21"/>
        </w:rPr>
        <w:t xml:space="preserve"> higher bar than the same Schedule 2 rules without </w:t>
      </w:r>
      <w:r w:rsidR="0011474B">
        <w:rPr>
          <w:rFonts w:ascii="Open Sans" w:hAnsi="Open Sans" w:cs="Open Sans"/>
          <w:color w:val="000000" w:themeColor="text1"/>
          <w:sz w:val="21"/>
          <w:szCs w:val="21"/>
        </w:rPr>
        <w:t>those supporting standards</w:t>
      </w:r>
      <w:r w:rsidR="004B1A3A">
        <w:rPr>
          <w:rFonts w:ascii="Open Sans" w:hAnsi="Open Sans" w:cs="Open Sans"/>
          <w:color w:val="000000" w:themeColor="text1"/>
          <w:sz w:val="21"/>
          <w:szCs w:val="21"/>
        </w:rPr>
        <w:t xml:space="preserve"> and independent validation</w:t>
      </w:r>
      <w:r w:rsidR="00A70FCE">
        <w:rPr>
          <w:rFonts w:ascii="Open Sans" w:hAnsi="Open Sans" w:cs="Open Sans"/>
          <w:color w:val="000000" w:themeColor="text1"/>
          <w:sz w:val="21"/>
          <w:szCs w:val="21"/>
        </w:rPr>
        <w:t>.</w:t>
      </w:r>
      <w:r w:rsidR="008A7484">
        <w:rPr>
          <w:rFonts w:ascii="Open Sans" w:hAnsi="Open Sans" w:cs="Open Sans"/>
          <w:color w:val="000000" w:themeColor="text1"/>
          <w:sz w:val="21"/>
          <w:szCs w:val="21"/>
        </w:rPr>
        <w:t xml:space="preserve"> This may create an uneven playing field and</w:t>
      </w:r>
      <w:r w:rsidR="0011474B">
        <w:rPr>
          <w:rFonts w:ascii="Open Sans" w:hAnsi="Open Sans" w:cs="Open Sans"/>
          <w:color w:val="000000" w:themeColor="text1"/>
          <w:sz w:val="21"/>
          <w:szCs w:val="21"/>
        </w:rPr>
        <w:t xml:space="preserve"> a</w:t>
      </w:r>
      <w:r w:rsidR="008A7484">
        <w:rPr>
          <w:rFonts w:ascii="Open Sans" w:hAnsi="Open Sans" w:cs="Open Sans"/>
          <w:color w:val="000000" w:themeColor="text1"/>
          <w:sz w:val="21"/>
          <w:szCs w:val="21"/>
        </w:rPr>
        <w:t xml:space="preserve"> significantly different standard</w:t>
      </w:r>
      <w:r w:rsidR="0011474B">
        <w:rPr>
          <w:rFonts w:ascii="Open Sans" w:hAnsi="Open Sans" w:cs="Open Sans"/>
          <w:color w:val="000000" w:themeColor="text1"/>
          <w:sz w:val="21"/>
          <w:szCs w:val="21"/>
        </w:rPr>
        <w:t xml:space="preserve"> of practice </w:t>
      </w:r>
      <w:r w:rsidR="008A7484">
        <w:rPr>
          <w:rFonts w:ascii="Open Sans" w:hAnsi="Open Sans" w:cs="Open Sans"/>
          <w:color w:val="000000" w:themeColor="text1"/>
          <w:sz w:val="21"/>
          <w:szCs w:val="21"/>
        </w:rPr>
        <w:t>across the CDR ecosystem.</w:t>
      </w:r>
    </w:p>
    <w:p w14:paraId="66435674" w14:textId="72BBDBBD" w:rsidR="0042117D" w:rsidRPr="00C66708" w:rsidRDefault="004B1A3A" w:rsidP="001F724D">
      <w:pPr>
        <w:rPr>
          <w:rFonts w:ascii="Open Sans" w:hAnsi="Open Sans" w:cs="Open Sans"/>
          <w:color w:val="000000" w:themeColor="text1"/>
          <w:sz w:val="21"/>
          <w:szCs w:val="21"/>
        </w:rPr>
      </w:pPr>
      <w:r>
        <w:rPr>
          <w:rFonts w:ascii="Open Sans" w:hAnsi="Open Sans" w:cs="Open Sans"/>
          <w:color w:val="000000" w:themeColor="text1"/>
          <w:sz w:val="21"/>
          <w:szCs w:val="21"/>
        </w:rPr>
        <w:t xml:space="preserve">Each of these factors may increase the security and privacy risks for consumer data. </w:t>
      </w:r>
      <w:r w:rsidR="00105E67">
        <w:rPr>
          <w:rFonts w:ascii="Open Sans" w:hAnsi="Open Sans" w:cs="Open Sans"/>
          <w:color w:val="000000" w:themeColor="text1"/>
          <w:sz w:val="21"/>
          <w:szCs w:val="21"/>
        </w:rPr>
        <w:t>These</w:t>
      </w:r>
      <w:r w:rsidR="008E6672" w:rsidRPr="00FA2837">
        <w:rPr>
          <w:rFonts w:ascii="Open Sans" w:hAnsi="Open Sans" w:cs="Open Sans"/>
          <w:color w:val="000000" w:themeColor="text1"/>
          <w:sz w:val="21"/>
          <w:szCs w:val="21"/>
        </w:rPr>
        <w:t xml:space="preserve"> concerns are </w:t>
      </w:r>
      <w:r w:rsidR="00105E67">
        <w:rPr>
          <w:rFonts w:ascii="Open Sans" w:hAnsi="Open Sans" w:cs="Open Sans"/>
          <w:color w:val="000000" w:themeColor="text1"/>
          <w:sz w:val="21"/>
          <w:szCs w:val="21"/>
        </w:rPr>
        <w:t>explained</w:t>
      </w:r>
      <w:r w:rsidR="008E6672" w:rsidRPr="00FA2837">
        <w:rPr>
          <w:rFonts w:ascii="Open Sans" w:hAnsi="Open Sans" w:cs="Open Sans"/>
          <w:color w:val="000000" w:themeColor="text1"/>
          <w:sz w:val="21"/>
          <w:szCs w:val="21"/>
        </w:rPr>
        <w:t xml:space="preserve"> </w:t>
      </w:r>
      <w:r w:rsidR="00A70FCE">
        <w:rPr>
          <w:rFonts w:ascii="Open Sans" w:hAnsi="Open Sans" w:cs="Open Sans"/>
          <w:color w:val="000000" w:themeColor="text1"/>
          <w:sz w:val="21"/>
          <w:szCs w:val="21"/>
        </w:rPr>
        <w:t xml:space="preserve">further </w:t>
      </w:r>
      <w:r w:rsidR="008E6672" w:rsidRPr="00FA2837">
        <w:rPr>
          <w:rFonts w:ascii="Open Sans" w:hAnsi="Open Sans" w:cs="Open Sans"/>
          <w:color w:val="000000" w:themeColor="text1"/>
          <w:sz w:val="21"/>
          <w:szCs w:val="21"/>
        </w:rPr>
        <w:t xml:space="preserve">in </w:t>
      </w:r>
      <w:hyperlink w:anchor="_Appendix_2_-" w:history="1">
        <w:r w:rsidR="008E6672" w:rsidRPr="00FA2837">
          <w:rPr>
            <w:rStyle w:val="Hyperlink"/>
            <w:rFonts w:ascii="Open Sans" w:hAnsi="Open Sans" w:cs="Open Sans"/>
            <w:sz w:val="21"/>
            <w:szCs w:val="21"/>
          </w:rPr>
          <w:t>Appendix 2</w:t>
        </w:r>
      </w:hyperlink>
      <w:r w:rsidR="008E6672" w:rsidRPr="00FA2837">
        <w:rPr>
          <w:rFonts w:ascii="Open Sans" w:hAnsi="Open Sans" w:cs="Open Sans"/>
          <w:color w:val="000000" w:themeColor="text1"/>
          <w:sz w:val="21"/>
          <w:szCs w:val="21"/>
        </w:rPr>
        <w:t>.</w:t>
      </w:r>
    </w:p>
    <w:p w14:paraId="7866C189" w14:textId="77777777" w:rsidR="00FA2837" w:rsidRPr="00FA2837" w:rsidRDefault="00FA2837" w:rsidP="001F724D">
      <w:pPr>
        <w:rPr>
          <w:rFonts w:ascii="Open Sans" w:hAnsi="Open Sans" w:cs="Open Sans"/>
          <w:sz w:val="21"/>
          <w:szCs w:val="21"/>
        </w:rPr>
      </w:pPr>
    </w:p>
    <w:p w14:paraId="33D45112" w14:textId="174BAAB5" w:rsidR="002C565C" w:rsidRPr="00C66708" w:rsidRDefault="002C565C" w:rsidP="00C66708">
      <w:pPr>
        <w:spacing w:after="120"/>
        <w:rPr>
          <w:rFonts w:ascii="Open Sans" w:hAnsi="Open Sans" w:cs="Open Sans"/>
          <w:b/>
          <w:bCs/>
          <w:color w:val="16BA86"/>
          <w:sz w:val="21"/>
          <w:szCs w:val="21"/>
        </w:rPr>
      </w:pPr>
      <w:r w:rsidRPr="00FA2837">
        <w:rPr>
          <w:rFonts w:ascii="Open Sans" w:hAnsi="Open Sans" w:cs="Open Sans"/>
          <w:b/>
          <w:bCs/>
          <w:color w:val="16BA86"/>
          <w:sz w:val="21"/>
          <w:szCs w:val="21"/>
        </w:rPr>
        <w:t>Proposed solution</w:t>
      </w:r>
    </w:p>
    <w:p w14:paraId="1BA1E8D3" w14:textId="7C908D97" w:rsidR="00845DDC" w:rsidRDefault="002C565C" w:rsidP="00845DDC">
      <w:pPr>
        <w:spacing w:after="120"/>
        <w:rPr>
          <w:rFonts w:ascii="Open Sans" w:hAnsi="Open Sans" w:cs="Open Sans"/>
          <w:sz w:val="21"/>
          <w:szCs w:val="21"/>
        </w:rPr>
      </w:pPr>
      <w:r w:rsidRPr="00FA2837">
        <w:rPr>
          <w:rFonts w:ascii="Open Sans" w:hAnsi="Open Sans" w:cs="Open Sans"/>
          <w:sz w:val="21"/>
          <w:szCs w:val="21"/>
        </w:rPr>
        <w:t xml:space="preserve">We recommend </w:t>
      </w:r>
      <w:r w:rsidR="003330AC" w:rsidRPr="00FA2837">
        <w:rPr>
          <w:rFonts w:ascii="Open Sans" w:hAnsi="Open Sans" w:cs="Open Sans"/>
          <w:sz w:val="21"/>
          <w:szCs w:val="21"/>
        </w:rPr>
        <w:t>Treasury</w:t>
      </w:r>
      <w:r w:rsidR="00845DDC">
        <w:rPr>
          <w:rFonts w:ascii="Open Sans" w:hAnsi="Open Sans" w:cs="Open Sans"/>
          <w:sz w:val="21"/>
          <w:szCs w:val="21"/>
        </w:rPr>
        <w:t xml:space="preserve"> i</w:t>
      </w:r>
      <w:r w:rsidRPr="00845DDC">
        <w:rPr>
          <w:rFonts w:ascii="Open Sans" w:hAnsi="Open Sans" w:cs="Open Sans"/>
          <w:sz w:val="21"/>
          <w:szCs w:val="21"/>
        </w:rPr>
        <w:t>ntroduc</w:t>
      </w:r>
      <w:r w:rsidR="008A7484" w:rsidRPr="00845DDC">
        <w:rPr>
          <w:rFonts w:ascii="Open Sans" w:hAnsi="Open Sans" w:cs="Open Sans"/>
          <w:sz w:val="21"/>
          <w:szCs w:val="21"/>
        </w:rPr>
        <w:t xml:space="preserve">es </w:t>
      </w:r>
      <w:r w:rsidRPr="00845DDC">
        <w:rPr>
          <w:rFonts w:ascii="Open Sans" w:hAnsi="Open Sans" w:cs="Open Sans"/>
          <w:sz w:val="21"/>
          <w:szCs w:val="21"/>
        </w:rPr>
        <w:t xml:space="preserve">a </w:t>
      </w:r>
      <w:r w:rsidRPr="00845DDC">
        <w:rPr>
          <w:rFonts w:ascii="Open Sans" w:hAnsi="Open Sans" w:cs="Open Sans"/>
          <w:b/>
          <w:bCs/>
          <w:sz w:val="21"/>
          <w:szCs w:val="21"/>
        </w:rPr>
        <w:t>limited</w:t>
      </w:r>
      <w:r w:rsidRPr="00845DDC">
        <w:rPr>
          <w:rFonts w:ascii="Open Sans" w:hAnsi="Open Sans" w:cs="Open Sans"/>
          <w:sz w:val="21"/>
          <w:szCs w:val="21"/>
        </w:rPr>
        <w:t xml:space="preserve"> assurance report</w:t>
      </w:r>
      <w:r w:rsidR="003F25A6" w:rsidRPr="00845DDC">
        <w:rPr>
          <w:rFonts w:ascii="Open Sans" w:hAnsi="Open Sans" w:cs="Open Sans"/>
          <w:sz w:val="21"/>
          <w:szCs w:val="21"/>
        </w:rPr>
        <w:t xml:space="preserve"> under ASAE 3150</w:t>
      </w:r>
      <w:r w:rsidRPr="00845DDC">
        <w:rPr>
          <w:rFonts w:ascii="Open Sans" w:hAnsi="Open Sans" w:cs="Open Sans"/>
          <w:sz w:val="21"/>
          <w:szCs w:val="21"/>
        </w:rPr>
        <w:t xml:space="preserve"> for </w:t>
      </w:r>
      <w:r w:rsidR="0074337C">
        <w:rPr>
          <w:rFonts w:ascii="Open Sans" w:hAnsi="Open Sans" w:cs="Open Sans"/>
          <w:sz w:val="21"/>
          <w:szCs w:val="21"/>
        </w:rPr>
        <w:t>A</w:t>
      </w:r>
      <w:r w:rsidRPr="00845DDC">
        <w:rPr>
          <w:rFonts w:ascii="Open Sans" w:hAnsi="Open Sans" w:cs="Open Sans"/>
          <w:sz w:val="21"/>
          <w:szCs w:val="21"/>
        </w:rPr>
        <w:t>ffiliate</w:t>
      </w:r>
      <w:r w:rsidR="0074337C">
        <w:rPr>
          <w:rFonts w:ascii="Open Sans" w:hAnsi="Open Sans" w:cs="Open Sans"/>
          <w:sz w:val="21"/>
          <w:szCs w:val="21"/>
        </w:rPr>
        <w:t>s</w:t>
      </w:r>
      <w:r w:rsidRPr="00845DDC">
        <w:rPr>
          <w:rFonts w:ascii="Open Sans" w:hAnsi="Open Sans" w:cs="Open Sans"/>
          <w:sz w:val="21"/>
          <w:szCs w:val="21"/>
        </w:rPr>
        <w:t xml:space="preserve"> and CDR </w:t>
      </w:r>
      <w:r w:rsidR="008B130C" w:rsidRPr="00845DDC">
        <w:rPr>
          <w:rFonts w:ascii="Open Sans" w:hAnsi="Open Sans" w:cs="Open Sans"/>
          <w:sz w:val="21"/>
          <w:szCs w:val="21"/>
        </w:rPr>
        <w:t>R</w:t>
      </w:r>
      <w:r w:rsidRPr="00845DDC">
        <w:rPr>
          <w:rFonts w:ascii="Open Sans" w:hAnsi="Open Sans" w:cs="Open Sans"/>
          <w:sz w:val="21"/>
          <w:szCs w:val="21"/>
        </w:rPr>
        <w:t>epresentative</w:t>
      </w:r>
      <w:r w:rsidR="008B130C" w:rsidRPr="00845DDC">
        <w:rPr>
          <w:rFonts w:ascii="Open Sans" w:hAnsi="Open Sans" w:cs="Open Sans"/>
          <w:sz w:val="21"/>
          <w:szCs w:val="21"/>
        </w:rPr>
        <w:t>s</w:t>
      </w:r>
      <w:r w:rsidR="00845DDC">
        <w:rPr>
          <w:rFonts w:ascii="Open Sans" w:hAnsi="Open Sans" w:cs="Open Sans"/>
          <w:sz w:val="21"/>
          <w:szCs w:val="21"/>
        </w:rPr>
        <w:t xml:space="preserve">. This </w:t>
      </w:r>
      <w:r w:rsidR="003F25A6" w:rsidRPr="00845DDC">
        <w:rPr>
          <w:rFonts w:ascii="Open Sans" w:hAnsi="Open Sans" w:cs="Open Sans"/>
          <w:sz w:val="21"/>
          <w:szCs w:val="21"/>
        </w:rPr>
        <w:t>set</w:t>
      </w:r>
      <w:r w:rsidR="00845DDC">
        <w:rPr>
          <w:rFonts w:ascii="Open Sans" w:hAnsi="Open Sans" w:cs="Open Sans"/>
          <w:sz w:val="21"/>
          <w:szCs w:val="21"/>
        </w:rPr>
        <w:t>s</w:t>
      </w:r>
      <w:r w:rsidRPr="00845DDC">
        <w:rPr>
          <w:rFonts w:ascii="Open Sans" w:hAnsi="Open Sans" w:cs="Open Sans"/>
          <w:sz w:val="21"/>
          <w:szCs w:val="21"/>
        </w:rPr>
        <w:t xml:space="preserve"> a</w:t>
      </w:r>
      <w:r w:rsidR="003F25A6" w:rsidRPr="00845DDC">
        <w:rPr>
          <w:rFonts w:ascii="Open Sans" w:hAnsi="Open Sans" w:cs="Open Sans"/>
          <w:sz w:val="21"/>
          <w:szCs w:val="21"/>
        </w:rPr>
        <w:t xml:space="preserve"> consistent,</w:t>
      </w:r>
      <w:r w:rsidRPr="00845DDC">
        <w:rPr>
          <w:rFonts w:ascii="Open Sans" w:hAnsi="Open Sans" w:cs="Open Sans"/>
          <w:sz w:val="21"/>
          <w:szCs w:val="21"/>
        </w:rPr>
        <w:t xml:space="preserve"> minimum standard </w:t>
      </w:r>
      <w:r w:rsidR="003F25A6" w:rsidRPr="00845DDC">
        <w:rPr>
          <w:rFonts w:ascii="Open Sans" w:hAnsi="Open Sans" w:cs="Open Sans"/>
          <w:sz w:val="21"/>
          <w:szCs w:val="21"/>
        </w:rPr>
        <w:t>with</w:t>
      </w:r>
      <w:r w:rsidRPr="00845DDC">
        <w:rPr>
          <w:rFonts w:ascii="Open Sans" w:hAnsi="Open Sans" w:cs="Open Sans"/>
          <w:sz w:val="21"/>
          <w:szCs w:val="21"/>
        </w:rPr>
        <w:t xml:space="preserve"> independent validation</w:t>
      </w:r>
      <w:r w:rsidR="003F25A6" w:rsidRPr="00845DDC">
        <w:rPr>
          <w:rFonts w:ascii="Open Sans" w:hAnsi="Open Sans" w:cs="Open Sans"/>
          <w:sz w:val="21"/>
          <w:szCs w:val="21"/>
        </w:rPr>
        <w:t xml:space="preserve"> that </w:t>
      </w:r>
      <w:r w:rsidR="00105E67" w:rsidRPr="00845DDC">
        <w:rPr>
          <w:rFonts w:ascii="Open Sans" w:hAnsi="Open Sans" w:cs="Open Sans"/>
          <w:sz w:val="21"/>
          <w:szCs w:val="21"/>
        </w:rPr>
        <w:t>may be</w:t>
      </w:r>
      <w:r w:rsidR="003F25A6" w:rsidRPr="00845DDC">
        <w:rPr>
          <w:rFonts w:ascii="Open Sans" w:hAnsi="Open Sans" w:cs="Open Sans"/>
          <w:sz w:val="21"/>
          <w:szCs w:val="21"/>
        </w:rPr>
        <w:t xml:space="preserve"> </w:t>
      </w:r>
      <w:r w:rsidR="00105E67" w:rsidRPr="00845DDC">
        <w:rPr>
          <w:rFonts w:ascii="Open Sans" w:hAnsi="Open Sans" w:cs="Open Sans"/>
          <w:sz w:val="21"/>
          <w:szCs w:val="21"/>
        </w:rPr>
        <w:t xml:space="preserve">about </w:t>
      </w:r>
      <w:r w:rsidR="003F25A6" w:rsidRPr="00845DDC">
        <w:rPr>
          <w:rFonts w:ascii="Open Sans" w:hAnsi="Open Sans" w:cs="Open Sans"/>
          <w:sz w:val="21"/>
          <w:szCs w:val="21"/>
        </w:rPr>
        <w:t xml:space="preserve">75% less cost and time as the existing </w:t>
      </w:r>
      <w:r w:rsidR="00BB358D" w:rsidRPr="00845DDC">
        <w:rPr>
          <w:rFonts w:ascii="Open Sans" w:hAnsi="Open Sans" w:cs="Open Sans"/>
          <w:sz w:val="21"/>
          <w:szCs w:val="21"/>
        </w:rPr>
        <w:t xml:space="preserve">reasonable </w:t>
      </w:r>
      <w:r w:rsidR="003F25A6" w:rsidRPr="00845DDC">
        <w:rPr>
          <w:rFonts w:ascii="Open Sans" w:hAnsi="Open Sans" w:cs="Open Sans"/>
          <w:sz w:val="21"/>
          <w:szCs w:val="21"/>
        </w:rPr>
        <w:t>assurance reports</w:t>
      </w:r>
      <w:r w:rsidR="00845DDC">
        <w:rPr>
          <w:rFonts w:ascii="Open Sans" w:hAnsi="Open Sans" w:cs="Open Sans"/>
          <w:sz w:val="21"/>
          <w:szCs w:val="21"/>
        </w:rPr>
        <w:t xml:space="preserve">. This independent validation provides the checks and balances that ensures information security and privacy standards are upheld across the entire CDR ecosystem to balance the CDR policy objectives. </w:t>
      </w:r>
    </w:p>
    <w:p w14:paraId="71CF382F" w14:textId="2093033D" w:rsidR="00845DDC" w:rsidRDefault="00845DDC" w:rsidP="00845DDC">
      <w:pPr>
        <w:spacing w:after="120"/>
        <w:rPr>
          <w:rFonts w:ascii="Open Sans" w:hAnsi="Open Sans" w:cs="Open Sans"/>
          <w:sz w:val="21"/>
          <w:szCs w:val="21"/>
        </w:rPr>
      </w:pPr>
      <w:r>
        <w:rPr>
          <w:rFonts w:ascii="Open Sans" w:hAnsi="Open Sans" w:cs="Open Sans"/>
          <w:sz w:val="21"/>
          <w:szCs w:val="21"/>
        </w:rPr>
        <w:t>To further improve accessibility, we would recommend considering this approach to also apply for smaller, less complex data recipients with a lower volume of data processing. In these cases, the accessibility challenges are most significant, and the inherent information security risk is lower</w:t>
      </w:r>
      <w:r w:rsidR="0074337C">
        <w:rPr>
          <w:rFonts w:ascii="Open Sans" w:hAnsi="Open Sans" w:cs="Open Sans"/>
          <w:sz w:val="21"/>
          <w:szCs w:val="21"/>
        </w:rPr>
        <w:t xml:space="preserve"> (likelihood and impact of data breaches are lower)</w:t>
      </w:r>
      <w:r>
        <w:rPr>
          <w:rFonts w:ascii="Open Sans" w:hAnsi="Open Sans" w:cs="Open Sans"/>
          <w:sz w:val="21"/>
          <w:szCs w:val="21"/>
        </w:rPr>
        <w:t>. This would enable smaller and earlier stage companies to get started using CDR data with a level of assurance commensurate with the related information security risks.</w:t>
      </w:r>
      <w:r w:rsidR="0074337C">
        <w:rPr>
          <w:rFonts w:ascii="Open Sans" w:hAnsi="Open Sans" w:cs="Open Sans"/>
          <w:sz w:val="21"/>
          <w:szCs w:val="21"/>
        </w:rPr>
        <w:t xml:space="preserve"> This risk-based consideration is explained further in </w:t>
      </w:r>
      <w:hyperlink w:anchor="_Appendix_4_–" w:history="1">
        <w:r w:rsidR="00071F9D">
          <w:rPr>
            <w:rStyle w:val="Hyperlink"/>
            <w:rFonts w:ascii="Open Sans" w:hAnsi="Open Sans" w:cs="Open Sans"/>
            <w:sz w:val="21"/>
            <w:szCs w:val="21"/>
          </w:rPr>
          <w:t>Appendix 3</w:t>
        </w:r>
      </w:hyperlink>
      <w:r w:rsidR="0074337C">
        <w:rPr>
          <w:rFonts w:ascii="Open Sans" w:hAnsi="Open Sans" w:cs="Open Sans"/>
          <w:sz w:val="21"/>
          <w:szCs w:val="21"/>
        </w:rPr>
        <w:t>.</w:t>
      </w:r>
    </w:p>
    <w:p w14:paraId="3167E09A" w14:textId="77777777" w:rsidR="00845DDC" w:rsidRPr="00845DDC" w:rsidRDefault="00845DDC" w:rsidP="00845DDC">
      <w:pPr>
        <w:pStyle w:val="Heading1"/>
        <w:rPr>
          <w:b/>
          <w:bCs/>
          <w:sz w:val="24"/>
          <w:szCs w:val="24"/>
        </w:rPr>
      </w:pPr>
      <w:bookmarkStart w:id="2" w:name="_Appendix_1_-"/>
      <w:bookmarkStart w:id="3" w:name="_Toc77246459"/>
      <w:bookmarkEnd w:id="2"/>
      <w:r w:rsidRPr="00845DDC">
        <w:rPr>
          <w:b/>
          <w:bCs/>
          <w:sz w:val="24"/>
          <w:szCs w:val="24"/>
        </w:rPr>
        <w:t>Proposed Limited Assurance reports</w:t>
      </w:r>
      <w:bookmarkEnd w:id="3"/>
    </w:p>
    <w:p w14:paraId="79204BC2" w14:textId="77777777" w:rsidR="00845DDC" w:rsidRPr="00FA2837" w:rsidRDefault="00845DDC" w:rsidP="00845DDC">
      <w:pPr>
        <w:rPr>
          <w:rFonts w:ascii="Open Sans" w:hAnsi="Open Sans" w:cs="Open Sans"/>
          <w:b/>
          <w:bCs/>
          <w:sz w:val="21"/>
          <w:szCs w:val="21"/>
        </w:rPr>
      </w:pPr>
    </w:p>
    <w:p w14:paraId="67074D2E" w14:textId="503E9B18" w:rsidR="00845DDC" w:rsidRPr="00FA2837" w:rsidRDefault="00845DDC" w:rsidP="00845DDC">
      <w:pPr>
        <w:rPr>
          <w:rFonts w:ascii="Open Sans" w:hAnsi="Open Sans" w:cs="Open Sans"/>
          <w:sz w:val="21"/>
          <w:szCs w:val="21"/>
        </w:rPr>
      </w:pPr>
      <w:r w:rsidRPr="00FA2837">
        <w:rPr>
          <w:rFonts w:ascii="Open Sans" w:hAnsi="Open Sans" w:cs="Open Sans"/>
          <w:sz w:val="21"/>
          <w:szCs w:val="21"/>
        </w:rPr>
        <w:t>The Consumer Data Right rules currently require</w:t>
      </w:r>
      <w:r>
        <w:rPr>
          <w:rFonts w:ascii="Open Sans" w:hAnsi="Open Sans" w:cs="Open Sans"/>
          <w:sz w:val="21"/>
          <w:szCs w:val="21"/>
        </w:rPr>
        <w:t>s</w:t>
      </w:r>
      <w:r w:rsidRPr="00FA2837">
        <w:rPr>
          <w:rFonts w:ascii="Open Sans" w:hAnsi="Open Sans" w:cs="Open Sans"/>
          <w:sz w:val="21"/>
          <w:szCs w:val="21"/>
        </w:rPr>
        <w:t xml:space="preserve"> a </w:t>
      </w:r>
      <w:r w:rsidRPr="00FA2837">
        <w:rPr>
          <w:rFonts w:ascii="Open Sans" w:hAnsi="Open Sans" w:cs="Open Sans"/>
          <w:i/>
          <w:iCs/>
          <w:sz w:val="21"/>
          <w:szCs w:val="21"/>
        </w:rPr>
        <w:t>reasonable assurance</w:t>
      </w:r>
      <w:r w:rsidRPr="00FA2837">
        <w:rPr>
          <w:rFonts w:ascii="Open Sans" w:hAnsi="Open Sans" w:cs="Open Sans"/>
          <w:sz w:val="21"/>
          <w:szCs w:val="21"/>
        </w:rPr>
        <w:t xml:space="preserve"> engagement for accreditation. The definitions from ASAE 3150 are included </w:t>
      </w:r>
      <w:r w:rsidR="0074337C">
        <w:rPr>
          <w:rFonts w:ascii="Open Sans" w:hAnsi="Open Sans" w:cs="Open Sans"/>
          <w:sz w:val="21"/>
          <w:szCs w:val="21"/>
        </w:rPr>
        <w:t xml:space="preserve">in </w:t>
      </w:r>
      <w:hyperlink w:anchor="_Appendix_3_–" w:history="1">
        <w:r w:rsidR="00071F9D">
          <w:rPr>
            <w:rStyle w:val="Hyperlink"/>
            <w:rFonts w:ascii="Open Sans" w:hAnsi="Open Sans" w:cs="Open Sans"/>
            <w:sz w:val="21"/>
            <w:szCs w:val="21"/>
          </w:rPr>
          <w:t>Appendix 4</w:t>
        </w:r>
      </w:hyperlink>
      <w:r w:rsidRPr="00FA2837">
        <w:rPr>
          <w:rFonts w:ascii="Open Sans" w:hAnsi="Open Sans" w:cs="Open Sans"/>
          <w:sz w:val="21"/>
          <w:szCs w:val="21"/>
        </w:rPr>
        <w:t xml:space="preserve"> for reasonable and limited assurance engagements.</w:t>
      </w:r>
      <w:r>
        <w:rPr>
          <w:rFonts w:ascii="Open Sans" w:hAnsi="Open Sans" w:cs="Open Sans"/>
          <w:sz w:val="21"/>
          <w:szCs w:val="21"/>
        </w:rPr>
        <w:t xml:space="preserve"> </w:t>
      </w:r>
      <w:r w:rsidRPr="00FA2837">
        <w:rPr>
          <w:rFonts w:ascii="Open Sans" w:hAnsi="Open Sans" w:cs="Open Sans"/>
          <w:sz w:val="21"/>
          <w:szCs w:val="21"/>
        </w:rPr>
        <w:t>Audit files for a</w:t>
      </w:r>
      <w:r>
        <w:rPr>
          <w:rFonts w:ascii="Open Sans" w:hAnsi="Open Sans" w:cs="Open Sans"/>
          <w:sz w:val="21"/>
          <w:szCs w:val="21"/>
        </w:rPr>
        <w:t>n ASAE 3150</w:t>
      </w:r>
      <w:r w:rsidRPr="00FA2837">
        <w:rPr>
          <w:rFonts w:ascii="Open Sans" w:hAnsi="Open Sans" w:cs="Open Sans"/>
          <w:sz w:val="21"/>
          <w:szCs w:val="21"/>
        </w:rPr>
        <w:t xml:space="preserve"> Type 1 engagement (for accreditation) need to contain evidence of each control, the testing procedures performed, and the control characteristics validated to prove the controls </w:t>
      </w:r>
      <w:r>
        <w:rPr>
          <w:rFonts w:ascii="Open Sans" w:hAnsi="Open Sans" w:cs="Open Sans"/>
          <w:sz w:val="21"/>
          <w:szCs w:val="21"/>
        </w:rPr>
        <w:t>were</w:t>
      </w:r>
      <w:r w:rsidRPr="00FA2837">
        <w:rPr>
          <w:rFonts w:ascii="Open Sans" w:hAnsi="Open Sans" w:cs="Open Sans"/>
          <w:sz w:val="21"/>
          <w:szCs w:val="21"/>
        </w:rPr>
        <w:t xml:space="preserve"> suitably designed and placed into operation. Covering ~60-80 control activities</w:t>
      </w:r>
      <w:r>
        <w:rPr>
          <w:rFonts w:ascii="Open Sans" w:hAnsi="Open Sans" w:cs="Open Sans"/>
          <w:sz w:val="21"/>
          <w:szCs w:val="21"/>
        </w:rPr>
        <w:t xml:space="preserve"> in this way</w:t>
      </w:r>
      <w:r w:rsidRPr="00FA2837">
        <w:rPr>
          <w:rFonts w:ascii="Open Sans" w:hAnsi="Open Sans" w:cs="Open Sans"/>
          <w:sz w:val="21"/>
          <w:szCs w:val="21"/>
        </w:rPr>
        <w:t xml:space="preserve"> requires significant information collection, documentation, audit review, </w:t>
      </w:r>
      <w:r>
        <w:rPr>
          <w:rFonts w:ascii="Open Sans" w:hAnsi="Open Sans" w:cs="Open Sans"/>
          <w:sz w:val="21"/>
          <w:szCs w:val="21"/>
        </w:rPr>
        <w:t xml:space="preserve">queries, </w:t>
      </w:r>
      <w:r w:rsidRPr="00FA2837">
        <w:rPr>
          <w:rFonts w:ascii="Open Sans" w:hAnsi="Open Sans" w:cs="Open Sans"/>
          <w:sz w:val="21"/>
          <w:szCs w:val="21"/>
        </w:rPr>
        <w:t>edits, quality review and reporting work by audit firms</w:t>
      </w:r>
      <w:r w:rsidR="00D10308">
        <w:rPr>
          <w:rFonts w:ascii="Open Sans" w:hAnsi="Open Sans" w:cs="Open Sans"/>
          <w:sz w:val="21"/>
          <w:szCs w:val="21"/>
        </w:rPr>
        <w:t>;</w:t>
      </w:r>
      <w:r>
        <w:rPr>
          <w:rFonts w:ascii="Open Sans" w:hAnsi="Open Sans" w:cs="Open Sans"/>
          <w:sz w:val="21"/>
          <w:szCs w:val="21"/>
        </w:rPr>
        <w:t xml:space="preserve"> driv</w:t>
      </w:r>
      <w:r w:rsidR="00D10308">
        <w:rPr>
          <w:rFonts w:ascii="Open Sans" w:hAnsi="Open Sans" w:cs="Open Sans"/>
          <w:sz w:val="21"/>
          <w:szCs w:val="21"/>
        </w:rPr>
        <w:t>ing</w:t>
      </w:r>
      <w:r>
        <w:rPr>
          <w:rFonts w:ascii="Open Sans" w:hAnsi="Open Sans" w:cs="Open Sans"/>
          <w:sz w:val="21"/>
          <w:szCs w:val="21"/>
        </w:rPr>
        <w:t xml:space="preserve"> cost and time for both parties. </w:t>
      </w:r>
    </w:p>
    <w:p w14:paraId="1E28D9B8" w14:textId="77777777" w:rsidR="00845DDC" w:rsidRPr="00FA2837" w:rsidRDefault="00845DDC" w:rsidP="00845DDC">
      <w:pPr>
        <w:rPr>
          <w:rFonts w:ascii="Open Sans" w:hAnsi="Open Sans" w:cs="Open Sans"/>
          <w:sz w:val="21"/>
          <w:szCs w:val="21"/>
        </w:rPr>
      </w:pPr>
    </w:p>
    <w:p w14:paraId="08B4ECFF" w14:textId="77777777" w:rsidR="00D10308" w:rsidRDefault="00845DDC" w:rsidP="00845DDC">
      <w:pPr>
        <w:rPr>
          <w:rFonts w:ascii="Open Sans" w:hAnsi="Open Sans" w:cs="Open Sans"/>
          <w:color w:val="000000" w:themeColor="text1"/>
          <w:sz w:val="21"/>
          <w:szCs w:val="21"/>
        </w:rPr>
      </w:pPr>
      <w:r w:rsidRPr="00FA2837">
        <w:rPr>
          <w:rFonts w:ascii="Open Sans" w:hAnsi="Open Sans" w:cs="Open Sans"/>
          <w:color w:val="000000" w:themeColor="text1"/>
          <w:sz w:val="21"/>
          <w:szCs w:val="21"/>
        </w:rPr>
        <w:t xml:space="preserve">The proposed self-attestations could be validated through a </w:t>
      </w:r>
      <w:r w:rsidRPr="00BD5F9E">
        <w:rPr>
          <w:rFonts w:ascii="Open Sans" w:hAnsi="Open Sans" w:cs="Open Sans"/>
          <w:i/>
          <w:iCs/>
          <w:color w:val="000000" w:themeColor="text1"/>
          <w:sz w:val="21"/>
          <w:szCs w:val="21"/>
        </w:rPr>
        <w:t>limited assurance</w:t>
      </w:r>
      <w:r w:rsidRPr="00FA2837">
        <w:rPr>
          <w:rFonts w:ascii="Open Sans" w:hAnsi="Open Sans" w:cs="Open Sans"/>
          <w:color w:val="000000" w:themeColor="text1"/>
          <w:sz w:val="21"/>
          <w:szCs w:val="21"/>
        </w:rPr>
        <w:t xml:space="preserve"> engagement under ASAE 3150. Limited assurance engagements require significantly less work by audit firms. There is flexibility for Treasury to define what is a “meaningful” level of assurance in this context, and the way it would work in practice. </w:t>
      </w:r>
    </w:p>
    <w:p w14:paraId="09DCFDF5" w14:textId="77777777" w:rsidR="00D10308" w:rsidRDefault="00D10308" w:rsidP="00845DDC">
      <w:pPr>
        <w:rPr>
          <w:rFonts w:ascii="Open Sans" w:hAnsi="Open Sans" w:cs="Open Sans"/>
          <w:color w:val="000000" w:themeColor="text1"/>
          <w:sz w:val="21"/>
          <w:szCs w:val="21"/>
        </w:rPr>
      </w:pPr>
    </w:p>
    <w:p w14:paraId="203532ED" w14:textId="0CD0CFA6" w:rsidR="00845DDC" w:rsidRPr="00FA2837" w:rsidRDefault="00845DDC" w:rsidP="00845DDC">
      <w:pPr>
        <w:rPr>
          <w:rFonts w:ascii="Open Sans" w:hAnsi="Open Sans" w:cs="Open Sans"/>
          <w:color w:val="000000" w:themeColor="text1"/>
          <w:sz w:val="21"/>
          <w:szCs w:val="21"/>
        </w:rPr>
      </w:pPr>
      <w:r w:rsidRPr="00FA2837">
        <w:rPr>
          <w:rFonts w:ascii="Open Sans" w:hAnsi="Open Sans" w:cs="Open Sans"/>
          <w:color w:val="000000" w:themeColor="text1"/>
          <w:sz w:val="21"/>
          <w:szCs w:val="21"/>
        </w:rPr>
        <w:t>As one example</w:t>
      </w:r>
      <w:r w:rsidR="00D10308">
        <w:rPr>
          <w:rFonts w:ascii="Open Sans" w:hAnsi="Open Sans" w:cs="Open Sans"/>
          <w:color w:val="000000" w:themeColor="text1"/>
          <w:sz w:val="21"/>
          <w:szCs w:val="21"/>
        </w:rPr>
        <w:t>,</w:t>
      </w:r>
      <w:r w:rsidRPr="00FA2837">
        <w:rPr>
          <w:rFonts w:ascii="Open Sans" w:hAnsi="Open Sans" w:cs="Open Sans"/>
          <w:color w:val="000000" w:themeColor="text1"/>
          <w:sz w:val="21"/>
          <w:szCs w:val="21"/>
        </w:rPr>
        <w:t xml:space="preserve"> the data recipients may prepare their self-attestation for </w:t>
      </w:r>
      <w:r w:rsidR="0011474B">
        <w:rPr>
          <w:rFonts w:ascii="Open Sans" w:hAnsi="Open Sans" w:cs="Open Sans"/>
          <w:color w:val="000000" w:themeColor="text1"/>
          <w:sz w:val="21"/>
          <w:szCs w:val="21"/>
        </w:rPr>
        <w:t>the</w:t>
      </w:r>
      <w:r w:rsidRPr="00FA2837">
        <w:rPr>
          <w:rFonts w:ascii="Open Sans" w:hAnsi="Open Sans" w:cs="Open Sans"/>
          <w:color w:val="000000" w:themeColor="text1"/>
          <w:sz w:val="21"/>
          <w:szCs w:val="21"/>
        </w:rPr>
        <w:t xml:space="preserve"> limited assurance review (or engage </w:t>
      </w:r>
      <w:r>
        <w:rPr>
          <w:rFonts w:ascii="Open Sans" w:hAnsi="Open Sans" w:cs="Open Sans"/>
          <w:color w:val="000000" w:themeColor="text1"/>
          <w:sz w:val="21"/>
          <w:szCs w:val="21"/>
        </w:rPr>
        <w:t>a service provider</w:t>
      </w:r>
      <w:r w:rsidRPr="00FA2837">
        <w:rPr>
          <w:rFonts w:ascii="Open Sans" w:hAnsi="Open Sans" w:cs="Open Sans"/>
          <w:color w:val="000000" w:themeColor="text1"/>
          <w:sz w:val="21"/>
          <w:szCs w:val="21"/>
        </w:rPr>
        <w:t xml:space="preserve"> to help them with that). The limited assurance review could be conducted through audit firm walkthrough</w:t>
      </w:r>
      <w:r w:rsidR="0011474B">
        <w:rPr>
          <w:rFonts w:ascii="Open Sans" w:hAnsi="Open Sans" w:cs="Open Sans"/>
          <w:color w:val="000000" w:themeColor="text1"/>
          <w:sz w:val="21"/>
          <w:szCs w:val="21"/>
        </w:rPr>
        <w:t>s</w:t>
      </w:r>
      <w:r w:rsidRPr="00FA2837">
        <w:rPr>
          <w:rFonts w:ascii="Open Sans" w:hAnsi="Open Sans" w:cs="Open Sans"/>
          <w:color w:val="000000" w:themeColor="text1"/>
          <w:sz w:val="21"/>
          <w:szCs w:val="21"/>
        </w:rPr>
        <w:t xml:space="preserve"> to </w:t>
      </w:r>
      <w:r>
        <w:rPr>
          <w:rFonts w:ascii="Open Sans" w:hAnsi="Open Sans" w:cs="Open Sans"/>
          <w:color w:val="000000" w:themeColor="text1"/>
          <w:sz w:val="21"/>
          <w:szCs w:val="21"/>
        </w:rPr>
        <w:t>verify the</w:t>
      </w:r>
      <w:r w:rsidRPr="00FA2837">
        <w:rPr>
          <w:rFonts w:ascii="Open Sans" w:hAnsi="Open Sans" w:cs="Open Sans"/>
          <w:color w:val="000000" w:themeColor="text1"/>
          <w:sz w:val="21"/>
          <w:szCs w:val="21"/>
        </w:rPr>
        <w:t xml:space="preserve"> controls</w:t>
      </w:r>
      <w:r>
        <w:rPr>
          <w:rFonts w:ascii="Open Sans" w:hAnsi="Open Sans" w:cs="Open Sans"/>
          <w:color w:val="000000" w:themeColor="text1"/>
          <w:sz w:val="21"/>
          <w:szCs w:val="21"/>
        </w:rPr>
        <w:t xml:space="preserve"> without the full audit procedures</w:t>
      </w:r>
      <w:r w:rsidRPr="00FA2837">
        <w:rPr>
          <w:rFonts w:ascii="Open Sans" w:hAnsi="Open Sans" w:cs="Open Sans"/>
          <w:color w:val="000000" w:themeColor="text1"/>
          <w:sz w:val="21"/>
          <w:szCs w:val="21"/>
        </w:rPr>
        <w:t xml:space="preserve"> </w:t>
      </w:r>
      <w:r w:rsidR="0011474B">
        <w:rPr>
          <w:rFonts w:ascii="Open Sans" w:hAnsi="Open Sans" w:cs="Open Sans"/>
          <w:color w:val="000000" w:themeColor="text1"/>
          <w:sz w:val="21"/>
          <w:szCs w:val="21"/>
        </w:rPr>
        <w:t>of a reasonable assurance engagement. This may include</w:t>
      </w:r>
      <w:r w:rsidRPr="00FA2837">
        <w:rPr>
          <w:rFonts w:ascii="Open Sans" w:hAnsi="Open Sans" w:cs="Open Sans"/>
          <w:color w:val="000000" w:themeColor="text1"/>
          <w:sz w:val="21"/>
          <w:szCs w:val="21"/>
        </w:rPr>
        <w:t xml:space="preserve"> only report</w:t>
      </w:r>
      <w:r w:rsidR="0011474B">
        <w:rPr>
          <w:rFonts w:ascii="Open Sans" w:hAnsi="Open Sans" w:cs="Open Sans"/>
          <w:color w:val="000000" w:themeColor="text1"/>
          <w:sz w:val="21"/>
          <w:szCs w:val="21"/>
        </w:rPr>
        <w:t>ing</w:t>
      </w:r>
      <w:r w:rsidRPr="00FA2837">
        <w:rPr>
          <w:rFonts w:ascii="Open Sans" w:hAnsi="Open Sans" w:cs="Open Sans"/>
          <w:color w:val="000000" w:themeColor="text1"/>
          <w:sz w:val="21"/>
          <w:szCs w:val="21"/>
        </w:rPr>
        <w:t xml:space="preserve"> by exception if any cases of non-compliance or control weaknesses were observed. The independence, expertise, experience and rigour of supporting standards, would provide a substantially higher level of assurance than a self-attestation on its own, without the high costs and time commitments of the existing reasonable assurance reports.</w:t>
      </w:r>
      <w:r>
        <w:rPr>
          <w:rFonts w:ascii="Open Sans" w:hAnsi="Open Sans" w:cs="Open Sans"/>
          <w:color w:val="000000" w:themeColor="text1"/>
          <w:sz w:val="21"/>
          <w:szCs w:val="21"/>
        </w:rPr>
        <w:t xml:space="preserve"> We anticipate this approach would be up to 75% lower cost and time involved compared to the median costs and time of the existing reasonable assurance reporting.</w:t>
      </w:r>
    </w:p>
    <w:p w14:paraId="67C5FC2B" w14:textId="77777777" w:rsidR="00845DDC" w:rsidRDefault="00845DDC">
      <w:pPr>
        <w:rPr>
          <w:rFonts w:ascii="Open Sans" w:eastAsiaTheme="majorEastAsia" w:hAnsi="Open Sans" w:cstheme="majorBidi"/>
          <w:b/>
          <w:bCs/>
          <w:color w:val="0078EE"/>
        </w:rPr>
      </w:pPr>
      <w:r>
        <w:rPr>
          <w:b/>
          <w:bCs/>
        </w:rPr>
        <w:br w:type="page"/>
      </w:r>
    </w:p>
    <w:p w14:paraId="1C9B0D80" w14:textId="378CE945" w:rsidR="00631154" w:rsidRPr="00845DDC" w:rsidRDefault="00845DDC" w:rsidP="00845DDC">
      <w:pPr>
        <w:pStyle w:val="Heading1"/>
        <w:rPr>
          <w:b/>
          <w:bCs/>
          <w:sz w:val="24"/>
          <w:szCs w:val="24"/>
        </w:rPr>
      </w:pPr>
      <w:bookmarkStart w:id="4" w:name="_Toc77246460"/>
      <w:r>
        <w:rPr>
          <w:b/>
          <w:bCs/>
          <w:sz w:val="24"/>
          <w:szCs w:val="24"/>
        </w:rPr>
        <w:t xml:space="preserve">Appendix 1 - </w:t>
      </w:r>
      <w:r w:rsidR="00631154" w:rsidRPr="00845DDC">
        <w:rPr>
          <w:b/>
          <w:bCs/>
          <w:sz w:val="24"/>
          <w:szCs w:val="24"/>
        </w:rPr>
        <w:t>Background</w:t>
      </w:r>
      <w:r w:rsidR="00065367" w:rsidRPr="00845DDC">
        <w:rPr>
          <w:b/>
          <w:bCs/>
          <w:sz w:val="24"/>
          <w:szCs w:val="24"/>
        </w:rPr>
        <w:t xml:space="preserve"> market view</w:t>
      </w:r>
      <w:bookmarkEnd w:id="4"/>
    </w:p>
    <w:p w14:paraId="46A012B5" w14:textId="17A5FC8D" w:rsidR="00631154" w:rsidRPr="00FA2837" w:rsidRDefault="00631154">
      <w:pPr>
        <w:rPr>
          <w:rFonts w:ascii="Open Sans" w:hAnsi="Open Sans" w:cs="Open Sans"/>
          <w:sz w:val="21"/>
          <w:szCs w:val="21"/>
        </w:rPr>
      </w:pPr>
    </w:p>
    <w:p w14:paraId="2B05C41D" w14:textId="5910ECB3" w:rsidR="00631154" w:rsidRPr="00FA2837" w:rsidRDefault="004C72EF">
      <w:pPr>
        <w:rPr>
          <w:rFonts w:ascii="Open Sans" w:hAnsi="Open Sans" w:cs="Open Sans"/>
          <w:sz w:val="21"/>
          <w:szCs w:val="21"/>
        </w:rPr>
      </w:pPr>
      <w:r w:rsidRPr="00FA2837">
        <w:rPr>
          <w:rFonts w:ascii="Open Sans" w:hAnsi="Open Sans" w:cs="Open Sans"/>
          <w:sz w:val="21"/>
          <w:szCs w:val="21"/>
        </w:rPr>
        <w:t>From</w:t>
      </w:r>
      <w:r w:rsidR="00631154" w:rsidRPr="00FA2837">
        <w:rPr>
          <w:rFonts w:ascii="Open Sans" w:hAnsi="Open Sans" w:cs="Open Sans"/>
          <w:sz w:val="21"/>
          <w:szCs w:val="21"/>
        </w:rPr>
        <w:t xml:space="preserve"> May to July 2020, AssuranceLab spoke with over 20 </w:t>
      </w:r>
      <w:r w:rsidR="00BE6C85" w:rsidRPr="00FA2837">
        <w:rPr>
          <w:rFonts w:ascii="Open Sans" w:hAnsi="Open Sans" w:cs="Open Sans"/>
          <w:sz w:val="21"/>
          <w:szCs w:val="21"/>
        </w:rPr>
        <w:t xml:space="preserve">founders </w:t>
      </w:r>
      <w:r w:rsidR="00664B8F" w:rsidRPr="00FA2837">
        <w:rPr>
          <w:rFonts w:ascii="Open Sans" w:hAnsi="Open Sans" w:cs="Open Sans"/>
          <w:sz w:val="21"/>
          <w:szCs w:val="21"/>
        </w:rPr>
        <w:t>and</w:t>
      </w:r>
      <w:r w:rsidR="00BE6C85" w:rsidRPr="00FA2837">
        <w:rPr>
          <w:rFonts w:ascii="Open Sans" w:hAnsi="Open Sans" w:cs="Open Sans"/>
          <w:sz w:val="21"/>
          <w:szCs w:val="21"/>
        </w:rPr>
        <w:t xml:space="preserve"> </w:t>
      </w:r>
      <w:r w:rsidR="00631154" w:rsidRPr="00FA2837">
        <w:rPr>
          <w:rFonts w:ascii="Open Sans" w:hAnsi="Open Sans" w:cs="Open Sans"/>
          <w:sz w:val="21"/>
          <w:szCs w:val="21"/>
        </w:rPr>
        <w:t>businesses that were considering accreditation under the Consumer Data Right. Almost universally</w:t>
      </w:r>
      <w:r w:rsidR="00806177" w:rsidRPr="00FA2837">
        <w:rPr>
          <w:rFonts w:ascii="Open Sans" w:hAnsi="Open Sans" w:cs="Open Sans"/>
          <w:sz w:val="21"/>
          <w:szCs w:val="21"/>
        </w:rPr>
        <w:t>,</w:t>
      </w:r>
      <w:r w:rsidR="00631154" w:rsidRPr="00FA2837">
        <w:rPr>
          <w:rFonts w:ascii="Open Sans" w:hAnsi="Open Sans" w:cs="Open Sans"/>
          <w:sz w:val="21"/>
          <w:szCs w:val="21"/>
        </w:rPr>
        <w:t xml:space="preserve"> the feedback was that accreditation was not viable. It was either cost prohibitive, didn’t support the business case </w:t>
      </w:r>
      <w:r w:rsidR="00BE6C85" w:rsidRPr="00FA2837">
        <w:rPr>
          <w:rFonts w:ascii="Open Sans" w:hAnsi="Open Sans" w:cs="Open Sans"/>
          <w:sz w:val="21"/>
          <w:szCs w:val="21"/>
        </w:rPr>
        <w:t>to pursue a new produc</w:t>
      </w:r>
      <w:r w:rsidR="00E25315" w:rsidRPr="00FA2837">
        <w:rPr>
          <w:rFonts w:ascii="Open Sans" w:hAnsi="Open Sans" w:cs="Open Sans"/>
          <w:sz w:val="21"/>
          <w:szCs w:val="21"/>
        </w:rPr>
        <w:t>t/</w:t>
      </w:r>
      <w:r w:rsidR="00BE6C85" w:rsidRPr="00FA2837">
        <w:rPr>
          <w:rFonts w:ascii="Open Sans" w:hAnsi="Open Sans" w:cs="Open Sans"/>
          <w:sz w:val="21"/>
          <w:szCs w:val="21"/>
        </w:rPr>
        <w:t>feature</w:t>
      </w:r>
      <w:r w:rsidR="00E25315" w:rsidRPr="00FA2837">
        <w:rPr>
          <w:rFonts w:ascii="Open Sans" w:hAnsi="Open Sans" w:cs="Open Sans"/>
          <w:sz w:val="21"/>
          <w:szCs w:val="21"/>
        </w:rPr>
        <w:t>/service</w:t>
      </w:r>
      <w:r w:rsidR="00631154" w:rsidRPr="00FA2837">
        <w:rPr>
          <w:rFonts w:ascii="Open Sans" w:hAnsi="Open Sans" w:cs="Open Sans"/>
          <w:sz w:val="21"/>
          <w:szCs w:val="21"/>
        </w:rPr>
        <w:t>, or that continuing to obtain data directly from ADI</w:t>
      </w:r>
      <w:r w:rsidR="0037226F" w:rsidRPr="00FA2837">
        <w:rPr>
          <w:rFonts w:ascii="Open Sans" w:hAnsi="Open Sans" w:cs="Open Sans"/>
          <w:sz w:val="21"/>
          <w:szCs w:val="21"/>
        </w:rPr>
        <w:t xml:space="preserve"> relationships</w:t>
      </w:r>
      <w:r w:rsidR="00BE6C85" w:rsidRPr="00FA2837">
        <w:rPr>
          <w:rFonts w:ascii="Open Sans" w:hAnsi="Open Sans" w:cs="Open Sans"/>
          <w:sz w:val="21"/>
          <w:szCs w:val="21"/>
        </w:rPr>
        <w:t xml:space="preserve"> or screen scraping</w:t>
      </w:r>
      <w:r w:rsidR="00631154" w:rsidRPr="00FA2837">
        <w:rPr>
          <w:rFonts w:ascii="Open Sans" w:hAnsi="Open Sans" w:cs="Open Sans"/>
          <w:sz w:val="21"/>
          <w:szCs w:val="21"/>
        </w:rPr>
        <w:t xml:space="preserve"> was more </w:t>
      </w:r>
      <w:r w:rsidR="001034CD" w:rsidRPr="00FA2837">
        <w:rPr>
          <w:rFonts w:ascii="Open Sans" w:hAnsi="Open Sans" w:cs="Open Sans"/>
          <w:sz w:val="21"/>
          <w:szCs w:val="21"/>
        </w:rPr>
        <w:t>viable.</w:t>
      </w:r>
    </w:p>
    <w:p w14:paraId="50930B94" w14:textId="77777777" w:rsidR="00631154" w:rsidRPr="00FA2837" w:rsidRDefault="00631154">
      <w:pPr>
        <w:rPr>
          <w:rFonts w:ascii="Open Sans" w:hAnsi="Open Sans" w:cs="Open Sans"/>
          <w:sz w:val="21"/>
          <w:szCs w:val="21"/>
        </w:rPr>
      </w:pPr>
    </w:p>
    <w:p w14:paraId="7754E75A" w14:textId="48D88643" w:rsidR="00631154" w:rsidRPr="00FA2837" w:rsidRDefault="00631154">
      <w:pPr>
        <w:rPr>
          <w:rFonts w:ascii="Open Sans" w:hAnsi="Open Sans" w:cs="Open Sans"/>
          <w:sz w:val="21"/>
          <w:szCs w:val="21"/>
        </w:rPr>
      </w:pPr>
      <w:r w:rsidRPr="00FA2837">
        <w:rPr>
          <w:rFonts w:ascii="Open Sans" w:hAnsi="Open Sans" w:cs="Open Sans"/>
          <w:sz w:val="21"/>
          <w:szCs w:val="21"/>
        </w:rPr>
        <w:t>In August 2020, we held a workshop with the ACCC accreditation team, expressing our concerns about the rigorous standard for accreditation and how that would limit the uptake accordingly. That feedback was well received by the ACCC. We have continued to liaise with the ACCC</w:t>
      </w:r>
      <w:r w:rsidR="001C5E0C" w:rsidRPr="00FA2837">
        <w:rPr>
          <w:rFonts w:ascii="Open Sans" w:hAnsi="Open Sans" w:cs="Open Sans"/>
          <w:sz w:val="21"/>
          <w:szCs w:val="21"/>
        </w:rPr>
        <w:t xml:space="preserve"> since,</w:t>
      </w:r>
      <w:r w:rsidRPr="00FA2837">
        <w:rPr>
          <w:rFonts w:ascii="Open Sans" w:hAnsi="Open Sans" w:cs="Open Sans"/>
          <w:sz w:val="21"/>
          <w:szCs w:val="21"/>
        </w:rPr>
        <w:t xml:space="preserve"> finding that what initially seemed like a “black-and-white” set of </w:t>
      </w:r>
      <w:r w:rsidR="001C5E0C" w:rsidRPr="00FA2837">
        <w:rPr>
          <w:rFonts w:ascii="Open Sans" w:hAnsi="Open Sans" w:cs="Open Sans"/>
          <w:sz w:val="21"/>
          <w:szCs w:val="21"/>
        </w:rPr>
        <w:t xml:space="preserve">rigorous </w:t>
      </w:r>
      <w:r w:rsidRPr="00FA2837">
        <w:rPr>
          <w:rFonts w:ascii="Open Sans" w:hAnsi="Open Sans" w:cs="Open Sans"/>
          <w:sz w:val="21"/>
          <w:szCs w:val="21"/>
        </w:rPr>
        <w:t>requirements</w:t>
      </w:r>
      <w:r w:rsidR="0037226F" w:rsidRPr="00FA2837">
        <w:rPr>
          <w:rFonts w:ascii="Open Sans" w:hAnsi="Open Sans" w:cs="Open Sans"/>
          <w:sz w:val="21"/>
          <w:szCs w:val="21"/>
        </w:rPr>
        <w:t xml:space="preserve">, </w:t>
      </w:r>
      <w:r w:rsidRPr="00FA2837">
        <w:rPr>
          <w:rFonts w:ascii="Open Sans" w:hAnsi="Open Sans" w:cs="Open Sans"/>
          <w:sz w:val="21"/>
          <w:szCs w:val="21"/>
        </w:rPr>
        <w:t>did allow for judgement and flexibility by audit firms like ourselves. We</w:t>
      </w:r>
      <w:r w:rsidR="0037226F" w:rsidRPr="00FA2837">
        <w:rPr>
          <w:rFonts w:ascii="Open Sans" w:hAnsi="Open Sans" w:cs="Open Sans"/>
          <w:sz w:val="21"/>
          <w:szCs w:val="21"/>
        </w:rPr>
        <w:t xml:space="preserve"> cautiously</w:t>
      </w:r>
      <w:r w:rsidRPr="00FA2837">
        <w:rPr>
          <w:rFonts w:ascii="Open Sans" w:hAnsi="Open Sans" w:cs="Open Sans"/>
          <w:sz w:val="21"/>
          <w:szCs w:val="21"/>
        </w:rPr>
        <w:t xml:space="preserve"> </w:t>
      </w:r>
      <w:r w:rsidR="001C5E0C" w:rsidRPr="00FA2837">
        <w:rPr>
          <w:rFonts w:ascii="Open Sans" w:hAnsi="Open Sans" w:cs="Open Sans"/>
          <w:sz w:val="21"/>
          <w:szCs w:val="21"/>
        </w:rPr>
        <w:t>observed</w:t>
      </w:r>
      <w:r w:rsidRPr="00FA2837">
        <w:rPr>
          <w:rFonts w:ascii="Open Sans" w:hAnsi="Open Sans" w:cs="Open Sans"/>
          <w:sz w:val="21"/>
          <w:szCs w:val="21"/>
        </w:rPr>
        <w:t xml:space="preserve"> as the practice evolved and</w:t>
      </w:r>
      <w:r w:rsidR="0037226F" w:rsidRPr="00FA2837">
        <w:rPr>
          <w:rFonts w:ascii="Open Sans" w:hAnsi="Open Sans" w:cs="Open Sans"/>
          <w:sz w:val="21"/>
          <w:szCs w:val="21"/>
        </w:rPr>
        <w:t xml:space="preserve"> early</w:t>
      </w:r>
      <w:r w:rsidRPr="00FA2837">
        <w:rPr>
          <w:rFonts w:ascii="Open Sans" w:hAnsi="Open Sans" w:cs="Open Sans"/>
          <w:sz w:val="21"/>
          <w:szCs w:val="21"/>
        </w:rPr>
        <w:t xml:space="preserve"> ADRs became accredited</w:t>
      </w:r>
      <w:r w:rsidR="0037226F" w:rsidRPr="00FA2837">
        <w:rPr>
          <w:rFonts w:ascii="Open Sans" w:hAnsi="Open Sans" w:cs="Open Sans"/>
          <w:sz w:val="21"/>
          <w:szCs w:val="21"/>
        </w:rPr>
        <w:t xml:space="preserve">. We decided in </w:t>
      </w:r>
      <w:r w:rsidRPr="00FA2837">
        <w:rPr>
          <w:rFonts w:ascii="Open Sans" w:hAnsi="Open Sans" w:cs="Open Sans"/>
          <w:sz w:val="21"/>
          <w:szCs w:val="21"/>
        </w:rPr>
        <w:t>2021</w:t>
      </w:r>
      <w:r w:rsidR="0037226F" w:rsidRPr="00FA2837">
        <w:rPr>
          <w:rFonts w:ascii="Open Sans" w:hAnsi="Open Sans" w:cs="Open Sans"/>
          <w:sz w:val="21"/>
          <w:szCs w:val="21"/>
        </w:rPr>
        <w:t xml:space="preserve"> to enter the market, at the point</w:t>
      </w:r>
      <w:r w:rsidR="001C5E0C" w:rsidRPr="00FA2837">
        <w:rPr>
          <w:rFonts w:ascii="Open Sans" w:hAnsi="Open Sans" w:cs="Open Sans"/>
          <w:sz w:val="21"/>
          <w:szCs w:val="21"/>
        </w:rPr>
        <w:t xml:space="preserve"> we were confident</w:t>
      </w:r>
      <w:r w:rsidR="00B17CE9" w:rsidRPr="00FA2837">
        <w:rPr>
          <w:rFonts w:ascii="Open Sans" w:hAnsi="Open Sans" w:cs="Open Sans"/>
          <w:sz w:val="21"/>
          <w:szCs w:val="21"/>
        </w:rPr>
        <w:t xml:space="preserve"> </w:t>
      </w:r>
      <w:r w:rsidR="001C5E0C" w:rsidRPr="00FA2837">
        <w:rPr>
          <w:rFonts w:ascii="Open Sans" w:hAnsi="Open Sans" w:cs="Open Sans"/>
          <w:sz w:val="21"/>
          <w:szCs w:val="21"/>
        </w:rPr>
        <w:t xml:space="preserve">we </w:t>
      </w:r>
      <w:r w:rsidR="004C72EF" w:rsidRPr="00FA2837">
        <w:rPr>
          <w:rFonts w:ascii="Open Sans" w:hAnsi="Open Sans" w:cs="Open Sans"/>
          <w:sz w:val="21"/>
          <w:szCs w:val="21"/>
        </w:rPr>
        <w:t xml:space="preserve">could </w:t>
      </w:r>
      <w:r w:rsidR="001034CD" w:rsidRPr="00FA2837">
        <w:rPr>
          <w:rFonts w:ascii="Open Sans" w:hAnsi="Open Sans" w:cs="Open Sans"/>
          <w:sz w:val="21"/>
          <w:szCs w:val="21"/>
        </w:rPr>
        <w:t>viably offer</w:t>
      </w:r>
      <w:r w:rsidR="001C5E0C" w:rsidRPr="00FA2837">
        <w:rPr>
          <w:rFonts w:ascii="Open Sans" w:hAnsi="Open Sans" w:cs="Open Sans"/>
          <w:sz w:val="21"/>
          <w:szCs w:val="21"/>
        </w:rPr>
        <w:t xml:space="preserve"> these services</w:t>
      </w:r>
      <w:r w:rsidR="00A70FCE">
        <w:rPr>
          <w:rFonts w:ascii="Open Sans" w:hAnsi="Open Sans" w:cs="Open Sans"/>
          <w:sz w:val="21"/>
          <w:szCs w:val="21"/>
        </w:rPr>
        <w:t>.</w:t>
      </w:r>
    </w:p>
    <w:p w14:paraId="7C4511F9" w14:textId="00CF799E" w:rsidR="0037226F" w:rsidRPr="00FA2837" w:rsidRDefault="0037226F">
      <w:pPr>
        <w:rPr>
          <w:rFonts w:ascii="Open Sans" w:hAnsi="Open Sans" w:cs="Open Sans"/>
          <w:sz w:val="21"/>
          <w:szCs w:val="21"/>
        </w:rPr>
      </w:pPr>
    </w:p>
    <w:p w14:paraId="4A388B06" w14:textId="77777777" w:rsidR="003D5766" w:rsidRDefault="0037226F">
      <w:pPr>
        <w:rPr>
          <w:rFonts w:ascii="Open Sans" w:hAnsi="Open Sans" w:cs="Open Sans"/>
          <w:sz w:val="21"/>
          <w:szCs w:val="21"/>
        </w:rPr>
      </w:pPr>
      <w:r w:rsidRPr="00FA2837">
        <w:rPr>
          <w:rFonts w:ascii="Open Sans" w:hAnsi="Open Sans" w:cs="Open Sans"/>
          <w:sz w:val="21"/>
          <w:szCs w:val="21"/>
        </w:rPr>
        <w:t xml:space="preserve">We now see the market evolving at a </w:t>
      </w:r>
      <w:r w:rsidR="004C72EF" w:rsidRPr="00FA2837">
        <w:rPr>
          <w:rFonts w:ascii="Open Sans" w:hAnsi="Open Sans" w:cs="Open Sans"/>
          <w:sz w:val="21"/>
          <w:szCs w:val="21"/>
        </w:rPr>
        <w:t>fast</w:t>
      </w:r>
      <w:r w:rsidRPr="00FA2837">
        <w:rPr>
          <w:rFonts w:ascii="Open Sans" w:hAnsi="Open Sans" w:cs="Open Sans"/>
          <w:sz w:val="21"/>
          <w:szCs w:val="21"/>
        </w:rPr>
        <w:t xml:space="preserve"> pace with several complementary developments</w:t>
      </w:r>
      <w:r w:rsidR="001034CD" w:rsidRPr="00FA2837">
        <w:rPr>
          <w:rFonts w:ascii="Open Sans" w:hAnsi="Open Sans" w:cs="Open Sans"/>
          <w:sz w:val="21"/>
          <w:szCs w:val="21"/>
        </w:rPr>
        <w:t xml:space="preserve"> in progress</w:t>
      </w:r>
      <w:r w:rsidRPr="00FA2837">
        <w:rPr>
          <w:rFonts w:ascii="Open Sans" w:hAnsi="Open Sans" w:cs="Open Sans"/>
          <w:sz w:val="21"/>
          <w:szCs w:val="21"/>
        </w:rPr>
        <w:t>. Accounting firms are hiring additional team members, developing their knowledge and expertise in the area of CDR, and refining their audit</w:t>
      </w:r>
      <w:r w:rsidR="00B17CE9" w:rsidRPr="00FA2837">
        <w:rPr>
          <w:rFonts w:ascii="Open Sans" w:hAnsi="Open Sans" w:cs="Open Sans"/>
          <w:sz w:val="21"/>
          <w:szCs w:val="21"/>
        </w:rPr>
        <w:t xml:space="preserve"> approach</w:t>
      </w:r>
      <w:r w:rsidR="001034CD" w:rsidRPr="00FA2837">
        <w:rPr>
          <w:rFonts w:ascii="Open Sans" w:hAnsi="Open Sans" w:cs="Open Sans"/>
          <w:sz w:val="21"/>
          <w:szCs w:val="21"/>
        </w:rPr>
        <w:t>es</w:t>
      </w:r>
      <w:r w:rsidRPr="00FA2837">
        <w:rPr>
          <w:rFonts w:ascii="Open Sans" w:hAnsi="Open Sans" w:cs="Open Sans"/>
          <w:sz w:val="21"/>
          <w:szCs w:val="21"/>
        </w:rPr>
        <w:t xml:space="preserve"> to be more scalable and effective. With each new ADR engaging </w:t>
      </w:r>
      <w:r w:rsidR="001034CD" w:rsidRPr="00FA2837">
        <w:rPr>
          <w:rFonts w:ascii="Open Sans" w:hAnsi="Open Sans" w:cs="Open Sans"/>
          <w:sz w:val="21"/>
          <w:szCs w:val="21"/>
        </w:rPr>
        <w:t xml:space="preserve">in </w:t>
      </w:r>
      <w:r w:rsidRPr="00FA2837">
        <w:rPr>
          <w:rFonts w:ascii="Open Sans" w:hAnsi="Open Sans" w:cs="Open Sans"/>
          <w:sz w:val="21"/>
          <w:szCs w:val="21"/>
        </w:rPr>
        <w:t>an ASAE 3150 audit, and the increased interest of new ADR candidates, the economies of scale are improving</w:t>
      </w:r>
      <w:r w:rsidR="00217D80" w:rsidRPr="00FA2837">
        <w:rPr>
          <w:rFonts w:ascii="Open Sans" w:hAnsi="Open Sans" w:cs="Open Sans"/>
          <w:sz w:val="21"/>
          <w:szCs w:val="21"/>
        </w:rPr>
        <w:t>. A</w:t>
      </w:r>
      <w:r w:rsidRPr="00FA2837">
        <w:rPr>
          <w:rFonts w:ascii="Open Sans" w:hAnsi="Open Sans" w:cs="Open Sans"/>
          <w:sz w:val="21"/>
          <w:szCs w:val="21"/>
        </w:rPr>
        <w:t xml:space="preserve">udit firms are increasingly prepared to invest in CDR and prioritise this area of their business. </w:t>
      </w:r>
      <w:r w:rsidR="00A70FCE">
        <w:rPr>
          <w:rFonts w:ascii="Open Sans" w:hAnsi="Open Sans" w:cs="Open Sans"/>
          <w:sz w:val="21"/>
          <w:szCs w:val="21"/>
        </w:rPr>
        <w:t xml:space="preserve"> </w:t>
      </w:r>
      <w:r w:rsidRPr="00FA2837">
        <w:rPr>
          <w:rFonts w:ascii="Open Sans" w:hAnsi="Open Sans" w:cs="Open Sans"/>
          <w:sz w:val="21"/>
          <w:szCs w:val="21"/>
        </w:rPr>
        <w:t xml:space="preserve">Speaking </w:t>
      </w:r>
      <w:r w:rsidR="00B17CE9" w:rsidRPr="00FA2837">
        <w:rPr>
          <w:rFonts w:ascii="Open Sans" w:hAnsi="Open Sans" w:cs="Open Sans"/>
          <w:sz w:val="21"/>
          <w:szCs w:val="21"/>
        </w:rPr>
        <w:t>of</w:t>
      </w:r>
      <w:r w:rsidRPr="00FA2837">
        <w:rPr>
          <w:rFonts w:ascii="Open Sans" w:hAnsi="Open Sans" w:cs="Open Sans"/>
          <w:sz w:val="21"/>
          <w:szCs w:val="21"/>
        </w:rPr>
        <w:t xml:space="preserve"> AssuranceLab specifically, we have developed </w:t>
      </w:r>
      <w:r w:rsidR="00065367" w:rsidRPr="00FA2837">
        <w:rPr>
          <w:rFonts w:ascii="Open Sans" w:hAnsi="Open Sans" w:cs="Open Sans"/>
          <w:sz w:val="21"/>
          <w:szCs w:val="21"/>
        </w:rPr>
        <w:t xml:space="preserve">internal and external </w:t>
      </w:r>
      <w:r w:rsidRPr="00FA2837">
        <w:rPr>
          <w:rFonts w:ascii="Open Sans" w:hAnsi="Open Sans" w:cs="Open Sans"/>
          <w:sz w:val="21"/>
          <w:szCs w:val="21"/>
        </w:rPr>
        <w:t>practice guides, mapping tables between common cloud infrastructure and software to the CDR requirements,</w:t>
      </w:r>
      <w:r w:rsidR="00E25315" w:rsidRPr="00FA2837">
        <w:rPr>
          <w:rFonts w:ascii="Open Sans" w:hAnsi="Open Sans" w:cs="Open Sans"/>
          <w:sz w:val="21"/>
          <w:szCs w:val="21"/>
        </w:rPr>
        <w:t xml:space="preserve"> formed partnerships with complementary service providers,</w:t>
      </w:r>
      <w:r w:rsidRPr="00FA2837">
        <w:rPr>
          <w:rFonts w:ascii="Open Sans" w:hAnsi="Open Sans" w:cs="Open Sans"/>
          <w:sz w:val="21"/>
          <w:szCs w:val="21"/>
        </w:rPr>
        <w:t xml:space="preserve"> built </w:t>
      </w:r>
      <w:r w:rsidR="00E25315" w:rsidRPr="00FA2837">
        <w:rPr>
          <w:rFonts w:ascii="Open Sans" w:hAnsi="Open Sans" w:cs="Open Sans"/>
          <w:sz w:val="21"/>
          <w:szCs w:val="21"/>
        </w:rPr>
        <w:t xml:space="preserve">a </w:t>
      </w:r>
      <w:r w:rsidRPr="00FA2837">
        <w:rPr>
          <w:rFonts w:ascii="Open Sans" w:hAnsi="Open Sans" w:cs="Open Sans"/>
          <w:sz w:val="21"/>
          <w:szCs w:val="21"/>
        </w:rPr>
        <w:t>new audit tool for a seamless</w:t>
      </w:r>
      <w:r w:rsidR="00217D80" w:rsidRPr="00FA2837">
        <w:rPr>
          <w:rFonts w:ascii="Open Sans" w:hAnsi="Open Sans" w:cs="Open Sans"/>
          <w:sz w:val="21"/>
          <w:szCs w:val="21"/>
        </w:rPr>
        <w:t xml:space="preserve"> agile</w:t>
      </w:r>
      <w:r w:rsidRPr="00FA2837">
        <w:rPr>
          <w:rFonts w:ascii="Open Sans" w:hAnsi="Open Sans" w:cs="Open Sans"/>
          <w:sz w:val="21"/>
          <w:szCs w:val="21"/>
        </w:rPr>
        <w:t xml:space="preserve"> audit </w:t>
      </w:r>
      <w:r w:rsidR="00217D80" w:rsidRPr="00FA2837">
        <w:rPr>
          <w:rFonts w:ascii="Open Sans" w:hAnsi="Open Sans" w:cs="Open Sans"/>
          <w:sz w:val="21"/>
          <w:szCs w:val="21"/>
        </w:rPr>
        <w:t>process</w:t>
      </w:r>
      <w:r w:rsidRPr="00FA2837">
        <w:rPr>
          <w:rFonts w:ascii="Open Sans" w:hAnsi="Open Sans" w:cs="Open Sans"/>
          <w:sz w:val="21"/>
          <w:szCs w:val="21"/>
        </w:rPr>
        <w:t>, and</w:t>
      </w:r>
      <w:r w:rsidR="00217D80" w:rsidRPr="00FA2837">
        <w:rPr>
          <w:rFonts w:ascii="Open Sans" w:hAnsi="Open Sans" w:cs="Open Sans"/>
          <w:sz w:val="21"/>
          <w:szCs w:val="21"/>
        </w:rPr>
        <w:t xml:space="preserve"> we</w:t>
      </w:r>
      <w:r w:rsidRPr="00FA2837">
        <w:rPr>
          <w:rFonts w:ascii="Open Sans" w:hAnsi="Open Sans" w:cs="Open Sans"/>
          <w:sz w:val="21"/>
          <w:szCs w:val="21"/>
        </w:rPr>
        <w:t xml:space="preserve"> </w:t>
      </w:r>
      <w:r w:rsidR="00D72452">
        <w:rPr>
          <w:rFonts w:ascii="Open Sans" w:hAnsi="Open Sans" w:cs="Open Sans"/>
          <w:sz w:val="21"/>
          <w:szCs w:val="21"/>
        </w:rPr>
        <w:t>have recently secured new team members and are continuing to hire others</w:t>
      </w:r>
      <w:r w:rsidRPr="00FA2837">
        <w:rPr>
          <w:rFonts w:ascii="Open Sans" w:hAnsi="Open Sans" w:cs="Open Sans"/>
          <w:sz w:val="21"/>
          <w:szCs w:val="21"/>
        </w:rPr>
        <w:t xml:space="preserve">. </w:t>
      </w:r>
      <w:r w:rsidR="00B17CE9" w:rsidRPr="00FA2837">
        <w:rPr>
          <w:rFonts w:ascii="Open Sans" w:hAnsi="Open Sans" w:cs="Open Sans"/>
          <w:sz w:val="21"/>
          <w:szCs w:val="21"/>
        </w:rPr>
        <w:t xml:space="preserve">These developments in AssuranceLab and the broader </w:t>
      </w:r>
      <w:r w:rsidR="00217D80" w:rsidRPr="00FA2837">
        <w:rPr>
          <w:rFonts w:ascii="Open Sans" w:hAnsi="Open Sans" w:cs="Open Sans"/>
          <w:sz w:val="21"/>
          <w:szCs w:val="21"/>
        </w:rPr>
        <w:t xml:space="preserve">audit firm </w:t>
      </w:r>
      <w:r w:rsidR="00B17CE9" w:rsidRPr="00FA2837">
        <w:rPr>
          <w:rFonts w:ascii="Open Sans" w:hAnsi="Open Sans" w:cs="Open Sans"/>
          <w:sz w:val="21"/>
          <w:szCs w:val="21"/>
        </w:rPr>
        <w:t>market are all leading to</w:t>
      </w:r>
      <w:r w:rsidR="001034CD" w:rsidRPr="00FA2837">
        <w:rPr>
          <w:rFonts w:ascii="Open Sans" w:hAnsi="Open Sans" w:cs="Open Sans"/>
          <w:sz w:val="21"/>
          <w:szCs w:val="21"/>
        </w:rPr>
        <w:t>wards</w:t>
      </w:r>
      <w:r w:rsidR="00B17CE9" w:rsidRPr="00FA2837">
        <w:rPr>
          <w:rFonts w:ascii="Open Sans" w:hAnsi="Open Sans" w:cs="Open Sans"/>
          <w:sz w:val="21"/>
          <w:szCs w:val="21"/>
        </w:rPr>
        <w:t xml:space="preserve"> </w:t>
      </w:r>
      <w:r w:rsidR="00217D80" w:rsidRPr="00FA2837">
        <w:rPr>
          <w:rFonts w:ascii="Open Sans" w:hAnsi="Open Sans" w:cs="Open Sans"/>
          <w:sz w:val="21"/>
          <w:szCs w:val="21"/>
        </w:rPr>
        <w:t xml:space="preserve">smoother </w:t>
      </w:r>
      <w:r w:rsidR="00B17CE9" w:rsidRPr="00FA2837">
        <w:rPr>
          <w:rFonts w:ascii="Open Sans" w:hAnsi="Open Sans" w:cs="Open Sans"/>
          <w:sz w:val="21"/>
          <w:szCs w:val="21"/>
        </w:rPr>
        <w:t>and lower cost accreditation</w:t>
      </w:r>
      <w:r w:rsidR="00065367" w:rsidRPr="00FA2837">
        <w:rPr>
          <w:rFonts w:ascii="Open Sans" w:hAnsi="Open Sans" w:cs="Open Sans"/>
          <w:sz w:val="21"/>
          <w:szCs w:val="21"/>
        </w:rPr>
        <w:t>s</w:t>
      </w:r>
      <w:r w:rsidR="00B17CE9" w:rsidRPr="00FA2837">
        <w:rPr>
          <w:rFonts w:ascii="Open Sans" w:hAnsi="Open Sans" w:cs="Open Sans"/>
          <w:sz w:val="21"/>
          <w:szCs w:val="21"/>
        </w:rPr>
        <w:t xml:space="preserve"> for aspiring ADRs.</w:t>
      </w:r>
    </w:p>
    <w:p w14:paraId="5F3DF855" w14:textId="1BA13F59" w:rsidR="008E6672" w:rsidRPr="004B1A3A" w:rsidRDefault="008E6672">
      <w:pPr>
        <w:rPr>
          <w:rFonts w:ascii="Open Sans" w:hAnsi="Open Sans" w:cs="Open Sans"/>
          <w:sz w:val="21"/>
          <w:szCs w:val="21"/>
        </w:rPr>
      </w:pPr>
      <w:r w:rsidRPr="00FA2837">
        <w:rPr>
          <w:rFonts w:ascii="Open Sans" w:hAnsi="Open Sans" w:cs="Open Sans"/>
          <w:b/>
          <w:bCs/>
          <w:color w:val="0078EE"/>
        </w:rPr>
        <w:br w:type="page"/>
      </w:r>
    </w:p>
    <w:p w14:paraId="3C6FE3CC" w14:textId="579D898D" w:rsidR="00631154" w:rsidRPr="00845DDC" w:rsidRDefault="00845DDC" w:rsidP="00845DDC">
      <w:pPr>
        <w:pStyle w:val="Heading1"/>
        <w:rPr>
          <w:b/>
          <w:bCs/>
          <w:sz w:val="24"/>
          <w:szCs w:val="24"/>
        </w:rPr>
      </w:pPr>
      <w:bookmarkStart w:id="5" w:name="_Appendix_2_-"/>
      <w:bookmarkStart w:id="6" w:name="_Toc77246461"/>
      <w:bookmarkEnd w:id="5"/>
      <w:r>
        <w:rPr>
          <w:b/>
          <w:bCs/>
          <w:sz w:val="24"/>
          <w:szCs w:val="24"/>
        </w:rPr>
        <w:t xml:space="preserve">Appendix 2 - </w:t>
      </w:r>
      <w:r w:rsidR="008E6672" w:rsidRPr="00845DDC">
        <w:rPr>
          <w:b/>
          <w:bCs/>
          <w:sz w:val="24"/>
          <w:szCs w:val="24"/>
        </w:rPr>
        <w:t>Concerns with the Amendments</w:t>
      </w:r>
      <w:bookmarkEnd w:id="6"/>
    </w:p>
    <w:p w14:paraId="5111E251" w14:textId="49B8679B" w:rsidR="00631154" w:rsidRPr="00FA2837" w:rsidRDefault="00631154">
      <w:pPr>
        <w:rPr>
          <w:rFonts w:ascii="Open Sans" w:hAnsi="Open Sans" w:cs="Open Sans"/>
          <w:sz w:val="21"/>
          <w:szCs w:val="21"/>
        </w:rPr>
      </w:pPr>
    </w:p>
    <w:p w14:paraId="58CFD04E" w14:textId="795567BD" w:rsidR="0037226F" w:rsidRPr="00FA2837" w:rsidRDefault="00DF1B14">
      <w:pPr>
        <w:rPr>
          <w:rFonts w:ascii="Open Sans" w:hAnsi="Open Sans" w:cs="Open Sans"/>
          <w:sz w:val="21"/>
          <w:szCs w:val="21"/>
        </w:rPr>
      </w:pPr>
      <w:r w:rsidRPr="00FA2837">
        <w:rPr>
          <w:rFonts w:ascii="Open Sans" w:hAnsi="Open Sans" w:cs="Open Sans"/>
          <w:sz w:val="21"/>
          <w:szCs w:val="21"/>
        </w:rPr>
        <w:t>Most of t</w:t>
      </w:r>
      <w:r w:rsidR="001C1AD3" w:rsidRPr="00FA2837">
        <w:rPr>
          <w:rFonts w:ascii="Open Sans" w:hAnsi="Open Sans" w:cs="Open Sans"/>
          <w:sz w:val="21"/>
          <w:szCs w:val="21"/>
        </w:rPr>
        <w:t>he proposed updates in the third amendment have been received positively by AssuranceLab and our associates.</w:t>
      </w:r>
      <w:r w:rsidR="00B17CE9" w:rsidRPr="00FA2837">
        <w:rPr>
          <w:rFonts w:ascii="Open Sans" w:hAnsi="Open Sans" w:cs="Open Sans"/>
          <w:sz w:val="21"/>
          <w:szCs w:val="21"/>
        </w:rPr>
        <w:t xml:space="preserve"> The main concern </w:t>
      </w:r>
      <w:r w:rsidR="001C1AD3" w:rsidRPr="00FA2837">
        <w:rPr>
          <w:rFonts w:ascii="Open Sans" w:hAnsi="Open Sans" w:cs="Open Sans"/>
          <w:sz w:val="21"/>
          <w:szCs w:val="21"/>
        </w:rPr>
        <w:t>we</w:t>
      </w:r>
      <w:r w:rsidR="00B17CE9" w:rsidRPr="00FA2837">
        <w:rPr>
          <w:rFonts w:ascii="Open Sans" w:hAnsi="Open Sans" w:cs="Open Sans"/>
          <w:sz w:val="21"/>
          <w:szCs w:val="21"/>
        </w:rPr>
        <w:t xml:space="preserve"> </w:t>
      </w:r>
      <w:r w:rsidR="001C1AD3" w:rsidRPr="00FA2837">
        <w:rPr>
          <w:rFonts w:ascii="Open Sans" w:hAnsi="Open Sans" w:cs="Open Sans"/>
          <w:sz w:val="21"/>
          <w:szCs w:val="21"/>
        </w:rPr>
        <w:t>want</w:t>
      </w:r>
      <w:r w:rsidR="00B17CE9" w:rsidRPr="00FA2837">
        <w:rPr>
          <w:rFonts w:ascii="Open Sans" w:hAnsi="Open Sans" w:cs="Open Sans"/>
          <w:sz w:val="21"/>
          <w:szCs w:val="21"/>
        </w:rPr>
        <w:t xml:space="preserve"> to highlight is the potential to undermine the quality and integrity of information security and privacy </w:t>
      </w:r>
      <w:r w:rsidR="004C72EF" w:rsidRPr="00FA2837">
        <w:rPr>
          <w:rFonts w:ascii="Open Sans" w:hAnsi="Open Sans" w:cs="Open Sans"/>
          <w:sz w:val="21"/>
          <w:szCs w:val="21"/>
        </w:rPr>
        <w:t>in</w:t>
      </w:r>
      <w:r w:rsidR="00570B7A" w:rsidRPr="00FA2837">
        <w:rPr>
          <w:rFonts w:ascii="Open Sans" w:hAnsi="Open Sans" w:cs="Open Sans"/>
          <w:sz w:val="21"/>
          <w:szCs w:val="21"/>
        </w:rPr>
        <w:t xml:space="preserve"> the CDR Representative and Sponsor-Affiliate access models.</w:t>
      </w:r>
    </w:p>
    <w:p w14:paraId="7277D7A8" w14:textId="7A994708" w:rsidR="00B17CE9" w:rsidRPr="00FA2837" w:rsidRDefault="00B17CE9">
      <w:pPr>
        <w:rPr>
          <w:rFonts w:ascii="Open Sans" w:hAnsi="Open Sans" w:cs="Open Sans"/>
          <w:sz w:val="21"/>
          <w:szCs w:val="21"/>
        </w:rPr>
      </w:pPr>
    </w:p>
    <w:p w14:paraId="481D839B" w14:textId="7D982FF5" w:rsidR="00217D80" w:rsidRPr="00FA2837" w:rsidRDefault="00B17CE9">
      <w:pPr>
        <w:rPr>
          <w:rFonts w:ascii="Open Sans" w:hAnsi="Open Sans" w:cs="Open Sans"/>
          <w:sz w:val="21"/>
          <w:szCs w:val="21"/>
        </w:rPr>
      </w:pPr>
      <w:r w:rsidRPr="00FA2837">
        <w:rPr>
          <w:rFonts w:ascii="Open Sans" w:hAnsi="Open Sans" w:cs="Open Sans"/>
          <w:sz w:val="21"/>
          <w:szCs w:val="21"/>
        </w:rPr>
        <w:t xml:space="preserve">Our experience in the market </w:t>
      </w:r>
      <w:r w:rsidR="000500BD">
        <w:rPr>
          <w:rFonts w:ascii="Open Sans" w:hAnsi="Open Sans" w:cs="Open Sans"/>
          <w:sz w:val="21"/>
          <w:szCs w:val="21"/>
        </w:rPr>
        <w:t>gives us an insight into</w:t>
      </w:r>
      <w:r w:rsidRPr="00FA2837">
        <w:rPr>
          <w:rFonts w:ascii="Open Sans" w:hAnsi="Open Sans" w:cs="Open Sans"/>
          <w:sz w:val="21"/>
          <w:szCs w:val="21"/>
        </w:rPr>
        <w:t xml:space="preserve"> the global drivers behind </w:t>
      </w:r>
      <w:r w:rsidR="00373C68" w:rsidRPr="00FA2837">
        <w:rPr>
          <w:rFonts w:ascii="Open Sans" w:hAnsi="Open Sans" w:cs="Open Sans"/>
          <w:sz w:val="21"/>
          <w:szCs w:val="21"/>
        </w:rPr>
        <w:t xml:space="preserve">assurance </w:t>
      </w:r>
      <w:r w:rsidRPr="00FA2837">
        <w:rPr>
          <w:rFonts w:ascii="Open Sans" w:hAnsi="Open Sans" w:cs="Open Sans"/>
          <w:sz w:val="21"/>
          <w:szCs w:val="21"/>
        </w:rPr>
        <w:t>reports,</w:t>
      </w:r>
      <w:r w:rsidR="002A5F24">
        <w:rPr>
          <w:rFonts w:ascii="Open Sans" w:hAnsi="Open Sans" w:cs="Open Sans"/>
          <w:sz w:val="21"/>
          <w:szCs w:val="21"/>
        </w:rPr>
        <w:t xml:space="preserve"> which</w:t>
      </w:r>
      <w:r w:rsidRPr="00FA2837">
        <w:rPr>
          <w:rFonts w:ascii="Open Sans" w:hAnsi="Open Sans" w:cs="Open Sans"/>
          <w:sz w:val="21"/>
          <w:szCs w:val="21"/>
        </w:rPr>
        <w:t xml:space="preserve"> is</w:t>
      </w:r>
      <w:r w:rsidR="002A5F24">
        <w:rPr>
          <w:rFonts w:ascii="Open Sans" w:hAnsi="Open Sans" w:cs="Open Sans"/>
          <w:sz w:val="21"/>
          <w:szCs w:val="21"/>
        </w:rPr>
        <w:t>,</w:t>
      </w:r>
      <w:r w:rsidRPr="00FA2837">
        <w:rPr>
          <w:rFonts w:ascii="Open Sans" w:hAnsi="Open Sans" w:cs="Open Sans"/>
          <w:sz w:val="21"/>
          <w:szCs w:val="21"/>
        </w:rPr>
        <w:t xml:space="preserve"> that questionnaires</w:t>
      </w:r>
      <w:r w:rsidR="00CD3F76" w:rsidRPr="00FA2837">
        <w:rPr>
          <w:rFonts w:ascii="Open Sans" w:hAnsi="Open Sans" w:cs="Open Sans"/>
          <w:sz w:val="21"/>
          <w:szCs w:val="21"/>
        </w:rPr>
        <w:t xml:space="preserve">, self-assessments, attestations and </w:t>
      </w:r>
      <w:r w:rsidR="00065367" w:rsidRPr="00FA2837">
        <w:rPr>
          <w:rFonts w:ascii="Open Sans" w:hAnsi="Open Sans" w:cs="Open Sans"/>
          <w:sz w:val="21"/>
          <w:szCs w:val="21"/>
        </w:rPr>
        <w:t xml:space="preserve">independent </w:t>
      </w:r>
      <w:r w:rsidR="00CD3F76" w:rsidRPr="00FA2837">
        <w:rPr>
          <w:rFonts w:ascii="Open Sans" w:hAnsi="Open Sans" w:cs="Open Sans"/>
          <w:sz w:val="21"/>
          <w:szCs w:val="21"/>
        </w:rPr>
        <w:t xml:space="preserve">reviews by organisations without specialism and expertise, </w:t>
      </w:r>
      <w:r w:rsidRPr="00FA2837">
        <w:rPr>
          <w:rFonts w:ascii="Open Sans" w:hAnsi="Open Sans" w:cs="Open Sans"/>
          <w:sz w:val="21"/>
          <w:szCs w:val="21"/>
        </w:rPr>
        <w:t xml:space="preserve">are inadequate </w:t>
      </w:r>
      <w:r w:rsidR="00CD3F76" w:rsidRPr="00FA2837">
        <w:rPr>
          <w:rFonts w:ascii="Open Sans" w:hAnsi="Open Sans" w:cs="Open Sans"/>
          <w:sz w:val="21"/>
          <w:szCs w:val="21"/>
        </w:rPr>
        <w:t>for</w:t>
      </w:r>
      <w:r w:rsidRPr="00FA2837">
        <w:rPr>
          <w:rFonts w:ascii="Open Sans" w:hAnsi="Open Sans" w:cs="Open Sans"/>
          <w:sz w:val="21"/>
          <w:szCs w:val="21"/>
        </w:rPr>
        <w:t xml:space="preserve"> </w:t>
      </w:r>
      <w:r w:rsidR="00217D80" w:rsidRPr="00FA2837">
        <w:rPr>
          <w:rFonts w:ascii="Open Sans" w:hAnsi="Open Sans" w:cs="Open Sans"/>
          <w:sz w:val="21"/>
          <w:szCs w:val="21"/>
        </w:rPr>
        <w:t>validat</w:t>
      </w:r>
      <w:r w:rsidR="00CF6E8C" w:rsidRPr="00FA2837">
        <w:rPr>
          <w:rFonts w:ascii="Open Sans" w:hAnsi="Open Sans" w:cs="Open Sans"/>
          <w:sz w:val="21"/>
          <w:szCs w:val="21"/>
        </w:rPr>
        <w:t>ing</w:t>
      </w:r>
      <w:r w:rsidR="00217D80" w:rsidRPr="00FA2837">
        <w:rPr>
          <w:rFonts w:ascii="Open Sans" w:hAnsi="Open Sans" w:cs="Open Sans"/>
          <w:sz w:val="21"/>
          <w:szCs w:val="21"/>
        </w:rPr>
        <w:t xml:space="preserve"> information</w:t>
      </w:r>
      <w:r w:rsidRPr="00FA2837">
        <w:rPr>
          <w:rFonts w:ascii="Open Sans" w:hAnsi="Open Sans" w:cs="Open Sans"/>
          <w:sz w:val="21"/>
          <w:szCs w:val="21"/>
        </w:rPr>
        <w:t xml:space="preserve"> security practices</w:t>
      </w:r>
      <w:r w:rsidR="00570B7A" w:rsidRPr="00FA2837">
        <w:rPr>
          <w:rFonts w:ascii="Open Sans" w:hAnsi="Open Sans" w:cs="Open Sans"/>
          <w:sz w:val="21"/>
          <w:szCs w:val="21"/>
        </w:rPr>
        <w:t xml:space="preserve"> of third parties</w:t>
      </w:r>
      <w:r w:rsidRPr="00FA2837">
        <w:rPr>
          <w:rFonts w:ascii="Open Sans" w:hAnsi="Open Sans" w:cs="Open Sans"/>
          <w:sz w:val="21"/>
          <w:szCs w:val="21"/>
        </w:rPr>
        <w:t>.</w:t>
      </w:r>
      <w:r w:rsidR="00217D80" w:rsidRPr="00FA2837">
        <w:rPr>
          <w:rFonts w:ascii="Open Sans" w:hAnsi="Open Sans" w:cs="Open Sans"/>
          <w:sz w:val="21"/>
          <w:szCs w:val="21"/>
        </w:rPr>
        <w:t xml:space="preserve"> It’s </w:t>
      </w:r>
      <w:r w:rsidR="00114DC3">
        <w:rPr>
          <w:rFonts w:ascii="Open Sans" w:hAnsi="Open Sans" w:cs="Open Sans"/>
          <w:sz w:val="21"/>
          <w:szCs w:val="21"/>
        </w:rPr>
        <w:t>recognised</w:t>
      </w:r>
      <w:r w:rsidR="00217D80" w:rsidRPr="00FA2837">
        <w:rPr>
          <w:rFonts w:ascii="Open Sans" w:hAnsi="Open Sans" w:cs="Open Sans"/>
          <w:sz w:val="21"/>
          <w:szCs w:val="21"/>
        </w:rPr>
        <w:t xml:space="preserve"> </w:t>
      </w:r>
      <w:r w:rsidR="00CD3F76" w:rsidRPr="00FA2837">
        <w:rPr>
          <w:rFonts w:ascii="Open Sans" w:hAnsi="Open Sans" w:cs="Open Sans"/>
          <w:sz w:val="21"/>
          <w:szCs w:val="21"/>
        </w:rPr>
        <w:t>by</w:t>
      </w:r>
      <w:r w:rsidR="00114DC3">
        <w:rPr>
          <w:rFonts w:ascii="Open Sans" w:hAnsi="Open Sans" w:cs="Open Sans"/>
          <w:sz w:val="21"/>
          <w:szCs w:val="21"/>
        </w:rPr>
        <w:t xml:space="preserve"> large</w:t>
      </w:r>
      <w:r w:rsidR="00CD3F76" w:rsidRPr="00FA2837">
        <w:rPr>
          <w:rFonts w:ascii="Open Sans" w:hAnsi="Open Sans" w:cs="Open Sans"/>
          <w:sz w:val="21"/>
          <w:szCs w:val="21"/>
        </w:rPr>
        <w:t xml:space="preserve"> </w:t>
      </w:r>
      <w:r w:rsidR="00217D80" w:rsidRPr="00FA2837">
        <w:rPr>
          <w:rFonts w:ascii="Open Sans" w:hAnsi="Open Sans" w:cs="Open Sans"/>
          <w:sz w:val="21"/>
          <w:szCs w:val="21"/>
        </w:rPr>
        <w:t>global enterprise</w:t>
      </w:r>
      <w:r w:rsidR="00CD3F76" w:rsidRPr="00FA2837">
        <w:rPr>
          <w:rFonts w:ascii="Open Sans" w:hAnsi="Open Sans" w:cs="Open Sans"/>
          <w:sz w:val="21"/>
          <w:szCs w:val="21"/>
        </w:rPr>
        <w:t>s</w:t>
      </w:r>
      <w:r w:rsidR="00217D80" w:rsidRPr="00FA2837">
        <w:rPr>
          <w:rFonts w:ascii="Open Sans" w:hAnsi="Open Sans" w:cs="Open Sans"/>
          <w:sz w:val="21"/>
          <w:szCs w:val="21"/>
        </w:rPr>
        <w:t xml:space="preserve"> that these</w:t>
      </w:r>
      <w:r w:rsidR="00CD3F76" w:rsidRPr="00FA2837">
        <w:rPr>
          <w:rFonts w:ascii="Open Sans" w:hAnsi="Open Sans" w:cs="Open Sans"/>
          <w:sz w:val="21"/>
          <w:szCs w:val="21"/>
        </w:rPr>
        <w:t xml:space="preserve"> practices to manage </w:t>
      </w:r>
      <w:r w:rsidR="00217D80" w:rsidRPr="00FA2837">
        <w:rPr>
          <w:rFonts w:ascii="Open Sans" w:hAnsi="Open Sans" w:cs="Open Sans"/>
          <w:sz w:val="21"/>
          <w:szCs w:val="21"/>
        </w:rPr>
        <w:t xml:space="preserve">outsourced service providers without an independent </w:t>
      </w:r>
      <w:r w:rsidR="00382A47" w:rsidRPr="00FA2837">
        <w:rPr>
          <w:rFonts w:ascii="Open Sans" w:hAnsi="Open Sans" w:cs="Open Sans"/>
          <w:sz w:val="21"/>
          <w:szCs w:val="21"/>
        </w:rPr>
        <w:t>validation</w:t>
      </w:r>
      <w:r w:rsidR="00CD3F76" w:rsidRPr="00FA2837">
        <w:rPr>
          <w:rFonts w:ascii="Open Sans" w:hAnsi="Open Sans" w:cs="Open Sans"/>
          <w:sz w:val="21"/>
          <w:szCs w:val="21"/>
        </w:rPr>
        <w:t xml:space="preserve"> by suitably qualified auditors</w:t>
      </w:r>
      <w:r w:rsidR="00382A47" w:rsidRPr="00FA2837">
        <w:rPr>
          <w:rFonts w:ascii="Open Sans" w:hAnsi="Open Sans" w:cs="Open Sans"/>
          <w:sz w:val="21"/>
          <w:szCs w:val="21"/>
        </w:rPr>
        <w:t>,</w:t>
      </w:r>
      <w:r w:rsidR="00217D80" w:rsidRPr="00FA2837">
        <w:rPr>
          <w:rFonts w:ascii="Open Sans" w:hAnsi="Open Sans" w:cs="Open Sans"/>
          <w:sz w:val="21"/>
          <w:szCs w:val="21"/>
        </w:rPr>
        <w:t xml:space="preserve"> are not reliable. </w:t>
      </w:r>
      <w:r w:rsidR="00382A47" w:rsidRPr="00FA2837">
        <w:rPr>
          <w:rFonts w:ascii="Open Sans" w:hAnsi="Open Sans" w:cs="Open Sans"/>
          <w:sz w:val="21"/>
          <w:szCs w:val="21"/>
        </w:rPr>
        <w:t>This is</w:t>
      </w:r>
      <w:r w:rsidR="00217D80" w:rsidRPr="00FA2837">
        <w:rPr>
          <w:rFonts w:ascii="Open Sans" w:hAnsi="Open Sans" w:cs="Open Sans"/>
          <w:sz w:val="21"/>
          <w:szCs w:val="21"/>
        </w:rPr>
        <w:t xml:space="preserve"> the major driver behind standards like SOC 2 and ISO 27</w:t>
      </w:r>
      <w:r w:rsidR="00CF6E8C" w:rsidRPr="00FA2837">
        <w:rPr>
          <w:rFonts w:ascii="Open Sans" w:hAnsi="Open Sans" w:cs="Open Sans"/>
          <w:sz w:val="21"/>
          <w:szCs w:val="21"/>
        </w:rPr>
        <w:t>0</w:t>
      </w:r>
      <w:r w:rsidR="00217D80" w:rsidRPr="00FA2837">
        <w:rPr>
          <w:rFonts w:ascii="Open Sans" w:hAnsi="Open Sans" w:cs="Open Sans"/>
          <w:sz w:val="21"/>
          <w:szCs w:val="21"/>
        </w:rPr>
        <w:t xml:space="preserve">001. </w:t>
      </w:r>
    </w:p>
    <w:p w14:paraId="1E4DE398" w14:textId="64181720" w:rsidR="001C1AD3" w:rsidRPr="00FA2837" w:rsidRDefault="001C1AD3">
      <w:pPr>
        <w:rPr>
          <w:rFonts w:ascii="Open Sans" w:hAnsi="Open Sans" w:cs="Open Sans"/>
          <w:sz w:val="21"/>
          <w:szCs w:val="21"/>
        </w:rPr>
      </w:pPr>
    </w:p>
    <w:p w14:paraId="0B3C1719" w14:textId="45D194E5" w:rsidR="001C1AD3" w:rsidRPr="00FA2837" w:rsidRDefault="001C1AD3">
      <w:pPr>
        <w:rPr>
          <w:rFonts w:ascii="Open Sans" w:hAnsi="Open Sans" w:cs="Open Sans"/>
          <w:sz w:val="21"/>
          <w:szCs w:val="21"/>
        </w:rPr>
      </w:pPr>
      <w:r w:rsidRPr="00FA2837">
        <w:rPr>
          <w:rFonts w:ascii="Open Sans" w:hAnsi="Open Sans" w:cs="Open Sans"/>
          <w:sz w:val="21"/>
          <w:szCs w:val="21"/>
        </w:rPr>
        <w:t>We expect the following adverse outcomes from the proposed model</w:t>
      </w:r>
      <w:r w:rsidR="00570B7A" w:rsidRPr="00FA2837">
        <w:rPr>
          <w:rFonts w:ascii="Open Sans" w:hAnsi="Open Sans" w:cs="Open Sans"/>
          <w:sz w:val="21"/>
          <w:szCs w:val="21"/>
        </w:rPr>
        <w:t>s</w:t>
      </w:r>
      <w:r w:rsidRPr="00FA2837">
        <w:rPr>
          <w:rFonts w:ascii="Open Sans" w:hAnsi="Open Sans" w:cs="Open Sans"/>
          <w:sz w:val="21"/>
          <w:szCs w:val="21"/>
        </w:rPr>
        <w:t xml:space="preserve"> </w:t>
      </w:r>
      <w:r w:rsidR="00065367" w:rsidRPr="00FA2837">
        <w:rPr>
          <w:rFonts w:ascii="Open Sans" w:hAnsi="Open Sans" w:cs="Open Sans"/>
          <w:sz w:val="21"/>
          <w:szCs w:val="21"/>
        </w:rPr>
        <w:t>that have</w:t>
      </w:r>
      <w:r w:rsidRPr="00FA2837">
        <w:rPr>
          <w:rFonts w:ascii="Open Sans" w:hAnsi="Open Sans" w:cs="Open Sans"/>
          <w:sz w:val="21"/>
          <w:szCs w:val="21"/>
        </w:rPr>
        <w:t xml:space="preserve"> </w:t>
      </w:r>
      <w:r w:rsidR="00570B7A" w:rsidRPr="00FA2837">
        <w:rPr>
          <w:rFonts w:ascii="Open Sans" w:hAnsi="Open Sans" w:cs="Open Sans"/>
          <w:sz w:val="21"/>
          <w:szCs w:val="21"/>
        </w:rPr>
        <w:t xml:space="preserve">ADRs and </w:t>
      </w:r>
      <w:r w:rsidRPr="00FA2837">
        <w:rPr>
          <w:rFonts w:ascii="Open Sans" w:hAnsi="Open Sans" w:cs="Open Sans"/>
          <w:sz w:val="21"/>
          <w:szCs w:val="21"/>
        </w:rPr>
        <w:t>self-attestations replacing the need for assurance report</w:t>
      </w:r>
      <w:r w:rsidR="00570B7A" w:rsidRPr="00FA2837">
        <w:rPr>
          <w:rFonts w:ascii="Open Sans" w:hAnsi="Open Sans" w:cs="Open Sans"/>
          <w:sz w:val="21"/>
          <w:szCs w:val="21"/>
        </w:rPr>
        <w:t>s</w:t>
      </w:r>
      <w:r w:rsidRPr="00FA2837">
        <w:rPr>
          <w:rFonts w:ascii="Open Sans" w:hAnsi="Open Sans" w:cs="Open Sans"/>
          <w:sz w:val="21"/>
          <w:szCs w:val="21"/>
        </w:rPr>
        <w:t>.</w:t>
      </w:r>
    </w:p>
    <w:p w14:paraId="64D5E9D7" w14:textId="77777777" w:rsidR="001C1AD3" w:rsidRPr="00FA2837" w:rsidRDefault="001C1AD3">
      <w:pPr>
        <w:rPr>
          <w:rFonts w:ascii="Open Sans" w:hAnsi="Open Sans" w:cs="Open Sans"/>
          <w:sz w:val="21"/>
          <w:szCs w:val="21"/>
        </w:rPr>
      </w:pPr>
    </w:p>
    <w:p w14:paraId="3722B04A" w14:textId="20A5CDDA" w:rsidR="001C1AD3" w:rsidRPr="00C66708" w:rsidRDefault="00CE0375" w:rsidP="00C66708">
      <w:pPr>
        <w:spacing w:after="120"/>
        <w:rPr>
          <w:rFonts w:ascii="Open Sans" w:hAnsi="Open Sans" w:cs="Open Sans"/>
          <w:b/>
          <w:bCs/>
          <w:color w:val="16BA86"/>
          <w:sz w:val="21"/>
          <w:szCs w:val="21"/>
        </w:rPr>
      </w:pPr>
      <w:r>
        <w:rPr>
          <w:rFonts w:ascii="Open Sans" w:hAnsi="Open Sans" w:cs="Open Sans"/>
          <w:b/>
          <w:bCs/>
          <w:color w:val="16BA86"/>
          <w:sz w:val="21"/>
          <w:szCs w:val="21"/>
        </w:rPr>
        <w:t xml:space="preserve">i) </w:t>
      </w:r>
      <w:r w:rsidR="001C1AD3" w:rsidRPr="00FA2837">
        <w:rPr>
          <w:rFonts w:ascii="Open Sans" w:hAnsi="Open Sans" w:cs="Open Sans"/>
          <w:b/>
          <w:bCs/>
          <w:color w:val="16BA86"/>
          <w:sz w:val="21"/>
          <w:szCs w:val="21"/>
        </w:rPr>
        <w:t>Sponsors are incentivised to lower the standard</w:t>
      </w:r>
    </w:p>
    <w:p w14:paraId="4BB59459" w14:textId="0E1D0AC9" w:rsidR="001C1AD3" w:rsidRPr="00FA2837" w:rsidRDefault="001C1AD3">
      <w:pPr>
        <w:rPr>
          <w:rFonts w:ascii="Open Sans" w:hAnsi="Open Sans" w:cs="Open Sans"/>
          <w:sz w:val="21"/>
          <w:szCs w:val="21"/>
        </w:rPr>
      </w:pPr>
      <w:r w:rsidRPr="00FA2837">
        <w:rPr>
          <w:rFonts w:ascii="Open Sans" w:hAnsi="Open Sans" w:cs="Open Sans"/>
          <w:sz w:val="21"/>
          <w:szCs w:val="21"/>
        </w:rPr>
        <w:t>Potential sponsors</w:t>
      </w:r>
      <w:r w:rsidR="00CD3F76" w:rsidRPr="00FA2837">
        <w:rPr>
          <w:rFonts w:ascii="Open Sans" w:hAnsi="Open Sans" w:cs="Open Sans"/>
          <w:sz w:val="21"/>
          <w:szCs w:val="21"/>
        </w:rPr>
        <w:t xml:space="preserve"> and principals</w:t>
      </w:r>
      <w:r w:rsidRPr="00FA2837">
        <w:rPr>
          <w:rFonts w:ascii="Open Sans" w:hAnsi="Open Sans" w:cs="Open Sans"/>
          <w:sz w:val="21"/>
          <w:szCs w:val="21"/>
        </w:rPr>
        <w:t>, e</w:t>
      </w:r>
      <w:r w:rsidR="006A7E46">
        <w:rPr>
          <w:rFonts w:ascii="Open Sans" w:hAnsi="Open Sans" w:cs="Open Sans"/>
          <w:sz w:val="21"/>
          <w:szCs w:val="21"/>
        </w:rPr>
        <w:t>.</w:t>
      </w:r>
      <w:r w:rsidRPr="00FA2837">
        <w:rPr>
          <w:rFonts w:ascii="Open Sans" w:hAnsi="Open Sans" w:cs="Open Sans"/>
          <w:sz w:val="21"/>
          <w:szCs w:val="21"/>
        </w:rPr>
        <w:t>g. Intermediaries</w:t>
      </w:r>
      <w:r w:rsidR="00024E97" w:rsidRPr="00FA2837">
        <w:rPr>
          <w:rFonts w:ascii="Open Sans" w:hAnsi="Open Sans" w:cs="Open Sans"/>
          <w:sz w:val="21"/>
          <w:szCs w:val="21"/>
        </w:rPr>
        <w:t>,</w:t>
      </w:r>
      <w:r w:rsidR="00160CD3" w:rsidRPr="00FA2837">
        <w:rPr>
          <w:rFonts w:ascii="Open Sans" w:hAnsi="Open Sans" w:cs="Open Sans"/>
          <w:sz w:val="21"/>
          <w:szCs w:val="21"/>
        </w:rPr>
        <w:t xml:space="preserve"> compete</w:t>
      </w:r>
      <w:r w:rsidRPr="00FA2837">
        <w:rPr>
          <w:rFonts w:ascii="Open Sans" w:hAnsi="Open Sans" w:cs="Open Sans"/>
          <w:sz w:val="21"/>
          <w:szCs w:val="21"/>
        </w:rPr>
        <w:t xml:space="preserve"> on</w:t>
      </w:r>
      <w:r w:rsidR="00CD3F76" w:rsidRPr="00FA2837">
        <w:rPr>
          <w:rFonts w:ascii="Open Sans" w:hAnsi="Open Sans" w:cs="Open Sans"/>
          <w:sz w:val="21"/>
          <w:szCs w:val="21"/>
        </w:rPr>
        <w:t xml:space="preserve"> lowering the barriers to access</w:t>
      </w:r>
      <w:r w:rsidRPr="00FA2837">
        <w:rPr>
          <w:rFonts w:ascii="Open Sans" w:hAnsi="Open Sans" w:cs="Open Sans"/>
          <w:sz w:val="21"/>
          <w:szCs w:val="21"/>
        </w:rPr>
        <w:t xml:space="preserve">. This power </w:t>
      </w:r>
      <w:r w:rsidR="00F86BC6" w:rsidRPr="00FA2837">
        <w:rPr>
          <w:rFonts w:ascii="Open Sans" w:hAnsi="Open Sans" w:cs="Open Sans"/>
          <w:sz w:val="21"/>
          <w:szCs w:val="21"/>
        </w:rPr>
        <w:t>to sponsor</w:t>
      </w:r>
      <w:r w:rsidRPr="00FA2837">
        <w:rPr>
          <w:rFonts w:ascii="Open Sans" w:hAnsi="Open Sans" w:cs="Open Sans"/>
          <w:sz w:val="21"/>
          <w:szCs w:val="21"/>
        </w:rPr>
        <w:t xml:space="preserve"> </w:t>
      </w:r>
      <w:r w:rsidR="00F86BC6" w:rsidRPr="00FA2837">
        <w:rPr>
          <w:rFonts w:ascii="Open Sans" w:hAnsi="Open Sans" w:cs="Open Sans"/>
          <w:sz w:val="21"/>
          <w:szCs w:val="21"/>
        </w:rPr>
        <w:t>their potential customers</w:t>
      </w:r>
      <w:r w:rsidRPr="00FA2837">
        <w:rPr>
          <w:rFonts w:ascii="Open Sans" w:hAnsi="Open Sans" w:cs="Open Sans"/>
          <w:sz w:val="21"/>
          <w:szCs w:val="21"/>
        </w:rPr>
        <w:t>, offers a new way to compete by lowering the barriers to entry</w:t>
      </w:r>
      <w:r w:rsidR="00BD6E6F">
        <w:rPr>
          <w:rFonts w:ascii="Open Sans" w:hAnsi="Open Sans" w:cs="Open Sans"/>
          <w:sz w:val="21"/>
          <w:szCs w:val="21"/>
        </w:rPr>
        <w:t>,</w:t>
      </w:r>
      <w:r w:rsidRPr="00FA2837">
        <w:rPr>
          <w:rFonts w:ascii="Open Sans" w:hAnsi="Open Sans" w:cs="Open Sans"/>
          <w:sz w:val="21"/>
          <w:szCs w:val="21"/>
        </w:rPr>
        <w:t xml:space="preserve"> including the rigour of information security requirements</w:t>
      </w:r>
      <w:r w:rsidR="00160CD3" w:rsidRPr="00FA2837">
        <w:rPr>
          <w:rFonts w:ascii="Open Sans" w:hAnsi="Open Sans" w:cs="Open Sans"/>
          <w:sz w:val="21"/>
          <w:szCs w:val="21"/>
        </w:rPr>
        <w:t xml:space="preserve"> that takes significant time and resources from </w:t>
      </w:r>
      <w:r w:rsidR="00F24EA1" w:rsidRPr="00FA2837">
        <w:rPr>
          <w:rFonts w:ascii="Open Sans" w:hAnsi="Open Sans" w:cs="Open Sans"/>
          <w:sz w:val="21"/>
          <w:szCs w:val="21"/>
        </w:rPr>
        <w:t>those</w:t>
      </w:r>
      <w:r w:rsidR="00160CD3" w:rsidRPr="00FA2837">
        <w:rPr>
          <w:rFonts w:ascii="Open Sans" w:hAnsi="Open Sans" w:cs="Open Sans"/>
          <w:sz w:val="21"/>
          <w:szCs w:val="21"/>
        </w:rPr>
        <w:t xml:space="preserve"> ADRs</w:t>
      </w:r>
      <w:r w:rsidRPr="00FA2837">
        <w:rPr>
          <w:rFonts w:ascii="Open Sans" w:hAnsi="Open Sans" w:cs="Open Sans"/>
          <w:sz w:val="21"/>
          <w:szCs w:val="21"/>
        </w:rPr>
        <w:t>. In a competitive market</w:t>
      </w:r>
      <w:r w:rsidR="00024E97" w:rsidRPr="00FA2837">
        <w:rPr>
          <w:rFonts w:ascii="Open Sans" w:hAnsi="Open Sans" w:cs="Open Sans"/>
          <w:sz w:val="21"/>
          <w:szCs w:val="21"/>
        </w:rPr>
        <w:t>,</w:t>
      </w:r>
      <w:r w:rsidRPr="00FA2837">
        <w:rPr>
          <w:rFonts w:ascii="Open Sans" w:hAnsi="Open Sans" w:cs="Open Sans"/>
          <w:sz w:val="21"/>
          <w:szCs w:val="21"/>
        </w:rPr>
        <w:t xml:space="preserve"> </w:t>
      </w:r>
      <w:r w:rsidR="004C72EF" w:rsidRPr="00FA2837">
        <w:rPr>
          <w:rFonts w:ascii="Open Sans" w:hAnsi="Open Sans" w:cs="Open Sans"/>
          <w:sz w:val="21"/>
          <w:szCs w:val="21"/>
        </w:rPr>
        <w:t>this</w:t>
      </w:r>
      <w:r w:rsidR="00F86BC6" w:rsidRPr="00FA2837">
        <w:rPr>
          <w:rFonts w:ascii="Open Sans" w:hAnsi="Open Sans" w:cs="Open Sans"/>
          <w:sz w:val="21"/>
          <w:szCs w:val="21"/>
        </w:rPr>
        <w:t xml:space="preserve"> incentive</w:t>
      </w:r>
      <w:r w:rsidR="00F24EA1" w:rsidRPr="00FA2837">
        <w:rPr>
          <w:rFonts w:ascii="Open Sans" w:hAnsi="Open Sans" w:cs="Open Sans"/>
          <w:sz w:val="21"/>
          <w:szCs w:val="21"/>
        </w:rPr>
        <w:t xml:space="preserve"> and opportunity</w:t>
      </w:r>
      <w:r w:rsidR="00F86BC6" w:rsidRPr="00FA2837">
        <w:rPr>
          <w:rFonts w:ascii="Open Sans" w:hAnsi="Open Sans" w:cs="Open Sans"/>
          <w:sz w:val="21"/>
          <w:szCs w:val="21"/>
        </w:rPr>
        <w:t xml:space="preserve"> may create a race to the bottom on the standard of practice.</w:t>
      </w:r>
    </w:p>
    <w:p w14:paraId="0F087B0A" w14:textId="5364F0B8" w:rsidR="001C1AD3" w:rsidRPr="00FA2837" w:rsidRDefault="001C1AD3">
      <w:pPr>
        <w:rPr>
          <w:rFonts w:ascii="Open Sans" w:hAnsi="Open Sans" w:cs="Open Sans"/>
          <w:sz w:val="21"/>
          <w:szCs w:val="21"/>
        </w:rPr>
      </w:pPr>
    </w:p>
    <w:p w14:paraId="78009DAF" w14:textId="1449E4C5" w:rsidR="001C1AD3" w:rsidRPr="00C66708" w:rsidRDefault="00CE0375" w:rsidP="00C66708">
      <w:pPr>
        <w:spacing w:after="120"/>
        <w:rPr>
          <w:rFonts w:ascii="Open Sans" w:hAnsi="Open Sans" w:cs="Open Sans"/>
          <w:b/>
          <w:bCs/>
          <w:color w:val="16BA86"/>
          <w:sz w:val="21"/>
          <w:szCs w:val="21"/>
        </w:rPr>
      </w:pPr>
      <w:r>
        <w:rPr>
          <w:rFonts w:ascii="Open Sans" w:hAnsi="Open Sans" w:cs="Open Sans"/>
          <w:b/>
          <w:bCs/>
          <w:color w:val="16BA86"/>
          <w:sz w:val="21"/>
          <w:szCs w:val="21"/>
        </w:rPr>
        <w:t xml:space="preserve">ii) </w:t>
      </w:r>
      <w:r w:rsidR="001C1AD3" w:rsidRPr="00FA2837">
        <w:rPr>
          <w:rFonts w:ascii="Open Sans" w:hAnsi="Open Sans" w:cs="Open Sans"/>
          <w:b/>
          <w:bCs/>
          <w:color w:val="16BA86"/>
          <w:sz w:val="21"/>
          <w:szCs w:val="21"/>
        </w:rPr>
        <w:t xml:space="preserve">ADRs are not qualified to </w:t>
      </w:r>
      <w:r w:rsidR="00F86BC6" w:rsidRPr="00FA2837">
        <w:rPr>
          <w:rFonts w:ascii="Open Sans" w:hAnsi="Open Sans" w:cs="Open Sans"/>
          <w:b/>
          <w:bCs/>
          <w:color w:val="16BA86"/>
          <w:sz w:val="21"/>
          <w:szCs w:val="21"/>
        </w:rPr>
        <w:t>confirm</w:t>
      </w:r>
      <w:r w:rsidR="001C1AD3" w:rsidRPr="00FA2837">
        <w:rPr>
          <w:rFonts w:ascii="Open Sans" w:hAnsi="Open Sans" w:cs="Open Sans"/>
          <w:b/>
          <w:bCs/>
          <w:color w:val="16BA86"/>
          <w:sz w:val="21"/>
          <w:szCs w:val="21"/>
        </w:rPr>
        <w:t xml:space="preserve"> compliance</w:t>
      </w:r>
    </w:p>
    <w:p w14:paraId="18BACFD6" w14:textId="6DF92F7E" w:rsidR="001C1AD3" w:rsidRPr="00FA2837" w:rsidRDefault="001C1AD3">
      <w:pPr>
        <w:rPr>
          <w:rFonts w:ascii="Open Sans" w:hAnsi="Open Sans" w:cs="Open Sans"/>
          <w:sz w:val="21"/>
          <w:szCs w:val="21"/>
        </w:rPr>
      </w:pPr>
      <w:r w:rsidRPr="00FA2837">
        <w:rPr>
          <w:rFonts w:ascii="Open Sans" w:hAnsi="Open Sans" w:cs="Open Sans"/>
          <w:sz w:val="21"/>
          <w:szCs w:val="21"/>
        </w:rPr>
        <w:t>The slow start and high fees for accreditations are in part due to the time it has taken for accountancy firms to learn the rules</w:t>
      </w:r>
      <w:r w:rsidR="00500E74" w:rsidRPr="00FA2837">
        <w:rPr>
          <w:rFonts w:ascii="Open Sans" w:hAnsi="Open Sans" w:cs="Open Sans"/>
          <w:sz w:val="21"/>
          <w:szCs w:val="21"/>
        </w:rPr>
        <w:t xml:space="preserve"> and</w:t>
      </w:r>
      <w:r w:rsidRPr="00FA2837">
        <w:rPr>
          <w:rFonts w:ascii="Open Sans" w:hAnsi="Open Sans" w:cs="Open Sans"/>
          <w:sz w:val="21"/>
          <w:szCs w:val="21"/>
        </w:rPr>
        <w:t xml:space="preserve"> requirements</w:t>
      </w:r>
      <w:r w:rsidR="00680253" w:rsidRPr="00FA2837">
        <w:rPr>
          <w:rFonts w:ascii="Open Sans" w:hAnsi="Open Sans" w:cs="Open Sans"/>
          <w:sz w:val="21"/>
          <w:szCs w:val="21"/>
        </w:rPr>
        <w:t>,</w:t>
      </w:r>
      <w:r w:rsidRPr="00FA2837">
        <w:rPr>
          <w:rFonts w:ascii="Open Sans" w:hAnsi="Open Sans" w:cs="Open Sans"/>
          <w:sz w:val="21"/>
          <w:szCs w:val="21"/>
        </w:rPr>
        <w:t xml:space="preserve"> and develop their audit practices to meet the standards. The</w:t>
      </w:r>
      <w:r w:rsidR="00570B7A" w:rsidRPr="00FA2837">
        <w:rPr>
          <w:rFonts w:ascii="Open Sans" w:hAnsi="Open Sans" w:cs="Open Sans"/>
          <w:sz w:val="21"/>
          <w:szCs w:val="21"/>
        </w:rPr>
        <w:t xml:space="preserve"> new</w:t>
      </w:r>
      <w:r w:rsidRPr="00FA2837">
        <w:rPr>
          <w:rFonts w:ascii="Open Sans" w:hAnsi="Open Sans" w:cs="Open Sans"/>
          <w:sz w:val="21"/>
          <w:szCs w:val="21"/>
        </w:rPr>
        <w:t xml:space="preserve"> model</w:t>
      </w:r>
      <w:r w:rsidR="00570B7A" w:rsidRPr="00FA2837">
        <w:rPr>
          <w:rFonts w:ascii="Open Sans" w:hAnsi="Open Sans" w:cs="Open Sans"/>
          <w:sz w:val="21"/>
          <w:szCs w:val="21"/>
        </w:rPr>
        <w:t>s</w:t>
      </w:r>
      <w:r w:rsidRPr="00FA2837">
        <w:rPr>
          <w:rFonts w:ascii="Open Sans" w:hAnsi="Open Sans" w:cs="Open Sans"/>
          <w:sz w:val="21"/>
          <w:szCs w:val="21"/>
        </w:rPr>
        <w:t xml:space="preserve"> </w:t>
      </w:r>
      <w:r w:rsidR="00570B7A" w:rsidRPr="00FA2837">
        <w:rPr>
          <w:rFonts w:ascii="Open Sans" w:hAnsi="Open Sans" w:cs="Open Sans"/>
          <w:sz w:val="21"/>
          <w:szCs w:val="21"/>
        </w:rPr>
        <w:t>are</w:t>
      </w:r>
      <w:r w:rsidRPr="00FA2837">
        <w:rPr>
          <w:rFonts w:ascii="Open Sans" w:hAnsi="Open Sans" w:cs="Open Sans"/>
          <w:sz w:val="21"/>
          <w:szCs w:val="21"/>
        </w:rPr>
        <w:t xml:space="preserve"> effectively replacing </w:t>
      </w:r>
      <w:r w:rsidR="00F86BC6" w:rsidRPr="00FA2837">
        <w:rPr>
          <w:rFonts w:ascii="Open Sans" w:hAnsi="Open Sans" w:cs="Open Sans"/>
          <w:sz w:val="21"/>
          <w:szCs w:val="21"/>
        </w:rPr>
        <w:t xml:space="preserve">the role of </w:t>
      </w:r>
      <w:r w:rsidR="00160CD3" w:rsidRPr="00FA2837">
        <w:rPr>
          <w:rFonts w:ascii="Open Sans" w:hAnsi="Open Sans" w:cs="Open Sans"/>
          <w:sz w:val="21"/>
          <w:szCs w:val="21"/>
        </w:rPr>
        <w:t>these</w:t>
      </w:r>
      <w:r w:rsidRPr="00FA2837">
        <w:rPr>
          <w:rFonts w:ascii="Open Sans" w:hAnsi="Open Sans" w:cs="Open Sans"/>
          <w:sz w:val="21"/>
          <w:szCs w:val="21"/>
        </w:rPr>
        <w:t xml:space="preserve"> firms </w:t>
      </w:r>
      <w:r w:rsidR="00F86BC6" w:rsidRPr="00FA2837">
        <w:rPr>
          <w:rFonts w:ascii="Open Sans" w:hAnsi="Open Sans" w:cs="Open Sans"/>
          <w:sz w:val="21"/>
          <w:szCs w:val="21"/>
        </w:rPr>
        <w:t xml:space="preserve">with the expectation </w:t>
      </w:r>
      <w:r w:rsidR="00F24EA1" w:rsidRPr="00FA2837">
        <w:rPr>
          <w:rFonts w:ascii="Open Sans" w:hAnsi="Open Sans" w:cs="Open Sans"/>
          <w:sz w:val="21"/>
          <w:szCs w:val="21"/>
        </w:rPr>
        <w:t>that</w:t>
      </w:r>
      <w:r w:rsidR="00F86BC6" w:rsidRPr="00FA2837">
        <w:rPr>
          <w:rFonts w:ascii="Open Sans" w:hAnsi="Open Sans" w:cs="Open Sans"/>
          <w:sz w:val="21"/>
          <w:szCs w:val="21"/>
        </w:rPr>
        <w:t xml:space="preserve"> sponsors</w:t>
      </w:r>
      <w:r w:rsidR="00570B7A" w:rsidRPr="00FA2837">
        <w:rPr>
          <w:rFonts w:ascii="Open Sans" w:hAnsi="Open Sans" w:cs="Open Sans"/>
          <w:sz w:val="21"/>
          <w:szCs w:val="21"/>
        </w:rPr>
        <w:t>, princip</w:t>
      </w:r>
      <w:r w:rsidR="002D0A75" w:rsidRPr="00FA2837">
        <w:rPr>
          <w:rFonts w:ascii="Open Sans" w:hAnsi="Open Sans" w:cs="Open Sans"/>
          <w:sz w:val="21"/>
          <w:szCs w:val="21"/>
        </w:rPr>
        <w:t>al</w:t>
      </w:r>
      <w:r w:rsidR="00570B7A" w:rsidRPr="00FA2837">
        <w:rPr>
          <w:rFonts w:ascii="Open Sans" w:hAnsi="Open Sans" w:cs="Open Sans"/>
          <w:sz w:val="21"/>
          <w:szCs w:val="21"/>
        </w:rPr>
        <w:t>s</w:t>
      </w:r>
      <w:r w:rsidR="00F86BC6" w:rsidRPr="00FA2837">
        <w:rPr>
          <w:rFonts w:ascii="Open Sans" w:hAnsi="Open Sans" w:cs="Open Sans"/>
          <w:sz w:val="21"/>
          <w:szCs w:val="21"/>
        </w:rPr>
        <w:t xml:space="preserve"> and</w:t>
      </w:r>
      <w:r w:rsidR="003636C7" w:rsidRPr="00FA2837">
        <w:rPr>
          <w:rFonts w:ascii="Open Sans" w:hAnsi="Open Sans" w:cs="Open Sans"/>
          <w:sz w:val="21"/>
          <w:szCs w:val="21"/>
        </w:rPr>
        <w:t>/or</w:t>
      </w:r>
      <w:r w:rsidR="00F86BC6" w:rsidRPr="00FA2837">
        <w:rPr>
          <w:rFonts w:ascii="Open Sans" w:hAnsi="Open Sans" w:cs="Open Sans"/>
          <w:sz w:val="21"/>
          <w:szCs w:val="21"/>
        </w:rPr>
        <w:t xml:space="preserve"> </w:t>
      </w:r>
      <w:r w:rsidR="00570B7A" w:rsidRPr="00FA2837">
        <w:rPr>
          <w:rFonts w:ascii="Open Sans" w:hAnsi="Open Sans" w:cs="Open Sans"/>
          <w:sz w:val="21"/>
          <w:szCs w:val="21"/>
        </w:rPr>
        <w:t xml:space="preserve">the </w:t>
      </w:r>
      <w:r w:rsidR="00F86BC6" w:rsidRPr="00FA2837">
        <w:rPr>
          <w:rFonts w:ascii="Open Sans" w:hAnsi="Open Sans" w:cs="Open Sans"/>
          <w:sz w:val="21"/>
          <w:szCs w:val="21"/>
        </w:rPr>
        <w:t>ADRs</w:t>
      </w:r>
      <w:r w:rsidR="00570B7A" w:rsidRPr="00FA2837">
        <w:rPr>
          <w:rFonts w:ascii="Open Sans" w:hAnsi="Open Sans" w:cs="Open Sans"/>
          <w:sz w:val="21"/>
          <w:szCs w:val="21"/>
        </w:rPr>
        <w:t xml:space="preserve"> and representatives</w:t>
      </w:r>
      <w:r w:rsidR="00F86BC6" w:rsidRPr="00FA2837">
        <w:rPr>
          <w:rFonts w:ascii="Open Sans" w:hAnsi="Open Sans" w:cs="Open Sans"/>
          <w:sz w:val="21"/>
          <w:szCs w:val="21"/>
        </w:rPr>
        <w:t xml:space="preserve"> perform </w:t>
      </w:r>
      <w:r w:rsidR="00160CD3" w:rsidRPr="00FA2837">
        <w:rPr>
          <w:rFonts w:ascii="Open Sans" w:hAnsi="Open Sans" w:cs="Open Sans"/>
          <w:sz w:val="21"/>
          <w:szCs w:val="21"/>
        </w:rPr>
        <w:t>the equivalent</w:t>
      </w:r>
      <w:r w:rsidR="00F86BC6" w:rsidRPr="00FA2837">
        <w:rPr>
          <w:rFonts w:ascii="Open Sans" w:hAnsi="Open Sans" w:cs="Open Sans"/>
          <w:sz w:val="21"/>
          <w:szCs w:val="21"/>
        </w:rPr>
        <w:t xml:space="preserve"> </w:t>
      </w:r>
      <w:r w:rsidR="00160CD3" w:rsidRPr="00FA2837">
        <w:rPr>
          <w:rFonts w:ascii="Open Sans" w:hAnsi="Open Sans" w:cs="Open Sans"/>
          <w:sz w:val="21"/>
          <w:szCs w:val="21"/>
        </w:rPr>
        <w:t xml:space="preserve">compliance validation </w:t>
      </w:r>
      <w:r w:rsidR="00F86BC6" w:rsidRPr="00FA2837">
        <w:rPr>
          <w:rFonts w:ascii="Open Sans" w:hAnsi="Open Sans" w:cs="Open Sans"/>
          <w:sz w:val="21"/>
          <w:szCs w:val="21"/>
        </w:rPr>
        <w:t>role. These businesses</w:t>
      </w:r>
      <w:r w:rsidR="0044139D">
        <w:rPr>
          <w:rFonts w:ascii="Open Sans" w:hAnsi="Open Sans" w:cs="Open Sans"/>
          <w:sz w:val="21"/>
          <w:szCs w:val="21"/>
        </w:rPr>
        <w:t xml:space="preserve"> generally</w:t>
      </w:r>
      <w:r w:rsidR="00F86BC6" w:rsidRPr="00FA2837">
        <w:rPr>
          <w:rFonts w:ascii="Open Sans" w:hAnsi="Open Sans" w:cs="Open Sans"/>
          <w:sz w:val="21"/>
          <w:szCs w:val="21"/>
        </w:rPr>
        <w:t xml:space="preserve"> do not have the experience, expertise, systems</w:t>
      </w:r>
      <w:r w:rsidR="00024E97" w:rsidRPr="00FA2837">
        <w:rPr>
          <w:rFonts w:ascii="Open Sans" w:hAnsi="Open Sans" w:cs="Open Sans"/>
          <w:sz w:val="21"/>
          <w:szCs w:val="21"/>
        </w:rPr>
        <w:t>,</w:t>
      </w:r>
      <w:r w:rsidR="00F86BC6" w:rsidRPr="00FA2837">
        <w:rPr>
          <w:rFonts w:ascii="Open Sans" w:hAnsi="Open Sans" w:cs="Open Sans"/>
          <w:sz w:val="21"/>
          <w:szCs w:val="21"/>
        </w:rPr>
        <w:t xml:space="preserve"> </w:t>
      </w:r>
      <w:r w:rsidR="00024E97" w:rsidRPr="00FA2837">
        <w:rPr>
          <w:rFonts w:ascii="Open Sans" w:hAnsi="Open Sans" w:cs="Open Sans"/>
          <w:sz w:val="21"/>
          <w:szCs w:val="21"/>
        </w:rPr>
        <w:t>or</w:t>
      </w:r>
      <w:r w:rsidR="00F86BC6" w:rsidRPr="00FA2837">
        <w:rPr>
          <w:rFonts w:ascii="Open Sans" w:hAnsi="Open Sans" w:cs="Open Sans"/>
          <w:sz w:val="21"/>
          <w:szCs w:val="21"/>
        </w:rPr>
        <w:t xml:space="preserve"> processes to perform this role</w:t>
      </w:r>
      <w:r w:rsidR="00160CD3" w:rsidRPr="00FA2837">
        <w:rPr>
          <w:rFonts w:ascii="Open Sans" w:hAnsi="Open Sans" w:cs="Open Sans"/>
          <w:sz w:val="21"/>
          <w:szCs w:val="21"/>
        </w:rPr>
        <w:t xml:space="preserve"> effectively.</w:t>
      </w:r>
    </w:p>
    <w:p w14:paraId="2A0A2827" w14:textId="62B324F3" w:rsidR="00160CD3" w:rsidRPr="00FA2837" w:rsidRDefault="00160CD3">
      <w:pPr>
        <w:rPr>
          <w:rFonts w:ascii="Open Sans" w:hAnsi="Open Sans" w:cs="Open Sans"/>
          <w:sz w:val="21"/>
          <w:szCs w:val="21"/>
        </w:rPr>
      </w:pPr>
    </w:p>
    <w:p w14:paraId="44ACD1E6" w14:textId="15A8C084" w:rsidR="00160CD3" w:rsidRPr="00C66708" w:rsidRDefault="00CE0375" w:rsidP="00C66708">
      <w:pPr>
        <w:spacing w:after="120"/>
        <w:rPr>
          <w:rFonts w:ascii="Open Sans" w:hAnsi="Open Sans" w:cs="Open Sans"/>
          <w:b/>
          <w:bCs/>
          <w:color w:val="16BA86"/>
          <w:sz w:val="21"/>
          <w:szCs w:val="21"/>
        </w:rPr>
      </w:pPr>
      <w:r>
        <w:rPr>
          <w:rFonts w:ascii="Open Sans" w:hAnsi="Open Sans" w:cs="Open Sans"/>
          <w:b/>
          <w:bCs/>
          <w:color w:val="16BA86"/>
          <w:sz w:val="21"/>
          <w:szCs w:val="21"/>
        </w:rPr>
        <w:t xml:space="preserve">iii) </w:t>
      </w:r>
      <w:r w:rsidR="00160CD3" w:rsidRPr="00FA2837">
        <w:rPr>
          <w:rFonts w:ascii="Open Sans" w:hAnsi="Open Sans" w:cs="Open Sans"/>
          <w:b/>
          <w:bCs/>
          <w:color w:val="16BA86"/>
          <w:sz w:val="21"/>
          <w:szCs w:val="21"/>
        </w:rPr>
        <w:t>Inconsistency and an uneven playing field across the CDR ecosystem</w:t>
      </w:r>
    </w:p>
    <w:p w14:paraId="5105DAF2" w14:textId="54802325" w:rsidR="00160CD3" w:rsidRPr="00FA2837" w:rsidRDefault="00160CD3">
      <w:pPr>
        <w:rPr>
          <w:rFonts w:ascii="Open Sans" w:hAnsi="Open Sans" w:cs="Open Sans"/>
          <w:sz w:val="21"/>
          <w:szCs w:val="21"/>
        </w:rPr>
      </w:pPr>
      <w:r w:rsidRPr="00FA2837">
        <w:rPr>
          <w:rFonts w:ascii="Open Sans" w:hAnsi="Open Sans" w:cs="Open Sans"/>
          <w:sz w:val="21"/>
          <w:szCs w:val="21"/>
        </w:rPr>
        <w:t>Assurance reports under ASAE 3150 are supported by hundreds of pages of guidance, professional and ethical conduct standards,</w:t>
      </w:r>
      <w:r w:rsidR="003636C7" w:rsidRPr="00FA2837">
        <w:rPr>
          <w:rFonts w:ascii="Open Sans" w:hAnsi="Open Sans" w:cs="Open Sans"/>
          <w:sz w:val="21"/>
          <w:szCs w:val="21"/>
        </w:rPr>
        <w:t xml:space="preserve"> subject to quality review schemes by CA</w:t>
      </w:r>
      <w:r w:rsidR="00024E97" w:rsidRPr="00FA2837">
        <w:rPr>
          <w:rFonts w:ascii="Open Sans" w:hAnsi="Open Sans" w:cs="Open Sans"/>
          <w:sz w:val="21"/>
          <w:szCs w:val="21"/>
        </w:rPr>
        <w:t xml:space="preserve"> </w:t>
      </w:r>
      <w:r w:rsidR="003636C7" w:rsidRPr="00FA2837">
        <w:rPr>
          <w:rFonts w:ascii="Open Sans" w:hAnsi="Open Sans" w:cs="Open Sans"/>
          <w:sz w:val="21"/>
          <w:szCs w:val="21"/>
        </w:rPr>
        <w:t>ANZ,</w:t>
      </w:r>
      <w:r w:rsidRPr="00FA2837">
        <w:rPr>
          <w:rFonts w:ascii="Open Sans" w:hAnsi="Open Sans" w:cs="Open Sans"/>
          <w:sz w:val="21"/>
          <w:szCs w:val="21"/>
        </w:rPr>
        <w:t xml:space="preserve"> and decades of </w:t>
      </w:r>
      <w:r w:rsidR="003636C7" w:rsidRPr="00FA2837">
        <w:rPr>
          <w:rFonts w:ascii="Open Sans" w:hAnsi="Open Sans" w:cs="Open Sans"/>
          <w:sz w:val="21"/>
          <w:szCs w:val="21"/>
        </w:rPr>
        <w:t xml:space="preserve">live </w:t>
      </w:r>
      <w:r w:rsidRPr="00FA2837">
        <w:rPr>
          <w:rFonts w:ascii="Open Sans" w:hAnsi="Open Sans" w:cs="Open Sans"/>
          <w:sz w:val="21"/>
          <w:szCs w:val="21"/>
        </w:rPr>
        <w:t>practice. By contrast, a self-assessment</w:t>
      </w:r>
      <w:r w:rsidR="00120753" w:rsidRPr="00FA2837">
        <w:rPr>
          <w:rFonts w:ascii="Open Sans" w:hAnsi="Open Sans" w:cs="Open Sans"/>
          <w:sz w:val="21"/>
          <w:szCs w:val="21"/>
        </w:rPr>
        <w:t xml:space="preserve"> or validation</w:t>
      </w:r>
      <w:r w:rsidRPr="00FA2837">
        <w:rPr>
          <w:rFonts w:ascii="Open Sans" w:hAnsi="Open Sans" w:cs="Open Sans"/>
          <w:sz w:val="21"/>
          <w:szCs w:val="21"/>
        </w:rPr>
        <w:t xml:space="preserve"> of compliance</w:t>
      </w:r>
      <w:r w:rsidR="00120753" w:rsidRPr="00FA2837">
        <w:rPr>
          <w:rFonts w:ascii="Open Sans" w:hAnsi="Open Sans" w:cs="Open Sans"/>
          <w:sz w:val="21"/>
          <w:szCs w:val="21"/>
        </w:rPr>
        <w:t xml:space="preserve"> by an ADR</w:t>
      </w:r>
      <w:r w:rsidRPr="00FA2837">
        <w:rPr>
          <w:rFonts w:ascii="Open Sans" w:hAnsi="Open Sans" w:cs="Open Sans"/>
          <w:sz w:val="21"/>
          <w:szCs w:val="21"/>
        </w:rPr>
        <w:t xml:space="preserve"> is vague</w:t>
      </w:r>
      <w:r w:rsidR="003636C7" w:rsidRPr="00FA2837">
        <w:rPr>
          <w:rFonts w:ascii="Open Sans" w:hAnsi="Open Sans" w:cs="Open Sans"/>
          <w:sz w:val="21"/>
          <w:szCs w:val="21"/>
        </w:rPr>
        <w:t xml:space="preserve"> and leads to different interpretations and standards. That will create inconsistency and an uneven playing field across</w:t>
      </w:r>
      <w:r w:rsidR="00120753" w:rsidRPr="00FA2837">
        <w:rPr>
          <w:rFonts w:ascii="Open Sans" w:hAnsi="Open Sans" w:cs="Open Sans"/>
          <w:sz w:val="21"/>
          <w:szCs w:val="21"/>
        </w:rPr>
        <w:t xml:space="preserve"> the CDR ecosystem.</w:t>
      </w:r>
    </w:p>
    <w:p w14:paraId="6626F514" w14:textId="30E53937" w:rsidR="00F86BC6" w:rsidRPr="00FA2837" w:rsidRDefault="00F86BC6">
      <w:pPr>
        <w:rPr>
          <w:rFonts w:ascii="Open Sans" w:hAnsi="Open Sans" w:cs="Open Sans"/>
          <w:sz w:val="21"/>
          <w:szCs w:val="21"/>
        </w:rPr>
      </w:pPr>
    </w:p>
    <w:p w14:paraId="553B6EB4" w14:textId="77777777" w:rsidR="00FA2837" w:rsidRDefault="00FA2837">
      <w:pPr>
        <w:rPr>
          <w:rFonts w:ascii="Open Sans" w:hAnsi="Open Sans" w:cs="Open Sans"/>
          <w:b/>
          <w:bCs/>
          <w:color w:val="16BA86"/>
          <w:sz w:val="21"/>
          <w:szCs w:val="21"/>
        </w:rPr>
      </w:pPr>
      <w:r>
        <w:rPr>
          <w:rFonts w:ascii="Open Sans" w:hAnsi="Open Sans" w:cs="Open Sans"/>
          <w:b/>
          <w:bCs/>
          <w:color w:val="16BA86"/>
          <w:sz w:val="21"/>
          <w:szCs w:val="21"/>
        </w:rPr>
        <w:br w:type="page"/>
      </w:r>
    </w:p>
    <w:p w14:paraId="64D0BD02" w14:textId="0AACACA6" w:rsidR="003636C7" w:rsidRPr="00C66708" w:rsidRDefault="00CE0375" w:rsidP="00C66708">
      <w:pPr>
        <w:spacing w:after="120"/>
        <w:rPr>
          <w:rFonts w:ascii="Open Sans" w:hAnsi="Open Sans" w:cs="Open Sans"/>
          <w:b/>
          <w:bCs/>
          <w:color w:val="16BA86"/>
          <w:sz w:val="21"/>
          <w:szCs w:val="21"/>
        </w:rPr>
      </w:pPr>
      <w:r>
        <w:rPr>
          <w:rFonts w:ascii="Open Sans" w:hAnsi="Open Sans" w:cs="Open Sans"/>
          <w:b/>
          <w:bCs/>
          <w:color w:val="16BA86"/>
          <w:sz w:val="21"/>
          <w:szCs w:val="21"/>
        </w:rPr>
        <w:t xml:space="preserve">iv) </w:t>
      </w:r>
      <w:r w:rsidR="003636C7" w:rsidRPr="00FA2837">
        <w:rPr>
          <w:rFonts w:ascii="Open Sans" w:hAnsi="Open Sans" w:cs="Open Sans"/>
          <w:b/>
          <w:bCs/>
          <w:color w:val="16BA86"/>
          <w:sz w:val="21"/>
          <w:szCs w:val="21"/>
        </w:rPr>
        <w:t>Independent audits are important to the standard of practice</w:t>
      </w:r>
    </w:p>
    <w:p w14:paraId="0E0855E4" w14:textId="70C219B3" w:rsidR="0036447E" w:rsidRPr="00FA2837" w:rsidRDefault="003636C7" w:rsidP="0036447E">
      <w:pPr>
        <w:rPr>
          <w:rFonts w:ascii="Open Sans" w:hAnsi="Open Sans" w:cs="Open Sans"/>
          <w:sz w:val="21"/>
          <w:szCs w:val="21"/>
        </w:rPr>
      </w:pPr>
      <w:r w:rsidRPr="00FA2837">
        <w:rPr>
          <w:rFonts w:ascii="Open Sans" w:hAnsi="Open Sans" w:cs="Open Sans"/>
          <w:sz w:val="21"/>
          <w:szCs w:val="21"/>
        </w:rPr>
        <w:t>In our experience, every Type 1</w:t>
      </w:r>
      <w:r w:rsidR="00065367" w:rsidRPr="00FA2837">
        <w:rPr>
          <w:rFonts w:ascii="Open Sans" w:hAnsi="Open Sans" w:cs="Open Sans"/>
          <w:sz w:val="21"/>
          <w:szCs w:val="21"/>
        </w:rPr>
        <w:t xml:space="preserve"> audit and</w:t>
      </w:r>
      <w:r w:rsidR="00F24EA1" w:rsidRPr="00FA2837">
        <w:rPr>
          <w:rFonts w:ascii="Open Sans" w:hAnsi="Open Sans" w:cs="Open Sans"/>
          <w:sz w:val="21"/>
          <w:szCs w:val="21"/>
        </w:rPr>
        <w:t xml:space="preserve"> report </w:t>
      </w:r>
      <w:r w:rsidR="004C72EF" w:rsidRPr="00FA2837">
        <w:rPr>
          <w:rFonts w:ascii="Open Sans" w:hAnsi="Open Sans" w:cs="Open Sans"/>
          <w:sz w:val="21"/>
          <w:szCs w:val="21"/>
        </w:rPr>
        <w:t xml:space="preserve">we have completed </w:t>
      </w:r>
      <w:r w:rsidR="00F24EA1" w:rsidRPr="00FA2837">
        <w:rPr>
          <w:rFonts w:ascii="Open Sans" w:hAnsi="Open Sans" w:cs="Open Sans"/>
          <w:sz w:val="21"/>
          <w:szCs w:val="21"/>
        </w:rPr>
        <w:t>(SOC 1, SOC 2, &amp; ASAE 3150)</w:t>
      </w:r>
      <w:r w:rsidR="004C72EF" w:rsidRPr="00FA2837">
        <w:rPr>
          <w:rFonts w:ascii="Open Sans" w:hAnsi="Open Sans" w:cs="Open Sans"/>
          <w:sz w:val="21"/>
          <w:szCs w:val="21"/>
        </w:rPr>
        <w:t xml:space="preserve">, </w:t>
      </w:r>
      <w:r w:rsidRPr="00FA2837">
        <w:rPr>
          <w:rFonts w:ascii="Open Sans" w:hAnsi="Open Sans" w:cs="Open Sans"/>
          <w:sz w:val="21"/>
          <w:szCs w:val="21"/>
        </w:rPr>
        <w:t xml:space="preserve">has surfaced control design and implementation issues that were remediated upon our identification of those. In most cases, </w:t>
      </w:r>
      <w:r w:rsidR="00024E97" w:rsidRPr="00FA2837">
        <w:rPr>
          <w:rFonts w:ascii="Open Sans" w:hAnsi="Open Sans" w:cs="Open Sans"/>
          <w:sz w:val="21"/>
          <w:szCs w:val="21"/>
        </w:rPr>
        <w:t xml:space="preserve">these businesses had completed self-assessments </w:t>
      </w:r>
      <w:r w:rsidR="004C72EF" w:rsidRPr="00FA2837">
        <w:rPr>
          <w:rFonts w:ascii="Open Sans" w:hAnsi="Open Sans" w:cs="Open Sans"/>
          <w:sz w:val="21"/>
          <w:szCs w:val="21"/>
        </w:rPr>
        <w:t>prior to our engagement</w:t>
      </w:r>
      <w:r w:rsidR="00CD3F76" w:rsidRPr="00FA2837">
        <w:rPr>
          <w:rFonts w:ascii="Open Sans" w:hAnsi="Open Sans" w:cs="Open Sans"/>
          <w:sz w:val="21"/>
          <w:szCs w:val="21"/>
        </w:rPr>
        <w:t>.</w:t>
      </w:r>
      <w:r w:rsidR="00120753" w:rsidRPr="00FA2837">
        <w:rPr>
          <w:rFonts w:ascii="Open Sans" w:hAnsi="Open Sans" w:cs="Open Sans"/>
          <w:sz w:val="21"/>
          <w:szCs w:val="21"/>
        </w:rPr>
        <w:t xml:space="preserve"> Many of those clients have served the Big4 Australian banks or other large global enterprise and have been subject to vendor audits previously.</w:t>
      </w:r>
      <w:r w:rsidR="00024E97" w:rsidRPr="00FA2837">
        <w:rPr>
          <w:rFonts w:ascii="Open Sans" w:hAnsi="Open Sans" w:cs="Open Sans"/>
          <w:sz w:val="21"/>
          <w:szCs w:val="21"/>
        </w:rPr>
        <w:t xml:space="preserve"> </w:t>
      </w:r>
      <w:r w:rsidR="00CD3F76" w:rsidRPr="00FA2837">
        <w:rPr>
          <w:rFonts w:ascii="Open Sans" w:hAnsi="Open Sans" w:cs="Open Sans"/>
          <w:sz w:val="21"/>
          <w:szCs w:val="21"/>
        </w:rPr>
        <w:t xml:space="preserve">Even still we identified significant control gaps that required remediation to achieve the SOC 2 standard, </w:t>
      </w:r>
      <w:r w:rsidR="00065367" w:rsidRPr="00FA2837">
        <w:rPr>
          <w:rFonts w:ascii="Open Sans" w:hAnsi="Open Sans" w:cs="Open Sans"/>
          <w:sz w:val="21"/>
          <w:szCs w:val="21"/>
        </w:rPr>
        <w:t>which</w:t>
      </w:r>
      <w:r w:rsidR="00CD3F76" w:rsidRPr="00FA2837">
        <w:rPr>
          <w:rFonts w:ascii="Open Sans" w:hAnsi="Open Sans" w:cs="Open Sans"/>
          <w:sz w:val="21"/>
          <w:szCs w:val="21"/>
        </w:rPr>
        <w:t xml:space="preserve"> is less stringent than CDR Schedule 2. </w:t>
      </w:r>
      <w:r w:rsidR="00065367" w:rsidRPr="00FA2837">
        <w:rPr>
          <w:rFonts w:ascii="Open Sans" w:hAnsi="Open Sans" w:cs="Open Sans"/>
          <w:sz w:val="21"/>
          <w:szCs w:val="21"/>
        </w:rPr>
        <w:t>Experience, expertise,</w:t>
      </w:r>
      <w:r w:rsidR="00CA3E7F">
        <w:rPr>
          <w:rFonts w:ascii="Open Sans" w:hAnsi="Open Sans" w:cs="Open Sans"/>
          <w:sz w:val="21"/>
          <w:szCs w:val="21"/>
        </w:rPr>
        <w:t xml:space="preserve"> clearly defined standards</w:t>
      </w:r>
      <w:r w:rsidR="00065367" w:rsidRPr="00FA2837">
        <w:rPr>
          <w:rFonts w:ascii="Open Sans" w:hAnsi="Open Sans" w:cs="Open Sans"/>
          <w:sz w:val="21"/>
          <w:szCs w:val="21"/>
        </w:rPr>
        <w:t xml:space="preserve"> and complete i</w:t>
      </w:r>
      <w:r w:rsidR="00024E97" w:rsidRPr="00FA2837">
        <w:rPr>
          <w:rFonts w:ascii="Open Sans" w:hAnsi="Open Sans" w:cs="Open Sans"/>
          <w:sz w:val="21"/>
          <w:szCs w:val="21"/>
        </w:rPr>
        <w:t>ndependence</w:t>
      </w:r>
      <w:r w:rsidR="00065367" w:rsidRPr="00FA2837">
        <w:rPr>
          <w:rFonts w:ascii="Open Sans" w:hAnsi="Open Sans" w:cs="Open Sans"/>
          <w:sz w:val="21"/>
          <w:szCs w:val="21"/>
        </w:rPr>
        <w:t xml:space="preserve"> </w:t>
      </w:r>
      <w:r w:rsidR="00CD3F76" w:rsidRPr="00FA2837">
        <w:rPr>
          <w:rFonts w:ascii="Open Sans" w:hAnsi="Open Sans" w:cs="Open Sans"/>
          <w:sz w:val="21"/>
          <w:szCs w:val="21"/>
        </w:rPr>
        <w:t xml:space="preserve">in the review </w:t>
      </w:r>
      <w:r w:rsidR="00065367" w:rsidRPr="00FA2837">
        <w:rPr>
          <w:rFonts w:ascii="Open Sans" w:hAnsi="Open Sans" w:cs="Open Sans"/>
          <w:sz w:val="21"/>
          <w:szCs w:val="21"/>
        </w:rPr>
        <w:t xml:space="preserve">process </w:t>
      </w:r>
      <w:r w:rsidR="00024E97" w:rsidRPr="00FA2837">
        <w:rPr>
          <w:rFonts w:ascii="Open Sans" w:hAnsi="Open Sans" w:cs="Open Sans"/>
          <w:sz w:val="21"/>
          <w:szCs w:val="21"/>
        </w:rPr>
        <w:t xml:space="preserve">are important </w:t>
      </w:r>
      <w:r w:rsidR="0044139D">
        <w:rPr>
          <w:rFonts w:ascii="Open Sans" w:hAnsi="Open Sans" w:cs="Open Sans"/>
          <w:sz w:val="21"/>
          <w:szCs w:val="21"/>
        </w:rPr>
        <w:t xml:space="preserve">influences on </w:t>
      </w:r>
      <w:r w:rsidR="00024E97" w:rsidRPr="00FA2837">
        <w:rPr>
          <w:rFonts w:ascii="Open Sans" w:hAnsi="Open Sans" w:cs="Open Sans"/>
          <w:sz w:val="21"/>
          <w:szCs w:val="21"/>
        </w:rPr>
        <w:t>the standard of practice.</w:t>
      </w:r>
    </w:p>
    <w:p w14:paraId="06D895F0" w14:textId="3A7800CF" w:rsidR="00382A47" w:rsidRPr="00FA2837" w:rsidRDefault="00382A47">
      <w:pPr>
        <w:rPr>
          <w:rFonts w:ascii="Open Sans" w:hAnsi="Open Sans" w:cs="Open Sans"/>
          <w:sz w:val="21"/>
          <w:szCs w:val="21"/>
        </w:rPr>
      </w:pPr>
      <w:r w:rsidRPr="00FA2837">
        <w:rPr>
          <w:rFonts w:ascii="Open Sans" w:hAnsi="Open Sans" w:cs="Open Sans"/>
          <w:sz w:val="21"/>
          <w:szCs w:val="21"/>
        </w:rPr>
        <w:br w:type="page"/>
      </w:r>
    </w:p>
    <w:p w14:paraId="2095C1FE" w14:textId="41BAC44F" w:rsidR="00071F9D" w:rsidRPr="0074337C" w:rsidRDefault="00071F9D" w:rsidP="00071F9D">
      <w:pPr>
        <w:pStyle w:val="Heading1"/>
        <w:rPr>
          <w:b/>
          <w:bCs/>
          <w:sz w:val="24"/>
          <w:szCs w:val="24"/>
        </w:rPr>
      </w:pPr>
      <w:bookmarkStart w:id="7" w:name="_Appendix_3_-"/>
      <w:bookmarkStart w:id="8" w:name="_Appendix_4_-"/>
      <w:bookmarkStart w:id="9" w:name="_Appendix_3_–"/>
      <w:bookmarkStart w:id="10" w:name="_Toc77246462"/>
      <w:bookmarkEnd w:id="7"/>
      <w:bookmarkEnd w:id="8"/>
      <w:bookmarkEnd w:id="9"/>
      <w:r w:rsidRPr="0074337C">
        <w:rPr>
          <w:b/>
          <w:bCs/>
          <w:sz w:val="24"/>
          <w:szCs w:val="24"/>
        </w:rPr>
        <w:t xml:space="preserve">Appendix </w:t>
      </w:r>
      <w:r>
        <w:rPr>
          <w:b/>
          <w:bCs/>
          <w:sz w:val="24"/>
          <w:szCs w:val="24"/>
        </w:rPr>
        <w:t>3 – Risk-based access considerations</w:t>
      </w:r>
      <w:bookmarkEnd w:id="10"/>
    </w:p>
    <w:p w14:paraId="2C3FE5C5" w14:textId="77777777" w:rsidR="00071F9D" w:rsidRDefault="00071F9D" w:rsidP="00071F9D"/>
    <w:p w14:paraId="2A5E8EC2" w14:textId="77777777" w:rsidR="00071F9D" w:rsidRPr="0074337C" w:rsidRDefault="00071F9D" w:rsidP="00071F9D">
      <w:pPr>
        <w:rPr>
          <w:rFonts w:ascii="Open Sans" w:hAnsi="Open Sans" w:cs="Open Sans"/>
          <w:sz w:val="21"/>
          <w:szCs w:val="21"/>
        </w:rPr>
      </w:pPr>
      <w:r w:rsidRPr="0074337C">
        <w:rPr>
          <w:rFonts w:ascii="Open Sans" w:hAnsi="Open Sans" w:cs="Open Sans"/>
          <w:sz w:val="21"/>
          <w:szCs w:val="21"/>
        </w:rPr>
        <w:t>The inherent level of information security and privacy risk for using CDR data may consider the following three factors:</w:t>
      </w:r>
    </w:p>
    <w:p w14:paraId="08977A4D" w14:textId="77777777" w:rsidR="00071F9D" w:rsidRDefault="00071F9D" w:rsidP="00071F9D"/>
    <w:p w14:paraId="363B9CF0" w14:textId="77777777" w:rsidR="00071F9D" w:rsidRPr="00F5506D" w:rsidRDefault="00071F9D" w:rsidP="00071F9D">
      <w:pPr>
        <w:pStyle w:val="ListParagraph"/>
        <w:numPr>
          <w:ilvl w:val="0"/>
          <w:numId w:val="15"/>
        </w:numPr>
        <w:spacing w:after="120"/>
        <w:contextualSpacing w:val="0"/>
        <w:rPr>
          <w:rFonts w:ascii="Open Sans" w:hAnsi="Open Sans" w:cs="Open Sans"/>
          <w:sz w:val="21"/>
          <w:szCs w:val="21"/>
        </w:rPr>
      </w:pPr>
      <w:r w:rsidRPr="00FA2837">
        <w:rPr>
          <w:rFonts w:ascii="Open Sans" w:hAnsi="Open Sans" w:cs="Open Sans"/>
          <w:b/>
          <w:bCs/>
          <w:sz w:val="21"/>
          <w:szCs w:val="21"/>
        </w:rPr>
        <w:t>Organisation size</w:t>
      </w:r>
      <w:r>
        <w:rPr>
          <w:rFonts w:ascii="Open Sans" w:hAnsi="Open Sans" w:cs="Open Sans"/>
          <w:b/>
          <w:bCs/>
          <w:sz w:val="21"/>
          <w:szCs w:val="21"/>
        </w:rPr>
        <w:br/>
      </w:r>
      <w:r w:rsidRPr="00F5506D">
        <w:rPr>
          <w:rFonts w:ascii="Open Sans" w:hAnsi="Open Sans" w:cs="Open Sans"/>
          <w:sz w:val="21"/>
          <w:szCs w:val="21"/>
        </w:rPr>
        <w:t>Smaller organisations, while</w:t>
      </w:r>
      <w:r>
        <w:rPr>
          <w:rFonts w:ascii="Open Sans" w:hAnsi="Open Sans" w:cs="Open Sans"/>
          <w:sz w:val="21"/>
          <w:szCs w:val="21"/>
        </w:rPr>
        <w:t xml:space="preserve"> sometimes</w:t>
      </w:r>
      <w:r w:rsidRPr="00F5506D">
        <w:rPr>
          <w:rFonts w:ascii="Open Sans" w:hAnsi="Open Sans" w:cs="Open Sans"/>
          <w:sz w:val="21"/>
          <w:szCs w:val="21"/>
        </w:rPr>
        <w:t xml:space="preserve"> perceived as riskier due to the higher financial and operational risks, </w:t>
      </w:r>
      <w:r>
        <w:rPr>
          <w:rFonts w:ascii="Open Sans" w:hAnsi="Open Sans" w:cs="Open Sans"/>
          <w:sz w:val="21"/>
          <w:szCs w:val="21"/>
        </w:rPr>
        <w:t xml:space="preserve">generally </w:t>
      </w:r>
      <w:r w:rsidRPr="00F5506D">
        <w:rPr>
          <w:rFonts w:ascii="Open Sans" w:hAnsi="Open Sans" w:cs="Open Sans"/>
          <w:sz w:val="21"/>
          <w:szCs w:val="21"/>
        </w:rPr>
        <w:t>have a lower</w:t>
      </w:r>
      <w:r>
        <w:rPr>
          <w:rFonts w:ascii="Open Sans" w:hAnsi="Open Sans" w:cs="Open Sans"/>
          <w:sz w:val="21"/>
          <w:szCs w:val="21"/>
        </w:rPr>
        <w:t xml:space="preserve"> inherent</w:t>
      </w:r>
      <w:r w:rsidRPr="00F5506D">
        <w:rPr>
          <w:rFonts w:ascii="Open Sans" w:hAnsi="Open Sans" w:cs="Open Sans"/>
          <w:sz w:val="21"/>
          <w:szCs w:val="21"/>
        </w:rPr>
        <w:t xml:space="preserve"> information security risk. This is due to the lower volume of people in contact with</w:t>
      </w:r>
      <w:r>
        <w:rPr>
          <w:rFonts w:ascii="Open Sans" w:hAnsi="Open Sans" w:cs="Open Sans"/>
          <w:sz w:val="21"/>
          <w:szCs w:val="21"/>
        </w:rPr>
        <w:t xml:space="preserve"> the</w:t>
      </w:r>
      <w:r w:rsidRPr="00F5506D">
        <w:rPr>
          <w:rFonts w:ascii="Open Sans" w:hAnsi="Open Sans" w:cs="Open Sans"/>
          <w:sz w:val="21"/>
          <w:szCs w:val="21"/>
        </w:rPr>
        <w:t xml:space="preserve"> data, a higher level of seniority / higher ratio of senior personnel, and less dispersed responsibilities</w:t>
      </w:r>
      <w:r>
        <w:rPr>
          <w:rFonts w:ascii="Open Sans" w:hAnsi="Open Sans" w:cs="Open Sans"/>
          <w:sz w:val="21"/>
          <w:szCs w:val="21"/>
        </w:rPr>
        <w:t xml:space="preserve"> including those for information security</w:t>
      </w:r>
      <w:r w:rsidRPr="00F5506D">
        <w:rPr>
          <w:rFonts w:ascii="Open Sans" w:hAnsi="Open Sans" w:cs="Open Sans"/>
          <w:sz w:val="21"/>
          <w:szCs w:val="21"/>
        </w:rPr>
        <w:t>.</w:t>
      </w:r>
    </w:p>
    <w:p w14:paraId="2800692C" w14:textId="77777777" w:rsidR="00071F9D" w:rsidRPr="00F5506D" w:rsidRDefault="00071F9D" w:rsidP="00071F9D">
      <w:pPr>
        <w:pStyle w:val="ListParagraph"/>
        <w:numPr>
          <w:ilvl w:val="0"/>
          <w:numId w:val="15"/>
        </w:numPr>
        <w:spacing w:after="120"/>
        <w:contextualSpacing w:val="0"/>
        <w:rPr>
          <w:rFonts w:ascii="Open Sans" w:hAnsi="Open Sans" w:cs="Open Sans"/>
          <w:b/>
          <w:bCs/>
          <w:sz w:val="21"/>
          <w:szCs w:val="21"/>
        </w:rPr>
      </w:pPr>
      <w:r w:rsidRPr="00FA2837">
        <w:rPr>
          <w:rFonts w:ascii="Open Sans" w:hAnsi="Open Sans" w:cs="Open Sans"/>
          <w:b/>
          <w:bCs/>
          <w:sz w:val="21"/>
          <w:szCs w:val="21"/>
        </w:rPr>
        <w:t>Breadth and complexity of system components</w:t>
      </w:r>
      <w:r>
        <w:rPr>
          <w:rFonts w:ascii="Open Sans" w:hAnsi="Open Sans" w:cs="Open Sans"/>
          <w:b/>
          <w:bCs/>
          <w:sz w:val="21"/>
          <w:szCs w:val="21"/>
        </w:rPr>
        <w:br/>
      </w:r>
      <w:r w:rsidRPr="00F5506D">
        <w:rPr>
          <w:rFonts w:ascii="Open Sans" w:hAnsi="Open Sans" w:cs="Open Sans"/>
          <w:sz w:val="21"/>
          <w:szCs w:val="21"/>
        </w:rPr>
        <w:t>There</w:t>
      </w:r>
      <w:r>
        <w:rPr>
          <w:rFonts w:ascii="Open Sans" w:hAnsi="Open Sans" w:cs="Open Sans"/>
          <w:sz w:val="21"/>
          <w:szCs w:val="21"/>
        </w:rPr>
        <w:t xml:space="preserve"> is</w:t>
      </w:r>
      <w:r w:rsidRPr="00F5506D">
        <w:rPr>
          <w:rFonts w:ascii="Open Sans" w:hAnsi="Open Sans" w:cs="Open Sans"/>
          <w:sz w:val="21"/>
          <w:szCs w:val="21"/>
        </w:rPr>
        <w:t xml:space="preserve"> a significantly different risk profile comparing hundreds of legacy systems in a bank, compared to a simple modern cloud infrastructure and software environment. The latter centralises the data for fewer locations and exposure, applies best practices tools and configurations by default “out-of-the-box”, simplifies the monitoring, and leverages best practices provided by cloud service providers under the shared responsibility model for security.</w:t>
      </w:r>
    </w:p>
    <w:p w14:paraId="32CF897D" w14:textId="77777777" w:rsidR="00071F9D" w:rsidRPr="00F5506D" w:rsidRDefault="00071F9D" w:rsidP="00071F9D">
      <w:pPr>
        <w:pStyle w:val="ListParagraph"/>
        <w:numPr>
          <w:ilvl w:val="0"/>
          <w:numId w:val="15"/>
        </w:numPr>
        <w:spacing w:after="120"/>
        <w:contextualSpacing w:val="0"/>
        <w:rPr>
          <w:rFonts w:ascii="Open Sans" w:hAnsi="Open Sans" w:cs="Open Sans"/>
          <w:b/>
          <w:bCs/>
          <w:sz w:val="21"/>
          <w:szCs w:val="21"/>
        </w:rPr>
      </w:pPr>
      <w:r w:rsidRPr="00FA2837">
        <w:rPr>
          <w:rFonts w:ascii="Open Sans" w:hAnsi="Open Sans" w:cs="Open Sans"/>
          <w:b/>
          <w:bCs/>
          <w:sz w:val="21"/>
          <w:szCs w:val="21"/>
        </w:rPr>
        <w:t>Volume of data handling</w:t>
      </w:r>
      <w:r>
        <w:rPr>
          <w:rFonts w:ascii="Open Sans" w:hAnsi="Open Sans" w:cs="Open Sans"/>
          <w:b/>
          <w:bCs/>
          <w:sz w:val="21"/>
          <w:szCs w:val="21"/>
        </w:rPr>
        <w:br/>
      </w:r>
      <w:r w:rsidRPr="00F5506D">
        <w:rPr>
          <w:rFonts w:ascii="Open Sans" w:hAnsi="Open Sans" w:cs="Open Sans"/>
          <w:sz w:val="21"/>
          <w:szCs w:val="21"/>
        </w:rPr>
        <w:t xml:space="preserve">A lower volume of data reduces the magnitude of impact from potential </w:t>
      </w:r>
      <w:r>
        <w:rPr>
          <w:rFonts w:ascii="Open Sans" w:hAnsi="Open Sans" w:cs="Open Sans"/>
          <w:sz w:val="21"/>
          <w:szCs w:val="21"/>
        </w:rPr>
        <w:t>security breaches or failures.</w:t>
      </w:r>
    </w:p>
    <w:p w14:paraId="5EDA4558" w14:textId="77777777" w:rsidR="00071F9D" w:rsidRDefault="00071F9D" w:rsidP="00071F9D">
      <w:pPr>
        <w:rPr>
          <w:rFonts w:ascii="Open Sans" w:hAnsi="Open Sans" w:cs="Open Sans"/>
          <w:sz w:val="21"/>
          <w:szCs w:val="21"/>
        </w:rPr>
      </w:pPr>
    </w:p>
    <w:p w14:paraId="76A31F00" w14:textId="77777777" w:rsidR="00071F9D" w:rsidRPr="00FA2837" w:rsidRDefault="00071F9D" w:rsidP="00071F9D">
      <w:pPr>
        <w:rPr>
          <w:rFonts w:ascii="Open Sans" w:hAnsi="Open Sans" w:cs="Open Sans"/>
          <w:sz w:val="21"/>
          <w:szCs w:val="21"/>
        </w:rPr>
      </w:pPr>
      <w:r w:rsidRPr="00FA2837">
        <w:rPr>
          <w:rFonts w:ascii="Open Sans" w:hAnsi="Open Sans" w:cs="Open Sans"/>
          <w:sz w:val="21"/>
          <w:szCs w:val="21"/>
        </w:rPr>
        <w:t>A benefit of these drivers is they align to where the accessibility challenges of the CDR are most prevalent. The costs and time involved are more prohibitive for smaller businesses that would naturally fall into the lower tiers of each of the above.</w:t>
      </w:r>
      <w:r>
        <w:rPr>
          <w:rFonts w:ascii="Open Sans" w:hAnsi="Open Sans" w:cs="Open Sans"/>
          <w:sz w:val="21"/>
          <w:szCs w:val="21"/>
        </w:rPr>
        <w:t xml:space="preserve"> We recommend treasury considers allowing a limited assurance report per the above proposal for organisations where all three of the above are “low”. </w:t>
      </w:r>
      <w:r w:rsidRPr="00FA2837">
        <w:rPr>
          <w:rFonts w:ascii="Open Sans" w:hAnsi="Open Sans" w:cs="Open Sans"/>
          <w:sz w:val="21"/>
          <w:szCs w:val="21"/>
        </w:rPr>
        <w:t xml:space="preserve"> This may change over time with the ongoing assurance requirement every two years. This can be uplifted as needed to a reasonable assurance engagement based on the volume, scope of systems, or organisation size, increasing</w:t>
      </w:r>
      <w:r>
        <w:rPr>
          <w:rFonts w:ascii="Open Sans" w:hAnsi="Open Sans" w:cs="Open Sans"/>
          <w:sz w:val="21"/>
          <w:szCs w:val="21"/>
        </w:rPr>
        <w:t xml:space="preserve"> beyond defined thresholds.</w:t>
      </w:r>
    </w:p>
    <w:p w14:paraId="04AA9EAB" w14:textId="77777777" w:rsidR="00071F9D" w:rsidRDefault="00071F9D">
      <w:pPr>
        <w:rPr>
          <w:rFonts w:ascii="Open Sans" w:eastAsiaTheme="majorEastAsia" w:hAnsi="Open Sans" w:cstheme="majorBidi"/>
          <w:b/>
          <w:bCs/>
          <w:color w:val="0078EE"/>
        </w:rPr>
      </w:pPr>
      <w:r>
        <w:rPr>
          <w:b/>
          <w:bCs/>
        </w:rPr>
        <w:br w:type="page"/>
      </w:r>
    </w:p>
    <w:p w14:paraId="643CC2F9" w14:textId="70023C3F" w:rsidR="00CB1EE4" w:rsidRPr="00845DDC" w:rsidRDefault="00845DDC" w:rsidP="00845DDC">
      <w:pPr>
        <w:pStyle w:val="Heading1"/>
        <w:rPr>
          <w:b/>
          <w:bCs/>
          <w:sz w:val="24"/>
          <w:szCs w:val="24"/>
        </w:rPr>
      </w:pPr>
      <w:bookmarkStart w:id="11" w:name="_Toc77246463"/>
      <w:r w:rsidRPr="00845DDC">
        <w:rPr>
          <w:b/>
          <w:bCs/>
          <w:sz w:val="24"/>
          <w:szCs w:val="24"/>
        </w:rPr>
        <w:t xml:space="preserve">Appendix </w:t>
      </w:r>
      <w:r w:rsidR="00071F9D">
        <w:rPr>
          <w:b/>
          <w:bCs/>
          <w:sz w:val="24"/>
          <w:szCs w:val="24"/>
        </w:rPr>
        <w:t>4</w:t>
      </w:r>
      <w:r w:rsidRPr="00845DDC">
        <w:rPr>
          <w:b/>
          <w:bCs/>
          <w:sz w:val="24"/>
          <w:szCs w:val="24"/>
        </w:rPr>
        <w:t xml:space="preserve"> – Reasonable and limited assurance</w:t>
      </w:r>
      <w:bookmarkEnd w:id="11"/>
      <w:r w:rsidRPr="00845DDC">
        <w:rPr>
          <w:b/>
          <w:bCs/>
          <w:sz w:val="24"/>
          <w:szCs w:val="24"/>
        </w:rPr>
        <w:t xml:space="preserve"> </w:t>
      </w:r>
    </w:p>
    <w:p w14:paraId="23239AD9" w14:textId="77777777" w:rsidR="00845DDC" w:rsidRPr="00845DDC" w:rsidRDefault="00845DDC" w:rsidP="00845DDC"/>
    <w:p w14:paraId="4A59F208" w14:textId="0B7F0CC6" w:rsidR="00D53D17" w:rsidRPr="00B241F4" w:rsidRDefault="00D53D17" w:rsidP="00B241F4">
      <w:pPr>
        <w:spacing w:after="160"/>
        <w:rPr>
          <w:rFonts w:ascii="Open Sans" w:hAnsi="Open Sans" w:cs="Open Sans"/>
          <w:b/>
          <w:bCs/>
          <w:sz w:val="21"/>
          <w:szCs w:val="21"/>
        </w:rPr>
      </w:pPr>
      <w:r w:rsidRPr="00FA2837">
        <w:rPr>
          <w:rFonts w:ascii="Open Sans" w:hAnsi="Open Sans" w:cs="Open Sans"/>
          <w:b/>
          <w:bCs/>
          <w:sz w:val="21"/>
          <w:szCs w:val="21"/>
        </w:rPr>
        <w:t>ASAE 3150, Definitions</w:t>
      </w:r>
      <w:r w:rsidR="000943D5" w:rsidRPr="00FA2837">
        <w:rPr>
          <w:rFonts w:ascii="Open Sans" w:hAnsi="Open Sans" w:cs="Open Sans"/>
          <w:b/>
          <w:bCs/>
          <w:sz w:val="21"/>
          <w:szCs w:val="21"/>
        </w:rPr>
        <w:t xml:space="preserve"> (Ref: Para. 17(jj) and 17(bb))</w:t>
      </w:r>
      <w:r w:rsidRPr="00FA2837">
        <w:rPr>
          <w:rFonts w:ascii="Open Sans" w:hAnsi="Open Sans" w:cs="Open Sans"/>
          <w:b/>
          <w:bCs/>
          <w:sz w:val="21"/>
          <w:szCs w:val="21"/>
        </w:rPr>
        <w:t>:</w:t>
      </w:r>
    </w:p>
    <w:p w14:paraId="36DA4CE3" w14:textId="2988C1B0" w:rsidR="005E3989" w:rsidRPr="00B241F4" w:rsidRDefault="005E3989" w:rsidP="00B241F4">
      <w:pPr>
        <w:spacing w:after="160"/>
        <w:rPr>
          <w:rFonts w:ascii="Open Sans" w:hAnsi="Open Sans" w:cs="Open Sans"/>
          <w:i/>
          <w:iCs/>
          <w:sz w:val="21"/>
          <w:szCs w:val="21"/>
          <w:u w:val="single"/>
        </w:rPr>
      </w:pPr>
      <w:r w:rsidRPr="006B75C0">
        <w:rPr>
          <w:rFonts w:ascii="Open Sans" w:hAnsi="Open Sans" w:cs="Open Sans"/>
          <w:b/>
          <w:bCs/>
          <w:i/>
          <w:iCs/>
          <w:sz w:val="21"/>
          <w:szCs w:val="21"/>
        </w:rPr>
        <w:t>Reasonable assurance engagement―</w:t>
      </w:r>
      <w:r w:rsidRPr="006B75C0">
        <w:rPr>
          <w:rFonts w:ascii="Open Sans" w:hAnsi="Open Sans" w:cs="Open Sans"/>
          <w:i/>
          <w:iCs/>
          <w:sz w:val="21"/>
          <w:szCs w:val="21"/>
        </w:rPr>
        <w:t>An assurance engagement in which the assurance</w:t>
      </w:r>
      <w:r w:rsidR="006B75C0">
        <w:rPr>
          <w:rFonts w:ascii="Open Sans" w:hAnsi="Open Sans" w:cs="Open Sans"/>
          <w:i/>
          <w:iCs/>
          <w:sz w:val="21"/>
          <w:szCs w:val="21"/>
        </w:rPr>
        <w:t xml:space="preserve"> </w:t>
      </w:r>
      <w:r w:rsidRPr="006B75C0">
        <w:rPr>
          <w:rFonts w:ascii="Open Sans" w:hAnsi="Open Sans" w:cs="Open Sans"/>
          <w:i/>
          <w:iCs/>
          <w:sz w:val="21"/>
          <w:szCs w:val="21"/>
        </w:rPr>
        <w:t>practitioner reduces engagement risk to an acceptably low level in the circumstances</w:t>
      </w:r>
      <w:r w:rsidR="006B75C0">
        <w:rPr>
          <w:rFonts w:ascii="Open Sans" w:hAnsi="Open Sans" w:cs="Open Sans"/>
          <w:i/>
          <w:iCs/>
          <w:sz w:val="21"/>
          <w:szCs w:val="21"/>
        </w:rPr>
        <w:t xml:space="preserve"> </w:t>
      </w:r>
      <w:r w:rsidRPr="006B75C0">
        <w:rPr>
          <w:rFonts w:ascii="Open Sans" w:hAnsi="Open Sans" w:cs="Open Sans"/>
          <w:i/>
          <w:iCs/>
          <w:sz w:val="21"/>
          <w:szCs w:val="21"/>
        </w:rPr>
        <w:t>of the</w:t>
      </w:r>
      <w:r w:rsidR="006B75C0">
        <w:rPr>
          <w:rFonts w:ascii="Open Sans" w:hAnsi="Open Sans" w:cs="Open Sans"/>
          <w:i/>
          <w:iCs/>
          <w:sz w:val="21"/>
          <w:szCs w:val="21"/>
        </w:rPr>
        <w:t xml:space="preserve"> </w:t>
      </w:r>
      <w:r w:rsidRPr="006B75C0">
        <w:rPr>
          <w:rFonts w:ascii="Open Sans" w:hAnsi="Open Sans" w:cs="Open Sans"/>
          <w:i/>
          <w:iCs/>
          <w:sz w:val="21"/>
          <w:szCs w:val="21"/>
        </w:rPr>
        <w:t>engagement as the basis for the assurance practitioner’s conclusion. The</w:t>
      </w:r>
      <w:r w:rsidR="006B75C0">
        <w:rPr>
          <w:rFonts w:ascii="Open Sans" w:hAnsi="Open Sans" w:cs="Open Sans"/>
          <w:i/>
          <w:iCs/>
          <w:sz w:val="21"/>
          <w:szCs w:val="21"/>
        </w:rPr>
        <w:t xml:space="preserve"> </w:t>
      </w:r>
      <w:r w:rsidRPr="006B75C0">
        <w:rPr>
          <w:rFonts w:ascii="Open Sans" w:hAnsi="Open Sans" w:cs="Open Sans"/>
          <w:i/>
          <w:iCs/>
          <w:sz w:val="21"/>
          <w:szCs w:val="21"/>
        </w:rPr>
        <w:t>assurance practitioner’s</w:t>
      </w:r>
      <w:r w:rsidR="006B75C0">
        <w:rPr>
          <w:rFonts w:ascii="Open Sans" w:hAnsi="Open Sans" w:cs="Open Sans"/>
          <w:i/>
          <w:iCs/>
          <w:sz w:val="21"/>
          <w:szCs w:val="21"/>
        </w:rPr>
        <w:t xml:space="preserve"> </w:t>
      </w:r>
      <w:r w:rsidRPr="006B75C0">
        <w:rPr>
          <w:rFonts w:ascii="Open Sans" w:hAnsi="Open Sans" w:cs="Open Sans"/>
          <w:i/>
          <w:iCs/>
          <w:sz w:val="21"/>
          <w:szCs w:val="21"/>
        </w:rPr>
        <w:t>conclusion is expressed in a form that conveys the assurance</w:t>
      </w:r>
      <w:r w:rsidR="006B75C0">
        <w:rPr>
          <w:rFonts w:ascii="Open Sans" w:hAnsi="Open Sans" w:cs="Open Sans"/>
          <w:i/>
          <w:iCs/>
          <w:sz w:val="21"/>
          <w:szCs w:val="21"/>
        </w:rPr>
        <w:t xml:space="preserve"> </w:t>
      </w:r>
      <w:r w:rsidRPr="006B75C0">
        <w:rPr>
          <w:rFonts w:ascii="Open Sans" w:hAnsi="Open Sans" w:cs="Open Sans"/>
          <w:i/>
          <w:iCs/>
          <w:sz w:val="21"/>
          <w:szCs w:val="21"/>
        </w:rPr>
        <w:t>practitioner’s opinion on the</w:t>
      </w:r>
      <w:r w:rsidR="006B75C0">
        <w:rPr>
          <w:rFonts w:ascii="Open Sans" w:hAnsi="Open Sans" w:cs="Open Sans"/>
          <w:i/>
          <w:iCs/>
          <w:sz w:val="21"/>
          <w:szCs w:val="21"/>
        </w:rPr>
        <w:t xml:space="preserve"> </w:t>
      </w:r>
      <w:r w:rsidRPr="006B75C0">
        <w:rPr>
          <w:rFonts w:ascii="Open Sans" w:hAnsi="Open Sans" w:cs="Open Sans"/>
          <w:i/>
          <w:iCs/>
          <w:sz w:val="21"/>
          <w:szCs w:val="21"/>
        </w:rPr>
        <w:t>outcome of the measurement or evaluation of the</w:t>
      </w:r>
      <w:r w:rsidR="006B75C0">
        <w:rPr>
          <w:rFonts w:ascii="Open Sans" w:hAnsi="Open Sans" w:cs="Open Sans"/>
          <w:i/>
          <w:iCs/>
          <w:sz w:val="21"/>
          <w:szCs w:val="21"/>
        </w:rPr>
        <w:t xml:space="preserve"> </w:t>
      </w:r>
      <w:r w:rsidRPr="006B75C0">
        <w:rPr>
          <w:rFonts w:ascii="Open Sans" w:hAnsi="Open Sans" w:cs="Open Sans"/>
          <w:i/>
          <w:iCs/>
          <w:sz w:val="21"/>
          <w:szCs w:val="21"/>
        </w:rPr>
        <w:t>underlying subject matter against criteria.</w:t>
      </w:r>
    </w:p>
    <w:p w14:paraId="26E5C1FA" w14:textId="3137CDB1" w:rsidR="0074337C" w:rsidRDefault="005E3989" w:rsidP="00845DDC">
      <w:pPr>
        <w:spacing w:after="160"/>
        <w:rPr>
          <w:rFonts w:ascii="Open Sans" w:hAnsi="Open Sans" w:cs="Open Sans"/>
          <w:i/>
          <w:iCs/>
          <w:sz w:val="21"/>
          <w:szCs w:val="21"/>
        </w:rPr>
      </w:pPr>
      <w:r w:rsidRPr="006B75C0">
        <w:rPr>
          <w:rFonts w:ascii="Open Sans" w:hAnsi="Open Sans" w:cs="Open Sans"/>
          <w:b/>
          <w:bCs/>
          <w:i/>
          <w:iCs/>
          <w:sz w:val="21"/>
          <w:szCs w:val="21"/>
        </w:rPr>
        <w:t>Limited assurance engagement―</w:t>
      </w:r>
      <w:r w:rsidRPr="006B75C0">
        <w:rPr>
          <w:rFonts w:ascii="Open Sans" w:hAnsi="Open Sans" w:cs="Open Sans"/>
          <w:i/>
          <w:iCs/>
          <w:sz w:val="21"/>
          <w:szCs w:val="21"/>
        </w:rPr>
        <w:t>An assurance engagement in which the assurance</w:t>
      </w:r>
      <w:r w:rsidR="006B75C0">
        <w:rPr>
          <w:rFonts w:ascii="Open Sans" w:hAnsi="Open Sans" w:cs="Open Sans"/>
          <w:i/>
          <w:iCs/>
          <w:sz w:val="21"/>
          <w:szCs w:val="21"/>
        </w:rPr>
        <w:t xml:space="preserve"> </w:t>
      </w:r>
      <w:r w:rsidRPr="006B75C0">
        <w:rPr>
          <w:rFonts w:ascii="Open Sans" w:hAnsi="Open Sans" w:cs="Open Sans"/>
          <w:i/>
          <w:iCs/>
          <w:sz w:val="21"/>
          <w:szCs w:val="21"/>
        </w:rPr>
        <w:t>practitioner reduces engagement risk to a level that is acceptable in the circumstances</w:t>
      </w:r>
      <w:r w:rsidR="006B75C0">
        <w:rPr>
          <w:rFonts w:ascii="Open Sans" w:hAnsi="Open Sans" w:cs="Open Sans"/>
          <w:i/>
          <w:iCs/>
          <w:sz w:val="21"/>
          <w:szCs w:val="21"/>
        </w:rPr>
        <w:t xml:space="preserve"> </w:t>
      </w:r>
      <w:r w:rsidRPr="006B75C0">
        <w:rPr>
          <w:rFonts w:ascii="Open Sans" w:hAnsi="Open Sans" w:cs="Open Sans"/>
          <w:i/>
          <w:iCs/>
          <w:sz w:val="21"/>
          <w:szCs w:val="21"/>
        </w:rPr>
        <w:t>of the</w:t>
      </w:r>
      <w:r w:rsidR="006B75C0">
        <w:rPr>
          <w:rFonts w:ascii="Open Sans" w:hAnsi="Open Sans" w:cs="Open Sans"/>
          <w:i/>
          <w:iCs/>
          <w:sz w:val="21"/>
          <w:szCs w:val="21"/>
        </w:rPr>
        <w:t xml:space="preserve"> </w:t>
      </w:r>
      <w:r w:rsidRPr="006B75C0">
        <w:rPr>
          <w:rFonts w:ascii="Open Sans" w:hAnsi="Open Sans" w:cs="Open Sans"/>
          <w:i/>
          <w:iCs/>
          <w:sz w:val="21"/>
          <w:szCs w:val="21"/>
        </w:rPr>
        <w:t>engagement, but where that risk is greater than for a reasonable assurance</w:t>
      </w:r>
      <w:r w:rsidR="006B75C0">
        <w:rPr>
          <w:rFonts w:ascii="Open Sans" w:hAnsi="Open Sans" w:cs="Open Sans"/>
          <w:i/>
          <w:iCs/>
          <w:sz w:val="21"/>
          <w:szCs w:val="21"/>
        </w:rPr>
        <w:t xml:space="preserve"> </w:t>
      </w:r>
      <w:r w:rsidRPr="006B75C0">
        <w:rPr>
          <w:rFonts w:ascii="Open Sans" w:hAnsi="Open Sans" w:cs="Open Sans"/>
          <w:i/>
          <w:iCs/>
          <w:sz w:val="21"/>
          <w:szCs w:val="21"/>
        </w:rPr>
        <w:t>engagement, as the basis for expressing a conclusion in a form that conveys whether,</w:t>
      </w:r>
      <w:r w:rsidR="006B75C0">
        <w:rPr>
          <w:rFonts w:ascii="Open Sans" w:hAnsi="Open Sans" w:cs="Open Sans"/>
          <w:i/>
          <w:iCs/>
          <w:sz w:val="21"/>
          <w:szCs w:val="21"/>
        </w:rPr>
        <w:t xml:space="preserve"> </w:t>
      </w:r>
      <w:r w:rsidRPr="006B75C0">
        <w:rPr>
          <w:rFonts w:ascii="Open Sans" w:hAnsi="Open Sans" w:cs="Open Sans"/>
          <w:i/>
          <w:iCs/>
          <w:sz w:val="21"/>
          <w:szCs w:val="21"/>
        </w:rPr>
        <w:t>based on the procedures performed and evidence obtained, a matter(s) has come to the</w:t>
      </w:r>
      <w:r w:rsidR="006B75C0">
        <w:rPr>
          <w:rFonts w:ascii="Open Sans" w:hAnsi="Open Sans" w:cs="Open Sans"/>
          <w:i/>
          <w:iCs/>
          <w:sz w:val="21"/>
          <w:szCs w:val="21"/>
        </w:rPr>
        <w:t xml:space="preserve"> </w:t>
      </w:r>
      <w:r w:rsidRPr="006B75C0">
        <w:rPr>
          <w:rFonts w:ascii="Open Sans" w:hAnsi="Open Sans" w:cs="Open Sans"/>
          <w:i/>
          <w:iCs/>
          <w:sz w:val="21"/>
          <w:szCs w:val="21"/>
        </w:rPr>
        <w:t>assurance practitioner’s attention to cause the assurance practitioner to believe the</w:t>
      </w:r>
      <w:r w:rsidR="006B75C0">
        <w:rPr>
          <w:rFonts w:ascii="Open Sans" w:hAnsi="Open Sans" w:cs="Open Sans"/>
          <w:i/>
          <w:iCs/>
          <w:sz w:val="21"/>
          <w:szCs w:val="21"/>
        </w:rPr>
        <w:t xml:space="preserve"> </w:t>
      </w:r>
      <w:r w:rsidRPr="006B75C0">
        <w:rPr>
          <w:rFonts w:ascii="Open Sans" w:hAnsi="Open Sans" w:cs="Open Sans"/>
          <w:i/>
          <w:iCs/>
          <w:sz w:val="21"/>
          <w:szCs w:val="21"/>
        </w:rPr>
        <w:t>subject matter information or subject matter is materially misstated. The nature,</w:t>
      </w:r>
      <w:r w:rsidR="006B75C0">
        <w:rPr>
          <w:rFonts w:ascii="Open Sans" w:hAnsi="Open Sans" w:cs="Open Sans"/>
          <w:i/>
          <w:iCs/>
          <w:sz w:val="21"/>
          <w:szCs w:val="21"/>
        </w:rPr>
        <w:t xml:space="preserve"> </w:t>
      </w:r>
      <w:r w:rsidRPr="006B75C0">
        <w:rPr>
          <w:rFonts w:ascii="Open Sans" w:hAnsi="Open Sans" w:cs="Open Sans"/>
          <w:i/>
          <w:iCs/>
          <w:sz w:val="21"/>
          <w:szCs w:val="21"/>
        </w:rPr>
        <w:t>timing and extent of procedures performed in a limited assurance engagement is</w:t>
      </w:r>
      <w:r w:rsidR="006B75C0">
        <w:rPr>
          <w:rFonts w:ascii="Open Sans" w:hAnsi="Open Sans" w:cs="Open Sans"/>
          <w:i/>
          <w:iCs/>
          <w:sz w:val="21"/>
          <w:szCs w:val="21"/>
        </w:rPr>
        <w:t xml:space="preserve"> </w:t>
      </w:r>
      <w:r w:rsidRPr="006B75C0">
        <w:rPr>
          <w:rFonts w:ascii="Open Sans" w:hAnsi="Open Sans" w:cs="Open Sans"/>
          <w:i/>
          <w:iCs/>
          <w:sz w:val="21"/>
          <w:szCs w:val="21"/>
        </w:rPr>
        <w:t>limited compared with that necessary in a reasonable assurance engagement but is</w:t>
      </w:r>
      <w:r w:rsidR="006B75C0">
        <w:rPr>
          <w:rFonts w:ascii="Open Sans" w:hAnsi="Open Sans" w:cs="Open Sans"/>
          <w:i/>
          <w:iCs/>
          <w:sz w:val="21"/>
          <w:szCs w:val="21"/>
        </w:rPr>
        <w:t xml:space="preserve"> </w:t>
      </w:r>
      <w:r w:rsidRPr="006B75C0">
        <w:rPr>
          <w:rFonts w:ascii="Open Sans" w:hAnsi="Open Sans" w:cs="Open Sans"/>
          <w:i/>
          <w:iCs/>
          <w:sz w:val="21"/>
          <w:szCs w:val="21"/>
        </w:rPr>
        <w:t>planned to obtain a level of assurance that is, in the assurance practitioner’s</w:t>
      </w:r>
      <w:r w:rsidR="00B241F4">
        <w:rPr>
          <w:rFonts w:ascii="Open Sans" w:hAnsi="Open Sans" w:cs="Open Sans"/>
          <w:i/>
          <w:iCs/>
          <w:sz w:val="21"/>
          <w:szCs w:val="21"/>
        </w:rPr>
        <w:t xml:space="preserve"> </w:t>
      </w:r>
      <w:r w:rsidRPr="006B75C0">
        <w:rPr>
          <w:rFonts w:ascii="Open Sans" w:hAnsi="Open Sans" w:cs="Open Sans"/>
          <w:i/>
          <w:iCs/>
          <w:sz w:val="21"/>
          <w:szCs w:val="21"/>
        </w:rPr>
        <w:t>professional judgement, meaningful. To be meaningful, the level of assurance</w:t>
      </w:r>
      <w:r w:rsidR="006B75C0">
        <w:rPr>
          <w:rFonts w:ascii="Open Sans" w:hAnsi="Open Sans" w:cs="Open Sans"/>
          <w:i/>
          <w:iCs/>
          <w:sz w:val="21"/>
          <w:szCs w:val="21"/>
        </w:rPr>
        <w:t xml:space="preserve"> </w:t>
      </w:r>
      <w:r w:rsidRPr="006B75C0">
        <w:rPr>
          <w:rFonts w:ascii="Open Sans" w:hAnsi="Open Sans" w:cs="Open Sans"/>
          <w:i/>
          <w:iCs/>
          <w:sz w:val="21"/>
          <w:szCs w:val="21"/>
        </w:rPr>
        <w:t>obtained by the assurance practitioner is likely to enhance the intended users’</w:t>
      </w:r>
      <w:r w:rsidR="006B75C0">
        <w:rPr>
          <w:rFonts w:ascii="Open Sans" w:hAnsi="Open Sans" w:cs="Open Sans"/>
          <w:i/>
          <w:iCs/>
          <w:sz w:val="21"/>
          <w:szCs w:val="21"/>
        </w:rPr>
        <w:t xml:space="preserve"> </w:t>
      </w:r>
      <w:r w:rsidRPr="006B75C0">
        <w:rPr>
          <w:rFonts w:ascii="Open Sans" w:hAnsi="Open Sans" w:cs="Open Sans"/>
          <w:i/>
          <w:iCs/>
          <w:sz w:val="21"/>
          <w:szCs w:val="21"/>
        </w:rPr>
        <w:t>confidence about the subject matter information or subject matter to a degree that is</w:t>
      </w:r>
      <w:r w:rsidR="00B241F4">
        <w:rPr>
          <w:rFonts w:ascii="Open Sans" w:hAnsi="Open Sans" w:cs="Open Sans"/>
          <w:i/>
          <w:iCs/>
          <w:sz w:val="21"/>
          <w:szCs w:val="21"/>
        </w:rPr>
        <w:t xml:space="preserve"> </w:t>
      </w:r>
      <w:r w:rsidRPr="006B75C0">
        <w:rPr>
          <w:rFonts w:ascii="Open Sans" w:hAnsi="Open Sans" w:cs="Open Sans"/>
          <w:i/>
          <w:iCs/>
          <w:sz w:val="21"/>
          <w:szCs w:val="21"/>
        </w:rPr>
        <w:t>clearly more than inconsequential.</w:t>
      </w:r>
      <w:bookmarkStart w:id="12" w:name="_Appendix_5_–"/>
      <w:bookmarkEnd w:id="12"/>
    </w:p>
    <w:p w14:paraId="64D88C27" w14:textId="77777777" w:rsidR="0074337C" w:rsidRPr="00845DDC" w:rsidRDefault="0074337C" w:rsidP="00845DDC">
      <w:pPr>
        <w:spacing w:after="160"/>
        <w:rPr>
          <w:rFonts w:ascii="Open Sans" w:hAnsi="Open Sans" w:cs="Open Sans"/>
          <w:i/>
          <w:iCs/>
          <w:sz w:val="21"/>
          <w:szCs w:val="21"/>
        </w:rPr>
      </w:pPr>
      <w:bookmarkStart w:id="13" w:name="_Appendix_4_–"/>
      <w:bookmarkEnd w:id="13"/>
    </w:p>
    <w:sectPr w:rsidR="0074337C" w:rsidRPr="00845DD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C73B3" w14:textId="77777777" w:rsidR="001E339E" w:rsidRDefault="001E339E" w:rsidP="005C389A">
      <w:r>
        <w:separator/>
      </w:r>
    </w:p>
  </w:endnote>
  <w:endnote w:type="continuationSeparator" w:id="0">
    <w:p w14:paraId="3A4E885F" w14:textId="77777777" w:rsidR="001E339E" w:rsidRDefault="001E339E" w:rsidP="005C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3D486" w14:textId="77777777" w:rsidR="001E339E" w:rsidRDefault="001E339E" w:rsidP="005C389A">
      <w:r>
        <w:separator/>
      </w:r>
    </w:p>
  </w:footnote>
  <w:footnote w:type="continuationSeparator" w:id="0">
    <w:p w14:paraId="0C9AC925" w14:textId="77777777" w:rsidR="001E339E" w:rsidRDefault="001E339E" w:rsidP="005C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602B5" w14:textId="77777777" w:rsidR="005C389A" w:rsidRPr="00F95399" w:rsidRDefault="005C389A" w:rsidP="005C389A">
    <w:pPr>
      <w:pStyle w:val="Header"/>
      <w:jc w:val="right"/>
      <w:rPr>
        <w:rFonts w:cs="Open Sans"/>
        <w:szCs w:val="20"/>
      </w:rPr>
    </w:pPr>
    <w:r w:rsidRPr="00F95399">
      <w:rPr>
        <w:rFonts w:cs="Open Sans"/>
        <w:noProof/>
        <w:szCs w:val="20"/>
      </w:rPr>
      <w:drawing>
        <wp:anchor distT="0" distB="0" distL="114300" distR="114300" simplePos="0" relativeHeight="251659264" behindDoc="0" locked="0" layoutInCell="1" allowOverlap="1" wp14:anchorId="135F8A77" wp14:editId="534FB3B2">
          <wp:simplePos x="0" y="0"/>
          <wp:positionH relativeFrom="column">
            <wp:posOffset>0</wp:posOffset>
          </wp:positionH>
          <wp:positionV relativeFrom="paragraph">
            <wp:posOffset>0</wp:posOffset>
          </wp:positionV>
          <wp:extent cx="2658745" cy="408305"/>
          <wp:effectExtent l="0" t="0" r="0" b="0"/>
          <wp:wrapThrough wrapText="bothSides">
            <wp:wrapPolygon edited="0">
              <wp:start x="103" y="0"/>
              <wp:lineTo x="0" y="4031"/>
              <wp:lineTo x="0" y="20827"/>
              <wp:lineTo x="310" y="20827"/>
              <wp:lineTo x="21461" y="15453"/>
              <wp:lineTo x="21461" y="0"/>
              <wp:lineTo x="1857" y="0"/>
              <wp:lineTo x="103"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658745" cy="408305"/>
                  </a:xfrm>
                  <a:prstGeom prst="rect">
                    <a:avLst/>
                  </a:prstGeom>
                </pic:spPr>
              </pic:pic>
            </a:graphicData>
          </a:graphic>
          <wp14:sizeRelH relativeFrom="page">
            <wp14:pctWidth>0</wp14:pctWidth>
          </wp14:sizeRelH>
          <wp14:sizeRelV relativeFrom="page">
            <wp14:pctHeight>0</wp14:pctHeight>
          </wp14:sizeRelV>
        </wp:anchor>
      </w:drawing>
    </w:r>
    <w:r w:rsidRPr="00F95399">
      <w:rPr>
        <w:rFonts w:cs="Open Sans"/>
        <w:szCs w:val="20"/>
      </w:rPr>
      <w:t>AssuranceLab Pty Ltd</w:t>
    </w:r>
  </w:p>
  <w:p w14:paraId="4E729D30" w14:textId="77777777" w:rsidR="005C389A" w:rsidRPr="00A06DE3" w:rsidRDefault="005C389A" w:rsidP="005C389A">
    <w:pPr>
      <w:tabs>
        <w:tab w:val="right" w:pos="8640"/>
      </w:tabs>
      <w:jc w:val="right"/>
      <w:rPr>
        <w:rFonts w:cs="Open Sans"/>
        <w:szCs w:val="20"/>
      </w:rPr>
    </w:pPr>
    <w:r w:rsidRPr="00F95399">
      <w:rPr>
        <w:rFonts w:cs="Open Sans"/>
        <w:szCs w:val="20"/>
      </w:rPr>
      <w:t>ABN 25 633 120 108</w:t>
    </w:r>
  </w:p>
  <w:p w14:paraId="1E052690" w14:textId="77777777" w:rsidR="005C389A" w:rsidRPr="00F95399" w:rsidRDefault="005C389A" w:rsidP="005C389A">
    <w:pPr>
      <w:jc w:val="right"/>
      <w:rPr>
        <w:rFonts w:cs="Open Sans"/>
        <w:b/>
        <w:bCs/>
        <w:i/>
        <w:iCs/>
        <w:color w:val="000000"/>
        <w:sz w:val="14"/>
        <w:szCs w:val="14"/>
      </w:rPr>
    </w:pPr>
    <w:r w:rsidRPr="00F95399">
      <w:rPr>
        <w:rFonts w:cs="Open Sans"/>
        <w:b/>
        <w:bCs/>
        <w:i/>
        <w:iCs/>
        <w:color w:val="000000"/>
        <w:sz w:val="14"/>
        <w:szCs w:val="14"/>
      </w:rPr>
      <w:t xml:space="preserve">Liability limited by a scheme approved under </w:t>
    </w:r>
  </w:p>
  <w:p w14:paraId="46A519E9" w14:textId="77777777" w:rsidR="005C389A" w:rsidRDefault="005C389A" w:rsidP="005C389A">
    <w:pPr>
      <w:jc w:val="right"/>
      <w:rPr>
        <w:rFonts w:cs="Open Sans"/>
        <w:b/>
        <w:bCs/>
        <w:i/>
        <w:iCs/>
        <w:color w:val="000000"/>
        <w:sz w:val="14"/>
        <w:szCs w:val="14"/>
      </w:rPr>
    </w:pPr>
    <w:r w:rsidRPr="00F95399">
      <w:rPr>
        <w:rFonts w:cs="Open Sans"/>
        <w:b/>
        <w:bCs/>
        <w:i/>
        <w:iCs/>
        <w:color w:val="000000"/>
        <w:sz w:val="14"/>
        <w:szCs w:val="14"/>
      </w:rPr>
      <w:t>Professional Standards Legislation</w:t>
    </w:r>
  </w:p>
  <w:p w14:paraId="796FFAB8" w14:textId="77777777" w:rsidR="005C389A" w:rsidRDefault="005C3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1EFE"/>
    <w:multiLevelType w:val="hybridMultilevel"/>
    <w:tmpl w:val="65944D46"/>
    <w:lvl w:ilvl="0" w:tplc="45DC66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73CAC"/>
    <w:multiLevelType w:val="hybridMultilevel"/>
    <w:tmpl w:val="8A3E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55C48"/>
    <w:multiLevelType w:val="hybridMultilevel"/>
    <w:tmpl w:val="24A641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8C02A5"/>
    <w:multiLevelType w:val="hybridMultilevel"/>
    <w:tmpl w:val="9622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A4236"/>
    <w:multiLevelType w:val="hybridMultilevel"/>
    <w:tmpl w:val="E23A7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627B75"/>
    <w:multiLevelType w:val="hybridMultilevel"/>
    <w:tmpl w:val="F0989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595CA0"/>
    <w:multiLevelType w:val="hybridMultilevel"/>
    <w:tmpl w:val="3ACA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4418A"/>
    <w:multiLevelType w:val="hybridMultilevel"/>
    <w:tmpl w:val="96EC5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8311C"/>
    <w:multiLevelType w:val="hybridMultilevel"/>
    <w:tmpl w:val="6E62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67200"/>
    <w:multiLevelType w:val="hybridMultilevel"/>
    <w:tmpl w:val="62605EE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5B6E6548"/>
    <w:multiLevelType w:val="hybridMultilevel"/>
    <w:tmpl w:val="6CFE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3BA"/>
    <w:multiLevelType w:val="hybridMultilevel"/>
    <w:tmpl w:val="AF783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20652"/>
    <w:multiLevelType w:val="hybridMultilevel"/>
    <w:tmpl w:val="AD10AB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E07507"/>
    <w:multiLevelType w:val="hybridMultilevel"/>
    <w:tmpl w:val="EB280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7475D"/>
    <w:multiLevelType w:val="hybridMultilevel"/>
    <w:tmpl w:val="96F84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A4664E"/>
    <w:multiLevelType w:val="hybridMultilevel"/>
    <w:tmpl w:val="28CA1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3234AF"/>
    <w:multiLevelType w:val="hybridMultilevel"/>
    <w:tmpl w:val="9E18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20459"/>
    <w:multiLevelType w:val="hybridMultilevel"/>
    <w:tmpl w:val="5CFC8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5020AB"/>
    <w:multiLevelType w:val="hybridMultilevel"/>
    <w:tmpl w:val="0D7E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2"/>
  </w:num>
  <w:num w:numId="5">
    <w:abstractNumId w:val="0"/>
  </w:num>
  <w:num w:numId="6">
    <w:abstractNumId w:val="4"/>
  </w:num>
  <w:num w:numId="7">
    <w:abstractNumId w:val="8"/>
  </w:num>
  <w:num w:numId="8">
    <w:abstractNumId w:val="16"/>
  </w:num>
  <w:num w:numId="9">
    <w:abstractNumId w:val="6"/>
  </w:num>
  <w:num w:numId="10">
    <w:abstractNumId w:val="14"/>
  </w:num>
  <w:num w:numId="11">
    <w:abstractNumId w:val="17"/>
  </w:num>
  <w:num w:numId="12">
    <w:abstractNumId w:val="7"/>
  </w:num>
  <w:num w:numId="13">
    <w:abstractNumId w:val="3"/>
  </w:num>
  <w:num w:numId="14">
    <w:abstractNumId w:val="18"/>
  </w:num>
  <w:num w:numId="15">
    <w:abstractNumId w:val="12"/>
  </w:num>
  <w:num w:numId="16">
    <w:abstractNumId w:val="11"/>
  </w:num>
  <w:num w:numId="17">
    <w:abstractNumId w:val="1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54"/>
    <w:rsid w:val="00024E97"/>
    <w:rsid w:val="000361FE"/>
    <w:rsid w:val="0004012C"/>
    <w:rsid w:val="000500BD"/>
    <w:rsid w:val="00065335"/>
    <w:rsid w:val="00065367"/>
    <w:rsid w:val="00071F9D"/>
    <w:rsid w:val="000943D5"/>
    <w:rsid w:val="000F159F"/>
    <w:rsid w:val="001034CD"/>
    <w:rsid w:val="00105E67"/>
    <w:rsid w:val="0011474B"/>
    <w:rsid w:val="00114DC3"/>
    <w:rsid w:val="00120753"/>
    <w:rsid w:val="00136F36"/>
    <w:rsid w:val="00160CD3"/>
    <w:rsid w:val="00193B2A"/>
    <w:rsid w:val="00193D74"/>
    <w:rsid w:val="001A2CAF"/>
    <w:rsid w:val="001B52CD"/>
    <w:rsid w:val="001C1AD3"/>
    <w:rsid w:val="001C5E0C"/>
    <w:rsid w:val="001E339E"/>
    <w:rsid w:val="001E4942"/>
    <w:rsid w:val="001F724D"/>
    <w:rsid w:val="00217D80"/>
    <w:rsid w:val="00222C19"/>
    <w:rsid w:val="00271ED0"/>
    <w:rsid w:val="002759E4"/>
    <w:rsid w:val="002A5F24"/>
    <w:rsid w:val="002B5F48"/>
    <w:rsid w:val="002C565C"/>
    <w:rsid w:val="002D015A"/>
    <w:rsid w:val="002D0A75"/>
    <w:rsid w:val="002E5D50"/>
    <w:rsid w:val="00306F5F"/>
    <w:rsid w:val="003330AC"/>
    <w:rsid w:val="00355A2C"/>
    <w:rsid w:val="003636C7"/>
    <w:rsid w:val="0036447E"/>
    <w:rsid w:val="00365D16"/>
    <w:rsid w:val="0037226F"/>
    <w:rsid w:val="00373C68"/>
    <w:rsid w:val="00382A47"/>
    <w:rsid w:val="003B781B"/>
    <w:rsid w:val="003D5766"/>
    <w:rsid w:val="003F25A6"/>
    <w:rsid w:val="00414432"/>
    <w:rsid w:val="0042117D"/>
    <w:rsid w:val="00434B69"/>
    <w:rsid w:val="0044101B"/>
    <w:rsid w:val="004410A1"/>
    <w:rsid w:val="0044139D"/>
    <w:rsid w:val="004417D3"/>
    <w:rsid w:val="00441D9C"/>
    <w:rsid w:val="00452CAD"/>
    <w:rsid w:val="004546C1"/>
    <w:rsid w:val="00454BDE"/>
    <w:rsid w:val="0046738A"/>
    <w:rsid w:val="00473B88"/>
    <w:rsid w:val="00480FED"/>
    <w:rsid w:val="00494682"/>
    <w:rsid w:val="004B1A3A"/>
    <w:rsid w:val="004B4AF9"/>
    <w:rsid w:val="004C72EF"/>
    <w:rsid w:val="004D21AD"/>
    <w:rsid w:val="004E0B41"/>
    <w:rsid w:val="00500E74"/>
    <w:rsid w:val="005037D8"/>
    <w:rsid w:val="00534907"/>
    <w:rsid w:val="005631DC"/>
    <w:rsid w:val="00570B7A"/>
    <w:rsid w:val="00582CF2"/>
    <w:rsid w:val="005914D2"/>
    <w:rsid w:val="005C389A"/>
    <w:rsid w:val="005D7BCD"/>
    <w:rsid w:val="005E3989"/>
    <w:rsid w:val="005E6921"/>
    <w:rsid w:val="00631154"/>
    <w:rsid w:val="00664B8F"/>
    <w:rsid w:val="00665833"/>
    <w:rsid w:val="0067703B"/>
    <w:rsid w:val="00680253"/>
    <w:rsid w:val="006A7E46"/>
    <w:rsid w:val="006B75C0"/>
    <w:rsid w:val="006C5FC3"/>
    <w:rsid w:val="006E6861"/>
    <w:rsid w:val="006F2974"/>
    <w:rsid w:val="00703F17"/>
    <w:rsid w:val="00715892"/>
    <w:rsid w:val="0073547B"/>
    <w:rsid w:val="00737BC3"/>
    <w:rsid w:val="0074337C"/>
    <w:rsid w:val="00780FDF"/>
    <w:rsid w:val="007939B1"/>
    <w:rsid w:val="007A3221"/>
    <w:rsid w:val="007B5301"/>
    <w:rsid w:val="007C1DC0"/>
    <w:rsid w:val="007C2107"/>
    <w:rsid w:val="007C583B"/>
    <w:rsid w:val="007C58B7"/>
    <w:rsid w:val="007F1374"/>
    <w:rsid w:val="00806177"/>
    <w:rsid w:val="0080724A"/>
    <w:rsid w:val="00812F83"/>
    <w:rsid w:val="00832C11"/>
    <w:rsid w:val="00844479"/>
    <w:rsid w:val="00845DDC"/>
    <w:rsid w:val="00852B0B"/>
    <w:rsid w:val="008846B9"/>
    <w:rsid w:val="008A4ADB"/>
    <w:rsid w:val="008A7484"/>
    <w:rsid w:val="008B130C"/>
    <w:rsid w:val="008B2CD9"/>
    <w:rsid w:val="008B2D8E"/>
    <w:rsid w:val="008E6672"/>
    <w:rsid w:val="009101E7"/>
    <w:rsid w:val="009205D5"/>
    <w:rsid w:val="009448D3"/>
    <w:rsid w:val="00945AA3"/>
    <w:rsid w:val="00952F91"/>
    <w:rsid w:val="00970058"/>
    <w:rsid w:val="00976006"/>
    <w:rsid w:val="00993D4A"/>
    <w:rsid w:val="009943AE"/>
    <w:rsid w:val="00996A5E"/>
    <w:rsid w:val="009A110F"/>
    <w:rsid w:val="009A1F24"/>
    <w:rsid w:val="009E728B"/>
    <w:rsid w:val="00A074C8"/>
    <w:rsid w:val="00A11248"/>
    <w:rsid w:val="00A148F6"/>
    <w:rsid w:val="00A255DD"/>
    <w:rsid w:val="00A54EE4"/>
    <w:rsid w:val="00A60E72"/>
    <w:rsid w:val="00A70FCE"/>
    <w:rsid w:val="00A7650C"/>
    <w:rsid w:val="00A90598"/>
    <w:rsid w:val="00A9710B"/>
    <w:rsid w:val="00AA29C9"/>
    <w:rsid w:val="00AA2DCE"/>
    <w:rsid w:val="00AB6761"/>
    <w:rsid w:val="00AC3247"/>
    <w:rsid w:val="00AC52E8"/>
    <w:rsid w:val="00AD6C01"/>
    <w:rsid w:val="00AE105A"/>
    <w:rsid w:val="00B13DA9"/>
    <w:rsid w:val="00B17CE9"/>
    <w:rsid w:val="00B241F4"/>
    <w:rsid w:val="00B644A7"/>
    <w:rsid w:val="00B65B13"/>
    <w:rsid w:val="00B734F4"/>
    <w:rsid w:val="00B8398C"/>
    <w:rsid w:val="00B91853"/>
    <w:rsid w:val="00B97FCB"/>
    <w:rsid w:val="00BB358D"/>
    <w:rsid w:val="00BB3DB7"/>
    <w:rsid w:val="00BB4AF6"/>
    <w:rsid w:val="00BD16C8"/>
    <w:rsid w:val="00BD5F9E"/>
    <w:rsid w:val="00BD6E6F"/>
    <w:rsid w:val="00BE4EA4"/>
    <w:rsid w:val="00BE6C85"/>
    <w:rsid w:val="00C1261D"/>
    <w:rsid w:val="00C266A2"/>
    <w:rsid w:val="00C4013E"/>
    <w:rsid w:val="00C66708"/>
    <w:rsid w:val="00C86341"/>
    <w:rsid w:val="00CA3E7F"/>
    <w:rsid w:val="00CB1EE4"/>
    <w:rsid w:val="00CD3F76"/>
    <w:rsid w:val="00CE0375"/>
    <w:rsid w:val="00CF639F"/>
    <w:rsid w:val="00CF6E8C"/>
    <w:rsid w:val="00D10308"/>
    <w:rsid w:val="00D179FF"/>
    <w:rsid w:val="00D245A9"/>
    <w:rsid w:val="00D37CBE"/>
    <w:rsid w:val="00D53D17"/>
    <w:rsid w:val="00D54FF5"/>
    <w:rsid w:val="00D5683B"/>
    <w:rsid w:val="00D6300B"/>
    <w:rsid w:val="00D71DB8"/>
    <w:rsid w:val="00D72452"/>
    <w:rsid w:val="00D81C1A"/>
    <w:rsid w:val="00DF1B14"/>
    <w:rsid w:val="00DF4DB3"/>
    <w:rsid w:val="00DF7665"/>
    <w:rsid w:val="00E0474D"/>
    <w:rsid w:val="00E05CF9"/>
    <w:rsid w:val="00E156C8"/>
    <w:rsid w:val="00E2070B"/>
    <w:rsid w:val="00E25315"/>
    <w:rsid w:val="00E40461"/>
    <w:rsid w:val="00E464EB"/>
    <w:rsid w:val="00E4703D"/>
    <w:rsid w:val="00E472D9"/>
    <w:rsid w:val="00E50216"/>
    <w:rsid w:val="00E51FEC"/>
    <w:rsid w:val="00E6116D"/>
    <w:rsid w:val="00E8529A"/>
    <w:rsid w:val="00E85B98"/>
    <w:rsid w:val="00E91D34"/>
    <w:rsid w:val="00E93BBB"/>
    <w:rsid w:val="00E97BD9"/>
    <w:rsid w:val="00EA17BC"/>
    <w:rsid w:val="00EB324A"/>
    <w:rsid w:val="00EB45A8"/>
    <w:rsid w:val="00EF0E66"/>
    <w:rsid w:val="00F032E4"/>
    <w:rsid w:val="00F10346"/>
    <w:rsid w:val="00F14869"/>
    <w:rsid w:val="00F24EA1"/>
    <w:rsid w:val="00F5506D"/>
    <w:rsid w:val="00F86BC6"/>
    <w:rsid w:val="00F870F6"/>
    <w:rsid w:val="00F91350"/>
    <w:rsid w:val="00FA2837"/>
    <w:rsid w:val="00FB48D0"/>
    <w:rsid w:val="00FE04D0"/>
    <w:rsid w:val="00FE193C"/>
    <w:rsid w:val="00FF27AD"/>
    <w:rsid w:val="00FF7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22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672"/>
    <w:pPr>
      <w:keepNext/>
      <w:keepLines/>
      <w:spacing w:before="240"/>
      <w:outlineLvl w:val="0"/>
    </w:pPr>
    <w:rPr>
      <w:rFonts w:ascii="Open Sans" w:eastAsiaTheme="majorEastAsia" w:hAnsi="Open Sans" w:cstheme="majorBidi"/>
      <w:color w:val="0078EE"/>
      <w:sz w:val="28"/>
      <w:szCs w:val="32"/>
    </w:rPr>
  </w:style>
  <w:style w:type="paragraph" w:styleId="Heading2">
    <w:name w:val="heading 2"/>
    <w:basedOn w:val="Normal"/>
    <w:next w:val="Normal"/>
    <w:link w:val="Heading2Char"/>
    <w:uiPriority w:val="9"/>
    <w:unhideWhenUsed/>
    <w:qFormat/>
    <w:rsid w:val="00A7650C"/>
    <w:pPr>
      <w:keepNext/>
      <w:keepLines/>
      <w:spacing w:before="40"/>
      <w:outlineLvl w:val="1"/>
    </w:pPr>
    <w:rPr>
      <w:rFonts w:ascii="Open Sans" w:eastAsiaTheme="majorEastAsia" w:hAnsi="Open Sans" w:cstheme="majorBidi"/>
      <w:b/>
      <w:color w:val="0078EE"/>
      <w:szCs w:val="26"/>
    </w:rPr>
  </w:style>
  <w:style w:type="paragraph" w:styleId="Heading3">
    <w:name w:val="heading 3"/>
    <w:basedOn w:val="Normal"/>
    <w:next w:val="Normal"/>
    <w:link w:val="Heading3Char"/>
    <w:uiPriority w:val="9"/>
    <w:semiHidden/>
    <w:unhideWhenUsed/>
    <w:qFormat/>
    <w:rsid w:val="007C58B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C68"/>
    <w:pPr>
      <w:ind w:left="720"/>
      <w:contextualSpacing/>
    </w:pPr>
  </w:style>
  <w:style w:type="paragraph" w:styleId="Header">
    <w:name w:val="header"/>
    <w:basedOn w:val="Normal"/>
    <w:link w:val="HeaderChar"/>
    <w:unhideWhenUsed/>
    <w:rsid w:val="005C389A"/>
    <w:pPr>
      <w:tabs>
        <w:tab w:val="center" w:pos="4513"/>
        <w:tab w:val="right" w:pos="9026"/>
      </w:tabs>
    </w:pPr>
  </w:style>
  <w:style w:type="character" w:customStyle="1" w:styleId="HeaderChar">
    <w:name w:val="Header Char"/>
    <w:basedOn w:val="DefaultParagraphFont"/>
    <w:link w:val="Header"/>
    <w:uiPriority w:val="99"/>
    <w:rsid w:val="005C389A"/>
  </w:style>
  <w:style w:type="paragraph" w:styleId="Footer">
    <w:name w:val="footer"/>
    <w:basedOn w:val="Normal"/>
    <w:link w:val="FooterChar"/>
    <w:uiPriority w:val="99"/>
    <w:unhideWhenUsed/>
    <w:rsid w:val="005C389A"/>
    <w:pPr>
      <w:tabs>
        <w:tab w:val="center" w:pos="4513"/>
        <w:tab w:val="right" w:pos="9026"/>
      </w:tabs>
    </w:pPr>
  </w:style>
  <w:style w:type="character" w:customStyle="1" w:styleId="FooterChar">
    <w:name w:val="Footer Char"/>
    <w:basedOn w:val="DefaultParagraphFont"/>
    <w:link w:val="Footer"/>
    <w:uiPriority w:val="99"/>
    <w:rsid w:val="005C389A"/>
  </w:style>
  <w:style w:type="character" w:customStyle="1" w:styleId="Heading1Char">
    <w:name w:val="Heading 1 Char"/>
    <w:basedOn w:val="DefaultParagraphFont"/>
    <w:link w:val="Heading1"/>
    <w:uiPriority w:val="9"/>
    <w:rsid w:val="008E6672"/>
    <w:rPr>
      <w:rFonts w:ascii="Open Sans" w:eastAsiaTheme="majorEastAsia" w:hAnsi="Open Sans" w:cstheme="majorBidi"/>
      <w:color w:val="0078EE"/>
      <w:sz w:val="28"/>
      <w:szCs w:val="32"/>
    </w:rPr>
  </w:style>
  <w:style w:type="character" w:styleId="Hyperlink">
    <w:name w:val="Hyperlink"/>
    <w:basedOn w:val="DefaultParagraphFont"/>
    <w:uiPriority w:val="99"/>
    <w:unhideWhenUsed/>
    <w:rsid w:val="008E6672"/>
    <w:rPr>
      <w:color w:val="0563C1" w:themeColor="hyperlink"/>
      <w:u w:val="single"/>
    </w:rPr>
  </w:style>
  <w:style w:type="character" w:styleId="UnresolvedMention">
    <w:name w:val="Unresolved Mention"/>
    <w:basedOn w:val="DefaultParagraphFont"/>
    <w:uiPriority w:val="99"/>
    <w:semiHidden/>
    <w:unhideWhenUsed/>
    <w:rsid w:val="008E6672"/>
    <w:rPr>
      <w:color w:val="605E5C"/>
      <w:shd w:val="clear" w:color="auto" w:fill="E1DFDD"/>
    </w:rPr>
  </w:style>
  <w:style w:type="character" w:customStyle="1" w:styleId="Heading3Char">
    <w:name w:val="Heading 3 Char"/>
    <w:basedOn w:val="DefaultParagraphFont"/>
    <w:link w:val="Heading3"/>
    <w:uiPriority w:val="9"/>
    <w:semiHidden/>
    <w:rsid w:val="007C58B7"/>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7C58B7"/>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5E6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2CAD"/>
    <w:rPr>
      <w:sz w:val="16"/>
      <w:szCs w:val="16"/>
    </w:rPr>
  </w:style>
  <w:style w:type="paragraph" w:styleId="CommentText">
    <w:name w:val="annotation text"/>
    <w:basedOn w:val="Normal"/>
    <w:link w:val="CommentTextChar"/>
    <w:uiPriority w:val="99"/>
    <w:semiHidden/>
    <w:unhideWhenUsed/>
    <w:rsid w:val="00452CAD"/>
    <w:rPr>
      <w:sz w:val="20"/>
      <w:szCs w:val="20"/>
    </w:rPr>
  </w:style>
  <w:style w:type="character" w:customStyle="1" w:styleId="CommentTextChar">
    <w:name w:val="Comment Text Char"/>
    <w:basedOn w:val="DefaultParagraphFont"/>
    <w:link w:val="CommentText"/>
    <w:uiPriority w:val="99"/>
    <w:semiHidden/>
    <w:rsid w:val="00452CAD"/>
    <w:rPr>
      <w:sz w:val="20"/>
      <w:szCs w:val="20"/>
    </w:rPr>
  </w:style>
  <w:style w:type="paragraph" w:styleId="CommentSubject">
    <w:name w:val="annotation subject"/>
    <w:basedOn w:val="CommentText"/>
    <w:next w:val="CommentText"/>
    <w:link w:val="CommentSubjectChar"/>
    <w:uiPriority w:val="99"/>
    <w:semiHidden/>
    <w:unhideWhenUsed/>
    <w:rsid w:val="00452CAD"/>
    <w:rPr>
      <w:b/>
      <w:bCs/>
    </w:rPr>
  </w:style>
  <w:style w:type="character" w:customStyle="1" w:styleId="CommentSubjectChar">
    <w:name w:val="Comment Subject Char"/>
    <w:basedOn w:val="CommentTextChar"/>
    <w:link w:val="CommentSubject"/>
    <w:uiPriority w:val="99"/>
    <w:semiHidden/>
    <w:rsid w:val="00452CAD"/>
    <w:rPr>
      <w:b/>
      <w:bCs/>
      <w:sz w:val="20"/>
      <w:szCs w:val="20"/>
    </w:rPr>
  </w:style>
  <w:style w:type="character" w:styleId="FollowedHyperlink">
    <w:name w:val="FollowedHyperlink"/>
    <w:basedOn w:val="DefaultParagraphFont"/>
    <w:uiPriority w:val="99"/>
    <w:semiHidden/>
    <w:unhideWhenUsed/>
    <w:rsid w:val="00EB324A"/>
    <w:rPr>
      <w:color w:val="954F72" w:themeColor="followedHyperlink"/>
      <w:u w:val="single"/>
    </w:rPr>
  </w:style>
  <w:style w:type="paragraph" w:styleId="TOCHeading">
    <w:name w:val="TOC Heading"/>
    <w:basedOn w:val="Heading1"/>
    <w:next w:val="Normal"/>
    <w:uiPriority w:val="39"/>
    <w:unhideWhenUsed/>
    <w:qFormat/>
    <w:rsid w:val="00A7650C"/>
    <w:pPr>
      <w:spacing w:before="480" w:line="276" w:lineRule="auto"/>
      <w:outlineLvl w:val="9"/>
    </w:pPr>
    <w:rPr>
      <w:rFonts w:asciiTheme="majorHAnsi" w:hAnsiTheme="majorHAnsi"/>
      <w:b/>
      <w:bCs/>
      <w:color w:val="2F5496" w:themeColor="accent1" w:themeShade="BF"/>
      <w:szCs w:val="28"/>
      <w:lang w:val="en-US"/>
    </w:rPr>
  </w:style>
  <w:style w:type="paragraph" w:styleId="TOC3">
    <w:name w:val="toc 3"/>
    <w:basedOn w:val="Normal"/>
    <w:next w:val="Normal"/>
    <w:autoRedefine/>
    <w:uiPriority w:val="39"/>
    <w:unhideWhenUsed/>
    <w:rsid w:val="00A7650C"/>
    <w:pPr>
      <w:ind w:left="480"/>
    </w:pPr>
    <w:rPr>
      <w:rFonts w:cstheme="minorHAnsi"/>
      <w:sz w:val="20"/>
      <w:szCs w:val="20"/>
    </w:rPr>
  </w:style>
  <w:style w:type="paragraph" w:styleId="TOC1">
    <w:name w:val="toc 1"/>
    <w:basedOn w:val="Normal"/>
    <w:next w:val="Normal"/>
    <w:autoRedefine/>
    <w:uiPriority w:val="39"/>
    <w:unhideWhenUsed/>
    <w:rsid w:val="00BB4AF6"/>
    <w:pPr>
      <w:tabs>
        <w:tab w:val="right" w:leader="dot" w:pos="9016"/>
      </w:tabs>
      <w:spacing w:before="120"/>
    </w:pPr>
    <w:rPr>
      <w:rFonts w:cstheme="minorHAnsi"/>
      <w:i/>
      <w:iCs/>
      <w:noProof/>
    </w:rPr>
  </w:style>
  <w:style w:type="paragraph" w:styleId="TOC2">
    <w:name w:val="toc 2"/>
    <w:basedOn w:val="Normal"/>
    <w:next w:val="Normal"/>
    <w:autoRedefine/>
    <w:uiPriority w:val="39"/>
    <w:unhideWhenUsed/>
    <w:rsid w:val="00A7650C"/>
    <w:pPr>
      <w:spacing w:before="120"/>
      <w:ind w:left="240"/>
    </w:pPr>
    <w:rPr>
      <w:rFonts w:cstheme="minorHAnsi"/>
      <w:b/>
      <w:bCs/>
      <w:sz w:val="22"/>
      <w:szCs w:val="22"/>
    </w:rPr>
  </w:style>
  <w:style w:type="paragraph" w:styleId="TOC4">
    <w:name w:val="toc 4"/>
    <w:basedOn w:val="Normal"/>
    <w:next w:val="Normal"/>
    <w:autoRedefine/>
    <w:uiPriority w:val="39"/>
    <w:semiHidden/>
    <w:unhideWhenUsed/>
    <w:rsid w:val="00A7650C"/>
    <w:pPr>
      <w:ind w:left="720"/>
    </w:pPr>
    <w:rPr>
      <w:rFonts w:cstheme="minorHAnsi"/>
      <w:sz w:val="20"/>
      <w:szCs w:val="20"/>
    </w:rPr>
  </w:style>
  <w:style w:type="paragraph" w:styleId="TOC5">
    <w:name w:val="toc 5"/>
    <w:basedOn w:val="Normal"/>
    <w:next w:val="Normal"/>
    <w:autoRedefine/>
    <w:uiPriority w:val="39"/>
    <w:semiHidden/>
    <w:unhideWhenUsed/>
    <w:rsid w:val="00A7650C"/>
    <w:pPr>
      <w:ind w:left="960"/>
    </w:pPr>
    <w:rPr>
      <w:rFonts w:cstheme="minorHAnsi"/>
      <w:sz w:val="20"/>
      <w:szCs w:val="20"/>
    </w:rPr>
  </w:style>
  <w:style w:type="paragraph" w:styleId="TOC6">
    <w:name w:val="toc 6"/>
    <w:basedOn w:val="Normal"/>
    <w:next w:val="Normal"/>
    <w:autoRedefine/>
    <w:uiPriority w:val="39"/>
    <w:semiHidden/>
    <w:unhideWhenUsed/>
    <w:rsid w:val="00A7650C"/>
    <w:pPr>
      <w:ind w:left="1200"/>
    </w:pPr>
    <w:rPr>
      <w:rFonts w:cstheme="minorHAnsi"/>
      <w:sz w:val="20"/>
      <w:szCs w:val="20"/>
    </w:rPr>
  </w:style>
  <w:style w:type="paragraph" w:styleId="TOC7">
    <w:name w:val="toc 7"/>
    <w:basedOn w:val="Normal"/>
    <w:next w:val="Normal"/>
    <w:autoRedefine/>
    <w:uiPriority w:val="39"/>
    <w:semiHidden/>
    <w:unhideWhenUsed/>
    <w:rsid w:val="00A7650C"/>
    <w:pPr>
      <w:ind w:left="1440"/>
    </w:pPr>
    <w:rPr>
      <w:rFonts w:cstheme="minorHAnsi"/>
      <w:sz w:val="20"/>
      <w:szCs w:val="20"/>
    </w:rPr>
  </w:style>
  <w:style w:type="paragraph" w:styleId="TOC8">
    <w:name w:val="toc 8"/>
    <w:basedOn w:val="Normal"/>
    <w:next w:val="Normal"/>
    <w:autoRedefine/>
    <w:uiPriority w:val="39"/>
    <w:semiHidden/>
    <w:unhideWhenUsed/>
    <w:rsid w:val="00A7650C"/>
    <w:pPr>
      <w:ind w:left="1680"/>
    </w:pPr>
    <w:rPr>
      <w:rFonts w:cstheme="minorHAnsi"/>
      <w:sz w:val="20"/>
      <w:szCs w:val="20"/>
    </w:rPr>
  </w:style>
  <w:style w:type="paragraph" w:styleId="TOC9">
    <w:name w:val="toc 9"/>
    <w:basedOn w:val="Normal"/>
    <w:next w:val="Normal"/>
    <w:autoRedefine/>
    <w:uiPriority w:val="39"/>
    <w:semiHidden/>
    <w:unhideWhenUsed/>
    <w:rsid w:val="00A7650C"/>
    <w:pPr>
      <w:ind w:left="1920"/>
    </w:pPr>
    <w:rPr>
      <w:rFonts w:cstheme="minorHAnsi"/>
      <w:sz w:val="20"/>
      <w:szCs w:val="20"/>
    </w:rPr>
  </w:style>
  <w:style w:type="character" w:customStyle="1" w:styleId="Heading2Char">
    <w:name w:val="Heading 2 Char"/>
    <w:basedOn w:val="DefaultParagraphFont"/>
    <w:link w:val="Heading2"/>
    <w:uiPriority w:val="9"/>
    <w:rsid w:val="00A7650C"/>
    <w:rPr>
      <w:rFonts w:ascii="Open Sans" w:eastAsiaTheme="majorEastAsia" w:hAnsi="Open Sans" w:cstheme="majorBidi"/>
      <w:b/>
      <w:color w:val="0078EE"/>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9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surancelab.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assurancelab.com.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tel:+61(0)+490+086+000"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3EBF-CAD9-0140-AA7C-70E5B1C8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2601</Words>
  <Characters>14911</Characters>
  <Application>Microsoft Office Word</Application>
  <DocSecurity>0</DocSecurity>
  <Lines>294</Lines>
  <Paragraphs>76</Paragraphs>
  <ScaleCrop>false</ScaleCrop>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AssuranceLab - Consumer Data Right rules amendments (version 3)</dc:title>
  <dc:subject/>
  <dc:creator/>
  <cp:keywords/>
  <dc:description/>
  <cp:lastModifiedBy/>
  <cp:revision>1</cp:revision>
  <dcterms:created xsi:type="dcterms:W3CDTF">2021-10-04T11:17:00Z</dcterms:created>
  <dcterms:modified xsi:type="dcterms:W3CDTF">2021-10-04T11:17:00Z</dcterms:modified>
  <dc:language>English</dc:language>
</cp:coreProperties>
</file>