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13FB3" w14:textId="77777777" w:rsidR="00567BA3" w:rsidRDefault="00567BA3" w:rsidP="00C3452B">
      <w:pPr>
        <w:pStyle w:val="Baseparagraphcentred"/>
      </w:pPr>
    </w:p>
    <w:p w14:paraId="6726A109" w14:textId="77777777" w:rsidR="00567BA3" w:rsidRDefault="00567BA3" w:rsidP="00C3452B">
      <w:pPr>
        <w:pStyle w:val="Baseparagraphcentred"/>
      </w:pPr>
    </w:p>
    <w:p w14:paraId="6CC36D6F" w14:textId="77777777" w:rsidR="00567BA3" w:rsidRDefault="00567BA3" w:rsidP="00C3452B">
      <w:pPr>
        <w:pStyle w:val="Baseparagraphcentred"/>
      </w:pPr>
    </w:p>
    <w:p w14:paraId="46012ED5" w14:textId="77777777" w:rsidR="00567BA3" w:rsidRDefault="00567BA3" w:rsidP="00C3452B">
      <w:pPr>
        <w:pStyle w:val="Baseparagraphcentred"/>
      </w:pPr>
    </w:p>
    <w:p w14:paraId="6A4E23B6" w14:textId="77777777" w:rsidR="00567BA3" w:rsidRDefault="00567BA3" w:rsidP="00C3452B">
      <w:pPr>
        <w:pStyle w:val="Baseparagraphcentred"/>
      </w:pPr>
    </w:p>
    <w:p w14:paraId="26DCEDED" w14:textId="77777777" w:rsidR="00567BA3" w:rsidRDefault="00567BA3" w:rsidP="00C3452B">
      <w:pPr>
        <w:pStyle w:val="Baseparagraphcentred"/>
      </w:pPr>
    </w:p>
    <w:p w14:paraId="4E342282" w14:textId="77777777" w:rsidR="00567BA3" w:rsidRDefault="00567BA3" w:rsidP="00C3452B">
      <w:pPr>
        <w:pStyle w:val="Baseparagraphcentred"/>
      </w:pPr>
    </w:p>
    <w:p w14:paraId="7C6A74A0" w14:textId="77777777" w:rsidR="00567BA3" w:rsidRDefault="00567BA3" w:rsidP="00C3452B">
      <w:pPr>
        <w:pStyle w:val="Baseparagraphcentred"/>
      </w:pPr>
    </w:p>
    <w:p w14:paraId="2F4329D9" w14:textId="2CB6D086" w:rsidR="00C3452B" w:rsidRDefault="00C3452B" w:rsidP="00C3452B">
      <w:pPr>
        <w:pStyle w:val="Baseparagraphcentred"/>
      </w:pPr>
    </w:p>
    <w:p w14:paraId="3EA93177" w14:textId="77777777" w:rsidR="00C3452B" w:rsidRDefault="00C3452B" w:rsidP="00C3452B">
      <w:pPr>
        <w:pStyle w:val="Baseparagraphcentred"/>
      </w:pPr>
    </w:p>
    <w:p w14:paraId="2C2E277E" w14:textId="673E12E0" w:rsidR="00C3452B" w:rsidRDefault="001E061C" w:rsidP="00C3452B">
      <w:pPr>
        <w:pStyle w:val="Baseparagraphcentred"/>
      </w:pPr>
      <w:bookmarkStart w:id="0" w:name="BillName"/>
      <w:bookmarkEnd w:id="0"/>
      <w:r w:rsidRPr="001E061C">
        <w:rPr>
          <w:caps/>
        </w:rPr>
        <w:t>Treasury Laws Amendment (Modernising Business Communications) Bill 2021</w:t>
      </w:r>
    </w:p>
    <w:p w14:paraId="01ADCCD7" w14:textId="77777777" w:rsidR="00C3452B" w:rsidRDefault="00C3452B" w:rsidP="00C3452B">
      <w:pPr>
        <w:pStyle w:val="Baseparagraphcentred"/>
      </w:pPr>
    </w:p>
    <w:p w14:paraId="03981333" w14:textId="77777777" w:rsidR="00C3452B" w:rsidRDefault="00C3452B" w:rsidP="00C3452B">
      <w:pPr>
        <w:pStyle w:val="Baseparagraphcentred"/>
      </w:pPr>
    </w:p>
    <w:p w14:paraId="7C253CC1" w14:textId="77777777" w:rsidR="00C3452B" w:rsidRDefault="00C3452B" w:rsidP="00C3452B">
      <w:pPr>
        <w:pStyle w:val="Baseparagraphcentred"/>
      </w:pPr>
    </w:p>
    <w:p w14:paraId="08EAE35C" w14:textId="77777777" w:rsidR="00567BA3" w:rsidRDefault="00567BA3" w:rsidP="00C3452B">
      <w:pPr>
        <w:pStyle w:val="Baseparagraphcentred"/>
      </w:pPr>
      <w:r>
        <w:t>EXPOSURE DRAFT EXPLANATORY MATERIALS</w:t>
      </w:r>
    </w:p>
    <w:p w14:paraId="6C87754C" w14:textId="4765012D" w:rsidR="00C3452B" w:rsidRDefault="00C3452B" w:rsidP="00C3452B">
      <w:pPr>
        <w:pStyle w:val="Baseparagraphcentred"/>
      </w:pPr>
    </w:p>
    <w:p w14:paraId="23ABD3A8" w14:textId="77777777" w:rsidR="00C3452B" w:rsidRDefault="00C3452B" w:rsidP="00C3452B">
      <w:pPr>
        <w:pStyle w:val="Baseparagraphcentred"/>
      </w:pPr>
    </w:p>
    <w:p w14:paraId="11E38F01" w14:textId="77777777" w:rsidR="00C3452B" w:rsidRDefault="00C3452B" w:rsidP="00C3452B">
      <w:pPr>
        <w:pStyle w:val="Baseparagraphcentred"/>
      </w:pPr>
    </w:p>
    <w:p w14:paraId="05449111" w14:textId="77777777" w:rsidR="00567BA3" w:rsidRDefault="00567BA3" w:rsidP="00C3452B">
      <w:pPr>
        <w:pStyle w:val="ParaCentredNoSpacing"/>
      </w:pPr>
    </w:p>
    <w:p w14:paraId="3001D3BB" w14:textId="77777777" w:rsidR="00567BA3" w:rsidRDefault="00567BA3" w:rsidP="00C3452B">
      <w:pPr>
        <w:pStyle w:val="ParaCentredNoSpacing"/>
      </w:pPr>
    </w:p>
    <w:p w14:paraId="0371C56B" w14:textId="164D56A6" w:rsidR="00C3452B" w:rsidRDefault="00C3452B" w:rsidP="00C3452B">
      <w:pPr>
        <w:pStyle w:val="ParaCentredNoSpacing"/>
      </w:pPr>
    </w:p>
    <w:p w14:paraId="3EAF5EBB" w14:textId="77777777" w:rsidR="00C3452B" w:rsidRDefault="00C3452B" w:rsidP="00C3452B"/>
    <w:p w14:paraId="68D20300" w14:textId="77777777" w:rsidR="00C3452B" w:rsidRDefault="00C3452B" w:rsidP="00C3452B">
      <w:pPr>
        <w:sectPr w:rsidR="00C3452B" w:rsidSect="00C10AAF">
          <w:headerReference w:type="even" r:id="rId14"/>
          <w:headerReference w:type="default" r:id="rId15"/>
          <w:footerReference w:type="even" r:id="rId16"/>
          <w:footerReference w:type="default" r:id="rId17"/>
          <w:headerReference w:type="first" r:id="rId18"/>
          <w:footerReference w:type="first" r:id="rId19"/>
          <w:type w:val="oddPage"/>
          <w:pgSz w:w="9979" w:h="14175" w:code="138"/>
          <w:pgMar w:top="567" w:right="1134" w:bottom="567" w:left="1134" w:header="709" w:footer="709" w:gutter="0"/>
          <w:cols w:space="708"/>
          <w:titlePg/>
          <w:docGrid w:linePitch="360"/>
        </w:sectPr>
      </w:pPr>
    </w:p>
    <w:p w14:paraId="5BC9F363" w14:textId="77777777" w:rsidR="00C3452B" w:rsidRPr="003E0794" w:rsidRDefault="00C3452B" w:rsidP="00C3452B">
      <w:pPr>
        <w:pStyle w:val="TOCHeading"/>
      </w:pPr>
      <w:r w:rsidRPr="003E0794">
        <w:lastRenderedPageBreak/>
        <w:t>Table of contents</w:t>
      </w:r>
    </w:p>
    <w:p w14:paraId="385B97CC" w14:textId="509C79B1" w:rsidR="00DB5443"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DB5443">
        <w:t>Glossary</w:t>
      </w:r>
      <w:r w:rsidR="00DB5443">
        <w:tab/>
      </w:r>
      <w:r w:rsidR="00DB5443">
        <w:fldChar w:fldCharType="begin"/>
      </w:r>
      <w:r w:rsidR="00DB5443">
        <w:instrText xml:space="preserve"> PAGEREF _Toc86910514 \h </w:instrText>
      </w:r>
      <w:r w:rsidR="00DB5443">
        <w:fldChar w:fldCharType="separate"/>
      </w:r>
      <w:r w:rsidR="00DB5443">
        <w:t>1</w:t>
      </w:r>
      <w:r w:rsidR="00DB5443">
        <w:fldChar w:fldCharType="end"/>
      </w:r>
    </w:p>
    <w:p w14:paraId="2CDB4873" w14:textId="761F6C2B" w:rsidR="00DB5443" w:rsidRDefault="00DB5443">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_Toc86910515 \h </w:instrText>
      </w:r>
      <w:r>
        <w:fldChar w:fldCharType="separate"/>
      </w:r>
      <w:r>
        <w:t>3</w:t>
      </w:r>
      <w:r>
        <w:fldChar w:fldCharType="end"/>
      </w:r>
    </w:p>
    <w:p w14:paraId="7377275C" w14:textId="5DB0AB63" w:rsidR="00DB5443" w:rsidRDefault="00DB5443">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Signatures, Sending Documents and Lost Member Relief</w:t>
      </w:r>
      <w:r>
        <w:rPr>
          <w:noProof/>
        </w:rPr>
        <w:tab/>
      </w:r>
      <w:r>
        <w:rPr>
          <w:noProof/>
        </w:rPr>
        <w:fldChar w:fldCharType="begin"/>
      </w:r>
      <w:r>
        <w:rPr>
          <w:noProof/>
        </w:rPr>
        <w:instrText xml:space="preserve"> PAGEREF _Toc86910516 \h </w:instrText>
      </w:r>
      <w:r>
        <w:rPr>
          <w:noProof/>
        </w:rPr>
      </w:r>
      <w:r>
        <w:rPr>
          <w:noProof/>
        </w:rPr>
        <w:fldChar w:fldCharType="separate"/>
      </w:r>
      <w:r>
        <w:rPr>
          <w:noProof/>
        </w:rPr>
        <w:t>7</w:t>
      </w:r>
      <w:r>
        <w:rPr>
          <w:noProof/>
        </w:rPr>
        <w:fldChar w:fldCharType="end"/>
      </w:r>
    </w:p>
    <w:p w14:paraId="3D2DEE7B" w14:textId="1EC4EA8B" w:rsidR="00DB5443" w:rsidRDefault="00DB5443">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sidR="00C1060E">
        <w:rPr>
          <w:noProof/>
        </w:rPr>
        <w:t>Credit and Payments</w:t>
      </w:r>
      <w:r>
        <w:rPr>
          <w:noProof/>
        </w:rPr>
        <w:tab/>
      </w:r>
      <w:r>
        <w:rPr>
          <w:noProof/>
        </w:rPr>
        <w:fldChar w:fldCharType="begin"/>
      </w:r>
      <w:r>
        <w:rPr>
          <w:noProof/>
        </w:rPr>
        <w:instrText xml:space="preserve"> PAGEREF _Toc86910517 \h </w:instrText>
      </w:r>
      <w:r>
        <w:rPr>
          <w:noProof/>
        </w:rPr>
      </w:r>
      <w:r>
        <w:rPr>
          <w:noProof/>
        </w:rPr>
        <w:fldChar w:fldCharType="separate"/>
      </w:r>
      <w:r>
        <w:rPr>
          <w:noProof/>
        </w:rPr>
        <w:t>17</w:t>
      </w:r>
      <w:r>
        <w:rPr>
          <w:noProof/>
        </w:rPr>
        <w:fldChar w:fldCharType="end"/>
      </w:r>
    </w:p>
    <w:p w14:paraId="2622BA7A" w14:textId="5CB0DEDA" w:rsidR="00DB5443" w:rsidRDefault="00DB5443">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Newspapers</w:t>
      </w:r>
      <w:r>
        <w:rPr>
          <w:noProof/>
        </w:rPr>
        <w:tab/>
      </w:r>
      <w:r>
        <w:rPr>
          <w:noProof/>
        </w:rPr>
        <w:fldChar w:fldCharType="begin"/>
      </w:r>
      <w:r>
        <w:rPr>
          <w:noProof/>
        </w:rPr>
        <w:instrText xml:space="preserve"> PAGEREF _Toc86910518 \h </w:instrText>
      </w:r>
      <w:r>
        <w:rPr>
          <w:noProof/>
        </w:rPr>
      </w:r>
      <w:r>
        <w:rPr>
          <w:noProof/>
        </w:rPr>
        <w:fldChar w:fldCharType="separate"/>
      </w:r>
      <w:r>
        <w:rPr>
          <w:noProof/>
        </w:rPr>
        <w:t>22</w:t>
      </w:r>
      <w:r>
        <w:rPr>
          <w:noProof/>
        </w:rPr>
        <w:fldChar w:fldCharType="end"/>
      </w:r>
    </w:p>
    <w:p w14:paraId="5FD7E9A4" w14:textId="77777777" w:rsidR="00C3452B" w:rsidRDefault="00C3452B" w:rsidP="00C3452B">
      <w:pPr>
        <w:rPr>
          <w:rFonts w:ascii="Helvetica" w:hAnsi="Helvetica"/>
          <w:noProof/>
          <w:sz w:val="24"/>
        </w:rPr>
      </w:pPr>
      <w:r>
        <w:rPr>
          <w:rFonts w:ascii="Helvetica" w:hAnsi="Helvetica"/>
          <w:noProof/>
          <w:sz w:val="24"/>
        </w:rPr>
        <w:fldChar w:fldCharType="end"/>
      </w:r>
    </w:p>
    <w:p w14:paraId="792B1CC1" w14:textId="77777777" w:rsidR="00C3452B" w:rsidRDefault="00C3452B" w:rsidP="00C3452B">
      <w:pPr>
        <w:pStyle w:val="Hiddentext"/>
      </w:pPr>
    </w:p>
    <w:p w14:paraId="05FB12B3" w14:textId="77777777" w:rsidR="00C3452B" w:rsidRDefault="00C3452B" w:rsidP="00C3452B">
      <w:pPr>
        <w:pStyle w:val="base-text-paragraphnonumbers"/>
        <w:sectPr w:rsidR="00C3452B" w:rsidSect="00C10AAF">
          <w:headerReference w:type="even" r:id="rId20"/>
          <w:headerReference w:type="default" r:id="rId21"/>
          <w:footerReference w:type="even" r:id="rId22"/>
          <w:footerReference w:type="default" r:id="rId23"/>
          <w:headerReference w:type="first" r:id="rId24"/>
          <w:footerReference w:type="first" r:id="rId25"/>
          <w:type w:val="oddPage"/>
          <w:pgSz w:w="9979" w:h="14175" w:code="9"/>
          <w:pgMar w:top="567" w:right="1134" w:bottom="567" w:left="1134" w:header="709" w:footer="709" w:gutter="0"/>
          <w:cols w:space="708"/>
          <w:titlePg/>
          <w:docGrid w:linePitch="360"/>
        </w:sectPr>
      </w:pPr>
    </w:p>
    <w:p w14:paraId="0C0916CD" w14:textId="77777777" w:rsidR="00C3452B" w:rsidRPr="00567602" w:rsidRDefault="00C3452B" w:rsidP="00C3452B">
      <w:pPr>
        <w:pStyle w:val="Chapterheadingsubdocument"/>
      </w:pPr>
      <w:bookmarkStart w:id="25" w:name="_Toc86910514"/>
      <w:r w:rsidRPr="00567602">
        <w:rPr>
          <w:rStyle w:val="ChapterNameOnly"/>
        </w:rPr>
        <w:lastRenderedPageBreak/>
        <w:t>Glossary</w:t>
      </w:r>
      <w:bookmarkEnd w:id="25"/>
    </w:p>
    <w:p w14:paraId="53BC6BAC" w14:textId="77777777" w:rsidR="00C3452B" w:rsidRDefault="00C3452B" w:rsidP="00C3452B">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2EC55A03" w14:textId="77777777" w:rsidTr="00AA4412">
        <w:tc>
          <w:tcPr>
            <w:tcW w:w="2721" w:type="dxa"/>
          </w:tcPr>
          <w:p w14:paraId="7E7B7DF9" w14:textId="77777777" w:rsidR="00C3452B" w:rsidRPr="00123D96" w:rsidRDefault="00C3452B" w:rsidP="00735E41">
            <w:pPr>
              <w:pStyle w:val="tableheaderwithintable"/>
            </w:pPr>
            <w:r w:rsidRPr="00123D96">
              <w:t>Abbreviation</w:t>
            </w:r>
          </w:p>
        </w:tc>
        <w:tc>
          <w:tcPr>
            <w:tcW w:w="3885" w:type="dxa"/>
          </w:tcPr>
          <w:p w14:paraId="629CA726" w14:textId="77777777" w:rsidR="00C3452B" w:rsidRPr="00123D96" w:rsidRDefault="00C3452B" w:rsidP="00735E41">
            <w:pPr>
              <w:pStyle w:val="tableheaderwithintable"/>
            </w:pPr>
            <w:r w:rsidRPr="00123D96">
              <w:t>Definition</w:t>
            </w:r>
          </w:p>
        </w:tc>
      </w:tr>
      <w:tr w:rsidR="00746124" w:rsidRPr="002C43E8" w14:paraId="721DB90F" w14:textId="77777777" w:rsidTr="00AA4412">
        <w:tc>
          <w:tcPr>
            <w:tcW w:w="2721" w:type="dxa"/>
          </w:tcPr>
          <w:p w14:paraId="4A95CB85" w14:textId="58C54AC1" w:rsidR="00746124" w:rsidRDefault="00746124" w:rsidP="00735E41">
            <w:pPr>
              <w:pStyle w:val="Glossarytabletext"/>
              <w:rPr>
                <w:lang w:val="en-US" w:eastAsia="en-US"/>
              </w:rPr>
            </w:pPr>
            <w:r>
              <w:rPr>
                <w:lang w:val="en-US" w:eastAsia="en-US"/>
              </w:rPr>
              <w:t>ASIC</w:t>
            </w:r>
          </w:p>
        </w:tc>
        <w:tc>
          <w:tcPr>
            <w:tcW w:w="3885" w:type="dxa"/>
          </w:tcPr>
          <w:p w14:paraId="6FAD9AEF" w14:textId="5A21EE1B" w:rsidR="00746124" w:rsidRPr="00EE4CF6" w:rsidRDefault="00746124" w:rsidP="00735E41">
            <w:pPr>
              <w:pStyle w:val="Glossarytabletext"/>
              <w:rPr>
                <w:lang w:val="en-US" w:eastAsia="en-US"/>
              </w:rPr>
            </w:pPr>
            <w:r>
              <w:rPr>
                <w:lang w:val="en-US" w:eastAsia="en-US"/>
              </w:rPr>
              <w:t xml:space="preserve">Australian Securities </w:t>
            </w:r>
            <w:r w:rsidR="002C6116">
              <w:rPr>
                <w:lang w:val="en-US" w:eastAsia="en-US"/>
              </w:rPr>
              <w:t xml:space="preserve">and </w:t>
            </w:r>
            <w:r>
              <w:rPr>
                <w:lang w:val="en-US" w:eastAsia="en-US"/>
              </w:rPr>
              <w:t>Investment</w:t>
            </w:r>
            <w:r w:rsidR="002C6116">
              <w:rPr>
                <w:lang w:val="en-US" w:eastAsia="en-US"/>
              </w:rPr>
              <w:t>s</w:t>
            </w:r>
            <w:r>
              <w:rPr>
                <w:lang w:val="en-US" w:eastAsia="en-US"/>
              </w:rPr>
              <w:t xml:space="preserve"> Commission</w:t>
            </w:r>
          </w:p>
        </w:tc>
      </w:tr>
      <w:tr w:rsidR="00C3452B" w:rsidRPr="002C43E8" w14:paraId="2D6B1488" w14:textId="77777777" w:rsidTr="00AA4412">
        <w:tc>
          <w:tcPr>
            <w:tcW w:w="2721" w:type="dxa"/>
          </w:tcPr>
          <w:p w14:paraId="641AEC92" w14:textId="6DD1F14B" w:rsidR="00C3452B" w:rsidRPr="002C43E8" w:rsidRDefault="004A499B" w:rsidP="00735E41">
            <w:pPr>
              <w:pStyle w:val="Glossarytabletext"/>
              <w:rPr>
                <w:lang w:val="en-US" w:eastAsia="en-US"/>
              </w:rPr>
            </w:pPr>
            <w:bookmarkStart w:id="26" w:name="GlossaryTableStart"/>
            <w:bookmarkEnd w:id="26"/>
            <w:r>
              <w:rPr>
                <w:lang w:val="en-US" w:eastAsia="en-US"/>
              </w:rPr>
              <w:t>Bill</w:t>
            </w:r>
          </w:p>
        </w:tc>
        <w:tc>
          <w:tcPr>
            <w:tcW w:w="3885" w:type="dxa"/>
          </w:tcPr>
          <w:p w14:paraId="77F281D1" w14:textId="6B2BE531" w:rsidR="00C3452B" w:rsidRPr="004A499B" w:rsidRDefault="004A499B" w:rsidP="00735E41">
            <w:pPr>
              <w:pStyle w:val="Glossarytabletext"/>
              <w:rPr>
                <w:i/>
                <w:iCs/>
                <w:lang w:val="en-US" w:eastAsia="en-US"/>
              </w:rPr>
            </w:pPr>
            <w:r w:rsidRPr="004A499B">
              <w:rPr>
                <w:i/>
                <w:iCs/>
                <w:lang w:val="en-US" w:eastAsia="en-US"/>
              </w:rPr>
              <w:t>Treasury Laws Amendment (</w:t>
            </w:r>
            <w:proofErr w:type="spellStart"/>
            <w:r w:rsidRPr="004A499B">
              <w:rPr>
                <w:i/>
                <w:iCs/>
                <w:lang w:val="en-US" w:eastAsia="en-US"/>
              </w:rPr>
              <w:t>Modernising</w:t>
            </w:r>
            <w:proofErr w:type="spellEnd"/>
            <w:r w:rsidRPr="004A499B">
              <w:rPr>
                <w:i/>
                <w:iCs/>
                <w:lang w:val="en-US" w:eastAsia="en-US"/>
              </w:rPr>
              <w:t xml:space="preserve"> Business Communications) Bill 2021</w:t>
            </w:r>
          </w:p>
        </w:tc>
      </w:tr>
      <w:tr w:rsidR="00075E39" w:rsidRPr="00075E39" w14:paraId="00FAA7A6" w14:textId="77777777" w:rsidTr="00AA4412">
        <w:tc>
          <w:tcPr>
            <w:tcW w:w="2721" w:type="dxa"/>
          </w:tcPr>
          <w:p w14:paraId="124E6389" w14:textId="57B5C2B6" w:rsidR="00075E39" w:rsidRPr="00075E39" w:rsidRDefault="00075E39" w:rsidP="00075E39">
            <w:pPr>
              <w:pStyle w:val="Glossarytabletext"/>
              <w:rPr>
                <w:lang w:val="en-US" w:eastAsia="en-US"/>
              </w:rPr>
            </w:pPr>
            <w:r w:rsidRPr="00075E39">
              <w:rPr>
                <w:lang w:val="en-US" w:eastAsia="en-US"/>
              </w:rPr>
              <w:t>CCA</w:t>
            </w:r>
          </w:p>
        </w:tc>
        <w:tc>
          <w:tcPr>
            <w:tcW w:w="3885" w:type="dxa"/>
          </w:tcPr>
          <w:p w14:paraId="644D3517" w14:textId="41F13C26" w:rsidR="00075E39" w:rsidRPr="00075E39" w:rsidRDefault="00075E39" w:rsidP="00075E39">
            <w:pPr>
              <w:pStyle w:val="Glossarytabletext"/>
              <w:rPr>
                <w:i/>
                <w:iCs/>
                <w:lang w:val="en-US" w:eastAsia="en-US"/>
              </w:rPr>
            </w:pPr>
            <w:r w:rsidRPr="00075E39">
              <w:rPr>
                <w:i/>
                <w:iCs/>
                <w:lang w:val="en-US" w:eastAsia="en-US"/>
              </w:rPr>
              <w:t>Competition and Consumer Act 2010</w:t>
            </w:r>
          </w:p>
        </w:tc>
      </w:tr>
      <w:tr w:rsidR="00C3452B" w:rsidRPr="002C43E8" w14:paraId="4776B76A" w14:textId="77777777" w:rsidTr="00AA4412">
        <w:tc>
          <w:tcPr>
            <w:tcW w:w="2721" w:type="dxa"/>
          </w:tcPr>
          <w:p w14:paraId="7FFF6491" w14:textId="369B268F" w:rsidR="00C3452B" w:rsidRPr="002C43E8" w:rsidRDefault="004A499B" w:rsidP="00735E41">
            <w:pPr>
              <w:pStyle w:val="Glossarytabletext"/>
              <w:rPr>
                <w:lang w:val="en-US" w:eastAsia="en-US"/>
              </w:rPr>
            </w:pPr>
            <w:r w:rsidRPr="004A499B">
              <w:rPr>
                <w:lang w:val="en-US" w:eastAsia="en-US"/>
              </w:rPr>
              <w:t>Corporations Act</w:t>
            </w:r>
          </w:p>
        </w:tc>
        <w:tc>
          <w:tcPr>
            <w:tcW w:w="3885" w:type="dxa"/>
          </w:tcPr>
          <w:p w14:paraId="03C2139A" w14:textId="66938E91" w:rsidR="00C3452B" w:rsidRPr="004A499B" w:rsidRDefault="004A499B" w:rsidP="00735E41">
            <w:pPr>
              <w:pStyle w:val="Glossarytabletext"/>
              <w:rPr>
                <w:i/>
                <w:iCs/>
                <w:lang w:val="en-US" w:eastAsia="en-US"/>
              </w:rPr>
            </w:pPr>
            <w:r w:rsidRPr="004A499B">
              <w:rPr>
                <w:i/>
                <w:iCs/>
                <w:lang w:val="en-US" w:eastAsia="en-US"/>
              </w:rPr>
              <w:t>Corporations Act 2001</w:t>
            </w:r>
          </w:p>
        </w:tc>
      </w:tr>
      <w:tr w:rsidR="00AA4412" w:rsidRPr="002C6116" w14:paraId="403B4455" w14:textId="77777777" w:rsidTr="00075E39">
        <w:tc>
          <w:tcPr>
            <w:tcW w:w="2721" w:type="dxa"/>
          </w:tcPr>
          <w:p w14:paraId="75735EC3" w14:textId="77777777" w:rsidR="00AA4412" w:rsidRPr="002C43E8" w:rsidRDefault="00AA4412" w:rsidP="00075E39">
            <w:pPr>
              <w:pStyle w:val="Glossarytabletext"/>
              <w:rPr>
                <w:lang w:val="en-US" w:eastAsia="en-US"/>
              </w:rPr>
            </w:pPr>
            <w:r w:rsidRPr="002C6116">
              <w:rPr>
                <w:lang w:val="en-US" w:eastAsia="en-US"/>
              </w:rPr>
              <w:t>Credit Regulations</w:t>
            </w:r>
          </w:p>
        </w:tc>
        <w:tc>
          <w:tcPr>
            <w:tcW w:w="3885" w:type="dxa"/>
          </w:tcPr>
          <w:p w14:paraId="660746FD" w14:textId="77777777" w:rsidR="00AA4412" w:rsidRPr="002C6116" w:rsidRDefault="00AA4412" w:rsidP="00075E39">
            <w:pPr>
              <w:pStyle w:val="Glossarytabletext"/>
              <w:rPr>
                <w:i/>
                <w:iCs/>
                <w:lang w:val="en-US" w:eastAsia="en-US"/>
              </w:rPr>
            </w:pPr>
            <w:r w:rsidRPr="002C6116">
              <w:rPr>
                <w:i/>
                <w:iCs/>
                <w:lang w:val="en-US" w:eastAsia="en-US"/>
              </w:rPr>
              <w:t>National Consumer Credit Protection Regulations 2010</w:t>
            </w:r>
          </w:p>
        </w:tc>
      </w:tr>
      <w:tr w:rsidR="00AA4412" w:rsidRPr="002C43E8" w14:paraId="6105AFAD" w14:textId="77777777" w:rsidTr="00AA4412">
        <w:tc>
          <w:tcPr>
            <w:tcW w:w="2721" w:type="dxa"/>
          </w:tcPr>
          <w:p w14:paraId="0990FE43" w14:textId="620A2131" w:rsidR="00AA4412" w:rsidRPr="004A499B" w:rsidRDefault="00AA4412" w:rsidP="00735E41">
            <w:pPr>
              <w:pStyle w:val="Glossarytabletext"/>
              <w:rPr>
                <w:lang w:val="en-US" w:eastAsia="en-US"/>
              </w:rPr>
            </w:pPr>
            <w:r>
              <w:rPr>
                <w:lang w:val="en-US" w:eastAsia="en-US"/>
              </w:rPr>
              <w:t>ETA</w:t>
            </w:r>
          </w:p>
        </w:tc>
        <w:tc>
          <w:tcPr>
            <w:tcW w:w="3885" w:type="dxa"/>
          </w:tcPr>
          <w:p w14:paraId="1A76F79B" w14:textId="032B3667" w:rsidR="00AA4412" w:rsidRPr="004A499B" w:rsidRDefault="00AA4412" w:rsidP="00735E41">
            <w:pPr>
              <w:pStyle w:val="Glossarytabletext"/>
              <w:rPr>
                <w:i/>
                <w:iCs/>
                <w:lang w:val="en-US" w:eastAsia="en-US"/>
              </w:rPr>
            </w:pPr>
            <w:r>
              <w:rPr>
                <w:i/>
                <w:iCs/>
                <w:lang w:val="en-US" w:eastAsia="en-US"/>
              </w:rPr>
              <w:t>Electronic Transactions Act 2009</w:t>
            </w:r>
          </w:p>
        </w:tc>
      </w:tr>
      <w:tr w:rsidR="006D1E39" w:rsidRPr="002C43E8" w14:paraId="618D8143" w14:textId="77777777" w:rsidTr="00AA4412">
        <w:tc>
          <w:tcPr>
            <w:tcW w:w="2721" w:type="dxa"/>
          </w:tcPr>
          <w:p w14:paraId="49A72DFE" w14:textId="4A5407E0" w:rsidR="006D1E39" w:rsidRDefault="006D1E39" w:rsidP="00735E41">
            <w:pPr>
              <w:pStyle w:val="Glossarytabletext"/>
              <w:rPr>
                <w:lang w:val="en-US" w:eastAsia="en-US"/>
              </w:rPr>
            </w:pPr>
            <w:r>
              <w:rPr>
                <w:lang w:val="en-US" w:eastAsia="en-US"/>
              </w:rPr>
              <w:t>ITAA 1936</w:t>
            </w:r>
          </w:p>
        </w:tc>
        <w:tc>
          <w:tcPr>
            <w:tcW w:w="3885" w:type="dxa"/>
          </w:tcPr>
          <w:p w14:paraId="2D9C559F" w14:textId="4FA829BA" w:rsidR="006D1E39" w:rsidRDefault="006D1E39" w:rsidP="00735E41">
            <w:pPr>
              <w:pStyle w:val="Glossarytabletext"/>
              <w:rPr>
                <w:i/>
                <w:iCs/>
                <w:lang w:val="en-US" w:eastAsia="en-US"/>
              </w:rPr>
            </w:pPr>
            <w:r w:rsidRPr="001D2259">
              <w:rPr>
                <w:i/>
              </w:rPr>
              <w:t>Income Tax Assessment Act 1936</w:t>
            </w:r>
          </w:p>
        </w:tc>
      </w:tr>
      <w:tr w:rsidR="006D1E39" w:rsidRPr="002C43E8" w14:paraId="746DB4B5" w14:textId="77777777" w:rsidTr="00AA4412">
        <w:tc>
          <w:tcPr>
            <w:tcW w:w="2721" w:type="dxa"/>
          </w:tcPr>
          <w:p w14:paraId="35E7EF64" w14:textId="49628385" w:rsidR="006D1E39" w:rsidRDefault="006D1E39" w:rsidP="00735E41">
            <w:pPr>
              <w:pStyle w:val="Glossarytabletext"/>
              <w:rPr>
                <w:lang w:val="en-US" w:eastAsia="en-US"/>
              </w:rPr>
            </w:pPr>
            <w:r>
              <w:rPr>
                <w:lang w:val="en-US" w:eastAsia="en-US"/>
              </w:rPr>
              <w:t>ITAA 1997</w:t>
            </w:r>
          </w:p>
        </w:tc>
        <w:tc>
          <w:tcPr>
            <w:tcW w:w="3885" w:type="dxa"/>
          </w:tcPr>
          <w:p w14:paraId="1DD7A1FA" w14:textId="6060A323" w:rsidR="006D1E39" w:rsidRDefault="006D1E39" w:rsidP="00735E41">
            <w:pPr>
              <w:pStyle w:val="Glossarytabletext"/>
              <w:rPr>
                <w:i/>
                <w:iCs/>
                <w:lang w:val="en-US" w:eastAsia="en-US"/>
              </w:rPr>
            </w:pPr>
            <w:r w:rsidRPr="001D2259">
              <w:rPr>
                <w:i/>
              </w:rPr>
              <w:t>Income Tax Assessment Act 19</w:t>
            </w:r>
            <w:r>
              <w:rPr>
                <w:i/>
              </w:rPr>
              <w:t>97</w:t>
            </w:r>
          </w:p>
        </w:tc>
      </w:tr>
      <w:tr w:rsidR="00AA4412" w:rsidRPr="002C43E8" w14:paraId="66A84709" w14:textId="77777777" w:rsidTr="00075E39">
        <w:tc>
          <w:tcPr>
            <w:tcW w:w="2721" w:type="dxa"/>
          </w:tcPr>
          <w:p w14:paraId="773D3CF3" w14:textId="77777777" w:rsidR="00AA4412" w:rsidRPr="002C43E8" w:rsidRDefault="00AA4412" w:rsidP="00075E39">
            <w:pPr>
              <w:pStyle w:val="Glossarytabletext"/>
              <w:rPr>
                <w:lang w:val="en-US" w:eastAsia="en-US"/>
              </w:rPr>
            </w:pPr>
            <w:r>
              <w:rPr>
                <w:lang w:val="en-US" w:eastAsia="en-US"/>
              </w:rPr>
              <w:t>NCC</w:t>
            </w:r>
          </w:p>
        </w:tc>
        <w:tc>
          <w:tcPr>
            <w:tcW w:w="3885" w:type="dxa"/>
          </w:tcPr>
          <w:p w14:paraId="03581EF5" w14:textId="77777777" w:rsidR="00AA4412" w:rsidRPr="002C43E8" w:rsidRDefault="00AA4412" w:rsidP="00075E39">
            <w:pPr>
              <w:pStyle w:val="Glossarytabletext"/>
              <w:rPr>
                <w:lang w:val="en-US" w:eastAsia="en-US"/>
              </w:rPr>
            </w:pPr>
            <w:r>
              <w:rPr>
                <w:lang w:val="en-US" w:eastAsia="en-US"/>
              </w:rPr>
              <w:t>National Credit Code</w:t>
            </w:r>
          </w:p>
        </w:tc>
      </w:tr>
      <w:tr w:rsidR="00EF38BB" w:rsidRPr="002C43E8" w14:paraId="1DBB4BF2" w14:textId="77777777" w:rsidTr="001243F1">
        <w:tc>
          <w:tcPr>
            <w:tcW w:w="2721" w:type="dxa"/>
          </w:tcPr>
          <w:p w14:paraId="06895BD9" w14:textId="77777777" w:rsidR="00EF38BB" w:rsidRPr="002C43E8" w:rsidRDefault="00EF38BB" w:rsidP="001243F1">
            <w:pPr>
              <w:pStyle w:val="Glossarytabletext"/>
              <w:rPr>
                <w:lang w:val="en-US" w:eastAsia="en-US"/>
              </w:rPr>
            </w:pPr>
            <w:r>
              <w:rPr>
                <w:lang w:val="en-US" w:eastAsia="en-US"/>
              </w:rPr>
              <w:t>NCCPA</w:t>
            </w:r>
          </w:p>
        </w:tc>
        <w:tc>
          <w:tcPr>
            <w:tcW w:w="3885" w:type="dxa"/>
          </w:tcPr>
          <w:p w14:paraId="5E953912" w14:textId="77777777" w:rsidR="00EF38BB" w:rsidRPr="002C6116" w:rsidRDefault="00EF38BB" w:rsidP="001243F1">
            <w:pPr>
              <w:pStyle w:val="Glossarytabletext"/>
              <w:rPr>
                <w:i/>
                <w:iCs/>
                <w:lang w:val="en-US" w:eastAsia="en-US"/>
              </w:rPr>
            </w:pPr>
            <w:r w:rsidRPr="002C6116">
              <w:rPr>
                <w:i/>
                <w:iCs/>
                <w:lang w:val="en-US" w:eastAsia="en-US"/>
              </w:rPr>
              <w:t>National Consumer Credit Protection Act 2009</w:t>
            </w:r>
          </w:p>
        </w:tc>
      </w:tr>
      <w:tr w:rsidR="009F07E7" w:rsidRPr="002C43E8" w14:paraId="7907D96B" w14:textId="77777777" w:rsidTr="001243F1">
        <w:tc>
          <w:tcPr>
            <w:tcW w:w="2721" w:type="dxa"/>
          </w:tcPr>
          <w:p w14:paraId="5033465D" w14:textId="26CFB36E" w:rsidR="009F07E7" w:rsidRDefault="009F07E7" w:rsidP="001243F1">
            <w:pPr>
              <w:pStyle w:val="Glossarytabletext"/>
              <w:rPr>
                <w:lang w:val="en-US" w:eastAsia="en-US"/>
              </w:rPr>
            </w:pPr>
            <w:r>
              <w:rPr>
                <w:lang w:val="en-US" w:eastAsia="en-US"/>
              </w:rPr>
              <w:t>PHIP</w:t>
            </w:r>
            <w:r w:rsidR="00FD0B0D">
              <w:rPr>
                <w:lang w:val="en-US" w:eastAsia="en-US"/>
              </w:rPr>
              <w:t>SA</w:t>
            </w:r>
          </w:p>
        </w:tc>
        <w:tc>
          <w:tcPr>
            <w:tcW w:w="3885" w:type="dxa"/>
          </w:tcPr>
          <w:p w14:paraId="5A1F2CD5" w14:textId="4968DA9B" w:rsidR="009F07E7" w:rsidRPr="002C6116" w:rsidRDefault="009F07E7" w:rsidP="001243F1">
            <w:pPr>
              <w:pStyle w:val="Glossarytabletext"/>
              <w:rPr>
                <w:i/>
                <w:iCs/>
                <w:lang w:val="en-US" w:eastAsia="en-US"/>
              </w:rPr>
            </w:pPr>
            <w:r w:rsidRPr="009F07E7">
              <w:rPr>
                <w:i/>
                <w:iCs/>
                <w:lang w:val="en-US" w:eastAsia="en-US"/>
              </w:rPr>
              <w:t>Private Health Insurance (Prudential Supervision) Act 2015</w:t>
            </w:r>
          </w:p>
        </w:tc>
      </w:tr>
      <w:tr w:rsidR="00EF38BB" w:rsidRPr="00EF38BB" w14:paraId="4F06A3AD" w14:textId="77777777" w:rsidTr="001243F1">
        <w:tc>
          <w:tcPr>
            <w:tcW w:w="2721" w:type="dxa"/>
          </w:tcPr>
          <w:p w14:paraId="4DE5ABFC" w14:textId="4E0F2BAC" w:rsidR="00EF38BB" w:rsidRPr="00EF38BB" w:rsidRDefault="00EF38BB" w:rsidP="00EF38BB">
            <w:pPr>
              <w:pStyle w:val="Glossarytabletext"/>
              <w:rPr>
                <w:lang w:val="en-US" w:eastAsia="en-US"/>
              </w:rPr>
            </w:pPr>
            <w:r w:rsidRPr="00EF38BB">
              <w:rPr>
                <w:lang w:val="en-US" w:eastAsia="en-US"/>
              </w:rPr>
              <w:t>SIS Act</w:t>
            </w:r>
          </w:p>
          <w:p w14:paraId="11D81D50" w14:textId="77777777" w:rsidR="00EF38BB" w:rsidRDefault="00EF38BB" w:rsidP="001243F1">
            <w:pPr>
              <w:pStyle w:val="Glossarytabletext"/>
              <w:rPr>
                <w:lang w:val="en-US" w:eastAsia="en-US"/>
              </w:rPr>
            </w:pPr>
          </w:p>
        </w:tc>
        <w:tc>
          <w:tcPr>
            <w:tcW w:w="3885" w:type="dxa"/>
          </w:tcPr>
          <w:p w14:paraId="2AE930EC" w14:textId="289ADF68" w:rsidR="00EF38BB" w:rsidRPr="00EF38BB" w:rsidRDefault="00EF38BB" w:rsidP="00EF38BB">
            <w:pPr>
              <w:pStyle w:val="Glossarytabletext"/>
              <w:rPr>
                <w:i/>
                <w:iCs/>
                <w:lang w:val="en-US" w:eastAsia="en-US"/>
              </w:rPr>
            </w:pPr>
            <w:r w:rsidRPr="00EF38BB">
              <w:rPr>
                <w:i/>
                <w:iCs/>
                <w:lang w:val="en-US" w:eastAsia="en-US"/>
              </w:rPr>
              <w:t>Superannuation Industry (Supervision) Act 1993</w:t>
            </w:r>
          </w:p>
        </w:tc>
      </w:tr>
    </w:tbl>
    <w:p w14:paraId="5A483F0C" w14:textId="77777777" w:rsidR="00C3452B" w:rsidRDefault="00C3452B" w:rsidP="00C3452B"/>
    <w:p w14:paraId="20A78DB2" w14:textId="77777777" w:rsidR="00C3452B" w:rsidRDefault="00C3452B" w:rsidP="00C3452B"/>
    <w:p w14:paraId="56F3B370" w14:textId="77777777" w:rsidR="00C3452B" w:rsidRDefault="00C3452B" w:rsidP="00C3452B">
      <w:pPr>
        <w:sectPr w:rsidR="00C3452B" w:rsidSect="00C10AAF">
          <w:headerReference w:type="even" r:id="rId26"/>
          <w:headerReference w:type="default" r:id="rId27"/>
          <w:footerReference w:type="even" r:id="rId28"/>
          <w:footerReference w:type="default" r:id="rId29"/>
          <w:footerReference w:type="first" r:id="rId30"/>
          <w:type w:val="oddPage"/>
          <w:pgSz w:w="9979" w:h="14175" w:code="9"/>
          <w:pgMar w:top="567" w:right="1134" w:bottom="567" w:left="1134" w:header="709" w:footer="709" w:gutter="0"/>
          <w:pgNumType w:start="1"/>
          <w:cols w:space="708"/>
          <w:titlePg/>
          <w:docGrid w:linePitch="360"/>
        </w:sectPr>
      </w:pPr>
    </w:p>
    <w:p w14:paraId="73E91B94" w14:textId="30137ED4" w:rsidR="009769C6" w:rsidRPr="007C2B20" w:rsidRDefault="00443860" w:rsidP="009769C6">
      <w:pPr>
        <w:pStyle w:val="ChapterHeading"/>
      </w:pPr>
      <w:r w:rsidRPr="000C2A9D">
        <w:lastRenderedPageBreak/>
        <w:br/>
      </w:r>
      <w:bookmarkStart w:id="35" w:name="_Toc86910516"/>
      <w:r w:rsidR="00942952">
        <w:rPr>
          <w:rStyle w:val="ChapterNameOnly"/>
        </w:rPr>
        <w:t>Signatures</w:t>
      </w:r>
      <w:r w:rsidR="00213124">
        <w:rPr>
          <w:rStyle w:val="ChapterNameOnly"/>
        </w:rPr>
        <w:t>, Sending</w:t>
      </w:r>
      <w:r w:rsidR="00096FE6">
        <w:rPr>
          <w:rStyle w:val="ChapterNameOnly"/>
        </w:rPr>
        <w:t xml:space="preserve"> Documents</w:t>
      </w:r>
      <w:r w:rsidR="00DD63E4">
        <w:rPr>
          <w:rStyle w:val="ChapterNameOnly"/>
        </w:rPr>
        <w:t xml:space="preserve"> and </w:t>
      </w:r>
      <w:r w:rsidR="00213124">
        <w:rPr>
          <w:rStyle w:val="ChapterNameOnly"/>
        </w:rPr>
        <w:t>Lost Member Relief</w:t>
      </w:r>
      <w:bookmarkEnd w:id="35"/>
    </w:p>
    <w:p w14:paraId="50D3F793" w14:textId="77777777" w:rsidR="009769C6" w:rsidRDefault="009769C6" w:rsidP="009D3DC0">
      <w:pPr>
        <w:pStyle w:val="Heading2"/>
      </w:pPr>
      <w:r>
        <w:t>Outline of chapter</w:t>
      </w:r>
    </w:p>
    <w:p w14:paraId="6627665E" w14:textId="622F9185" w:rsidR="001A4EC9" w:rsidRDefault="005E2763" w:rsidP="005E00AF">
      <w:pPr>
        <w:pStyle w:val="base-text-paragraph"/>
      </w:pPr>
      <w:r>
        <w:t>This chapter provides an overview of the changes that Schedule</w:t>
      </w:r>
      <w:r w:rsidR="00667CF0">
        <w:t> </w:t>
      </w:r>
      <w:r w:rsidR="00154AE8">
        <w:t>1</w:t>
      </w:r>
      <w:r w:rsidR="0034502A">
        <w:t xml:space="preserve"> </w:t>
      </w:r>
      <w:r>
        <w:t xml:space="preserve">makes to the </w:t>
      </w:r>
      <w:r w:rsidR="001A4EC9">
        <w:t>Corporations Act in relation to:</w:t>
      </w:r>
      <w:r w:rsidR="0034502A">
        <w:t xml:space="preserve"> </w:t>
      </w:r>
    </w:p>
    <w:p w14:paraId="5EBBD802" w14:textId="0982FC1E" w:rsidR="001A4EC9" w:rsidRDefault="001A4EC9" w:rsidP="0015150C">
      <w:pPr>
        <w:pStyle w:val="Bullet"/>
        <w:tabs>
          <w:tab w:val="clear" w:pos="520"/>
        </w:tabs>
        <w:ind w:left="1985"/>
      </w:pPr>
      <w:r>
        <w:t xml:space="preserve">signing and executing </w:t>
      </w:r>
      <w:r w:rsidR="0034502A">
        <w:t xml:space="preserve">documents </w:t>
      </w:r>
      <w:r w:rsidR="00FB2AC6">
        <w:t>electronically</w:t>
      </w:r>
      <w:r>
        <w:t>;</w:t>
      </w:r>
    </w:p>
    <w:p w14:paraId="37E3AF3F" w14:textId="23A677D4" w:rsidR="005E2763" w:rsidRDefault="0034502A" w:rsidP="0015150C">
      <w:pPr>
        <w:pStyle w:val="Bullet"/>
        <w:tabs>
          <w:tab w:val="clear" w:pos="520"/>
        </w:tabs>
        <w:ind w:left="1985"/>
      </w:pPr>
      <w:r>
        <w:t>sending certain documents</w:t>
      </w:r>
      <w:r w:rsidR="00FB2AC6">
        <w:t xml:space="preserve"> electronically</w:t>
      </w:r>
      <w:r w:rsidR="001A4EC9">
        <w:t>;</w:t>
      </w:r>
      <w:r>
        <w:t xml:space="preserve"> </w:t>
      </w:r>
      <w:r w:rsidR="001A4EC9">
        <w:t xml:space="preserve">and </w:t>
      </w:r>
    </w:p>
    <w:p w14:paraId="1F3347E0" w14:textId="28F6F851" w:rsidR="001A4EC9" w:rsidRDefault="00213124" w:rsidP="0015150C">
      <w:pPr>
        <w:pStyle w:val="Bullet"/>
        <w:tabs>
          <w:tab w:val="clear" w:pos="520"/>
        </w:tabs>
        <w:ind w:left="1985"/>
      </w:pPr>
      <w:r>
        <w:t>the introduction of relief for companies from sending documents to members whose contact details are known to be incorrect.</w:t>
      </w:r>
    </w:p>
    <w:p w14:paraId="25A10588" w14:textId="14C42383" w:rsidR="005D1F4C" w:rsidRDefault="005D1F4C" w:rsidP="00D54531">
      <w:pPr>
        <w:pStyle w:val="base-text-paragraph"/>
      </w:pPr>
      <w:r>
        <w:t xml:space="preserve">All references in this Chapter refer to the Corporations Act. </w:t>
      </w:r>
    </w:p>
    <w:p w14:paraId="2EB6F326" w14:textId="34D18A56" w:rsidR="00B65070" w:rsidRDefault="009769C6">
      <w:pPr>
        <w:pStyle w:val="Heading2"/>
      </w:pPr>
      <w:r>
        <w:t>Context of amendments</w:t>
      </w:r>
      <w:r w:rsidR="00263235">
        <w:t xml:space="preserve"> </w:t>
      </w:r>
    </w:p>
    <w:p w14:paraId="31B18D7D" w14:textId="1EE78D7B" w:rsidR="0015150C" w:rsidRDefault="00E91956" w:rsidP="00E91956">
      <w:pPr>
        <w:pStyle w:val="base-text-paragraph"/>
      </w:pPr>
      <w:r>
        <w:t xml:space="preserve">The Corporations Amendment (Meetings and Documents) Bill 2021, which was introduced on </w:t>
      </w:r>
      <w:r w:rsidRPr="0073297C">
        <w:t>20</w:t>
      </w:r>
      <w:r>
        <w:t xml:space="preserve"> October 2021, </w:t>
      </w:r>
      <w:r w:rsidR="00902F98">
        <w:t>proposes to</w:t>
      </w:r>
      <w:r w:rsidR="001C30D9">
        <w:t xml:space="preserve"> </w:t>
      </w:r>
      <w:r w:rsidR="00213124">
        <w:t>amend the Corporations Act to</w:t>
      </w:r>
      <w:r w:rsidR="0015150C">
        <w:t xml:space="preserve"> allow:</w:t>
      </w:r>
    </w:p>
    <w:p w14:paraId="5FED6688" w14:textId="1AD5751B" w:rsidR="0015150C" w:rsidRDefault="0015150C" w:rsidP="0015150C">
      <w:pPr>
        <w:pStyle w:val="Bullet"/>
        <w:tabs>
          <w:tab w:val="clear" w:pos="520"/>
        </w:tabs>
        <w:ind w:left="1843"/>
      </w:pPr>
      <w:r>
        <w:t xml:space="preserve">companies to sign and execute documents electronically or using </w:t>
      </w:r>
      <w:proofErr w:type="gramStart"/>
      <w:r>
        <w:t>wet-ink</w:t>
      </w:r>
      <w:proofErr w:type="gramEnd"/>
      <w:r>
        <w:t>;</w:t>
      </w:r>
      <w:r w:rsidR="00667CF0">
        <w:t xml:space="preserve"> and</w:t>
      </w:r>
    </w:p>
    <w:p w14:paraId="78D42838" w14:textId="16E7A83A" w:rsidR="00E91956" w:rsidRDefault="001C30D9" w:rsidP="0015150C">
      <w:pPr>
        <w:pStyle w:val="Bullet"/>
        <w:tabs>
          <w:tab w:val="clear" w:pos="520"/>
        </w:tabs>
        <w:ind w:left="1843"/>
      </w:pPr>
      <w:r>
        <w:t>companies, responsible entities of registered schemes and disclosing entities</w:t>
      </w:r>
      <w:r w:rsidR="00E91956">
        <w:t xml:space="preserve"> to </w:t>
      </w:r>
      <w:r>
        <w:t>send</w:t>
      </w:r>
      <w:r w:rsidR="00E91956">
        <w:t xml:space="preserve"> meetings-related documents electronically or in </w:t>
      </w:r>
      <w:r>
        <w:t>hard copy</w:t>
      </w:r>
      <w:r w:rsidR="00E91956">
        <w:t>.</w:t>
      </w:r>
    </w:p>
    <w:p w14:paraId="73EB9948" w14:textId="083EDC16" w:rsidR="0015150C" w:rsidRDefault="00E91956" w:rsidP="00E91956">
      <w:pPr>
        <w:pStyle w:val="base-text-paragraph"/>
      </w:pPr>
      <w:r>
        <w:t xml:space="preserve">Schedule </w:t>
      </w:r>
      <w:r w:rsidR="00667CF0">
        <w:t>1</w:t>
      </w:r>
      <w:r>
        <w:t xml:space="preserve"> to the Bill expands </w:t>
      </w:r>
      <w:r w:rsidR="0015150C">
        <w:t>the scope of these changes</w:t>
      </w:r>
      <w:r w:rsidR="001C30D9">
        <w:t xml:space="preserve"> so that</w:t>
      </w:r>
      <w:r w:rsidR="00041401">
        <w:t xml:space="preserve"> all documents under the Corporations Act can be signed electronically and certain additional categories of documents can be sent electronically and in hard copy.</w:t>
      </w:r>
      <w:r w:rsidR="001C30D9">
        <w:t xml:space="preserve"> </w:t>
      </w:r>
    </w:p>
    <w:p w14:paraId="0C0C501D" w14:textId="725CE540" w:rsidR="00FF7E25" w:rsidRDefault="00FF7E25" w:rsidP="00E91956">
      <w:pPr>
        <w:pStyle w:val="base-text-paragraph"/>
      </w:pPr>
      <w:r>
        <w:t xml:space="preserve">The </w:t>
      </w:r>
      <w:r w:rsidRPr="00667CF0">
        <w:rPr>
          <w:i/>
          <w:iCs/>
        </w:rPr>
        <w:t>ASIC Corporations (Uncontactable Members) Instrument 2016/187</w:t>
      </w:r>
      <w:r>
        <w:t xml:space="preserve"> provides relief to entities who would otherwise need to comply with section</w:t>
      </w:r>
      <w:r w:rsidR="00667CF0">
        <w:t>s</w:t>
      </w:r>
      <w:r>
        <w:t xml:space="preserve"> 314(1) or 314A(1) of the </w:t>
      </w:r>
      <w:r w:rsidR="00E85580">
        <w:t xml:space="preserve">Corporations </w:t>
      </w:r>
      <w:r>
        <w:t xml:space="preserve">Act, in certain circumstances. </w:t>
      </w:r>
      <w:r w:rsidR="00E85580">
        <w:t>Sections 314(1) and 314A(1) require a relevant entity to send a hard copy of the entity’s annual report to members who have elected to receive the report in this form.</w:t>
      </w:r>
    </w:p>
    <w:p w14:paraId="1E5572AD" w14:textId="74698376" w:rsidR="00FF7E25" w:rsidRDefault="00FF7E25" w:rsidP="00E91956">
      <w:pPr>
        <w:pStyle w:val="base-text-paragraph"/>
      </w:pPr>
      <w:r>
        <w:t xml:space="preserve">Schedule </w:t>
      </w:r>
      <w:r w:rsidR="00667CF0">
        <w:t>1</w:t>
      </w:r>
      <w:r>
        <w:t xml:space="preserve"> to the Bill </w:t>
      </w:r>
      <w:r w:rsidR="00E85580">
        <w:t xml:space="preserve">amends the Corporations Act so that it incorporates this relief and expands the scope of the relief to encompass a larger number of documents.  </w:t>
      </w:r>
    </w:p>
    <w:p w14:paraId="6F3A50E0" w14:textId="6563EC9D" w:rsidR="001C30D9" w:rsidRPr="001C30D9" w:rsidRDefault="005E2763" w:rsidP="001C30D9">
      <w:pPr>
        <w:pStyle w:val="Heading2"/>
      </w:pPr>
      <w:r>
        <w:lastRenderedPageBreak/>
        <w:t>Summary of new law</w:t>
      </w:r>
    </w:p>
    <w:p w14:paraId="26077689" w14:textId="25E4F4D9" w:rsidR="00366C58" w:rsidRDefault="00366C58" w:rsidP="00366C58">
      <w:pPr>
        <w:pStyle w:val="base-text-paragraph"/>
      </w:pPr>
      <w:r>
        <w:t xml:space="preserve">Schedule </w:t>
      </w:r>
      <w:r w:rsidR="00C94782">
        <w:t>1</w:t>
      </w:r>
      <w:r>
        <w:t xml:space="preserve">to the Bill amends the Corporations Act to provide that: </w:t>
      </w:r>
    </w:p>
    <w:p w14:paraId="075B3D4B" w14:textId="77D9BD7B" w:rsidR="00366C58" w:rsidRDefault="00366C58" w:rsidP="00366C58">
      <w:pPr>
        <w:pStyle w:val="Bullet"/>
        <w:tabs>
          <w:tab w:val="clear" w:pos="520"/>
        </w:tabs>
        <w:ind w:left="1985"/>
      </w:pPr>
      <w:r>
        <w:t>all documents which are required or permitted to be signed under the Corporations Act can be signed electronically or in wet-</w:t>
      </w:r>
      <w:proofErr w:type="gramStart"/>
      <w:r>
        <w:t>ink</w:t>
      </w:r>
      <w:r w:rsidR="00DC74E6">
        <w:t>;</w:t>
      </w:r>
      <w:proofErr w:type="gramEnd"/>
      <w:r>
        <w:t xml:space="preserve"> </w:t>
      </w:r>
    </w:p>
    <w:p w14:paraId="524B07BD" w14:textId="16B9EE1D" w:rsidR="00366C58" w:rsidRPr="005144CA" w:rsidRDefault="00366C58" w:rsidP="00366C58">
      <w:pPr>
        <w:pStyle w:val="Bullet"/>
        <w:tabs>
          <w:tab w:val="clear" w:pos="520"/>
        </w:tabs>
        <w:ind w:left="1985"/>
      </w:pPr>
      <w:r>
        <w:t xml:space="preserve">documents </w:t>
      </w:r>
      <w:r w:rsidRPr="005144CA">
        <w:t xml:space="preserve">sent under </w:t>
      </w:r>
      <w:r w:rsidR="005144CA">
        <w:t>C</w:t>
      </w:r>
      <w:r w:rsidRPr="005144CA">
        <w:t xml:space="preserve">hapters 2A to </w:t>
      </w:r>
      <w:r w:rsidR="00DC74E6" w:rsidRPr="005144CA">
        <w:t>2M</w:t>
      </w:r>
      <w:r w:rsidRPr="005144CA">
        <w:t>, 5 to 5D, 6</w:t>
      </w:r>
      <w:r w:rsidR="00731BAB" w:rsidRPr="005144CA">
        <w:t>-6C, 6D</w:t>
      </w:r>
      <w:r w:rsidRPr="005144CA">
        <w:t>, 8, 8A and 9 or Schedule 2 to the Act can be sent in either hard copy or electronic form; and</w:t>
      </w:r>
    </w:p>
    <w:p w14:paraId="0B7C8D3E" w14:textId="09F13DA3" w:rsidR="00366C58" w:rsidRDefault="00366C58" w:rsidP="00366C58">
      <w:pPr>
        <w:pStyle w:val="Bullet"/>
        <w:tabs>
          <w:tab w:val="clear" w:pos="520"/>
        </w:tabs>
        <w:ind w:left="1985"/>
      </w:pPr>
      <w:r>
        <w:t>companies are not required to send documents to a member where the contact details for that member are known to be incorrect.</w:t>
      </w:r>
    </w:p>
    <w:p w14:paraId="7763636A" w14:textId="77777777" w:rsidR="00C53179" w:rsidRDefault="00C53179" w:rsidP="00D54531">
      <w:pPr>
        <w:pStyle w:val="Heading2with18pointafter"/>
        <w:numPr>
          <w:ilvl w:val="0"/>
          <w:numId w:val="23"/>
        </w:numP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3203"/>
      </w:tblGrid>
      <w:tr w:rsidR="00C53179" w:rsidRPr="004666B8" w14:paraId="61B6236A" w14:textId="77777777" w:rsidTr="00BE3861">
        <w:tc>
          <w:tcPr>
            <w:tcW w:w="3214" w:type="dxa"/>
          </w:tcPr>
          <w:p w14:paraId="3AE9CB79" w14:textId="77777777" w:rsidR="00C53179" w:rsidRPr="004666B8" w:rsidRDefault="00C53179" w:rsidP="00BE3861">
            <w:pPr>
              <w:pStyle w:val="tableheaderwithintable"/>
              <w:rPr>
                <w:lang w:val="en-US" w:eastAsia="en-US"/>
              </w:rPr>
            </w:pPr>
            <w:r w:rsidRPr="004666B8">
              <w:rPr>
                <w:lang w:val="en-US" w:eastAsia="en-US"/>
              </w:rPr>
              <w:t>New law</w:t>
            </w:r>
          </w:p>
        </w:tc>
        <w:tc>
          <w:tcPr>
            <w:tcW w:w="3203" w:type="dxa"/>
          </w:tcPr>
          <w:p w14:paraId="362FC570" w14:textId="77777777" w:rsidR="00C53179" w:rsidRPr="004666B8" w:rsidRDefault="00C53179" w:rsidP="00BE3861">
            <w:pPr>
              <w:pStyle w:val="tableheaderwithintable"/>
              <w:rPr>
                <w:lang w:val="en-US" w:eastAsia="en-US"/>
              </w:rPr>
            </w:pPr>
            <w:r w:rsidRPr="004666B8">
              <w:rPr>
                <w:lang w:val="en-US" w:eastAsia="en-US"/>
              </w:rPr>
              <w:t>Current law</w:t>
            </w:r>
          </w:p>
        </w:tc>
      </w:tr>
      <w:tr w:rsidR="00E71FF5" w:rsidRPr="004666B8" w14:paraId="6C383193" w14:textId="77777777" w:rsidTr="00BA6C9D">
        <w:tc>
          <w:tcPr>
            <w:tcW w:w="3214" w:type="dxa"/>
          </w:tcPr>
          <w:p w14:paraId="40C56C6B" w14:textId="3C920E77" w:rsidR="00E71FF5" w:rsidRDefault="00E71FF5" w:rsidP="00BA6C9D">
            <w:pPr>
              <w:pStyle w:val="tabletext"/>
              <w:rPr>
                <w:lang w:val="en-US" w:eastAsia="en-US"/>
              </w:rPr>
            </w:pPr>
            <w:r>
              <w:rPr>
                <w:lang w:val="en-US" w:eastAsia="en-US"/>
              </w:rPr>
              <w:t>All documents under the Corporations Act can be signed or executed electronically.</w:t>
            </w:r>
          </w:p>
        </w:tc>
        <w:tc>
          <w:tcPr>
            <w:tcW w:w="3203" w:type="dxa"/>
          </w:tcPr>
          <w:p w14:paraId="70DD133E" w14:textId="561B42AD" w:rsidR="00E71FF5" w:rsidRDefault="00E71FF5" w:rsidP="00BA6C9D">
            <w:pPr>
              <w:pStyle w:val="tabletext"/>
              <w:rPr>
                <w:lang w:val="en-US" w:eastAsia="en-US"/>
              </w:rPr>
            </w:pPr>
            <w:r>
              <w:rPr>
                <w:lang w:val="en-US" w:eastAsia="en-US"/>
              </w:rPr>
              <w:t>Only certain documents can be signed or executed electronically</w:t>
            </w:r>
            <w:r w:rsidR="0008011D">
              <w:rPr>
                <w:lang w:val="en-US" w:eastAsia="en-US"/>
              </w:rPr>
              <w:t xml:space="preserve"> under the new global provisions in the Meetings and Documents Bill</w:t>
            </w:r>
            <w:r>
              <w:rPr>
                <w:lang w:val="en-US" w:eastAsia="en-US"/>
              </w:rPr>
              <w:t>.</w:t>
            </w:r>
          </w:p>
        </w:tc>
      </w:tr>
      <w:tr w:rsidR="00C53179" w:rsidRPr="004666B8" w14:paraId="1E2B59A5" w14:textId="77777777" w:rsidTr="00BE3861">
        <w:tc>
          <w:tcPr>
            <w:tcW w:w="3214" w:type="dxa"/>
          </w:tcPr>
          <w:p w14:paraId="23798F86" w14:textId="007AC92E" w:rsidR="00C53179" w:rsidRPr="004666B8" w:rsidRDefault="00C53179" w:rsidP="00BE3861">
            <w:pPr>
              <w:pStyle w:val="tabletext"/>
              <w:rPr>
                <w:lang w:val="en-US" w:eastAsia="en-US"/>
              </w:rPr>
            </w:pPr>
            <w:r>
              <w:rPr>
                <w:lang w:val="en-US" w:eastAsia="en-US"/>
              </w:rPr>
              <w:t xml:space="preserve">All documents in </w:t>
            </w:r>
            <w:r w:rsidR="005144CA">
              <w:rPr>
                <w:lang w:val="en-US"/>
              </w:rPr>
              <w:t>C</w:t>
            </w:r>
            <w:proofErr w:type="spellStart"/>
            <w:r>
              <w:t>hapters</w:t>
            </w:r>
            <w:proofErr w:type="spellEnd"/>
            <w:r>
              <w:t xml:space="preserve"> 2A to </w:t>
            </w:r>
            <w:r w:rsidR="0008011D">
              <w:t>2M</w:t>
            </w:r>
            <w:r>
              <w:t xml:space="preserve">, 5 </w:t>
            </w:r>
            <w:r w:rsidRPr="005144CA">
              <w:t>to 5D, 6</w:t>
            </w:r>
            <w:r w:rsidR="008C3F4C">
              <w:t xml:space="preserve"> to </w:t>
            </w:r>
            <w:r w:rsidR="00731BAB" w:rsidRPr="005144CA">
              <w:t>6C, 6D</w:t>
            </w:r>
            <w:r w:rsidRPr="005144CA">
              <w:t>, 8, 8A</w:t>
            </w:r>
            <w:r w:rsidR="0008011D" w:rsidRPr="005144CA">
              <w:t>,</w:t>
            </w:r>
            <w:r w:rsidRPr="005144CA">
              <w:t xml:space="preserve"> 9 </w:t>
            </w:r>
            <w:r w:rsidR="0008011D" w:rsidRPr="005144CA">
              <w:t xml:space="preserve">and </w:t>
            </w:r>
            <w:r w:rsidRPr="005144CA">
              <w:t>Schedule 2 to the Act</w:t>
            </w:r>
            <w:r w:rsidR="00417FAF" w:rsidRPr="005144CA">
              <w:t>, other</w:t>
            </w:r>
            <w:r w:rsidR="00417FAF">
              <w:t xml:space="preserve"> than those which are lodged with ASIC, the Registrar</w:t>
            </w:r>
            <w:r w:rsidR="006952BF">
              <w:t>,</w:t>
            </w:r>
            <w:r w:rsidR="00417FAF">
              <w:t xml:space="preserve"> or the Takeovers Panel,</w:t>
            </w:r>
            <w:r>
              <w:t xml:space="preserve"> can be sent either electronically or in hard copy.</w:t>
            </w:r>
          </w:p>
        </w:tc>
        <w:tc>
          <w:tcPr>
            <w:tcW w:w="3203" w:type="dxa"/>
          </w:tcPr>
          <w:p w14:paraId="0983BE62" w14:textId="2D117A5E" w:rsidR="00C53179" w:rsidRPr="004666B8" w:rsidRDefault="00417FAF" w:rsidP="00BE3861">
            <w:pPr>
              <w:pStyle w:val="tabletext"/>
              <w:rPr>
                <w:lang w:val="en-US" w:eastAsia="en-US"/>
              </w:rPr>
            </w:pPr>
            <w:r>
              <w:rPr>
                <w:lang w:val="en-US" w:eastAsia="en-US"/>
              </w:rPr>
              <w:t>Only meetings related documents sent by companies, registered schemes and disclosing entities can be sent either electronically or in hard copy</w:t>
            </w:r>
            <w:r w:rsidR="0008011D">
              <w:rPr>
                <w:lang w:val="en-US" w:eastAsia="en-US"/>
              </w:rPr>
              <w:t xml:space="preserve"> under the new global provisions in the Meetings and Documents Bill</w:t>
            </w:r>
            <w:r>
              <w:rPr>
                <w:lang w:val="en-US" w:eastAsia="en-US"/>
              </w:rPr>
              <w:t xml:space="preserve">. </w:t>
            </w:r>
            <w:r w:rsidR="0008011D">
              <w:rPr>
                <w:lang w:val="en-US" w:eastAsia="en-US"/>
              </w:rPr>
              <w:t xml:space="preserve">Most </w:t>
            </w:r>
            <w:r>
              <w:rPr>
                <w:lang w:val="en-US" w:eastAsia="en-US"/>
              </w:rPr>
              <w:t xml:space="preserve">other documents must be sent in hard copy.  </w:t>
            </w:r>
          </w:p>
        </w:tc>
      </w:tr>
      <w:tr w:rsidR="00C53179" w:rsidRPr="004666B8" w14:paraId="3B315F39" w14:textId="77777777" w:rsidTr="00BE3861">
        <w:tc>
          <w:tcPr>
            <w:tcW w:w="3214" w:type="dxa"/>
          </w:tcPr>
          <w:p w14:paraId="001AD095" w14:textId="54BBE23F" w:rsidR="00C53179" w:rsidRDefault="008C3F4C" w:rsidP="00BE3861">
            <w:pPr>
              <w:pStyle w:val="tabletext"/>
              <w:rPr>
                <w:lang w:val="en-US" w:eastAsia="en-US"/>
              </w:rPr>
            </w:pPr>
            <w:r>
              <w:rPr>
                <w:lang w:val="en-US" w:eastAsia="en-US"/>
              </w:rPr>
              <w:t>A member of a company, registered scheme, disclosing entity or a notified foreign passport fund, and a holder of securities in the target for a bid</w:t>
            </w:r>
            <w:r w:rsidR="00417FAF">
              <w:rPr>
                <w:lang w:val="en-US" w:eastAsia="en-US"/>
              </w:rPr>
              <w:t xml:space="preserve"> can elect to receive documents in either hard copy or electronic form. </w:t>
            </w:r>
          </w:p>
        </w:tc>
        <w:tc>
          <w:tcPr>
            <w:tcW w:w="3203" w:type="dxa"/>
          </w:tcPr>
          <w:p w14:paraId="1FC09C1A" w14:textId="38ADAAC3" w:rsidR="00C53179" w:rsidRDefault="00417FAF" w:rsidP="00BE3861">
            <w:pPr>
              <w:pStyle w:val="tabletext"/>
              <w:rPr>
                <w:lang w:val="en-US" w:eastAsia="en-US"/>
              </w:rPr>
            </w:pPr>
            <w:r>
              <w:rPr>
                <w:lang w:val="en-US" w:eastAsia="en-US"/>
              </w:rPr>
              <w:t xml:space="preserve">A member of a company, registered scheme or disclosing entity may elect to receive meetings related documents in either hard copy or electronic form. </w:t>
            </w:r>
            <w:r w:rsidR="00C53179">
              <w:rPr>
                <w:lang w:val="en-US" w:eastAsia="en-US"/>
              </w:rPr>
              <w:t xml:space="preserve"> </w:t>
            </w:r>
          </w:p>
        </w:tc>
      </w:tr>
      <w:tr w:rsidR="00E71FF5" w:rsidRPr="004666B8" w14:paraId="614AE3F1" w14:textId="77777777" w:rsidTr="00BA6C9D">
        <w:tc>
          <w:tcPr>
            <w:tcW w:w="3214" w:type="dxa"/>
          </w:tcPr>
          <w:p w14:paraId="06CFF9DA" w14:textId="4882AF98" w:rsidR="00E71FF5" w:rsidRPr="00E71FF5" w:rsidRDefault="00E71FF5" w:rsidP="00E71FF5">
            <w:pPr>
              <w:pStyle w:val="tabletext"/>
              <w:rPr>
                <w:lang w:val="en-US" w:eastAsia="en-US"/>
              </w:rPr>
            </w:pPr>
            <w:r w:rsidRPr="00E71FF5">
              <w:rPr>
                <w:lang w:val="en-US" w:eastAsia="en-US"/>
              </w:rPr>
              <w:t>The target of a takeover bid is required to additionally provide the bidder with the electronic and postal addresses of relevant security holders, if the target knows those addresses.</w:t>
            </w:r>
          </w:p>
        </w:tc>
        <w:tc>
          <w:tcPr>
            <w:tcW w:w="3203" w:type="dxa"/>
          </w:tcPr>
          <w:p w14:paraId="73B0D0E5" w14:textId="00E1B45D" w:rsidR="00E71FF5" w:rsidRPr="00E71FF5" w:rsidRDefault="00E71FF5" w:rsidP="00E71FF5">
            <w:pPr>
              <w:pStyle w:val="tabletext"/>
              <w:rPr>
                <w:lang w:val="en-US" w:eastAsia="en-US"/>
              </w:rPr>
            </w:pPr>
            <w:r w:rsidRPr="00E71FF5">
              <w:rPr>
                <w:lang w:val="en-US" w:eastAsia="en-US"/>
              </w:rPr>
              <w:t>The target is required to provide the bidder with the postal addresses of relevant security holders.</w:t>
            </w:r>
          </w:p>
        </w:tc>
      </w:tr>
      <w:tr w:rsidR="00E71FF5" w:rsidRPr="004666B8" w14:paraId="71C87714" w14:textId="77777777" w:rsidTr="00BA6C9D">
        <w:tc>
          <w:tcPr>
            <w:tcW w:w="3214" w:type="dxa"/>
          </w:tcPr>
          <w:p w14:paraId="2D065934" w14:textId="378465F4" w:rsidR="00E71FF5" w:rsidRPr="00E71FF5" w:rsidRDefault="00E71FF5" w:rsidP="00E71FF5">
            <w:pPr>
              <w:pStyle w:val="tabletext"/>
              <w:rPr>
                <w:lang w:val="en-US" w:eastAsia="en-US"/>
              </w:rPr>
            </w:pPr>
            <w:r w:rsidRPr="00E71FF5">
              <w:rPr>
                <w:lang w:val="en-US" w:eastAsia="en-US"/>
              </w:rPr>
              <w:lastRenderedPageBreak/>
              <w:t>It is an offence for the bidder to misuse information about security holders which is provided by the target to the bidder.</w:t>
            </w:r>
          </w:p>
        </w:tc>
        <w:tc>
          <w:tcPr>
            <w:tcW w:w="3203" w:type="dxa"/>
          </w:tcPr>
          <w:p w14:paraId="6798F3A9" w14:textId="6D3FD3D3" w:rsidR="00E71FF5" w:rsidRPr="00E71FF5" w:rsidRDefault="00E71FF5" w:rsidP="00E71FF5">
            <w:pPr>
              <w:pStyle w:val="tabletext"/>
              <w:rPr>
                <w:lang w:val="en-US" w:eastAsia="en-US"/>
              </w:rPr>
            </w:pPr>
            <w:r w:rsidRPr="00E71FF5">
              <w:rPr>
                <w:lang w:val="en-US" w:eastAsia="en-US"/>
              </w:rPr>
              <w:t>No equivalent.</w:t>
            </w:r>
          </w:p>
        </w:tc>
      </w:tr>
      <w:tr w:rsidR="00E71FF5" w:rsidRPr="004666B8" w14:paraId="53AE4D8F" w14:textId="77777777" w:rsidTr="00BA6C9D">
        <w:tc>
          <w:tcPr>
            <w:tcW w:w="3214" w:type="dxa"/>
          </w:tcPr>
          <w:p w14:paraId="2FFDFA92" w14:textId="7067083E" w:rsidR="00E71FF5" w:rsidRPr="00044538" w:rsidRDefault="00E71FF5" w:rsidP="00E71FF5">
            <w:pPr>
              <w:pStyle w:val="tabletext"/>
              <w:rPr>
                <w:lang w:val="en-US" w:eastAsia="en-US"/>
              </w:rPr>
            </w:pPr>
            <w:r w:rsidRPr="00044538">
              <w:rPr>
                <w:lang w:val="en-US" w:eastAsia="en-US"/>
              </w:rPr>
              <w:t>A person may object to a compulsory acquisition by signing the objection form and either returning it to the 90% holder or sending it to them in an electronic communication</w:t>
            </w:r>
            <w:r w:rsidR="00044538" w:rsidRPr="00044538">
              <w:rPr>
                <w:lang w:val="en-US" w:eastAsia="en-US"/>
              </w:rPr>
              <w:t xml:space="preserve"> or in hard copy</w:t>
            </w:r>
            <w:r w:rsidRPr="00044538">
              <w:rPr>
                <w:lang w:val="en-US" w:eastAsia="en-US"/>
              </w:rPr>
              <w:t xml:space="preserve">. </w:t>
            </w:r>
          </w:p>
        </w:tc>
        <w:tc>
          <w:tcPr>
            <w:tcW w:w="3203" w:type="dxa"/>
          </w:tcPr>
          <w:p w14:paraId="3D828828" w14:textId="112B7E9D" w:rsidR="00E71FF5" w:rsidRPr="00044538" w:rsidRDefault="00E71FF5" w:rsidP="00E71FF5">
            <w:pPr>
              <w:pStyle w:val="tabletext"/>
              <w:rPr>
                <w:lang w:val="en-US" w:eastAsia="en-US"/>
              </w:rPr>
            </w:pPr>
            <w:r w:rsidRPr="00044538">
              <w:rPr>
                <w:lang w:val="en-US" w:eastAsia="en-US"/>
              </w:rPr>
              <w:t>A person objecting to a compulsory acquisition is required to sign and return the objection form to the 90% holder</w:t>
            </w:r>
            <w:r w:rsidR="00044538" w:rsidRPr="00044538">
              <w:rPr>
                <w:lang w:val="en-US" w:eastAsia="en-US"/>
              </w:rPr>
              <w:t xml:space="preserve"> in hard copy</w:t>
            </w:r>
            <w:r w:rsidRPr="00044538">
              <w:rPr>
                <w:lang w:val="en-US" w:eastAsia="en-US"/>
              </w:rPr>
              <w:t>.</w:t>
            </w:r>
          </w:p>
        </w:tc>
      </w:tr>
      <w:tr w:rsidR="00E71FF5" w:rsidRPr="004666B8" w14:paraId="4036D4AA" w14:textId="77777777" w:rsidTr="00BA6C9D">
        <w:tc>
          <w:tcPr>
            <w:tcW w:w="3214" w:type="dxa"/>
          </w:tcPr>
          <w:p w14:paraId="2E6CBF61" w14:textId="55BABDD1" w:rsidR="00E71FF5" w:rsidRPr="0013186B" w:rsidRDefault="00FB0DEC" w:rsidP="00E71FF5">
            <w:pPr>
              <w:pStyle w:val="tabletext"/>
              <w:rPr>
                <w:lang w:val="en-US" w:eastAsia="en-US"/>
              </w:rPr>
            </w:pPr>
            <w:r>
              <w:rPr>
                <w:lang w:val="en-US" w:eastAsia="en-US"/>
              </w:rPr>
              <w:t>Entities</w:t>
            </w:r>
            <w:r w:rsidR="0013186B">
              <w:rPr>
                <w:lang w:val="en-US" w:eastAsia="en-US"/>
              </w:rPr>
              <w:t xml:space="preserve"> do not have to send any documents in specified chapters to members if the</w:t>
            </w:r>
            <w:r>
              <w:rPr>
                <w:lang w:val="en-US" w:eastAsia="en-US"/>
              </w:rPr>
              <w:t xml:space="preserve"> entity</w:t>
            </w:r>
            <w:r w:rsidR="0013186B">
              <w:rPr>
                <w:lang w:val="en-US" w:eastAsia="en-US"/>
              </w:rPr>
              <w:t xml:space="preserve"> know</w:t>
            </w:r>
            <w:r>
              <w:rPr>
                <w:lang w:val="en-US" w:eastAsia="en-US"/>
              </w:rPr>
              <w:t>s</w:t>
            </w:r>
            <w:r w:rsidR="0013186B">
              <w:rPr>
                <w:lang w:val="en-US" w:eastAsia="en-US"/>
              </w:rPr>
              <w:t xml:space="preserve"> that the members postal and electronic addresses are incorrect. </w:t>
            </w:r>
          </w:p>
        </w:tc>
        <w:tc>
          <w:tcPr>
            <w:tcW w:w="3203" w:type="dxa"/>
          </w:tcPr>
          <w:p w14:paraId="1CF6B97E" w14:textId="757DCF2F" w:rsidR="00E71FF5" w:rsidRPr="0013186B" w:rsidRDefault="00FB0DEC" w:rsidP="00E71FF5">
            <w:pPr>
              <w:pStyle w:val="tabletext"/>
              <w:rPr>
                <w:lang w:val="en-US" w:eastAsia="en-US"/>
              </w:rPr>
            </w:pPr>
            <w:r>
              <w:rPr>
                <w:lang w:val="en-US" w:eastAsia="en-US"/>
              </w:rPr>
              <w:t>Entities</w:t>
            </w:r>
            <w:r w:rsidR="0013186B">
              <w:rPr>
                <w:lang w:val="en-US" w:eastAsia="en-US"/>
              </w:rPr>
              <w:t xml:space="preserve"> do not have to</w:t>
            </w:r>
            <w:r w:rsidR="00E71FF5" w:rsidRPr="0013186B">
              <w:rPr>
                <w:lang w:val="en-US" w:eastAsia="en-US"/>
              </w:rPr>
              <w:t xml:space="preserve"> send annual reports in hard copy to members </w:t>
            </w:r>
            <w:r>
              <w:rPr>
                <w:lang w:val="en-US" w:eastAsia="en-US"/>
              </w:rPr>
              <w:t xml:space="preserve">if the entity knows that the members postal address is incorrect. </w:t>
            </w:r>
          </w:p>
        </w:tc>
      </w:tr>
      <w:tr w:rsidR="00E71FF5" w:rsidRPr="004666B8" w14:paraId="285B68F8" w14:textId="77777777" w:rsidTr="00BA6C9D">
        <w:tc>
          <w:tcPr>
            <w:tcW w:w="3214" w:type="dxa"/>
          </w:tcPr>
          <w:p w14:paraId="5BECB5D5" w14:textId="0B859DFC" w:rsidR="00E71FF5" w:rsidRDefault="00FB0DEC" w:rsidP="00E71FF5">
            <w:pPr>
              <w:pStyle w:val="tabletext"/>
              <w:rPr>
                <w:lang w:val="en-US" w:eastAsia="en-US"/>
              </w:rPr>
            </w:pPr>
            <w:r>
              <w:rPr>
                <w:lang w:val="en-US" w:eastAsia="en-US"/>
              </w:rPr>
              <w:t>An</w:t>
            </w:r>
            <w:r w:rsidR="00E71FF5" w:rsidRPr="0013186B">
              <w:rPr>
                <w:lang w:val="en-US" w:eastAsia="en-US"/>
              </w:rPr>
              <w:t xml:space="preserve"> entity must attempt to contact </w:t>
            </w:r>
            <w:r>
              <w:rPr>
                <w:lang w:val="en-US" w:eastAsia="en-US"/>
              </w:rPr>
              <w:t xml:space="preserve">a member that it is no longer sending documents due to an incorrect address </w:t>
            </w:r>
            <w:r w:rsidR="00E71FF5" w:rsidRPr="0013186B">
              <w:rPr>
                <w:lang w:val="en-US" w:eastAsia="en-US"/>
              </w:rPr>
              <w:t xml:space="preserve">in the </w:t>
            </w:r>
            <w:r w:rsidR="000F2CAE">
              <w:rPr>
                <w:lang w:val="en-US" w:eastAsia="en-US"/>
              </w:rPr>
              <w:t>12</w:t>
            </w:r>
            <w:r w:rsidR="000F2CAE" w:rsidRPr="0013186B">
              <w:rPr>
                <w:lang w:val="en-US" w:eastAsia="en-US"/>
              </w:rPr>
              <w:t>-month</w:t>
            </w:r>
            <w:r w:rsidR="00E71FF5" w:rsidRPr="0013186B">
              <w:rPr>
                <w:lang w:val="en-US" w:eastAsia="en-US"/>
              </w:rPr>
              <w:t xml:space="preserve"> period following the point at which they </w:t>
            </w:r>
            <w:r>
              <w:rPr>
                <w:lang w:val="en-US" w:eastAsia="en-US"/>
              </w:rPr>
              <w:t>stop sending that member documents</w:t>
            </w:r>
            <w:r w:rsidR="00E71FF5" w:rsidRPr="0013186B">
              <w:rPr>
                <w:lang w:val="en-US" w:eastAsia="en-US"/>
              </w:rPr>
              <w:t xml:space="preserve">. </w:t>
            </w:r>
          </w:p>
          <w:p w14:paraId="003DB1EC" w14:textId="77777777" w:rsidR="00FB0DEC" w:rsidRDefault="00FB0DEC" w:rsidP="00E71FF5">
            <w:pPr>
              <w:pStyle w:val="tabletext"/>
              <w:rPr>
                <w:lang w:val="en-US" w:eastAsia="en-US"/>
              </w:rPr>
            </w:pPr>
          </w:p>
          <w:p w14:paraId="13A28641" w14:textId="118D4C59" w:rsidR="00E71FF5" w:rsidRPr="0013186B" w:rsidRDefault="00FB0DEC" w:rsidP="00E71FF5">
            <w:pPr>
              <w:pStyle w:val="tabletext"/>
              <w:rPr>
                <w:lang w:val="en-US" w:eastAsia="en-US"/>
              </w:rPr>
            </w:pPr>
            <w:r>
              <w:rPr>
                <w:lang w:val="en-US" w:eastAsia="en-US"/>
              </w:rPr>
              <w:t xml:space="preserve">After the end of that </w:t>
            </w:r>
            <w:r w:rsidR="000F2CAE">
              <w:rPr>
                <w:lang w:val="en-US" w:eastAsia="en-US"/>
              </w:rPr>
              <w:t>12-month</w:t>
            </w:r>
            <w:r>
              <w:rPr>
                <w:lang w:val="en-US" w:eastAsia="en-US"/>
              </w:rPr>
              <w:t xml:space="preserve"> period the entity has no obligation to attempt</w:t>
            </w:r>
            <w:r w:rsidR="0008011D">
              <w:rPr>
                <w:lang w:val="en-US" w:eastAsia="en-US"/>
              </w:rPr>
              <w:t xml:space="preserve"> to</w:t>
            </w:r>
            <w:r>
              <w:rPr>
                <w:lang w:val="en-US" w:eastAsia="en-US"/>
              </w:rPr>
              <w:t xml:space="preserve"> contact the member</w:t>
            </w:r>
            <w:r w:rsidR="00E85580">
              <w:rPr>
                <w:lang w:val="en-US" w:eastAsia="en-US"/>
              </w:rPr>
              <w:t>, provided the conditions</w:t>
            </w:r>
            <w:r w:rsidR="00280F40">
              <w:rPr>
                <w:lang w:val="en-US" w:eastAsia="en-US"/>
              </w:rPr>
              <w:t xml:space="preserve"> for the relief</w:t>
            </w:r>
            <w:r w:rsidR="00E85580">
              <w:rPr>
                <w:lang w:val="en-US" w:eastAsia="en-US"/>
              </w:rPr>
              <w:t xml:space="preserve"> continue to apply</w:t>
            </w:r>
            <w:r>
              <w:rPr>
                <w:lang w:val="en-US" w:eastAsia="en-US"/>
              </w:rPr>
              <w:t>.</w:t>
            </w:r>
          </w:p>
        </w:tc>
        <w:tc>
          <w:tcPr>
            <w:tcW w:w="3203" w:type="dxa"/>
          </w:tcPr>
          <w:p w14:paraId="428C5F77" w14:textId="2EDB3392" w:rsidR="00E71FF5" w:rsidRDefault="0008011D" w:rsidP="00E71FF5">
            <w:pPr>
              <w:pStyle w:val="tabletext"/>
              <w:rPr>
                <w:lang w:val="en-US" w:eastAsia="en-US"/>
              </w:rPr>
            </w:pPr>
            <w:r>
              <w:rPr>
                <w:lang w:val="en-US" w:eastAsia="en-US"/>
              </w:rPr>
              <w:t>An</w:t>
            </w:r>
            <w:r w:rsidR="00E71FF5" w:rsidRPr="0013186B">
              <w:rPr>
                <w:lang w:val="en-US" w:eastAsia="en-US"/>
              </w:rPr>
              <w:t xml:space="preserve"> entity must send a notice to the address they possess in relation to the shareholder at least once a year for </w:t>
            </w:r>
            <w:r w:rsidR="00E71FF5">
              <w:rPr>
                <w:lang w:val="en-US" w:eastAsia="en-US"/>
              </w:rPr>
              <w:t>6</w:t>
            </w:r>
            <w:r w:rsidR="00E71FF5" w:rsidRPr="0013186B">
              <w:rPr>
                <w:lang w:val="en-US" w:eastAsia="en-US"/>
              </w:rPr>
              <w:t xml:space="preserve"> years after they have fulfilled the conditions for the relief to apply.</w:t>
            </w:r>
          </w:p>
          <w:p w14:paraId="2DB3796C" w14:textId="77777777" w:rsidR="00FB0DEC" w:rsidRDefault="00FB0DEC" w:rsidP="00E71FF5">
            <w:pPr>
              <w:pStyle w:val="tabletext"/>
              <w:rPr>
                <w:lang w:val="en-US" w:eastAsia="en-US"/>
              </w:rPr>
            </w:pPr>
          </w:p>
          <w:p w14:paraId="5D051DF7" w14:textId="14AFA36C" w:rsidR="00E71FF5" w:rsidRPr="0013186B" w:rsidRDefault="00781A8D" w:rsidP="00E71FF5">
            <w:pPr>
              <w:pStyle w:val="tabletext"/>
              <w:rPr>
                <w:lang w:val="en-US" w:eastAsia="en-US"/>
              </w:rPr>
            </w:pPr>
            <w:r>
              <w:rPr>
                <w:lang w:val="en-US" w:eastAsia="en-US"/>
              </w:rPr>
              <w:t xml:space="preserve">After that </w:t>
            </w:r>
            <w:r w:rsidR="000F2CAE">
              <w:rPr>
                <w:lang w:val="en-US" w:eastAsia="en-US"/>
              </w:rPr>
              <w:t>6-year</w:t>
            </w:r>
            <w:r>
              <w:rPr>
                <w:lang w:val="en-US" w:eastAsia="en-US"/>
              </w:rPr>
              <w:t xml:space="preserve"> period the entity has no obligation to send further notices </w:t>
            </w:r>
            <w:r w:rsidR="003D34E0">
              <w:rPr>
                <w:lang w:val="en-US" w:eastAsia="en-US"/>
              </w:rPr>
              <w:t>in relation to annual reports to that member.</w:t>
            </w:r>
            <w:r>
              <w:rPr>
                <w:lang w:val="en-US" w:eastAsia="en-US"/>
              </w:rPr>
              <w:t xml:space="preserve"> </w:t>
            </w:r>
          </w:p>
        </w:tc>
      </w:tr>
    </w:tbl>
    <w:p w14:paraId="634C839E" w14:textId="5AF15531" w:rsidR="001C30D9" w:rsidRDefault="001C30D9" w:rsidP="001D2259">
      <w:pPr>
        <w:pStyle w:val="Heading2"/>
      </w:pPr>
      <w:r>
        <w:t>Detailed explanation of new law</w:t>
      </w:r>
    </w:p>
    <w:p w14:paraId="5ECA1425" w14:textId="783A45AA" w:rsidR="00B8234D" w:rsidRDefault="00B8234D" w:rsidP="00B8234D">
      <w:pPr>
        <w:pStyle w:val="Heading3"/>
      </w:pPr>
      <w:r>
        <w:t>Technology neutral signing and execution of documents</w:t>
      </w:r>
    </w:p>
    <w:p w14:paraId="5B491D94" w14:textId="0C0E465A" w:rsidR="00B8234D" w:rsidRDefault="00B8234D" w:rsidP="00B8234D">
      <w:pPr>
        <w:pStyle w:val="base-text-paragraph"/>
      </w:pPr>
      <w:r>
        <w:t xml:space="preserve">Schedule </w:t>
      </w:r>
      <w:r w:rsidR="006D1AA9">
        <w:t>1</w:t>
      </w:r>
      <w:r>
        <w:t xml:space="preserve"> to the Bill amends Part 1.2AA of the Corporations Act to provide that any document, including deeds, which are required or permitted to be signed by a person under the Corporations Act can be signed in wet-ink or electronically or by witnessing the fixing of a common seal in person or using electronic means. This includes documents signed by an agent on behalf of a company in accordance with section 126 of the Corporations Act and documents executed by a company in accordance with section 127 of the Corporations Act. </w:t>
      </w:r>
      <w:r>
        <w:rPr>
          <w:rStyle w:val="Referencingstyle"/>
        </w:rPr>
        <w:t xml:space="preserve">[Schedule </w:t>
      </w:r>
      <w:r w:rsidR="00F452D5">
        <w:rPr>
          <w:rStyle w:val="Referencingstyle"/>
        </w:rPr>
        <w:t>1</w:t>
      </w:r>
      <w:r>
        <w:rPr>
          <w:rStyle w:val="Referencingstyle"/>
        </w:rPr>
        <w:t>, i</w:t>
      </w:r>
      <w:r w:rsidRPr="00375F1D">
        <w:rPr>
          <w:rStyle w:val="Referencingstyle"/>
        </w:rPr>
        <w:t xml:space="preserve">tem </w:t>
      </w:r>
      <w:r>
        <w:rPr>
          <w:rStyle w:val="Referencingstyle"/>
        </w:rPr>
        <w:t>1</w:t>
      </w:r>
      <w:r w:rsidRPr="00375F1D">
        <w:rPr>
          <w:rStyle w:val="Referencingstyle"/>
        </w:rPr>
        <w:t xml:space="preserve">, section </w:t>
      </w:r>
      <w:r>
        <w:rPr>
          <w:rStyle w:val="Referencingstyle"/>
        </w:rPr>
        <w:t>110</w:t>
      </w:r>
      <w:r w:rsidRPr="00375F1D">
        <w:rPr>
          <w:rStyle w:val="Referencingstyle"/>
        </w:rPr>
        <w:t>]</w:t>
      </w:r>
    </w:p>
    <w:p w14:paraId="75B138D2" w14:textId="77777777" w:rsidR="00B8234D" w:rsidRDefault="00B8234D" w:rsidP="00B8234D">
      <w:pPr>
        <w:pStyle w:val="base-text-paragraph"/>
      </w:pPr>
      <w:r>
        <w:t xml:space="preserve">The rules for signing and executing documents which applied to documents covered by the Corporations Amendment (Meetings and Documents) Bill 2021 now apply to all documents which are required or </w:t>
      </w:r>
      <w:r>
        <w:lastRenderedPageBreak/>
        <w:t>permitted to be signed by a person under the Corporations Act. This means that:</w:t>
      </w:r>
    </w:p>
    <w:p w14:paraId="41299C2D" w14:textId="77777777" w:rsidR="00B8234D" w:rsidRDefault="00B8234D" w:rsidP="00B8234D">
      <w:pPr>
        <w:pStyle w:val="Bullet"/>
        <w:ind w:left="1985"/>
      </w:pPr>
      <w:r>
        <w:t>a document will only be validly signed if it identifies the person signing the document, indicates their intention to be bound by the document and the method of signing is appropriate in all the circumstances;</w:t>
      </w:r>
    </w:p>
    <w:p w14:paraId="745949CE" w14:textId="0D2347BE" w:rsidR="00B8234D" w:rsidRDefault="00B8234D" w:rsidP="00B8234D">
      <w:pPr>
        <w:pStyle w:val="Bullet"/>
        <w:ind w:left="1985"/>
      </w:pPr>
      <w:r>
        <w:t>a person may sign or execute the document in one or more capacities by signing the document only once if that person</w:t>
      </w:r>
      <w:r w:rsidR="006E13D2">
        <w:t>’</w:t>
      </w:r>
      <w:r>
        <w:t>s signature block states each capacity in which they are signing; and</w:t>
      </w:r>
    </w:p>
    <w:p w14:paraId="20714D6A" w14:textId="51D2C982" w:rsidR="00B8234D" w:rsidRDefault="00B8234D" w:rsidP="00B8234D">
      <w:pPr>
        <w:pStyle w:val="Bullet"/>
        <w:ind w:left="1985"/>
      </w:pPr>
      <w:r>
        <w:t>a document does not need to be signed on paper</w:t>
      </w:r>
      <w:r w:rsidR="006E13D2">
        <w:t>,</w:t>
      </w:r>
      <w:r>
        <w:t xml:space="preserve"> parchment </w:t>
      </w:r>
      <w:r w:rsidR="006E13D2">
        <w:t xml:space="preserve">or </w:t>
      </w:r>
      <w:r>
        <w:t>vellum or meet common law delivery requirements to be validly executed.</w:t>
      </w:r>
    </w:p>
    <w:p w14:paraId="35B38C70" w14:textId="7B2DD80F" w:rsidR="00B8234D" w:rsidRPr="008F726E" w:rsidRDefault="00B8234D" w:rsidP="00B8234D">
      <w:pPr>
        <w:pStyle w:val="base-text-paragraph"/>
      </w:pPr>
      <w:r>
        <w:t>ASIC or the Registrar cannot refuse to receive or register a document on the sole basis that it was signed or executed electronically. However, the Bill does not restrict the ability of ASIC or the Registrar to refuse to receive or Register documents for other reasons, including where the document does not meet the prescribed lodgement requirements</w:t>
      </w:r>
      <w:r w:rsidR="00961B2D">
        <w:t xml:space="preserve"> (such as the requirements under Chapter 2P)</w:t>
      </w:r>
      <w:r>
        <w:t xml:space="preserve">. </w:t>
      </w:r>
      <w:r>
        <w:rPr>
          <w:rStyle w:val="Referencingstyle"/>
        </w:rPr>
        <w:t xml:space="preserve">[Schedule </w:t>
      </w:r>
      <w:r w:rsidR="00966EB8">
        <w:rPr>
          <w:rStyle w:val="Referencingstyle"/>
        </w:rPr>
        <w:t>1</w:t>
      </w:r>
      <w:r>
        <w:rPr>
          <w:rStyle w:val="Referencingstyle"/>
        </w:rPr>
        <w:t>, i</w:t>
      </w:r>
      <w:r w:rsidRPr="00375F1D">
        <w:rPr>
          <w:rStyle w:val="Referencingstyle"/>
        </w:rPr>
        <w:t xml:space="preserve">tem </w:t>
      </w:r>
      <w:r>
        <w:rPr>
          <w:rStyle w:val="Referencingstyle"/>
        </w:rPr>
        <w:t>2</w:t>
      </w:r>
      <w:r w:rsidRPr="00375F1D">
        <w:rPr>
          <w:rStyle w:val="Referencingstyle"/>
        </w:rPr>
        <w:t>, section</w:t>
      </w:r>
      <w:r>
        <w:rPr>
          <w:rStyle w:val="Referencingstyle"/>
        </w:rPr>
        <w:t xml:space="preserve"> 110B</w:t>
      </w:r>
      <w:r w:rsidRPr="00375F1D">
        <w:rPr>
          <w:rStyle w:val="Referencingstyle"/>
        </w:rPr>
        <w:t>]</w:t>
      </w:r>
      <w:r>
        <w:t xml:space="preserve">  </w:t>
      </w:r>
    </w:p>
    <w:p w14:paraId="31E4B0D4" w14:textId="2573993A" w:rsidR="00B8234D" w:rsidRPr="00B8234D" w:rsidRDefault="00B8234D" w:rsidP="00B8234D">
      <w:pPr>
        <w:pStyle w:val="Heading3"/>
      </w:pPr>
      <w:r>
        <w:t>Technology neutral requirements for sending documents</w:t>
      </w:r>
    </w:p>
    <w:p w14:paraId="248D7056" w14:textId="02A48DB8" w:rsidR="00264FCC" w:rsidRDefault="00264FCC" w:rsidP="00D54531">
      <w:pPr>
        <w:pStyle w:val="base-text-paragraph"/>
        <w:numPr>
          <w:ilvl w:val="1"/>
          <w:numId w:val="23"/>
        </w:numPr>
      </w:pPr>
      <w:r>
        <w:t xml:space="preserve">Specifically, the amendments provide that </w:t>
      </w:r>
      <w:r w:rsidR="00205387">
        <w:t xml:space="preserve">any document that is permitted or required to </w:t>
      </w:r>
      <w:r w:rsidR="00205387" w:rsidRPr="00F452D5">
        <w:t xml:space="preserve">be sent under </w:t>
      </w:r>
      <w:r w:rsidR="006E13D2" w:rsidRPr="00F452D5">
        <w:t>C</w:t>
      </w:r>
      <w:r w:rsidR="002D468A" w:rsidRPr="00F452D5">
        <w:t>hapters 2</w:t>
      </w:r>
      <w:r w:rsidRPr="00F452D5">
        <w:t>A to 2</w:t>
      </w:r>
      <w:r w:rsidR="006E13D2" w:rsidRPr="00F452D5">
        <w:t>M</w:t>
      </w:r>
      <w:r w:rsidR="002D468A" w:rsidRPr="00F452D5">
        <w:t>, 5</w:t>
      </w:r>
      <w:r w:rsidRPr="00F452D5">
        <w:t xml:space="preserve"> to 5D</w:t>
      </w:r>
      <w:r w:rsidR="002D468A" w:rsidRPr="00F452D5">
        <w:t>, 6</w:t>
      </w:r>
      <w:r w:rsidR="00F452D5">
        <w:t xml:space="preserve"> to </w:t>
      </w:r>
      <w:r w:rsidR="00593751" w:rsidRPr="00F452D5">
        <w:t>6C</w:t>
      </w:r>
      <w:r w:rsidR="00F452D5">
        <w:t>,</w:t>
      </w:r>
      <w:r w:rsidR="00593751" w:rsidRPr="00F452D5">
        <w:t xml:space="preserve"> </w:t>
      </w:r>
      <w:r w:rsidR="006E13D2" w:rsidRPr="00F452D5">
        <w:t>6D</w:t>
      </w:r>
      <w:r w:rsidRPr="00F452D5">
        <w:t>,</w:t>
      </w:r>
      <w:r w:rsidR="002D468A" w:rsidRPr="00F452D5">
        <w:t xml:space="preserve"> </w:t>
      </w:r>
      <w:r w:rsidRPr="00F452D5">
        <w:t>8, 8A and 9 o</w:t>
      </w:r>
      <w:r>
        <w:t xml:space="preserve">r Schedule 2 to </w:t>
      </w:r>
      <w:r w:rsidR="002D468A">
        <w:t>the Act</w:t>
      </w:r>
      <w:r>
        <w:t xml:space="preserve"> may be sent in any of the following ways:</w:t>
      </w:r>
    </w:p>
    <w:p w14:paraId="1B4B849E" w14:textId="475FE0F2" w:rsidR="00264FCC" w:rsidRDefault="00264FCC" w:rsidP="00264FCC">
      <w:pPr>
        <w:pStyle w:val="Bullet"/>
        <w:ind w:left="2552"/>
      </w:pPr>
      <w:r>
        <w:t>hard copy;</w:t>
      </w:r>
    </w:p>
    <w:p w14:paraId="541025D7" w14:textId="1333992B" w:rsidR="00264FCC" w:rsidRDefault="00264FCC" w:rsidP="00264FCC">
      <w:pPr>
        <w:pStyle w:val="Bullet"/>
        <w:ind w:left="2552"/>
      </w:pPr>
      <w:r>
        <w:t>electronically to an electronic address;</w:t>
      </w:r>
    </w:p>
    <w:p w14:paraId="3D87D153" w14:textId="5A958301" w:rsidR="00264FCC" w:rsidRDefault="00264FCC" w:rsidP="00264FCC">
      <w:pPr>
        <w:pStyle w:val="Bullet"/>
        <w:ind w:left="2552"/>
      </w:pPr>
      <w:r>
        <w:t>by sending, in hard copy, details sufficient to enable the recipient to access the document electronically; or</w:t>
      </w:r>
    </w:p>
    <w:p w14:paraId="34CFABE2" w14:textId="70A646D5" w:rsidR="000F75CF" w:rsidRDefault="000F75CF" w:rsidP="001D2259">
      <w:pPr>
        <w:pStyle w:val="Bullet"/>
        <w:ind w:left="2552"/>
      </w:pPr>
      <w:r>
        <w:t xml:space="preserve">by sending, in electronic form, details sufficient to enable the recipient to access the document electronically. </w:t>
      </w:r>
      <w:r>
        <w:rPr>
          <w:rStyle w:val="Referencingstyle"/>
        </w:rPr>
        <w:t xml:space="preserve">[Schedule </w:t>
      </w:r>
      <w:r w:rsidR="001E0BBF">
        <w:rPr>
          <w:rStyle w:val="Referencingstyle"/>
        </w:rPr>
        <w:t>1</w:t>
      </w:r>
      <w:r>
        <w:rPr>
          <w:rStyle w:val="Referencingstyle"/>
        </w:rPr>
        <w:t>, i</w:t>
      </w:r>
      <w:r w:rsidRPr="00375F1D">
        <w:rPr>
          <w:rStyle w:val="Referencingstyle"/>
        </w:rPr>
        <w:t xml:space="preserve">tem </w:t>
      </w:r>
      <w:r w:rsidR="001E0BBF">
        <w:rPr>
          <w:rStyle w:val="Referencingstyle"/>
        </w:rPr>
        <w:t>4</w:t>
      </w:r>
      <w:r w:rsidRPr="00375F1D">
        <w:rPr>
          <w:rStyle w:val="Referencingstyle"/>
        </w:rPr>
        <w:t>, section</w:t>
      </w:r>
      <w:r w:rsidR="00F452D5">
        <w:rPr>
          <w:rStyle w:val="Referencingstyle"/>
        </w:rPr>
        <w:t>s</w:t>
      </w:r>
      <w:r w:rsidRPr="00375F1D">
        <w:rPr>
          <w:rStyle w:val="Referencingstyle"/>
        </w:rPr>
        <w:t xml:space="preserve"> </w:t>
      </w:r>
      <w:r>
        <w:rPr>
          <w:rStyle w:val="Referencingstyle"/>
        </w:rPr>
        <w:t>110C(1)-(3)]</w:t>
      </w:r>
    </w:p>
    <w:p w14:paraId="6139C1A0" w14:textId="44C5D3DB" w:rsidR="007D7AFD" w:rsidRDefault="000F75CF" w:rsidP="00D54531">
      <w:pPr>
        <w:pStyle w:val="base-text-paragraph"/>
        <w:numPr>
          <w:ilvl w:val="1"/>
          <w:numId w:val="23"/>
        </w:numPr>
      </w:pPr>
      <w:r>
        <w:t>The rules also apply where the words ‘give’, ‘serve’ or ‘dispatch’ are used instead of ‘send’</w:t>
      </w:r>
      <w:r w:rsidR="007D7AFD">
        <w:t>.</w:t>
      </w:r>
      <w:r>
        <w:t xml:space="preserve"> </w:t>
      </w:r>
      <w:r w:rsidR="007D7AFD">
        <w:rPr>
          <w:rStyle w:val="Referencingstyle"/>
        </w:rPr>
        <w:t xml:space="preserve">[Schedule </w:t>
      </w:r>
      <w:r w:rsidR="001E0BBF">
        <w:rPr>
          <w:rStyle w:val="Referencingstyle"/>
        </w:rPr>
        <w:t>1</w:t>
      </w:r>
      <w:r w:rsidR="007D7AFD">
        <w:rPr>
          <w:rStyle w:val="Referencingstyle"/>
        </w:rPr>
        <w:t>, i</w:t>
      </w:r>
      <w:r w:rsidR="007D7AFD" w:rsidRPr="00375F1D">
        <w:rPr>
          <w:rStyle w:val="Referencingstyle"/>
        </w:rPr>
        <w:t xml:space="preserve">tem </w:t>
      </w:r>
      <w:r w:rsidR="001E0BBF">
        <w:rPr>
          <w:rStyle w:val="Referencingstyle"/>
        </w:rPr>
        <w:t>4</w:t>
      </w:r>
      <w:r w:rsidR="007D7AFD" w:rsidRPr="00375F1D">
        <w:rPr>
          <w:rStyle w:val="Referencingstyle"/>
        </w:rPr>
        <w:t xml:space="preserve">, section </w:t>
      </w:r>
      <w:r w:rsidR="007D7AFD">
        <w:rPr>
          <w:rStyle w:val="Referencingstyle"/>
        </w:rPr>
        <w:t>110C(6)]</w:t>
      </w:r>
    </w:p>
    <w:p w14:paraId="7DFC3333" w14:textId="7F17A8E2" w:rsidR="000F75CF" w:rsidRDefault="007D7AFD" w:rsidP="00D54531">
      <w:pPr>
        <w:pStyle w:val="base-text-paragraph"/>
        <w:numPr>
          <w:ilvl w:val="1"/>
          <w:numId w:val="23"/>
        </w:numPr>
      </w:pPr>
      <w:r>
        <w:t xml:space="preserve">In addition to documents under the specified chapters, the rules for sending documents </w:t>
      </w:r>
      <w:r w:rsidR="000F75CF">
        <w:t xml:space="preserve">apply to classes of documents which are prescribed in the Regulations. </w:t>
      </w:r>
      <w:r>
        <w:rPr>
          <w:rStyle w:val="Referencingstyle"/>
        </w:rPr>
        <w:t xml:space="preserve">[Schedule </w:t>
      </w:r>
      <w:r w:rsidR="001E0BBF">
        <w:rPr>
          <w:rStyle w:val="Referencingstyle"/>
        </w:rPr>
        <w:t>1</w:t>
      </w:r>
      <w:r>
        <w:rPr>
          <w:rStyle w:val="Referencingstyle"/>
        </w:rPr>
        <w:t>, i</w:t>
      </w:r>
      <w:r w:rsidRPr="00375F1D">
        <w:rPr>
          <w:rStyle w:val="Referencingstyle"/>
        </w:rPr>
        <w:t xml:space="preserve">tem </w:t>
      </w:r>
      <w:r w:rsidR="001E0BBF">
        <w:rPr>
          <w:rStyle w:val="Referencingstyle"/>
        </w:rPr>
        <w:t>4</w:t>
      </w:r>
      <w:r w:rsidRPr="00375F1D">
        <w:rPr>
          <w:rStyle w:val="Referencingstyle"/>
        </w:rPr>
        <w:t xml:space="preserve">, section </w:t>
      </w:r>
      <w:r>
        <w:rPr>
          <w:rStyle w:val="Referencingstyle"/>
        </w:rPr>
        <w:t>110C(4)]</w:t>
      </w:r>
    </w:p>
    <w:p w14:paraId="3E9F80EA" w14:textId="4FE10289" w:rsidR="00BB39D6" w:rsidRDefault="00BB39D6" w:rsidP="00D54531">
      <w:pPr>
        <w:pStyle w:val="base-text-paragraph"/>
        <w:numPr>
          <w:ilvl w:val="1"/>
          <w:numId w:val="23"/>
        </w:numPr>
      </w:pPr>
      <w:r>
        <w:t xml:space="preserve">Companies, registered schemes and disclosing entities will continue to meet their obligations to send annual reports to members if </w:t>
      </w:r>
      <w:r>
        <w:lastRenderedPageBreak/>
        <w:t xml:space="preserve">they make them readily accessible on a website.  </w:t>
      </w:r>
      <w:r>
        <w:rPr>
          <w:rStyle w:val="Referencingstyle"/>
        </w:rPr>
        <w:t xml:space="preserve">[Schedule </w:t>
      </w:r>
      <w:r w:rsidR="001E0BBF">
        <w:rPr>
          <w:rStyle w:val="Referencingstyle"/>
        </w:rPr>
        <w:t>1</w:t>
      </w:r>
      <w:r>
        <w:rPr>
          <w:rStyle w:val="Referencingstyle"/>
        </w:rPr>
        <w:t>, i</w:t>
      </w:r>
      <w:r w:rsidRPr="00375F1D">
        <w:rPr>
          <w:rStyle w:val="Referencingstyle"/>
        </w:rPr>
        <w:t>tem</w:t>
      </w:r>
      <w:r w:rsidR="004C1AF6">
        <w:rPr>
          <w:rStyle w:val="Referencingstyle"/>
        </w:rPr>
        <w:t xml:space="preserve"> 5</w:t>
      </w:r>
      <w:r w:rsidRPr="00375F1D">
        <w:rPr>
          <w:rStyle w:val="Referencingstyle"/>
        </w:rPr>
        <w:t xml:space="preserve">, section </w:t>
      </w:r>
      <w:r>
        <w:rPr>
          <w:rStyle w:val="Referencingstyle"/>
        </w:rPr>
        <w:t>110D(3)(a)</w:t>
      </w:r>
      <w:r w:rsidRPr="00375F1D">
        <w:rPr>
          <w:rStyle w:val="Referencingstyle"/>
        </w:rPr>
        <w:t>]</w:t>
      </w:r>
    </w:p>
    <w:p w14:paraId="23ED076E" w14:textId="789DC39B" w:rsidR="000F75CF" w:rsidRPr="001D2259" w:rsidRDefault="000F75CF" w:rsidP="00D54531">
      <w:pPr>
        <w:pStyle w:val="base-text-paragraph"/>
        <w:numPr>
          <w:ilvl w:val="1"/>
          <w:numId w:val="23"/>
        </w:numPr>
        <w:rPr>
          <w:rStyle w:val="Referencingstyle"/>
          <w:b w:val="0"/>
          <w:i w:val="0"/>
          <w:sz w:val="22"/>
        </w:rPr>
      </w:pPr>
      <w:r>
        <w:t>The rules do not apply to documents which are sent by, or to, ASIC, the Registrar or the Takeovers Panel.</w:t>
      </w:r>
      <w:r w:rsidRPr="000F75CF">
        <w:rPr>
          <w:rStyle w:val="Referencingstyle"/>
        </w:rPr>
        <w:t xml:space="preserve"> </w:t>
      </w:r>
      <w:r>
        <w:rPr>
          <w:rStyle w:val="Referencingstyle"/>
        </w:rPr>
        <w:t xml:space="preserve">[Schedule </w:t>
      </w:r>
      <w:r w:rsidR="001E0BBF">
        <w:rPr>
          <w:rStyle w:val="Referencingstyle"/>
        </w:rPr>
        <w:t>1</w:t>
      </w:r>
      <w:r>
        <w:rPr>
          <w:rStyle w:val="Referencingstyle"/>
        </w:rPr>
        <w:t>, i</w:t>
      </w:r>
      <w:r w:rsidRPr="00375F1D">
        <w:rPr>
          <w:rStyle w:val="Referencingstyle"/>
        </w:rPr>
        <w:t xml:space="preserve">tem </w:t>
      </w:r>
      <w:r w:rsidR="001E0BBF">
        <w:rPr>
          <w:rStyle w:val="Referencingstyle"/>
        </w:rPr>
        <w:t>4</w:t>
      </w:r>
      <w:r w:rsidRPr="00375F1D">
        <w:rPr>
          <w:rStyle w:val="Referencingstyle"/>
        </w:rPr>
        <w:t xml:space="preserve">, section </w:t>
      </w:r>
      <w:r>
        <w:rPr>
          <w:rStyle w:val="Referencingstyle"/>
        </w:rPr>
        <w:t>110C(5)</w:t>
      </w:r>
      <w:r w:rsidRPr="00375F1D">
        <w:rPr>
          <w:rStyle w:val="Referencingstyle"/>
        </w:rPr>
        <w:t>]</w:t>
      </w:r>
    </w:p>
    <w:p w14:paraId="766844AB" w14:textId="7E3657FF" w:rsidR="004915F4" w:rsidRDefault="005E3B0C" w:rsidP="007F4F58">
      <w:pPr>
        <w:pStyle w:val="Heading4"/>
      </w:pPr>
      <w:r>
        <w:t>Election</w:t>
      </w:r>
      <w:r w:rsidR="00BB39D6">
        <w:t>s to receive documents in a particular form</w:t>
      </w:r>
    </w:p>
    <w:p w14:paraId="1D4EDA91" w14:textId="081EA647" w:rsidR="00EE0622" w:rsidRPr="001D2259" w:rsidRDefault="00EE0622" w:rsidP="00D54531">
      <w:pPr>
        <w:pStyle w:val="base-text-paragraph"/>
        <w:numPr>
          <w:ilvl w:val="1"/>
          <w:numId w:val="23"/>
        </w:numPr>
        <w:rPr>
          <w:rStyle w:val="Referencingstyle"/>
          <w:b w:val="0"/>
          <w:i w:val="0"/>
          <w:sz w:val="22"/>
        </w:rPr>
      </w:pPr>
      <w:r>
        <w:t xml:space="preserve">The Bill also provides that, </w:t>
      </w:r>
      <w:r w:rsidR="00E86190">
        <w:t>in addition to members of companies, registered schemes and disclosing entities, Australian members of a notified foreign passport fund and any other person prescribed in the regulations may elect to be sent documents in either hard copy or electronic form. This election can apply to all documents or a class of documents.</w:t>
      </w:r>
      <w:r w:rsidR="00FC56AB">
        <w:t xml:space="preserve"> </w:t>
      </w:r>
      <w:r>
        <w:rPr>
          <w:rStyle w:val="Referencingstyle"/>
        </w:rPr>
        <w:t xml:space="preserve">[Schedule </w:t>
      </w:r>
      <w:r w:rsidR="000170C5">
        <w:rPr>
          <w:rStyle w:val="Referencingstyle"/>
        </w:rPr>
        <w:t>1</w:t>
      </w:r>
      <w:r>
        <w:rPr>
          <w:rStyle w:val="Referencingstyle"/>
        </w:rPr>
        <w:t>, i</w:t>
      </w:r>
      <w:r w:rsidRPr="00375F1D">
        <w:rPr>
          <w:rStyle w:val="Referencingstyle"/>
        </w:rPr>
        <w:t>te</w:t>
      </w:r>
      <w:r w:rsidR="007D4B5E">
        <w:rPr>
          <w:rStyle w:val="Referencingstyle"/>
        </w:rPr>
        <w:t>m</w:t>
      </w:r>
      <w:r w:rsidR="000170C5">
        <w:rPr>
          <w:rStyle w:val="Referencingstyle"/>
        </w:rPr>
        <w:t>s</w:t>
      </w:r>
      <w:r w:rsidRPr="00375F1D">
        <w:rPr>
          <w:rStyle w:val="Referencingstyle"/>
        </w:rPr>
        <w:t xml:space="preserve"> </w:t>
      </w:r>
      <w:r w:rsidR="000170C5">
        <w:rPr>
          <w:rStyle w:val="Referencingstyle"/>
        </w:rPr>
        <w:t xml:space="preserve">7 </w:t>
      </w:r>
      <w:r w:rsidR="00F43DD3">
        <w:rPr>
          <w:rStyle w:val="Referencingstyle"/>
        </w:rPr>
        <w:t xml:space="preserve">and </w:t>
      </w:r>
      <w:r w:rsidR="000170C5">
        <w:rPr>
          <w:rStyle w:val="Referencingstyle"/>
        </w:rPr>
        <w:t>11</w:t>
      </w:r>
      <w:r w:rsidRPr="00375F1D">
        <w:rPr>
          <w:rStyle w:val="Referencingstyle"/>
        </w:rPr>
        <w:t xml:space="preserve">, section </w:t>
      </w:r>
      <w:r>
        <w:rPr>
          <w:rStyle w:val="Referencingstyle"/>
        </w:rPr>
        <w:t>110E(1)</w:t>
      </w:r>
      <w:r w:rsidR="00F43DD3">
        <w:rPr>
          <w:rStyle w:val="Referencingstyle"/>
        </w:rPr>
        <w:t xml:space="preserve">  and 110J(</w:t>
      </w:r>
      <w:r w:rsidR="00E86190">
        <w:rPr>
          <w:rStyle w:val="Referencingstyle"/>
        </w:rPr>
        <w:t>3</w:t>
      </w:r>
      <w:r w:rsidR="00F43DD3">
        <w:rPr>
          <w:rStyle w:val="Referencingstyle"/>
        </w:rPr>
        <w:t>)</w:t>
      </w:r>
      <w:r>
        <w:rPr>
          <w:rStyle w:val="Referencingstyle"/>
        </w:rPr>
        <w:t>]</w:t>
      </w:r>
    </w:p>
    <w:p w14:paraId="40C06BD4" w14:textId="02D2A43E" w:rsidR="007D4B5E" w:rsidRDefault="00F023DA" w:rsidP="00D54531">
      <w:pPr>
        <w:pStyle w:val="base-text-paragraph"/>
        <w:numPr>
          <w:ilvl w:val="1"/>
          <w:numId w:val="23"/>
        </w:numPr>
      </w:pPr>
      <w:r>
        <w:t xml:space="preserve">As is the case in the </w:t>
      </w:r>
      <w:r w:rsidR="006E13D2">
        <w:t>Meetings and Documents Bill</w:t>
      </w:r>
      <w:r>
        <w:t xml:space="preserve"> for elections made by members in relation to meetings related documents, to make an election a recipient must notify the sender that </w:t>
      </w:r>
      <w:r w:rsidR="006E13D2">
        <w:t xml:space="preserve">they </w:t>
      </w:r>
      <w:r>
        <w:t xml:space="preserve">wish to be sent one or more documents in either physical or electronic form. Unless the </w:t>
      </w:r>
      <w:r w:rsidR="00F43DD3">
        <w:t>recipient</w:t>
      </w:r>
      <w:r>
        <w:t xml:space="preserve"> making the election</w:t>
      </w:r>
      <w:r w:rsidR="00F43DD3">
        <w:t xml:space="preserve"> specifies otherwise, a</w:t>
      </w:r>
      <w:r>
        <w:t xml:space="preserve">n election will take effect on the first business day after it is received by the sender </w:t>
      </w:r>
      <w:r w:rsidR="00F43DD3">
        <w:t xml:space="preserve">and will continue to be in effect until it is withdrawn by the recipient. </w:t>
      </w:r>
    </w:p>
    <w:p w14:paraId="703401B8" w14:textId="24D9711A" w:rsidR="00C41318" w:rsidRDefault="00C41318" w:rsidP="00D54531">
      <w:pPr>
        <w:pStyle w:val="base-text-paragraph"/>
        <w:numPr>
          <w:ilvl w:val="1"/>
          <w:numId w:val="23"/>
        </w:numPr>
      </w:pPr>
      <w:r>
        <w:t xml:space="preserve">If a member of a company elects to be sent all documents in a particular form then that election will also apply to any takeover </w:t>
      </w:r>
      <w:r w:rsidR="003263A0">
        <w:t xml:space="preserve">related </w:t>
      </w:r>
      <w:r>
        <w:t xml:space="preserve">documents which are sent to the member by a bidder. </w:t>
      </w:r>
      <w:r>
        <w:rPr>
          <w:rStyle w:val="Referencingstyle"/>
        </w:rPr>
        <w:t xml:space="preserve">[Schedule </w:t>
      </w:r>
      <w:r w:rsidR="00255719">
        <w:rPr>
          <w:rStyle w:val="Referencingstyle"/>
        </w:rPr>
        <w:t>1</w:t>
      </w:r>
      <w:r>
        <w:rPr>
          <w:rStyle w:val="Referencingstyle"/>
        </w:rPr>
        <w:t>, i</w:t>
      </w:r>
      <w:r w:rsidRPr="00375F1D">
        <w:rPr>
          <w:rStyle w:val="Referencingstyle"/>
        </w:rPr>
        <w:t>te</w:t>
      </w:r>
      <w:r>
        <w:rPr>
          <w:rStyle w:val="Referencingstyle"/>
        </w:rPr>
        <w:t>m</w:t>
      </w:r>
      <w:r w:rsidR="00A0369B">
        <w:rPr>
          <w:rStyle w:val="Referencingstyle"/>
        </w:rPr>
        <w:t>s 8 and</w:t>
      </w:r>
      <w:r w:rsidRPr="00375F1D">
        <w:rPr>
          <w:rStyle w:val="Referencingstyle"/>
        </w:rPr>
        <w:t xml:space="preserve"> </w:t>
      </w:r>
      <w:r w:rsidR="00255719">
        <w:rPr>
          <w:rStyle w:val="Referencingstyle"/>
        </w:rPr>
        <w:t>37</w:t>
      </w:r>
      <w:r w:rsidRPr="00375F1D">
        <w:rPr>
          <w:rStyle w:val="Referencingstyle"/>
        </w:rPr>
        <w:t xml:space="preserve">, </w:t>
      </w:r>
      <w:r w:rsidR="00A0369B">
        <w:rPr>
          <w:rStyle w:val="Referencingstyle"/>
        </w:rPr>
        <w:t xml:space="preserve">note to section 110E(3) and </w:t>
      </w:r>
      <w:r w:rsidRPr="00375F1D">
        <w:rPr>
          <w:rStyle w:val="Referencingstyle"/>
        </w:rPr>
        <w:t xml:space="preserve">section </w:t>
      </w:r>
      <w:r w:rsidR="00255719">
        <w:rPr>
          <w:rStyle w:val="Referencingstyle"/>
        </w:rPr>
        <w:t>648CB</w:t>
      </w:r>
      <w:r>
        <w:rPr>
          <w:rStyle w:val="Referencingstyle"/>
        </w:rPr>
        <w:t>]</w:t>
      </w:r>
    </w:p>
    <w:p w14:paraId="33848231" w14:textId="76C52426" w:rsidR="005E3B0C" w:rsidRPr="005E3B0C" w:rsidRDefault="005E3B0C" w:rsidP="001D2259">
      <w:pPr>
        <w:pStyle w:val="Heading5"/>
        <w:rPr>
          <w:rStyle w:val="Referencingstyle"/>
          <w:b w:val="0"/>
          <w:sz w:val="22"/>
        </w:rPr>
      </w:pPr>
      <w:r>
        <w:rPr>
          <w:rStyle w:val="Referencingstyle"/>
          <w:b w:val="0"/>
          <w:i/>
          <w:sz w:val="22"/>
        </w:rPr>
        <w:t>Notification of right to make an election</w:t>
      </w:r>
    </w:p>
    <w:p w14:paraId="5EDB0E25" w14:textId="47FA4DDE" w:rsidR="00B15443" w:rsidRPr="005E3B0C" w:rsidRDefault="00B15443" w:rsidP="00D54531">
      <w:pPr>
        <w:pStyle w:val="ListParagraph"/>
        <w:numPr>
          <w:ilvl w:val="1"/>
          <w:numId w:val="23"/>
        </w:numPr>
        <w:rPr>
          <w:rStyle w:val="Referencingstyle"/>
          <w:b w:val="0"/>
          <w:i w:val="0"/>
          <w:sz w:val="22"/>
        </w:rPr>
      </w:pPr>
      <w:r w:rsidRPr="005E3B0C">
        <w:rPr>
          <w:rStyle w:val="Referencingstyle"/>
          <w:b w:val="0"/>
          <w:i w:val="0"/>
          <w:sz w:val="22"/>
        </w:rPr>
        <w:t xml:space="preserve">Public companies, responsible entities of registered schemes, disclosing entities and operators of foreign passport funds are obligated to notify members of their rights to make an election each year. </w:t>
      </w:r>
      <w:r w:rsidR="003B0FCD">
        <w:rPr>
          <w:rStyle w:val="Referencingstyle"/>
          <w:b w:val="0"/>
          <w:i w:val="0"/>
          <w:sz w:val="22"/>
        </w:rPr>
        <w:t xml:space="preserve">A failure to comply with this obligation is a strict liability offence subject to 30 penalty units. </w:t>
      </w:r>
      <w:bookmarkStart w:id="36" w:name="_Hlk86754422"/>
      <w:r w:rsidRPr="001D2259">
        <w:rPr>
          <w:rStyle w:val="Referencingstyle"/>
          <w:szCs w:val="18"/>
        </w:rPr>
        <w:t xml:space="preserve">[Schedule </w:t>
      </w:r>
      <w:r w:rsidR="00CF0E7E">
        <w:rPr>
          <w:rStyle w:val="Referencingstyle"/>
          <w:szCs w:val="18"/>
        </w:rPr>
        <w:t>1</w:t>
      </w:r>
      <w:r w:rsidRPr="001D2259">
        <w:rPr>
          <w:rStyle w:val="Referencingstyle"/>
          <w:szCs w:val="18"/>
        </w:rPr>
        <w:t xml:space="preserve">, items </w:t>
      </w:r>
      <w:r w:rsidR="00CF0E7E">
        <w:rPr>
          <w:rStyle w:val="Referencingstyle"/>
          <w:szCs w:val="18"/>
        </w:rPr>
        <w:t>13</w:t>
      </w:r>
      <w:r w:rsidRPr="001D2259">
        <w:rPr>
          <w:rStyle w:val="Referencingstyle"/>
          <w:szCs w:val="18"/>
        </w:rPr>
        <w:t>-</w:t>
      </w:r>
      <w:r w:rsidR="00CF0E7E">
        <w:rPr>
          <w:rStyle w:val="Referencingstyle"/>
          <w:szCs w:val="18"/>
        </w:rPr>
        <w:t>15</w:t>
      </w:r>
      <w:r w:rsidR="003B0FCD">
        <w:rPr>
          <w:rStyle w:val="Referencingstyle"/>
          <w:bCs/>
          <w:iCs/>
          <w:szCs w:val="18"/>
        </w:rPr>
        <w:t xml:space="preserve"> and </w:t>
      </w:r>
      <w:r w:rsidR="00CF0E7E">
        <w:rPr>
          <w:rStyle w:val="Referencingstyle"/>
          <w:bCs/>
          <w:iCs/>
          <w:szCs w:val="18"/>
        </w:rPr>
        <w:t>53</w:t>
      </w:r>
      <w:r w:rsidRPr="001D2259">
        <w:rPr>
          <w:rStyle w:val="Referencingstyle"/>
          <w:szCs w:val="18"/>
        </w:rPr>
        <w:t>, sections 110K(3)(a), (3A), (3B) and (4)</w:t>
      </w:r>
      <w:r w:rsidR="003B0FCD">
        <w:rPr>
          <w:rStyle w:val="Referencingstyle"/>
          <w:bCs/>
          <w:iCs/>
          <w:szCs w:val="18"/>
        </w:rPr>
        <w:t xml:space="preserve"> and Schedule 3 to the Act</w:t>
      </w:r>
      <w:bookmarkEnd w:id="36"/>
      <w:r w:rsidRPr="001D2259">
        <w:rPr>
          <w:rStyle w:val="Referencingstyle"/>
          <w:szCs w:val="18"/>
        </w:rPr>
        <w:t>]</w:t>
      </w:r>
    </w:p>
    <w:p w14:paraId="151EECBA" w14:textId="283285BC" w:rsidR="003B0FCD" w:rsidRPr="009E096F" w:rsidRDefault="003B0FCD" w:rsidP="00D54531">
      <w:pPr>
        <w:pStyle w:val="base-text-paragraph"/>
        <w:numPr>
          <w:ilvl w:val="1"/>
          <w:numId w:val="23"/>
        </w:numPr>
        <w:rPr>
          <w:bCs/>
          <w:iCs/>
        </w:rPr>
      </w:pPr>
      <w:r w:rsidRPr="009E096F">
        <w:rPr>
          <w:bCs/>
          <w:iCs/>
        </w:rPr>
        <w:t xml:space="preserve">A strict liability offence is appropriate in this circumstance as it is necessary to strongly deter </w:t>
      </w:r>
      <w:r w:rsidR="00FF39DB">
        <w:rPr>
          <w:bCs/>
          <w:iCs/>
        </w:rPr>
        <w:t>entities</w:t>
      </w:r>
      <w:r w:rsidRPr="009E096F">
        <w:rPr>
          <w:bCs/>
          <w:iCs/>
        </w:rPr>
        <w:t xml:space="preserve"> from failing to advise members of their right</w:t>
      </w:r>
      <w:r w:rsidR="00825AA7">
        <w:rPr>
          <w:bCs/>
          <w:iCs/>
        </w:rPr>
        <w:t>s</w:t>
      </w:r>
      <w:r w:rsidRPr="009E096F">
        <w:rPr>
          <w:bCs/>
          <w:iCs/>
        </w:rPr>
        <w:t xml:space="preserve"> to elect to receive a hard copy. The imposition of a strict liability offence reduces non-compliance by ensuring that ASIC can efficiently and expeditiously deal with low-level offending, thereby bolstering the integrity of the regime. </w:t>
      </w:r>
    </w:p>
    <w:p w14:paraId="5E6C56FD" w14:textId="30D0323F" w:rsidR="003B0FCD" w:rsidRDefault="003B0FCD" w:rsidP="00D54531">
      <w:pPr>
        <w:pStyle w:val="base-text-paragraph"/>
        <w:numPr>
          <w:ilvl w:val="1"/>
          <w:numId w:val="23"/>
        </w:numPr>
        <w:rPr>
          <w:bCs/>
          <w:iCs/>
        </w:rPr>
      </w:pPr>
      <w:r w:rsidRPr="009E096F">
        <w:rPr>
          <w:bCs/>
          <w:iCs/>
        </w:rPr>
        <w:t>Th</w:t>
      </w:r>
      <w:r>
        <w:rPr>
          <w:bCs/>
          <w:iCs/>
        </w:rPr>
        <w:t>is</w:t>
      </w:r>
      <w:r w:rsidRPr="009E096F">
        <w:rPr>
          <w:bCs/>
          <w:iCs/>
        </w:rPr>
        <w:t xml:space="preserve"> strict liability offence meets all the conditions listed in the Attorney-General’s Department’s </w:t>
      </w:r>
      <w:r w:rsidRPr="009E096F">
        <w:rPr>
          <w:bCs/>
          <w:i/>
        </w:rPr>
        <w:t>A Guide to Framing Commonwealth Offences, Infringement Notices and Enforcement Powers</w:t>
      </w:r>
      <w:r w:rsidRPr="009E096F">
        <w:rPr>
          <w:bCs/>
          <w:iCs/>
        </w:rPr>
        <w:t>. It does not exceed 300 penalty units for a body corporate and preserves the defence of honest and reasonable mistake of fact to be proved by the accused on the balance of probabilities.</w:t>
      </w:r>
    </w:p>
    <w:p w14:paraId="3E2456FB" w14:textId="280A476E" w:rsidR="000673EE" w:rsidRDefault="000673EE" w:rsidP="001D2259">
      <w:pPr>
        <w:pStyle w:val="Heading4"/>
      </w:pPr>
      <w:r>
        <w:lastRenderedPageBreak/>
        <w:t xml:space="preserve"> </w:t>
      </w:r>
      <w:bookmarkStart w:id="37" w:name="_Hlk86758061"/>
      <w:r>
        <w:t>Documents which relate to takeovers</w:t>
      </w:r>
      <w:bookmarkEnd w:id="37"/>
    </w:p>
    <w:p w14:paraId="4AABA726" w14:textId="702B24F0" w:rsidR="000673EE" w:rsidRDefault="000118EB" w:rsidP="00D54531">
      <w:pPr>
        <w:pStyle w:val="base-text-paragraph"/>
        <w:numPr>
          <w:ilvl w:val="1"/>
          <w:numId w:val="23"/>
        </w:numPr>
        <w:rPr>
          <w:bCs/>
          <w:iCs/>
        </w:rPr>
      </w:pPr>
      <w:r>
        <w:rPr>
          <w:bCs/>
          <w:iCs/>
        </w:rPr>
        <w:t>The amendments apply to documents which are permitted or required to be sent under Chapter</w:t>
      </w:r>
      <w:r w:rsidR="00825AA7">
        <w:rPr>
          <w:bCs/>
          <w:iCs/>
        </w:rPr>
        <w:t>s</w:t>
      </w:r>
      <w:r>
        <w:rPr>
          <w:bCs/>
          <w:iCs/>
        </w:rPr>
        <w:t xml:space="preserve"> 6 or 6A of the Act. </w:t>
      </w:r>
      <w:r w:rsidR="00A8386A">
        <w:rPr>
          <w:bCs/>
          <w:iCs/>
        </w:rPr>
        <w:t>T</w:t>
      </w:r>
      <w:r>
        <w:rPr>
          <w:bCs/>
          <w:iCs/>
        </w:rPr>
        <w:t xml:space="preserve">he Bill includes amendments </w:t>
      </w:r>
      <w:r w:rsidR="00A8386A">
        <w:rPr>
          <w:bCs/>
          <w:iCs/>
        </w:rPr>
        <w:t>to these chapters to facilitate the provision of documents to security holders by electronic means</w:t>
      </w:r>
      <w:r>
        <w:rPr>
          <w:bCs/>
          <w:iCs/>
        </w:rPr>
        <w:t>.</w:t>
      </w:r>
    </w:p>
    <w:p w14:paraId="6BA02406" w14:textId="392D4065" w:rsidR="004F6D8A" w:rsidRDefault="009D06C4" w:rsidP="00D54531">
      <w:pPr>
        <w:pStyle w:val="base-text-paragraph"/>
        <w:numPr>
          <w:ilvl w:val="1"/>
          <w:numId w:val="23"/>
        </w:numPr>
        <w:rPr>
          <w:bCs/>
          <w:iCs/>
        </w:rPr>
      </w:pPr>
      <w:r>
        <w:rPr>
          <w:bCs/>
          <w:iCs/>
        </w:rPr>
        <w:t>Section 641 of t</w:t>
      </w:r>
      <w:r w:rsidR="000118EB">
        <w:rPr>
          <w:bCs/>
          <w:iCs/>
        </w:rPr>
        <w:t xml:space="preserve">he existing law requires a company which is the target of a takeover bid under Chapter 6 to provide the bidder with the names and addresses of any person with a security interest in the bid class. The </w:t>
      </w:r>
      <w:r w:rsidR="004F6D8A">
        <w:rPr>
          <w:bCs/>
          <w:iCs/>
        </w:rPr>
        <w:t>Bill amends the existing law to provide that a target must</w:t>
      </w:r>
      <w:r w:rsidR="00825AA7">
        <w:rPr>
          <w:bCs/>
          <w:iCs/>
        </w:rPr>
        <w:t xml:space="preserve"> also</w:t>
      </w:r>
      <w:r w:rsidR="004F6D8A">
        <w:rPr>
          <w:bCs/>
          <w:iCs/>
        </w:rPr>
        <w:t xml:space="preserve"> provide the bidder with any electronic addresses of </w:t>
      </w:r>
      <w:r w:rsidR="00A76A12">
        <w:rPr>
          <w:bCs/>
          <w:iCs/>
        </w:rPr>
        <w:t xml:space="preserve">security holders </w:t>
      </w:r>
      <w:r w:rsidR="00825AA7">
        <w:rPr>
          <w:bCs/>
          <w:iCs/>
        </w:rPr>
        <w:t>covered</w:t>
      </w:r>
      <w:r w:rsidR="004F6D8A">
        <w:rPr>
          <w:bCs/>
          <w:iCs/>
        </w:rPr>
        <w:t xml:space="preserve"> by this provision</w:t>
      </w:r>
      <w:r w:rsidR="00A50917">
        <w:rPr>
          <w:bCs/>
          <w:iCs/>
        </w:rPr>
        <w:t xml:space="preserve"> and the details of any elections made by security holders to receive a document in a particular form</w:t>
      </w:r>
      <w:r w:rsidR="00255719">
        <w:rPr>
          <w:bCs/>
          <w:iCs/>
        </w:rPr>
        <w:t xml:space="preserve"> which are in force</w:t>
      </w:r>
      <w:r w:rsidR="004F6D8A">
        <w:rPr>
          <w:bCs/>
          <w:iCs/>
        </w:rPr>
        <w:t>.</w:t>
      </w:r>
      <w:r w:rsidR="004F6D8A" w:rsidRPr="004F6D8A">
        <w:rPr>
          <w:rStyle w:val="Heading1Char"/>
          <w:bCs/>
          <w:iCs/>
          <w:szCs w:val="18"/>
        </w:rPr>
        <w:t xml:space="preserve"> </w:t>
      </w:r>
      <w:r w:rsidR="004F6D8A" w:rsidRPr="007F4F58">
        <w:rPr>
          <w:rStyle w:val="Referencingstyle"/>
          <w:bCs/>
          <w:iCs/>
          <w:szCs w:val="18"/>
        </w:rPr>
        <w:t xml:space="preserve">[Schedule </w:t>
      </w:r>
      <w:r w:rsidR="00895B01">
        <w:rPr>
          <w:rStyle w:val="Referencingstyle"/>
          <w:bCs/>
          <w:iCs/>
          <w:szCs w:val="18"/>
        </w:rPr>
        <w:t>1</w:t>
      </w:r>
      <w:r w:rsidR="004F6D8A" w:rsidRPr="007F4F58">
        <w:rPr>
          <w:rStyle w:val="Referencingstyle"/>
          <w:bCs/>
          <w:iCs/>
          <w:szCs w:val="18"/>
        </w:rPr>
        <w:t>, item</w:t>
      </w:r>
      <w:r w:rsidR="00020389">
        <w:rPr>
          <w:rStyle w:val="Referencingstyle"/>
          <w:bCs/>
          <w:iCs/>
          <w:szCs w:val="18"/>
        </w:rPr>
        <w:t>s</w:t>
      </w:r>
      <w:r w:rsidR="004F6D8A" w:rsidRPr="007F4F58">
        <w:rPr>
          <w:rStyle w:val="Referencingstyle"/>
          <w:bCs/>
          <w:iCs/>
          <w:szCs w:val="18"/>
        </w:rPr>
        <w:t xml:space="preserve"> </w:t>
      </w:r>
      <w:r w:rsidR="00020389">
        <w:rPr>
          <w:rStyle w:val="Referencingstyle"/>
          <w:bCs/>
          <w:iCs/>
          <w:szCs w:val="18"/>
        </w:rPr>
        <w:t>33 and 34</w:t>
      </w:r>
      <w:r w:rsidR="004F6D8A" w:rsidRPr="007F4F58">
        <w:rPr>
          <w:rStyle w:val="Referencingstyle"/>
          <w:bCs/>
          <w:iCs/>
          <w:szCs w:val="18"/>
        </w:rPr>
        <w:t xml:space="preserve">, section </w:t>
      </w:r>
      <w:r w:rsidR="004F6D8A">
        <w:rPr>
          <w:rStyle w:val="Referencingstyle"/>
          <w:bCs/>
          <w:iCs/>
          <w:szCs w:val="18"/>
        </w:rPr>
        <w:t>641</w:t>
      </w:r>
      <w:r w:rsidR="004F6D8A" w:rsidRPr="007F4F58">
        <w:rPr>
          <w:rStyle w:val="Referencingstyle"/>
          <w:bCs/>
          <w:iCs/>
          <w:szCs w:val="18"/>
        </w:rPr>
        <w:t>(</w:t>
      </w:r>
      <w:r w:rsidR="004F6D8A">
        <w:rPr>
          <w:rStyle w:val="Referencingstyle"/>
          <w:bCs/>
          <w:iCs/>
          <w:szCs w:val="18"/>
        </w:rPr>
        <w:t>1</w:t>
      </w:r>
      <w:r w:rsidR="004F6D8A" w:rsidRPr="007F4F58">
        <w:rPr>
          <w:rStyle w:val="Referencingstyle"/>
          <w:bCs/>
          <w:iCs/>
          <w:szCs w:val="18"/>
        </w:rPr>
        <w:t>)(</w:t>
      </w:r>
      <w:r w:rsidR="004F6D8A">
        <w:rPr>
          <w:rStyle w:val="Referencingstyle"/>
          <w:bCs/>
          <w:iCs/>
          <w:szCs w:val="18"/>
        </w:rPr>
        <w:t>a</w:t>
      </w:r>
      <w:r w:rsidR="004F6D8A" w:rsidRPr="007F4F58">
        <w:rPr>
          <w:rStyle w:val="Referencingstyle"/>
          <w:bCs/>
          <w:iCs/>
          <w:szCs w:val="18"/>
        </w:rPr>
        <w:t>a)</w:t>
      </w:r>
      <w:r w:rsidR="00020389">
        <w:rPr>
          <w:rStyle w:val="Referencingstyle"/>
          <w:bCs/>
          <w:iCs/>
          <w:szCs w:val="18"/>
        </w:rPr>
        <w:t>-(ab) and 641(1C)</w:t>
      </w:r>
      <w:r w:rsidR="003B3B48">
        <w:rPr>
          <w:rStyle w:val="Referencingstyle"/>
          <w:bCs/>
          <w:iCs/>
          <w:szCs w:val="18"/>
        </w:rPr>
        <w:t>]</w:t>
      </w:r>
    </w:p>
    <w:p w14:paraId="216F1BF8" w14:textId="28FC5943" w:rsidR="000118EB" w:rsidRPr="0050170D" w:rsidRDefault="000118EB" w:rsidP="00D54531">
      <w:pPr>
        <w:pStyle w:val="base-text-paragraph"/>
        <w:numPr>
          <w:ilvl w:val="1"/>
          <w:numId w:val="23"/>
        </w:numPr>
        <w:rPr>
          <w:rStyle w:val="Referencingstyle"/>
          <w:b w:val="0"/>
          <w:bCs/>
          <w:i w:val="0"/>
          <w:iCs/>
          <w:sz w:val="22"/>
        </w:rPr>
      </w:pPr>
      <w:r>
        <w:rPr>
          <w:bCs/>
          <w:iCs/>
        </w:rPr>
        <w:t xml:space="preserve"> </w:t>
      </w:r>
      <w:r w:rsidR="004F6D8A">
        <w:rPr>
          <w:bCs/>
          <w:iCs/>
        </w:rPr>
        <w:t>To provide safeguards against the misuse of the personal information</w:t>
      </w:r>
      <w:r w:rsidR="00A76A12" w:rsidRPr="00A76A12">
        <w:rPr>
          <w:bCs/>
          <w:iCs/>
        </w:rPr>
        <w:t xml:space="preserve"> </w:t>
      </w:r>
      <w:r w:rsidR="00A76A12">
        <w:rPr>
          <w:bCs/>
          <w:iCs/>
        </w:rPr>
        <w:t>by the bidder</w:t>
      </w:r>
      <w:r w:rsidR="004F6D8A">
        <w:rPr>
          <w:bCs/>
          <w:iCs/>
        </w:rPr>
        <w:t xml:space="preserve">, the Bill introduces </w:t>
      </w:r>
      <w:r w:rsidR="009D06C4">
        <w:rPr>
          <w:bCs/>
          <w:iCs/>
        </w:rPr>
        <w:t>a civil penalty provision</w:t>
      </w:r>
      <w:r w:rsidR="004F6D8A">
        <w:rPr>
          <w:bCs/>
          <w:iCs/>
        </w:rPr>
        <w:t xml:space="preserve"> </w:t>
      </w:r>
      <w:r w:rsidR="009D06C4">
        <w:rPr>
          <w:bCs/>
          <w:iCs/>
        </w:rPr>
        <w:t>which applies to</w:t>
      </w:r>
      <w:r w:rsidR="004F6D8A">
        <w:rPr>
          <w:bCs/>
          <w:iCs/>
        </w:rPr>
        <w:t xml:space="preserve"> any misuse of information </w:t>
      </w:r>
      <w:r w:rsidR="004A75F9">
        <w:rPr>
          <w:bCs/>
          <w:iCs/>
        </w:rPr>
        <w:t>received under section 641</w:t>
      </w:r>
      <w:r w:rsidR="004F6D8A">
        <w:rPr>
          <w:bCs/>
          <w:iCs/>
        </w:rPr>
        <w:t>.</w:t>
      </w:r>
      <w:r w:rsidR="009D06C4">
        <w:rPr>
          <w:bCs/>
          <w:iCs/>
        </w:rPr>
        <w:t xml:space="preserve"> </w:t>
      </w:r>
      <w:r w:rsidR="004A75F9">
        <w:rPr>
          <w:bCs/>
          <w:iCs/>
        </w:rPr>
        <w:t>The contravention of the new civil penalty provision is punishable by 2,000 penalty units for an individual, or 10,000 penalty units for a body corporate.</w:t>
      </w:r>
      <w:r w:rsidR="009D06C4" w:rsidRPr="009D06C4">
        <w:rPr>
          <w:rStyle w:val="Referencingstyle"/>
          <w:bCs/>
          <w:iCs/>
          <w:szCs w:val="18"/>
        </w:rPr>
        <w:t xml:space="preserve"> </w:t>
      </w:r>
      <w:r w:rsidR="009D06C4" w:rsidRPr="007F4F58">
        <w:rPr>
          <w:rStyle w:val="Referencingstyle"/>
          <w:bCs/>
          <w:iCs/>
          <w:szCs w:val="18"/>
        </w:rPr>
        <w:t xml:space="preserve">[Schedule </w:t>
      </w:r>
      <w:r w:rsidR="00895B01">
        <w:rPr>
          <w:rStyle w:val="Referencingstyle"/>
          <w:bCs/>
          <w:iCs/>
          <w:szCs w:val="18"/>
        </w:rPr>
        <w:t>1</w:t>
      </w:r>
      <w:r w:rsidR="009D06C4" w:rsidRPr="007F4F58">
        <w:rPr>
          <w:rStyle w:val="Referencingstyle"/>
          <w:bCs/>
          <w:iCs/>
          <w:szCs w:val="18"/>
        </w:rPr>
        <w:t>, item</w:t>
      </w:r>
      <w:r w:rsidR="00A0369B">
        <w:rPr>
          <w:rStyle w:val="Referencingstyle"/>
          <w:bCs/>
          <w:iCs/>
          <w:szCs w:val="18"/>
        </w:rPr>
        <w:t>s</w:t>
      </w:r>
      <w:r w:rsidR="009D06C4" w:rsidRPr="007F4F58">
        <w:rPr>
          <w:rStyle w:val="Referencingstyle"/>
          <w:bCs/>
          <w:iCs/>
          <w:szCs w:val="18"/>
        </w:rPr>
        <w:t xml:space="preserve"> </w:t>
      </w:r>
      <w:r w:rsidR="00895B01">
        <w:rPr>
          <w:rStyle w:val="Referencingstyle"/>
          <w:bCs/>
          <w:iCs/>
          <w:szCs w:val="18"/>
        </w:rPr>
        <w:t>35</w:t>
      </w:r>
      <w:r w:rsidR="00A0369B">
        <w:rPr>
          <w:rStyle w:val="Referencingstyle"/>
          <w:bCs/>
          <w:iCs/>
          <w:szCs w:val="18"/>
        </w:rPr>
        <w:t>, 54 and 55</w:t>
      </w:r>
      <w:r w:rsidR="009D06C4" w:rsidRPr="007F4F58">
        <w:rPr>
          <w:rStyle w:val="Referencingstyle"/>
          <w:bCs/>
          <w:iCs/>
          <w:szCs w:val="18"/>
        </w:rPr>
        <w:t xml:space="preserve">, section </w:t>
      </w:r>
      <w:r w:rsidR="009D06C4">
        <w:rPr>
          <w:rStyle w:val="Referencingstyle"/>
          <w:bCs/>
          <w:iCs/>
          <w:szCs w:val="18"/>
        </w:rPr>
        <w:t>641A</w:t>
      </w:r>
      <w:r w:rsidR="009D06C4" w:rsidRPr="007F4F58">
        <w:rPr>
          <w:rStyle w:val="Referencingstyle"/>
          <w:bCs/>
          <w:iCs/>
          <w:szCs w:val="18"/>
        </w:rPr>
        <w:t>(</w:t>
      </w:r>
      <w:r w:rsidR="009D06C4">
        <w:rPr>
          <w:rStyle w:val="Referencingstyle"/>
          <w:bCs/>
          <w:iCs/>
          <w:szCs w:val="18"/>
        </w:rPr>
        <w:t>1</w:t>
      </w:r>
      <w:r w:rsidR="009D06C4" w:rsidRPr="007F4F58">
        <w:rPr>
          <w:rStyle w:val="Referencingstyle"/>
          <w:bCs/>
          <w:iCs/>
          <w:szCs w:val="18"/>
        </w:rPr>
        <w:t>)</w:t>
      </w:r>
      <w:r w:rsidR="00A0369B">
        <w:rPr>
          <w:rStyle w:val="Referencingstyle"/>
          <w:bCs/>
          <w:iCs/>
          <w:szCs w:val="18"/>
        </w:rPr>
        <w:t xml:space="preserve"> and Schedule 3 to the Act</w:t>
      </w:r>
      <w:r w:rsidR="003B3B48">
        <w:rPr>
          <w:rStyle w:val="Referencingstyle"/>
          <w:bCs/>
          <w:iCs/>
          <w:szCs w:val="18"/>
        </w:rPr>
        <w:t>]</w:t>
      </w:r>
    </w:p>
    <w:p w14:paraId="4EB8D456" w14:textId="61A5D285" w:rsidR="00280F40" w:rsidRDefault="00500F65" w:rsidP="00D54531">
      <w:pPr>
        <w:pStyle w:val="base-text-paragraph"/>
        <w:numPr>
          <w:ilvl w:val="1"/>
          <w:numId w:val="23"/>
        </w:numPr>
        <w:rPr>
          <w:bCs/>
          <w:iCs/>
        </w:rPr>
      </w:pPr>
      <w:r>
        <w:rPr>
          <w:bCs/>
          <w:iCs/>
        </w:rPr>
        <w:t>The use of a civil penalty provision in these circumstances is consistent with penalties for the disclosure of personal information in other Commonwealth laws. The introduction of a civil penalty provision provides a strong disincentive to the misuse of personal information, which may cause significant harm to the individuals to whom the information relates.</w:t>
      </w:r>
    </w:p>
    <w:p w14:paraId="1905CD19" w14:textId="73F918BB" w:rsidR="00620AB9" w:rsidRPr="0050170D" w:rsidRDefault="003B3B48" w:rsidP="00D54531">
      <w:pPr>
        <w:pStyle w:val="base-text-paragraph"/>
        <w:numPr>
          <w:ilvl w:val="1"/>
          <w:numId w:val="23"/>
        </w:numPr>
        <w:rPr>
          <w:rStyle w:val="Referencingstyle"/>
          <w:b w:val="0"/>
          <w:bCs/>
          <w:i w:val="0"/>
          <w:iCs/>
          <w:sz w:val="22"/>
        </w:rPr>
      </w:pPr>
      <w:r>
        <w:rPr>
          <w:bCs/>
          <w:iCs/>
        </w:rPr>
        <w:t xml:space="preserve">The existing law specifies that documents required or permitted to be sent under Chapter 6 must be sent to a holder of securities at the address shown for that person in the information provided to the bidder under section 641. The amendments clarify that this does not preclude the use of an electronic address to provide documents to a holder of securities under Chapter 6. </w:t>
      </w:r>
      <w:r w:rsidRPr="007F4F58">
        <w:rPr>
          <w:rStyle w:val="Referencingstyle"/>
          <w:bCs/>
          <w:iCs/>
          <w:szCs w:val="18"/>
        </w:rPr>
        <w:t xml:space="preserve">[Schedule </w:t>
      </w:r>
      <w:r w:rsidR="00895B01">
        <w:rPr>
          <w:rStyle w:val="Referencingstyle"/>
          <w:bCs/>
          <w:iCs/>
          <w:szCs w:val="18"/>
        </w:rPr>
        <w:t>1</w:t>
      </w:r>
      <w:r w:rsidRPr="007F4F58">
        <w:rPr>
          <w:rStyle w:val="Referencingstyle"/>
          <w:bCs/>
          <w:iCs/>
          <w:szCs w:val="18"/>
        </w:rPr>
        <w:t xml:space="preserve">, item </w:t>
      </w:r>
      <w:r>
        <w:rPr>
          <w:rStyle w:val="Referencingstyle"/>
          <w:bCs/>
          <w:iCs/>
          <w:szCs w:val="18"/>
        </w:rPr>
        <w:t>3</w:t>
      </w:r>
      <w:r w:rsidR="00895B01">
        <w:rPr>
          <w:rStyle w:val="Referencingstyle"/>
          <w:bCs/>
          <w:iCs/>
          <w:szCs w:val="18"/>
        </w:rPr>
        <w:t>6</w:t>
      </w:r>
      <w:r w:rsidRPr="007F4F58">
        <w:rPr>
          <w:rStyle w:val="Referencingstyle"/>
          <w:bCs/>
          <w:iCs/>
          <w:szCs w:val="18"/>
        </w:rPr>
        <w:t xml:space="preserve">, section </w:t>
      </w:r>
      <w:r>
        <w:rPr>
          <w:rStyle w:val="Referencingstyle"/>
          <w:bCs/>
          <w:iCs/>
          <w:szCs w:val="18"/>
        </w:rPr>
        <w:t>648B]</w:t>
      </w:r>
    </w:p>
    <w:p w14:paraId="50EB94BC" w14:textId="3457BD37" w:rsidR="00C4578E" w:rsidRDefault="00C4578E" w:rsidP="00D54531">
      <w:pPr>
        <w:pStyle w:val="base-text-paragraph"/>
        <w:numPr>
          <w:ilvl w:val="1"/>
          <w:numId w:val="23"/>
        </w:numPr>
        <w:rPr>
          <w:bCs/>
          <w:iCs/>
        </w:rPr>
      </w:pPr>
      <w:r>
        <w:rPr>
          <w:bCs/>
          <w:iCs/>
        </w:rPr>
        <w:t xml:space="preserve">The amendments </w:t>
      </w:r>
      <w:r w:rsidR="00C30AE7">
        <w:rPr>
          <w:bCs/>
          <w:iCs/>
        </w:rPr>
        <w:t xml:space="preserve">also establish </w:t>
      </w:r>
      <w:r w:rsidR="001431DF">
        <w:rPr>
          <w:bCs/>
          <w:iCs/>
        </w:rPr>
        <w:t xml:space="preserve">two </w:t>
      </w:r>
      <w:r w:rsidR="00C30AE7">
        <w:rPr>
          <w:bCs/>
          <w:iCs/>
        </w:rPr>
        <w:t>new general provision</w:t>
      </w:r>
      <w:r w:rsidR="001431DF">
        <w:rPr>
          <w:bCs/>
          <w:iCs/>
        </w:rPr>
        <w:t>s</w:t>
      </w:r>
      <w:r w:rsidR="00C30AE7">
        <w:rPr>
          <w:bCs/>
          <w:iCs/>
        </w:rPr>
        <w:t xml:space="preserve"> with</w:t>
      </w:r>
      <w:r>
        <w:rPr>
          <w:bCs/>
          <w:iCs/>
        </w:rPr>
        <w:t xml:space="preserve"> </w:t>
      </w:r>
      <w:r w:rsidR="00C30AE7">
        <w:rPr>
          <w:bCs/>
          <w:iCs/>
        </w:rPr>
        <w:t xml:space="preserve">the </w:t>
      </w:r>
      <w:r w:rsidR="00D27480">
        <w:rPr>
          <w:bCs/>
          <w:iCs/>
        </w:rPr>
        <w:t>requirements for</w:t>
      </w:r>
      <w:r>
        <w:rPr>
          <w:bCs/>
          <w:iCs/>
        </w:rPr>
        <w:t xml:space="preserve"> sending documents under Chapter</w:t>
      </w:r>
      <w:r w:rsidR="00C30AE7">
        <w:rPr>
          <w:bCs/>
          <w:iCs/>
        </w:rPr>
        <w:t>s</w:t>
      </w:r>
      <w:r>
        <w:rPr>
          <w:bCs/>
          <w:iCs/>
        </w:rPr>
        <w:t xml:space="preserve"> 6 </w:t>
      </w:r>
      <w:r w:rsidR="00317E5D">
        <w:rPr>
          <w:bCs/>
          <w:iCs/>
        </w:rPr>
        <w:t xml:space="preserve">and 6A </w:t>
      </w:r>
      <w:r w:rsidR="00C30AE7">
        <w:rPr>
          <w:bCs/>
          <w:iCs/>
        </w:rPr>
        <w:t xml:space="preserve">(including the rules relating to when a document is taken to have been sent). </w:t>
      </w:r>
      <w:r w:rsidR="001431DF">
        <w:rPr>
          <w:bCs/>
          <w:iCs/>
        </w:rPr>
        <w:t xml:space="preserve">These </w:t>
      </w:r>
      <w:r w:rsidR="00C30AE7">
        <w:rPr>
          <w:bCs/>
          <w:iCs/>
        </w:rPr>
        <w:t>provision</w:t>
      </w:r>
      <w:r w:rsidR="001431DF">
        <w:rPr>
          <w:bCs/>
          <w:iCs/>
        </w:rPr>
        <w:t>s</w:t>
      </w:r>
      <w:r w:rsidR="00C30AE7">
        <w:rPr>
          <w:bCs/>
          <w:iCs/>
        </w:rPr>
        <w:t xml:space="preserve"> consolidate the existing requirements relating to when a physical document has been sent under Chapters 6 or 6A. The provision</w:t>
      </w:r>
      <w:r w:rsidR="001431DF">
        <w:rPr>
          <w:bCs/>
          <w:iCs/>
        </w:rPr>
        <w:t>s</w:t>
      </w:r>
      <w:r w:rsidR="00C30AE7">
        <w:rPr>
          <w:bCs/>
          <w:iCs/>
        </w:rPr>
        <w:t xml:space="preserve"> also include a new rule which states that an electronic communication is taken to have been sent when it </w:t>
      </w:r>
      <w:r w:rsidR="000E715A">
        <w:rPr>
          <w:bCs/>
          <w:iCs/>
        </w:rPr>
        <w:t>is received by the address.</w:t>
      </w:r>
      <w:r>
        <w:rPr>
          <w:bCs/>
          <w:iCs/>
        </w:rPr>
        <w:t xml:space="preserve"> </w:t>
      </w:r>
      <w:r w:rsidRPr="007F4F58">
        <w:rPr>
          <w:rStyle w:val="Referencingstyle"/>
          <w:bCs/>
          <w:iCs/>
          <w:szCs w:val="18"/>
        </w:rPr>
        <w:t xml:space="preserve">[Schedule </w:t>
      </w:r>
      <w:r w:rsidR="00895B01">
        <w:rPr>
          <w:rStyle w:val="Referencingstyle"/>
          <w:bCs/>
          <w:iCs/>
          <w:szCs w:val="18"/>
        </w:rPr>
        <w:t>1</w:t>
      </w:r>
      <w:r w:rsidRPr="007F4F58">
        <w:rPr>
          <w:rStyle w:val="Referencingstyle"/>
          <w:bCs/>
          <w:iCs/>
          <w:szCs w:val="18"/>
        </w:rPr>
        <w:t>, item</w:t>
      </w:r>
      <w:r w:rsidR="004F0D6C">
        <w:rPr>
          <w:rStyle w:val="Referencingstyle"/>
          <w:bCs/>
          <w:iCs/>
          <w:szCs w:val="18"/>
        </w:rPr>
        <w:t>s</w:t>
      </w:r>
      <w:r w:rsidRPr="007F4F58">
        <w:rPr>
          <w:rStyle w:val="Referencingstyle"/>
          <w:bCs/>
          <w:iCs/>
          <w:szCs w:val="18"/>
        </w:rPr>
        <w:t xml:space="preserve"> </w:t>
      </w:r>
      <w:r w:rsidR="001431DF">
        <w:rPr>
          <w:rStyle w:val="Referencingstyle"/>
          <w:bCs/>
          <w:iCs/>
          <w:szCs w:val="18"/>
        </w:rPr>
        <w:t>37</w:t>
      </w:r>
      <w:r w:rsidR="004F0D6C">
        <w:rPr>
          <w:rStyle w:val="Referencingstyle"/>
          <w:bCs/>
          <w:iCs/>
          <w:szCs w:val="18"/>
        </w:rPr>
        <w:t>,</w:t>
      </w:r>
      <w:r w:rsidR="005567A4">
        <w:rPr>
          <w:rStyle w:val="Referencingstyle"/>
          <w:bCs/>
          <w:iCs/>
          <w:szCs w:val="18"/>
        </w:rPr>
        <w:t xml:space="preserve"> </w:t>
      </w:r>
      <w:r w:rsidR="001431DF">
        <w:rPr>
          <w:rStyle w:val="Referencingstyle"/>
          <w:bCs/>
          <w:iCs/>
          <w:szCs w:val="18"/>
        </w:rPr>
        <w:t xml:space="preserve">51, 56 </w:t>
      </w:r>
      <w:r w:rsidR="005567A4">
        <w:rPr>
          <w:rStyle w:val="Referencingstyle"/>
          <w:bCs/>
          <w:iCs/>
          <w:szCs w:val="18"/>
        </w:rPr>
        <w:t xml:space="preserve">and </w:t>
      </w:r>
      <w:r w:rsidR="001431DF">
        <w:rPr>
          <w:rStyle w:val="Referencingstyle"/>
          <w:bCs/>
          <w:iCs/>
          <w:szCs w:val="18"/>
        </w:rPr>
        <w:t>57</w:t>
      </w:r>
      <w:r w:rsidRPr="007F4F58">
        <w:rPr>
          <w:rStyle w:val="Referencingstyle"/>
          <w:bCs/>
          <w:iCs/>
          <w:szCs w:val="18"/>
        </w:rPr>
        <w:t>, section</w:t>
      </w:r>
      <w:r w:rsidR="005567A4">
        <w:rPr>
          <w:rStyle w:val="Referencingstyle"/>
          <w:bCs/>
          <w:iCs/>
          <w:szCs w:val="18"/>
        </w:rPr>
        <w:t>s</w:t>
      </w:r>
      <w:r w:rsidRPr="007F4F58">
        <w:rPr>
          <w:rStyle w:val="Referencingstyle"/>
          <w:bCs/>
          <w:iCs/>
          <w:szCs w:val="18"/>
        </w:rPr>
        <w:t xml:space="preserve"> </w:t>
      </w:r>
      <w:r>
        <w:rPr>
          <w:rStyle w:val="Referencingstyle"/>
          <w:bCs/>
          <w:iCs/>
          <w:szCs w:val="18"/>
        </w:rPr>
        <w:t>648C</w:t>
      </w:r>
      <w:r w:rsidR="005567A4">
        <w:rPr>
          <w:rStyle w:val="Referencingstyle"/>
          <w:bCs/>
          <w:iCs/>
          <w:szCs w:val="18"/>
        </w:rPr>
        <w:t xml:space="preserve"> and 669A</w:t>
      </w:r>
      <w:r w:rsidR="004F0D6C">
        <w:rPr>
          <w:rStyle w:val="Referencingstyle"/>
          <w:bCs/>
          <w:iCs/>
          <w:szCs w:val="18"/>
        </w:rPr>
        <w:t xml:space="preserve"> and Schedule 3 to the Act</w:t>
      </w:r>
      <w:r>
        <w:rPr>
          <w:rStyle w:val="Referencingstyle"/>
          <w:bCs/>
          <w:iCs/>
          <w:szCs w:val="18"/>
        </w:rPr>
        <w:t>]</w:t>
      </w:r>
    </w:p>
    <w:p w14:paraId="12DA056A" w14:textId="77777777" w:rsidR="00EB74E6" w:rsidRDefault="00EB74E6" w:rsidP="00D54531">
      <w:pPr>
        <w:pStyle w:val="base-text-paragraph"/>
        <w:numPr>
          <w:ilvl w:val="1"/>
          <w:numId w:val="23"/>
        </w:numPr>
        <w:rPr>
          <w:bCs/>
          <w:iCs/>
        </w:rPr>
      </w:pPr>
      <w:r>
        <w:rPr>
          <w:bCs/>
          <w:iCs/>
        </w:rPr>
        <w:lastRenderedPageBreak/>
        <w:t>It is necessary to provide legislative rules as to when a document is taken to have been sent under Chapter 6 due to the nature of the takeover process, which imposes strict deadlines on participants.</w:t>
      </w:r>
    </w:p>
    <w:p w14:paraId="6851192B" w14:textId="17B0446B" w:rsidR="005567A4" w:rsidRDefault="005567A4" w:rsidP="00D54531">
      <w:pPr>
        <w:pStyle w:val="base-text-paragraph"/>
        <w:numPr>
          <w:ilvl w:val="1"/>
          <w:numId w:val="23"/>
        </w:numPr>
        <w:rPr>
          <w:bCs/>
          <w:iCs/>
        </w:rPr>
      </w:pPr>
      <w:r>
        <w:rPr>
          <w:bCs/>
          <w:iCs/>
        </w:rPr>
        <w:t xml:space="preserve">The amendments also </w:t>
      </w:r>
      <w:r w:rsidR="00396A42">
        <w:rPr>
          <w:bCs/>
          <w:iCs/>
        </w:rPr>
        <w:t xml:space="preserve">repeal </w:t>
      </w:r>
      <w:r>
        <w:rPr>
          <w:bCs/>
          <w:iCs/>
        </w:rPr>
        <w:t xml:space="preserve">the </w:t>
      </w:r>
      <w:r w:rsidR="000E715A">
        <w:rPr>
          <w:bCs/>
          <w:iCs/>
        </w:rPr>
        <w:t>existing rules for</w:t>
      </w:r>
      <w:r>
        <w:rPr>
          <w:bCs/>
          <w:iCs/>
        </w:rPr>
        <w:t xml:space="preserve"> when a document </w:t>
      </w:r>
      <w:r w:rsidR="000E715A">
        <w:rPr>
          <w:bCs/>
          <w:iCs/>
        </w:rPr>
        <w:t>is taken to have</w:t>
      </w:r>
      <w:r>
        <w:rPr>
          <w:bCs/>
          <w:iCs/>
        </w:rPr>
        <w:t xml:space="preserve"> been sent under Chapter 6A.</w:t>
      </w:r>
      <w:r w:rsidR="00396A42">
        <w:rPr>
          <w:bCs/>
          <w:iCs/>
        </w:rPr>
        <w:t xml:space="preserve"> These provisions are no longer needed as the</w:t>
      </w:r>
      <w:r w:rsidR="000E715A">
        <w:rPr>
          <w:bCs/>
          <w:iCs/>
        </w:rPr>
        <w:t xml:space="preserve"> rules are set out in the</w:t>
      </w:r>
      <w:r w:rsidR="00396A42">
        <w:rPr>
          <w:bCs/>
          <w:iCs/>
        </w:rPr>
        <w:t xml:space="preserve"> new</w:t>
      </w:r>
      <w:r w:rsidR="000E715A">
        <w:rPr>
          <w:bCs/>
          <w:iCs/>
        </w:rPr>
        <w:t xml:space="preserve"> general provision.</w:t>
      </w:r>
      <w:r>
        <w:rPr>
          <w:bCs/>
          <w:iCs/>
        </w:rPr>
        <w:t xml:space="preserve"> </w:t>
      </w:r>
      <w:r w:rsidRPr="007F4F58">
        <w:rPr>
          <w:rStyle w:val="Referencingstyle"/>
          <w:bCs/>
          <w:iCs/>
          <w:szCs w:val="18"/>
        </w:rPr>
        <w:t xml:space="preserve">[Schedule </w:t>
      </w:r>
      <w:r w:rsidR="001431DF">
        <w:rPr>
          <w:rStyle w:val="Referencingstyle"/>
          <w:bCs/>
          <w:iCs/>
          <w:szCs w:val="18"/>
        </w:rPr>
        <w:t>1</w:t>
      </w:r>
      <w:r w:rsidRPr="007F4F58">
        <w:rPr>
          <w:rStyle w:val="Referencingstyle"/>
          <w:bCs/>
          <w:iCs/>
          <w:szCs w:val="18"/>
        </w:rPr>
        <w:t>, item</w:t>
      </w:r>
      <w:r>
        <w:rPr>
          <w:rStyle w:val="Referencingstyle"/>
          <w:bCs/>
          <w:iCs/>
          <w:szCs w:val="18"/>
        </w:rPr>
        <w:t xml:space="preserve">s </w:t>
      </w:r>
      <w:r w:rsidR="00ED3787">
        <w:rPr>
          <w:rStyle w:val="Referencingstyle"/>
          <w:bCs/>
          <w:iCs/>
          <w:szCs w:val="18"/>
        </w:rPr>
        <w:t xml:space="preserve">38 </w:t>
      </w:r>
      <w:r>
        <w:rPr>
          <w:rStyle w:val="Referencingstyle"/>
          <w:bCs/>
          <w:iCs/>
          <w:szCs w:val="18"/>
        </w:rPr>
        <w:t xml:space="preserve">to </w:t>
      </w:r>
      <w:r w:rsidR="00ED3787">
        <w:rPr>
          <w:rStyle w:val="Referencingstyle"/>
          <w:bCs/>
          <w:iCs/>
          <w:szCs w:val="18"/>
        </w:rPr>
        <w:t>50</w:t>
      </w:r>
      <w:r w:rsidR="004F0D6C">
        <w:rPr>
          <w:rStyle w:val="Referencingstyle"/>
          <w:bCs/>
          <w:iCs/>
          <w:szCs w:val="18"/>
        </w:rPr>
        <w:t>, sections</w:t>
      </w:r>
      <w:r w:rsidR="000E715A">
        <w:rPr>
          <w:rStyle w:val="Referencingstyle"/>
          <w:bCs/>
          <w:iCs/>
          <w:szCs w:val="18"/>
        </w:rPr>
        <w:t xml:space="preserve"> 661B(3), 661B(4), 661D(1), 662B(3), 662B(4), 664C(4), 664C(5), 664E(1), 664E(2)</w:t>
      </w:r>
      <w:r w:rsidR="00ED3787">
        <w:rPr>
          <w:rStyle w:val="Referencingstyle"/>
          <w:bCs/>
          <w:iCs/>
          <w:szCs w:val="18"/>
        </w:rPr>
        <w:t>,</w:t>
      </w:r>
      <w:r w:rsidR="000E715A">
        <w:rPr>
          <w:rStyle w:val="Referencingstyle"/>
          <w:bCs/>
          <w:iCs/>
          <w:szCs w:val="18"/>
        </w:rPr>
        <w:t xml:space="preserve"> 665B(3)</w:t>
      </w:r>
      <w:r w:rsidR="00EB74E6" w:rsidDel="00EB74E6">
        <w:rPr>
          <w:rStyle w:val="Referencingstyle"/>
          <w:bCs/>
          <w:iCs/>
          <w:szCs w:val="18"/>
        </w:rPr>
        <w:t xml:space="preserve"> </w:t>
      </w:r>
      <w:r w:rsidR="00ED3787">
        <w:rPr>
          <w:rStyle w:val="Referencingstyle"/>
          <w:bCs/>
          <w:iCs/>
          <w:szCs w:val="18"/>
        </w:rPr>
        <w:t>and 665B(4)</w:t>
      </w:r>
      <w:r>
        <w:rPr>
          <w:rStyle w:val="Referencingstyle"/>
          <w:bCs/>
          <w:iCs/>
          <w:szCs w:val="18"/>
        </w:rPr>
        <w:t>]</w:t>
      </w:r>
    </w:p>
    <w:p w14:paraId="067B4960" w14:textId="00340BF3" w:rsidR="00C0203F" w:rsidRPr="00042005" w:rsidRDefault="00C0203F" w:rsidP="00D54531">
      <w:pPr>
        <w:pStyle w:val="base-text-paragraph"/>
        <w:numPr>
          <w:ilvl w:val="1"/>
          <w:numId w:val="23"/>
        </w:numPr>
        <w:rPr>
          <w:rStyle w:val="Referencingstyle"/>
          <w:b w:val="0"/>
          <w:bCs/>
          <w:i w:val="0"/>
          <w:iCs/>
          <w:sz w:val="22"/>
        </w:rPr>
      </w:pPr>
      <w:r>
        <w:rPr>
          <w:bCs/>
          <w:iCs/>
        </w:rPr>
        <w:t>An additional obligation is placed on a person who sends a document under Chapter</w:t>
      </w:r>
      <w:r w:rsidR="00EB74E6">
        <w:rPr>
          <w:bCs/>
          <w:iCs/>
        </w:rPr>
        <w:t>s</w:t>
      </w:r>
      <w:r>
        <w:rPr>
          <w:bCs/>
          <w:iCs/>
        </w:rPr>
        <w:t xml:space="preserve"> 6</w:t>
      </w:r>
      <w:r w:rsidR="00D27480">
        <w:rPr>
          <w:bCs/>
          <w:iCs/>
        </w:rPr>
        <w:t xml:space="preserve"> or 6A</w:t>
      </w:r>
      <w:r>
        <w:rPr>
          <w:bCs/>
          <w:iCs/>
        </w:rPr>
        <w:t xml:space="preserve"> using an electronic communication method but receives a notification that the electronic communication is unable to be delivered. In these circumstances, a physical copy of the document must be sent to the address of the intended recipient, or given to them personally, within 3 days of receiving the notification. </w:t>
      </w:r>
      <w:r w:rsidR="00015732" w:rsidRPr="00015732">
        <w:rPr>
          <w:bCs/>
          <w:iCs/>
        </w:rPr>
        <w:t xml:space="preserve">A failure to comply with this obligation is a strict liability offence subject to </w:t>
      </w:r>
      <w:r w:rsidR="00EB74E6">
        <w:rPr>
          <w:bCs/>
          <w:iCs/>
        </w:rPr>
        <w:t>30</w:t>
      </w:r>
      <w:r w:rsidR="00015732" w:rsidRPr="00015732">
        <w:rPr>
          <w:bCs/>
          <w:iCs/>
        </w:rPr>
        <w:t xml:space="preserve"> penalty units.</w:t>
      </w:r>
      <w:r w:rsidR="00015732" w:rsidRPr="00015732">
        <w:rPr>
          <w:rStyle w:val="Referencingstyle"/>
          <w:bCs/>
          <w:iCs/>
          <w:szCs w:val="18"/>
        </w:rPr>
        <w:t xml:space="preserve"> </w:t>
      </w:r>
      <w:r w:rsidR="00015732" w:rsidRPr="007F4F58">
        <w:rPr>
          <w:rStyle w:val="Referencingstyle"/>
          <w:bCs/>
          <w:iCs/>
          <w:szCs w:val="18"/>
        </w:rPr>
        <w:t xml:space="preserve">[Schedule </w:t>
      </w:r>
      <w:r w:rsidR="00ED3787">
        <w:rPr>
          <w:rStyle w:val="Referencingstyle"/>
          <w:bCs/>
          <w:iCs/>
          <w:szCs w:val="18"/>
        </w:rPr>
        <w:t>1</w:t>
      </w:r>
      <w:r w:rsidR="00015732" w:rsidRPr="007F4F58">
        <w:rPr>
          <w:rStyle w:val="Referencingstyle"/>
          <w:bCs/>
          <w:iCs/>
          <w:szCs w:val="18"/>
        </w:rPr>
        <w:t>, item</w:t>
      </w:r>
      <w:r w:rsidR="00D27480">
        <w:rPr>
          <w:rStyle w:val="Referencingstyle"/>
          <w:bCs/>
          <w:iCs/>
          <w:szCs w:val="18"/>
        </w:rPr>
        <w:t>s</w:t>
      </w:r>
      <w:r w:rsidR="00015732" w:rsidRPr="007F4F58">
        <w:rPr>
          <w:rStyle w:val="Referencingstyle"/>
          <w:bCs/>
          <w:iCs/>
          <w:szCs w:val="18"/>
        </w:rPr>
        <w:t xml:space="preserve"> </w:t>
      </w:r>
      <w:r w:rsidR="00ED3787">
        <w:rPr>
          <w:rStyle w:val="Referencingstyle"/>
          <w:bCs/>
          <w:iCs/>
          <w:szCs w:val="18"/>
        </w:rPr>
        <w:t xml:space="preserve">37, </w:t>
      </w:r>
      <w:r w:rsidR="00D27480">
        <w:rPr>
          <w:rStyle w:val="Referencingstyle"/>
          <w:bCs/>
          <w:iCs/>
          <w:szCs w:val="18"/>
        </w:rPr>
        <w:t xml:space="preserve"> </w:t>
      </w:r>
      <w:r w:rsidR="00ED3787">
        <w:rPr>
          <w:rStyle w:val="Referencingstyle"/>
          <w:bCs/>
          <w:iCs/>
          <w:szCs w:val="18"/>
        </w:rPr>
        <w:t>51</w:t>
      </w:r>
      <w:r w:rsidR="00015732" w:rsidRPr="007F4F58">
        <w:rPr>
          <w:rStyle w:val="Referencingstyle"/>
          <w:bCs/>
          <w:iCs/>
          <w:szCs w:val="18"/>
        </w:rPr>
        <w:t>,</w:t>
      </w:r>
      <w:r w:rsidR="00ED3787">
        <w:rPr>
          <w:rStyle w:val="Referencingstyle"/>
          <w:bCs/>
          <w:iCs/>
          <w:szCs w:val="18"/>
        </w:rPr>
        <w:t xml:space="preserve"> 56, 57</w:t>
      </w:r>
      <w:r w:rsidR="00015732" w:rsidRPr="007F4F58">
        <w:rPr>
          <w:rStyle w:val="Referencingstyle"/>
          <w:bCs/>
          <w:iCs/>
          <w:szCs w:val="18"/>
        </w:rPr>
        <w:t xml:space="preserve">, section </w:t>
      </w:r>
      <w:r w:rsidR="00015732">
        <w:rPr>
          <w:rStyle w:val="Referencingstyle"/>
          <w:bCs/>
          <w:iCs/>
          <w:szCs w:val="18"/>
        </w:rPr>
        <w:t>6</w:t>
      </w:r>
      <w:r w:rsidR="0084018F">
        <w:rPr>
          <w:rStyle w:val="Referencingstyle"/>
          <w:bCs/>
          <w:iCs/>
          <w:szCs w:val="18"/>
        </w:rPr>
        <w:t>48CA</w:t>
      </w:r>
      <w:r w:rsidR="00D27480">
        <w:rPr>
          <w:rStyle w:val="Referencingstyle"/>
          <w:bCs/>
          <w:iCs/>
          <w:szCs w:val="18"/>
        </w:rPr>
        <w:t xml:space="preserve"> and 669B</w:t>
      </w:r>
      <w:r w:rsidR="004F0D6C">
        <w:rPr>
          <w:rStyle w:val="Referencingstyle"/>
          <w:bCs/>
          <w:iCs/>
          <w:szCs w:val="18"/>
        </w:rPr>
        <w:t xml:space="preserve"> and Schedule 3 to the Act</w:t>
      </w:r>
      <w:r w:rsidR="00015732">
        <w:rPr>
          <w:rStyle w:val="Referencingstyle"/>
          <w:bCs/>
          <w:iCs/>
          <w:szCs w:val="18"/>
        </w:rPr>
        <w:t>]</w:t>
      </w:r>
    </w:p>
    <w:p w14:paraId="77D17F3D" w14:textId="697EC44E" w:rsidR="00015732" w:rsidRDefault="00015732" w:rsidP="00D54531">
      <w:pPr>
        <w:pStyle w:val="base-text-paragraph"/>
        <w:numPr>
          <w:ilvl w:val="1"/>
          <w:numId w:val="23"/>
        </w:numPr>
        <w:rPr>
          <w:bCs/>
          <w:iCs/>
        </w:rPr>
      </w:pPr>
      <w:r w:rsidRPr="00015732">
        <w:rPr>
          <w:bCs/>
          <w:iCs/>
        </w:rPr>
        <w:t xml:space="preserve">A strict liability offence is appropriate in this circumstance as it is necessary to </w:t>
      </w:r>
      <w:r w:rsidR="0084018F">
        <w:rPr>
          <w:bCs/>
          <w:iCs/>
        </w:rPr>
        <w:t>deter participants in a takeover bid from providing documents to security holders on a selective or delayed basis</w:t>
      </w:r>
      <w:r w:rsidRPr="00015732">
        <w:rPr>
          <w:bCs/>
          <w:iCs/>
        </w:rPr>
        <w:t xml:space="preserve">. </w:t>
      </w:r>
      <w:r w:rsidR="00B809CF">
        <w:rPr>
          <w:bCs/>
          <w:iCs/>
        </w:rPr>
        <w:t xml:space="preserve"> Further, the introduction of a strict liability offence is appropriate given the importance of ensuring a member has sufficient </w:t>
      </w:r>
      <w:r w:rsidR="00EC6597">
        <w:rPr>
          <w:bCs/>
          <w:iCs/>
        </w:rPr>
        <w:t xml:space="preserve">time </w:t>
      </w:r>
      <w:r w:rsidR="00B809CF">
        <w:rPr>
          <w:bCs/>
          <w:iCs/>
        </w:rPr>
        <w:t>to review, and respond to, the documents that should be provided to them as part of the takeover process.</w:t>
      </w:r>
    </w:p>
    <w:p w14:paraId="5A388272" w14:textId="77777777" w:rsidR="00EB74E6" w:rsidRDefault="00EB74E6" w:rsidP="00D54531">
      <w:pPr>
        <w:pStyle w:val="base-text-paragraph"/>
        <w:numPr>
          <w:ilvl w:val="1"/>
          <w:numId w:val="23"/>
        </w:numPr>
        <w:rPr>
          <w:bCs/>
          <w:iCs/>
        </w:rPr>
      </w:pPr>
      <w:r w:rsidRPr="009E096F">
        <w:rPr>
          <w:bCs/>
          <w:iCs/>
        </w:rPr>
        <w:t>Th</w:t>
      </w:r>
      <w:r>
        <w:rPr>
          <w:bCs/>
          <w:iCs/>
        </w:rPr>
        <w:t>is</w:t>
      </w:r>
      <w:r w:rsidRPr="009E096F">
        <w:rPr>
          <w:bCs/>
          <w:iCs/>
        </w:rPr>
        <w:t xml:space="preserve"> strict liability offence meets all the conditions listed in the Attorney-General’s Department’s </w:t>
      </w:r>
      <w:r w:rsidRPr="009E096F">
        <w:rPr>
          <w:bCs/>
          <w:i/>
        </w:rPr>
        <w:t>A Guide to Framing Commonwealth Offences, Infringement Notices and Enforcement Powers</w:t>
      </w:r>
      <w:r w:rsidRPr="009E096F">
        <w:rPr>
          <w:bCs/>
          <w:iCs/>
        </w:rPr>
        <w:t>. It does not exceed 300 penalty units for a body corporate and preserves the defence of honest and reasonable mistake of fact to be proved by the accused on the balance of probabilities.</w:t>
      </w:r>
    </w:p>
    <w:p w14:paraId="42BA8FD0" w14:textId="77777777" w:rsidR="001A4EC9" w:rsidRDefault="001A4EC9" w:rsidP="00B8234D">
      <w:pPr>
        <w:pStyle w:val="Heading3"/>
      </w:pPr>
      <w:r>
        <w:t>Lost members</w:t>
      </w:r>
    </w:p>
    <w:p w14:paraId="4A0F199C" w14:textId="0D14CEC7" w:rsidR="002973D8" w:rsidRDefault="00DA223F" w:rsidP="001A4EC9">
      <w:pPr>
        <w:pStyle w:val="base-text-paragraph"/>
      </w:pPr>
      <w:r>
        <w:t>The Bill provides relief</w:t>
      </w:r>
      <w:r w:rsidR="00B85886">
        <w:t xml:space="preserve"> from an obligation to send </w:t>
      </w:r>
      <w:r w:rsidR="009B60AC">
        <w:t>particular types of</w:t>
      </w:r>
      <w:r w:rsidR="00B85886">
        <w:t xml:space="preserve"> document under the Act provided certain conditions are met.</w:t>
      </w:r>
      <w:r w:rsidR="002973D8">
        <w:t xml:space="preserve"> </w:t>
      </w:r>
      <w:r w:rsidR="002973D8" w:rsidRPr="007F4F58">
        <w:rPr>
          <w:rStyle w:val="Referencingstyle"/>
          <w:bCs/>
          <w:iCs/>
          <w:szCs w:val="18"/>
        </w:rPr>
        <w:t xml:space="preserve">[Schedule </w:t>
      </w:r>
      <w:r w:rsidR="00CB4EB6">
        <w:rPr>
          <w:rStyle w:val="Referencingstyle"/>
          <w:bCs/>
          <w:iCs/>
          <w:szCs w:val="18"/>
        </w:rPr>
        <w:t>1</w:t>
      </w:r>
      <w:r w:rsidR="002973D8" w:rsidRPr="007F4F58">
        <w:rPr>
          <w:rStyle w:val="Referencingstyle"/>
          <w:bCs/>
          <w:iCs/>
          <w:szCs w:val="18"/>
        </w:rPr>
        <w:t xml:space="preserve">, item </w:t>
      </w:r>
      <w:r w:rsidR="00CB4EB6">
        <w:rPr>
          <w:rStyle w:val="Referencingstyle"/>
          <w:bCs/>
          <w:iCs/>
          <w:szCs w:val="18"/>
        </w:rPr>
        <w:t>12</w:t>
      </w:r>
      <w:r w:rsidR="002973D8" w:rsidRPr="007F4F58">
        <w:rPr>
          <w:rStyle w:val="Referencingstyle"/>
          <w:bCs/>
          <w:iCs/>
          <w:szCs w:val="18"/>
        </w:rPr>
        <w:t xml:space="preserve">, section </w:t>
      </w:r>
      <w:r w:rsidR="002973D8">
        <w:rPr>
          <w:rStyle w:val="Referencingstyle"/>
          <w:bCs/>
          <w:iCs/>
          <w:szCs w:val="18"/>
        </w:rPr>
        <w:t>110JA(1)]</w:t>
      </w:r>
    </w:p>
    <w:p w14:paraId="16F4C39B" w14:textId="3916BD07" w:rsidR="00B85886" w:rsidRDefault="00B85886" w:rsidP="001A4EC9">
      <w:pPr>
        <w:pStyle w:val="base-text-paragraph"/>
      </w:pPr>
      <w:r>
        <w:t xml:space="preserve">The relief is only available where the </w:t>
      </w:r>
      <w:r w:rsidR="00EF7DDE">
        <w:t>person required</w:t>
      </w:r>
      <w:r w:rsidR="00664E60">
        <w:t xml:space="preserve"> to send the document </w:t>
      </w:r>
      <w:r w:rsidR="00EF7DDE">
        <w:t>(the sender)</w:t>
      </w:r>
      <w:r w:rsidR="00664E60">
        <w:t xml:space="preserve"> </w:t>
      </w:r>
      <w:r w:rsidR="00EF7DDE">
        <w:t>is</w:t>
      </w:r>
      <w:r w:rsidR="00664E60">
        <w:t xml:space="preserve"> a company, responsible entity or disclosing entity, and the </w:t>
      </w:r>
      <w:r>
        <w:t xml:space="preserve">recipient is a member of the </w:t>
      </w:r>
      <w:r w:rsidR="00664E60">
        <w:t>sender.</w:t>
      </w:r>
      <w:r>
        <w:t xml:space="preserve"> </w:t>
      </w:r>
    </w:p>
    <w:p w14:paraId="0989488F" w14:textId="7E33F9F4" w:rsidR="00917C1C" w:rsidRDefault="00917C1C" w:rsidP="00917C1C">
      <w:pPr>
        <w:pStyle w:val="base-text-paragraph"/>
      </w:pPr>
      <w:r>
        <w:t>The conditions which must be met before the relief is available are that:</w:t>
      </w:r>
    </w:p>
    <w:p w14:paraId="40857E30" w14:textId="58168BE8" w:rsidR="00917C1C" w:rsidRPr="00F37B9A" w:rsidRDefault="00917C1C" w:rsidP="001F3D67">
      <w:pPr>
        <w:pStyle w:val="dotpoint"/>
      </w:pPr>
      <w:r w:rsidRPr="00F37B9A">
        <w:t xml:space="preserve">the </w:t>
      </w:r>
      <w:r w:rsidR="00EF7DDE">
        <w:t>sender has received notification, in relation to each of the addresses for the recipient that are known to the sender, that indicates the address is not current;</w:t>
      </w:r>
    </w:p>
    <w:p w14:paraId="5C46DDB7" w14:textId="0595B303" w:rsidR="00917C1C" w:rsidRPr="00F37B9A" w:rsidRDefault="00EF7DDE" w:rsidP="001F3D67">
      <w:pPr>
        <w:pStyle w:val="dotpoint"/>
      </w:pPr>
      <w:r>
        <w:lastRenderedPageBreak/>
        <w:t>the sender reasonably believes that none of those addresses are current; and</w:t>
      </w:r>
    </w:p>
    <w:p w14:paraId="25B48D00" w14:textId="01E71C9E" w:rsidR="00917C1C" w:rsidRPr="00F37B9A" w:rsidRDefault="00EF7DDE" w:rsidP="001F3D67">
      <w:pPr>
        <w:pStyle w:val="dotpoint"/>
      </w:pPr>
      <w:r>
        <w:t>the sender is unable, after exercising reasonable diligence, to ascertain a current address for the recipient; and</w:t>
      </w:r>
    </w:p>
    <w:p w14:paraId="040DE34A" w14:textId="385E772E" w:rsidR="009B60AC" w:rsidRPr="001F3D67" w:rsidRDefault="00210A87" w:rsidP="009B60AC">
      <w:pPr>
        <w:pStyle w:val="dotpoint"/>
        <w:rPr>
          <w:rStyle w:val="Referencingstyle"/>
          <w:b w:val="0"/>
          <w:i w:val="0"/>
          <w:sz w:val="22"/>
        </w:rPr>
      </w:pPr>
      <w:r>
        <w:t>the sender has taken reasonable steps to advise the recipient the sending of documents has been suspended but will be resumed if the recipient provides a current address.</w:t>
      </w:r>
      <w:r w:rsidRPr="00210A87">
        <w:rPr>
          <w:rStyle w:val="Referencingstyle"/>
          <w:bCs/>
          <w:iCs/>
          <w:szCs w:val="18"/>
        </w:rPr>
        <w:t xml:space="preserve"> </w:t>
      </w:r>
    </w:p>
    <w:p w14:paraId="04C2541D" w14:textId="76673EE3" w:rsidR="00210A87" w:rsidRPr="00F37B9A" w:rsidRDefault="00210A87" w:rsidP="001F3D67">
      <w:pPr>
        <w:pStyle w:val="dotpoint"/>
        <w:numPr>
          <w:ilvl w:val="0"/>
          <w:numId w:val="0"/>
        </w:numPr>
        <w:ind w:left="2268"/>
      </w:pPr>
      <w:r w:rsidRPr="007F4F58">
        <w:rPr>
          <w:rStyle w:val="Referencingstyle"/>
          <w:bCs/>
          <w:iCs/>
          <w:szCs w:val="18"/>
        </w:rPr>
        <w:t xml:space="preserve">[Schedule </w:t>
      </w:r>
      <w:r w:rsidR="00CB4EB6">
        <w:rPr>
          <w:rStyle w:val="Referencingstyle"/>
          <w:bCs/>
          <w:iCs/>
          <w:szCs w:val="18"/>
        </w:rPr>
        <w:t>1</w:t>
      </w:r>
      <w:r w:rsidRPr="007F4F58">
        <w:rPr>
          <w:rStyle w:val="Referencingstyle"/>
          <w:bCs/>
          <w:iCs/>
          <w:szCs w:val="18"/>
        </w:rPr>
        <w:t xml:space="preserve">, item </w:t>
      </w:r>
      <w:r w:rsidR="00CB4EB6">
        <w:rPr>
          <w:rStyle w:val="Referencingstyle"/>
          <w:bCs/>
          <w:iCs/>
          <w:szCs w:val="18"/>
        </w:rPr>
        <w:t>12</w:t>
      </w:r>
      <w:r w:rsidRPr="007F4F58">
        <w:rPr>
          <w:rStyle w:val="Referencingstyle"/>
          <w:bCs/>
          <w:iCs/>
          <w:szCs w:val="18"/>
        </w:rPr>
        <w:t xml:space="preserve">, section </w:t>
      </w:r>
      <w:r>
        <w:rPr>
          <w:rStyle w:val="Referencingstyle"/>
          <w:bCs/>
          <w:iCs/>
          <w:szCs w:val="18"/>
        </w:rPr>
        <w:t>110JA(3)-(</w:t>
      </w:r>
      <w:r w:rsidR="00CB4EB6">
        <w:rPr>
          <w:rStyle w:val="Referencingstyle"/>
          <w:bCs/>
          <w:iCs/>
          <w:szCs w:val="18"/>
        </w:rPr>
        <w:t>4</w:t>
      </w:r>
      <w:r>
        <w:rPr>
          <w:rStyle w:val="Referencingstyle"/>
          <w:bCs/>
          <w:iCs/>
          <w:szCs w:val="18"/>
        </w:rPr>
        <w:t>)]</w:t>
      </w:r>
    </w:p>
    <w:p w14:paraId="3ED0EE26" w14:textId="64BA55B2" w:rsidR="00210A87" w:rsidRDefault="00210A87" w:rsidP="001A4EC9">
      <w:pPr>
        <w:pStyle w:val="base-text-paragraph"/>
      </w:pPr>
      <w:r>
        <w:t xml:space="preserve">In order to demonstrate that due diligence has been conducted in attempting to ascertain a current address for the member, the sender must have attempted to communicate with the recipient using all contact details for the recipient that are known to the sender. </w:t>
      </w:r>
      <w:r w:rsidRPr="007F4F58">
        <w:rPr>
          <w:rStyle w:val="Referencingstyle"/>
          <w:bCs/>
          <w:iCs/>
          <w:szCs w:val="18"/>
        </w:rPr>
        <w:t xml:space="preserve">[Schedule </w:t>
      </w:r>
      <w:r w:rsidR="00F27B2E">
        <w:rPr>
          <w:rStyle w:val="Referencingstyle"/>
          <w:bCs/>
          <w:iCs/>
          <w:szCs w:val="18"/>
        </w:rPr>
        <w:t>1</w:t>
      </w:r>
      <w:r w:rsidRPr="007F4F58">
        <w:rPr>
          <w:rStyle w:val="Referencingstyle"/>
          <w:bCs/>
          <w:iCs/>
          <w:szCs w:val="18"/>
        </w:rPr>
        <w:t xml:space="preserve">, item </w:t>
      </w:r>
      <w:r w:rsidR="00F27B2E">
        <w:rPr>
          <w:rStyle w:val="Referencingstyle"/>
          <w:bCs/>
          <w:iCs/>
          <w:szCs w:val="18"/>
        </w:rPr>
        <w:t>12</w:t>
      </w:r>
      <w:r w:rsidRPr="007F4F58">
        <w:rPr>
          <w:rStyle w:val="Referencingstyle"/>
          <w:bCs/>
          <w:iCs/>
          <w:szCs w:val="18"/>
        </w:rPr>
        <w:t xml:space="preserve">, section </w:t>
      </w:r>
      <w:r>
        <w:rPr>
          <w:rStyle w:val="Referencingstyle"/>
          <w:bCs/>
          <w:iCs/>
          <w:szCs w:val="18"/>
        </w:rPr>
        <w:t>110JA(4)]</w:t>
      </w:r>
    </w:p>
    <w:p w14:paraId="45D61342" w14:textId="6AAC77AB" w:rsidR="00B85886" w:rsidRPr="00B9439C" w:rsidRDefault="00B85886" w:rsidP="001A4EC9">
      <w:pPr>
        <w:pStyle w:val="base-text-paragraph"/>
        <w:rPr>
          <w:rStyle w:val="Referencingstyle"/>
          <w:b w:val="0"/>
          <w:i w:val="0"/>
          <w:sz w:val="22"/>
        </w:rPr>
      </w:pPr>
      <w:r>
        <w:t>To facilitate attempts</w:t>
      </w:r>
      <w:r w:rsidR="004B5514">
        <w:t xml:space="preserve"> by the sender to ascertain the current address of the member, a sender is exempted from the obligation to adhere to a member’s election if they reasonably believe that the address nominated by the member for the purposes of that election is not current. </w:t>
      </w:r>
      <w:r w:rsidR="004B5514" w:rsidRPr="007F4F58">
        <w:rPr>
          <w:rStyle w:val="Referencingstyle"/>
          <w:bCs/>
          <w:iCs/>
          <w:szCs w:val="18"/>
        </w:rPr>
        <w:t xml:space="preserve">[Schedule </w:t>
      </w:r>
      <w:r w:rsidR="00F27B2E">
        <w:rPr>
          <w:rStyle w:val="Referencingstyle"/>
          <w:bCs/>
          <w:iCs/>
          <w:szCs w:val="18"/>
        </w:rPr>
        <w:t>1</w:t>
      </w:r>
      <w:r w:rsidR="004B5514" w:rsidRPr="007F4F58">
        <w:rPr>
          <w:rStyle w:val="Referencingstyle"/>
          <w:bCs/>
          <w:iCs/>
          <w:szCs w:val="18"/>
        </w:rPr>
        <w:t xml:space="preserve">, item </w:t>
      </w:r>
      <w:r w:rsidR="00F27B2E">
        <w:rPr>
          <w:rStyle w:val="Referencingstyle"/>
          <w:bCs/>
          <w:iCs/>
          <w:szCs w:val="18"/>
        </w:rPr>
        <w:t>10</w:t>
      </w:r>
      <w:r w:rsidR="004B5514">
        <w:rPr>
          <w:rStyle w:val="Referencingstyle"/>
          <w:bCs/>
          <w:iCs/>
          <w:szCs w:val="18"/>
        </w:rPr>
        <w:t xml:space="preserve">, </w:t>
      </w:r>
      <w:r w:rsidR="004B5514" w:rsidRPr="007F4F58">
        <w:rPr>
          <w:rStyle w:val="Referencingstyle"/>
          <w:bCs/>
          <w:iCs/>
          <w:szCs w:val="18"/>
        </w:rPr>
        <w:t xml:space="preserve">section </w:t>
      </w:r>
      <w:r w:rsidR="004B5514">
        <w:rPr>
          <w:rStyle w:val="Referencingstyle"/>
          <w:bCs/>
          <w:iCs/>
          <w:szCs w:val="18"/>
        </w:rPr>
        <w:t>110F(4A)]</w:t>
      </w:r>
    </w:p>
    <w:p w14:paraId="75926FA0" w14:textId="6C876705" w:rsidR="001D4310" w:rsidRDefault="001D4310" w:rsidP="001D4310">
      <w:pPr>
        <w:pStyle w:val="base-text-paragraph"/>
      </w:pPr>
      <w:r>
        <w:t xml:space="preserve">Although a sender may attempt to contact a member in a manner inconsistent with their election to receive documents in a certain form under section 110F, the sender will bear </w:t>
      </w:r>
      <w:r w:rsidR="00F34D8E">
        <w:t xml:space="preserve">the </w:t>
      </w:r>
      <w:r>
        <w:t xml:space="preserve">evidential burden </w:t>
      </w:r>
      <w:r w:rsidR="00F34D8E">
        <w:t>of establishing that they reasonably believed that the address for the member was not current</w:t>
      </w:r>
      <w:r>
        <w:t>.</w:t>
      </w:r>
    </w:p>
    <w:p w14:paraId="7C5A6027" w14:textId="6698D7C7" w:rsidR="005F7517" w:rsidRDefault="005F7517" w:rsidP="001A4EC9">
      <w:pPr>
        <w:pStyle w:val="base-text-paragraph"/>
      </w:pPr>
      <w:r>
        <w:t xml:space="preserve">Reversing the evidential onus in these circumstances is </w:t>
      </w:r>
      <w:r w:rsidR="0046369E">
        <w:t xml:space="preserve">proportional, necessary, reasonable and in pursuit of a legitimate objective. </w:t>
      </w:r>
      <w:r w:rsidR="00F34D8E">
        <w:t>The sender will have peculiar knowledge of whether they</w:t>
      </w:r>
      <w:r>
        <w:t xml:space="preserve"> reasonably believed </w:t>
      </w:r>
      <w:r w:rsidR="00F34D8E">
        <w:t xml:space="preserve">the address to no longer </w:t>
      </w:r>
      <w:r>
        <w:t>be current</w:t>
      </w:r>
      <w:r w:rsidR="00F34D8E">
        <w:t xml:space="preserve">. For example, </w:t>
      </w:r>
      <w:r w:rsidR="0046369E">
        <w:t>p</w:t>
      </w:r>
      <w:r w:rsidR="001D4310">
        <w:t>roof</w:t>
      </w:r>
      <w:r>
        <w:t xml:space="preserve"> that an attempt was made to contact the member at their nominated address </w:t>
      </w:r>
      <w:r w:rsidR="001D4310">
        <w:t>would be readily available to the sender</w:t>
      </w:r>
      <w:r w:rsidR="00DD5664">
        <w:t>.</w:t>
      </w:r>
      <w:r w:rsidR="0046369E">
        <w:t xml:space="preserve"> By reversing the onus of proof in these circumstances, the Bill clarifies that the relief provided for is only available in exceptional circumstances, and that a member</w:t>
      </w:r>
      <w:r w:rsidR="0035796B">
        <w:t>’s</w:t>
      </w:r>
      <w:r w:rsidR="0046369E">
        <w:t xml:space="preserve"> election must be complied with unless there is a reasonable belief that</w:t>
      </w:r>
      <w:r w:rsidR="00F34D8E">
        <w:t xml:space="preserve"> the</w:t>
      </w:r>
      <w:r w:rsidR="0046369E">
        <w:t xml:space="preserve"> address is not current.</w:t>
      </w:r>
    </w:p>
    <w:p w14:paraId="0A2BF149" w14:textId="77777777" w:rsidR="00FC56AB" w:rsidRDefault="007652A3" w:rsidP="001D2259">
      <w:pPr>
        <w:pStyle w:val="Heading2"/>
      </w:pPr>
      <w:r>
        <w:t>Consequential amendments</w:t>
      </w:r>
    </w:p>
    <w:p w14:paraId="789B2ECD" w14:textId="62288872" w:rsidR="007D4B5E" w:rsidRDefault="00FC56AB" w:rsidP="00D54531">
      <w:pPr>
        <w:pStyle w:val="base-text-paragraph"/>
        <w:numPr>
          <w:ilvl w:val="1"/>
          <w:numId w:val="23"/>
        </w:numPr>
      </w:pPr>
      <w:r>
        <w:t>Consequential amendments have also been made to:</w:t>
      </w:r>
    </w:p>
    <w:p w14:paraId="3BE442E6" w14:textId="145A6D4D" w:rsidR="00795F7C" w:rsidRDefault="00795F7C" w:rsidP="001D2259">
      <w:pPr>
        <w:pStyle w:val="Bullet"/>
        <w:spacing w:before="0" w:after="0"/>
        <w:ind w:left="2552" w:hanging="522"/>
      </w:pPr>
      <w:r>
        <w:t xml:space="preserve">update the heading to Division 2 of Part 1.2AA to reflect the Parts expanded scope; </w:t>
      </w:r>
      <w:r>
        <w:rPr>
          <w:rStyle w:val="Referencingstyle"/>
        </w:rPr>
        <w:t>[Schedule 1, i</w:t>
      </w:r>
      <w:r w:rsidRPr="00375F1D">
        <w:rPr>
          <w:rStyle w:val="Referencingstyle"/>
        </w:rPr>
        <w:t>te</w:t>
      </w:r>
      <w:r>
        <w:rPr>
          <w:rStyle w:val="Referencingstyle"/>
        </w:rPr>
        <w:t>m</w:t>
      </w:r>
      <w:r w:rsidRPr="00375F1D">
        <w:rPr>
          <w:rStyle w:val="Referencingstyle"/>
        </w:rPr>
        <w:t xml:space="preserve"> </w:t>
      </w:r>
      <w:r>
        <w:rPr>
          <w:rStyle w:val="Referencingstyle"/>
        </w:rPr>
        <w:t>3</w:t>
      </w:r>
      <w:r w:rsidRPr="00375F1D">
        <w:rPr>
          <w:rStyle w:val="Referencingstyle"/>
        </w:rPr>
        <w:t xml:space="preserve">, </w:t>
      </w:r>
      <w:r>
        <w:rPr>
          <w:rStyle w:val="Referencingstyle"/>
        </w:rPr>
        <w:t xml:space="preserve">heading to </w:t>
      </w:r>
      <w:r w:rsidRPr="00375F1D">
        <w:rPr>
          <w:rStyle w:val="Referencingstyle"/>
        </w:rPr>
        <w:t xml:space="preserve">section </w:t>
      </w:r>
      <w:r>
        <w:rPr>
          <w:rStyle w:val="Referencingstyle"/>
        </w:rPr>
        <w:t>Division 2 of Part 1.2AA]</w:t>
      </w:r>
    </w:p>
    <w:p w14:paraId="12CD8BD2" w14:textId="203B659B" w:rsidR="00FC56AB" w:rsidRPr="001D2259" w:rsidRDefault="003A79E8" w:rsidP="001D2259">
      <w:pPr>
        <w:pStyle w:val="Bullet"/>
        <w:spacing w:before="0" w:after="0"/>
        <w:ind w:left="2552" w:hanging="522"/>
        <w:rPr>
          <w:rStyle w:val="Referencingstyle"/>
          <w:b w:val="0"/>
          <w:i w:val="0"/>
          <w:sz w:val="22"/>
        </w:rPr>
      </w:pPr>
      <w:r>
        <w:lastRenderedPageBreak/>
        <w:t>u</w:t>
      </w:r>
      <w:r w:rsidR="00FC56AB">
        <w:t>pdate the heading to section 110E</w:t>
      </w:r>
      <w:r w:rsidR="0035796B">
        <w:t xml:space="preserve"> to recognise that persons other than members may make elections</w:t>
      </w:r>
      <w:r w:rsidR="00FC56AB">
        <w:t xml:space="preserve">; </w:t>
      </w:r>
      <w:r w:rsidR="00FC56AB">
        <w:rPr>
          <w:rStyle w:val="Referencingstyle"/>
        </w:rPr>
        <w:t xml:space="preserve">[Schedule </w:t>
      </w:r>
      <w:r w:rsidR="00795F7C">
        <w:rPr>
          <w:rStyle w:val="Referencingstyle"/>
        </w:rPr>
        <w:t>1</w:t>
      </w:r>
      <w:r w:rsidR="00FC56AB">
        <w:rPr>
          <w:rStyle w:val="Referencingstyle"/>
        </w:rPr>
        <w:t>, i</w:t>
      </w:r>
      <w:r w:rsidR="00FC56AB" w:rsidRPr="00375F1D">
        <w:rPr>
          <w:rStyle w:val="Referencingstyle"/>
        </w:rPr>
        <w:t>te</w:t>
      </w:r>
      <w:r w:rsidR="00FC56AB">
        <w:rPr>
          <w:rStyle w:val="Referencingstyle"/>
        </w:rPr>
        <w:t>m</w:t>
      </w:r>
      <w:r w:rsidR="00FC56AB" w:rsidRPr="00375F1D">
        <w:rPr>
          <w:rStyle w:val="Referencingstyle"/>
        </w:rPr>
        <w:t xml:space="preserve"> </w:t>
      </w:r>
      <w:r w:rsidR="00795F7C">
        <w:rPr>
          <w:rStyle w:val="Referencingstyle"/>
        </w:rPr>
        <w:t>6</w:t>
      </w:r>
      <w:r w:rsidR="00FC56AB" w:rsidRPr="00375F1D">
        <w:rPr>
          <w:rStyle w:val="Referencingstyle"/>
        </w:rPr>
        <w:t xml:space="preserve">, </w:t>
      </w:r>
      <w:r w:rsidR="00FC56AB">
        <w:rPr>
          <w:rStyle w:val="Referencingstyle"/>
        </w:rPr>
        <w:t xml:space="preserve">heading to </w:t>
      </w:r>
      <w:r w:rsidR="00FC56AB" w:rsidRPr="00375F1D">
        <w:rPr>
          <w:rStyle w:val="Referencingstyle"/>
        </w:rPr>
        <w:t xml:space="preserve">section </w:t>
      </w:r>
      <w:r w:rsidR="00FC56AB">
        <w:rPr>
          <w:rStyle w:val="Referencingstyle"/>
        </w:rPr>
        <w:t>110E]</w:t>
      </w:r>
    </w:p>
    <w:p w14:paraId="2F5D9629" w14:textId="102B9AED" w:rsidR="003A79E8" w:rsidRPr="001D2259" w:rsidRDefault="00DF50D8" w:rsidP="003A79E8">
      <w:pPr>
        <w:pStyle w:val="Bullet"/>
        <w:spacing w:before="0" w:after="0"/>
        <w:ind w:left="2552"/>
        <w:rPr>
          <w:rStyle w:val="Referencingstyle"/>
          <w:b w:val="0"/>
          <w:i w:val="0"/>
          <w:sz w:val="22"/>
        </w:rPr>
      </w:pPr>
      <w:r>
        <w:t xml:space="preserve">allow members of companies, registered schemes and disclosing entities to elect not to receive an annual report; </w:t>
      </w:r>
      <w:r>
        <w:rPr>
          <w:rStyle w:val="Referencingstyle"/>
        </w:rPr>
        <w:t xml:space="preserve">[Schedule </w:t>
      </w:r>
      <w:r w:rsidR="00795F7C">
        <w:rPr>
          <w:rStyle w:val="Referencingstyle"/>
        </w:rPr>
        <w:t>1</w:t>
      </w:r>
      <w:r>
        <w:rPr>
          <w:rStyle w:val="Referencingstyle"/>
        </w:rPr>
        <w:t>, i</w:t>
      </w:r>
      <w:r w:rsidRPr="00375F1D">
        <w:rPr>
          <w:rStyle w:val="Referencingstyle"/>
        </w:rPr>
        <w:t>te</w:t>
      </w:r>
      <w:r>
        <w:rPr>
          <w:rStyle w:val="Referencingstyle"/>
        </w:rPr>
        <w:t>m</w:t>
      </w:r>
      <w:r w:rsidRPr="00375F1D">
        <w:rPr>
          <w:rStyle w:val="Referencingstyle"/>
        </w:rPr>
        <w:t xml:space="preserve"> </w:t>
      </w:r>
      <w:r w:rsidR="00795F7C">
        <w:rPr>
          <w:rStyle w:val="Referencingstyle"/>
        </w:rPr>
        <w:t>5</w:t>
      </w:r>
      <w:r w:rsidRPr="00375F1D">
        <w:rPr>
          <w:rStyle w:val="Referencingstyle"/>
        </w:rPr>
        <w:t>, section</w:t>
      </w:r>
      <w:r>
        <w:rPr>
          <w:rStyle w:val="Referencingstyle"/>
        </w:rPr>
        <w:t>s 110D(3)(a)]</w:t>
      </w:r>
    </w:p>
    <w:p w14:paraId="59AB360B" w14:textId="4B498942" w:rsidR="00DF50D8" w:rsidRPr="001D2259" w:rsidRDefault="007652A3" w:rsidP="003A79E8">
      <w:pPr>
        <w:pStyle w:val="Bullet"/>
        <w:spacing w:before="0" w:after="0"/>
        <w:ind w:left="2552"/>
        <w:rPr>
          <w:rStyle w:val="Referencingstyle"/>
          <w:b w:val="0"/>
          <w:i w:val="0"/>
          <w:sz w:val="22"/>
        </w:rPr>
      </w:pPr>
      <w:r>
        <w:t>p</w:t>
      </w:r>
      <w:r w:rsidR="00DF50D8">
        <w:t xml:space="preserve">reserve rules for foreign passport funds in relation to the provision of annual reports in English </w:t>
      </w:r>
      <w:r>
        <w:t xml:space="preserve">or the </w:t>
      </w:r>
      <w:r w:rsidR="00591813">
        <w:t xml:space="preserve">official language of the </w:t>
      </w:r>
      <w:r>
        <w:t>home economy of the fund</w:t>
      </w:r>
      <w:r w:rsidR="003F2650">
        <w:t xml:space="preserve"> and the right to make an election not to receive an annual report</w:t>
      </w:r>
      <w:r>
        <w:t xml:space="preserve">; </w:t>
      </w:r>
      <w:r>
        <w:rPr>
          <w:rStyle w:val="Referencingstyle"/>
        </w:rPr>
        <w:t xml:space="preserve">[Schedule </w:t>
      </w:r>
      <w:r w:rsidR="00795F7C">
        <w:rPr>
          <w:rStyle w:val="Referencingstyle"/>
        </w:rPr>
        <w:t>1</w:t>
      </w:r>
      <w:r>
        <w:rPr>
          <w:rStyle w:val="Referencingstyle"/>
        </w:rPr>
        <w:t>, i</w:t>
      </w:r>
      <w:r w:rsidRPr="00375F1D">
        <w:rPr>
          <w:rStyle w:val="Referencingstyle"/>
        </w:rPr>
        <w:t>te</w:t>
      </w:r>
      <w:r>
        <w:rPr>
          <w:rStyle w:val="Referencingstyle"/>
        </w:rPr>
        <w:t>ms</w:t>
      </w:r>
      <w:r w:rsidRPr="00375F1D">
        <w:rPr>
          <w:rStyle w:val="Referencingstyle"/>
        </w:rPr>
        <w:t xml:space="preserve"> </w:t>
      </w:r>
      <w:r w:rsidR="003F2650">
        <w:rPr>
          <w:rStyle w:val="Referencingstyle"/>
        </w:rPr>
        <w:t>9 and 22</w:t>
      </w:r>
      <w:r w:rsidRPr="00375F1D">
        <w:rPr>
          <w:rStyle w:val="Referencingstyle"/>
        </w:rPr>
        <w:t>, section</w:t>
      </w:r>
      <w:r w:rsidR="003F2650">
        <w:rPr>
          <w:rStyle w:val="Referencingstyle"/>
        </w:rPr>
        <w:t>s 110E and</w:t>
      </w:r>
      <w:r>
        <w:rPr>
          <w:rStyle w:val="Referencingstyle"/>
        </w:rPr>
        <w:t xml:space="preserve"> 314A</w:t>
      </w:r>
      <w:r w:rsidR="003F2650">
        <w:rPr>
          <w:rStyle w:val="Referencingstyle"/>
        </w:rPr>
        <w:t>(3)-(4)</w:t>
      </w:r>
      <w:r>
        <w:rPr>
          <w:rStyle w:val="Referencingstyle"/>
        </w:rPr>
        <w:t>]</w:t>
      </w:r>
    </w:p>
    <w:p w14:paraId="334F2E1C" w14:textId="287254A5" w:rsidR="00C81372" w:rsidRPr="001D2259" w:rsidRDefault="00C81372" w:rsidP="003A79E8">
      <w:pPr>
        <w:pStyle w:val="Bullet"/>
        <w:spacing w:before="0" w:after="0"/>
        <w:ind w:left="2552"/>
        <w:rPr>
          <w:rStyle w:val="Referencingstyle"/>
          <w:b w:val="0"/>
          <w:i w:val="0"/>
          <w:sz w:val="22"/>
        </w:rPr>
      </w:pPr>
      <w:r w:rsidRPr="00154AE8">
        <w:rPr>
          <w:rStyle w:val="Referencingstyle"/>
          <w:b w:val="0"/>
          <w:i w:val="0"/>
          <w:sz w:val="22"/>
          <w:szCs w:val="22"/>
        </w:rPr>
        <w:t>ensure that the rules for sending annual reports operate consistently with the new technology neutral rules for sending documents;</w:t>
      </w:r>
      <w:r>
        <w:rPr>
          <w:rStyle w:val="Referencingstyle"/>
          <w:b w:val="0"/>
          <w:bCs/>
          <w:i w:val="0"/>
          <w:iCs/>
          <w:sz w:val="20"/>
        </w:rPr>
        <w:t xml:space="preserve"> </w:t>
      </w:r>
      <w:r>
        <w:rPr>
          <w:rStyle w:val="Referencingstyle"/>
        </w:rPr>
        <w:t xml:space="preserve">[Schedule </w:t>
      </w:r>
      <w:r w:rsidR="00723947">
        <w:rPr>
          <w:rStyle w:val="Referencingstyle"/>
        </w:rPr>
        <w:t>1</w:t>
      </w:r>
      <w:r>
        <w:rPr>
          <w:rStyle w:val="Referencingstyle"/>
        </w:rPr>
        <w:t xml:space="preserve"> i</w:t>
      </w:r>
      <w:r w:rsidRPr="00375F1D">
        <w:rPr>
          <w:rStyle w:val="Referencingstyle"/>
        </w:rPr>
        <w:t>te</w:t>
      </w:r>
      <w:r>
        <w:rPr>
          <w:rStyle w:val="Referencingstyle"/>
        </w:rPr>
        <w:t>ms</w:t>
      </w:r>
      <w:r w:rsidRPr="00375F1D">
        <w:rPr>
          <w:rStyle w:val="Referencingstyle"/>
        </w:rPr>
        <w:t xml:space="preserve"> </w:t>
      </w:r>
      <w:r w:rsidR="005844C6">
        <w:rPr>
          <w:rStyle w:val="Referencingstyle"/>
        </w:rPr>
        <w:t>17-</w:t>
      </w:r>
      <w:r w:rsidR="00DF3E76">
        <w:rPr>
          <w:rStyle w:val="Referencingstyle"/>
        </w:rPr>
        <w:t xml:space="preserve">21, </w:t>
      </w:r>
      <w:r w:rsidR="006513C7">
        <w:rPr>
          <w:rStyle w:val="Referencingstyle"/>
        </w:rPr>
        <w:t>25-28</w:t>
      </w:r>
      <w:r w:rsidRPr="00375F1D">
        <w:rPr>
          <w:rStyle w:val="Referencingstyle"/>
        </w:rPr>
        <w:t>, section</w:t>
      </w:r>
      <w:r w:rsidR="005844C6">
        <w:rPr>
          <w:rStyle w:val="Referencingstyle"/>
        </w:rPr>
        <w:t>s 254P(2), 283EA(3)(b) and (c), 283EA(4),</w:t>
      </w:r>
      <w:r>
        <w:rPr>
          <w:rStyle w:val="Referencingstyle"/>
        </w:rPr>
        <w:t xml:space="preserve"> </w:t>
      </w:r>
      <w:r w:rsidR="00DF3E76">
        <w:rPr>
          <w:rStyle w:val="Referencingstyle"/>
        </w:rPr>
        <w:t>314A,</w:t>
      </w:r>
      <w:r>
        <w:rPr>
          <w:rStyle w:val="Referencingstyle"/>
        </w:rPr>
        <w:t xml:space="preserve"> 315, 316A and 316AA]</w:t>
      </w:r>
    </w:p>
    <w:p w14:paraId="5FE12666" w14:textId="1BFC333E" w:rsidR="007652A3" w:rsidRPr="00F857DC" w:rsidRDefault="007652A3" w:rsidP="003A79E8">
      <w:pPr>
        <w:pStyle w:val="Bullet"/>
        <w:spacing w:before="0" w:after="0"/>
        <w:ind w:left="2552"/>
        <w:rPr>
          <w:rStyle w:val="Referencingstyle"/>
          <w:b w:val="0"/>
          <w:i w:val="0"/>
          <w:sz w:val="22"/>
        </w:rPr>
      </w:pPr>
      <w:r>
        <w:rPr>
          <w:rStyle w:val="Referencingstyle"/>
          <w:b w:val="0"/>
          <w:bCs/>
          <w:i w:val="0"/>
          <w:iCs/>
          <w:sz w:val="22"/>
          <w:szCs w:val="22"/>
        </w:rPr>
        <w:t>enable members of companies limited by guarantee</w:t>
      </w:r>
      <w:r w:rsidR="003B0FCD">
        <w:rPr>
          <w:rStyle w:val="Referencingstyle"/>
          <w:b w:val="0"/>
          <w:bCs/>
          <w:i w:val="0"/>
          <w:iCs/>
          <w:sz w:val="22"/>
          <w:szCs w:val="22"/>
        </w:rPr>
        <w:t xml:space="preserve"> and notified foreign passport funds</w:t>
      </w:r>
      <w:r>
        <w:rPr>
          <w:rStyle w:val="Referencingstyle"/>
          <w:b w:val="0"/>
          <w:bCs/>
          <w:i w:val="0"/>
          <w:iCs/>
          <w:sz w:val="22"/>
          <w:szCs w:val="22"/>
        </w:rPr>
        <w:t xml:space="preserve"> to make elections to receive an annual report in a particular form</w:t>
      </w:r>
      <w:r w:rsidR="007D7AFD">
        <w:rPr>
          <w:rStyle w:val="Referencingstyle"/>
          <w:b w:val="0"/>
          <w:bCs/>
          <w:i w:val="0"/>
          <w:iCs/>
          <w:sz w:val="22"/>
          <w:szCs w:val="22"/>
        </w:rPr>
        <w:t xml:space="preserve">; </w:t>
      </w:r>
      <w:r>
        <w:rPr>
          <w:rStyle w:val="Referencingstyle"/>
        </w:rPr>
        <w:t xml:space="preserve">[Schedule </w:t>
      </w:r>
      <w:r w:rsidR="00795F7C">
        <w:rPr>
          <w:rStyle w:val="Referencingstyle"/>
        </w:rPr>
        <w:t>1</w:t>
      </w:r>
      <w:r>
        <w:rPr>
          <w:rStyle w:val="Referencingstyle"/>
        </w:rPr>
        <w:t>, i</w:t>
      </w:r>
      <w:r w:rsidRPr="00375F1D">
        <w:rPr>
          <w:rStyle w:val="Referencingstyle"/>
        </w:rPr>
        <w:t>te</w:t>
      </w:r>
      <w:r>
        <w:rPr>
          <w:rStyle w:val="Referencingstyle"/>
        </w:rPr>
        <w:t>ms</w:t>
      </w:r>
      <w:r w:rsidRPr="00375F1D">
        <w:rPr>
          <w:rStyle w:val="Referencingstyle"/>
        </w:rPr>
        <w:t xml:space="preserve"> </w:t>
      </w:r>
      <w:r w:rsidR="00723947">
        <w:rPr>
          <w:rStyle w:val="Referencingstyle"/>
        </w:rPr>
        <w:t>2</w:t>
      </w:r>
      <w:r w:rsidR="00A82ADB">
        <w:rPr>
          <w:rStyle w:val="Referencingstyle"/>
        </w:rPr>
        <w:t>6</w:t>
      </w:r>
      <w:r>
        <w:rPr>
          <w:rStyle w:val="Referencingstyle"/>
        </w:rPr>
        <w:t>-</w:t>
      </w:r>
      <w:r w:rsidR="00723947">
        <w:rPr>
          <w:rStyle w:val="Referencingstyle"/>
        </w:rPr>
        <w:t>2</w:t>
      </w:r>
      <w:r w:rsidR="00A82ADB">
        <w:rPr>
          <w:rStyle w:val="Referencingstyle"/>
        </w:rPr>
        <w:t>8</w:t>
      </w:r>
      <w:r w:rsidRPr="00375F1D">
        <w:rPr>
          <w:rStyle w:val="Referencingstyle"/>
        </w:rPr>
        <w:t>, section</w:t>
      </w:r>
      <w:r>
        <w:rPr>
          <w:rStyle w:val="Referencingstyle"/>
        </w:rPr>
        <w:t>s 316A and 316AA]</w:t>
      </w:r>
    </w:p>
    <w:p w14:paraId="17CE4406" w14:textId="0376ACA0" w:rsidR="005844C6" w:rsidRPr="001D2259" w:rsidRDefault="003B4B82" w:rsidP="003A79E8">
      <w:pPr>
        <w:pStyle w:val="Bullet"/>
        <w:spacing w:before="0" w:after="0"/>
        <w:ind w:left="2552"/>
        <w:rPr>
          <w:rStyle w:val="Referencingstyle"/>
          <w:b w:val="0"/>
          <w:i w:val="0"/>
          <w:sz w:val="22"/>
        </w:rPr>
      </w:pPr>
      <w:r>
        <w:rPr>
          <w:rStyle w:val="Referencingstyle"/>
          <w:b w:val="0"/>
          <w:i w:val="0"/>
          <w:sz w:val="22"/>
        </w:rPr>
        <w:t>ensure</w:t>
      </w:r>
      <w:r w:rsidR="005844C6">
        <w:rPr>
          <w:rStyle w:val="Referencingstyle"/>
          <w:b w:val="0"/>
          <w:i w:val="0"/>
          <w:sz w:val="22"/>
        </w:rPr>
        <w:t xml:space="preserve"> that directors meetings can be held using any technology so long as it is reasonable</w:t>
      </w:r>
      <w:r w:rsidR="0035796B">
        <w:rPr>
          <w:rStyle w:val="Referencingstyle"/>
          <w:b w:val="0"/>
          <w:i w:val="0"/>
          <w:sz w:val="22"/>
        </w:rPr>
        <w:t>; and</w:t>
      </w:r>
      <w:r w:rsidR="005844C6">
        <w:rPr>
          <w:rStyle w:val="Referencingstyle"/>
          <w:b w:val="0"/>
          <w:i w:val="0"/>
          <w:sz w:val="22"/>
        </w:rPr>
        <w:t xml:space="preserve"> </w:t>
      </w:r>
      <w:r w:rsidR="005844C6">
        <w:rPr>
          <w:rStyle w:val="Referencingstyle"/>
        </w:rPr>
        <w:t>[Schedule 1, i</w:t>
      </w:r>
      <w:r w:rsidR="005844C6" w:rsidRPr="00375F1D">
        <w:rPr>
          <w:rStyle w:val="Referencingstyle"/>
        </w:rPr>
        <w:t>te</w:t>
      </w:r>
      <w:r w:rsidR="005844C6">
        <w:rPr>
          <w:rStyle w:val="Referencingstyle"/>
        </w:rPr>
        <w:t>m</w:t>
      </w:r>
      <w:r w:rsidR="005844C6" w:rsidRPr="00375F1D">
        <w:rPr>
          <w:rStyle w:val="Referencingstyle"/>
        </w:rPr>
        <w:t xml:space="preserve"> </w:t>
      </w:r>
      <w:r w:rsidR="005844C6">
        <w:rPr>
          <w:rStyle w:val="Referencingstyle"/>
        </w:rPr>
        <w:t>16</w:t>
      </w:r>
      <w:r w:rsidR="005844C6" w:rsidRPr="00375F1D">
        <w:rPr>
          <w:rStyle w:val="Referencingstyle"/>
        </w:rPr>
        <w:t>, section</w:t>
      </w:r>
      <w:r w:rsidR="005844C6">
        <w:rPr>
          <w:rStyle w:val="Referencingstyle"/>
        </w:rPr>
        <w:t xml:space="preserve"> 248D]</w:t>
      </w:r>
    </w:p>
    <w:p w14:paraId="52D44560" w14:textId="3E79541E" w:rsidR="001A4EC9" w:rsidRDefault="007D7AFD" w:rsidP="0035796B">
      <w:pPr>
        <w:pStyle w:val="Bullet"/>
        <w:numPr>
          <w:ilvl w:val="0"/>
          <w:numId w:val="0"/>
        </w:numPr>
        <w:spacing w:before="0" w:after="0"/>
        <w:ind w:left="2552"/>
      </w:pPr>
      <w:r w:rsidRPr="0035796B">
        <w:rPr>
          <w:rStyle w:val="Referencingstyle"/>
          <w:b w:val="0"/>
          <w:bCs/>
          <w:i w:val="0"/>
          <w:iCs/>
          <w:sz w:val="22"/>
          <w:szCs w:val="22"/>
        </w:rPr>
        <w:t>apply the technology neutral sending rules to all insolvency documents</w:t>
      </w:r>
      <w:r w:rsidR="000673EE" w:rsidRPr="0035796B">
        <w:rPr>
          <w:rStyle w:val="Referencingstyle"/>
          <w:b w:val="0"/>
          <w:bCs/>
          <w:i w:val="0"/>
          <w:iCs/>
          <w:sz w:val="22"/>
          <w:szCs w:val="22"/>
        </w:rPr>
        <w:t>.</w:t>
      </w:r>
      <w:r w:rsidRPr="0035796B">
        <w:rPr>
          <w:rStyle w:val="Referencingstyle"/>
          <w:b w:val="0"/>
          <w:bCs/>
          <w:i w:val="0"/>
          <w:iCs/>
          <w:sz w:val="22"/>
          <w:szCs w:val="22"/>
        </w:rPr>
        <w:t xml:space="preserve"> </w:t>
      </w:r>
      <w:r>
        <w:rPr>
          <w:rStyle w:val="Referencingstyle"/>
        </w:rPr>
        <w:t xml:space="preserve">[Schedule </w:t>
      </w:r>
      <w:r w:rsidR="00723947">
        <w:rPr>
          <w:rStyle w:val="Referencingstyle"/>
        </w:rPr>
        <w:t>1</w:t>
      </w:r>
      <w:r>
        <w:rPr>
          <w:rStyle w:val="Referencingstyle"/>
        </w:rPr>
        <w:t>, i</w:t>
      </w:r>
      <w:r w:rsidRPr="00375F1D">
        <w:rPr>
          <w:rStyle w:val="Referencingstyle"/>
        </w:rPr>
        <w:t>tem</w:t>
      </w:r>
      <w:r w:rsidR="00C81372">
        <w:rPr>
          <w:rStyle w:val="Referencingstyle"/>
        </w:rPr>
        <w:t xml:space="preserve">s </w:t>
      </w:r>
      <w:r w:rsidR="00723947">
        <w:rPr>
          <w:rStyle w:val="Referencingstyle"/>
        </w:rPr>
        <w:t>29</w:t>
      </w:r>
      <w:r w:rsidR="00C81372">
        <w:rPr>
          <w:rStyle w:val="Referencingstyle"/>
        </w:rPr>
        <w:t>-</w:t>
      </w:r>
      <w:r w:rsidR="00723947">
        <w:rPr>
          <w:rStyle w:val="Referencingstyle"/>
        </w:rPr>
        <w:t>32</w:t>
      </w:r>
      <w:r w:rsidRPr="00375F1D">
        <w:rPr>
          <w:rStyle w:val="Referencingstyle"/>
        </w:rPr>
        <w:t>, section</w:t>
      </w:r>
      <w:r w:rsidR="00C81372">
        <w:rPr>
          <w:rStyle w:val="Referencingstyle"/>
        </w:rPr>
        <w:t>s 414 and</w:t>
      </w:r>
      <w:r w:rsidRPr="00375F1D">
        <w:rPr>
          <w:rStyle w:val="Referencingstyle"/>
        </w:rPr>
        <w:t xml:space="preserve"> </w:t>
      </w:r>
      <w:r>
        <w:rPr>
          <w:rStyle w:val="Referencingstyle"/>
        </w:rPr>
        <w:t>600G]</w:t>
      </w:r>
    </w:p>
    <w:p w14:paraId="5556B7B5" w14:textId="4D43C2C5" w:rsidR="005E2763" w:rsidRDefault="00F34D8E" w:rsidP="005E2763">
      <w:pPr>
        <w:pStyle w:val="Heading2"/>
      </w:pPr>
      <w:r>
        <w:t>A</w:t>
      </w:r>
      <w:r w:rsidR="005E2763">
        <w:t>pplication and transitional provisions</w:t>
      </w:r>
    </w:p>
    <w:p w14:paraId="33497A36" w14:textId="2C925A95" w:rsidR="005E2763" w:rsidRDefault="008413A3" w:rsidP="00D54531">
      <w:pPr>
        <w:pStyle w:val="base-text-paragraph"/>
        <w:numPr>
          <w:ilvl w:val="1"/>
          <w:numId w:val="24"/>
        </w:numPr>
      </w:pPr>
      <w:r>
        <w:t xml:space="preserve">The extension of the global communications and signatures regimes </w:t>
      </w:r>
      <w:r w:rsidR="00F705B9">
        <w:t xml:space="preserve">and </w:t>
      </w:r>
      <w:r>
        <w:t xml:space="preserve">the lost member rules </w:t>
      </w:r>
      <w:r w:rsidR="00F705B9">
        <w:t xml:space="preserve">commence on the later of the day after the Act receives Royal Assent and the commencement of the Corporations (Meetings and Documents) Bill 2021 (which inserts the new global regimes). </w:t>
      </w:r>
    </w:p>
    <w:p w14:paraId="683EF6CD" w14:textId="45BF427F" w:rsidR="006240D1" w:rsidRDefault="006240D1" w:rsidP="00D54531">
      <w:pPr>
        <w:pStyle w:val="base-text-paragraph"/>
        <w:numPr>
          <w:ilvl w:val="1"/>
          <w:numId w:val="24"/>
        </w:numPr>
      </w:pPr>
      <w:bookmarkStart w:id="38" w:name="_Hlk87543168"/>
      <w:r>
        <w:t>The rules for signing documents apply to documents signed on or after the commencement day. Similarly the rules for sending documents apply to documents which are sent on or after the commencement day and the rules relating to directors meetings apply to meetings which are called on or after the commencement day.</w:t>
      </w:r>
      <w:r w:rsidRPr="006240D1">
        <w:rPr>
          <w:rStyle w:val="Referencingstyle"/>
        </w:rPr>
        <w:t xml:space="preserve"> </w:t>
      </w:r>
      <w:bookmarkStart w:id="39" w:name="_Hlk87543469"/>
      <w:r>
        <w:rPr>
          <w:rStyle w:val="Referencingstyle"/>
        </w:rPr>
        <w:t>[Schedule 1, item 52</w:t>
      </w:r>
      <w:r w:rsidRPr="00375F1D">
        <w:rPr>
          <w:rStyle w:val="Referencingstyle"/>
        </w:rPr>
        <w:t>, section</w:t>
      </w:r>
      <w:r>
        <w:rPr>
          <w:rStyle w:val="Referencingstyle"/>
        </w:rPr>
        <w:t>s 1693-1693B and 1693D]</w:t>
      </w:r>
      <w:bookmarkEnd w:id="39"/>
    </w:p>
    <w:bookmarkEnd w:id="38"/>
    <w:p w14:paraId="46953AF4" w14:textId="77777777" w:rsidR="00F705B9" w:rsidRDefault="00F705B9" w:rsidP="00D54531">
      <w:pPr>
        <w:pStyle w:val="base-text-paragraph"/>
        <w:numPr>
          <w:ilvl w:val="1"/>
          <w:numId w:val="24"/>
        </w:numPr>
      </w:pPr>
      <w:r>
        <w:t>The lost member rules apply only to document that:</w:t>
      </w:r>
    </w:p>
    <w:p w14:paraId="12C19B70" w14:textId="77777777" w:rsidR="00F705B9" w:rsidRDefault="00F705B9" w:rsidP="00F705B9">
      <w:pPr>
        <w:pStyle w:val="dotpoint"/>
      </w:pPr>
      <w:r>
        <w:t>are required to be sent after commencement (even if they are sent before commencement); and</w:t>
      </w:r>
    </w:p>
    <w:p w14:paraId="10904061" w14:textId="7703E9D0" w:rsidR="00F705B9" w:rsidRDefault="00F705B9" w:rsidP="003E66B1">
      <w:pPr>
        <w:pStyle w:val="dotpoint"/>
      </w:pPr>
      <w:r>
        <w:t>where the sender receives a notice that the person’s address is not a current address after commencement.</w:t>
      </w:r>
    </w:p>
    <w:p w14:paraId="6C2DD795" w14:textId="26E112FF" w:rsidR="00FC05EC" w:rsidRDefault="00FC05EC" w:rsidP="00644108">
      <w:pPr>
        <w:pStyle w:val="dotpoint"/>
        <w:numPr>
          <w:ilvl w:val="0"/>
          <w:numId w:val="0"/>
        </w:numPr>
        <w:ind w:left="2268"/>
      </w:pPr>
      <w:r>
        <w:rPr>
          <w:rStyle w:val="Referencingstyle"/>
        </w:rPr>
        <w:lastRenderedPageBreak/>
        <w:t xml:space="preserve">[Schedule </w:t>
      </w:r>
      <w:r w:rsidR="006240D1">
        <w:rPr>
          <w:rStyle w:val="Referencingstyle"/>
        </w:rPr>
        <w:t>1</w:t>
      </w:r>
      <w:r>
        <w:rPr>
          <w:rStyle w:val="Referencingstyle"/>
        </w:rPr>
        <w:t>, i</w:t>
      </w:r>
      <w:r w:rsidRPr="00375F1D">
        <w:rPr>
          <w:rStyle w:val="Referencingstyle"/>
        </w:rPr>
        <w:t>te</w:t>
      </w:r>
      <w:r>
        <w:rPr>
          <w:rStyle w:val="Referencingstyle"/>
        </w:rPr>
        <w:t xml:space="preserve">m </w:t>
      </w:r>
      <w:r w:rsidR="006240D1">
        <w:rPr>
          <w:rStyle w:val="Referencingstyle"/>
        </w:rPr>
        <w:t>52</w:t>
      </w:r>
      <w:r w:rsidRPr="00375F1D">
        <w:rPr>
          <w:rStyle w:val="Referencingstyle"/>
        </w:rPr>
        <w:t>, section</w:t>
      </w:r>
      <w:r>
        <w:rPr>
          <w:rStyle w:val="Referencingstyle"/>
        </w:rPr>
        <w:t xml:space="preserve"> </w:t>
      </w:r>
      <w:r w:rsidR="006240D1">
        <w:rPr>
          <w:rStyle w:val="Referencingstyle"/>
        </w:rPr>
        <w:t>1693C</w:t>
      </w:r>
      <w:r>
        <w:rPr>
          <w:rStyle w:val="Referencingstyle"/>
        </w:rPr>
        <w:t>]</w:t>
      </w:r>
    </w:p>
    <w:p w14:paraId="27FDA9D9" w14:textId="77777777" w:rsidR="009769C6" w:rsidRDefault="003E66B1" w:rsidP="00D54531">
      <w:pPr>
        <w:pStyle w:val="base-text-paragraph"/>
        <w:numPr>
          <w:ilvl w:val="1"/>
          <w:numId w:val="24"/>
        </w:numPr>
      </w:pPr>
      <w:r>
        <w:t>This ensures that the new rules do not operate retrospectively.</w:t>
      </w:r>
    </w:p>
    <w:p w14:paraId="51B709F5" w14:textId="192A0B7B" w:rsidR="006240D1" w:rsidRDefault="006240D1" w:rsidP="00D54531">
      <w:pPr>
        <w:pStyle w:val="base-text-paragraph"/>
        <w:numPr>
          <w:ilvl w:val="1"/>
          <w:numId w:val="24"/>
        </w:numPr>
      </w:pPr>
      <w:r>
        <w:t xml:space="preserve">Elections </w:t>
      </w:r>
      <w:r w:rsidR="00F43B3C">
        <w:t xml:space="preserve">in relation to documents sent by Australian foreign passport funds and companies limited by guarantee which are in force immediately before the commencement day continue to be in force after commencement until withdrawn by the member. </w:t>
      </w:r>
      <w:r w:rsidR="00F43B3C">
        <w:rPr>
          <w:rStyle w:val="Referencingstyle"/>
        </w:rPr>
        <w:t>[Schedule 1, item 52</w:t>
      </w:r>
      <w:r w:rsidR="00F43B3C" w:rsidRPr="00375F1D">
        <w:rPr>
          <w:rStyle w:val="Referencingstyle"/>
        </w:rPr>
        <w:t>, section</w:t>
      </w:r>
      <w:r w:rsidR="00F43B3C">
        <w:rPr>
          <w:rStyle w:val="Referencingstyle"/>
        </w:rPr>
        <w:t>s 1693E and 1693F]</w:t>
      </w:r>
    </w:p>
    <w:p w14:paraId="4FFF81A4" w14:textId="7B11DEE9" w:rsidR="003E66B1" w:rsidRDefault="003E66B1" w:rsidP="001F3D67">
      <w:pPr>
        <w:pStyle w:val="base-text-paragraph"/>
        <w:numPr>
          <w:ilvl w:val="0"/>
          <w:numId w:val="0"/>
        </w:numPr>
        <w:ind w:left="1135"/>
        <w:sectPr w:rsidR="003E66B1" w:rsidSect="009D3DC0">
          <w:footerReference w:type="even" r:id="rId31"/>
          <w:footerReference w:type="default" r:id="rId32"/>
          <w:footerReference w:type="first" r:id="rId33"/>
          <w:type w:val="oddPage"/>
          <w:pgSz w:w="9979" w:h="14175" w:code="9"/>
          <w:pgMar w:top="567" w:right="1134" w:bottom="567" w:left="1134" w:header="709" w:footer="709" w:gutter="0"/>
          <w:cols w:space="708"/>
          <w:titlePg/>
          <w:docGrid w:linePitch="360"/>
        </w:sectPr>
      </w:pPr>
    </w:p>
    <w:p w14:paraId="181D51B0" w14:textId="6EEC3ECD" w:rsidR="009769C6" w:rsidRPr="007C2B20" w:rsidRDefault="009769C6" w:rsidP="009769C6">
      <w:pPr>
        <w:pStyle w:val="ChapterHeading"/>
      </w:pPr>
      <w:r w:rsidRPr="000C2A9D">
        <w:lastRenderedPageBreak/>
        <w:br/>
      </w:r>
      <w:r w:rsidR="00E4587A">
        <w:rPr>
          <w:rStyle w:val="ChapterNameOnly"/>
        </w:rPr>
        <w:t>Credit</w:t>
      </w:r>
      <w:r w:rsidR="0064034C">
        <w:rPr>
          <w:rStyle w:val="ChapterNameOnly"/>
        </w:rPr>
        <w:t xml:space="preserve"> and</w:t>
      </w:r>
      <w:r w:rsidR="00E4587A">
        <w:rPr>
          <w:rStyle w:val="ChapterNameOnly"/>
        </w:rPr>
        <w:t xml:space="preserve"> payments</w:t>
      </w:r>
      <w:r w:rsidR="00861BD7">
        <w:rPr>
          <w:rStyle w:val="ChapterNameOnly"/>
        </w:rPr>
        <w:t xml:space="preserve"> </w:t>
      </w:r>
    </w:p>
    <w:p w14:paraId="37D39000" w14:textId="77777777" w:rsidR="009769C6" w:rsidRDefault="009769C6" w:rsidP="009D3DC0">
      <w:pPr>
        <w:pStyle w:val="Heading2"/>
      </w:pPr>
      <w:r>
        <w:t>Outline of chapter</w:t>
      </w:r>
    </w:p>
    <w:p w14:paraId="748F5D53" w14:textId="5C579E27" w:rsidR="00741732" w:rsidRDefault="00666D54" w:rsidP="00BE3861">
      <w:pPr>
        <w:pStyle w:val="base-text-paragraph"/>
      </w:pPr>
      <w:r>
        <w:t>This Chapter outlines the amendments that have been made to</w:t>
      </w:r>
      <w:r w:rsidR="00741732">
        <w:t>:</w:t>
      </w:r>
    </w:p>
    <w:p w14:paraId="67DB25B2" w14:textId="2DE2E9A8" w:rsidR="00741732" w:rsidRDefault="00666D54" w:rsidP="004C05E5">
      <w:pPr>
        <w:pStyle w:val="dotpoint"/>
      </w:pPr>
      <w:r>
        <w:t xml:space="preserve">allow credit providers to communicate with their customers </w:t>
      </w:r>
      <w:r w:rsidR="003743D0">
        <w:t xml:space="preserve">and other persons under the </w:t>
      </w:r>
      <w:r w:rsidR="003743D0">
        <w:rPr>
          <w:i/>
          <w:iCs/>
        </w:rPr>
        <w:t xml:space="preserve">National Consumer Credit Protection Act 2009 </w:t>
      </w:r>
      <w:r w:rsidR="003743D0">
        <w:t>(NCCPA)</w:t>
      </w:r>
      <w:r>
        <w:t xml:space="preserve"> electronically in a greater range of situations</w:t>
      </w:r>
      <w:r w:rsidR="00741732">
        <w:t>;</w:t>
      </w:r>
      <w:r w:rsidR="00051E9F">
        <w:t xml:space="preserve"> and</w:t>
      </w:r>
    </w:p>
    <w:p w14:paraId="7EECE689" w14:textId="23809EBC" w:rsidR="00BE3861" w:rsidRDefault="004F5322" w:rsidP="004C05E5">
      <w:pPr>
        <w:pStyle w:val="dotpoint"/>
      </w:pPr>
      <w:r>
        <w:t>facilitate the greater use of electronic payments</w:t>
      </w:r>
      <w:r w:rsidR="00994A48">
        <w:t>.</w:t>
      </w:r>
    </w:p>
    <w:p w14:paraId="4AFEAB5C" w14:textId="77777777" w:rsidR="009769C6" w:rsidRDefault="009769C6" w:rsidP="009D3DC0">
      <w:pPr>
        <w:pStyle w:val="Heading2"/>
      </w:pPr>
      <w:r>
        <w:t>Context of amendments</w:t>
      </w:r>
    </w:p>
    <w:p w14:paraId="1C0E4AE1" w14:textId="79DDFF1B" w:rsidR="00CF1FCA" w:rsidRPr="00EB2A25" w:rsidRDefault="00B939BF" w:rsidP="00892477">
      <w:pPr>
        <w:pStyle w:val="base-text-paragraph"/>
      </w:pPr>
      <w:r w:rsidRPr="00EB2A25">
        <w:t>The National Credit Code (NCC)</w:t>
      </w:r>
      <w:r w:rsidR="00CF1FCA" w:rsidRPr="00EB2A25">
        <w:t xml:space="preserve"> </w:t>
      </w:r>
      <w:r w:rsidRPr="00EB2A25">
        <w:t xml:space="preserve">contains a number of rules </w:t>
      </w:r>
      <w:r w:rsidR="00CF1FCA" w:rsidRPr="00EB2A25">
        <w:t xml:space="preserve">that </w:t>
      </w:r>
      <w:r w:rsidR="00E24D60" w:rsidRPr="00EB2A25">
        <w:t>requir</w:t>
      </w:r>
      <w:r w:rsidR="00CF1FCA" w:rsidRPr="00EB2A25">
        <w:t>e</w:t>
      </w:r>
      <w:r w:rsidR="00E24D60" w:rsidRPr="00EB2A25">
        <w:t xml:space="preserve"> notifications </w:t>
      </w:r>
      <w:r w:rsidR="003743D0" w:rsidRPr="00EB2A25">
        <w:t>by consumers</w:t>
      </w:r>
      <w:r w:rsidR="00E24D60" w:rsidRPr="00EB2A25">
        <w:t xml:space="preserve"> to occur ‘in writing’</w:t>
      </w:r>
      <w:r w:rsidR="00CF1FCA" w:rsidRPr="00EB2A25">
        <w:t>. There are also provisions scattered across Treasury laws which require payments to be made at a particular place or otherwise restrict the method of payment.</w:t>
      </w:r>
    </w:p>
    <w:p w14:paraId="0D3491BE" w14:textId="10F1E13C" w:rsidR="00D5776A" w:rsidRPr="00EB2A25" w:rsidRDefault="00CF1FCA" w:rsidP="00D54531">
      <w:pPr>
        <w:pStyle w:val="base-text-paragraph"/>
      </w:pPr>
      <w:r w:rsidRPr="00EB2A25">
        <w:t>This limits</w:t>
      </w:r>
      <w:r w:rsidR="00E24D60" w:rsidRPr="00EB2A25">
        <w:t xml:space="preserve"> flexibility for both consumers and credit providers when updating contact details </w:t>
      </w:r>
      <w:r w:rsidR="003743D0" w:rsidRPr="00EB2A25">
        <w:t>such as</w:t>
      </w:r>
      <w:r w:rsidR="00E24D60" w:rsidRPr="00EB2A25">
        <w:t xml:space="preserve"> advising of nominated addresses for communication.</w:t>
      </w:r>
      <w:r w:rsidRPr="00EB2A25">
        <w:t xml:space="preserve"> It </w:t>
      </w:r>
      <w:r w:rsidR="009C47C7" w:rsidRPr="00EB2A25">
        <w:t xml:space="preserve">may </w:t>
      </w:r>
      <w:r w:rsidRPr="00EB2A25">
        <w:t>also limit the use of electronic payments.</w:t>
      </w:r>
      <w:r w:rsidR="00D5776A" w:rsidRPr="00EB2A25">
        <w:t xml:space="preserve"> </w:t>
      </w:r>
    </w:p>
    <w:p w14:paraId="6199C7FC" w14:textId="77777777" w:rsidR="009769C6" w:rsidRDefault="009769C6" w:rsidP="009D3DC0">
      <w:pPr>
        <w:pStyle w:val="Heading2"/>
      </w:pPr>
      <w:r>
        <w:t>Summary of new law</w:t>
      </w:r>
    </w:p>
    <w:p w14:paraId="74BD4230" w14:textId="450F3CDD" w:rsidR="00BE3861" w:rsidRDefault="00BE3861" w:rsidP="00D54531">
      <w:pPr>
        <w:pStyle w:val="base-text-paragraph"/>
        <w:numPr>
          <w:ilvl w:val="1"/>
          <w:numId w:val="23"/>
        </w:numPr>
      </w:pPr>
      <w:r>
        <w:t>T</w:t>
      </w:r>
      <w:r w:rsidR="00B27360">
        <w:t>he Bill allows a credit provider to send</w:t>
      </w:r>
      <w:r>
        <w:t xml:space="preserve"> </w:t>
      </w:r>
      <w:r w:rsidR="006C56D2">
        <w:t xml:space="preserve">documents to </w:t>
      </w:r>
      <w:r w:rsidR="00B27360">
        <w:t>either</w:t>
      </w:r>
      <w:r w:rsidR="00FC2CEB">
        <w:t xml:space="preserve"> the</w:t>
      </w:r>
      <w:r w:rsidR="006C56D2">
        <w:t xml:space="preserve"> last known physical </w:t>
      </w:r>
      <w:r w:rsidR="00B27360">
        <w:t xml:space="preserve">or electronic </w:t>
      </w:r>
      <w:r w:rsidR="006C56D2">
        <w:t xml:space="preserve">address of the </w:t>
      </w:r>
      <w:proofErr w:type="gramStart"/>
      <w:r w:rsidR="006C56D2">
        <w:t xml:space="preserve">recipient, </w:t>
      </w:r>
      <w:r w:rsidR="00B27360">
        <w:t>unless</w:t>
      </w:r>
      <w:proofErr w:type="gramEnd"/>
      <w:r w:rsidR="00B27360">
        <w:t xml:space="preserve"> the recipient has nominated a specific address</w:t>
      </w:r>
      <w:r w:rsidR="006C56D2">
        <w:t xml:space="preserve">. </w:t>
      </w:r>
      <w:r w:rsidR="00B27360">
        <w:t>T</w:t>
      </w:r>
      <w:r w:rsidR="006C56D2">
        <w:t>here are safeguard</w:t>
      </w:r>
      <w:r w:rsidR="00B27360">
        <w:t xml:space="preserve">s </w:t>
      </w:r>
      <w:r w:rsidR="006C56D2">
        <w:t xml:space="preserve">to </w:t>
      </w:r>
      <w:r w:rsidR="00B27360">
        <w:t xml:space="preserve">ensure that the </w:t>
      </w:r>
      <w:r w:rsidR="006C56D2">
        <w:t xml:space="preserve">recipient </w:t>
      </w:r>
      <w:r w:rsidR="00B27360">
        <w:t xml:space="preserve">is notified before the sender </w:t>
      </w:r>
      <w:r w:rsidR="003743D0">
        <w:t>can start</w:t>
      </w:r>
      <w:r w:rsidR="00B27360">
        <w:t xml:space="preserve"> sending documents to a different address to what they have done in the past</w:t>
      </w:r>
      <w:r w:rsidR="006C56D2">
        <w:t>.</w:t>
      </w:r>
    </w:p>
    <w:p w14:paraId="396112CB" w14:textId="2A5A6821" w:rsidR="00783B80" w:rsidRDefault="001248CC" w:rsidP="00D54531">
      <w:pPr>
        <w:pStyle w:val="base-text-paragraph"/>
        <w:numPr>
          <w:ilvl w:val="1"/>
          <w:numId w:val="23"/>
        </w:numPr>
      </w:pPr>
      <w:r>
        <w:t>The Bill</w:t>
      </w:r>
      <w:r w:rsidR="00B27360">
        <w:t xml:space="preserve"> also allows nominations</w:t>
      </w:r>
      <w:r w:rsidR="00783B80">
        <w:t xml:space="preserve">, cancellations and other similar communications </w:t>
      </w:r>
      <w:r w:rsidR="00B27360">
        <w:t>to</w:t>
      </w:r>
      <w:r w:rsidR="00783B80">
        <w:t xml:space="preserve"> be made in any </w:t>
      </w:r>
      <w:r w:rsidR="003743D0">
        <w:t>appropriate</w:t>
      </w:r>
      <w:r w:rsidR="00783B80">
        <w:t xml:space="preserve"> manner</w:t>
      </w:r>
      <w:r w:rsidR="00B27360">
        <w:t xml:space="preserve"> (including electronically)</w:t>
      </w:r>
      <w:r w:rsidR="00783B80">
        <w:t xml:space="preserve">. </w:t>
      </w:r>
    </w:p>
    <w:p w14:paraId="49E16702" w14:textId="46B00D99" w:rsidR="00FC2CEB" w:rsidRDefault="00994A48" w:rsidP="00D54531">
      <w:pPr>
        <w:pStyle w:val="base-text-paragraph"/>
        <w:numPr>
          <w:ilvl w:val="1"/>
          <w:numId w:val="23"/>
        </w:numPr>
      </w:pPr>
      <w:r>
        <w:t>Finally, a</w:t>
      </w:r>
      <w:r w:rsidR="00FC2CEB">
        <w:t>mendments are made to</w:t>
      </w:r>
      <w:r w:rsidR="009C47C7">
        <w:t xml:space="preserve"> ensure</w:t>
      </w:r>
      <w:r w:rsidR="00FC2CEB">
        <w:t xml:space="preserve"> digital payments </w:t>
      </w:r>
      <w:r w:rsidR="009C47C7">
        <w:t>are supported by the legislation</w:t>
      </w:r>
      <w:r w:rsidR="00FC2CEB">
        <w:t>.</w:t>
      </w:r>
    </w:p>
    <w:p w14:paraId="230428B4" w14:textId="77777777" w:rsidR="00B27360" w:rsidRDefault="00B27360" w:rsidP="00FC2CEB">
      <w:pPr>
        <w:pStyle w:val="base-text-paragraph"/>
        <w:numPr>
          <w:ilvl w:val="0"/>
          <w:numId w:val="0"/>
        </w:numPr>
        <w:ind w:left="1135"/>
      </w:pPr>
    </w:p>
    <w:p w14:paraId="27BED2BA" w14:textId="77777777" w:rsidR="009769C6" w:rsidRDefault="009769C6" w:rsidP="009D3DC0">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3203"/>
      </w:tblGrid>
      <w:tr w:rsidR="009769C6" w:rsidRPr="004666B8" w14:paraId="15471B52" w14:textId="77777777" w:rsidTr="00702773">
        <w:tc>
          <w:tcPr>
            <w:tcW w:w="3214" w:type="dxa"/>
          </w:tcPr>
          <w:p w14:paraId="5EA6EC1B" w14:textId="77777777" w:rsidR="009769C6" w:rsidRPr="004666B8" w:rsidRDefault="009769C6" w:rsidP="009D3DC0">
            <w:pPr>
              <w:pStyle w:val="tableheaderwithintable"/>
              <w:rPr>
                <w:lang w:val="en-US" w:eastAsia="en-US"/>
              </w:rPr>
            </w:pPr>
            <w:r w:rsidRPr="004666B8">
              <w:rPr>
                <w:lang w:val="en-US" w:eastAsia="en-US"/>
              </w:rPr>
              <w:t>New law</w:t>
            </w:r>
          </w:p>
        </w:tc>
        <w:tc>
          <w:tcPr>
            <w:tcW w:w="3203" w:type="dxa"/>
          </w:tcPr>
          <w:p w14:paraId="44BCAD09" w14:textId="2F1D7ED9" w:rsidR="009769C6" w:rsidRPr="004666B8" w:rsidRDefault="009769C6" w:rsidP="009D3DC0">
            <w:pPr>
              <w:pStyle w:val="tableheaderwithintable"/>
              <w:rPr>
                <w:lang w:val="en-US" w:eastAsia="en-US"/>
              </w:rPr>
            </w:pPr>
            <w:r w:rsidRPr="004666B8">
              <w:rPr>
                <w:lang w:val="en-US" w:eastAsia="en-US"/>
              </w:rPr>
              <w:t>Current law</w:t>
            </w:r>
          </w:p>
        </w:tc>
      </w:tr>
      <w:tr w:rsidR="009769C6" w:rsidRPr="004666B8" w14:paraId="2A9DF14F" w14:textId="77777777" w:rsidTr="00702773">
        <w:tc>
          <w:tcPr>
            <w:tcW w:w="3214" w:type="dxa"/>
          </w:tcPr>
          <w:p w14:paraId="07354354" w14:textId="65C448EF" w:rsidR="0006710C" w:rsidRDefault="0006710C" w:rsidP="009D3DC0">
            <w:pPr>
              <w:pStyle w:val="tabletext"/>
              <w:rPr>
                <w:lang w:val="en-US" w:eastAsia="en-US"/>
              </w:rPr>
            </w:pPr>
            <w:r>
              <w:rPr>
                <w:lang w:val="en-US" w:eastAsia="en-US"/>
              </w:rPr>
              <w:t>Credit providers and other persons covered by the Credit Act must send documents to the address nominated by the recipient.</w:t>
            </w:r>
          </w:p>
          <w:p w14:paraId="3F1E61B7" w14:textId="2415EE96" w:rsidR="0006710C" w:rsidRDefault="0006710C" w:rsidP="009D3DC0">
            <w:pPr>
              <w:pStyle w:val="tabletext"/>
              <w:rPr>
                <w:lang w:val="en-US" w:eastAsia="en-US"/>
              </w:rPr>
            </w:pPr>
          </w:p>
          <w:p w14:paraId="32CA8AFF" w14:textId="393E6901" w:rsidR="004F5322" w:rsidRDefault="0006710C" w:rsidP="009D3DC0">
            <w:pPr>
              <w:pStyle w:val="tabletext"/>
              <w:rPr>
                <w:lang w:val="en-US" w:eastAsia="en-US"/>
              </w:rPr>
            </w:pPr>
            <w:r>
              <w:rPr>
                <w:lang w:val="en-US" w:eastAsia="en-US"/>
              </w:rPr>
              <w:t xml:space="preserve">If the recipient has not nominated an address, </w:t>
            </w:r>
            <w:r w:rsidR="008575BB">
              <w:rPr>
                <w:lang w:val="en-US" w:eastAsia="en-US"/>
              </w:rPr>
              <w:t>a credit provider</w:t>
            </w:r>
            <w:r>
              <w:rPr>
                <w:lang w:val="en-US" w:eastAsia="en-US"/>
              </w:rPr>
              <w:t xml:space="preserve"> can send </w:t>
            </w:r>
            <w:r w:rsidR="008575BB">
              <w:rPr>
                <w:lang w:val="en-US" w:eastAsia="en-US"/>
              </w:rPr>
              <w:t>a</w:t>
            </w:r>
            <w:r>
              <w:rPr>
                <w:lang w:val="en-US" w:eastAsia="en-US"/>
              </w:rPr>
              <w:t xml:space="preserve"> document to either the last </w:t>
            </w:r>
            <w:r w:rsidR="004F5322">
              <w:rPr>
                <w:lang w:val="en-US" w:eastAsia="en-US"/>
              </w:rPr>
              <w:t>know electronic or postal address</w:t>
            </w:r>
            <w:r w:rsidR="008575BB">
              <w:rPr>
                <w:lang w:val="en-US" w:eastAsia="en-US"/>
              </w:rPr>
              <w:t xml:space="preserve"> of the recipient</w:t>
            </w:r>
            <w:r w:rsidR="004F5322">
              <w:rPr>
                <w:lang w:val="en-US" w:eastAsia="en-US"/>
              </w:rPr>
              <w:t>.</w:t>
            </w:r>
          </w:p>
          <w:p w14:paraId="178D58D2" w14:textId="77777777" w:rsidR="004F5322" w:rsidRDefault="004F5322" w:rsidP="004F5322">
            <w:pPr>
              <w:pStyle w:val="tabletext"/>
              <w:rPr>
                <w:lang w:val="en-US" w:eastAsia="en-US"/>
              </w:rPr>
            </w:pPr>
          </w:p>
          <w:p w14:paraId="63EFE597" w14:textId="5D6731D2" w:rsidR="00783B80" w:rsidRPr="004666B8" w:rsidRDefault="004F5322" w:rsidP="00783B80">
            <w:pPr>
              <w:pStyle w:val="tabletext"/>
              <w:rPr>
                <w:lang w:val="en-US" w:eastAsia="en-US"/>
              </w:rPr>
            </w:pPr>
            <w:r>
              <w:rPr>
                <w:lang w:val="en-US" w:eastAsia="en-US"/>
              </w:rPr>
              <w:t xml:space="preserve">The sender must notify the recipient if they intend to start to use a different address. </w:t>
            </w:r>
            <w:r w:rsidR="001A3075">
              <w:rPr>
                <w:lang w:val="en-US" w:eastAsia="en-US"/>
              </w:rPr>
              <w:t xml:space="preserve">Recipients can opt out of electronic communications. </w:t>
            </w:r>
          </w:p>
        </w:tc>
        <w:tc>
          <w:tcPr>
            <w:tcW w:w="3203" w:type="dxa"/>
          </w:tcPr>
          <w:p w14:paraId="38FF7262" w14:textId="682245E7" w:rsidR="00783B80" w:rsidRDefault="004F5322" w:rsidP="009D3DC0">
            <w:pPr>
              <w:pStyle w:val="tabletext"/>
              <w:rPr>
                <w:lang w:val="en-US" w:eastAsia="en-US"/>
              </w:rPr>
            </w:pPr>
            <w:r>
              <w:rPr>
                <w:lang w:val="en-US" w:eastAsia="en-US"/>
              </w:rPr>
              <w:t xml:space="preserve">Credit providers and other persons covered by the Credit Act must send documents to the last known postal </w:t>
            </w:r>
            <w:proofErr w:type="gramStart"/>
            <w:r>
              <w:rPr>
                <w:lang w:val="en-US" w:eastAsia="en-US"/>
              </w:rPr>
              <w:t>address, unless</w:t>
            </w:r>
            <w:proofErr w:type="gramEnd"/>
            <w:r>
              <w:rPr>
                <w:lang w:val="en-US" w:eastAsia="en-US"/>
              </w:rPr>
              <w:t xml:space="preserve"> the recipient has expressly nominated an electronic address.</w:t>
            </w:r>
          </w:p>
          <w:p w14:paraId="05E0ACE0" w14:textId="77777777" w:rsidR="004F5322" w:rsidRDefault="004F5322" w:rsidP="009D3DC0">
            <w:pPr>
              <w:pStyle w:val="tabletext"/>
              <w:rPr>
                <w:lang w:val="en-US" w:eastAsia="en-US"/>
              </w:rPr>
            </w:pPr>
          </w:p>
          <w:p w14:paraId="5A28D69A" w14:textId="77777777" w:rsidR="00783B80" w:rsidRDefault="00783B80" w:rsidP="009D3DC0">
            <w:pPr>
              <w:pStyle w:val="tabletext"/>
              <w:rPr>
                <w:lang w:val="en-US" w:eastAsia="en-US"/>
              </w:rPr>
            </w:pPr>
          </w:p>
          <w:p w14:paraId="0547B2AB" w14:textId="2189A400" w:rsidR="00783B80" w:rsidRPr="004666B8" w:rsidRDefault="00783B80" w:rsidP="009D3DC0">
            <w:pPr>
              <w:pStyle w:val="tabletext"/>
              <w:rPr>
                <w:lang w:val="en-US" w:eastAsia="en-US"/>
              </w:rPr>
            </w:pPr>
          </w:p>
        </w:tc>
      </w:tr>
      <w:tr w:rsidR="004F5322" w:rsidRPr="004666B8" w14:paraId="62F5F825" w14:textId="77777777" w:rsidTr="00702773">
        <w:tc>
          <w:tcPr>
            <w:tcW w:w="3214" w:type="dxa"/>
          </w:tcPr>
          <w:p w14:paraId="1469377E" w14:textId="044ABC7C" w:rsidR="004F5322" w:rsidRDefault="004F5322" w:rsidP="009D3DC0">
            <w:pPr>
              <w:pStyle w:val="tabletext"/>
              <w:rPr>
                <w:lang w:val="en-US" w:eastAsia="en-US"/>
              </w:rPr>
            </w:pPr>
            <w:r>
              <w:rPr>
                <w:lang w:val="en-US" w:eastAsia="en-US"/>
              </w:rPr>
              <w:t xml:space="preserve">Nominations, changes of nomination, and communications as to a preference not to receive electronic documents can all be made in any manner. </w:t>
            </w:r>
          </w:p>
        </w:tc>
        <w:tc>
          <w:tcPr>
            <w:tcW w:w="3203" w:type="dxa"/>
          </w:tcPr>
          <w:p w14:paraId="238290B3" w14:textId="2F1A5BA2" w:rsidR="004F5322" w:rsidRDefault="004F5322" w:rsidP="009D3DC0">
            <w:pPr>
              <w:pStyle w:val="tabletext"/>
              <w:rPr>
                <w:lang w:val="en-US" w:eastAsia="en-US"/>
              </w:rPr>
            </w:pPr>
            <w:r>
              <w:rPr>
                <w:lang w:val="en-US" w:eastAsia="en-US"/>
              </w:rPr>
              <w:t xml:space="preserve">Nominations and changes </w:t>
            </w:r>
            <w:r w:rsidR="008575BB">
              <w:rPr>
                <w:lang w:val="en-US" w:eastAsia="en-US"/>
              </w:rPr>
              <w:t xml:space="preserve">and cancellations </w:t>
            </w:r>
            <w:r>
              <w:rPr>
                <w:lang w:val="en-US" w:eastAsia="en-US"/>
              </w:rPr>
              <w:t>of nomination must be made in writing.</w:t>
            </w:r>
          </w:p>
        </w:tc>
      </w:tr>
      <w:tr w:rsidR="00994A48" w:rsidRPr="004666B8" w14:paraId="3B52CF6A" w14:textId="77777777" w:rsidTr="00702773">
        <w:tc>
          <w:tcPr>
            <w:tcW w:w="3214" w:type="dxa"/>
          </w:tcPr>
          <w:p w14:paraId="59EC31D8" w14:textId="62835378" w:rsidR="00994A48" w:rsidRPr="00AB7A33" w:rsidRDefault="00994A48" w:rsidP="00994A48">
            <w:pPr>
              <w:pStyle w:val="tabletext"/>
              <w:rPr>
                <w:highlight w:val="cyan"/>
                <w:lang w:val="en-US" w:eastAsia="en-US"/>
              </w:rPr>
            </w:pPr>
            <w:r>
              <w:rPr>
                <w:lang w:val="en-US" w:eastAsia="en-US"/>
              </w:rPr>
              <w:t>For a call on shares in a no liability company to be payable, the company is required to give notice to the shareholders of the amount of the call, when it is payable and the details for payment.</w:t>
            </w:r>
          </w:p>
        </w:tc>
        <w:tc>
          <w:tcPr>
            <w:tcW w:w="3203" w:type="dxa"/>
          </w:tcPr>
          <w:p w14:paraId="55410B14" w14:textId="26308D05" w:rsidR="00994A48" w:rsidRPr="00AB7A33" w:rsidRDefault="00994A48" w:rsidP="00994A48">
            <w:pPr>
              <w:pStyle w:val="tabletext"/>
              <w:rPr>
                <w:highlight w:val="cyan"/>
                <w:lang w:val="en-US" w:eastAsia="en-US"/>
              </w:rPr>
            </w:pPr>
            <w:r>
              <w:rPr>
                <w:lang w:val="en-US" w:eastAsia="en-US"/>
              </w:rPr>
              <w:t>For a call on shares in a no liability company to be payable, the company</w:t>
            </w:r>
            <w:r w:rsidDel="000B165C">
              <w:rPr>
                <w:lang w:val="en-US" w:eastAsia="en-US"/>
              </w:rPr>
              <w:t xml:space="preserve"> </w:t>
            </w:r>
            <w:r>
              <w:rPr>
                <w:lang w:val="en-US" w:eastAsia="en-US"/>
              </w:rPr>
              <w:t xml:space="preserve">is required to give notice to shareholders of the amount of the call, when it is payable and the place for payment. The notice must be sent by post. </w:t>
            </w:r>
          </w:p>
        </w:tc>
      </w:tr>
      <w:tr w:rsidR="00994A48" w:rsidRPr="004666B8" w14:paraId="4C1DF598" w14:textId="77777777" w:rsidTr="00702773">
        <w:tc>
          <w:tcPr>
            <w:tcW w:w="3214" w:type="dxa"/>
          </w:tcPr>
          <w:p w14:paraId="67406BB2" w14:textId="3C5DB63C" w:rsidR="00994A48" w:rsidRPr="00AB7A33" w:rsidRDefault="00994A48" w:rsidP="00994A48">
            <w:pPr>
              <w:pStyle w:val="tabletext"/>
              <w:rPr>
                <w:highlight w:val="cyan"/>
                <w:lang w:val="en-US" w:eastAsia="en-US"/>
              </w:rPr>
            </w:pPr>
            <w:r>
              <w:rPr>
                <w:lang w:val="en-US" w:eastAsia="en-US"/>
              </w:rPr>
              <w:t xml:space="preserve">The penalty imposed by an infringement notice under the </w:t>
            </w:r>
            <w:r w:rsidRPr="00434252">
              <w:rPr>
                <w:i/>
                <w:iCs/>
                <w:lang w:val="en-US" w:eastAsia="en-US"/>
              </w:rPr>
              <w:t>Excise Act</w:t>
            </w:r>
            <w:r w:rsidR="00434252">
              <w:rPr>
                <w:lang w:val="en-US" w:eastAsia="en-US"/>
              </w:rPr>
              <w:t xml:space="preserve"> </w:t>
            </w:r>
            <w:r w:rsidR="00434252" w:rsidRPr="00434252">
              <w:rPr>
                <w:i/>
                <w:iCs/>
                <w:lang w:val="en-US" w:eastAsia="en-US"/>
              </w:rPr>
              <w:t>1901</w:t>
            </w:r>
            <w:r>
              <w:rPr>
                <w:lang w:val="en-US" w:eastAsia="en-US"/>
              </w:rPr>
              <w:t xml:space="preserve"> may be paid in any way stated in the notice. </w:t>
            </w:r>
          </w:p>
        </w:tc>
        <w:tc>
          <w:tcPr>
            <w:tcW w:w="3203" w:type="dxa"/>
          </w:tcPr>
          <w:p w14:paraId="2D7066A1" w14:textId="43BE35A8" w:rsidR="00994A48" w:rsidRPr="00AB7A33" w:rsidRDefault="00994A48" w:rsidP="00994A48">
            <w:pPr>
              <w:pStyle w:val="tabletext"/>
              <w:rPr>
                <w:highlight w:val="cyan"/>
                <w:lang w:val="en-US" w:eastAsia="en-US"/>
              </w:rPr>
            </w:pPr>
            <w:r>
              <w:rPr>
                <w:lang w:val="en-US" w:eastAsia="en-US"/>
              </w:rPr>
              <w:t xml:space="preserve">The penalty imposed by an infringement notice under the </w:t>
            </w:r>
            <w:r w:rsidRPr="00434252">
              <w:rPr>
                <w:i/>
                <w:iCs/>
                <w:lang w:val="en-US" w:eastAsia="en-US"/>
              </w:rPr>
              <w:t>Excise Act</w:t>
            </w:r>
            <w:r w:rsidR="00434252">
              <w:rPr>
                <w:i/>
                <w:iCs/>
                <w:lang w:val="en-US" w:eastAsia="en-US"/>
              </w:rPr>
              <w:t xml:space="preserve"> 1901</w:t>
            </w:r>
            <w:r w:rsidRPr="00434252">
              <w:rPr>
                <w:i/>
                <w:iCs/>
                <w:lang w:val="en-US" w:eastAsia="en-US"/>
              </w:rPr>
              <w:t xml:space="preserve"> </w:t>
            </w:r>
            <w:r>
              <w:rPr>
                <w:lang w:val="en-US" w:eastAsia="en-US"/>
              </w:rPr>
              <w:t>may be paid by delivery or postage to the place of payment stated in the notice, or in any other way stated in the notice.</w:t>
            </w:r>
          </w:p>
        </w:tc>
      </w:tr>
      <w:tr w:rsidR="00994A48" w:rsidRPr="004666B8" w14:paraId="7D1C7A32" w14:textId="77777777" w:rsidTr="00702773">
        <w:tc>
          <w:tcPr>
            <w:tcW w:w="3214" w:type="dxa"/>
          </w:tcPr>
          <w:p w14:paraId="6826F85C" w14:textId="771990FF" w:rsidR="00994A48" w:rsidRPr="00AB7A33" w:rsidRDefault="00994A48" w:rsidP="00994A48">
            <w:pPr>
              <w:pStyle w:val="tabletext"/>
              <w:rPr>
                <w:highlight w:val="cyan"/>
                <w:lang w:val="en-US" w:eastAsia="en-US"/>
              </w:rPr>
            </w:pPr>
            <w:r>
              <w:rPr>
                <w:lang w:val="en-US" w:eastAsia="en-US"/>
              </w:rPr>
              <w:t xml:space="preserve">There is no requirement for a deposit form. </w:t>
            </w:r>
          </w:p>
        </w:tc>
        <w:tc>
          <w:tcPr>
            <w:tcW w:w="3203" w:type="dxa"/>
          </w:tcPr>
          <w:p w14:paraId="3A12C501" w14:textId="03101704" w:rsidR="00994A48" w:rsidRPr="00AB7A33" w:rsidRDefault="00994A48" w:rsidP="00994A48">
            <w:pPr>
              <w:pStyle w:val="tabletext"/>
              <w:rPr>
                <w:highlight w:val="cyan"/>
                <w:lang w:val="en-US" w:eastAsia="en-US"/>
              </w:rPr>
            </w:pPr>
            <w:r>
              <w:rPr>
                <w:lang w:val="en-US" w:eastAsia="en-US"/>
              </w:rPr>
              <w:t xml:space="preserve">The deposit form accompanying the deposit paid to the Commissioner of Taxation under Part 4 of the </w:t>
            </w:r>
            <w:r w:rsidR="00AB7C4A" w:rsidRPr="00AB7C4A">
              <w:rPr>
                <w:i/>
                <w:iCs/>
                <w:lang w:val="en-US" w:eastAsia="en-US"/>
              </w:rPr>
              <w:t>Small Superannuation Accounts Act 1995</w:t>
            </w:r>
            <w:r w:rsidR="00AB7C4A">
              <w:rPr>
                <w:lang w:val="en-US" w:eastAsia="en-US"/>
              </w:rPr>
              <w:t xml:space="preserve"> </w:t>
            </w:r>
            <w:r>
              <w:rPr>
                <w:lang w:val="en-US" w:eastAsia="en-US"/>
              </w:rPr>
              <w:t>must include certain specifications as to the method of payment</w:t>
            </w:r>
          </w:p>
        </w:tc>
      </w:tr>
    </w:tbl>
    <w:p w14:paraId="083F3D78" w14:textId="0BE7FD1F" w:rsidR="009769C6" w:rsidRDefault="009769C6" w:rsidP="009D3DC0">
      <w:pPr>
        <w:pStyle w:val="Heading2"/>
      </w:pPr>
      <w:r>
        <w:lastRenderedPageBreak/>
        <w:t>Detailed explanation of new law</w:t>
      </w:r>
    </w:p>
    <w:p w14:paraId="5DE64508" w14:textId="077729D1" w:rsidR="0003307C" w:rsidRPr="0003307C" w:rsidRDefault="0003307C" w:rsidP="0003307C">
      <w:pPr>
        <w:pStyle w:val="Heading3"/>
      </w:pPr>
      <w:r>
        <w:t>Facilitating electronic communication in the credit law</w:t>
      </w:r>
    </w:p>
    <w:p w14:paraId="65604BFC" w14:textId="0B7F5FE3" w:rsidR="00187F45" w:rsidRPr="00377653" w:rsidRDefault="007D3D4E" w:rsidP="009769C6">
      <w:pPr>
        <w:pStyle w:val="base-text-paragraph"/>
        <w:rPr>
          <w:b/>
          <w:i/>
          <w:sz w:val="18"/>
        </w:rPr>
      </w:pPr>
      <w:r>
        <w:t xml:space="preserve">The </w:t>
      </w:r>
      <w:r w:rsidR="006A53D4">
        <w:t xml:space="preserve">Bill amends </w:t>
      </w:r>
      <w:r w:rsidR="00DC74E6">
        <w:t xml:space="preserve">the </w:t>
      </w:r>
      <w:r>
        <w:t xml:space="preserve">scheme for giving documents </w:t>
      </w:r>
      <w:r w:rsidR="006A53D4">
        <w:t xml:space="preserve">to allow for </w:t>
      </w:r>
      <w:r w:rsidR="0077203D">
        <w:t xml:space="preserve">the </w:t>
      </w:r>
      <w:r w:rsidR="006A53D4">
        <w:t xml:space="preserve">greater use of </w:t>
      </w:r>
      <w:r w:rsidR="00187F45">
        <w:t>electronic communication.</w:t>
      </w:r>
    </w:p>
    <w:p w14:paraId="40BDD8E1" w14:textId="0BDB01EB" w:rsidR="00CC106D" w:rsidRDefault="008046B0" w:rsidP="006A53D4">
      <w:pPr>
        <w:pStyle w:val="Heading4"/>
      </w:pPr>
      <w:r>
        <w:t>If a recipient has nominated an address, it must be used</w:t>
      </w:r>
    </w:p>
    <w:p w14:paraId="3B9B0C37" w14:textId="74644644" w:rsidR="008A4D4A" w:rsidRPr="0041142D" w:rsidRDefault="008F63B4" w:rsidP="009769C6">
      <w:pPr>
        <w:pStyle w:val="base-text-paragraph"/>
        <w:rPr>
          <w:rStyle w:val="Referencingstyle"/>
          <w:b w:val="0"/>
          <w:i w:val="0"/>
          <w:sz w:val="22"/>
        </w:rPr>
      </w:pPr>
      <w:r>
        <w:t xml:space="preserve">Where a recipient has nominated an address, the giver is </w:t>
      </w:r>
      <w:r w:rsidR="005F3982">
        <w:t xml:space="preserve">required </w:t>
      </w:r>
      <w:r>
        <w:t xml:space="preserve">to use that address. </w:t>
      </w:r>
      <w:r w:rsidR="005F3982">
        <w:t xml:space="preserve">The nominated address may be electronic. </w:t>
      </w:r>
      <w:r w:rsidR="008A4D4A" w:rsidRPr="00377653">
        <w:rPr>
          <w:rStyle w:val="Referencingstyle"/>
        </w:rPr>
        <w:t>[</w:t>
      </w:r>
      <w:r w:rsidR="008A4D4A" w:rsidRPr="006A53D4">
        <w:rPr>
          <w:rStyle w:val="Referencingstyle"/>
        </w:rPr>
        <w:t xml:space="preserve">Schedule </w:t>
      </w:r>
      <w:r w:rsidR="00DE6DDF">
        <w:rPr>
          <w:rStyle w:val="Referencingstyle"/>
        </w:rPr>
        <w:t>2</w:t>
      </w:r>
      <w:r w:rsidR="008A4D4A" w:rsidRPr="006A53D4">
        <w:rPr>
          <w:rStyle w:val="Referencingstyle"/>
        </w:rPr>
        <w:t xml:space="preserve">, item </w:t>
      </w:r>
      <w:r w:rsidR="006A53D4">
        <w:rPr>
          <w:rStyle w:val="Referencingstyle"/>
        </w:rPr>
        <w:t>2</w:t>
      </w:r>
      <w:r w:rsidR="008A4D4A" w:rsidRPr="006A53D4">
        <w:rPr>
          <w:rStyle w:val="Referencingstyle"/>
        </w:rPr>
        <w:t xml:space="preserve">, section </w:t>
      </w:r>
      <w:r w:rsidR="007D3D4E" w:rsidRPr="006A53D4">
        <w:rPr>
          <w:rStyle w:val="Referencingstyle"/>
        </w:rPr>
        <w:t>195(2</w:t>
      </w:r>
      <w:r w:rsidR="007D3D4E" w:rsidRPr="00D2408D">
        <w:rPr>
          <w:rStyle w:val="Referencingstyle"/>
        </w:rPr>
        <w:t>)</w:t>
      </w:r>
      <w:r w:rsidR="007D3D4E" w:rsidRPr="00DC74E6">
        <w:rPr>
          <w:rStyle w:val="Referencingstyle"/>
        </w:rPr>
        <w:t>(a)</w:t>
      </w:r>
      <w:r w:rsidR="008A4D4A" w:rsidRPr="00DC74E6">
        <w:rPr>
          <w:rStyle w:val="Referencingstyle"/>
        </w:rPr>
        <w:t xml:space="preserve"> </w:t>
      </w:r>
      <w:r w:rsidR="007D3D4E" w:rsidRPr="00DC74E6">
        <w:rPr>
          <w:rStyle w:val="Referencingstyle"/>
        </w:rPr>
        <w:t xml:space="preserve">of </w:t>
      </w:r>
      <w:r w:rsidR="00A40E3E">
        <w:rPr>
          <w:rStyle w:val="Referencingstyle"/>
        </w:rPr>
        <w:t>the NCC</w:t>
      </w:r>
      <w:r w:rsidR="00EA63D0">
        <w:rPr>
          <w:rStyle w:val="Referencingstyle"/>
        </w:rPr>
        <w:t>]</w:t>
      </w:r>
    </w:p>
    <w:p w14:paraId="3B3AE23E" w14:textId="31F80B96" w:rsidR="00EA63D0" w:rsidRPr="006A53D4" w:rsidRDefault="00EA63D0" w:rsidP="009769C6">
      <w:pPr>
        <w:pStyle w:val="base-text-paragraph"/>
        <w:rPr>
          <w:rStyle w:val="Referencingstyle"/>
          <w:b w:val="0"/>
          <w:i w:val="0"/>
          <w:sz w:val="22"/>
        </w:rPr>
      </w:pPr>
      <w:r>
        <w:rPr>
          <w:rStyle w:val="Referencingstyle"/>
          <w:b w:val="0"/>
          <w:i w:val="0"/>
          <w:sz w:val="22"/>
        </w:rPr>
        <w:t xml:space="preserve">A recipient can </w:t>
      </w:r>
      <w:r w:rsidR="004C6BE3">
        <w:rPr>
          <w:rStyle w:val="Referencingstyle"/>
          <w:b w:val="0"/>
          <w:i w:val="0"/>
          <w:sz w:val="22"/>
        </w:rPr>
        <w:t>nominate an</w:t>
      </w:r>
      <w:r>
        <w:rPr>
          <w:rStyle w:val="Referencingstyle"/>
          <w:b w:val="0"/>
          <w:i w:val="0"/>
          <w:sz w:val="22"/>
        </w:rPr>
        <w:t xml:space="preserve"> address in any appropriate manner, whether or not in writing. </w:t>
      </w:r>
      <w:r w:rsidRPr="00725769">
        <w:rPr>
          <w:rStyle w:val="Referencingstyle"/>
        </w:rPr>
        <w:t>[</w:t>
      </w:r>
      <w:r>
        <w:rPr>
          <w:rStyle w:val="Referencingstyle"/>
        </w:rPr>
        <w:t xml:space="preserve">Schedule </w:t>
      </w:r>
      <w:r w:rsidR="00DE6DDF">
        <w:rPr>
          <w:rStyle w:val="Referencingstyle"/>
        </w:rPr>
        <w:t>2</w:t>
      </w:r>
      <w:r>
        <w:rPr>
          <w:rStyle w:val="Referencingstyle"/>
        </w:rPr>
        <w:t>, i</w:t>
      </w:r>
      <w:r w:rsidRPr="00375F1D">
        <w:rPr>
          <w:rStyle w:val="Referencingstyle"/>
        </w:rPr>
        <w:t xml:space="preserve">tem </w:t>
      </w:r>
      <w:r>
        <w:rPr>
          <w:rStyle w:val="Referencingstyle"/>
        </w:rPr>
        <w:t>2</w:t>
      </w:r>
      <w:r w:rsidRPr="00375F1D">
        <w:rPr>
          <w:rStyle w:val="Referencingstyle"/>
        </w:rPr>
        <w:t xml:space="preserve">, </w:t>
      </w:r>
      <w:r>
        <w:rPr>
          <w:rStyle w:val="Referencingstyle"/>
        </w:rPr>
        <w:t xml:space="preserve">section 195(6) </w:t>
      </w:r>
      <w:r w:rsidRPr="00375F1D">
        <w:rPr>
          <w:rStyle w:val="Referencingstyle"/>
        </w:rPr>
        <w:t xml:space="preserve">of </w:t>
      </w:r>
      <w:r w:rsidR="00A40E3E">
        <w:rPr>
          <w:rStyle w:val="Referencingstyle"/>
        </w:rPr>
        <w:t>the NCC</w:t>
      </w:r>
      <w:r>
        <w:rPr>
          <w:rStyle w:val="Referencingstyle"/>
        </w:rPr>
        <w:t>]</w:t>
      </w:r>
    </w:p>
    <w:p w14:paraId="0DB52C9A" w14:textId="02210F46" w:rsidR="008046B0" w:rsidRDefault="008046B0" w:rsidP="00377653">
      <w:pPr>
        <w:pStyle w:val="Heading4"/>
      </w:pPr>
      <w:r>
        <w:t>If a recipient has not nominated an address</w:t>
      </w:r>
    </w:p>
    <w:p w14:paraId="301B2B56" w14:textId="065BA057" w:rsidR="00CC106D" w:rsidRDefault="007D3D4E" w:rsidP="009769C6">
      <w:pPr>
        <w:pStyle w:val="base-text-paragraph"/>
      </w:pPr>
      <w:r>
        <w:t xml:space="preserve">If a recipient does not have a nominated address, </w:t>
      </w:r>
      <w:r w:rsidR="005F3982">
        <w:t>there are three methods for identifying the appropriate address</w:t>
      </w:r>
      <w:r w:rsidR="008046B0">
        <w:t>.</w:t>
      </w:r>
      <w:r w:rsidR="005F3982">
        <w:t xml:space="preserve"> </w:t>
      </w:r>
      <w:r w:rsidR="006A53D4">
        <w:t>The</w:t>
      </w:r>
      <w:r w:rsidR="005F3982">
        <w:t xml:space="preserve"> </w:t>
      </w:r>
      <w:r w:rsidR="002B0F01">
        <w:t>a</w:t>
      </w:r>
      <w:r w:rsidR="005F3982">
        <w:t xml:space="preserve">ppropriate </w:t>
      </w:r>
      <w:r w:rsidR="006A53D4">
        <w:t xml:space="preserve">method </w:t>
      </w:r>
      <w:r w:rsidR="00CC106D">
        <w:t xml:space="preserve">depends on what has occurred between the giver and the recipient in the past, as </w:t>
      </w:r>
      <w:r w:rsidR="00FF54F7">
        <w:t>outlined below</w:t>
      </w:r>
      <w:r w:rsidR="00CC106D">
        <w:t xml:space="preserve">. </w:t>
      </w:r>
    </w:p>
    <w:p w14:paraId="253E4A7B" w14:textId="6B828A7A" w:rsidR="007D2992" w:rsidRPr="007D2992" w:rsidRDefault="00CC106D" w:rsidP="009769C6">
      <w:pPr>
        <w:pStyle w:val="base-text-paragraph"/>
        <w:rPr>
          <w:b/>
          <w:i/>
          <w:sz w:val="18"/>
        </w:rPr>
      </w:pPr>
      <w:r>
        <w:t xml:space="preserve">If the giver has never given a document to the recipient, </w:t>
      </w:r>
      <w:r w:rsidR="002B0F01">
        <w:t>the giver</w:t>
      </w:r>
      <w:r w:rsidR="002B0F01" w:rsidDel="006A53D4">
        <w:t xml:space="preserve"> </w:t>
      </w:r>
      <w:r w:rsidR="006A53D4">
        <w:t xml:space="preserve">may </w:t>
      </w:r>
      <w:r w:rsidR="002B0F01">
        <w:t xml:space="preserve">send the document to </w:t>
      </w:r>
      <w:r w:rsidR="00415A85">
        <w:t>the giver’s choice of the last known physical address or</w:t>
      </w:r>
      <w:r w:rsidR="006A53D4">
        <w:t xml:space="preserve"> the</w:t>
      </w:r>
      <w:r w:rsidR="00415A85">
        <w:t xml:space="preserve"> last known electronic address of the recipient.</w:t>
      </w:r>
      <w:r w:rsidR="007D2992" w:rsidRPr="007D2992">
        <w:rPr>
          <w:rStyle w:val="Referencingstyle"/>
        </w:rPr>
        <w:t xml:space="preserve"> </w:t>
      </w:r>
      <w:r w:rsidR="007D2992" w:rsidRPr="00377653">
        <w:rPr>
          <w:rStyle w:val="Referencingstyle"/>
        </w:rPr>
        <w:t>[</w:t>
      </w:r>
      <w:r w:rsidR="007D2992" w:rsidRPr="006A53D4">
        <w:rPr>
          <w:rStyle w:val="Referencingstyle"/>
        </w:rPr>
        <w:t xml:space="preserve">Schedule </w:t>
      </w:r>
      <w:r w:rsidR="007D2992">
        <w:rPr>
          <w:rStyle w:val="Referencingstyle"/>
        </w:rPr>
        <w:t>2</w:t>
      </w:r>
      <w:r w:rsidR="007D2992" w:rsidRPr="006A53D4">
        <w:rPr>
          <w:rStyle w:val="Referencingstyle"/>
        </w:rPr>
        <w:t xml:space="preserve">, item </w:t>
      </w:r>
      <w:r w:rsidR="007D2992">
        <w:rPr>
          <w:rStyle w:val="Referencingstyle"/>
        </w:rPr>
        <w:t>2</w:t>
      </w:r>
      <w:r w:rsidR="007D2992" w:rsidRPr="006A53D4">
        <w:rPr>
          <w:rStyle w:val="Referencingstyle"/>
        </w:rPr>
        <w:t xml:space="preserve">, </w:t>
      </w:r>
      <w:r w:rsidR="007D2992" w:rsidRPr="00D2408D">
        <w:rPr>
          <w:rStyle w:val="Referencingstyle"/>
        </w:rPr>
        <w:t xml:space="preserve">section 195(2)(b) </w:t>
      </w:r>
      <w:r w:rsidR="007D2992" w:rsidRPr="00DC74E6">
        <w:rPr>
          <w:rStyle w:val="Referencingstyle"/>
        </w:rPr>
        <w:t xml:space="preserve">of </w:t>
      </w:r>
      <w:r w:rsidR="00A40E3E">
        <w:rPr>
          <w:rStyle w:val="Referencingstyle"/>
        </w:rPr>
        <w:t>the NCC</w:t>
      </w:r>
      <w:r w:rsidR="007D2992" w:rsidRPr="00377653">
        <w:rPr>
          <w:rStyle w:val="Referencingstyle"/>
        </w:rPr>
        <w:t>]</w:t>
      </w:r>
      <w:r w:rsidR="00415A85">
        <w:t xml:space="preserve"> </w:t>
      </w:r>
    </w:p>
    <w:p w14:paraId="4A287364" w14:textId="796027C1" w:rsidR="008A4D4A" w:rsidRDefault="00415A85" w:rsidP="009769C6">
      <w:pPr>
        <w:pStyle w:val="base-text-paragraph"/>
        <w:rPr>
          <w:rStyle w:val="Referencingstyle"/>
        </w:rPr>
      </w:pPr>
      <w:r>
        <w:t xml:space="preserve">If the recipient is the operator of a business (for example, a lawyer or accountant), the physical address is the recipient’s residence or place of business. If the recipient does not operate a business, the physical address is the recipient’s place of residence. </w:t>
      </w:r>
      <w:r w:rsidR="001624D9" w:rsidRPr="00377653">
        <w:rPr>
          <w:rStyle w:val="Referencingstyle"/>
        </w:rPr>
        <w:t>[</w:t>
      </w:r>
      <w:r w:rsidR="001624D9" w:rsidRPr="006A53D4">
        <w:rPr>
          <w:rStyle w:val="Referencingstyle"/>
        </w:rPr>
        <w:t xml:space="preserve">Schedule </w:t>
      </w:r>
      <w:r w:rsidR="00DE6DDF">
        <w:rPr>
          <w:rStyle w:val="Referencingstyle"/>
        </w:rPr>
        <w:t>2</w:t>
      </w:r>
      <w:r w:rsidR="001624D9" w:rsidRPr="006A53D4">
        <w:rPr>
          <w:rStyle w:val="Referencingstyle"/>
        </w:rPr>
        <w:t xml:space="preserve">, item </w:t>
      </w:r>
      <w:r w:rsidR="006A53D4">
        <w:rPr>
          <w:rStyle w:val="Referencingstyle"/>
        </w:rPr>
        <w:t>2</w:t>
      </w:r>
      <w:r w:rsidR="001624D9" w:rsidRPr="006A53D4">
        <w:rPr>
          <w:rStyle w:val="Referencingstyle"/>
        </w:rPr>
        <w:t xml:space="preserve">, </w:t>
      </w:r>
      <w:r w:rsidR="001624D9" w:rsidRPr="00D2408D">
        <w:rPr>
          <w:rStyle w:val="Referencingstyle"/>
        </w:rPr>
        <w:t xml:space="preserve">section 195(2)(b) </w:t>
      </w:r>
      <w:r w:rsidR="001624D9" w:rsidRPr="00DC74E6">
        <w:rPr>
          <w:rStyle w:val="Referencingstyle"/>
        </w:rPr>
        <w:t xml:space="preserve">of </w:t>
      </w:r>
      <w:r w:rsidR="00A40E3E">
        <w:rPr>
          <w:rStyle w:val="Referencingstyle"/>
        </w:rPr>
        <w:t>the NCC</w:t>
      </w:r>
      <w:r w:rsidR="001624D9" w:rsidRPr="00377653">
        <w:rPr>
          <w:rStyle w:val="Referencingstyle"/>
        </w:rPr>
        <w:t>]</w:t>
      </w:r>
    </w:p>
    <w:p w14:paraId="4D8070D6" w14:textId="655420BB" w:rsidR="00AF5820" w:rsidRPr="00B17BEE" w:rsidRDefault="00AF5820" w:rsidP="00AF5820">
      <w:pPr>
        <w:pStyle w:val="base-text-paragraph"/>
        <w:rPr>
          <w:rStyle w:val="Referencingstyle"/>
        </w:rPr>
      </w:pPr>
      <w:r>
        <w:t xml:space="preserve">The recipient does not need to consent to receive documents electronically but they have a right to opt out. For this reason, paragraphs 9(1)(d) and (2)(d) of the </w:t>
      </w:r>
      <w:r>
        <w:rPr>
          <w:i/>
          <w:iCs/>
        </w:rPr>
        <w:t xml:space="preserve">Electronic Transactions Act 1999 </w:t>
      </w:r>
      <w:r>
        <w:t xml:space="preserve">(which require consent) are disapplied. </w:t>
      </w:r>
      <w:r w:rsidRPr="00B17BEE">
        <w:rPr>
          <w:rStyle w:val="Referencingstyle"/>
        </w:rPr>
        <w:t>[</w:t>
      </w:r>
      <w:r w:rsidRPr="006A53D4">
        <w:rPr>
          <w:rStyle w:val="Referencingstyle"/>
        </w:rPr>
        <w:t xml:space="preserve">Schedule </w:t>
      </w:r>
      <w:r w:rsidR="00DE6DDF">
        <w:rPr>
          <w:rStyle w:val="Referencingstyle"/>
        </w:rPr>
        <w:t>2</w:t>
      </w:r>
      <w:r w:rsidRPr="006A53D4">
        <w:rPr>
          <w:rStyle w:val="Referencingstyle"/>
        </w:rPr>
        <w:t>, i</w:t>
      </w:r>
      <w:r w:rsidRPr="00D2408D">
        <w:rPr>
          <w:rStyle w:val="Referencingstyle"/>
        </w:rPr>
        <w:t>tem</w:t>
      </w:r>
      <w:r w:rsidR="00425CEA">
        <w:rPr>
          <w:rStyle w:val="Referencingstyle"/>
        </w:rPr>
        <w:t>s</w:t>
      </w:r>
      <w:r w:rsidRPr="00D2408D">
        <w:rPr>
          <w:rStyle w:val="Referencingstyle"/>
        </w:rPr>
        <w:t xml:space="preserve"> </w:t>
      </w:r>
      <w:r w:rsidR="00DE6DDF">
        <w:rPr>
          <w:rStyle w:val="Referencingstyle"/>
        </w:rPr>
        <w:t xml:space="preserve">1 and </w:t>
      </w:r>
      <w:r w:rsidRPr="00B17BEE">
        <w:rPr>
          <w:rStyle w:val="Referencingstyle"/>
        </w:rPr>
        <w:t>2, section</w:t>
      </w:r>
      <w:r w:rsidR="00DE6DDF">
        <w:rPr>
          <w:rStyle w:val="Referencingstyle"/>
        </w:rPr>
        <w:t>s</w:t>
      </w:r>
      <w:r w:rsidRPr="00B17BEE">
        <w:rPr>
          <w:rStyle w:val="Referencingstyle"/>
        </w:rPr>
        <w:t xml:space="preserve"> </w:t>
      </w:r>
      <w:r w:rsidR="00DE6DDF">
        <w:rPr>
          <w:rStyle w:val="Referencingstyle"/>
        </w:rPr>
        <w:t xml:space="preserve">187 and </w:t>
      </w:r>
      <w:r w:rsidRPr="00B17BEE">
        <w:rPr>
          <w:rStyle w:val="Referencingstyle"/>
        </w:rPr>
        <w:t xml:space="preserve">195(1) of </w:t>
      </w:r>
      <w:r w:rsidR="00A40E3E">
        <w:rPr>
          <w:rStyle w:val="Referencingstyle"/>
        </w:rPr>
        <w:t>the NCC</w:t>
      </w:r>
      <w:r w:rsidRPr="00B17BEE">
        <w:rPr>
          <w:rStyle w:val="Referencingstyle"/>
        </w:rPr>
        <w:t>]</w:t>
      </w:r>
    </w:p>
    <w:p w14:paraId="3ED63E32" w14:textId="3272BE4A" w:rsidR="00E752F1" w:rsidRDefault="001624D9" w:rsidP="00C2323F">
      <w:pPr>
        <w:pStyle w:val="base-text-paragraph"/>
      </w:pPr>
      <w:r>
        <w:t xml:space="preserve">If the giver </w:t>
      </w:r>
      <w:r w:rsidRPr="0008453D">
        <w:rPr>
          <w:i/>
          <w:iCs/>
        </w:rPr>
        <w:t>has</w:t>
      </w:r>
      <w:r>
        <w:t xml:space="preserve"> previously given a document to the recipient, </w:t>
      </w:r>
      <w:r w:rsidR="006F510D">
        <w:t xml:space="preserve">then they must continue to use </w:t>
      </w:r>
      <w:r w:rsidR="008575BB">
        <w:t>the</w:t>
      </w:r>
      <w:r w:rsidR="006F510D">
        <w:t xml:space="preserve"> same address</w:t>
      </w:r>
      <w:r w:rsidR="008575BB">
        <w:t xml:space="preserve"> they used last time</w:t>
      </w:r>
      <w:r w:rsidR="006F510D">
        <w:t xml:space="preserve">, unless and until </w:t>
      </w:r>
      <w:r w:rsidR="006A53D4">
        <w:t xml:space="preserve">they have notified the person of </w:t>
      </w:r>
      <w:r w:rsidR="00F657F7">
        <w:t>a</w:t>
      </w:r>
      <w:r w:rsidR="006A53D4">
        <w:t xml:space="preserve"> change</w:t>
      </w:r>
      <w:r w:rsidR="00187F45">
        <w:t xml:space="preserve"> </w:t>
      </w:r>
      <w:r w:rsidR="00F657F7">
        <w:t xml:space="preserve">to the </w:t>
      </w:r>
      <w:r w:rsidR="006F510D" w:rsidDel="00E752F1">
        <w:t>address</w:t>
      </w:r>
      <w:r w:rsidR="00CF6418">
        <w:t>.</w:t>
      </w:r>
      <w:r w:rsidR="0008453D" w:rsidRPr="0008453D">
        <w:t xml:space="preserve"> </w:t>
      </w:r>
      <w:r w:rsidR="0008453D">
        <w:t xml:space="preserve">This ensures that there is only ever one </w:t>
      </w:r>
      <w:r w:rsidR="007D2992">
        <w:t>‘</w:t>
      </w:r>
      <w:r w:rsidR="0008453D">
        <w:t>active</w:t>
      </w:r>
      <w:r w:rsidR="007D2992">
        <w:t>’</w:t>
      </w:r>
      <w:r w:rsidR="0008453D">
        <w:t xml:space="preserve"> address at a time, and a recipient will never be surprised by, or unaware of, a change in the address used. </w:t>
      </w:r>
      <w:r w:rsidR="00E752F1" w:rsidRPr="00725769">
        <w:rPr>
          <w:rStyle w:val="Referencingstyle"/>
        </w:rPr>
        <w:t>[</w:t>
      </w:r>
      <w:r w:rsidR="00E752F1">
        <w:rPr>
          <w:rStyle w:val="Referencingstyle"/>
        </w:rPr>
        <w:t xml:space="preserve">Schedule </w:t>
      </w:r>
      <w:r w:rsidR="00DE6DDF">
        <w:rPr>
          <w:rStyle w:val="Referencingstyle"/>
        </w:rPr>
        <w:t>2</w:t>
      </w:r>
      <w:r w:rsidR="00E752F1">
        <w:rPr>
          <w:rStyle w:val="Referencingstyle"/>
        </w:rPr>
        <w:t>, i</w:t>
      </w:r>
      <w:r w:rsidR="00E752F1" w:rsidRPr="00375F1D">
        <w:rPr>
          <w:rStyle w:val="Referencingstyle"/>
        </w:rPr>
        <w:t xml:space="preserve">tem </w:t>
      </w:r>
      <w:r w:rsidR="00E752F1">
        <w:rPr>
          <w:rStyle w:val="Referencingstyle"/>
        </w:rPr>
        <w:t>2</w:t>
      </w:r>
      <w:r w:rsidR="00E752F1" w:rsidRPr="00375F1D">
        <w:rPr>
          <w:rStyle w:val="Referencingstyle"/>
        </w:rPr>
        <w:t xml:space="preserve">, </w:t>
      </w:r>
      <w:r w:rsidR="00E752F1">
        <w:rPr>
          <w:rStyle w:val="Referencingstyle"/>
        </w:rPr>
        <w:t xml:space="preserve">section 195(2)(c) </w:t>
      </w:r>
      <w:r w:rsidR="00E752F1" w:rsidRPr="00375F1D">
        <w:rPr>
          <w:rStyle w:val="Referencingstyle"/>
        </w:rPr>
        <w:t xml:space="preserve">of </w:t>
      </w:r>
      <w:r w:rsidR="00A40E3E">
        <w:rPr>
          <w:rStyle w:val="Referencingstyle"/>
        </w:rPr>
        <w:t>the NCC</w:t>
      </w:r>
      <w:r w:rsidR="00E752F1" w:rsidRPr="00725769">
        <w:rPr>
          <w:rStyle w:val="Referencingstyle"/>
        </w:rPr>
        <w:t>]</w:t>
      </w:r>
    </w:p>
    <w:p w14:paraId="6FDC3566" w14:textId="4714D4C8" w:rsidR="00E752F1" w:rsidRDefault="00281943" w:rsidP="009769C6">
      <w:pPr>
        <w:pStyle w:val="base-text-paragraph"/>
        <w:rPr>
          <w:rStyle w:val="Referencingstyle"/>
        </w:rPr>
      </w:pPr>
      <w:bookmarkStart w:id="40" w:name="_Ref86836988"/>
      <w:r>
        <w:t>The notice</w:t>
      </w:r>
      <w:r w:rsidR="00D54531">
        <w:t xml:space="preserve"> of a change of address</w:t>
      </w:r>
      <w:r>
        <w:t xml:space="preserve"> must contain a prominent statement to the effect that unless the recipient nominates another physical or electronic address, following the expiry of 14 days after the notice is given, the giver will give documents to the recipient at </w:t>
      </w:r>
      <w:r w:rsidR="00D54531">
        <w:t>the</w:t>
      </w:r>
      <w:r>
        <w:t xml:space="preserve"> address</w:t>
      </w:r>
      <w:r w:rsidR="008575BB" w:rsidRPr="008575BB">
        <w:t xml:space="preserve"> </w:t>
      </w:r>
      <w:r w:rsidR="008575BB">
        <w:lastRenderedPageBreak/>
        <w:t>specified in the notice</w:t>
      </w:r>
      <w:r>
        <w:t xml:space="preserve">. The </w:t>
      </w:r>
      <w:r w:rsidR="00D54531">
        <w:t>notice</w:t>
      </w:r>
      <w:r>
        <w:t xml:space="preserve"> must also inform the recipient that they may nominate an alternative physical or electronic address (to the one specified by the giver) at any time. </w:t>
      </w:r>
      <w:r w:rsidRPr="0008453D">
        <w:rPr>
          <w:rStyle w:val="Referencingstyle"/>
        </w:rPr>
        <w:t xml:space="preserve">[Schedule </w:t>
      </w:r>
      <w:r w:rsidR="00DE6DDF">
        <w:rPr>
          <w:rStyle w:val="Referencingstyle"/>
        </w:rPr>
        <w:t>2</w:t>
      </w:r>
      <w:r w:rsidRPr="0008453D">
        <w:rPr>
          <w:rStyle w:val="Referencingstyle"/>
        </w:rPr>
        <w:t>, item 2, sections 195(2)(d), (8)</w:t>
      </w:r>
      <w:r w:rsidR="00DE6DDF">
        <w:rPr>
          <w:rStyle w:val="Referencingstyle"/>
        </w:rPr>
        <w:t xml:space="preserve"> and</w:t>
      </w:r>
      <w:r w:rsidRPr="0008453D">
        <w:rPr>
          <w:rStyle w:val="Referencingstyle"/>
        </w:rPr>
        <w:t xml:space="preserve"> (9) of </w:t>
      </w:r>
      <w:r w:rsidR="00A40E3E">
        <w:rPr>
          <w:rStyle w:val="Referencingstyle"/>
        </w:rPr>
        <w:t>the NCC</w:t>
      </w:r>
      <w:r w:rsidRPr="0008453D">
        <w:rPr>
          <w:rStyle w:val="Referencingstyle"/>
        </w:rPr>
        <w:t>]</w:t>
      </w:r>
      <w:bookmarkEnd w:id="40"/>
    </w:p>
    <w:p w14:paraId="65B1E384" w14:textId="47C4E304" w:rsidR="00291237" w:rsidRDefault="00291237" w:rsidP="00291237">
      <w:pPr>
        <w:pStyle w:val="Heading4"/>
      </w:pPr>
      <w:r>
        <w:t>Communication of a preference not to receive documents electronically</w:t>
      </w:r>
    </w:p>
    <w:p w14:paraId="3470540A" w14:textId="18430051" w:rsidR="00291237" w:rsidRPr="00377653" w:rsidRDefault="001E5540" w:rsidP="009769C6">
      <w:pPr>
        <w:pStyle w:val="base-text-paragraph"/>
        <w:rPr>
          <w:rStyle w:val="Referencingstyle"/>
          <w:b w:val="0"/>
          <w:i w:val="0"/>
          <w:sz w:val="22"/>
        </w:rPr>
      </w:pPr>
      <w:r>
        <w:t>Recipients</w:t>
      </w:r>
      <w:r w:rsidR="00291237" w:rsidDel="0008453D">
        <w:t xml:space="preserve"> </w:t>
      </w:r>
      <w:r w:rsidR="00291237">
        <w:t xml:space="preserve">can opt out of receiving documents electronically. One way of doing this would be to nominate a physical address. </w:t>
      </w:r>
      <w:r w:rsidR="00D4420F">
        <w:t xml:space="preserve">However,  some recipients may notify a giver that they do not want to receive documents electronically, without making a positive nomination of a physical address. In these circumstances, </w:t>
      </w:r>
      <w:r w:rsidR="00B85498">
        <w:t>the recipient’s</w:t>
      </w:r>
      <w:r w:rsidR="00D4420F">
        <w:t xml:space="preserve"> notification is taken to be a nomination that the appropriate address is the last known place of residence of the recipient</w:t>
      </w:r>
      <w:r w:rsidR="008575BB">
        <w:t>, or if the recipient operates a business, the last known place of the business</w:t>
      </w:r>
      <w:r w:rsidR="00D4420F">
        <w:t xml:space="preserve">. </w:t>
      </w:r>
      <w:r w:rsidR="00D4420F" w:rsidRPr="00725769">
        <w:rPr>
          <w:rStyle w:val="Referencingstyle"/>
        </w:rPr>
        <w:t>[</w:t>
      </w:r>
      <w:r w:rsidR="00D4420F">
        <w:rPr>
          <w:rStyle w:val="Referencingstyle"/>
        </w:rPr>
        <w:t xml:space="preserve">Schedule </w:t>
      </w:r>
      <w:r w:rsidR="00DE6DDF">
        <w:rPr>
          <w:rStyle w:val="Referencingstyle"/>
        </w:rPr>
        <w:t>2</w:t>
      </w:r>
      <w:r w:rsidR="00D4420F">
        <w:rPr>
          <w:rStyle w:val="Referencingstyle"/>
        </w:rPr>
        <w:t>, i</w:t>
      </w:r>
      <w:r w:rsidR="00D4420F" w:rsidRPr="00375F1D">
        <w:rPr>
          <w:rStyle w:val="Referencingstyle"/>
        </w:rPr>
        <w:t xml:space="preserve">tem </w:t>
      </w:r>
      <w:r w:rsidR="00D4420F">
        <w:rPr>
          <w:rStyle w:val="Referencingstyle"/>
        </w:rPr>
        <w:t>2</w:t>
      </w:r>
      <w:r w:rsidR="00D4420F" w:rsidRPr="00375F1D">
        <w:rPr>
          <w:rStyle w:val="Referencingstyle"/>
        </w:rPr>
        <w:t xml:space="preserve">, </w:t>
      </w:r>
      <w:r w:rsidR="00D4420F">
        <w:rPr>
          <w:rStyle w:val="Referencingstyle"/>
        </w:rPr>
        <w:t>sections 195(3)</w:t>
      </w:r>
      <w:r w:rsidR="00B85498">
        <w:rPr>
          <w:rStyle w:val="Referencingstyle"/>
        </w:rPr>
        <w:t>, (4)</w:t>
      </w:r>
      <w:r w:rsidR="00D4420F">
        <w:rPr>
          <w:rStyle w:val="Referencingstyle"/>
        </w:rPr>
        <w:t xml:space="preserve"> </w:t>
      </w:r>
      <w:r w:rsidR="00D4420F" w:rsidRPr="00375F1D">
        <w:rPr>
          <w:rStyle w:val="Referencingstyle"/>
        </w:rPr>
        <w:t xml:space="preserve">of </w:t>
      </w:r>
      <w:r w:rsidR="00A40E3E">
        <w:rPr>
          <w:rStyle w:val="Referencingstyle"/>
        </w:rPr>
        <w:t>the NCC</w:t>
      </w:r>
      <w:r w:rsidR="00D4420F" w:rsidRPr="00725769">
        <w:rPr>
          <w:rStyle w:val="Referencingstyle"/>
        </w:rPr>
        <w:t>]</w:t>
      </w:r>
    </w:p>
    <w:p w14:paraId="4E42E026" w14:textId="2574BA86" w:rsidR="00B85498" w:rsidRDefault="00B85498" w:rsidP="009769C6">
      <w:pPr>
        <w:pStyle w:val="base-text-paragraph"/>
      </w:pPr>
      <w:r>
        <w:t xml:space="preserve">Recipients can notify givers of their preference not to receive documents electronically in any appropriate manner, whether or not in writing. </w:t>
      </w:r>
      <w:r w:rsidRPr="00725769">
        <w:rPr>
          <w:rStyle w:val="Referencingstyle"/>
        </w:rPr>
        <w:t>[</w:t>
      </w:r>
      <w:r>
        <w:rPr>
          <w:rStyle w:val="Referencingstyle"/>
        </w:rPr>
        <w:t xml:space="preserve">Schedule </w:t>
      </w:r>
      <w:r w:rsidR="00883F55">
        <w:rPr>
          <w:rStyle w:val="Referencingstyle"/>
        </w:rPr>
        <w:t>2</w:t>
      </w:r>
      <w:r>
        <w:rPr>
          <w:rStyle w:val="Referencingstyle"/>
        </w:rPr>
        <w:t>, i</w:t>
      </w:r>
      <w:r w:rsidRPr="00375F1D">
        <w:rPr>
          <w:rStyle w:val="Referencingstyle"/>
        </w:rPr>
        <w:t xml:space="preserve">tem </w:t>
      </w:r>
      <w:r>
        <w:rPr>
          <w:rStyle w:val="Referencingstyle"/>
        </w:rPr>
        <w:t>2</w:t>
      </w:r>
      <w:r w:rsidRPr="00375F1D">
        <w:rPr>
          <w:rStyle w:val="Referencingstyle"/>
        </w:rPr>
        <w:t xml:space="preserve">, </w:t>
      </w:r>
      <w:r>
        <w:rPr>
          <w:rStyle w:val="Referencingstyle"/>
        </w:rPr>
        <w:t xml:space="preserve">section 195(6) </w:t>
      </w:r>
      <w:r w:rsidRPr="00375F1D">
        <w:rPr>
          <w:rStyle w:val="Referencingstyle"/>
        </w:rPr>
        <w:t xml:space="preserve">of </w:t>
      </w:r>
      <w:r w:rsidR="00A40E3E">
        <w:rPr>
          <w:rStyle w:val="Referencingstyle"/>
        </w:rPr>
        <w:t>the NCC</w:t>
      </w:r>
      <w:r w:rsidRPr="00725769">
        <w:rPr>
          <w:rStyle w:val="Referencingstyle"/>
        </w:rPr>
        <w:t>]</w:t>
      </w:r>
    </w:p>
    <w:p w14:paraId="2A8A0358" w14:textId="10AA98F3" w:rsidR="00D4420F" w:rsidRDefault="00D4420F" w:rsidP="00377653">
      <w:pPr>
        <w:pStyle w:val="Heading4"/>
      </w:pPr>
      <w:r>
        <w:t>Making, changing or cancelling nomination</w:t>
      </w:r>
    </w:p>
    <w:p w14:paraId="64671E8B" w14:textId="6FC76A37" w:rsidR="00D4420F" w:rsidRPr="002C30F7" w:rsidRDefault="00B85498" w:rsidP="009769C6">
      <w:pPr>
        <w:pStyle w:val="base-text-paragraph"/>
        <w:rPr>
          <w:rStyle w:val="Referencingstyle"/>
        </w:rPr>
      </w:pPr>
      <w:r>
        <w:t xml:space="preserve">The recipient can </w:t>
      </w:r>
      <w:r w:rsidR="008575BB">
        <w:t>make,</w:t>
      </w:r>
      <w:r>
        <w:t xml:space="preserve"> </w:t>
      </w:r>
      <w:r w:rsidR="00EA63D0">
        <w:t xml:space="preserve">change or </w:t>
      </w:r>
      <w:r>
        <w:t>cancel their nomination of</w:t>
      </w:r>
      <w:r w:rsidR="00EA63D0">
        <w:t xml:space="preserve"> address at any time by notifying the giver. This can be done in any appropriate manner, whether or not in writing. </w:t>
      </w:r>
      <w:r w:rsidR="00EA63D0" w:rsidRPr="001E5540">
        <w:rPr>
          <w:rStyle w:val="Referencingstyle"/>
        </w:rPr>
        <w:t xml:space="preserve">[Schedule </w:t>
      </w:r>
      <w:r w:rsidR="00883F55">
        <w:rPr>
          <w:rStyle w:val="Referencingstyle"/>
        </w:rPr>
        <w:t>2</w:t>
      </w:r>
      <w:r w:rsidR="00EA63D0" w:rsidRPr="001E5540">
        <w:rPr>
          <w:rStyle w:val="Referencingstyle"/>
        </w:rPr>
        <w:t xml:space="preserve">, item 2, sections 195(5) and (6) </w:t>
      </w:r>
      <w:r w:rsidR="00EA63D0" w:rsidRPr="00AF5820">
        <w:rPr>
          <w:rStyle w:val="Referencingstyle"/>
        </w:rPr>
        <w:t xml:space="preserve">of </w:t>
      </w:r>
      <w:r w:rsidR="00A40E3E">
        <w:rPr>
          <w:rStyle w:val="Referencingstyle"/>
        </w:rPr>
        <w:t>the NCC</w:t>
      </w:r>
      <w:r w:rsidR="00EA63D0" w:rsidRPr="00F5564E">
        <w:rPr>
          <w:rStyle w:val="Referencingstyle"/>
        </w:rPr>
        <w:t>]</w:t>
      </w:r>
    </w:p>
    <w:p w14:paraId="2C1BA4C1" w14:textId="27CE8B1F" w:rsidR="00EA63D0" w:rsidRPr="00377653" w:rsidRDefault="00EA63D0" w:rsidP="00EA63D0">
      <w:pPr>
        <w:pStyle w:val="base-text-paragraph"/>
        <w:rPr>
          <w:rStyle w:val="Referencingstyle"/>
        </w:rPr>
      </w:pPr>
      <w:r w:rsidRPr="00377653">
        <w:t>If a recipient cancels their nomination, it no longer has effect. The appropriate address would therefore be determined by the scheme in relation to circumstances where there is no nomination.</w:t>
      </w:r>
      <w:r>
        <w:rPr>
          <w:rStyle w:val="Referencingstyle"/>
          <w:b w:val="0"/>
          <w:bCs/>
          <w:i w:val="0"/>
          <w:iCs/>
        </w:rPr>
        <w:t xml:space="preserve"> </w:t>
      </w:r>
      <w:r w:rsidRPr="001E5540">
        <w:rPr>
          <w:rStyle w:val="Referencingstyle"/>
        </w:rPr>
        <w:t xml:space="preserve">[Schedule </w:t>
      </w:r>
      <w:r w:rsidR="00883F55">
        <w:rPr>
          <w:rStyle w:val="Referencingstyle"/>
        </w:rPr>
        <w:t>2</w:t>
      </w:r>
      <w:r w:rsidRPr="001E5540">
        <w:rPr>
          <w:rStyle w:val="Referencingstyle"/>
        </w:rPr>
        <w:t xml:space="preserve">, item 2, section 195(7) </w:t>
      </w:r>
      <w:r w:rsidRPr="00AF5820">
        <w:rPr>
          <w:rStyle w:val="Referencingstyle"/>
        </w:rPr>
        <w:t xml:space="preserve">of </w:t>
      </w:r>
      <w:r w:rsidR="00A40E3E">
        <w:rPr>
          <w:rStyle w:val="Referencingstyle"/>
        </w:rPr>
        <w:t>the NCC</w:t>
      </w:r>
      <w:r w:rsidRPr="00AF5820">
        <w:rPr>
          <w:rStyle w:val="Referencingstyle"/>
        </w:rPr>
        <w:t>]</w:t>
      </w:r>
    </w:p>
    <w:p w14:paraId="4E433B54" w14:textId="617804B5" w:rsidR="001A1AA8" w:rsidRDefault="001A1AA8" w:rsidP="001A1AA8">
      <w:pPr>
        <w:pStyle w:val="Heading4"/>
      </w:pPr>
      <w:r>
        <w:t>Typographical correction</w:t>
      </w:r>
    </w:p>
    <w:p w14:paraId="69D85AE9" w14:textId="79EAF5D1" w:rsidR="001E5540" w:rsidRPr="00B17BEE" w:rsidRDefault="001A1AA8" w:rsidP="001F3D67">
      <w:pPr>
        <w:pStyle w:val="base-text-paragraph"/>
        <w:rPr>
          <w:rStyle w:val="Referencingstyle"/>
          <w:b w:val="0"/>
          <w:i w:val="0"/>
        </w:rPr>
      </w:pPr>
      <w:r>
        <w:t>Item 3 corrects a typographical error in section 196(1)(</w:t>
      </w:r>
      <w:r w:rsidR="00A26CFA">
        <w:t>c</w:t>
      </w:r>
      <w:r>
        <w:t xml:space="preserve">) of the National Credit Code. A </w:t>
      </w:r>
      <w:r w:rsidRPr="001F3D67">
        <w:rPr>
          <w:rStyle w:val="Referencingstyle"/>
          <w:b w:val="0"/>
          <w:i w:val="0"/>
          <w:sz w:val="22"/>
        </w:rPr>
        <w:t>document</w:t>
      </w:r>
      <w:r>
        <w:t xml:space="preserve"> is taken to be given by electronic communication at the time that section 14A of the </w:t>
      </w:r>
      <w:r w:rsidRPr="001E5540">
        <w:rPr>
          <w:i/>
          <w:iCs/>
        </w:rPr>
        <w:t>Electronic Transactions Act 1999</w:t>
      </w:r>
      <w:r>
        <w:t xml:space="preserve"> provides is the time or receipt of the electronic communication.</w:t>
      </w:r>
      <w:r w:rsidR="00883F55">
        <w:t xml:space="preserve"> </w:t>
      </w:r>
      <w:r w:rsidR="001E5540" w:rsidRPr="001E5540">
        <w:rPr>
          <w:rStyle w:val="Referencingstyle"/>
        </w:rPr>
        <w:t xml:space="preserve">[Schedule </w:t>
      </w:r>
      <w:r w:rsidR="00883F55">
        <w:rPr>
          <w:rStyle w:val="Referencingstyle"/>
        </w:rPr>
        <w:t>2</w:t>
      </w:r>
      <w:r w:rsidR="001E5540" w:rsidRPr="001E5540">
        <w:rPr>
          <w:rStyle w:val="Referencingstyle"/>
        </w:rPr>
        <w:t xml:space="preserve">, item </w:t>
      </w:r>
      <w:r w:rsidR="001E5540">
        <w:rPr>
          <w:rStyle w:val="Referencingstyle"/>
        </w:rPr>
        <w:t>3</w:t>
      </w:r>
      <w:r w:rsidR="001E5540" w:rsidRPr="001E5540">
        <w:rPr>
          <w:rStyle w:val="Referencingstyle"/>
        </w:rPr>
        <w:t>, section 19</w:t>
      </w:r>
      <w:r w:rsidR="001E5540">
        <w:rPr>
          <w:rStyle w:val="Referencingstyle"/>
        </w:rPr>
        <w:t>6(1)(a)</w:t>
      </w:r>
      <w:r w:rsidR="001E5540" w:rsidRPr="001E5540">
        <w:rPr>
          <w:rStyle w:val="Referencingstyle"/>
        </w:rPr>
        <w:t xml:space="preserve"> </w:t>
      </w:r>
      <w:r w:rsidR="001E5540" w:rsidRPr="00B17BEE">
        <w:rPr>
          <w:rStyle w:val="Referencingstyle"/>
        </w:rPr>
        <w:t xml:space="preserve">of </w:t>
      </w:r>
      <w:r w:rsidR="00A40E3E">
        <w:rPr>
          <w:rStyle w:val="Referencingstyle"/>
        </w:rPr>
        <w:t>the NCC</w:t>
      </w:r>
      <w:r w:rsidR="001E5540" w:rsidRPr="00B17BEE">
        <w:rPr>
          <w:rStyle w:val="Referencingstyle"/>
        </w:rPr>
        <w:t>]</w:t>
      </w:r>
    </w:p>
    <w:p w14:paraId="1B62F35F" w14:textId="77777777" w:rsidR="00994A48" w:rsidRDefault="00994A48" w:rsidP="00994A48">
      <w:pPr>
        <w:pStyle w:val="Heading3"/>
      </w:pPr>
      <w:r>
        <w:t>Technology Neutral Payments</w:t>
      </w:r>
    </w:p>
    <w:p w14:paraId="3E1F3677" w14:textId="77777777" w:rsidR="00994A48" w:rsidRDefault="00994A48" w:rsidP="00D54531">
      <w:pPr>
        <w:pStyle w:val="base-text-paragraph"/>
        <w:numPr>
          <w:ilvl w:val="1"/>
          <w:numId w:val="21"/>
        </w:numPr>
      </w:pPr>
      <w:r>
        <w:t xml:space="preserve">The Bill also removes technologically prescriptive requirements relating to payments. </w:t>
      </w:r>
    </w:p>
    <w:p w14:paraId="4E793A7D" w14:textId="29703CD1" w:rsidR="00994A48" w:rsidRDefault="00994A48" w:rsidP="00D54531">
      <w:pPr>
        <w:pStyle w:val="base-text-paragraph"/>
        <w:numPr>
          <w:ilvl w:val="1"/>
          <w:numId w:val="21"/>
        </w:numPr>
      </w:pPr>
      <w:r>
        <w:t xml:space="preserve">It removes the requirement for a no liability company to notify shareholders of the place of payment. This removes any uncertainty that companies can provide for any method of payment, including digital methods. The previous requirement to send the notice by post is also </w:t>
      </w:r>
      <w:r>
        <w:lastRenderedPageBreak/>
        <w:t xml:space="preserve">omitted. </w:t>
      </w:r>
      <w:r w:rsidRPr="001D2259">
        <w:rPr>
          <w:b/>
          <w:i/>
          <w:sz w:val="18"/>
          <w:szCs w:val="18"/>
        </w:rPr>
        <w:t xml:space="preserve">[Schedule </w:t>
      </w:r>
      <w:r w:rsidR="00785F3A">
        <w:rPr>
          <w:b/>
          <w:i/>
          <w:sz w:val="18"/>
          <w:szCs w:val="18"/>
        </w:rPr>
        <w:t>2</w:t>
      </w:r>
      <w:r w:rsidRPr="001D2259">
        <w:rPr>
          <w:b/>
          <w:i/>
          <w:sz w:val="18"/>
          <w:szCs w:val="18"/>
        </w:rPr>
        <w:t xml:space="preserve">, items </w:t>
      </w:r>
      <w:r w:rsidR="001248CC">
        <w:rPr>
          <w:b/>
          <w:i/>
          <w:sz w:val="18"/>
          <w:szCs w:val="18"/>
        </w:rPr>
        <w:t>5</w:t>
      </w:r>
      <w:r w:rsidRPr="001D2259">
        <w:rPr>
          <w:b/>
          <w:i/>
          <w:sz w:val="18"/>
          <w:szCs w:val="18"/>
        </w:rPr>
        <w:t xml:space="preserve"> and </w:t>
      </w:r>
      <w:r w:rsidR="001248CC">
        <w:rPr>
          <w:b/>
          <w:i/>
          <w:sz w:val="18"/>
          <w:szCs w:val="18"/>
        </w:rPr>
        <w:t>6</w:t>
      </w:r>
      <w:r w:rsidRPr="001D2259">
        <w:rPr>
          <w:b/>
          <w:i/>
          <w:sz w:val="18"/>
          <w:szCs w:val="18"/>
        </w:rPr>
        <w:t>, sections 254P(2) and 254P(2)(c) of the Corporations Act]</w:t>
      </w:r>
    </w:p>
    <w:p w14:paraId="1BC59D49" w14:textId="2DB2D1E2" w:rsidR="00994A48" w:rsidRDefault="00994A48" w:rsidP="00D54531">
      <w:pPr>
        <w:pStyle w:val="base-text-paragraph"/>
      </w:pPr>
      <w:r>
        <w:t xml:space="preserve">Amendments are also made to allow penalties imposed by an infringement notice issued under the </w:t>
      </w:r>
      <w:r w:rsidRPr="00AB7C4A">
        <w:rPr>
          <w:i/>
          <w:iCs/>
        </w:rPr>
        <w:t xml:space="preserve">Excise Act </w:t>
      </w:r>
      <w:r w:rsidR="00AB7C4A" w:rsidRPr="00AB7C4A">
        <w:rPr>
          <w:i/>
          <w:iCs/>
        </w:rPr>
        <w:t xml:space="preserve">1901 </w:t>
      </w:r>
      <w:r>
        <w:t xml:space="preserve">to be paid in any way specified in the notice. Formerly, payment needed to specify a place. </w:t>
      </w:r>
      <w:r w:rsidRPr="001D2259">
        <w:rPr>
          <w:b/>
          <w:i/>
          <w:sz w:val="18"/>
          <w:szCs w:val="18"/>
        </w:rPr>
        <w:t xml:space="preserve">[Schedule </w:t>
      </w:r>
      <w:r w:rsidR="00785F3A">
        <w:rPr>
          <w:b/>
          <w:i/>
          <w:sz w:val="18"/>
          <w:szCs w:val="18"/>
        </w:rPr>
        <w:t>2</w:t>
      </w:r>
      <w:r w:rsidRPr="001D2259">
        <w:rPr>
          <w:b/>
          <w:i/>
          <w:sz w:val="18"/>
          <w:szCs w:val="18"/>
        </w:rPr>
        <w:t xml:space="preserve">, item </w:t>
      </w:r>
      <w:r w:rsidR="008201F4">
        <w:rPr>
          <w:b/>
          <w:i/>
          <w:sz w:val="18"/>
          <w:szCs w:val="18"/>
        </w:rPr>
        <w:t>7</w:t>
      </w:r>
      <w:r w:rsidRPr="001D2259">
        <w:rPr>
          <w:b/>
          <w:i/>
          <w:sz w:val="18"/>
          <w:szCs w:val="18"/>
        </w:rPr>
        <w:t>, section 129C(2)(a) of the Excise Act</w:t>
      </w:r>
      <w:r w:rsidR="00AB7C4A">
        <w:rPr>
          <w:b/>
          <w:i/>
          <w:sz w:val="18"/>
          <w:szCs w:val="18"/>
        </w:rPr>
        <w:t xml:space="preserve"> 1901</w:t>
      </w:r>
      <w:r w:rsidRPr="001D2259">
        <w:rPr>
          <w:b/>
          <w:i/>
          <w:sz w:val="18"/>
          <w:szCs w:val="18"/>
        </w:rPr>
        <w:t>]</w:t>
      </w:r>
    </w:p>
    <w:p w14:paraId="30141E11" w14:textId="0C5E7F2C" w:rsidR="00994A48" w:rsidRPr="00572CDE" w:rsidRDefault="00994A48" w:rsidP="00D54531">
      <w:pPr>
        <w:pStyle w:val="base-text-paragraph"/>
      </w:pPr>
      <w:r>
        <w:rPr>
          <w:lang w:val="en-US" w:eastAsia="en-US"/>
        </w:rPr>
        <w:t>Finally, the Bill repeals section 32</w:t>
      </w:r>
      <w:r w:rsidR="00AB7C4A">
        <w:rPr>
          <w:lang w:val="en-US" w:eastAsia="en-US"/>
        </w:rPr>
        <w:t xml:space="preserve"> of the </w:t>
      </w:r>
      <w:r w:rsidR="00AB7C4A">
        <w:rPr>
          <w:i/>
          <w:iCs/>
          <w:lang w:val="en-US" w:eastAsia="en-US"/>
        </w:rPr>
        <w:t>Small Superannuation Accounts Act 1995</w:t>
      </w:r>
      <w:r>
        <w:rPr>
          <w:lang w:val="en-US" w:eastAsia="en-US"/>
        </w:rPr>
        <w:t xml:space="preserve">. This section required the deposit form accompanying the deposit paid to the Commissioner of Taxation under Part 4 of the </w:t>
      </w:r>
      <w:r w:rsidR="00AB7C4A">
        <w:rPr>
          <w:i/>
          <w:iCs/>
          <w:lang w:val="en-US" w:eastAsia="en-US"/>
        </w:rPr>
        <w:t xml:space="preserve">Small Superannuation Accounts Act 1995 </w:t>
      </w:r>
      <w:r>
        <w:rPr>
          <w:lang w:val="en-US" w:eastAsia="en-US"/>
        </w:rPr>
        <w:t xml:space="preserve">to include certain specifications as to the method of payment. </w:t>
      </w:r>
      <w:r w:rsidRPr="001D2259">
        <w:rPr>
          <w:b/>
          <w:i/>
          <w:sz w:val="18"/>
          <w:szCs w:val="18"/>
        </w:rPr>
        <w:t xml:space="preserve">[Schedule </w:t>
      </w:r>
      <w:r w:rsidR="00785F3A">
        <w:rPr>
          <w:b/>
          <w:i/>
          <w:sz w:val="18"/>
          <w:szCs w:val="18"/>
        </w:rPr>
        <w:t>2</w:t>
      </w:r>
      <w:r w:rsidRPr="001D2259">
        <w:rPr>
          <w:b/>
          <w:i/>
          <w:sz w:val="18"/>
          <w:szCs w:val="18"/>
        </w:rPr>
        <w:t xml:space="preserve">, item </w:t>
      </w:r>
      <w:r w:rsidR="008201F4">
        <w:rPr>
          <w:b/>
          <w:i/>
          <w:sz w:val="18"/>
          <w:szCs w:val="18"/>
        </w:rPr>
        <w:t>8</w:t>
      </w:r>
      <w:r w:rsidRPr="001D2259">
        <w:rPr>
          <w:b/>
          <w:bCs/>
          <w:i/>
          <w:iCs/>
          <w:sz w:val="18"/>
          <w:szCs w:val="18"/>
        </w:rPr>
        <w:t xml:space="preserve">, section 32 of the </w:t>
      </w:r>
      <w:r w:rsidR="00AB7C4A" w:rsidRPr="00AB7C4A">
        <w:rPr>
          <w:b/>
          <w:bCs/>
          <w:i/>
          <w:iCs/>
          <w:sz w:val="18"/>
          <w:szCs w:val="18"/>
        </w:rPr>
        <w:t>Small Superannuation Accounts Act 1995</w:t>
      </w:r>
      <w:r>
        <w:rPr>
          <w:b/>
          <w:bCs/>
          <w:i/>
          <w:iCs/>
          <w:sz w:val="18"/>
          <w:szCs w:val="18"/>
        </w:rPr>
        <w:t xml:space="preserve">] </w:t>
      </w:r>
    </w:p>
    <w:p w14:paraId="2D573AFF" w14:textId="77777777" w:rsidR="009769C6" w:rsidRDefault="009769C6" w:rsidP="009D3DC0">
      <w:pPr>
        <w:pStyle w:val="Heading2"/>
      </w:pPr>
      <w:r>
        <w:t>Application and transitional provisions</w:t>
      </w:r>
    </w:p>
    <w:p w14:paraId="05725F94" w14:textId="5E8AA6AC" w:rsidR="0006609E" w:rsidRPr="001F3D67" w:rsidRDefault="005C50EC" w:rsidP="001F3D67">
      <w:pPr>
        <w:pStyle w:val="base-text-paragraph"/>
        <w:rPr>
          <w:rStyle w:val="Referencingstyle"/>
          <w:b w:val="0"/>
          <w:i w:val="0"/>
          <w:sz w:val="22"/>
        </w:rPr>
      </w:pPr>
      <w:r>
        <w:t>The amendments relating to credit apply</w:t>
      </w:r>
      <w:r w:rsidR="0006609E">
        <w:t xml:space="preserve"> to information, notices or other documents given from</w:t>
      </w:r>
      <w:r>
        <w:t xml:space="preserve"> one month after the Act receives Royal Assent. This ensures </w:t>
      </w:r>
      <w:r w:rsidR="00AA0822" w:rsidRPr="00377653">
        <w:t xml:space="preserve">that providers and other regulated entities have time to make administrative adjustments to their communication systems and protocols so that they can </w:t>
      </w:r>
      <w:r w:rsidR="007D0FD8">
        <w:t>implement the added options provided by</w:t>
      </w:r>
      <w:r w:rsidR="00AA0822" w:rsidRPr="00377653">
        <w:t xml:space="preserve"> the amendments. </w:t>
      </w:r>
      <w:r w:rsidR="0006609E" w:rsidRPr="00725769">
        <w:rPr>
          <w:rStyle w:val="Referencingstyle"/>
        </w:rPr>
        <w:t xml:space="preserve">[Schedule </w:t>
      </w:r>
      <w:r w:rsidR="00785F3A">
        <w:rPr>
          <w:rStyle w:val="Referencingstyle"/>
        </w:rPr>
        <w:t>2</w:t>
      </w:r>
      <w:r w:rsidR="0006609E" w:rsidRPr="00725769">
        <w:rPr>
          <w:rStyle w:val="Referencingstyle"/>
        </w:rPr>
        <w:t>, item</w:t>
      </w:r>
      <w:r w:rsidR="00C841A3">
        <w:rPr>
          <w:rStyle w:val="Referencingstyle"/>
        </w:rPr>
        <w:t xml:space="preserve">s </w:t>
      </w:r>
      <w:r w:rsidR="00785F3A">
        <w:rPr>
          <w:rStyle w:val="Referencingstyle"/>
        </w:rPr>
        <w:t>4</w:t>
      </w:r>
      <w:r w:rsidR="0006609E">
        <w:rPr>
          <w:rStyle w:val="Referencingstyle"/>
        </w:rPr>
        <w:t>]</w:t>
      </w:r>
    </w:p>
    <w:p w14:paraId="3F45C7E7" w14:textId="28C4593A" w:rsidR="00F4128C" w:rsidRPr="001F3D67" w:rsidRDefault="00F4128C" w:rsidP="00F4128C">
      <w:pPr>
        <w:pStyle w:val="base-text-paragraph"/>
        <w:rPr>
          <w:rStyle w:val="Referencingstyle"/>
          <w:b w:val="0"/>
          <w:i w:val="0"/>
          <w:sz w:val="22"/>
        </w:rPr>
      </w:pPr>
      <w:r>
        <w:t>If a credit provider has given documents to a recipient before the commencement of the provisions</w:t>
      </w:r>
      <w:r w:rsidR="007D0FD8">
        <w:t xml:space="preserve"> and the recipient does not have a nominated address</w:t>
      </w:r>
      <w:r>
        <w:t>, they also need to notify the recipient before changing the address</w:t>
      </w:r>
      <w:r w:rsidR="006469E3">
        <w:t xml:space="preserve"> in the manner set out </w:t>
      </w:r>
      <w:r w:rsidR="00FC3494">
        <w:t xml:space="preserve">in paragraph </w:t>
      </w:r>
      <w:r w:rsidR="00BF4AAC">
        <w:t>2.15</w:t>
      </w:r>
      <w:r w:rsidR="00FC3494">
        <w:t xml:space="preserve"> </w:t>
      </w:r>
      <w:r w:rsidR="006469E3">
        <w:t>above</w:t>
      </w:r>
      <w:r>
        <w:t xml:space="preserve">. </w:t>
      </w:r>
      <w:r w:rsidRPr="00725769">
        <w:rPr>
          <w:rStyle w:val="Referencingstyle"/>
        </w:rPr>
        <w:t xml:space="preserve">[Schedule </w:t>
      </w:r>
      <w:r w:rsidR="00785F3A">
        <w:rPr>
          <w:rStyle w:val="Referencingstyle"/>
        </w:rPr>
        <w:t>2</w:t>
      </w:r>
      <w:r w:rsidRPr="00725769">
        <w:rPr>
          <w:rStyle w:val="Referencingstyle"/>
        </w:rPr>
        <w:t>, item</w:t>
      </w:r>
      <w:r w:rsidR="00AE4650">
        <w:rPr>
          <w:rStyle w:val="Referencingstyle"/>
        </w:rPr>
        <w:t> </w:t>
      </w:r>
      <w:r w:rsidR="00785F3A">
        <w:rPr>
          <w:rStyle w:val="Referencingstyle"/>
        </w:rPr>
        <w:t>4</w:t>
      </w:r>
      <w:r>
        <w:rPr>
          <w:rStyle w:val="Referencingstyle"/>
        </w:rPr>
        <w:t>]</w:t>
      </w:r>
    </w:p>
    <w:p w14:paraId="09631B08" w14:textId="75643267" w:rsidR="008819E4" w:rsidRDefault="00C21169" w:rsidP="00F4128C">
      <w:pPr>
        <w:pStyle w:val="base-text-paragraph"/>
      </w:pPr>
      <w:r>
        <w:t>The giver is also prohibited from using an electronic address (without first notifying the recipient</w:t>
      </w:r>
      <w:r w:rsidR="006469E3">
        <w:t xml:space="preserve"> in the manner set out in paragraph </w:t>
      </w:r>
      <w:r w:rsidR="00BF4AAC">
        <w:t>2.15</w:t>
      </w:r>
      <w:r w:rsidR="006469E3">
        <w:t xml:space="preserve"> above</w:t>
      </w:r>
      <w:r>
        <w:t xml:space="preserve">) if the recipient cancelled their nomination of an address before the commencement and did not nominate another address. This transitional requirement ensures that existing customers are not disadvantaged or taken by surprise. Under the rules in place before these reforms, recipients who had not made a nomination would have only received documents physically. </w:t>
      </w:r>
      <w:r w:rsidR="00B70C89" w:rsidRPr="00725769">
        <w:rPr>
          <w:rStyle w:val="Referencingstyle"/>
        </w:rPr>
        <w:t xml:space="preserve">[Schedule </w:t>
      </w:r>
      <w:r w:rsidR="00785F3A">
        <w:rPr>
          <w:rStyle w:val="Referencingstyle"/>
        </w:rPr>
        <w:t>2</w:t>
      </w:r>
      <w:r w:rsidR="00B70C89" w:rsidRPr="00725769">
        <w:rPr>
          <w:rStyle w:val="Referencingstyle"/>
        </w:rPr>
        <w:t xml:space="preserve">, item </w:t>
      </w:r>
      <w:r w:rsidR="00B70C89">
        <w:rPr>
          <w:rStyle w:val="Referencingstyle"/>
        </w:rPr>
        <w:t>4]</w:t>
      </w:r>
    </w:p>
    <w:p w14:paraId="2E20EBE0" w14:textId="73BE6662" w:rsidR="0006609E" w:rsidRDefault="00377653" w:rsidP="009769C6">
      <w:pPr>
        <w:pStyle w:val="base-text-paragraph"/>
      </w:pPr>
      <w:r>
        <w:t>Nominations</w:t>
      </w:r>
      <w:r w:rsidR="00F4128C">
        <w:t xml:space="preserve"> </w:t>
      </w:r>
      <w:r>
        <w:t xml:space="preserve">of an address made under section 195(1)(a) or (2)(a) of the National Credit Code prior to commencement continue in force after commencement. </w:t>
      </w:r>
      <w:r w:rsidR="00F4128C" w:rsidRPr="00725769">
        <w:rPr>
          <w:rStyle w:val="Referencingstyle"/>
        </w:rPr>
        <w:t xml:space="preserve">[Schedule </w:t>
      </w:r>
      <w:r w:rsidR="00785F3A">
        <w:rPr>
          <w:rStyle w:val="Referencingstyle"/>
        </w:rPr>
        <w:t>2</w:t>
      </w:r>
      <w:r w:rsidR="00F4128C" w:rsidRPr="00725769">
        <w:rPr>
          <w:rStyle w:val="Referencingstyle"/>
        </w:rPr>
        <w:t xml:space="preserve">, item </w:t>
      </w:r>
      <w:r w:rsidR="00785F3A">
        <w:rPr>
          <w:rStyle w:val="Referencingstyle"/>
        </w:rPr>
        <w:t>4</w:t>
      </w:r>
      <w:r w:rsidR="00F4128C">
        <w:rPr>
          <w:rStyle w:val="Referencingstyle"/>
        </w:rPr>
        <w:t>]</w:t>
      </w:r>
    </w:p>
    <w:p w14:paraId="5E0BFAC8" w14:textId="41695FC6" w:rsidR="005C50EC" w:rsidRDefault="005C50EC" w:rsidP="009769C6">
      <w:pPr>
        <w:pStyle w:val="base-text-paragraph"/>
      </w:pPr>
      <w:r>
        <w:t xml:space="preserve">The amendments relating to payments apply from the </w:t>
      </w:r>
      <w:r w:rsidR="00B7129E">
        <w:t>day after the Act receives the</w:t>
      </w:r>
      <w:r>
        <w:t xml:space="preserve"> Royal Assent.</w:t>
      </w:r>
    </w:p>
    <w:p w14:paraId="334A47B6" w14:textId="77777777" w:rsidR="005C50EC" w:rsidRDefault="005C50EC" w:rsidP="005C50EC">
      <w:pPr>
        <w:pStyle w:val="base-text-paragraph"/>
        <w:numPr>
          <w:ilvl w:val="0"/>
          <w:numId w:val="0"/>
        </w:numPr>
        <w:ind w:left="1135"/>
      </w:pPr>
      <w:r>
        <w:br w:type="column"/>
      </w:r>
    </w:p>
    <w:p w14:paraId="469C5521" w14:textId="5EF43209" w:rsidR="00EF2CFC" w:rsidRPr="007C2B20" w:rsidRDefault="00366C2B" w:rsidP="00EF2CFC">
      <w:pPr>
        <w:pStyle w:val="ChapterHeading"/>
      </w:pPr>
      <w:bookmarkStart w:id="41" w:name="_Toc86910518"/>
      <w:r>
        <w:rPr>
          <w:rStyle w:val="ChapterNameOnly"/>
        </w:rPr>
        <w:t>Newspapers</w:t>
      </w:r>
      <w:bookmarkEnd w:id="41"/>
      <w:r>
        <w:rPr>
          <w:rStyle w:val="ChapterNameOnly"/>
        </w:rPr>
        <w:t xml:space="preserve"> </w:t>
      </w:r>
    </w:p>
    <w:p w14:paraId="767ABA89" w14:textId="77777777" w:rsidR="00EF2CFC" w:rsidRDefault="00EF2CFC" w:rsidP="00EF2CFC">
      <w:pPr>
        <w:pStyle w:val="Heading2"/>
      </w:pPr>
      <w:r>
        <w:t>Outline of chapter</w:t>
      </w:r>
    </w:p>
    <w:p w14:paraId="5D531B05" w14:textId="0EAE3ADF" w:rsidR="00EF2CFC" w:rsidRDefault="00BA6C9D" w:rsidP="005E00AF">
      <w:pPr>
        <w:pStyle w:val="base-text-paragraph"/>
      </w:pPr>
      <w:r>
        <w:t xml:space="preserve">This chapter </w:t>
      </w:r>
      <w:r w:rsidR="00E171DE">
        <w:t>explains</w:t>
      </w:r>
      <w:r w:rsidR="00BA5FE5">
        <w:t xml:space="preserve"> the amendments </w:t>
      </w:r>
      <w:r w:rsidR="00E171DE">
        <w:t>that have been made to modernise existing requirements to publish notices in newspapers.</w:t>
      </w:r>
    </w:p>
    <w:p w14:paraId="1D6C6DA2" w14:textId="77777777" w:rsidR="00EF2CFC" w:rsidRDefault="00EF2CFC" w:rsidP="00EF2CFC">
      <w:pPr>
        <w:pStyle w:val="Heading2"/>
      </w:pPr>
      <w:r>
        <w:t>Context of amendments</w:t>
      </w:r>
    </w:p>
    <w:p w14:paraId="0B930C26" w14:textId="7ACD032D" w:rsidR="00B94286" w:rsidRDefault="00B94286" w:rsidP="005E00AF">
      <w:pPr>
        <w:pStyle w:val="base-text-paragraph"/>
      </w:pPr>
      <w:r>
        <w:t>Various</w:t>
      </w:r>
      <w:r w:rsidDel="000239EF">
        <w:t xml:space="preserve"> </w:t>
      </w:r>
      <w:r>
        <w:t>Treasury portfolio laws require or permit notices to be published in newspapers.</w:t>
      </w:r>
    </w:p>
    <w:p w14:paraId="49D8693B" w14:textId="4569ACCE" w:rsidR="00B94286" w:rsidRDefault="00B94286" w:rsidP="005E00AF">
      <w:pPr>
        <w:pStyle w:val="base-text-paragraph"/>
      </w:pPr>
      <w:r>
        <w:t xml:space="preserve">Advances in technology and changes in public engagement mean that provisions requiring public notices in newspapers may no longer </w:t>
      </w:r>
      <w:r w:rsidR="00B863E3">
        <w:t>reach</w:t>
      </w:r>
      <w:r>
        <w:t xml:space="preserve"> the intended audience in the most effective way.</w:t>
      </w:r>
    </w:p>
    <w:p w14:paraId="1E8649C8" w14:textId="216FCD6A" w:rsidR="00EB3C63" w:rsidRDefault="00B94286" w:rsidP="001F3D67">
      <w:pPr>
        <w:pStyle w:val="Heading2"/>
      </w:pPr>
      <w:r w:rsidDel="00B863E3">
        <w:t xml:space="preserve"> </w:t>
      </w:r>
      <w:r w:rsidR="001F3D67">
        <w:t>S</w:t>
      </w:r>
      <w:r w:rsidR="00EB3C63">
        <w:t>ummary of new law</w:t>
      </w:r>
    </w:p>
    <w:p w14:paraId="71368CCB" w14:textId="79592FD8" w:rsidR="00EB3C63" w:rsidRDefault="00B863E3" w:rsidP="005E00AF">
      <w:pPr>
        <w:pStyle w:val="base-text-paragraph"/>
      </w:pPr>
      <w:r>
        <w:t>The</w:t>
      </w:r>
      <w:r w:rsidR="00F160E2">
        <w:t xml:space="preserve"> </w:t>
      </w:r>
      <w:r w:rsidR="006D1234">
        <w:t xml:space="preserve">Bill </w:t>
      </w:r>
      <w:r w:rsidR="005A20A5">
        <w:t xml:space="preserve">replaces </w:t>
      </w:r>
      <w:r>
        <w:t xml:space="preserve">provisions that require or permit notices to be published in </w:t>
      </w:r>
      <w:r w:rsidR="005A20A5">
        <w:t>newspaper</w:t>
      </w:r>
      <w:r>
        <w:t>s</w:t>
      </w:r>
      <w:r w:rsidR="005A20A5">
        <w:t xml:space="preserve"> with technology neutral </w:t>
      </w:r>
      <w:r>
        <w:t>rules</w:t>
      </w:r>
      <w:r w:rsidR="0012005A">
        <w:t>.</w:t>
      </w:r>
      <w:r w:rsidR="00AE2DEB">
        <w:t xml:space="preserve"> The amendments ensure the relevant notices are still published in manner which result in them being publicly available</w:t>
      </w:r>
      <w:r w:rsidR="002B7B0F">
        <w:t xml:space="preserve"> and reasonably prominent</w:t>
      </w:r>
      <w:r w:rsidR="00AE2DEB">
        <w:t xml:space="preserve">. </w:t>
      </w:r>
    </w:p>
    <w:p w14:paraId="2B2A6142" w14:textId="64C13B61" w:rsidR="009749B1" w:rsidRDefault="00C803A4" w:rsidP="005E00AF">
      <w:pPr>
        <w:pStyle w:val="base-text-paragraph"/>
      </w:pPr>
      <w:r>
        <w:t xml:space="preserve">Generally, where </w:t>
      </w:r>
      <w:r w:rsidR="00FA3228">
        <w:t xml:space="preserve">a Commonwealth entity was </w:t>
      </w:r>
      <w:r w:rsidR="00B863E3">
        <w:t xml:space="preserve">previously </w:t>
      </w:r>
      <w:r w:rsidR="00FA3228">
        <w:t xml:space="preserve">required or permitted </w:t>
      </w:r>
      <w:r w:rsidR="00C822C8">
        <w:t xml:space="preserve">to publish a </w:t>
      </w:r>
      <w:r w:rsidR="00CA4E2A">
        <w:t>notice</w:t>
      </w:r>
      <w:r w:rsidR="00C822C8">
        <w:t xml:space="preserve"> in a</w:t>
      </w:r>
      <w:r>
        <w:t xml:space="preserve"> newspaper, </w:t>
      </w:r>
      <w:r w:rsidR="009749B1">
        <w:t>the</w:t>
      </w:r>
      <w:r w:rsidR="00B863E3">
        <w:t xml:space="preserve"> new law now permits the</w:t>
      </w:r>
      <w:r w:rsidR="009749B1">
        <w:t xml:space="preserve"> Commonwealth entity to publish the relevant notice </w:t>
      </w:r>
      <w:r w:rsidR="009749B1" w:rsidRPr="009749B1">
        <w:t>in a manner that results in the notice being accessible to the public and reasonably prominent</w:t>
      </w:r>
      <w:r w:rsidR="009749B1">
        <w:t xml:space="preserve">. </w:t>
      </w:r>
    </w:p>
    <w:p w14:paraId="58F3D2D5" w14:textId="7C1CBE3C" w:rsidR="009749B1" w:rsidRDefault="009749B1" w:rsidP="005E00AF">
      <w:pPr>
        <w:pStyle w:val="base-text-paragraph"/>
      </w:pPr>
      <w:r>
        <w:t xml:space="preserve">Generally, where </w:t>
      </w:r>
      <w:r w:rsidR="00C822C8">
        <w:t>a non-Commonwealth entity was required or permitted to publish a notice in a</w:t>
      </w:r>
      <w:r>
        <w:t xml:space="preserve"> newspaper, the non-Commonwealth entity </w:t>
      </w:r>
      <w:r w:rsidR="00B863E3">
        <w:t xml:space="preserve">may </w:t>
      </w:r>
      <w:r>
        <w:t xml:space="preserve">now publish the relevant notice: </w:t>
      </w:r>
    </w:p>
    <w:p w14:paraId="496D9C03" w14:textId="7C5D52C5" w:rsidR="00C803A4" w:rsidRDefault="009749B1" w:rsidP="009749B1">
      <w:pPr>
        <w:pStyle w:val="dotpoint"/>
      </w:pPr>
      <w:r w:rsidRPr="009749B1">
        <w:t>in a manner that results in the notice being accessible to the public and reasonably prominent</w:t>
      </w:r>
      <w:r>
        <w:t xml:space="preserve">; </w:t>
      </w:r>
      <w:r w:rsidR="00C822C8">
        <w:t>and</w:t>
      </w:r>
    </w:p>
    <w:p w14:paraId="6BDE3136" w14:textId="1A3D21E8" w:rsidR="009749B1" w:rsidRDefault="00C822C8" w:rsidP="009749B1">
      <w:pPr>
        <w:pStyle w:val="dotpoint"/>
      </w:pPr>
      <w:r>
        <w:t xml:space="preserve">where required, </w:t>
      </w:r>
      <w:r w:rsidR="009749B1">
        <w:t>in a manner determined by the relevant regulator</w:t>
      </w:r>
      <w:r w:rsidR="0012005A">
        <w:t>.</w:t>
      </w:r>
    </w:p>
    <w:p w14:paraId="78DFDDE0" w14:textId="3CD9CE6B" w:rsidR="00EB3C63" w:rsidRDefault="00B863E3" w:rsidP="005E00AF">
      <w:pPr>
        <w:pStyle w:val="base-text-paragraph"/>
      </w:pPr>
      <w:r>
        <w:t>T</w:t>
      </w:r>
      <w:r w:rsidR="0012005A">
        <w:t xml:space="preserve">he Bill also repeals a number of newspaper publication provisions, and associated provisions, which no longer serve any purpose. </w:t>
      </w:r>
    </w:p>
    <w:p w14:paraId="26D45C96" w14:textId="03CF6E05" w:rsidR="00EF2CFC" w:rsidRDefault="00EF2CFC" w:rsidP="00EF2CFC">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210"/>
      </w:tblGrid>
      <w:tr w:rsidR="00EF2CFC" w:rsidRPr="004666B8" w14:paraId="0BED701E" w14:textId="77777777" w:rsidTr="00EF2CFC">
        <w:tc>
          <w:tcPr>
            <w:tcW w:w="3275" w:type="dxa"/>
          </w:tcPr>
          <w:p w14:paraId="3BF0A6A2" w14:textId="77777777" w:rsidR="00EF2CFC" w:rsidRPr="004666B8" w:rsidRDefault="00EF2CFC" w:rsidP="00EF2CFC">
            <w:pPr>
              <w:pStyle w:val="tableheaderwithintable"/>
              <w:rPr>
                <w:lang w:val="en-US" w:eastAsia="en-US"/>
              </w:rPr>
            </w:pPr>
            <w:r w:rsidRPr="004666B8">
              <w:rPr>
                <w:lang w:val="en-US" w:eastAsia="en-US"/>
              </w:rPr>
              <w:t>New law</w:t>
            </w:r>
          </w:p>
        </w:tc>
        <w:tc>
          <w:tcPr>
            <w:tcW w:w="3276" w:type="dxa"/>
          </w:tcPr>
          <w:p w14:paraId="1A355AEA" w14:textId="77777777" w:rsidR="00EF2CFC" w:rsidRPr="004666B8" w:rsidRDefault="00EF2CFC" w:rsidP="00EF2CFC">
            <w:pPr>
              <w:pStyle w:val="tableheaderwithintable"/>
              <w:rPr>
                <w:lang w:val="en-US" w:eastAsia="en-US"/>
              </w:rPr>
            </w:pPr>
            <w:r w:rsidRPr="004666B8">
              <w:rPr>
                <w:lang w:val="en-US" w:eastAsia="en-US"/>
              </w:rPr>
              <w:t>Current law</w:t>
            </w:r>
          </w:p>
        </w:tc>
      </w:tr>
      <w:tr w:rsidR="00EF2CFC" w:rsidRPr="004666B8" w14:paraId="763ECAC9" w14:textId="77777777" w:rsidTr="00EF2CFC">
        <w:tc>
          <w:tcPr>
            <w:tcW w:w="3275" w:type="dxa"/>
          </w:tcPr>
          <w:p w14:paraId="63C1A2B0" w14:textId="1233F4BE" w:rsidR="007951A6" w:rsidRDefault="006F2B39" w:rsidP="00EF2CFC">
            <w:pPr>
              <w:pStyle w:val="tabletext"/>
              <w:rPr>
                <w:lang w:val="en-US" w:eastAsia="en-US"/>
              </w:rPr>
            </w:pPr>
            <w:r>
              <w:rPr>
                <w:lang w:val="en-US" w:eastAsia="en-US"/>
              </w:rPr>
              <w:t>Notices which were previously required</w:t>
            </w:r>
            <w:r w:rsidR="00731799">
              <w:rPr>
                <w:lang w:val="en-US" w:eastAsia="en-US"/>
              </w:rPr>
              <w:t xml:space="preserve"> or permitted</w:t>
            </w:r>
            <w:r>
              <w:rPr>
                <w:lang w:val="en-US" w:eastAsia="en-US"/>
              </w:rPr>
              <w:t xml:space="preserve"> to be </w:t>
            </w:r>
            <w:r w:rsidR="0034083D">
              <w:rPr>
                <w:lang w:val="en-US" w:eastAsia="en-US"/>
              </w:rPr>
              <w:t xml:space="preserve">published in newspapers </w:t>
            </w:r>
            <w:r w:rsidR="00731799">
              <w:rPr>
                <w:lang w:val="en-US" w:eastAsia="en-US"/>
              </w:rPr>
              <w:t>can now be published in technology neutral manners</w:t>
            </w:r>
            <w:r w:rsidR="007951A6">
              <w:rPr>
                <w:lang w:val="en-US" w:eastAsia="en-US"/>
              </w:rPr>
              <w:t xml:space="preserve">. </w:t>
            </w:r>
          </w:p>
          <w:p w14:paraId="6E40D418" w14:textId="77777777" w:rsidR="007C2DCF" w:rsidRDefault="007C2DCF" w:rsidP="00EF2CFC">
            <w:pPr>
              <w:pStyle w:val="tabletext"/>
              <w:rPr>
                <w:lang w:val="en-US" w:eastAsia="en-US"/>
              </w:rPr>
            </w:pPr>
          </w:p>
          <w:p w14:paraId="680B10C2" w14:textId="7A958014" w:rsidR="003325C0" w:rsidRDefault="003E7A50" w:rsidP="00EF2CFC">
            <w:pPr>
              <w:pStyle w:val="tabletext"/>
              <w:rPr>
                <w:lang w:val="en-US" w:eastAsia="en-US"/>
              </w:rPr>
            </w:pPr>
            <w:r>
              <w:rPr>
                <w:lang w:val="en-US" w:eastAsia="en-US"/>
              </w:rPr>
              <w:t>Generally, t</w:t>
            </w:r>
            <w:r w:rsidR="007951A6">
              <w:rPr>
                <w:lang w:val="en-US" w:eastAsia="en-US"/>
              </w:rPr>
              <w:t xml:space="preserve">he </w:t>
            </w:r>
            <w:r w:rsidR="00EB04CF">
              <w:rPr>
                <w:lang w:val="en-US" w:eastAsia="en-US"/>
              </w:rPr>
              <w:t xml:space="preserve">notices must be published in a manner which results in them being accessible to the public and reasonably prominent. </w:t>
            </w:r>
          </w:p>
          <w:p w14:paraId="545F7427" w14:textId="77777777" w:rsidR="007C2DCF" w:rsidRDefault="007C2DCF" w:rsidP="00EF2CFC">
            <w:pPr>
              <w:pStyle w:val="tabletext"/>
              <w:rPr>
                <w:lang w:val="en-US" w:eastAsia="en-US"/>
              </w:rPr>
            </w:pPr>
          </w:p>
          <w:p w14:paraId="2EF2EFB6" w14:textId="77EC7E42" w:rsidR="00EF2CFC" w:rsidRPr="004666B8" w:rsidRDefault="007951A6" w:rsidP="007C2DCF">
            <w:pPr>
              <w:pStyle w:val="tabletext"/>
              <w:rPr>
                <w:lang w:val="en-US" w:eastAsia="en-US"/>
              </w:rPr>
            </w:pPr>
            <w:r>
              <w:rPr>
                <w:lang w:val="en-US" w:eastAsia="en-US"/>
              </w:rPr>
              <w:t xml:space="preserve">In certain instances, notices may need to be published in accordance with </w:t>
            </w:r>
            <w:r w:rsidR="002B2308">
              <w:rPr>
                <w:lang w:val="en-US" w:eastAsia="en-US"/>
              </w:rPr>
              <w:t>a manner determined by the relevant regulator.</w:t>
            </w:r>
            <w:r w:rsidR="00F528E9">
              <w:rPr>
                <w:lang w:val="en-US" w:eastAsia="en-US"/>
              </w:rPr>
              <w:t xml:space="preserve"> </w:t>
            </w:r>
            <w:r w:rsidR="00AC4689">
              <w:rPr>
                <w:lang w:val="en-US" w:eastAsia="en-US"/>
              </w:rPr>
              <w:t xml:space="preserve">The regulator can only determine manners of publication which the regulator considers will result </w:t>
            </w:r>
            <w:r w:rsidR="00EB04CF">
              <w:rPr>
                <w:lang w:val="en-US" w:eastAsia="en-US"/>
              </w:rPr>
              <w:t xml:space="preserve">in the notices being accessible to the public and reasonably prominent. </w:t>
            </w:r>
          </w:p>
        </w:tc>
        <w:tc>
          <w:tcPr>
            <w:tcW w:w="3276" w:type="dxa"/>
          </w:tcPr>
          <w:p w14:paraId="38E2F787" w14:textId="70E51021" w:rsidR="00EF2CFC" w:rsidRPr="004666B8" w:rsidRDefault="00F22CA0" w:rsidP="00EF2CFC">
            <w:pPr>
              <w:pStyle w:val="tabletext"/>
              <w:rPr>
                <w:lang w:val="en-US" w:eastAsia="en-US"/>
              </w:rPr>
            </w:pPr>
            <w:r>
              <w:rPr>
                <w:lang w:val="en-US" w:eastAsia="en-US"/>
              </w:rPr>
              <w:t xml:space="preserve">Certain notices are required or </w:t>
            </w:r>
            <w:r w:rsidR="00EB3C63">
              <w:rPr>
                <w:lang w:val="en-US" w:eastAsia="en-US"/>
              </w:rPr>
              <w:t>permitted</w:t>
            </w:r>
            <w:r>
              <w:rPr>
                <w:lang w:val="en-US" w:eastAsia="en-US"/>
              </w:rPr>
              <w:t xml:space="preserve"> to be published in newspapers. </w:t>
            </w:r>
          </w:p>
        </w:tc>
      </w:tr>
    </w:tbl>
    <w:p w14:paraId="61F66B91" w14:textId="77777777" w:rsidR="00EF2CFC" w:rsidRDefault="00EF2CFC" w:rsidP="00EF2CFC">
      <w:pPr>
        <w:pStyle w:val="Heading2"/>
      </w:pPr>
      <w:r>
        <w:t>Detailed explanation of new law</w:t>
      </w:r>
    </w:p>
    <w:p w14:paraId="31AC8F8E" w14:textId="66CCA964" w:rsidR="003A659D" w:rsidRDefault="00F7234A" w:rsidP="005E00AF">
      <w:pPr>
        <w:pStyle w:val="base-text-paragraph"/>
      </w:pPr>
      <w:r>
        <w:t xml:space="preserve">Schedule </w:t>
      </w:r>
      <w:r w:rsidR="00C76CDF">
        <w:t>3</w:t>
      </w:r>
      <w:r>
        <w:t xml:space="preserve"> to the Bill replaces newspaper publication requirements and permissions </w:t>
      </w:r>
      <w:r w:rsidR="000D0C5F">
        <w:t xml:space="preserve">across Treasury Portfolio laws </w:t>
      </w:r>
      <w:r>
        <w:t xml:space="preserve">with technology neutral publication requirements and permissions. </w:t>
      </w:r>
    </w:p>
    <w:p w14:paraId="6F107EC0" w14:textId="16BBBF08" w:rsidR="003A659D" w:rsidRDefault="003E7A50" w:rsidP="005E00AF">
      <w:pPr>
        <w:pStyle w:val="base-text-paragraph"/>
      </w:pPr>
      <w:bookmarkStart w:id="42" w:name="_Ref86050883"/>
      <w:r>
        <w:t>Generally, t</w:t>
      </w:r>
      <w:r w:rsidR="00F7234A">
        <w:t xml:space="preserve">he amendments ensure the relevant notices are published in </w:t>
      </w:r>
      <w:r w:rsidR="003A659D">
        <w:t xml:space="preserve">a </w:t>
      </w:r>
      <w:r w:rsidR="00F7234A">
        <w:t xml:space="preserve">manner </w:t>
      </w:r>
      <w:r w:rsidR="003A659D">
        <w:t xml:space="preserve">that </w:t>
      </w:r>
      <w:r>
        <w:t xml:space="preserve">allows </w:t>
      </w:r>
      <w:r w:rsidR="003A659D">
        <w:t xml:space="preserve">the notices </w:t>
      </w:r>
      <w:r>
        <w:t>to be</w:t>
      </w:r>
      <w:r w:rsidR="003A659D">
        <w:t>:</w:t>
      </w:r>
      <w:bookmarkEnd w:id="42"/>
    </w:p>
    <w:p w14:paraId="4D6D1061" w14:textId="77777777" w:rsidR="003A659D" w:rsidRDefault="003A659D" w:rsidP="001D2259">
      <w:pPr>
        <w:pStyle w:val="dotpoint"/>
      </w:pPr>
      <w:r>
        <w:t>accessible to the public and reasonably prominent, and</w:t>
      </w:r>
    </w:p>
    <w:p w14:paraId="5914E51F" w14:textId="04776971" w:rsidR="003A659D" w:rsidRDefault="003A659D" w:rsidP="001D2259">
      <w:pPr>
        <w:pStyle w:val="dotpoint"/>
      </w:pPr>
      <w:r>
        <w:t>if a regulator determination</w:t>
      </w:r>
      <w:r w:rsidR="00B1537D">
        <w:t xml:space="preserve"> concerning the publication of the notice</w:t>
      </w:r>
      <w:r>
        <w:t xml:space="preserve"> is in force, published according to the determination.</w:t>
      </w:r>
    </w:p>
    <w:p w14:paraId="7414B7F0" w14:textId="2FB14BBB" w:rsidR="00FA4D9F" w:rsidRDefault="0050321A" w:rsidP="0050321A">
      <w:pPr>
        <w:pStyle w:val="base-text-paragraph"/>
      </w:pPr>
      <w:r>
        <w:t xml:space="preserve">The intention is that the regulator would only </w:t>
      </w:r>
      <w:proofErr w:type="gramStart"/>
      <w:r>
        <w:t>make a determination</w:t>
      </w:r>
      <w:proofErr w:type="gramEnd"/>
      <w:r>
        <w:t xml:space="preserve"> if there were differences of opinion </w:t>
      </w:r>
      <w:r w:rsidR="00EA285A">
        <w:t xml:space="preserve">or uncertainty </w:t>
      </w:r>
      <w:r>
        <w:t xml:space="preserve">as to what </w:t>
      </w:r>
      <w:r w:rsidR="00EA285A">
        <w:t xml:space="preserve">was required for the notice to be </w:t>
      </w:r>
      <w:r>
        <w:t>reasonably prominent.</w:t>
      </w:r>
    </w:p>
    <w:p w14:paraId="077062DA" w14:textId="44A2B4DE" w:rsidR="00540E70" w:rsidRPr="00774FEA" w:rsidRDefault="00540E70" w:rsidP="00540E70">
      <w:pPr>
        <w:ind w:left="1134"/>
        <w:rPr>
          <w:b/>
          <w:bCs/>
          <w:i/>
          <w:iCs/>
        </w:rPr>
      </w:pPr>
      <w:r w:rsidRPr="00774FEA">
        <w:rPr>
          <w:b/>
          <w:bCs/>
          <w:i/>
          <w:iCs/>
        </w:rPr>
        <w:t>Competition and Consumer Act 2010</w:t>
      </w:r>
    </w:p>
    <w:p w14:paraId="45897EE7" w14:textId="28F64D87" w:rsidR="00EF2CFC" w:rsidRDefault="00C3101F" w:rsidP="00EF2CFC">
      <w:pPr>
        <w:pStyle w:val="base-text-paragraph"/>
      </w:pPr>
      <w:r>
        <w:t xml:space="preserve">Various provisions in the </w:t>
      </w:r>
      <w:r w:rsidRPr="00C3101F">
        <w:rPr>
          <w:i/>
          <w:iCs/>
        </w:rPr>
        <w:t>Competition and Consumer Act 2010</w:t>
      </w:r>
      <w:r>
        <w:rPr>
          <w:i/>
          <w:iCs/>
        </w:rPr>
        <w:t xml:space="preserve"> </w:t>
      </w:r>
      <w:r>
        <w:t xml:space="preserve">required the </w:t>
      </w:r>
      <w:r w:rsidR="00C822C8">
        <w:t>ACCC</w:t>
      </w:r>
      <w:r>
        <w:t xml:space="preserve"> to publish certain notices in national newspapers. The provisions now require the </w:t>
      </w:r>
      <w:r w:rsidR="00F575DA">
        <w:t>regulator</w:t>
      </w:r>
      <w:r>
        <w:t xml:space="preserve"> to publish the notices in a manner that results in the notice</w:t>
      </w:r>
      <w:r w:rsidR="00877137">
        <w:t>s</w:t>
      </w:r>
      <w:r>
        <w:t xml:space="preserve"> being accessible to the public and reasonably </w:t>
      </w:r>
      <w:r>
        <w:lastRenderedPageBreak/>
        <w:t xml:space="preserve">prominent. </w:t>
      </w:r>
      <w:r w:rsidR="000D0C5F">
        <w:rPr>
          <w:rStyle w:val="Referencingstyle"/>
        </w:rPr>
        <w:t xml:space="preserve">[Schedule </w:t>
      </w:r>
      <w:r w:rsidR="00725EA5">
        <w:rPr>
          <w:rStyle w:val="Referencingstyle"/>
        </w:rPr>
        <w:t>3</w:t>
      </w:r>
      <w:r w:rsidR="000D0C5F">
        <w:rPr>
          <w:rStyle w:val="Referencingstyle"/>
        </w:rPr>
        <w:t>, i</w:t>
      </w:r>
      <w:r w:rsidR="000D0C5F" w:rsidRPr="00375F1D">
        <w:rPr>
          <w:rStyle w:val="Referencingstyle"/>
        </w:rPr>
        <w:t>tem</w:t>
      </w:r>
      <w:r w:rsidR="00D71618">
        <w:rPr>
          <w:rStyle w:val="Referencingstyle"/>
        </w:rPr>
        <w:t>s 1 to 5</w:t>
      </w:r>
      <w:r w:rsidR="000D0C5F" w:rsidRPr="00375F1D">
        <w:rPr>
          <w:rStyle w:val="Referencingstyle"/>
        </w:rPr>
        <w:t xml:space="preserve">, sections </w:t>
      </w:r>
      <w:r w:rsidR="00DD35CB">
        <w:rPr>
          <w:rStyle w:val="Referencingstyle"/>
        </w:rPr>
        <w:t>28(2)(a), 44GA(10), 44LD(10), 44NC(10), 44ZZOA(10)</w:t>
      </w:r>
      <w:r w:rsidR="000D0C5F" w:rsidRPr="00375F1D">
        <w:rPr>
          <w:rStyle w:val="Referencingstyle"/>
        </w:rPr>
        <w:t xml:space="preserve"> of</w:t>
      </w:r>
      <w:r w:rsidR="001D7C4E">
        <w:rPr>
          <w:rStyle w:val="Referencingstyle"/>
        </w:rPr>
        <w:t xml:space="preserve"> the</w:t>
      </w:r>
      <w:r w:rsidR="001D7C4E" w:rsidRPr="007D207D">
        <w:rPr>
          <w:rStyle w:val="Referencingstyle"/>
          <w:iCs/>
        </w:rPr>
        <w:t xml:space="preserve"> </w:t>
      </w:r>
      <w:r w:rsidR="007D207D" w:rsidRPr="001F3D67">
        <w:rPr>
          <w:rStyle w:val="Referencingstyle"/>
          <w:iCs/>
        </w:rPr>
        <w:t>Competition and Consumer Act</w:t>
      </w:r>
      <w:r w:rsidR="007D207D" w:rsidRPr="001F3D67">
        <w:rPr>
          <w:rStyle w:val="Referencingstyle"/>
        </w:rPr>
        <w:t xml:space="preserve"> 2010</w:t>
      </w:r>
      <w:r w:rsidR="000D0C5F" w:rsidRPr="00375F1D">
        <w:rPr>
          <w:rStyle w:val="Referencingstyle"/>
        </w:rPr>
        <w:t>]</w:t>
      </w:r>
    </w:p>
    <w:p w14:paraId="1B027247" w14:textId="320AEB2E" w:rsidR="00540E70" w:rsidRPr="00774FEA" w:rsidRDefault="00540E70" w:rsidP="00540E70">
      <w:pPr>
        <w:pStyle w:val="base-text-paragraph"/>
        <w:numPr>
          <w:ilvl w:val="0"/>
          <w:numId w:val="0"/>
        </w:numPr>
        <w:ind w:left="1134"/>
        <w:rPr>
          <w:b/>
          <w:bCs/>
          <w:i/>
          <w:iCs/>
        </w:rPr>
      </w:pPr>
      <w:r w:rsidRPr="00774FEA">
        <w:rPr>
          <w:b/>
          <w:bCs/>
          <w:i/>
          <w:iCs/>
        </w:rPr>
        <w:t>Corporations Act 2001</w:t>
      </w:r>
    </w:p>
    <w:p w14:paraId="05D2A675" w14:textId="211FBF86" w:rsidR="00157688" w:rsidRPr="00A10FA0" w:rsidRDefault="00157688" w:rsidP="00A10FA0">
      <w:pPr>
        <w:pStyle w:val="base-text-paragraph"/>
        <w:numPr>
          <w:ilvl w:val="0"/>
          <w:numId w:val="0"/>
        </w:numPr>
        <w:ind w:left="1134"/>
        <w:rPr>
          <w:i/>
        </w:rPr>
      </w:pPr>
      <w:r>
        <w:rPr>
          <w:i/>
          <w:iCs/>
        </w:rPr>
        <w:t>Notices</w:t>
      </w:r>
    </w:p>
    <w:p w14:paraId="70E79A59" w14:textId="0AD9A887" w:rsidR="00A10FA0" w:rsidRPr="00A10FA0" w:rsidRDefault="00E05D49" w:rsidP="001D2259">
      <w:pPr>
        <w:pStyle w:val="base-text-paragraph"/>
      </w:pPr>
      <w:r>
        <w:t>Section 254</w:t>
      </w:r>
      <w:r w:rsidR="001B4CCD">
        <w:t>Q</w:t>
      </w:r>
      <w:r>
        <w:t xml:space="preserve"> of the Corporations Act concerns the </w:t>
      </w:r>
      <w:r w:rsidRPr="00E05D49">
        <w:t xml:space="preserve">forfeiture and sale of shares for </w:t>
      </w:r>
      <w:r>
        <w:t xml:space="preserve">a </w:t>
      </w:r>
      <w:r w:rsidRPr="00E05D49">
        <w:t xml:space="preserve">failure to meet </w:t>
      </w:r>
      <w:r>
        <w:t xml:space="preserve">a </w:t>
      </w:r>
      <w:r w:rsidRPr="00E05D49">
        <w:t>call</w:t>
      </w:r>
      <w:r>
        <w:t xml:space="preserve"> on the shares. </w:t>
      </w:r>
      <w:r w:rsidR="00907FEF">
        <w:t>Notice of t</w:t>
      </w:r>
      <w:r>
        <w:t>he sale of forfeited shares was</w:t>
      </w:r>
      <w:r w:rsidR="00A10FA0">
        <w:t xml:space="preserve"> previously</w:t>
      </w:r>
      <w:r>
        <w:t xml:space="preserve"> required to be advertised in a national newspaper. </w:t>
      </w:r>
      <w:r w:rsidR="00A10FA0" w:rsidRPr="00A10FA0">
        <w:t xml:space="preserve">Notice of the sale of forfeited shares, or the postponement of the sale of forfeited shares, must now meet the </w:t>
      </w:r>
      <w:r w:rsidR="00DB06BB">
        <w:t xml:space="preserve">technology neutral </w:t>
      </w:r>
      <w:r w:rsidR="003A659D">
        <w:t xml:space="preserve">publication </w:t>
      </w:r>
      <w:r w:rsidR="00A10FA0" w:rsidRPr="00A10FA0">
        <w:t xml:space="preserve">requirements </w:t>
      </w:r>
      <w:r w:rsidR="003A659D">
        <w:t>outlined</w:t>
      </w:r>
      <w:r w:rsidR="00A10FA0" w:rsidRPr="00A10FA0">
        <w:t xml:space="preserve"> </w:t>
      </w:r>
      <w:r w:rsidR="003A659D">
        <w:t>in</w:t>
      </w:r>
      <w:r w:rsidR="005755A5">
        <w:t xml:space="preserve"> paragraph</w:t>
      </w:r>
      <w:r w:rsidR="003A659D">
        <w:t xml:space="preserve"> </w:t>
      </w:r>
      <w:r w:rsidR="003A659D">
        <w:fldChar w:fldCharType="begin"/>
      </w:r>
      <w:r w:rsidR="003A659D">
        <w:instrText xml:space="preserve"> REF _Ref86050883 \r \h </w:instrText>
      </w:r>
      <w:r w:rsidR="003A659D">
        <w:fldChar w:fldCharType="separate"/>
      </w:r>
      <w:r w:rsidR="000755D3">
        <w:t>3.9</w:t>
      </w:r>
      <w:r w:rsidR="003A659D">
        <w:fldChar w:fldCharType="end"/>
      </w:r>
      <w:r w:rsidR="00086AB3">
        <w:t>.</w:t>
      </w:r>
      <w:r w:rsidR="0027169C">
        <w:t xml:space="preserve"> </w:t>
      </w:r>
      <w:r w:rsidR="00D17C1E">
        <w:rPr>
          <w:rStyle w:val="Referencingstyle"/>
        </w:rPr>
        <w:t xml:space="preserve">[Schedule </w:t>
      </w:r>
      <w:r w:rsidR="00725EA5">
        <w:rPr>
          <w:rStyle w:val="Referencingstyle"/>
        </w:rPr>
        <w:t>3</w:t>
      </w:r>
      <w:r w:rsidR="00D17C1E">
        <w:rPr>
          <w:rStyle w:val="Referencingstyle"/>
        </w:rPr>
        <w:t>, i</w:t>
      </w:r>
      <w:r w:rsidR="00D17C1E" w:rsidRPr="00375F1D">
        <w:rPr>
          <w:rStyle w:val="Referencingstyle"/>
        </w:rPr>
        <w:t>tem</w:t>
      </w:r>
      <w:r w:rsidR="002F44D1">
        <w:rPr>
          <w:rStyle w:val="Referencingstyle"/>
        </w:rPr>
        <w:t>s 9 and 10</w:t>
      </w:r>
      <w:r w:rsidR="00D17C1E" w:rsidRPr="00375F1D">
        <w:rPr>
          <w:rStyle w:val="Referencingstyle"/>
        </w:rPr>
        <w:t xml:space="preserve">, sections </w:t>
      </w:r>
      <w:r w:rsidR="0083298F">
        <w:rPr>
          <w:rStyle w:val="Referencingstyle"/>
        </w:rPr>
        <w:t>254Q(3),(4), (5A)-(5C)</w:t>
      </w:r>
      <w:r w:rsidR="0083298F" w:rsidRPr="00375F1D">
        <w:rPr>
          <w:rStyle w:val="Referencingstyle"/>
        </w:rPr>
        <w:t xml:space="preserve"> </w:t>
      </w:r>
      <w:r w:rsidR="00D17C1E" w:rsidRPr="00375F1D">
        <w:rPr>
          <w:rStyle w:val="Referencingstyle"/>
        </w:rPr>
        <w:t xml:space="preserve">of </w:t>
      </w:r>
      <w:r w:rsidR="0083298F">
        <w:rPr>
          <w:rStyle w:val="Referencingstyle"/>
        </w:rPr>
        <w:t>the Corporations Act</w:t>
      </w:r>
      <w:r w:rsidR="00D17C1E" w:rsidRPr="00375F1D">
        <w:rPr>
          <w:rStyle w:val="Referencingstyle"/>
        </w:rPr>
        <w:t>]</w:t>
      </w:r>
    </w:p>
    <w:p w14:paraId="7B0A9810" w14:textId="1FC24DB1" w:rsidR="00B045F8" w:rsidRDefault="002E4F6D">
      <w:pPr>
        <w:pStyle w:val="base-text-paragraph"/>
      </w:pPr>
      <w:r>
        <w:t xml:space="preserve">Sections </w:t>
      </w:r>
      <w:r w:rsidR="00B045F8">
        <w:t xml:space="preserve">601WDA(1) and (3) </w:t>
      </w:r>
      <w:r>
        <w:t>of the Corporations Act contain</w:t>
      </w:r>
      <w:r w:rsidR="004B1960">
        <w:t>s</w:t>
      </w:r>
      <w:r>
        <w:t xml:space="preserve"> rules about the </w:t>
      </w:r>
      <w:r w:rsidR="00B045F8">
        <w:t xml:space="preserve">cancellation of the Australian </w:t>
      </w:r>
      <w:r w:rsidR="00A30D7D">
        <w:t xml:space="preserve">Financial Services Licence </w:t>
      </w:r>
      <w:r w:rsidR="00B045F8">
        <w:t xml:space="preserve">of a trustee company and voluntary transfer determinations under section 601WBA of the Corporations Act. The companies covered by these sections </w:t>
      </w:r>
      <w:r w:rsidR="00FD0FD2">
        <w:t>were</w:t>
      </w:r>
      <w:r w:rsidR="00B045F8">
        <w:t xml:space="preserve"> previously </w:t>
      </w:r>
      <w:r w:rsidR="00FD0FD2">
        <w:t xml:space="preserve">required </w:t>
      </w:r>
      <w:r w:rsidR="00B045F8">
        <w:t xml:space="preserve">to publish certain notices in a national newspaper and on their website. </w:t>
      </w:r>
      <w:r w:rsidR="00907FEF">
        <w:t xml:space="preserve">The covered companies are now required to publish the notices on their website </w:t>
      </w:r>
      <w:r w:rsidR="00907FEF" w:rsidRPr="00DD35CB">
        <w:t>(if any)</w:t>
      </w:r>
      <w:r w:rsidR="00907FEF">
        <w:t xml:space="preserve"> and according to the</w:t>
      </w:r>
      <w:r w:rsidR="00907FEF" w:rsidRPr="00A10FA0">
        <w:t xml:space="preserve"> </w:t>
      </w:r>
      <w:r w:rsidR="00907FEF">
        <w:t xml:space="preserve">technology neutral publication </w:t>
      </w:r>
      <w:r w:rsidR="00907FEF" w:rsidRPr="00A10FA0">
        <w:t>requirements</w:t>
      </w:r>
      <w:r w:rsidR="00907FEF">
        <w:t xml:space="preserve"> outlined</w:t>
      </w:r>
      <w:r w:rsidR="00907FEF" w:rsidRPr="00A10FA0">
        <w:t xml:space="preserve"> </w:t>
      </w:r>
      <w:r w:rsidR="00907FEF">
        <w:t>in</w:t>
      </w:r>
      <w:r w:rsidR="005755A5">
        <w:t xml:space="preserve"> paragraph</w:t>
      </w:r>
      <w:r w:rsidR="00907FEF">
        <w:t xml:space="preserve"> </w:t>
      </w:r>
      <w:r w:rsidR="00907FEF">
        <w:fldChar w:fldCharType="begin"/>
      </w:r>
      <w:r w:rsidR="00907FEF">
        <w:instrText xml:space="preserve"> REF _Ref86050883 \r \h </w:instrText>
      </w:r>
      <w:r w:rsidR="00907FEF">
        <w:fldChar w:fldCharType="separate"/>
      </w:r>
      <w:r w:rsidR="000755D3">
        <w:t>3.9</w:t>
      </w:r>
      <w:r w:rsidR="00907FEF">
        <w:fldChar w:fldCharType="end"/>
      </w:r>
      <w:r w:rsidR="00907FEF">
        <w:t xml:space="preserve">. </w:t>
      </w:r>
      <w:r w:rsidR="00D17C1E">
        <w:rPr>
          <w:rStyle w:val="Referencingstyle"/>
        </w:rPr>
        <w:t xml:space="preserve">[Schedule </w:t>
      </w:r>
      <w:r w:rsidR="00725EA5">
        <w:rPr>
          <w:rStyle w:val="Referencingstyle"/>
        </w:rPr>
        <w:t>3</w:t>
      </w:r>
      <w:r w:rsidR="00D17C1E">
        <w:rPr>
          <w:rStyle w:val="Referencingstyle"/>
        </w:rPr>
        <w:t>, i</w:t>
      </w:r>
      <w:r w:rsidR="00D17C1E" w:rsidRPr="00375F1D">
        <w:rPr>
          <w:rStyle w:val="Referencingstyle"/>
        </w:rPr>
        <w:t>tem</w:t>
      </w:r>
      <w:r w:rsidR="00393E0A">
        <w:rPr>
          <w:rStyle w:val="Referencingstyle"/>
        </w:rPr>
        <w:t>s 15</w:t>
      </w:r>
      <w:r w:rsidR="00786D08">
        <w:rPr>
          <w:rStyle w:val="Referencingstyle"/>
        </w:rPr>
        <w:t>,</w:t>
      </w:r>
      <w:r w:rsidR="00393E0A">
        <w:rPr>
          <w:rStyle w:val="Referencingstyle"/>
        </w:rPr>
        <w:t xml:space="preserve"> 16</w:t>
      </w:r>
      <w:r w:rsidR="00786D08">
        <w:rPr>
          <w:rStyle w:val="Referencingstyle"/>
        </w:rPr>
        <w:t xml:space="preserve"> and 17</w:t>
      </w:r>
      <w:r w:rsidR="00D17C1E" w:rsidRPr="00375F1D">
        <w:rPr>
          <w:rStyle w:val="Referencingstyle"/>
        </w:rPr>
        <w:t xml:space="preserve">, sections </w:t>
      </w:r>
      <w:r w:rsidR="00393E0A">
        <w:rPr>
          <w:rStyle w:val="Referencingstyle"/>
        </w:rPr>
        <w:t>601WDA(1)(b) and 601WDA(3)</w:t>
      </w:r>
      <w:r w:rsidR="00E902A7">
        <w:rPr>
          <w:rStyle w:val="Referencingstyle"/>
        </w:rPr>
        <w:t>-(6</w:t>
      </w:r>
      <w:r w:rsidR="00393E0A">
        <w:rPr>
          <w:rStyle w:val="Referencingstyle"/>
        </w:rPr>
        <w:t>)</w:t>
      </w:r>
      <w:r w:rsidR="00D17C1E" w:rsidRPr="00375F1D">
        <w:rPr>
          <w:rStyle w:val="Referencingstyle"/>
        </w:rPr>
        <w:t xml:space="preserve"> of </w:t>
      </w:r>
      <w:r w:rsidR="00393E0A">
        <w:rPr>
          <w:rStyle w:val="Referencingstyle"/>
        </w:rPr>
        <w:t>the Corporations</w:t>
      </w:r>
      <w:r w:rsidR="00786D08">
        <w:rPr>
          <w:rStyle w:val="Referencingstyle"/>
        </w:rPr>
        <w:t xml:space="preserve"> </w:t>
      </w:r>
      <w:r w:rsidR="00D17C1E" w:rsidRPr="00375F1D">
        <w:rPr>
          <w:rStyle w:val="Referencingstyle"/>
        </w:rPr>
        <w:t>Act]</w:t>
      </w:r>
    </w:p>
    <w:p w14:paraId="602DF443" w14:textId="30017D6E" w:rsidR="002E4F6D" w:rsidRDefault="002E4F6D" w:rsidP="00EF2CFC">
      <w:pPr>
        <w:pStyle w:val="base-text-paragraph"/>
      </w:pPr>
      <w:r>
        <w:t xml:space="preserve">Sections 601CC and 601CL </w:t>
      </w:r>
      <w:r w:rsidR="00D71618">
        <w:t xml:space="preserve">of the Corporations Act </w:t>
      </w:r>
      <w:r>
        <w:t xml:space="preserve">contain rules about the </w:t>
      </w:r>
      <w:r w:rsidR="005020EB">
        <w:t xml:space="preserve">cessation of business of a registered Australian body </w:t>
      </w:r>
      <w:r w:rsidR="00A4711D">
        <w:t>and</w:t>
      </w:r>
      <w:r w:rsidR="005020EB">
        <w:t xml:space="preserve"> a registered foreign body, respectively.</w:t>
      </w:r>
      <w:r w:rsidR="009E7E74">
        <w:t xml:space="preserve"> Liquidators of these bodies </w:t>
      </w:r>
      <w:r w:rsidR="00A4711D">
        <w:t>were</w:t>
      </w:r>
      <w:r w:rsidR="009E7E74">
        <w:t xml:space="preserve"> previously </w:t>
      </w:r>
      <w:r w:rsidR="00A4711D">
        <w:t xml:space="preserve">required </w:t>
      </w:r>
      <w:r w:rsidR="009E7E74">
        <w:t>to publish notices in newspapers before making any distribution of the bodies’ property</w:t>
      </w:r>
      <w:r w:rsidR="00907FEF">
        <w:t xml:space="preserve">. </w:t>
      </w:r>
      <w:r w:rsidR="009E7E74">
        <w:t xml:space="preserve"> </w:t>
      </w:r>
    </w:p>
    <w:p w14:paraId="6ACDEAAC" w14:textId="5D43EC1E" w:rsidR="00086AB3" w:rsidRDefault="0050381A" w:rsidP="00086AB3">
      <w:pPr>
        <w:pStyle w:val="base-text-paragraph"/>
      </w:pPr>
      <w:r>
        <w:t xml:space="preserve">Liquidators must now publish the notices in accordance with the technology neutral publication </w:t>
      </w:r>
      <w:r w:rsidRPr="00A10FA0">
        <w:t>requirements</w:t>
      </w:r>
      <w:r>
        <w:t xml:space="preserve"> outlined</w:t>
      </w:r>
      <w:r w:rsidRPr="00A10FA0">
        <w:t xml:space="preserve"> </w:t>
      </w:r>
      <w:r>
        <w:t>in</w:t>
      </w:r>
      <w:r w:rsidR="005755A5" w:rsidRPr="005755A5">
        <w:t xml:space="preserve"> </w:t>
      </w:r>
      <w:r w:rsidR="005755A5">
        <w:t>paragraph</w:t>
      </w:r>
      <w:r>
        <w:t xml:space="preserve"> </w:t>
      </w:r>
      <w:r>
        <w:fldChar w:fldCharType="begin"/>
      </w:r>
      <w:r>
        <w:instrText xml:space="preserve"> REF _Ref86050883 \r \h </w:instrText>
      </w:r>
      <w:r>
        <w:fldChar w:fldCharType="separate"/>
      </w:r>
      <w:r w:rsidR="000755D3">
        <w:t>3.9</w:t>
      </w:r>
      <w:r>
        <w:fldChar w:fldCharType="end"/>
      </w:r>
      <w:r>
        <w:t xml:space="preserve">. </w:t>
      </w:r>
      <w:r w:rsidR="007344C0">
        <w:t xml:space="preserve">However, </w:t>
      </w:r>
      <w:r w:rsidR="00415C54">
        <w:t>ASIC may</w:t>
      </w:r>
      <w:r w:rsidR="00415C54" w:rsidDel="00A4711D">
        <w:t xml:space="preserve"> </w:t>
      </w:r>
      <w:r w:rsidR="00415C54">
        <w:t xml:space="preserve">determine </w:t>
      </w:r>
      <w:r w:rsidR="007173B3">
        <w:t xml:space="preserve">that </w:t>
      </w:r>
      <w:r w:rsidR="00415C54">
        <w:t>the notices must be published in the ‘prescribed manner’.</w:t>
      </w:r>
      <w:r w:rsidR="0027169C">
        <w:t xml:space="preserve"> </w:t>
      </w:r>
      <w:r w:rsidR="0027169C">
        <w:rPr>
          <w:rStyle w:val="Referencingstyle"/>
        </w:rPr>
        <w:t>[Schedule</w:t>
      </w:r>
      <w:r w:rsidR="00725EA5">
        <w:rPr>
          <w:rStyle w:val="Referencingstyle"/>
        </w:rPr>
        <w:t xml:space="preserve"> 3</w:t>
      </w:r>
      <w:r w:rsidR="0027169C">
        <w:rPr>
          <w:rStyle w:val="Referencingstyle"/>
        </w:rPr>
        <w:t>, i</w:t>
      </w:r>
      <w:r w:rsidR="0027169C" w:rsidRPr="00375F1D">
        <w:rPr>
          <w:rStyle w:val="Referencingstyle"/>
        </w:rPr>
        <w:t>tem</w:t>
      </w:r>
      <w:r w:rsidR="00786D08">
        <w:rPr>
          <w:rStyle w:val="Referencingstyle"/>
        </w:rPr>
        <w:t>s 11</w:t>
      </w:r>
      <w:r w:rsidR="00EA0835">
        <w:rPr>
          <w:rStyle w:val="Referencingstyle"/>
        </w:rPr>
        <w:t xml:space="preserve"> to </w:t>
      </w:r>
      <w:r w:rsidR="00786D08">
        <w:rPr>
          <w:rStyle w:val="Referencingstyle"/>
        </w:rPr>
        <w:t>14</w:t>
      </w:r>
      <w:r w:rsidR="0027169C" w:rsidRPr="00375F1D">
        <w:rPr>
          <w:rStyle w:val="Referencingstyle"/>
        </w:rPr>
        <w:t xml:space="preserve">, sections </w:t>
      </w:r>
      <w:r w:rsidR="00174F15">
        <w:rPr>
          <w:rStyle w:val="Referencingstyle"/>
        </w:rPr>
        <w:t>601CC(14)(a)</w:t>
      </w:r>
      <w:r w:rsidR="00155FA5">
        <w:rPr>
          <w:rStyle w:val="Referencingstyle"/>
        </w:rPr>
        <w:t>, 601CCA,</w:t>
      </w:r>
      <w:r w:rsidR="00174F15">
        <w:rPr>
          <w:rStyle w:val="Referencingstyle"/>
        </w:rPr>
        <w:t xml:space="preserve"> 602CL(15)(a)</w:t>
      </w:r>
      <w:r w:rsidR="00155FA5">
        <w:rPr>
          <w:rStyle w:val="Referencingstyle"/>
        </w:rPr>
        <w:t xml:space="preserve"> and 601CLA</w:t>
      </w:r>
      <w:r w:rsidR="0027169C" w:rsidRPr="00375F1D">
        <w:rPr>
          <w:rStyle w:val="Referencingstyle"/>
        </w:rPr>
        <w:t xml:space="preserve"> of </w:t>
      </w:r>
      <w:r w:rsidR="00174F15">
        <w:rPr>
          <w:rStyle w:val="Referencingstyle"/>
        </w:rPr>
        <w:t>the Corporations</w:t>
      </w:r>
      <w:r w:rsidR="0027169C" w:rsidRPr="00375F1D">
        <w:rPr>
          <w:rStyle w:val="Referencingstyle"/>
        </w:rPr>
        <w:t xml:space="preserve"> Act]</w:t>
      </w:r>
    </w:p>
    <w:p w14:paraId="5E9E25CB" w14:textId="77777777" w:rsidR="00A4711D" w:rsidRPr="00E30B53" w:rsidRDefault="00A4711D" w:rsidP="001D2259">
      <w:pPr>
        <w:pStyle w:val="base-text-paragraph"/>
        <w:numPr>
          <w:ilvl w:val="0"/>
          <w:numId w:val="0"/>
        </w:numPr>
        <w:ind w:left="1134"/>
        <w:rPr>
          <w:i/>
          <w:iCs/>
        </w:rPr>
      </w:pPr>
      <w:r>
        <w:rPr>
          <w:i/>
          <w:iCs/>
        </w:rPr>
        <w:t>Miscellaneous Provisions</w:t>
      </w:r>
    </w:p>
    <w:p w14:paraId="6B260C10" w14:textId="1964E327" w:rsidR="002078DF" w:rsidRDefault="002078DF" w:rsidP="002078DF">
      <w:pPr>
        <w:pStyle w:val="base-text-paragraph"/>
      </w:pPr>
      <w:r>
        <w:t xml:space="preserve">Section 103 </w:t>
      </w:r>
      <w:r w:rsidR="00D477DB">
        <w:t xml:space="preserve">of the Corporations Act </w:t>
      </w:r>
      <w:r>
        <w:t>concerns the effect of certain contraventions of th</w:t>
      </w:r>
      <w:r w:rsidR="003A3E3C">
        <w:t>e Corporations</w:t>
      </w:r>
      <w:r>
        <w:t xml:space="preserve"> Act. As notices may now be published in a number of ways, references to specific manners of publication in the section are repealed.</w:t>
      </w:r>
      <w:r w:rsidR="00D17C1E">
        <w:t xml:space="preserve"> </w:t>
      </w:r>
      <w:r w:rsidR="00D17C1E">
        <w:rPr>
          <w:rStyle w:val="Referencingstyle"/>
        </w:rPr>
        <w:t xml:space="preserve">[Schedule </w:t>
      </w:r>
      <w:r w:rsidR="00D22AFB">
        <w:rPr>
          <w:rStyle w:val="Referencingstyle"/>
        </w:rPr>
        <w:t>3</w:t>
      </w:r>
      <w:r w:rsidR="00D17C1E">
        <w:rPr>
          <w:rStyle w:val="Referencingstyle"/>
        </w:rPr>
        <w:t>, i</w:t>
      </w:r>
      <w:r w:rsidR="00D17C1E" w:rsidRPr="00375F1D">
        <w:rPr>
          <w:rStyle w:val="Referencingstyle"/>
        </w:rPr>
        <w:t xml:space="preserve">tem </w:t>
      </w:r>
      <w:r w:rsidR="00174F15">
        <w:rPr>
          <w:rStyle w:val="Referencingstyle"/>
        </w:rPr>
        <w:t>8</w:t>
      </w:r>
      <w:r w:rsidR="00D17C1E" w:rsidRPr="00375F1D">
        <w:rPr>
          <w:rStyle w:val="Referencingstyle"/>
        </w:rPr>
        <w:t>, section</w:t>
      </w:r>
      <w:r w:rsidR="00174F15">
        <w:rPr>
          <w:rStyle w:val="Referencingstyle"/>
        </w:rPr>
        <w:t xml:space="preserve"> 103(2)(b)</w:t>
      </w:r>
      <w:r w:rsidR="00D17C1E" w:rsidRPr="00375F1D">
        <w:rPr>
          <w:rStyle w:val="Referencingstyle"/>
        </w:rPr>
        <w:t xml:space="preserve"> of </w:t>
      </w:r>
      <w:r w:rsidR="00174F15">
        <w:rPr>
          <w:rStyle w:val="Referencingstyle"/>
        </w:rPr>
        <w:t>the Corporations</w:t>
      </w:r>
      <w:r w:rsidR="00D17C1E" w:rsidRPr="00375F1D">
        <w:rPr>
          <w:rStyle w:val="Referencingstyle"/>
        </w:rPr>
        <w:t xml:space="preserve"> Act]</w:t>
      </w:r>
    </w:p>
    <w:p w14:paraId="761C60DC" w14:textId="6A1A1BA5" w:rsidR="00157688" w:rsidRDefault="00157688" w:rsidP="00157688">
      <w:pPr>
        <w:pStyle w:val="base-text-paragraph"/>
      </w:pPr>
      <w:r>
        <w:t>The definitions of ‘daily newspaper’ and ‘national newspaper’ are repealed</w:t>
      </w:r>
      <w:r w:rsidR="00D477DB">
        <w:t xml:space="preserve"> a</w:t>
      </w:r>
      <w:r>
        <w:t xml:space="preserve">s newspaper references throughout the Corporations Act are repealed. </w:t>
      </w:r>
      <w:r>
        <w:rPr>
          <w:rStyle w:val="Referencingstyle"/>
        </w:rPr>
        <w:t xml:space="preserve">[Schedule </w:t>
      </w:r>
      <w:r w:rsidR="00D22AFB">
        <w:rPr>
          <w:rStyle w:val="Referencingstyle"/>
        </w:rPr>
        <w:t>3</w:t>
      </w:r>
      <w:r>
        <w:rPr>
          <w:rStyle w:val="Referencingstyle"/>
        </w:rPr>
        <w:t>, i</w:t>
      </w:r>
      <w:r w:rsidRPr="00375F1D">
        <w:rPr>
          <w:rStyle w:val="Referencingstyle"/>
        </w:rPr>
        <w:t>tem</w:t>
      </w:r>
      <w:r w:rsidR="00D17C1E">
        <w:rPr>
          <w:rStyle w:val="Referencingstyle"/>
        </w:rPr>
        <w:t>s</w:t>
      </w:r>
      <w:r w:rsidRPr="00375F1D">
        <w:rPr>
          <w:rStyle w:val="Referencingstyle"/>
        </w:rPr>
        <w:t xml:space="preserve"> </w:t>
      </w:r>
      <w:r w:rsidR="00174F15">
        <w:rPr>
          <w:rStyle w:val="Referencingstyle"/>
        </w:rPr>
        <w:t>6</w:t>
      </w:r>
      <w:r w:rsidR="00D17C1E">
        <w:rPr>
          <w:rStyle w:val="Referencingstyle"/>
        </w:rPr>
        <w:t xml:space="preserve"> and </w:t>
      </w:r>
      <w:r w:rsidR="00174F15">
        <w:rPr>
          <w:rStyle w:val="Referencingstyle"/>
        </w:rPr>
        <w:t>7</w:t>
      </w:r>
      <w:r w:rsidRPr="00375F1D">
        <w:rPr>
          <w:rStyle w:val="Referencingstyle"/>
        </w:rPr>
        <w:t>, section</w:t>
      </w:r>
      <w:r w:rsidR="00174F15">
        <w:rPr>
          <w:rStyle w:val="Referencingstyle"/>
        </w:rPr>
        <w:t xml:space="preserve"> 9</w:t>
      </w:r>
      <w:r w:rsidRPr="00375F1D">
        <w:rPr>
          <w:rStyle w:val="Referencingstyle"/>
        </w:rPr>
        <w:t xml:space="preserve"> of </w:t>
      </w:r>
      <w:r w:rsidR="00174F15">
        <w:rPr>
          <w:rStyle w:val="Referencingstyle"/>
        </w:rPr>
        <w:t>the Corporations</w:t>
      </w:r>
      <w:r w:rsidRPr="00375F1D">
        <w:rPr>
          <w:rStyle w:val="Referencingstyle"/>
        </w:rPr>
        <w:t xml:space="preserve"> Act]</w:t>
      </w:r>
    </w:p>
    <w:p w14:paraId="3C19513F" w14:textId="77777777" w:rsidR="005247F9" w:rsidRDefault="008368C5" w:rsidP="00EF2CFC">
      <w:pPr>
        <w:pStyle w:val="base-text-paragraph"/>
      </w:pPr>
      <w:r>
        <w:t xml:space="preserve">Section 1070D of the Corporations Act contains rules about the loss or destruction of title documents for certain securities. The owner of </w:t>
      </w:r>
      <w:r>
        <w:lastRenderedPageBreak/>
        <w:t xml:space="preserve">lost or destroyed </w:t>
      </w:r>
      <w:r w:rsidR="0079367E">
        <w:t>title documents</w:t>
      </w:r>
      <w:r>
        <w:t xml:space="preserve"> may apply </w:t>
      </w:r>
      <w:r w:rsidR="009C5632">
        <w:t xml:space="preserve">to the relevant company </w:t>
      </w:r>
      <w:r w:rsidR="00100489">
        <w:t>for a d</w:t>
      </w:r>
      <w:r w:rsidR="00100489" w:rsidRPr="00100489">
        <w:t>uplicate title document</w:t>
      </w:r>
      <w:r w:rsidR="00100489">
        <w:t xml:space="preserve">. </w:t>
      </w:r>
    </w:p>
    <w:p w14:paraId="7A49C343" w14:textId="6234A665" w:rsidR="00DA2A24" w:rsidRDefault="0079367E" w:rsidP="00913E21">
      <w:pPr>
        <w:pStyle w:val="base-text-paragraph"/>
      </w:pPr>
      <w:r>
        <w:t xml:space="preserve">Previously, the directors of the company </w:t>
      </w:r>
      <w:r w:rsidR="00034903">
        <w:t xml:space="preserve">could, before accepting the application, require the applicant </w:t>
      </w:r>
      <w:r w:rsidR="005247F9">
        <w:t xml:space="preserve">to </w:t>
      </w:r>
      <w:r w:rsidR="005247F9" w:rsidRPr="005247F9">
        <w:t>place an advertisement in a daily newspaper</w:t>
      </w:r>
      <w:r w:rsidR="005247F9">
        <w:t xml:space="preserve"> stating the title documents had been lost destroyed and</w:t>
      </w:r>
      <w:r w:rsidR="00D02907">
        <w:t xml:space="preserve"> the</w:t>
      </w:r>
      <w:r w:rsidR="005247F9">
        <w:t xml:space="preserve"> owner intended to apply for duplicate certificates. </w:t>
      </w:r>
      <w:r w:rsidR="00686BA1">
        <w:t>The directors can</w:t>
      </w:r>
      <w:r w:rsidR="003A3E3C">
        <w:t xml:space="preserve"> </w:t>
      </w:r>
      <w:r w:rsidR="000A146F">
        <w:t xml:space="preserve">now </w:t>
      </w:r>
      <w:r w:rsidR="003A3E3C">
        <w:t xml:space="preserve">specify the manner in which the </w:t>
      </w:r>
      <w:r w:rsidR="00686BA1">
        <w:t xml:space="preserve">notice </w:t>
      </w:r>
      <w:r w:rsidR="003A3E3C">
        <w:t>is published</w:t>
      </w:r>
      <w:r w:rsidR="00686BA1">
        <w:t xml:space="preserve">. </w:t>
      </w:r>
      <w:r w:rsidR="000A146F">
        <w:rPr>
          <w:rStyle w:val="Referencingstyle"/>
        </w:rPr>
        <w:t xml:space="preserve">[Schedule </w:t>
      </w:r>
      <w:r w:rsidR="00725EA5">
        <w:rPr>
          <w:rStyle w:val="Referencingstyle"/>
        </w:rPr>
        <w:t>3</w:t>
      </w:r>
      <w:r w:rsidR="000A146F">
        <w:rPr>
          <w:rStyle w:val="Referencingstyle"/>
        </w:rPr>
        <w:t>, i</w:t>
      </w:r>
      <w:r w:rsidR="000A146F" w:rsidRPr="00375F1D">
        <w:rPr>
          <w:rStyle w:val="Referencingstyle"/>
        </w:rPr>
        <w:t>tem</w:t>
      </w:r>
      <w:r w:rsidR="0008516F">
        <w:rPr>
          <w:rStyle w:val="Referencingstyle"/>
        </w:rPr>
        <w:t xml:space="preserve"> 18</w:t>
      </w:r>
      <w:r w:rsidR="000A146F" w:rsidRPr="00375F1D">
        <w:rPr>
          <w:rStyle w:val="Referencingstyle"/>
        </w:rPr>
        <w:t xml:space="preserve">, sections </w:t>
      </w:r>
      <w:r w:rsidR="0008516F">
        <w:rPr>
          <w:rStyle w:val="Referencingstyle"/>
        </w:rPr>
        <w:t>1070D(6)(a)</w:t>
      </w:r>
      <w:r w:rsidR="000A146F" w:rsidRPr="00375F1D">
        <w:rPr>
          <w:rStyle w:val="Referencingstyle"/>
        </w:rPr>
        <w:t xml:space="preserve"> of </w:t>
      </w:r>
      <w:r w:rsidR="0008516F">
        <w:rPr>
          <w:rStyle w:val="Referencingstyle"/>
        </w:rPr>
        <w:t>the Corporations</w:t>
      </w:r>
      <w:r w:rsidR="000A146F" w:rsidRPr="00375F1D">
        <w:rPr>
          <w:rStyle w:val="Referencingstyle"/>
        </w:rPr>
        <w:t xml:space="preserve"> Act]</w:t>
      </w:r>
    </w:p>
    <w:p w14:paraId="2785D40F" w14:textId="73EA81AC" w:rsidR="000F2015" w:rsidRDefault="00D02907" w:rsidP="00913E21">
      <w:pPr>
        <w:pStyle w:val="base-text-paragraph"/>
      </w:pPr>
      <w:r>
        <w:t>Section 1071D of the Corporations Act contains rules about the r</w:t>
      </w:r>
      <w:r w:rsidRPr="00D02907">
        <w:t xml:space="preserve">egistration of </w:t>
      </w:r>
      <w:r w:rsidR="0008589A">
        <w:t xml:space="preserve">the </w:t>
      </w:r>
      <w:r w:rsidRPr="00D02907">
        <w:t xml:space="preserve">transfer </w:t>
      </w:r>
      <w:r>
        <w:t xml:space="preserve">of </w:t>
      </w:r>
      <w:r w:rsidR="00913E21">
        <w:t xml:space="preserve">a security of a company </w:t>
      </w:r>
      <w:r w:rsidRPr="00D02907">
        <w:t>at</w:t>
      </w:r>
      <w:r w:rsidR="0008589A">
        <w:t xml:space="preserve"> the</w:t>
      </w:r>
      <w:r w:rsidRPr="00D02907">
        <w:t xml:space="preserve"> request of transferor</w:t>
      </w:r>
      <w:r w:rsidR="0008589A">
        <w:t xml:space="preserve">. </w:t>
      </w:r>
      <w:r w:rsidR="00913E21">
        <w:t xml:space="preserve">Under the section, </w:t>
      </w:r>
      <w:r w:rsidR="00E911CA">
        <w:t xml:space="preserve">lists of </w:t>
      </w:r>
      <w:r w:rsidR="00913E21">
        <w:t xml:space="preserve">certain documents could be advertised in such newspapers as the company thinks fit. </w:t>
      </w:r>
      <w:r w:rsidR="00EA54AA">
        <w:t>The list of documents</w:t>
      </w:r>
      <w:r w:rsidR="00F12149">
        <w:t xml:space="preserve"> </w:t>
      </w:r>
      <w:r w:rsidR="00B4013C">
        <w:t xml:space="preserve">can </w:t>
      </w:r>
      <w:r w:rsidR="00F12149">
        <w:t>now</w:t>
      </w:r>
      <w:r w:rsidR="00EA54AA">
        <w:t xml:space="preserve"> be published in a manner specified by the directors</w:t>
      </w:r>
      <w:r w:rsidR="00233D85">
        <w:t xml:space="preserve"> of the company</w:t>
      </w:r>
      <w:r w:rsidR="007B6269">
        <w:t>, in addition to being published in the Gazette</w:t>
      </w:r>
      <w:r w:rsidR="00B4013C">
        <w:t>.</w:t>
      </w:r>
      <w:r w:rsidR="00EA54AA">
        <w:t xml:space="preserve"> </w:t>
      </w:r>
      <w:r w:rsidR="000A146F">
        <w:rPr>
          <w:rStyle w:val="Referencingstyle"/>
        </w:rPr>
        <w:t xml:space="preserve">[Schedule </w:t>
      </w:r>
      <w:r w:rsidR="00725EA5">
        <w:rPr>
          <w:rStyle w:val="Referencingstyle"/>
        </w:rPr>
        <w:t>3</w:t>
      </w:r>
      <w:r w:rsidR="000A146F">
        <w:rPr>
          <w:rStyle w:val="Referencingstyle"/>
        </w:rPr>
        <w:t>, i</w:t>
      </w:r>
      <w:r w:rsidR="000A146F" w:rsidRPr="00375F1D">
        <w:rPr>
          <w:rStyle w:val="Referencingstyle"/>
        </w:rPr>
        <w:t xml:space="preserve">tem </w:t>
      </w:r>
      <w:r w:rsidR="0008516F">
        <w:rPr>
          <w:rStyle w:val="Referencingstyle"/>
        </w:rPr>
        <w:t>19</w:t>
      </w:r>
      <w:r w:rsidR="000F2015" w:rsidRPr="00375F1D">
        <w:rPr>
          <w:rStyle w:val="Referencingstyle"/>
        </w:rPr>
        <w:t>, section</w:t>
      </w:r>
      <w:r w:rsidR="0008516F">
        <w:rPr>
          <w:rStyle w:val="Referencingstyle"/>
        </w:rPr>
        <w:t xml:space="preserve"> 1071D(6)(b)</w:t>
      </w:r>
      <w:r w:rsidR="000F2015" w:rsidRPr="00375F1D">
        <w:rPr>
          <w:rStyle w:val="Referencingstyle"/>
        </w:rPr>
        <w:t xml:space="preserve"> of </w:t>
      </w:r>
      <w:r w:rsidR="0008516F">
        <w:rPr>
          <w:rStyle w:val="Referencingstyle"/>
        </w:rPr>
        <w:t xml:space="preserve">the Corporations </w:t>
      </w:r>
      <w:r w:rsidR="000F2015" w:rsidRPr="00375F1D">
        <w:rPr>
          <w:rStyle w:val="Referencingstyle"/>
        </w:rPr>
        <w:t>Act]</w:t>
      </w:r>
    </w:p>
    <w:p w14:paraId="30DBD5C6" w14:textId="6C5497BC" w:rsidR="00D5573A" w:rsidRPr="000E6F39" w:rsidRDefault="007C6CE2" w:rsidP="00913E21">
      <w:pPr>
        <w:pStyle w:val="base-text-paragraph"/>
        <w:rPr>
          <w:rStyle w:val="Referencingstyle"/>
          <w:b w:val="0"/>
          <w:i w:val="0"/>
          <w:sz w:val="22"/>
        </w:rPr>
      </w:pPr>
      <w:r>
        <w:t xml:space="preserve">Clause 38 of Schedule 4 to the Corporations Act allows the regulations to </w:t>
      </w:r>
      <w:r w:rsidR="003A071E" w:rsidRPr="007C14D8">
        <w:t>modify</w:t>
      </w:r>
      <w:r w:rsidR="00F0294E">
        <w:t xml:space="preserve"> the o</w:t>
      </w:r>
      <w:r>
        <w:t xml:space="preserve">peration </w:t>
      </w:r>
      <w:r w:rsidR="00F0294E">
        <w:t xml:space="preserve">of that Act in relation to certain companies. </w:t>
      </w:r>
      <w:r>
        <w:t xml:space="preserve">A new subclause is inserted into clause 38 of Schedule 4 </w:t>
      </w:r>
      <w:r w:rsidR="00F0294E">
        <w:t>to</w:t>
      </w:r>
      <w:r>
        <w:t xml:space="preserve"> ensure </w:t>
      </w:r>
      <w:r w:rsidR="00E2426D">
        <w:t xml:space="preserve">that ASIC has the power to specify how notices </w:t>
      </w:r>
      <w:r w:rsidR="003A071E" w:rsidRPr="007C14D8">
        <w:t xml:space="preserve">of company meetings </w:t>
      </w:r>
      <w:r w:rsidR="00E2426D">
        <w:t>are published</w:t>
      </w:r>
      <w:r w:rsidR="00F0294E" w:rsidRPr="007C14D8">
        <w:t>.</w:t>
      </w:r>
      <w:r w:rsidR="00F0294E">
        <w:t xml:space="preserve"> </w:t>
      </w:r>
      <w:r w:rsidR="000A146F">
        <w:rPr>
          <w:rStyle w:val="Referencingstyle"/>
        </w:rPr>
        <w:t xml:space="preserve">[Schedule </w:t>
      </w:r>
      <w:r w:rsidR="00725EA5">
        <w:rPr>
          <w:rStyle w:val="Referencingstyle"/>
        </w:rPr>
        <w:t>3</w:t>
      </w:r>
      <w:r w:rsidR="000A146F">
        <w:rPr>
          <w:rStyle w:val="Referencingstyle"/>
        </w:rPr>
        <w:t>, i</w:t>
      </w:r>
      <w:r w:rsidR="000A146F" w:rsidRPr="00375F1D">
        <w:rPr>
          <w:rStyle w:val="Referencingstyle"/>
        </w:rPr>
        <w:t xml:space="preserve">tem </w:t>
      </w:r>
      <w:r w:rsidR="0008516F">
        <w:rPr>
          <w:rStyle w:val="Referencingstyle"/>
        </w:rPr>
        <w:t>2</w:t>
      </w:r>
      <w:r w:rsidR="00460C5E">
        <w:rPr>
          <w:rStyle w:val="Referencingstyle"/>
        </w:rPr>
        <w:t>0</w:t>
      </w:r>
      <w:r w:rsidR="000A146F" w:rsidRPr="00375F1D">
        <w:rPr>
          <w:rStyle w:val="Referencingstyle"/>
        </w:rPr>
        <w:t xml:space="preserve">, </w:t>
      </w:r>
      <w:r w:rsidR="0008516F">
        <w:rPr>
          <w:rStyle w:val="Referencingstyle"/>
        </w:rPr>
        <w:t>clause 38(2</w:t>
      </w:r>
      <w:r w:rsidR="00460C5E">
        <w:rPr>
          <w:rStyle w:val="Referencingstyle"/>
        </w:rPr>
        <w:t>A</w:t>
      </w:r>
      <w:r w:rsidR="0008516F">
        <w:rPr>
          <w:rStyle w:val="Referencingstyle"/>
        </w:rPr>
        <w:t>)</w:t>
      </w:r>
      <w:r w:rsidR="000A146F" w:rsidRPr="00375F1D">
        <w:rPr>
          <w:rStyle w:val="Referencingstyle"/>
        </w:rPr>
        <w:t xml:space="preserve"> of </w:t>
      </w:r>
      <w:r w:rsidR="0008516F">
        <w:rPr>
          <w:rStyle w:val="Referencingstyle"/>
        </w:rPr>
        <w:t>Schedule 4</w:t>
      </w:r>
      <w:r w:rsidR="000A146F" w:rsidRPr="00375F1D">
        <w:rPr>
          <w:rStyle w:val="Referencingstyle"/>
        </w:rPr>
        <w:t xml:space="preserve"> </w:t>
      </w:r>
      <w:r w:rsidR="000C0AD7">
        <w:rPr>
          <w:rStyle w:val="Referencingstyle"/>
        </w:rPr>
        <w:t>to</w:t>
      </w:r>
      <w:r w:rsidR="000A146F" w:rsidRPr="00375F1D">
        <w:rPr>
          <w:rStyle w:val="Referencingstyle"/>
        </w:rPr>
        <w:t xml:space="preserve"> </w:t>
      </w:r>
      <w:r w:rsidR="0008516F">
        <w:rPr>
          <w:rStyle w:val="Referencingstyle"/>
        </w:rPr>
        <w:t xml:space="preserve">the Corporations </w:t>
      </w:r>
      <w:r w:rsidR="000A146F" w:rsidRPr="00375F1D">
        <w:rPr>
          <w:rStyle w:val="Referencingstyle"/>
        </w:rPr>
        <w:t>Act]</w:t>
      </w:r>
    </w:p>
    <w:p w14:paraId="26AFEBB6" w14:textId="160B6AEF" w:rsidR="000E6F39" w:rsidRPr="007C14D8" w:rsidRDefault="00AA2932" w:rsidP="00913E21">
      <w:pPr>
        <w:pStyle w:val="base-text-paragraph"/>
      </w:pPr>
      <w:r w:rsidRPr="007C14D8">
        <w:t xml:space="preserve">This </w:t>
      </w:r>
      <w:r w:rsidR="003A071E" w:rsidRPr="007C14D8">
        <w:t xml:space="preserve">regulation-making </w:t>
      </w:r>
      <w:r w:rsidRPr="007C14D8">
        <w:t>power is limited</w:t>
      </w:r>
      <w:r w:rsidR="003A071E" w:rsidRPr="007C14D8">
        <w:t xml:space="preserve">. It can only stipulate that ASIC has </w:t>
      </w:r>
      <w:r w:rsidR="00830108" w:rsidRPr="007C14D8">
        <w:t xml:space="preserve">the </w:t>
      </w:r>
      <w:r w:rsidR="003A071E" w:rsidRPr="007C14D8">
        <w:t xml:space="preserve">power to determine how notices of meetings of a </w:t>
      </w:r>
      <w:r w:rsidR="00830108" w:rsidRPr="007C14D8">
        <w:t>company’s member are to be published. Further, it only applies to a</w:t>
      </w:r>
      <w:r w:rsidR="003A071E" w:rsidRPr="007C14D8">
        <w:t xml:space="preserve"> small class of companies (mainly building societies, credit unions and friendly societies)</w:t>
      </w:r>
      <w:r w:rsidR="002464E6" w:rsidRPr="007C14D8">
        <w:t>.</w:t>
      </w:r>
      <w:r w:rsidR="0066481B" w:rsidRPr="007C14D8">
        <w:t xml:space="preserve"> It ensures that</w:t>
      </w:r>
      <w:r w:rsidR="007C50CB" w:rsidRPr="007C14D8">
        <w:t xml:space="preserve"> any</w:t>
      </w:r>
      <w:r w:rsidR="0066481B" w:rsidRPr="007C14D8">
        <w:t xml:space="preserve"> additional </w:t>
      </w:r>
      <w:r w:rsidR="001C09BA" w:rsidRPr="007C14D8">
        <w:t xml:space="preserve">requirements </w:t>
      </w:r>
      <w:r w:rsidR="0066481B" w:rsidRPr="007C14D8">
        <w:t xml:space="preserve">for publishing </w:t>
      </w:r>
      <w:r w:rsidR="001C09BA" w:rsidRPr="007C14D8">
        <w:t>in paragraphs of the Act, where a manner for publication has not been prescribed, can be prescribed by ASIC.</w:t>
      </w:r>
      <w:r w:rsidR="00197770" w:rsidRPr="007C14D8">
        <w:t xml:space="preserve"> </w:t>
      </w:r>
      <w:r w:rsidR="00401A18" w:rsidRPr="007C14D8">
        <w:t xml:space="preserve">Where ASIC exercises this power, it must take the form of a legislative instrument </w:t>
      </w:r>
      <w:r w:rsidR="00F731EC" w:rsidRPr="007C14D8">
        <w:t xml:space="preserve">and </w:t>
      </w:r>
      <w:r w:rsidR="000D0D78" w:rsidRPr="007C14D8">
        <w:t xml:space="preserve">be </w:t>
      </w:r>
      <w:r w:rsidR="00F731EC" w:rsidRPr="007C14D8">
        <w:t>published on the Federal Register of Legislation.</w:t>
      </w:r>
      <w:r w:rsidR="00E15807" w:rsidRPr="007C14D8">
        <w:t xml:space="preserve"> Legislative instruments that ASIC publish</w:t>
      </w:r>
      <w:r w:rsidR="000A5A19" w:rsidRPr="007C14D8">
        <w:t>es</w:t>
      </w:r>
      <w:r w:rsidR="00E15807" w:rsidRPr="007C14D8">
        <w:t xml:space="preserve"> under this </w:t>
      </w:r>
      <w:r w:rsidR="0073051E">
        <w:t>c</w:t>
      </w:r>
      <w:r w:rsidR="00E15807" w:rsidRPr="007C14D8">
        <w:t>lause</w:t>
      </w:r>
      <w:r w:rsidR="00CD1FA1" w:rsidRPr="007C14D8">
        <w:t xml:space="preserve"> are subject to the usual safeguards, including</w:t>
      </w:r>
      <w:r w:rsidR="00E15807" w:rsidRPr="007C14D8">
        <w:t xml:space="preserve"> sunsetting and disallow</w:t>
      </w:r>
      <w:r w:rsidR="00CD1FA1" w:rsidRPr="007C14D8">
        <w:t>ance</w:t>
      </w:r>
      <w:r w:rsidR="00E15807" w:rsidRPr="007C14D8">
        <w:t xml:space="preserve"> by Parliament</w:t>
      </w:r>
      <w:r w:rsidR="002464E6" w:rsidRPr="007C14D8">
        <w:t>.</w:t>
      </w:r>
    </w:p>
    <w:p w14:paraId="0CD53BA5" w14:textId="0CD947A5" w:rsidR="00CB28B9" w:rsidRPr="001D2259" w:rsidRDefault="00D508E8" w:rsidP="001D2259">
      <w:pPr>
        <w:pStyle w:val="base-text-paragraph"/>
        <w:numPr>
          <w:ilvl w:val="0"/>
          <w:numId w:val="0"/>
        </w:numPr>
        <w:ind w:left="1134"/>
        <w:rPr>
          <w:b/>
          <w:i/>
        </w:rPr>
      </w:pPr>
      <w:r>
        <w:rPr>
          <w:b/>
          <w:bCs/>
          <w:i/>
          <w:iCs/>
        </w:rPr>
        <w:t>Income Tax Assessment Act 1936</w:t>
      </w:r>
    </w:p>
    <w:p w14:paraId="626E607D" w14:textId="5385F594" w:rsidR="000769F0" w:rsidRPr="001D2259" w:rsidRDefault="000769F0" w:rsidP="001D2259">
      <w:pPr>
        <w:pStyle w:val="base-text-paragraph"/>
        <w:numPr>
          <w:ilvl w:val="0"/>
          <w:numId w:val="0"/>
        </w:numPr>
        <w:ind w:left="1134"/>
        <w:rPr>
          <w:i/>
        </w:rPr>
      </w:pPr>
      <w:r w:rsidRPr="001D2259">
        <w:rPr>
          <w:i/>
        </w:rPr>
        <w:t>Serving notices</w:t>
      </w:r>
    </w:p>
    <w:p w14:paraId="2AB2EB33" w14:textId="088F49BB" w:rsidR="00CB28B9" w:rsidRDefault="000600E4" w:rsidP="00913E21">
      <w:pPr>
        <w:pStyle w:val="base-text-paragraph"/>
      </w:pPr>
      <w:r>
        <w:t xml:space="preserve">Section 45D of the </w:t>
      </w:r>
      <w:r w:rsidRPr="001D2259">
        <w:rPr>
          <w:i/>
        </w:rPr>
        <w:t>Income Tax Assessment Act 1936</w:t>
      </w:r>
      <w:r w:rsidR="0033086D">
        <w:rPr>
          <w:i/>
        </w:rPr>
        <w:t xml:space="preserve"> </w:t>
      </w:r>
      <w:r w:rsidR="0033086D">
        <w:t xml:space="preserve">concerns </w:t>
      </w:r>
      <w:r w:rsidR="00693B4D">
        <w:t>determination</w:t>
      </w:r>
      <w:r w:rsidR="00103543">
        <w:t>s</w:t>
      </w:r>
      <w:r w:rsidR="00693B4D">
        <w:t xml:space="preserve"> made under section</w:t>
      </w:r>
      <w:r w:rsidR="00196AD1">
        <w:t>s</w:t>
      </w:r>
      <w:r w:rsidR="00693B4D">
        <w:t xml:space="preserve"> 45A, 45B and 45C of that Act</w:t>
      </w:r>
      <w:r w:rsidR="0033086D">
        <w:t xml:space="preserve">. </w:t>
      </w:r>
      <w:r w:rsidR="00196AD1">
        <w:t>Previously, t</w:t>
      </w:r>
      <w:r w:rsidR="00693B4D">
        <w:t xml:space="preserve">he Commissioner </w:t>
      </w:r>
      <w:r w:rsidR="00196AD1">
        <w:t xml:space="preserve">of Taxation </w:t>
      </w:r>
      <w:r w:rsidR="00454D37">
        <w:t>could</w:t>
      </w:r>
      <w:r w:rsidR="00196AD1">
        <w:t xml:space="preserve"> serve </w:t>
      </w:r>
      <w:r w:rsidR="00103543">
        <w:t>a</w:t>
      </w:r>
      <w:r w:rsidR="00196AD1">
        <w:t xml:space="preserve"> notice of a determination under section 45A by publishing the notice in certain daily newspapers. The Commissioner can now serve the notice by publishing the notice in a manner </w:t>
      </w:r>
      <w:r w:rsidR="00103543">
        <w:t>that accords with the</w:t>
      </w:r>
      <w:r w:rsidR="00103543" w:rsidRPr="00A10FA0">
        <w:t xml:space="preserve"> </w:t>
      </w:r>
      <w:r w:rsidR="00B17494">
        <w:t xml:space="preserve">technology neutral </w:t>
      </w:r>
      <w:r w:rsidR="00103543">
        <w:t xml:space="preserve">publication </w:t>
      </w:r>
      <w:r w:rsidR="00103543" w:rsidRPr="00A10FA0">
        <w:t>requirements</w:t>
      </w:r>
      <w:r w:rsidR="00103543">
        <w:t xml:space="preserve"> outlined</w:t>
      </w:r>
      <w:r w:rsidR="00103543" w:rsidRPr="00A10FA0">
        <w:t xml:space="preserve"> </w:t>
      </w:r>
      <w:r w:rsidR="00103543">
        <w:t>in</w:t>
      </w:r>
      <w:r w:rsidR="0073051E">
        <w:t xml:space="preserve"> paragraph</w:t>
      </w:r>
      <w:r w:rsidR="00103543">
        <w:t xml:space="preserve"> </w:t>
      </w:r>
      <w:r w:rsidR="00103543">
        <w:fldChar w:fldCharType="begin"/>
      </w:r>
      <w:r w:rsidR="00103543">
        <w:instrText xml:space="preserve"> REF _Ref86050883 \r \h </w:instrText>
      </w:r>
      <w:r w:rsidR="00103543">
        <w:fldChar w:fldCharType="separate"/>
      </w:r>
      <w:r w:rsidR="000755D3">
        <w:t>3.9</w:t>
      </w:r>
      <w:r w:rsidR="00103543">
        <w:fldChar w:fldCharType="end"/>
      </w:r>
      <w:r w:rsidR="00103543">
        <w:t>.</w:t>
      </w:r>
      <w:r w:rsidR="006D1E39" w:rsidRPr="001F3D67">
        <w:rPr>
          <w:sz w:val="18"/>
          <w:szCs w:val="16"/>
        </w:rPr>
        <w:t xml:space="preserve"> </w:t>
      </w:r>
      <w:r w:rsidR="006D1E39" w:rsidRPr="001F3D67">
        <w:rPr>
          <w:b/>
          <w:bCs/>
          <w:i/>
          <w:iCs/>
          <w:sz w:val="18"/>
          <w:szCs w:val="16"/>
        </w:rPr>
        <w:t xml:space="preserve">[Schedule </w:t>
      </w:r>
      <w:r w:rsidR="00725EA5">
        <w:rPr>
          <w:b/>
          <w:bCs/>
          <w:i/>
          <w:iCs/>
          <w:sz w:val="18"/>
          <w:szCs w:val="16"/>
        </w:rPr>
        <w:t>3</w:t>
      </w:r>
      <w:r w:rsidR="006D1E39" w:rsidRPr="001F3D67">
        <w:rPr>
          <w:b/>
          <w:bCs/>
          <w:i/>
          <w:iCs/>
          <w:sz w:val="18"/>
          <w:szCs w:val="16"/>
        </w:rPr>
        <w:t>, item</w:t>
      </w:r>
      <w:r w:rsidR="006D1E39">
        <w:rPr>
          <w:b/>
          <w:bCs/>
          <w:i/>
          <w:iCs/>
          <w:sz w:val="18"/>
          <w:szCs w:val="16"/>
        </w:rPr>
        <w:t>s 2</w:t>
      </w:r>
      <w:r w:rsidR="001D5F32">
        <w:rPr>
          <w:b/>
          <w:bCs/>
          <w:i/>
          <w:iCs/>
          <w:sz w:val="18"/>
          <w:szCs w:val="16"/>
        </w:rPr>
        <w:t>1</w:t>
      </w:r>
      <w:r w:rsidR="006D1E39">
        <w:rPr>
          <w:b/>
          <w:bCs/>
          <w:i/>
          <w:iCs/>
          <w:sz w:val="18"/>
          <w:szCs w:val="16"/>
        </w:rPr>
        <w:t xml:space="preserve"> and 2</w:t>
      </w:r>
      <w:r w:rsidR="001D5F32">
        <w:rPr>
          <w:b/>
          <w:bCs/>
          <w:i/>
          <w:iCs/>
          <w:sz w:val="18"/>
          <w:szCs w:val="16"/>
        </w:rPr>
        <w:t>2</w:t>
      </w:r>
      <w:r w:rsidR="006D1E39">
        <w:rPr>
          <w:b/>
          <w:bCs/>
          <w:i/>
          <w:iCs/>
          <w:sz w:val="18"/>
          <w:szCs w:val="16"/>
        </w:rPr>
        <w:t>, section 45D(2) of the ITAA 1936]</w:t>
      </w:r>
    </w:p>
    <w:p w14:paraId="2FC77B80" w14:textId="08E8955E" w:rsidR="00B1537D" w:rsidRDefault="00EC1730" w:rsidP="00B1537D">
      <w:pPr>
        <w:pStyle w:val="base-text-paragraph"/>
      </w:pPr>
      <w:r>
        <w:lastRenderedPageBreak/>
        <w:t xml:space="preserve">Section 177EA of </w:t>
      </w:r>
      <w:r w:rsidR="00B1537D">
        <w:t xml:space="preserve">the ITAA </w:t>
      </w:r>
      <w:r w:rsidR="00570BBA">
        <w:t>19</w:t>
      </w:r>
      <w:r w:rsidR="00B1537D">
        <w:t>36</w:t>
      </w:r>
      <w:r>
        <w:t xml:space="preserve"> concerns the creation of franking debits and the cancellation of franking credits.</w:t>
      </w:r>
      <w:r w:rsidR="00F02D79">
        <w:t xml:space="preserve"> </w:t>
      </w:r>
      <w:r w:rsidR="000769F0">
        <w:t>Previously, i</w:t>
      </w:r>
      <w:r w:rsidR="00F02D79">
        <w:t xml:space="preserve">f the Commissioner </w:t>
      </w:r>
      <w:proofErr w:type="gramStart"/>
      <w:r w:rsidR="000769F0">
        <w:t>made</w:t>
      </w:r>
      <w:r w:rsidR="00F02D79">
        <w:t xml:space="preserve"> a determination</w:t>
      </w:r>
      <w:proofErr w:type="gramEnd"/>
      <w:r w:rsidR="00F02D79">
        <w:t xml:space="preserve"> under section</w:t>
      </w:r>
      <w:r>
        <w:t xml:space="preserve"> </w:t>
      </w:r>
      <w:r w:rsidR="00F02D79">
        <w:t>177EA(5)(b)</w:t>
      </w:r>
      <w:r w:rsidR="00B17494">
        <w:t xml:space="preserve"> of that Act</w:t>
      </w:r>
      <w:r w:rsidR="000769F0">
        <w:t xml:space="preserve">, the Commissioner </w:t>
      </w:r>
      <w:r w:rsidR="00454D37">
        <w:t>could s</w:t>
      </w:r>
      <w:r w:rsidR="000769F0">
        <w:t xml:space="preserve">erve notice of the determination on each relevant taxpayer if the determination was published in certain daily newspapers. </w:t>
      </w:r>
      <w:r w:rsidR="00BD6BBF">
        <w:t xml:space="preserve">The Commissioner </w:t>
      </w:r>
      <w:r w:rsidR="004C0738">
        <w:t>is</w:t>
      </w:r>
      <w:r w:rsidR="00BD6BBF">
        <w:t xml:space="preserve"> now </w:t>
      </w:r>
      <w:r w:rsidR="00486220">
        <w:t>taken to have served the notice if it is</w:t>
      </w:r>
      <w:r w:rsidR="00BD6BBF" w:rsidDel="00486220">
        <w:t xml:space="preserve"> </w:t>
      </w:r>
      <w:r w:rsidR="00BD6BBF">
        <w:t>publish</w:t>
      </w:r>
      <w:r w:rsidR="00486220">
        <w:t>ed</w:t>
      </w:r>
      <w:r w:rsidR="00BD6BBF">
        <w:t xml:space="preserve"> </w:t>
      </w:r>
      <w:r w:rsidR="00486220">
        <w:t>according to</w:t>
      </w:r>
      <w:r w:rsidR="00B1537D">
        <w:t xml:space="preserve"> the </w:t>
      </w:r>
      <w:r w:rsidR="00B17494">
        <w:t xml:space="preserve">technology neutral publication </w:t>
      </w:r>
      <w:r w:rsidR="00B1537D" w:rsidRPr="00A10FA0">
        <w:t>requirements</w:t>
      </w:r>
      <w:r w:rsidR="00B1537D">
        <w:t xml:space="preserve"> outlined</w:t>
      </w:r>
      <w:r w:rsidR="00B1537D" w:rsidRPr="00A10FA0">
        <w:t xml:space="preserve"> </w:t>
      </w:r>
      <w:r w:rsidR="00B1537D">
        <w:t xml:space="preserve">in </w:t>
      </w:r>
      <w:r w:rsidR="00B1537D">
        <w:fldChar w:fldCharType="begin"/>
      </w:r>
      <w:r w:rsidR="00B1537D">
        <w:instrText xml:space="preserve"> REF _Ref86050883 \r \h </w:instrText>
      </w:r>
      <w:r w:rsidR="00B1537D">
        <w:fldChar w:fldCharType="separate"/>
      </w:r>
      <w:r w:rsidR="000755D3">
        <w:t>3.9</w:t>
      </w:r>
      <w:r w:rsidR="00B1537D">
        <w:fldChar w:fldCharType="end"/>
      </w:r>
      <w:r w:rsidR="00B1537D">
        <w:t>.</w:t>
      </w:r>
      <w:r w:rsidR="006D1E39">
        <w:t xml:space="preserve"> </w:t>
      </w:r>
      <w:r w:rsidR="006D1E39" w:rsidRPr="00B111A1">
        <w:rPr>
          <w:b/>
          <w:bCs/>
          <w:i/>
          <w:iCs/>
          <w:sz w:val="18"/>
          <w:szCs w:val="16"/>
        </w:rPr>
        <w:t xml:space="preserve">[Schedule </w:t>
      </w:r>
      <w:r w:rsidR="00725EA5">
        <w:rPr>
          <w:b/>
          <w:bCs/>
          <w:i/>
          <w:iCs/>
          <w:sz w:val="18"/>
          <w:szCs w:val="16"/>
        </w:rPr>
        <w:t>3</w:t>
      </w:r>
      <w:r w:rsidR="006D1E39" w:rsidRPr="00B111A1">
        <w:rPr>
          <w:b/>
          <w:bCs/>
          <w:i/>
          <w:iCs/>
          <w:sz w:val="18"/>
          <w:szCs w:val="16"/>
        </w:rPr>
        <w:t>, item</w:t>
      </w:r>
      <w:r w:rsidR="006D1E39">
        <w:rPr>
          <w:b/>
          <w:bCs/>
          <w:i/>
          <w:iCs/>
          <w:sz w:val="18"/>
          <w:szCs w:val="16"/>
        </w:rPr>
        <w:t>s 2</w:t>
      </w:r>
      <w:r w:rsidR="001D5F32">
        <w:rPr>
          <w:b/>
          <w:bCs/>
          <w:i/>
          <w:iCs/>
          <w:sz w:val="18"/>
          <w:szCs w:val="16"/>
        </w:rPr>
        <w:t>3</w:t>
      </w:r>
      <w:r w:rsidR="006D1E39">
        <w:rPr>
          <w:b/>
          <w:bCs/>
          <w:i/>
          <w:iCs/>
          <w:sz w:val="18"/>
          <w:szCs w:val="16"/>
        </w:rPr>
        <w:t xml:space="preserve"> and 2</w:t>
      </w:r>
      <w:r w:rsidR="001D5F32">
        <w:rPr>
          <w:b/>
          <w:bCs/>
          <w:i/>
          <w:iCs/>
          <w:sz w:val="18"/>
          <w:szCs w:val="16"/>
        </w:rPr>
        <w:t>4</w:t>
      </w:r>
      <w:r w:rsidR="006D1E39">
        <w:rPr>
          <w:b/>
          <w:bCs/>
          <w:i/>
          <w:iCs/>
          <w:sz w:val="18"/>
          <w:szCs w:val="16"/>
        </w:rPr>
        <w:t xml:space="preserve">, section </w:t>
      </w:r>
      <w:r w:rsidR="00570BBA">
        <w:rPr>
          <w:b/>
          <w:bCs/>
          <w:i/>
          <w:iCs/>
          <w:sz w:val="18"/>
          <w:szCs w:val="16"/>
        </w:rPr>
        <w:t>177EA</w:t>
      </w:r>
      <w:r w:rsidR="006D1E39">
        <w:rPr>
          <w:b/>
          <w:bCs/>
          <w:i/>
          <w:iCs/>
          <w:sz w:val="18"/>
          <w:szCs w:val="16"/>
        </w:rPr>
        <w:t>(</w:t>
      </w:r>
      <w:r w:rsidR="00570BBA">
        <w:rPr>
          <w:b/>
          <w:bCs/>
          <w:i/>
          <w:iCs/>
          <w:sz w:val="18"/>
          <w:szCs w:val="16"/>
        </w:rPr>
        <w:t>7</w:t>
      </w:r>
      <w:r w:rsidR="006D1E39">
        <w:rPr>
          <w:b/>
          <w:bCs/>
          <w:i/>
          <w:iCs/>
          <w:sz w:val="18"/>
          <w:szCs w:val="16"/>
        </w:rPr>
        <w:t>) of the ITAA 1936]</w:t>
      </w:r>
    </w:p>
    <w:p w14:paraId="001C4067" w14:textId="7073BD71" w:rsidR="009A5265" w:rsidRPr="001D2259" w:rsidRDefault="004C0738" w:rsidP="001D2259">
      <w:pPr>
        <w:pStyle w:val="base-text-paragraph"/>
        <w:numPr>
          <w:ilvl w:val="0"/>
          <w:numId w:val="0"/>
        </w:numPr>
        <w:ind w:left="1134"/>
        <w:rPr>
          <w:b/>
          <w:i/>
        </w:rPr>
      </w:pPr>
      <w:r>
        <w:rPr>
          <w:b/>
          <w:bCs/>
          <w:i/>
          <w:iCs/>
        </w:rPr>
        <w:t>Income Tax Assessment Act 1997</w:t>
      </w:r>
    </w:p>
    <w:p w14:paraId="3E911524" w14:textId="65B6E7CE" w:rsidR="00EC1730" w:rsidRDefault="00A85BDB" w:rsidP="00913E21">
      <w:pPr>
        <w:pStyle w:val="base-text-paragraph"/>
      </w:pPr>
      <w:r>
        <w:t xml:space="preserve">Under section 204-50(3) of the </w:t>
      </w:r>
      <w:r w:rsidRPr="001D2259">
        <w:rPr>
          <w:i/>
        </w:rPr>
        <w:t>Income Tax Assessment Act 1997</w:t>
      </w:r>
      <w:r>
        <w:t>, i</w:t>
      </w:r>
      <w:r w:rsidRPr="00A85BDB">
        <w:t xml:space="preserve">f the Commissioner </w:t>
      </w:r>
      <w:proofErr w:type="gramStart"/>
      <w:r w:rsidRPr="00A85BDB">
        <w:t>ma</w:t>
      </w:r>
      <w:r w:rsidR="00437103">
        <w:t>kes</w:t>
      </w:r>
      <w:r w:rsidRPr="00A85BDB">
        <w:t xml:space="preserve"> a determination</w:t>
      </w:r>
      <w:proofErr w:type="gramEnd"/>
      <w:r w:rsidRPr="00A85BDB">
        <w:t xml:space="preserve"> denying an imputation benefit, the Commissioner </w:t>
      </w:r>
      <w:r w:rsidR="007E0F75">
        <w:t xml:space="preserve">was previously </w:t>
      </w:r>
      <w:r w:rsidRPr="00A85BDB">
        <w:t xml:space="preserve">taken to have served notice of the determination </w:t>
      </w:r>
      <w:r w:rsidR="007E0F75">
        <w:t xml:space="preserve">if they published the notice in certain newspapers. </w:t>
      </w:r>
      <w:r w:rsidR="00486220" w:rsidDel="004B6FEA">
        <w:t xml:space="preserve">The </w:t>
      </w:r>
      <w:r w:rsidR="00486220">
        <w:t>Commissioner is now taken to have served the notice if it is published according to the</w:t>
      </w:r>
      <w:r w:rsidR="00486220" w:rsidRPr="00A10FA0">
        <w:t xml:space="preserve"> </w:t>
      </w:r>
      <w:r w:rsidR="004B6FEA">
        <w:t xml:space="preserve">technology neutral publication </w:t>
      </w:r>
      <w:r w:rsidR="00486220" w:rsidRPr="00A10FA0">
        <w:t>requirements</w:t>
      </w:r>
      <w:r w:rsidR="00486220">
        <w:t xml:space="preserve"> outlined</w:t>
      </w:r>
      <w:r w:rsidR="00486220" w:rsidRPr="00A10FA0">
        <w:t xml:space="preserve"> </w:t>
      </w:r>
      <w:r w:rsidR="00486220">
        <w:t>in</w:t>
      </w:r>
      <w:r w:rsidR="0073051E">
        <w:t xml:space="preserve"> paragraph</w:t>
      </w:r>
      <w:r w:rsidR="00486220">
        <w:t xml:space="preserve"> </w:t>
      </w:r>
      <w:r w:rsidR="00486220">
        <w:fldChar w:fldCharType="begin"/>
      </w:r>
      <w:r w:rsidR="00486220">
        <w:instrText xml:space="preserve"> REF _Ref86050883 \r \h </w:instrText>
      </w:r>
      <w:r w:rsidR="00486220">
        <w:fldChar w:fldCharType="separate"/>
      </w:r>
      <w:r w:rsidR="000755D3">
        <w:t>3.9</w:t>
      </w:r>
      <w:r w:rsidR="00486220">
        <w:fldChar w:fldCharType="end"/>
      </w:r>
      <w:r w:rsidR="00486220">
        <w:t>.</w:t>
      </w:r>
      <w:r w:rsidR="00570BBA">
        <w:t xml:space="preserve"> </w:t>
      </w:r>
      <w:r w:rsidR="00570BBA" w:rsidRPr="00B111A1">
        <w:rPr>
          <w:b/>
          <w:bCs/>
          <w:i/>
          <w:iCs/>
          <w:sz w:val="18"/>
          <w:szCs w:val="16"/>
        </w:rPr>
        <w:t xml:space="preserve">[Schedule </w:t>
      </w:r>
      <w:r w:rsidR="00725EA5">
        <w:rPr>
          <w:b/>
          <w:bCs/>
          <w:i/>
          <w:iCs/>
          <w:sz w:val="18"/>
          <w:szCs w:val="16"/>
        </w:rPr>
        <w:t>3</w:t>
      </w:r>
      <w:r w:rsidR="00570BBA" w:rsidRPr="00B111A1">
        <w:rPr>
          <w:b/>
          <w:bCs/>
          <w:i/>
          <w:iCs/>
          <w:sz w:val="18"/>
          <w:szCs w:val="16"/>
        </w:rPr>
        <w:t>, item</w:t>
      </w:r>
      <w:r w:rsidR="00570BBA">
        <w:rPr>
          <w:b/>
          <w:bCs/>
          <w:i/>
          <w:iCs/>
          <w:sz w:val="18"/>
          <w:szCs w:val="16"/>
        </w:rPr>
        <w:t xml:space="preserve"> 2</w:t>
      </w:r>
      <w:r w:rsidR="001D5F32">
        <w:rPr>
          <w:b/>
          <w:bCs/>
          <w:i/>
          <w:iCs/>
          <w:sz w:val="18"/>
          <w:szCs w:val="16"/>
        </w:rPr>
        <w:t>5</w:t>
      </w:r>
      <w:r w:rsidR="00570BBA">
        <w:rPr>
          <w:b/>
          <w:bCs/>
          <w:i/>
          <w:iCs/>
          <w:sz w:val="18"/>
          <w:szCs w:val="16"/>
        </w:rPr>
        <w:t>, section 204-50(3) of the ITAA 1997]</w:t>
      </w:r>
    </w:p>
    <w:p w14:paraId="0E8C69AA" w14:textId="20C5F009" w:rsidR="003975C0" w:rsidRPr="001D2259" w:rsidRDefault="003975C0" w:rsidP="001D2259">
      <w:pPr>
        <w:pStyle w:val="base-text-paragraph"/>
        <w:numPr>
          <w:ilvl w:val="0"/>
          <w:numId w:val="0"/>
        </w:numPr>
        <w:ind w:left="1134"/>
        <w:rPr>
          <w:b/>
          <w:i/>
        </w:rPr>
      </w:pPr>
      <w:r w:rsidRPr="001D2259">
        <w:rPr>
          <w:b/>
          <w:i/>
        </w:rPr>
        <w:t>Insurance Act 1973</w:t>
      </w:r>
    </w:p>
    <w:p w14:paraId="1C73F5A8" w14:textId="3225DAF4" w:rsidR="005C7880" w:rsidRDefault="002E6A8E">
      <w:pPr>
        <w:pStyle w:val="base-text-paragraph"/>
      </w:pPr>
      <w:r>
        <w:t xml:space="preserve">Section 29 of the </w:t>
      </w:r>
      <w:r w:rsidRPr="001D2259">
        <w:rPr>
          <w:i/>
        </w:rPr>
        <w:t>Insurance Act 1973</w:t>
      </w:r>
      <w:r>
        <w:t xml:space="preserve"> contain</w:t>
      </w:r>
      <w:r w:rsidR="006205C1">
        <w:t>s</w:t>
      </w:r>
      <w:r>
        <w:t xml:space="preserve"> rules about the change of name </w:t>
      </w:r>
      <w:r w:rsidRPr="002E6A8E">
        <w:t>of general insurer</w:t>
      </w:r>
      <w:r w:rsidR="00963422">
        <w:t>s</w:t>
      </w:r>
      <w:r>
        <w:t xml:space="preserve">. </w:t>
      </w:r>
      <w:r w:rsidR="005C7880">
        <w:t>Previously, a</w:t>
      </w:r>
      <w:r w:rsidR="005C7880" w:rsidRPr="005C7880">
        <w:t xml:space="preserve"> general insurer who change</w:t>
      </w:r>
      <w:r w:rsidR="005C7880">
        <w:t>d</w:t>
      </w:r>
      <w:r w:rsidR="005C7880" w:rsidRPr="005C7880">
        <w:t xml:space="preserve"> its name </w:t>
      </w:r>
      <w:r w:rsidR="005C7880">
        <w:t xml:space="preserve">had to place </w:t>
      </w:r>
      <w:r w:rsidR="005C7880" w:rsidRPr="005C7880">
        <w:t xml:space="preserve">a notice </w:t>
      </w:r>
      <w:r w:rsidR="00963422">
        <w:t xml:space="preserve">of that fact in </w:t>
      </w:r>
      <w:r w:rsidR="005C7880">
        <w:t>certain newspapers.</w:t>
      </w:r>
      <w:r w:rsidR="00D43D48">
        <w:t xml:space="preserve"> </w:t>
      </w:r>
      <w:r w:rsidR="00963422">
        <w:t xml:space="preserve">Now, the general insurer must publish the notice in accordance with the </w:t>
      </w:r>
      <w:r w:rsidR="004B6FEA">
        <w:t xml:space="preserve">technology neutral publication </w:t>
      </w:r>
      <w:r w:rsidR="004B6FEA" w:rsidRPr="00A10FA0">
        <w:t>requirements</w:t>
      </w:r>
      <w:r w:rsidR="004B6FEA">
        <w:t xml:space="preserve"> outlined</w:t>
      </w:r>
      <w:r w:rsidR="004B6FEA" w:rsidRPr="00A10FA0">
        <w:t xml:space="preserve"> </w:t>
      </w:r>
      <w:r w:rsidR="004B6FEA">
        <w:t>in</w:t>
      </w:r>
      <w:r w:rsidR="0073051E">
        <w:t xml:space="preserve"> paragraph</w:t>
      </w:r>
      <w:r w:rsidR="004B6FEA">
        <w:t xml:space="preserve"> </w:t>
      </w:r>
      <w:r w:rsidR="004B6FEA">
        <w:fldChar w:fldCharType="begin"/>
      </w:r>
      <w:r w:rsidR="004B6FEA">
        <w:instrText xml:space="preserve"> REF _Ref86050883 \r \h </w:instrText>
      </w:r>
      <w:r w:rsidR="004B6FEA">
        <w:fldChar w:fldCharType="separate"/>
      </w:r>
      <w:r w:rsidR="000755D3">
        <w:t>3.9</w:t>
      </w:r>
      <w:r w:rsidR="004B6FEA">
        <w:fldChar w:fldCharType="end"/>
      </w:r>
      <w:r w:rsidR="004B6FEA">
        <w:t>.</w:t>
      </w:r>
      <w:r w:rsidR="005C7880">
        <w:t xml:space="preserve"> </w:t>
      </w:r>
      <w:r w:rsidR="00570BBA" w:rsidRPr="00B111A1">
        <w:rPr>
          <w:b/>
          <w:bCs/>
          <w:i/>
          <w:iCs/>
          <w:sz w:val="18"/>
          <w:szCs w:val="16"/>
        </w:rPr>
        <w:t xml:space="preserve">[Schedule </w:t>
      </w:r>
      <w:r w:rsidR="00725EA5">
        <w:rPr>
          <w:b/>
          <w:bCs/>
          <w:i/>
          <w:iCs/>
          <w:sz w:val="18"/>
          <w:szCs w:val="16"/>
        </w:rPr>
        <w:t>3</w:t>
      </w:r>
      <w:r w:rsidR="00570BBA" w:rsidRPr="00B111A1">
        <w:rPr>
          <w:b/>
          <w:bCs/>
          <w:i/>
          <w:iCs/>
          <w:sz w:val="18"/>
          <w:szCs w:val="16"/>
        </w:rPr>
        <w:t>, item</w:t>
      </w:r>
      <w:r w:rsidR="00570BBA">
        <w:rPr>
          <w:b/>
          <w:bCs/>
          <w:i/>
          <w:iCs/>
          <w:sz w:val="18"/>
          <w:szCs w:val="16"/>
        </w:rPr>
        <w:t>s</w:t>
      </w:r>
      <w:r w:rsidR="001D5F32">
        <w:rPr>
          <w:b/>
          <w:bCs/>
          <w:i/>
          <w:iCs/>
          <w:sz w:val="18"/>
          <w:szCs w:val="16"/>
        </w:rPr>
        <w:t xml:space="preserve"> 26,</w:t>
      </w:r>
      <w:r w:rsidR="00570BBA">
        <w:rPr>
          <w:b/>
          <w:bCs/>
          <w:i/>
          <w:iCs/>
          <w:sz w:val="18"/>
          <w:szCs w:val="16"/>
        </w:rPr>
        <w:t xml:space="preserve"> 27</w:t>
      </w:r>
      <w:r w:rsidR="001D5F32">
        <w:rPr>
          <w:b/>
          <w:bCs/>
          <w:i/>
          <w:iCs/>
          <w:sz w:val="18"/>
          <w:szCs w:val="16"/>
        </w:rPr>
        <w:t xml:space="preserve"> and</w:t>
      </w:r>
      <w:r w:rsidR="002C6A12">
        <w:rPr>
          <w:b/>
          <w:bCs/>
          <w:i/>
          <w:iCs/>
          <w:sz w:val="18"/>
          <w:szCs w:val="16"/>
        </w:rPr>
        <w:t xml:space="preserve"> 28</w:t>
      </w:r>
      <w:r w:rsidR="00570BBA">
        <w:rPr>
          <w:b/>
          <w:bCs/>
          <w:i/>
          <w:iCs/>
          <w:sz w:val="18"/>
          <w:szCs w:val="16"/>
        </w:rPr>
        <w:t xml:space="preserve">, section </w:t>
      </w:r>
      <w:r w:rsidR="002C6A12">
        <w:rPr>
          <w:b/>
          <w:bCs/>
          <w:i/>
          <w:iCs/>
          <w:sz w:val="18"/>
          <w:szCs w:val="16"/>
        </w:rPr>
        <w:t>29(1</w:t>
      </w:r>
      <w:r w:rsidR="00570BBA">
        <w:rPr>
          <w:b/>
          <w:bCs/>
          <w:i/>
          <w:iCs/>
          <w:sz w:val="18"/>
          <w:szCs w:val="16"/>
        </w:rPr>
        <w:t>)</w:t>
      </w:r>
      <w:r w:rsidR="007F00FF">
        <w:rPr>
          <w:b/>
          <w:bCs/>
          <w:i/>
          <w:iCs/>
          <w:sz w:val="18"/>
          <w:szCs w:val="16"/>
        </w:rPr>
        <w:t xml:space="preserve">, (2) and </w:t>
      </w:r>
      <w:r w:rsidR="002C6A12">
        <w:rPr>
          <w:b/>
          <w:bCs/>
          <w:i/>
          <w:iCs/>
          <w:sz w:val="18"/>
          <w:szCs w:val="16"/>
        </w:rPr>
        <w:t>(3)</w:t>
      </w:r>
      <w:r w:rsidR="00570BBA">
        <w:rPr>
          <w:b/>
          <w:bCs/>
          <w:i/>
          <w:iCs/>
          <w:sz w:val="18"/>
          <w:szCs w:val="16"/>
        </w:rPr>
        <w:t xml:space="preserve"> of the Insurance Act 1973]</w:t>
      </w:r>
    </w:p>
    <w:p w14:paraId="75F6C541" w14:textId="5653F508" w:rsidR="00A07761" w:rsidRPr="001D2259" w:rsidRDefault="00A07761" w:rsidP="001D2259">
      <w:pPr>
        <w:pStyle w:val="base-text-paragraph"/>
        <w:numPr>
          <w:ilvl w:val="0"/>
          <w:numId w:val="0"/>
        </w:numPr>
        <w:ind w:left="1134"/>
        <w:rPr>
          <w:b/>
          <w:i/>
        </w:rPr>
      </w:pPr>
      <w:r w:rsidRPr="001D2259">
        <w:rPr>
          <w:b/>
          <w:i/>
        </w:rPr>
        <w:t>Life Insurance Act 1995</w:t>
      </w:r>
    </w:p>
    <w:p w14:paraId="1A522490" w14:textId="35A0AE96" w:rsidR="0032135A" w:rsidRDefault="00D47EE3" w:rsidP="00913E21">
      <w:pPr>
        <w:pStyle w:val="base-text-paragraph"/>
      </w:pPr>
      <w:r>
        <w:t xml:space="preserve">Section 191 of the </w:t>
      </w:r>
      <w:r w:rsidRPr="001D2259">
        <w:rPr>
          <w:i/>
        </w:rPr>
        <w:t xml:space="preserve">Life </w:t>
      </w:r>
      <w:r w:rsidR="00560AEB" w:rsidRPr="001D2259">
        <w:rPr>
          <w:i/>
        </w:rPr>
        <w:t>Insurance Act 1995</w:t>
      </w:r>
      <w:r w:rsidR="00560AEB">
        <w:t xml:space="preserve"> previously required notice of an intention to make a</w:t>
      </w:r>
      <w:r w:rsidR="00560AEB" w:rsidRPr="00560AEB">
        <w:t xml:space="preserve">n application for confirmation of a scheme </w:t>
      </w:r>
      <w:r w:rsidR="00560AEB">
        <w:t>to be published in certain newspapers and elsewhere. This newspaper publication requirement is replaced with the technology</w:t>
      </w:r>
      <w:r w:rsidR="00FB2D8D">
        <w:t>-</w:t>
      </w:r>
      <w:r w:rsidR="00560AEB">
        <w:t>neutral publication requirement</w:t>
      </w:r>
      <w:r w:rsidR="004B6FEA">
        <w:t>s</w:t>
      </w:r>
      <w:r w:rsidR="00560AEB">
        <w:t xml:space="preserve"> </w:t>
      </w:r>
      <w:r w:rsidR="00833100">
        <w:t xml:space="preserve">in </w:t>
      </w:r>
      <w:r w:rsidR="003C07F0">
        <w:t>paragraph 3.</w:t>
      </w:r>
      <w:r w:rsidR="00D43567">
        <w:t>9</w:t>
      </w:r>
      <w:r w:rsidR="00560AEB">
        <w:t xml:space="preserve">. </w:t>
      </w:r>
      <w:r w:rsidR="00497639">
        <w:t xml:space="preserve">However, consistent with the previous publication rules in regulation 9.02 of the </w:t>
      </w:r>
      <w:r w:rsidR="00497639" w:rsidRPr="001D2259">
        <w:rPr>
          <w:i/>
        </w:rPr>
        <w:t>Life Insurance Regulations</w:t>
      </w:r>
      <w:r w:rsidR="00CF0761">
        <w:rPr>
          <w:i/>
          <w:iCs/>
        </w:rPr>
        <w:t xml:space="preserve"> 1995</w:t>
      </w:r>
      <w:r w:rsidR="00497639">
        <w:t>, APRA</w:t>
      </w:r>
      <w:r w:rsidR="00CF0761">
        <w:t xml:space="preserve"> can approve the form of the notice.</w:t>
      </w:r>
      <w:r w:rsidR="00D64111">
        <w:t xml:space="preserve"> </w:t>
      </w:r>
      <w:r w:rsidR="00447CBA" w:rsidRPr="00B111A1">
        <w:rPr>
          <w:b/>
          <w:bCs/>
          <w:i/>
          <w:iCs/>
          <w:sz w:val="18"/>
          <w:szCs w:val="16"/>
        </w:rPr>
        <w:t xml:space="preserve">[Schedule </w:t>
      </w:r>
      <w:r w:rsidR="00725EA5">
        <w:rPr>
          <w:b/>
          <w:bCs/>
          <w:i/>
          <w:iCs/>
          <w:sz w:val="18"/>
          <w:szCs w:val="16"/>
        </w:rPr>
        <w:t>3</w:t>
      </w:r>
      <w:r w:rsidR="00447CBA" w:rsidRPr="00B111A1">
        <w:rPr>
          <w:b/>
          <w:bCs/>
          <w:i/>
          <w:iCs/>
          <w:sz w:val="18"/>
          <w:szCs w:val="16"/>
        </w:rPr>
        <w:t>, item</w:t>
      </w:r>
      <w:r w:rsidR="00447CBA">
        <w:rPr>
          <w:b/>
          <w:bCs/>
          <w:i/>
          <w:iCs/>
          <w:sz w:val="18"/>
          <w:szCs w:val="16"/>
        </w:rPr>
        <w:t xml:space="preserve">s </w:t>
      </w:r>
      <w:r w:rsidR="00B073CE">
        <w:rPr>
          <w:b/>
          <w:bCs/>
          <w:i/>
          <w:iCs/>
          <w:sz w:val="18"/>
          <w:szCs w:val="16"/>
        </w:rPr>
        <w:t>29</w:t>
      </w:r>
      <w:r w:rsidR="002C6A12">
        <w:rPr>
          <w:b/>
          <w:bCs/>
          <w:i/>
          <w:iCs/>
          <w:sz w:val="18"/>
          <w:szCs w:val="16"/>
        </w:rPr>
        <w:t>, 3</w:t>
      </w:r>
      <w:r w:rsidR="00B073CE">
        <w:rPr>
          <w:b/>
          <w:bCs/>
          <w:i/>
          <w:iCs/>
          <w:sz w:val="18"/>
          <w:szCs w:val="16"/>
        </w:rPr>
        <w:t>0</w:t>
      </w:r>
      <w:r w:rsidR="002C6A12">
        <w:rPr>
          <w:b/>
          <w:bCs/>
          <w:i/>
          <w:iCs/>
          <w:sz w:val="18"/>
          <w:szCs w:val="16"/>
        </w:rPr>
        <w:t xml:space="preserve"> and</w:t>
      </w:r>
      <w:r w:rsidR="00447CBA">
        <w:rPr>
          <w:b/>
          <w:bCs/>
          <w:i/>
          <w:iCs/>
          <w:sz w:val="18"/>
          <w:szCs w:val="16"/>
        </w:rPr>
        <w:t xml:space="preserve"> 3</w:t>
      </w:r>
      <w:r w:rsidR="00B073CE">
        <w:rPr>
          <w:b/>
          <w:bCs/>
          <w:i/>
          <w:iCs/>
          <w:sz w:val="18"/>
          <w:szCs w:val="16"/>
        </w:rPr>
        <w:t>1</w:t>
      </w:r>
      <w:r w:rsidR="00447CBA">
        <w:rPr>
          <w:b/>
          <w:bCs/>
          <w:i/>
          <w:iCs/>
          <w:sz w:val="18"/>
          <w:szCs w:val="16"/>
        </w:rPr>
        <w:t>, sections 191(2)(b)</w:t>
      </w:r>
      <w:r w:rsidR="002C6A12">
        <w:rPr>
          <w:b/>
          <w:bCs/>
          <w:i/>
          <w:iCs/>
          <w:sz w:val="18"/>
          <w:szCs w:val="16"/>
        </w:rPr>
        <w:t xml:space="preserve">, (2A)-(2F) and </w:t>
      </w:r>
      <w:r w:rsidR="00B073CE">
        <w:rPr>
          <w:b/>
          <w:bCs/>
          <w:i/>
          <w:iCs/>
          <w:sz w:val="18"/>
          <w:szCs w:val="16"/>
        </w:rPr>
        <w:t>191</w:t>
      </w:r>
      <w:r w:rsidR="00447CBA">
        <w:rPr>
          <w:b/>
          <w:bCs/>
          <w:i/>
          <w:iCs/>
          <w:sz w:val="18"/>
          <w:szCs w:val="16"/>
        </w:rPr>
        <w:t>(3) of the Life Insurance Act 1995]</w:t>
      </w:r>
    </w:p>
    <w:p w14:paraId="2359D168" w14:textId="7D03B891" w:rsidR="00A07761" w:rsidRDefault="0089604D" w:rsidP="00913E21">
      <w:pPr>
        <w:pStyle w:val="base-text-paragraph"/>
      </w:pPr>
      <w:r>
        <w:t>The operation of any</w:t>
      </w:r>
      <w:r w:rsidR="00D64111">
        <w:t xml:space="preserve"> forms approved by APRA under </w:t>
      </w:r>
      <w:r w:rsidR="00437103">
        <w:t>the</w:t>
      </w:r>
      <w:r w:rsidR="00D64111">
        <w:t xml:space="preserve"> </w:t>
      </w:r>
      <w:r w:rsidR="004B6FEA">
        <w:t xml:space="preserve">previous </w:t>
      </w:r>
      <w:r w:rsidR="00123AB5">
        <w:t xml:space="preserve">regulation 9.02 of </w:t>
      </w:r>
      <w:r w:rsidR="00D64111">
        <w:t xml:space="preserve">the </w:t>
      </w:r>
      <w:r w:rsidR="00D64111" w:rsidRPr="00AE0EA4">
        <w:rPr>
          <w:i/>
          <w:iCs/>
        </w:rPr>
        <w:t>Life Insurance Regulations</w:t>
      </w:r>
      <w:r w:rsidR="00D64111">
        <w:rPr>
          <w:i/>
          <w:iCs/>
        </w:rPr>
        <w:t xml:space="preserve"> 1995</w:t>
      </w:r>
      <w:r>
        <w:t xml:space="preserve"> is preserved</w:t>
      </w:r>
      <w:r w:rsidR="00D64111">
        <w:t xml:space="preserve">. </w:t>
      </w:r>
      <w:r w:rsidR="0032135A">
        <w:t xml:space="preserve">Additionally, </w:t>
      </w:r>
      <w:r w:rsidR="00123AB5">
        <w:t xml:space="preserve">despite the amendments to paragraph </w:t>
      </w:r>
      <w:r w:rsidR="0032135A" w:rsidRPr="0032135A">
        <w:t xml:space="preserve">91(2)(b) of the </w:t>
      </w:r>
      <w:r w:rsidR="0032135A" w:rsidRPr="001D2259">
        <w:rPr>
          <w:i/>
        </w:rPr>
        <w:t>Life Insurance Act 1995</w:t>
      </w:r>
      <w:r w:rsidR="0032135A" w:rsidRPr="0032135A">
        <w:t xml:space="preserve">, </w:t>
      </w:r>
      <w:r w:rsidR="00123AB5">
        <w:t xml:space="preserve">the operation of </w:t>
      </w:r>
      <w:r w:rsidR="0032135A" w:rsidRPr="0032135A">
        <w:t>regulations made for the purposes of that</w:t>
      </w:r>
      <w:r w:rsidR="00123AB5">
        <w:t xml:space="preserve"> paragraph are preserved. </w:t>
      </w:r>
      <w:r w:rsidR="00C17A1C" w:rsidRPr="00B111A1">
        <w:rPr>
          <w:b/>
          <w:bCs/>
          <w:i/>
          <w:iCs/>
          <w:sz w:val="18"/>
          <w:szCs w:val="16"/>
        </w:rPr>
        <w:t xml:space="preserve">[Schedule </w:t>
      </w:r>
      <w:r w:rsidR="00725EA5">
        <w:rPr>
          <w:b/>
          <w:bCs/>
          <w:i/>
          <w:iCs/>
          <w:sz w:val="18"/>
          <w:szCs w:val="16"/>
        </w:rPr>
        <w:t>3</w:t>
      </w:r>
      <w:r w:rsidR="00C17A1C" w:rsidRPr="00B111A1">
        <w:rPr>
          <w:b/>
          <w:bCs/>
          <w:i/>
          <w:iCs/>
          <w:sz w:val="18"/>
          <w:szCs w:val="16"/>
        </w:rPr>
        <w:t>, item</w:t>
      </w:r>
      <w:r w:rsidR="00C17A1C">
        <w:rPr>
          <w:b/>
          <w:bCs/>
          <w:i/>
          <w:iCs/>
          <w:sz w:val="18"/>
          <w:szCs w:val="16"/>
        </w:rPr>
        <w:t>s 39 and 40, section 191(2) of the Life Insurance Act 1995]</w:t>
      </w:r>
    </w:p>
    <w:p w14:paraId="7C4ECCB0" w14:textId="7F730BC1" w:rsidR="00DB1B36" w:rsidRDefault="00DB1B36" w:rsidP="00913E21">
      <w:pPr>
        <w:pStyle w:val="base-text-paragraph"/>
      </w:pPr>
      <w:r>
        <w:t xml:space="preserve">The amendments to </w:t>
      </w:r>
      <w:r w:rsidR="00C04840">
        <w:t>s</w:t>
      </w:r>
      <w:r>
        <w:t xml:space="preserve">ection 191 </w:t>
      </w:r>
      <w:r w:rsidR="004D2718">
        <w:t xml:space="preserve">commence on or after the </w:t>
      </w:r>
      <w:r w:rsidR="00211AAB">
        <w:t xml:space="preserve">commencement of Schedule </w:t>
      </w:r>
      <w:r w:rsidR="00472443">
        <w:t>3</w:t>
      </w:r>
      <w:r w:rsidR="00211AAB">
        <w:t xml:space="preserve">. This is to ensure that </w:t>
      </w:r>
      <w:r w:rsidR="00BB0F41">
        <w:t xml:space="preserve">notices published in accordance with the regulations prior to commencement of the Schedule </w:t>
      </w:r>
      <w:r w:rsidR="00BB0F41">
        <w:lastRenderedPageBreak/>
        <w:t>are valid and changes to notice requirements</w:t>
      </w:r>
      <w:r w:rsidR="0056326F">
        <w:t xml:space="preserve"> only</w:t>
      </w:r>
      <w:r w:rsidR="00BB0F41">
        <w:t xml:space="preserve"> apply after amendments to the Bill</w:t>
      </w:r>
      <w:r w:rsidR="0056326F">
        <w:t xml:space="preserve"> come into force</w:t>
      </w:r>
      <w:r w:rsidR="00BB0F41">
        <w:t>.</w:t>
      </w:r>
      <w:r w:rsidR="0056326F">
        <w:t xml:space="preserve"> </w:t>
      </w:r>
      <w:r w:rsidR="0056326F" w:rsidRPr="00B111A1">
        <w:rPr>
          <w:b/>
          <w:bCs/>
          <w:i/>
          <w:iCs/>
          <w:sz w:val="18"/>
          <w:szCs w:val="16"/>
        </w:rPr>
        <w:t xml:space="preserve">[Schedule </w:t>
      </w:r>
      <w:r w:rsidR="00725EA5">
        <w:rPr>
          <w:b/>
          <w:bCs/>
          <w:i/>
          <w:iCs/>
          <w:sz w:val="18"/>
          <w:szCs w:val="16"/>
        </w:rPr>
        <w:t>3</w:t>
      </w:r>
      <w:r w:rsidR="0056326F" w:rsidRPr="00B111A1">
        <w:rPr>
          <w:b/>
          <w:bCs/>
          <w:i/>
          <w:iCs/>
          <w:sz w:val="18"/>
          <w:szCs w:val="16"/>
        </w:rPr>
        <w:t>, item</w:t>
      </w:r>
      <w:r w:rsidR="0056326F">
        <w:rPr>
          <w:b/>
          <w:bCs/>
          <w:i/>
          <w:iCs/>
          <w:sz w:val="18"/>
          <w:szCs w:val="16"/>
        </w:rPr>
        <w:t>s 38, section 191 of the Life Insurance Act 1995]</w:t>
      </w:r>
    </w:p>
    <w:p w14:paraId="7E215170" w14:textId="0919D03B" w:rsidR="0030040A" w:rsidRDefault="0030040A" w:rsidP="00913E21">
      <w:pPr>
        <w:pStyle w:val="base-text-paragraph"/>
      </w:pPr>
      <w:r>
        <w:t xml:space="preserve">Section 223 </w:t>
      </w:r>
      <w:r w:rsidR="00D53F72">
        <w:t xml:space="preserve">of the </w:t>
      </w:r>
      <w:r w:rsidR="00D53F72" w:rsidRPr="00AE0EA4">
        <w:rPr>
          <w:i/>
          <w:iCs/>
        </w:rPr>
        <w:t>Life Insurance Act 1995</w:t>
      </w:r>
      <w:r w:rsidR="00D53F72">
        <w:t xml:space="preserve"> </w:t>
      </w:r>
      <w:r>
        <w:t xml:space="preserve">previously required notice to be given of a company’s intention to issue certain replacement policy documents. </w:t>
      </w:r>
      <w:r w:rsidR="00E46E14">
        <w:t>Repealing t</w:t>
      </w:r>
      <w:r>
        <w:t xml:space="preserve">he notification requirements </w:t>
      </w:r>
      <w:r w:rsidR="00E46E14">
        <w:t>simplify the process for re-issuing replacement policy documents to consumers</w:t>
      </w:r>
      <w:r>
        <w:t>.</w:t>
      </w:r>
      <w:r w:rsidR="00524BA2">
        <w:t xml:space="preserve"> </w:t>
      </w:r>
      <w:r w:rsidR="00447CBA" w:rsidRPr="00B111A1">
        <w:rPr>
          <w:b/>
          <w:bCs/>
          <w:i/>
          <w:iCs/>
          <w:sz w:val="18"/>
          <w:szCs w:val="16"/>
        </w:rPr>
        <w:t xml:space="preserve">[Schedule </w:t>
      </w:r>
      <w:r w:rsidR="00725EA5">
        <w:rPr>
          <w:b/>
          <w:bCs/>
          <w:i/>
          <w:iCs/>
          <w:sz w:val="18"/>
          <w:szCs w:val="16"/>
        </w:rPr>
        <w:t>3</w:t>
      </w:r>
      <w:r w:rsidR="00447CBA" w:rsidRPr="00B111A1">
        <w:rPr>
          <w:b/>
          <w:bCs/>
          <w:i/>
          <w:iCs/>
          <w:sz w:val="18"/>
          <w:szCs w:val="16"/>
        </w:rPr>
        <w:t>, item</w:t>
      </w:r>
      <w:r w:rsidR="00447CBA">
        <w:rPr>
          <w:b/>
          <w:bCs/>
          <w:i/>
          <w:iCs/>
          <w:sz w:val="18"/>
          <w:szCs w:val="16"/>
        </w:rPr>
        <w:t>s 3</w:t>
      </w:r>
      <w:r w:rsidR="002A7233">
        <w:rPr>
          <w:b/>
          <w:bCs/>
          <w:i/>
          <w:iCs/>
          <w:sz w:val="18"/>
          <w:szCs w:val="16"/>
        </w:rPr>
        <w:t>2</w:t>
      </w:r>
      <w:r w:rsidR="00447CBA">
        <w:rPr>
          <w:b/>
          <w:bCs/>
          <w:i/>
          <w:iCs/>
          <w:sz w:val="18"/>
          <w:szCs w:val="16"/>
        </w:rPr>
        <w:t xml:space="preserve"> and 3</w:t>
      </w:r>
      <w:r w:rsidR="002A7233">
        <w:rPr>
          <w:b/>
          <w:bCs/>
          <w:i/>
          <w:iCs/>
          <w:sz w:val="18"/>
          <w:szCs w:val="16"/>
        </w:rPr>
        <w:t>3</w:t>
      </w:r>
      <w:r w:rsidR="00447CBA">
        <w:rPr>
          <w:b/>
          <w:bCs/>
          <w:i/>
          <w:iCs/>
          <w:sz w:val="18"/>
          <w:szCs w:val="16"/>
        </w:rPr>
        <w:t>,</w:t>
      </w:r>
      <w:r w:rsidR="00454386">
        <w:rPr>
          <w:b/>
          <w:bCs/>
          <w:i/>
          <w:iCs/>
          <w:sz w:val="18"/>
          <w:szCs w:val="16"/>
        </w:rPr>
        <w:t xml:space="preserve"> section 223</w:t>
      </w:r>
      <w:r w:rsidR="002C6A12">
        <w:rPr>
          <w:b/>
          <w:bCs/>
          <w:i/>
          <w:iCs/>
          <w:sz w:val="18"/>
          <w:szCs w:val="16"/>
        </w:rPr>
        <w:t>(3) and (4)</w:t>
      </w:r>
      <w:r w:rsidR="00454386">
        <w:rPr>
          <w:b/>
          <w:bCs/>
          <w:i/>
          <w:iCs/>
          <w:sz w:val="18"/>
          <w:szCs w:val="16"/>
        </w:rPr>
        <w:t xml:space="preserve"> of the Life Insurance Act 1995</w:t>
      </w:r>
      <w:r w:rsidR="00447CBA">
        <w:rPr>
          <w:b/>
          <w:bCs/>
          <w:i/>
          <w:iCs/>
          <w:sz w:val="18"/>
          <w:szCs w:val="16"/>
        </w:rPr>
        <w:t>]</w:t>
      </w:r>
    </w:p>
    <w:p w14:paraId="140354C6" w14:textId="19DA2896" w:rsidR="00D53F72" w:rsidRDefault="00D53F72" w:rsidP="00D53F72">
      <w:pPr>
        <w:pStyle w:val="base-text-paragraph"/>
      </w:pPr>
      <w:r>
        <w:t xml:space="preserve">Section 224 of the </w:t>
      </w:r>
      <w:r w:rsidRPr="00AE0EA4">
        <w:rPr>
          <w:i/>
          <w:iCs/>
        </w:rPr>
        <w:t>Life Insurance Act 1995</w:t>
      </w:r>
      <w:r>
        <w:t xml:space="preserve"> previously required notice to be given in relation to certain policy documents which were lost or destroyed. </w:t>
      </w:r>
      <w:r w:rsidR="00E46E14">
        <w:t>Repealing the notification requirements simplify the process for re-issuing replacement policy documents to consumers. The amendment is intended to allow insurers to be able to issue a copy of the life insurance policy either electronically or through post and reduce costs to both the insurer and consumer.</w:t>
      </w:r>
      <w:r>
        <w:t xml:space="preserve"> </w:t>
      </w:r>
      <w:r w:rsidR="00447CBA" w:rsidRPr="00B111A1">
        <w:rPr>
          <w:b/>
          <w:bCs/>
          <w:i/>
          <w:iCs/>
          <w:sz w:val="18"/>
          <w:szCs w:val="16"/>
        </w:rPr>
        <w:t xml:space="preserve">[Schedule </w:t>
      </w:r>
      <w:r w:rsidR="00725EA5">
        <w:rPr>
          <w:b/>
          <w:bCs/>
          <w:i/>
          <w:iCs/>
          <w:sz w:val="18"/>
          <w:szCs w:val="16"/>
        </w:rPr>
        <w:t>3</w:t>
      </w:r>
      <w:r w:rsidR="00447CBA" w:rsidRPr="00B111A1">
        <w:rPr>
          <w:b/>
          <w:bCs/>
          <w:i/>
          <w:iCs/>
          <w:sz w:val="18"/>
          <w:szCs w:val="16"/>
        </w:rPr>
        <w:t>, item</w:t>
      </w:r>
      <w:r w:rsidR="00447CBA">
        <w:rPr>
          <w:b/>
          <w:bCs/>
          <w:i/>
          <w:iCs/>
          <w:sz w:val="18"/>
          <w:szCs w:val="16"/>
        </w:rPr>
        <w:t>s 35</w:t>
      </w:r>
      <w:r w:rsidR="002A7233">
        <w:rPr>
          <w:b/>
          <w:bCs/>
          <w:i/>
          <w:iCs/>
          <w:sz w:val="18"/>
          <w:szCs w:val="16"/>
        </w:rPr>
        <w:t>, 36 and 37</w:t>
      </w:r>
      <w:r w:rsidR="00447CBA">
        <w:rPr>
          <w:b/>
          <w:bCs/>
          <w:i/>
          <w:iCs/>
          <w:sz w:val="18"/>
          <w:szCs w:val="16"/>
        </w:rPr>
        <w:t>, sections 224(1)</w:t>
      </w:r>
      <w:r w:rsidR="002A7233">
        <w:rPr>
          <w:b/>
          <w:bCs/>
          <w:i/>
          <w:iCs/>
          <w:sz w:val="18"/>
          <w:szCs w:val="16"/>
        </w:rPr>
        <w:t>(b)(</w:t>
      </w:r>
      <w:proofErr w:type="spellStart"/>
      <w:r w:rsidR="002A7233">
        <w:rPr>
          <w:b/>
          <w:bCs/>
          <w:i/>
          <w:iCs/>
          <w:sz w:val="18"/>
          <w:szCs w:val="16"/>
        </w:rPr>
        <w:t>i</w:t>
      </w:r>
      <w:proofErr w:type="spellEnd"/>
      <w:r w:rsidR="002A7233">
        <w:rPr>
          <w:b/>
          <w:bCs/>
          <w:i/>
          <w:iCs/>
          <w:sz w:val="18"/>
          <w:szCs w:val="16"/>
        </w:rPr>
        <w:t>)</w:t>
      </w:r>
      <w:r w:rsidR="00447CBA">
        <w:rPr>
          <w:b/>
          <w:bCs/>
          <w:i/>
          <w:iCs/>
          <w:sz w:val="18"/>
          <w:szCs w:val="16"/>
        </w:rPr>
        <w:t>,</w:t>
      </w:r>
      <w:r w:rsidR="002A7233">
        <w:rPr>
          <w:b/>
          <w:bCs/>
          <w:i/>
          <w:iCs/>
          <w:sz w:val="18"/>
          <w:szCs w:val="16"/>
        </w:rPr>
        <w:t xml:space="preserve"> 224(1)(b)(ii),</w:t>
      </w:r>
      <w:r w:rsidR="00447CBA">
        <w:rPr>
          <w:b/>
          <w:bCs/>
          <w:i/>
          <w:iCs/>
          <w:sz w:val="18"/>
          <w:szCs w:val="16"/>
        </w:rPr>
        <w:t xml:space="preserve"> </w:t>
      </w:r>
      <w:r w:rsidR="002A7233">
        <w:rPr>
          <w:b/>
          <w:bCs/>
          <w:i/>
          <w:iCs/>
          <w:sz w:val="18"/>
          <w:szCs w:val="16"/>
        </w:rPr>
        <w:t>224</w:t>
      </w:r>
      <w:r w:rsidR="00447CBA">
        <w:rPr>
          <w:b/>
          <w:bCs/>
          <w:i/>
          <w:iCs/>
          <w:sz w:val="18"/>
          <w:szCs w:val="16"/>
        </w:rPr>
        <w:t>(2) and (</w:t>
      </w:r>
      <w:r w:rsidR="0035610A">
        <w:rPr>
          <w:b/>
          <w:bCs/>
          <w:i/>
          <w:iCs/>
          <w:sz w:val="18"/>
          <w:szCs w:val="16"/>
        </w:rPr>
        <w:t>3</w:t>
      </w:r>
      <w:r w:rsidR="00447CBA">
        <w:rPr>
          <w:b/>
          <w:bCs/>
          <w:i/>
          <w:iCs/>
          <w:sz w:val="18"/>
          <w:szCs w:val="16"/>
        </w:rPr>
        <w:t>) of the Life Insurance Act 1995]</w:t>
      </w:r>
    </w:p>
    <w:p w14:paraId="32DD014F" w14:textId="32B4D131" w:rsidR="0096637A" w:rsidRPr="001D2259" w:rsidRDefault="0096637A" w:rsidP="001D2259">
      <w:pPr>
        <w:pStyle w:val="base-text-paragraph"/>
        <w:numPr>
          <w:ilvl w:val="0"/>
          <w:numId w:val="0"/>
        </w:numPr>
        <w:ind w:left="1134"/>
        <w:rPr>
          <w:b/>
          <w:i/>
        </w:rPr>
      </w:pPr>
      <w:r w:rsidRPr="001D2259">
        <w:rPr>
          <w:b/>
          <w:i/>
        </w:rPr>
        <w:t>National Consumer Credit Protection Act 2009</w:t>
      </w:r>
    </w:p>
    <w:p w14:paraId="5E21B2AD" w14:textId="428D9CB4" w:rsidR="0096637A" w:rsidRDefault="002F470D" w:rsidP="00913E21">
      <w:pPr>
        <w:pStyle w:val="base-text-paragraph"/>
      </w:pPr>
      <w:r>
        <w:t xml:space="preserve">Section 64 </w:t>
      </w:r>
      <w:r w:rsidR="003A21F8">
        <w:t>of</w:t>
      </w:r>
      <w:r>
        <w:t xml:space="preserve"> </w:t>
      </w:r>
      <w:r w:rsidR="00242DA5">
        <w:t xml:space="preserve">Schedule 1 to the </w:t>
      </w:r>
      <w:r w:rsidR="00242DA5" w:rsidRPr="001D2259">
        <w:rPr>
          <w:i/>
        </w:rPr>
        <w:t>National Consumer Credit Protection Act 2009</w:t>
      </w:r>
      <w:r w:rsidR="00242DA5">
        <w:t xml:space="preserve"> </w:t>
      </w:r>
      <w:r>
        <w:t>concerns notification of interest rate changes</w:t>
      </w:r>
      <w:r w:rsidR="00963DF7">
        <w:t xml:space="preserve"> by credit providers</w:t>
      </w:r>
      <w:r>
        <w:t xml:space="preserve">. </w:t>
      </w:r>
      <w:r w:rsidR="00963DF7">
        <w:t>Previously, credit providers</w:t>
      </w:r>
      <w:r w:rsidR="000922B3">
        <w:t xml:space="preserve"> were required to give notice of interest rate changes by publishing a </w:t>
      </w:r>
      <w:r w:rsidR="00963DF7" w:rsidRPr="005C7880">
        <w:t>notice</w:t>
      </w:r>
      <w:r w:rsidR="00963DF7">
        <w:t xml:space="preserve"> in certain newspapers</w:t>
      </w:r>
      <w:r w:rsidR="00EC0329">
        <w:t xml:space="preserve"> (if they elected not to notify the debtor directly)</w:t>
      </w:r>
      <w:r w:rsidR="00963DF7">
        <w:t>.</w:t>
      </w:r>
      <w:r w:rsidR="005D0B38">
        <w:t xml:space="preserve"> Credit providers are now required to publish notice of interest rate changes in accordance with the technology neutral publication requirement</w:t>
      </w:r>
      <w:r w:rsidR="00580CB8">
        <w:t>s</w:t>
      </w:r>
      <w:r w:rsidR="005D0B38">
        <w:t xml:space="preserve"> outlined </w:t>
      </w:r>
      <w:r w:rsidR="00580CB8">
        <w:t>in</w:t>
      </w:r>
      <w:r w:rsidR="005D0B38">
        <w:t xml:space="preserve"> </w:t>
      </w:r>
      <w:r w:rsidR="006205C1">
        <w:t xml:space="preserve">paragraph </w:t>
      </w:r>
      <w:r w:rsidR="006205C1">
        <w:fldChar w:fldCharType="begin"/>
      </w:r>
      <w:r w:rsidR="006205C1">
        <w:instrText xml:space="preserve"> REF _Ref86050883 \r \h </w:instrText>
      </w:r>
      <w:r w:rsidR="006205C1">
        <w:fldChar w:fldCharType="separate"/>
      </w:r>
      <w:r w:rsidR="006205C1">
        <w:t>3.9</w:t>
      </w:r>
      <w:r w:rsidR="006205C1">
        <w:fldChar w:fldCharType="end"/>
      </w:r>
      <w:r w:rsidR="005D0B38">
        <w:t xml:space="preserve">. </w:t>
      </w:r>
      <w:r w:rsidR="00CF0F15" w:rsidRPr="00B111A1">
        <w:rPr>
          <w:b/>
          <w:bCs/>
          <w:i/>
          <w:iCs/>
          <w:sz w:val="18"/>
          <w:szCs w:val="16"/>
        </w:rPr>
        <w:t xml:space="preserve">[Schedule </w:t>
      </w:r>
      <w:r w:rsidR="00725EA5">
        <w:rPr>
          <w:b/>
          <w:bCs/>
          <w:i/>
          <w:iCs/>
          <w:sz w:val="18"/>
          <w:szCs w:val="16"/>
        </w:rPr>
        <w:t>3</w:t>
      </w:r>
      <w:r w:rsidR="00CF0F15" w:rsidRPr="00B111A1">
        <w:rPr>
          <w:b/>
          <w:bCs/>
          <w:i/>
          <w:iCs/>
          <w:sz w:val="18"/>
          <w:szCs w:val="16"/>
        </w:rPr>
        <w:t>, item</w:t>
      </w:r>
      <w:r w:rsidR="00CF0F15">
        <w:rPr>
          <w:b/>
          <w:bCs/>
          <w:i/>
          <w:iCs/>
          <w:sz w:val="18"/>
          <w:szCs w:val="16"/>
        </w:rPr>
        <w:t xml:space="preserve">s </w:t>
      </w:r>
      <w:r w:rsidR="00DB65D1">
        <w:rPr>
          <w:b/>
          <w:bCs/>
          <w:i/>
          <w:iCs/>
          <w:sz w:val="18"/>
          <w:szCs w:val="16"/>
        </w:rPr>
        <w:t>41</w:t>
      </w:r>
      <w:r w:rsidR="00EA0835">
        <w:rPr>
          <w:b/>
          <w:bCs/>
          <w:i/>
          <w:iCs/>
          <w:sz w:val="18"/>
          <w:szCs w:val="16"/>
        </w:rPr>
        <w:t>, 42 and</w:t>
      </w:r>
      <w:r w:rsidR="00CF0F15">
        <w:rPr>
          <w:b/>
          <w:bCs/>
          <w:i/>
          <w:iCs/>
          <w:sz w:val="18"/>
          <w:szCs w:val="16"/>
        </w:rPr>
        <w:t xml:space="preserve"> </w:t>
      </w:r>
      <w:r w:rsidR="00DB65D1">
        <w:rPr>
          <w:b/>
          <w:bCs/>
          <w:i/>
          <w:iCs/>
          <w:sz w:val="18"/>
          <w:szCs w:val="16"/>
        </w:rPr>
        <w:t>43</w:t>
      </w:r>
      <w:r w:rsidR="00CF0F15">
        <w:rPr>
          <w:b/>
          <w:bCs/>
          <w:i/>
          <w:iCs/>
          <w:sz w:val="18"/>
          <w:szCs w:val="16"/>
        </w:rPr>
        <w:t xml:space="preserve">, sections </w:t>
      </w:r>
      <w:r w:rsidR="00DB65D1">
        <w:rPr>
          <w:b/>
          <w:bCs/>
          <w:i/>
          <w:iCs/>
          <w:sz w:val="18"/>
          <w:szCs w:val="16"/>
        </w:rPr>
        <w:t>64(2)</w:t>
      </w:r>
      <w:r w:rsidR="00EA0835">
        <w:rPr>
          <w:b/>
          <w:bCs/>
          <w:i/>
          <w:iCs/>
          <w:sz w:val="18"/>
          <w:szCs w:val="16"/>
        </w:rPr>
        <w:t>,</w:t>
      </w:r>
      <w:r w:rsidR="00DB65D1">
        <w:rPr>
          <w:b/>
          <w:bCs/>
          <w:i/>
          <w:iCs/>
          <w:sz w:val="18"/>
          <w:szCs w:val="16"/>
        </w:rPr>
        <w:t xml:space="preserve"> (3)</w:t>
      </w:r>
      <w:r w:rsidR="002A7233">
        <w:rPr>
          <w:b/>
          <w:bCs/>
          <w:i/>
          <w:iCs/>
          <w:sz w:val="18"/>
          <w:szCs w:val="16"/>
        </w:rPr>
        <w:t xml:space="preserve"> and</w:t>
      </w:r>
      <w:r w:rsidR="00EA0835">
        <w:rPr>
          <w:b/>
          <w:bCs/>
          <w:i/>
          <w:iCs/>
          <w:sz w:val="18"/>
          <w:szCs w:val="16"/>
        </w:rPr>
        <w:t xml:space="preserve"> (8)-(10)</w:t>
      </w:r>
      <w:r w:rsidR="00CF0F15">
        <w:rPr>
          <w:b/>
          <w:bCs/>
          <w:i/>
          <w:iCs/>
          <w:sz w:val="18"/>
          <w:szCs w:val="16"/>
        </w:rPr>
        <w:t xml:space="preserve"> of the NCC]</w:t>
      </w:r>
    </w:p>
    <w:p w14:paraId="2F1A84AD" w14:textId="518703BC" w:rsidR="00242DA5" w:rsidRDefault="00242DA5" w:rsidP="00242DA5">
      <w:pPr>
        <w:pStyle w:val="base-text-paragraph"/>
      </w:pPr>
      <w:r>
        <w:t>Section 6</w:t>
      </w:r>
      <w:r w:rsidR="00B760A2">
        <w:t>6</w:t>
      </w:r>
      <w:r>
        <w:t xml:space="preserve"> </w:t>
      </w:r>
      <w:r w:rsidR="003A21F8">
        <w:t>o</w:t>
      </w:r>
      <w:r>
        <w:t>f</w:t>
      </w:r>
      <w:r w:rsidR="00580CB8">
        <w:t xml:space="preserve"> Schedule 1 to the </w:t>
      </w:r>
      <w:r w:rsidR="00580CB8" w:rsidRPr="00AE0EA4">
        <w:rPr>
          <w:i/>
          <w:iCs/>
        </w:rPr>
        <w:t>National Consumer Credit Protection Act 2009</w:t>
      </w:r>
      <w:r w:rsidR="00580CB8">
        <w:t xml:space="preserve"> </w:t>
      </w:r>
      <w:r>
        <w:t xml:space="preserve">concerns notification </w:t>
      </w:r>
      <w:r w:rsidR="00B760A2" w:rsidRPr="00B760A2">
        <w:t>of credit fees and charges changes</w:t>
      </w:r>
      <w:r>
        <w:t xml:space="preserve">. Previously, credit providers were required to give notice of </w:t>
      </w:r>
      <w:r w:rsidR="00B760A2">
        <w:t xml:space="preserve">such changes </w:t>
      </w:r>
      <w:r>
        <w:t xml:space="preserve">by publishing a </w:t>
      </w:r>
      <w:r w:rsidRPr="005C7880">
        <w:t>notice</w:t>
      </w:r>
      <w:r>
        <w:t xml:space="preserve"> in certain newspapers. Credit providers are now required to publish notice of </w:t>
      </w:r>
      <w:r w:rsidR="00B760A2">
        <w:t xml:space="preserve">the </w:t>
      </w:r>
      <w:r>
        <w:t>changes in accordance with the technology neutral publication requirement</w:t>
      </w:r>
      <w:r w:rsidR="00580CB8">
        <w:t>s</w:t>
      </w:r>
      <w:r>
        <w:t xml:space="preserve"> outlined </w:t>
      </w:r>
      <w:r w:rsidR="00580CB8">
        <w:t>in</w:t>
      </w:r>
      <w:r w:rsidR="006205C1">
        <w:t xml:space="preserve"> paragraph </w:t>
      </w:r>
      <w:r w:rsidR="006205C1">
        <w:fldChar w:fldCharType="begin"/>
      </w:r>
      <w:r w:rsidR="006205C1">
        <w:instrText xml:space="preserve"> REF _Ref86050883 \r \h </w:instrText>
      </w:r>
      <w:r w:rsidR="006205C1">
        <w:fldChar w:fldCharType="separate"/>
      </w:r>
      <w:r w:rsidR="006205C1">
        <w:t>3.9</w:t>
      </w:r>
      <w:r w:rsidR="006205C1">
        <w:fldChar w:fldCharType="end"/>
      </w:r>
      <w:r>
        <w:t xml:space="preserve">. </w:t>
      </w:r>
      <w:r w:rsidR="00DB65D1" w:rsidRPr="00B111A1">
        <w:rPr>
          <w:b/>
          <w:bCs/>
          <w:i/>
          <w:iCs/>
          <w:sz w:val="18"/>
          <w:szCs w:val="16"/>
        </w:rPr>
        <w:t xml:space="preserve">[Schedule </w:t>
      </w:r>
      <w:r w:rsidR="00725EA5">
        <w:rPr>
          <w:b/>
          <w:bCs/>
          <w:i/>
          <w:iCs/>
          <w:sz w:val="18"/>
          <w:szCs w:val="16"/>
        </w:rPr>
        <w:t>3</w:t>
      </w:r>
      <w:r w:rsidR="00DB65D1" w:rsidRPr="00B111A1">
        <w:rPr>
          <w:b/>
          <w:bCs/>
          <w:i/>
          <w:iCs/>
          <w:sz w:val="18"/>
          <w:szCs w:val="16"/>
        </w:rPr>
        <w:t>, item</w:t>
      </w:r>
      <w:r w:rsidR="00DB65D1">
        <w:rPr>
          <w:b/>
          <w:bCs/>
          <w:i/>
          <w:iCs/>
          <w:sz w:val="18"/>
          <w:szCs w:val="16"/>
        </w:rPr>
        <w:t>s 44 and 45, sections 66(2)</w:t>
      </w:r>
      <w:r w:rsidR="00EA0835">
        <w:rPr>
          <w:b/>
          <w:bCs/>
          <w:i/>
          <w:iCs/>
          <w:sz w:val="18"/>
          <w:szCs w:val="16"/>
        </w:rPr>
        <w:t>, (6)-(8)</w:t>
      </w:r>
      <w:r w:rsidR="00DB65D1">
        <w:rPr>
          <w:b/>
          <w:bCs/>
          <w:i/>
          <w:iCs/>
          <w:sz w:val="18"/>
          <w:szCs w:val="16"/>
        </w:rPr>
        <w:t xml:space="preserve"> of the NCC]</w:t>
      </w:r>
    </w:p>
    <w:p w14:paraId="152E1EBB" w14:textId="24FA8D30" w:rsidR="00FC594A" w:rsidRDefault="003A21F8" w:rsidP="003A21F8">
      <w:pPr>
        <w:pStyle w:val="base-text-paragraph"/>
      </w:pPr>
      <w:r>
        <w:t xml:space="preserve">Section 119 </w:t>
      </w:r>
      <w:r w:rsidR="00FC594A">
        <w:t>o</w:t>
      </w:r>
      <w:r>
        <w:t>f the National Credit Code con</w:t>
      </w:r>
      <w:r w:rsidR="00FC594A">
        <w:t>tains provisions relating to application by credit providers or ASIC for court orders. Previously, t</w:t>
      </w:r>
      <w:r w:rsidR="00FC594A" w:rsidRPr="00FC594A">
        <w:t xml:space="preserve">he court </w:t>
      </w:r>
      <w:r w:rsidR="00FC594A">
        <w:t>could</w:t>
      </w:r>
      <w:r w:rsidR="00FC594A" w:rsidRPr="00FC594A">
        <w:t xml:space="preserve"> require notice of such application</w:t>
      </w:r>
      <w:r w:rsidR="00002BE8">
        <w:t>s</w:t>
      </w:r>
      <w:r w:rsidR="00FC594A" w:rsidRPr="00FC594A">
        <w:t xml:space="preserve"> to be published, in a form approved by the court, in </w:t>
      </w:r>
      <w:r w:rsidR="00FC594A">
        <w:t xml:space="preserve">certain </w:t>
      </w:r>
      <w:r w:rsidR="00FC594A" w:rsidRPr="00FC594A">
        <w:t>newspaper</w:t>
      </w:r>
      <w:r w:rsidR="00FC594A">
        <w:t>s.</w:t>
      </w:r>
      <w:r w:rsidR="00002BE8">
        <w:t xml:space="preserve"> The </w:t>
      </w:r>
      <w:r w:rsidR="00435185">
        <w:t>c</w:t>
      </w:r>
      <w:r w:rsidR="00002BE8">
        <w:t xml:space="preserve">ourt can now </w:t>
      </w:r>
      <w:r w:rsidR="00002BE8" w:rsidRPr="00FC594A">
        <w:t xml:space="preserve">require notice of </w:t>
      </w:r>
      <w:r w:rsidR="00002BE8">
        <w:t>the</w:t>
      </w:r>
      <w:r w:rsidR="00002BE8" w:rsidRPr="00FC594A">
        <w:t xml:space="preserve"> application</w:t>
      </w:r>
      <w:r w:rsidR="00002BE8">
        <w:t>s</w:t>
      </w:r>
      <w:r w:rsidR="00002BE8" w:rsidRPr="00FC594A">
        <w:t xml:space="preserve"> to be published, in a form approved by the court, in </w:t>
      </w:r>
      <w:r w:rsidR="00002BE8">
        <w:t xml:space="preserve">a manner determined by the court. </w:t>
      </w:r>
      <w:r w:rsidR="00DB65D1" w:rsidRPr="00B111A1">
        <w:rPr>
          <w:b/>
          <w:bCs/>
          <w:i/>
          <w:iCs/>
          <w:sz w:val="18"/>
          <w:szCs w:val="16"/>
        </w:rPr>
        <w:t xml:space="preserve">[Schedule </w:t>
      </w:r>
      <w:r w:rsidR="00725EA5">
        <w:rPr>
          <w:b/>
          <w:bCs/>
          <w:i/>
          <w:iCs/>
          <w:sz w:val="18"/>
          <w:szCs w:val="16"/>
        </w:rPr>
        <w:t>3</w:t>
      </w:r>
      <w:r w:rsidR="00DB65D1" w:rsidRPr="00B111A1">
        <w:rPr>
          <w:b/>
          <w:bCs/>
          <w:i/>
          <w:iCs/>
          <w:sz w:val="18"/>
          <w:szCs w:val="16"/>
        </w:rPr>
        <w:t>, item</w:t>
      </w:r>
      <w:r w:rsidR="00DB65D1">
        <w:rPr>
          <w:b/>
          <w:bCs/>
          <w:i/>
          <w:iCs/>
          <w:sz w:val="18"/>
          <w:szCs w:val="16"/>
        </w:rPr>
        <w:t xml:space="preserve"> 46, sections 119(2) of the NCC]</w:t>
      </w:r>
    </w:p>
    <w:p w14:paraId="23120296" w14:textId="4D18060A" w:rsidR="00A36F2E" w:rsidRPr="001D2259" w:rsidRDefault="00571C9B" w:rsidP="001D2259">
      <w:pPr>
        <w:pStyle w:val="base-text-paragraph"/>
        <w:numPr>
          <w:ilvl w:val="0"/>
          <w:numId w:val="0"/>
        </w:numPr>
        <w:ind w:left="1134"/>
        <w:rPr>
          <w:b/>
          <w:i/>
        </w:rPr>
      </w:pPr>
      <w:r w:rsidRPr="001D2259">
        <w:rPr>
          <w:b/>
          <w:i/>
        </w:rPr>
        <w:t>Private Health Insurance (Prudential Supervision) Act 2015</w:t>
      </w:r>
    </w:p>
    <w:p w14:paraId="2E4BDDCA" w14:textId="7B5B34F0" w:rsidR="00571C9B" w:rsidRDefault="0039587B" w:rsidP="00913E21">
      <w:pPr>
        <w:pStyle w:val="base-text-paragraph"/>
      </w:pPr>
      <w:r>
        <w:t xml:space="preserve">Section 20 of the </w:t>
      </w:r>
      <w:r w:rsidR="004335DB" w:rsidRPr="001D2259">
        <w:rPr>
          <w:i/>
        </w:rPr>
        <w:t>Private Health Insurance (Prudential Supervision) Act 2015</w:t>
      </w:r>
      <w:r>
        <w:t xml:space="preserve"> contains rules relating to </w:t>
      </w:r>
      <w:r w:rsidRPr="0039587B">
        <w:t>private health insurer</w:t>
      </w:r>
      <w:r>
        <w:t xml:space="preserve">s’ applications </w:t>
      </w:r>
      <w:r w:rsidRPr="0039587B">
        <w:t>to APRA for approval to convert to being registered as</w:t>
      </w:r>
      <w:r>
        <w:t xml:space="preserve"> </w:t>
      </w:r>
      <w:r w:rsidRPr="0039587B">
        <w:t>for</w:t>
      </w:r>
      <w:r w:rsidR="00683FD0">
        <w:t>-</w:t>
      </w:r>
      <w:r w:rsidRPr="0039587B">
        <w:lastRenderedPageBreak/>
        <w:t>profit insurer</w:t>
      </w:r>
      <w:r>
        <w:t>s</w:t>
      </w:r>
      <w:r w:rsidRPr="0039587B">
        <w:t>.</w:t>
      </w:r>
      <w:r>
        <w:t xml:space="preserve"> </w:t>
      </w:r>
      <w:r w:rsidR="001510B7">
        <w:t>Previously u</w:t>
      </w:r>
      <w:r>
        <w:t xml:space="preserve">nder this section, APRA could publish notices of the applications in certain newspapers. APRA can now publish notices of the applications in a manner which results in the notice being accessible to the public and reasonably prominent. </w:t>
      </w:r>
      <w:r w:rsidR="00DB65D1" w:rsidRPr="00B111A1">
        <w:rPr>
          <w:b/>
          <w:bCs/>
          <w:i/>
          <w:iCs/>
          <w:sz w:val="18"/>
          <w:szCs w:val="16"/>
        </w:rPr>
        <w:t xml:space="preserve">[Schedule </w:t>
      </w:r>
      <w:r w:rsidR="00725EA5">
        <w:rPr>
          <w:b/>
          <w:bCs/>
          <w:i/>
          <w:iCs/>
          <w:sz w:val="18"/>
          <w:szCs w:val="16"/>
        </w:rPr>
        <w:t>3</w:t>
      </w:r>
      <w:r w:rsidR="00DB65D1" w:rsidRPr="00B111A1">
        <w:rPr>
          <w:b/>
          <w:bCs/>
          <w:i/>
          <w:iCs/>
          <w:sz w:val="18"/>
          <w:szCs w:val="16"/>
        </w:rPr>
        <w:t>, item</w:t>
      </w:r>
      <w:r w:rsidR="00DB65D1">
        <w:rPr>
          <w:b/>
          <w:bCs/>
          <w:i/>
          <w:iCs/>
          <w:sz w:val="18"/>
          <w:szCs w:val="16"/>
        </w:rPr>
        <w:t xml:space="preserve"> 4</w:t>
      </w:r>
      <w:r w:rsidR="00EA0835">
        <w:rPr>
          <w:b/>
          <w:bCs/>
          <w:i/>
          <w:iCs/>
          <w:sz w:val="18"/>
          <w:szCs w:val="16"/>
        </w:rPr>
        <w:t>7</w:t>
      </w:r>
      <w:r w:rsidR="00DB65D1">
        <w:rPr>
          <w:b/>
          <w:bCs/>
          <w:i/>
          <w:iCs/>
          <w:sz w:val="18"/>
          <w:szCs w:val="16"/>
        </w:rPr>
        <w:t>, section</w:t>
      </w:r>
      <w:r w:rsidR="00EA0835">
        <w:rPr>
          <w:b/>
          <w:bCs/>
          <w:i/>
          <w:iCs/>
          <w:sz w:val="18"/>
          <w:szCs w:val="16"/>
        </w:rPr>
        <w:t xml:space="preserve"> 20(4)(a</w:t>
      </w:r>
      <w:r w:rsidR="00DB65D1">
        <w:rPr>
          <w:b/>
          <w:bCs/>
          <w:i/>
          <w:iCs/>
          <w:sz w:val="18"/>
          <w:szCs w:val="16"/>
        </w:rPr>
        <w:t xml:space="preserve">) of the </w:t>
      </w:r>
      <w:r w:rsidR="00435185" w:rsidRPr="00435185">
        <w:rPr>
          <w:b/>
          <w:bCs/>
          <w:i/>
          <w:iCs/>
          <w:sz w:val="18"/>
          <w:szCs w:val="16"/>
        </w:rPr>
        <w:t>Private Health Insurance (Prudential Supervision) Act 2015</w:t>
      </w:r>
      <w:r w:rsidR="00DB65D1">
        <w:rPr>
          <w:b/>
          <w:bCs/>
          <w:i/>
          <w:iCs/>
          <w:sz w:val="18"/>
          <w:szCs w:val="16"/>
        </w:rPr>
        <w:t>]</w:t>
      </w:r>
    </w:p>
    <w:p w14:paraId="19FE85EF" w14:textId="66B39518" w:rsidR="00E158D7" w:rsidRDefault="004335DB" w:rsidP="004335DB">
      <w:pPr>
        <w:pStyle w:val="base-text-paragraph"/>
      </w:pPr>
      <w:r>
        <w:t xml:space="preserve">Section 40 of the </w:t>
      </w:r>
      <w:r w:rsidRPr="00AE0EA4">
        <w:rPr>
          <w:i/>
          <w:iCs/>
        </w:rPr>
        <w:t>Private Health Insurance (Prudential Supervision) Act 2015</w:t>
      </w:r>
      <w:r>
        <w:rPr>
          <w:i/>
          <w:iCs/>
        </w:rPr>
        <w:t xml:space="preserve"> </w:t>
      </w:r>
      <w:r>
        <w:t xml:space="preserve">contains rules relating to </w:t>
      </w:r>
      <w:r w:rsidR="00020ACE">
        <w:t xml:space="preserve">the conduct of funds during the </w:t>
      </w:r>
      <w:r w:rsidR="00C00790">
        <w:t>“</w:t>
      </w:r>
      <w:r w:rsidR="00020ACE">
        <w:t>termination process</w:t>
      </w:r>
      <w:r w:rsidR="00C00790">
        <w:t>”</w:t>
      </w:r>
      <w:r w:rsidR="00020ACE">
        <w:t xml:space="preserve">. </w:t>
      </w:r>
      <w:r w:rsidR="001510B7">
        <w:t>Previously u</w:t>
      </w:r>
      <w:r>
        <w:t xml:space="preserve">nder this section, </w:t>
      </w:r>
      <w:r w:rsidR="00E158D7">
        <w:t xml:space="preserve">a private health insurer </w:t>
      </w:r>
      <w:r w:rsidR="00A12869">
        <w:t xml:space="preserve">had to publish a notice in certain newspapers. </w:t>
      </w:r>
      <w:r w:rsidR="00C91FF3">
        <w:t xml:space="preserve">Private health insurers are now required to publish </w:t>
      </w:r>
      <w:r w:rsidR="00C00790">
        <w:t xml:space="preserve">the </w:t>
      </w:r>
      <w:r w:rsidR="00C91FF3">
        <w:t>notice in accordance with the technology neutral publication requirement</w:t>
      </w:r>
      <w:r w:rsidR="00C00790">
        <w:t>s in outlined in</w:t>
      </w:r>
      <w:r w:rsidR="00C91FF3">
        <w:t xml:space="preserve"> </w:t>
      </w:r>
      <w:r w:rsidR="006205C1">
        <w:t xml:space="preserve">paragraph </w:t>
      </w:r>
      <w:r w:rsidR="006205C1">
        <w:fldChar w:fldCharType="begin"/>
      </w:r>
      <w:r w:rsidR="006205C1">
        <w:instrText xml:space="preserve"> REF _Ref86050883 \r \h </w:instrText>
      </w:r>
      <w:r w:rsidR="006205C1">
        <w:fldChar w:fldCharType="separate"/>
      </w:r>
      <w:r w:rsidR="006205C1">
        <w:t>3.9</w:t>
      </w:r>
      <w:r w:rsidR="006205C1">
        <w:fldChar w:fldCharType="end"/>
      </w:r>
      <w:r w:rsidR="00C91FF3">
        <w:t>.</w:t>
      </w:r>
      <w:r w:rsidR="00EA0835">
        <w:t xml:space="preserve"> </w:t>
      </w:r>
      <w:r w:rsidR="00EA0835" w:rsidRPr="00B111A1">
        <w:rPr>
          <w:b/>
          <w:bCs/>
          <w:i/>
          <w:iCs/>
          <w:sz w:val="18"/>
          <w:szCs w:val="16"/>
        </w:rPr>
        <w:t xml:space="preserve">[Schedule </w:t>
      </w:r>
      <w:r w:rsidR="00725EA5">
        <w:rPr>
          <w:b/>
          <w:bCs/>
          <w:i/>
          <w:iCs/>
          <w:sz w:val="18"/>
          <w:szCs w:val="16"/>
        </w:rPr>
        <w:t>3</w:t>
      </w:r>
      <w:r w:rsidR="00EA0835" w:rsidRPr="00B111A1">
        <w:rPr>
          <w:b/>
          <w:bCs/>
          <w:i/>
          <w:iCs/>
          <w:sz w:val="18"/>
          <w:szCs w:val="16"/>
        </w:rPr>
        <w:t>, item</w:t>
      </w:r>
      <w:r w:rsidR="00253311">
        <w:rPr>
          <w:b/>
          <w:bCs/>
          <w:i/>
          <w:iCs/>
          <w:sz w:val="18"/>
          <w:szCs w:val="16"/>
        </w:rPr>
        <w:t>s</w:t>
      </w:r>
      <w:r w:rsidR="00EA0835">
        <w:rPr>
          <w:b/>
          <w:bCs/>
          <w:i/>
          <w:iCs/>
          <w:sz w:val="18"/>
          <w:szCs w:val="16"/>
        </w:rPr>
        <w:t xml:space="preserve"> 48</w:t>
      </w:r>
      <w:r w:rsidR="00253311">
        <w:rPr>
          <w:b/>
          <w:bCs/>
          <w:i/>
          <w:iCs/>
          <w:sz w:val="18"/>
          <w:szCs w:val="16"/>
        </w:rPr>
        <w:t xml:space="preserve"> and 49</w:t>
      </w:r>
      <w:r w:rsidR="00EA0835">
        <w:rPr>
          <w:b/>
          <w:bCs/>
          <w:i/>
          <w:iCs/>
          <w:sz w:val="18"/>
          <w:szCs w:val="16"/>
        </w:rPr>
        <w:t>, section 40(2)(b)</w:t>
      </w:r>
      <w:r w:rsidR="00253311">
        <w:rPr>
          <w:b/>
          <w:bCs/>
          <w:i/>
          <w:iCs/>
          <w:sz w:val="18"/>
          <w:szCs w:val="16"/>
        </w:rPr>
        <w:t xml:space="preserve"> and</w:t>
      </w:r>
      <w:r w:rsidR="000E0048">
        <w:rPr>
          <w:b/>
          <w:bCs/>
          <w:i/>
          <w:iCs/>
          <w:sz w:val="18"/>
          <w:szCs w:val="16"/>
        </w:rPr>
        <w:t xml:space="preserve"> </w:t>
      </w:r>
      <w:r w:rsidR="00253311">
        <w:rPr>
          <w:b/>
          <w:bCs/>
          <w:i/>
          <w:iCs/>
          <w:sz w:val="18"/>
          <w:szCs w:val="16"/>
        </w:rPr>
        <w:t>40</w:t>
      </w:r>
      <w:r w:rsidR="000E0048">
        <w:rPr>
          <w:b/>
          <w:bCs/>
          <w:i/>
          <w:iCs/>
          <w:sz w:val="18"/>
          <w:szCs w:val="16"/>
        </w:rPr>
        <w:t>(2A)-(2B)</w:t>
      </w:r>
      <w:r w:rsidR="00EA0835">
        <w:rPr>
          <w:b/>
          <w:bCs/>
          <w:i/>
          <w:iCs/>
          <w:sz w:val="18"/>
          <w:szCs w:val="16"/>
        </w:rPr>
        <w:t xml:space="preserve"> of </w:t>
      </w:r>
      <w:r w:rsidR="00435185">
        <w:rPr>
          <w:b/>
          <w:bCs/>
          <w:i/>
          <w:iCs/>
          <w:sz w:val="18"/>
          <w:szCs w:val="16"/>
        </w:rPr>
        <w:t xml:space="preserve">the </w:t>
      </w:r>
      <w:r w:rsidR="00435185" w:rsidRPr="00435185">
        <w:rPr>
          <w:b/>
          <w:bCs/>
          <w:i/>
          <w:iCs/>
          <w:sz w:val="18"/>
          <w:szCs w:val="16"/>
        </w:rPr>
        <w:t>Private Health Insurance (Prudential Supervision) Act 2015</w:t>
      </w:r>
      <w:r w:rsidR="00EA0835">
        <w:rPr>
          <w:b/>
          <w:bCs/>
          <w:i/>
          <w:iCs/>
          <w:sz w:val="18"/>
          <w:szCs w:val="16"/>
        </w:rPr>
        <w:t>]</w:t>
      </w:r>
    </w:p>
    <w:p w14:paraId="480DB918" w14:textId="20F1AF4B" w:rsidR="002169BF" w:rsidRDefault="00C91FF3" w:rsidP="007E5EA0">
      <w:pPr>
        <w:pStyle w:val="base-text-paragraph"/>
      </w:pPr>
      <w:r>
        <w:t xml:space="preserve">Section 75 of the </w:t>
      </w:r>
      <w:r w:rsidRPr="007E5EA0">
        <w:rPr>
          <w:i/>
          <w:iCs/>
        </w:rPr>
        <w:t>Private Health Insurance (Prudential Super</w:t>
      </w:r>
      <w:r w:rsidRPr="003E7A50">
        <w:rPr>
          <w:i/>
          <w:iCs/>
        </w:rPr>
        <w:t>vision) Act 2015</w:t>
      </w:r>
      <w:r>
        <w:t xml:space="preserve"> contains rules relating to the dealing of property of health benefits funds under management. Previously under this section, a </w:t>
      </w:r>
      <w:r w:rsidR="007E5EA0">
        <w:t xml:space="preserve">manager of the fund could provide notice </w:t>
      </w:r>
      <w:r w:rsidR="00F24692">
        <w:t xml:space="preserve">of </w:t>
      </w:r>
      <w:r w:rsidR="007E5EA0">
        <w:t>an appointment in certain newspapers.</w:t>
      </w:r>
      <w:r w:rsidR="00D13A65">
        <w:t xml:space="preserve"> The manager of the fund is now </w:t>
      </w:r>
      <w:r w:rsidR="002169BF">
        <w:t xml:space="preserve">simply required to provide notice of the appointment to the relevant entity. </w:t>
      </w:r>
      <w:r w:rsidR="000E0048" w:rsidRPr="00B111A1">
        <w:rPr>
          <w:b/>
          <w:bCs/>
          <w:i/>
          <w:iCs/>
          <w:sz w:val="18"/>
          <w:szCs w:val="16"/>
        </w:rPr>
        <w:t xml:space="preserve">[Schedule </w:t>
      </w:r>
      <w:r w:rsidR="00725EA5">
        <w:rPr>
          <w:b/>
          <w:bCs/>
          <w:i/>
          <w:iCs/>
          <w:sz w:val="18"/>
          <w:szCs w:val="16"/>
        </w:rPr>
        <w:t>3</w:t>
      </w:r>
      <w:r w:rsidR="000E0048" w:rsidRPr="00B111A1">
        <w:rPr>
          <w:b/>
          <w:bCs/>
          <w:i/>
          <w:iCs/>
          <w:sz w:val="18"/>
          <w:szCs w:val="16"/>
        </w:rPr>
        <w:t>, item</w:t>
      </w:r>
      <w:r w:rsidR="000E0048">
        <w:rPr>
          <w:b/>
          <w:bCs/>
          <w:i/>
          <w:iCs/>
          <w:sz w:val="18"/>
          <w:szCs w:val="16"/>
        </w:rPr>
        <w:t xml:space="preserve"> 50, section 75(2)(b) of </w:t>
      </w:r>
      <w:r w:rsidR="00435185">
        <w:rPr>
          <w:b/>
          <w:bCs/>
          <w:i/>
          <w:iCs/>
          <w:sz w:val="18"/>
          <w:szCs w:val="16"/>
        </w:rPr>
        <w:t xml:space="preserve">the </w:t>
      </w:r>
      <w:r w:rsidR="00435185" w:rsidRPr="00435185">
        <w:rPr>
          <w:b/>
          <w:bCs/>
          <w:i/>
          <w:iCs/>
          <w:sz w:val="18"/>
          <w:szCs w:val="16"/>
        </w:rPr>
        <w:t>Private Health Insurance (Prudential Supervision) Act 2015</w:t>
      </w:r>
      <w:r w:rsidR="000E0048">
        <w:rPr>
          <w:b/>
          <w:bCs/>
          <w:i/>
          <w:iCs/>
          <w:sz w:val="18"/>
          <w:szCs w:val="16"/>
        </w:rPr>
        <w:t>]</w:t>
      </w:r>
    </w:p>
    <w:p w14:paraId="643A0A14" w14:textId="67BD55D8" w:rsidR="00B35714" w:rsidRPr="001D2259" w:rsidRDefault="00B35714" w:rsidP="001D2259">
      <w:pPr>
        <w:pStyle w:val="base-text-paragraph"/>
        <w:numPr>
          <w:ilvl w:val="0"/>
          <w:numId w:val="0"/>
        </w:numPr>
        <w:ind w:left="1134"/>
        <w:rPr>
          <w:b/>
          <w:i/>
        </w:rPr>
      </w:pPr>
      <w:r w:rsidRPr="001D2259">
        <w:rPr>
          <w:b/>
          <w:i/>
        </w:rPr>
        <w:t>Productivity Commission Act 1998</w:t>
      </w:r>
    </w:p>
    <w:p w14:paraId="40EC634E" w14:textId="2C9FCCD5" w:rsidR="00B35714" w:rsidRDefault="00B35714" w:rsidP="00913E21">
      <w:pPr>
        <w:pStyle w:val="base-text-paragraph"/>
      </w:pPr>
      <w:r>
        <w:t xml:space="preserve">Section 13 and 14 of the </w:t>
      </w:r>
      <w:r w:rsidRPr="001D2259">
        <w:rPr>
          <w:i/>
        </w:rPr>
        <w:t>Productivity Commission Act 1998</w:t>
      </w:r>
      <w:r>
        <w:t xml:space="preserve"> require</w:t>
      </w:r>
      <w:r w:rsidR="00DF3466">
        <w:t xml:space="preserve">d the Productivity Commissioner to provide notice of certain hearings and inquiries in newspapers. The Productivity Commissioner </w:t>
      </w:r>
      <w:r w:rsidR="00EB4006">
        <w:t xml:space="preserve">is </w:t>
      </w:r>
      <w:r w:rsidR="00DF3466">
        <w:t xml:space="preserve">now </w:t>
      </w:r>
      <w:r w:rsidR="00EB4006">
        <w:t xml:space="preserve">required to </w:t>
      </w:r>
      <w:r w:rsidR="00DF3466">
        <w:t xml:space="preserve">provide </w:t>
      </w:r>
      <w:r w:rsidR="00EB4006">
        <w:t xml:space="preserve">the notices in a manner that results in the notices being accessible to public and </w:t>
      </w:r>
      <w:r w:rsidR="00E13C4E">
        <w:t>reasonably</w:t>
      </w:r>
      <w:r w:rsidR="00EB4006">
        <w:t xml:space="preserve"> prominent. </w:t>
      </w:r>
      <w:r w:rsidR="000E0048" w:rsidRPr="00B111A1">
        <w:rPr>
          <w:b/>
          <w:bCs/>
          <w:i/>
          <w:iCs/>
          <w:sz w:val="18"/>
          <w:szCs w:val="16"/>
        </w:rPr>
        <w:t xml:space="preserve">[Schedule </w:t>
      </w:r>
      <w:r w:rsidR="00725EA5">
        <w:rPr>
          <w:b/>
          <w:bCs/>
          <w:i/>
          <w:iCs/>
          <w:sz w:val="18"/>
          <w:szCs w:val="16"/>
        </w:rPr>
        <w:t>3</w:t>
      </w:r>
      <w:r w:rsidR="000E0048" w:rsidRPr="00B111A1">
        <w:rPr>
          <w:b/>
          <w:bCs/>
          <w:i/>
          <w:iCs/>
          <w:sz w:val="18"/>
          <w:szCs w:val="16"/>
        </w:rPr>
        <w:t>, item</w:t>
      </w:r>
      <w:r w:rsidR="000E0048">
        <w:rPr>
          <w:b/>
          <w:bCs/>
          <w:i/>
          <w:iCs/>
          <w:sz w:val="18"/>
          <w:szCs w:val="16"/>
        </w:rPr>
        <w:t xml:space="preserve"> 51, sections 13 and 14 of the Productivity Commission Act 1998]</w:t>
      </w:r>
    </w:p>
    <w:p w14:paraId="52B17E2E" w14:textId="683EDA87" w:rsidR="00CE1A1E" w:rsidRPr="001D2259" w:rsidRDefault="00CE1A1E" w:rsidP="001D2259">
      <w:pPr>
        <w:pStyle w:val="base-text-paragraph"/>
        <w:numPr>
          <w:ilvl w:val="0"/>
          <w:numId w:val="0"/>
        </w:numPr>
        <w:ind w:left="1134"/>
        <w:rPr>
          <w:b/>
          <w:i/>
        </w:rPr>
      </w:pPr>
      <w:r w:rsidRPr="001D2259">
        <w:rPr>
          <w:b/>
          <w:i/>
        </w:rPr>
        <w:t>Superannuation Industry (Supervision) Act 1993</w:t>
      </w:r>
    </w:p>
    <w:p w14:paraId="52A74560" w14:textId="610E548B" w:rsidR="009B3E65" w:rsidRPr="009B3E65" w:rsidRDefault="009B3E65" w:rsidP="005E00AF">
      <w:pPr>
        <w:pStyle w:val="base-text-paragraph"/>
      </w:pPr>
      <w:r>
        <w:t xml:space="preserve">Various amendments are made to the </w:t>
      </w:r>
      <w:r w:rsidR="00435185">
        <w:rPr>
          <w:iCs/>
        </w:rPr>
        <w:t>SIS Act</w:t>
      </w:r>
      <w:r>
        <w:t xml:space="preserve"> to remove references to the licensing transition period. Provisions concerning the licensing transition period </w:t>
      </w:r>
      <w:r w:rsidR="00241545">
        <w:t>have been</w:t>
      </w:r>
      <w:r>
        <w:t xml:space="preserve"> spent </w:t>
      </w:r>
      <w:r w:rsidR="00241545">
        <w:t xml:space="preserve">for several years </w:t>
      </w:r>
      <w:r>
        <w:t xml:space="preserve">and </w:t>
      </w:r>
      <w:r w:rsidR="00241545">
        <w:t xml:space="preserve">so are </w:t>
      </w:r>
      <w:r>
        <w:t xml:space="preserve">no longer needed. </w:t>
      </w:r>
      <w:r w:rsidR="000E0048" w:rsidRPr="00B111A1">
        <w:rPr>
          <w:b/>
          <w:bCs/>
          <w:i/>
          <w:iCs/>
          <w:sz w:val="18"/>
          <w:szCs w:val="16"/>
        </w:rPr>
        <w:t xml:space="preserve">[Schedule </w:t>
      </w:r>
      <w:r w:rsidR="00725EA5">
        <w:rPr>
          <w:b/>
          <w:bCs/>
          <w:i/>
          <w:iCs/>
          <w:sz w:val="18"/>
          <w:szCs w:val="16"/>
        </w:rPr>
        <w:t>3</w:t>
      </w:r>
      <w:r w:rsidR="000E0048" w:rsidRPr="00B111A1">
        <w:rPr>
          <w:b/>
          <w:bCs/>
          <w:i/>
          <w:iCs/>
          <w:sz w:val="18"/>
          <w:szCs w:val="16"/>
        </w:rPr>
        <w:t>, item</w:t>
      </w:r>
      <w:r w:rsidR="000E0048">
        <w:rPr>
          <w:b/>
          <w:bCs/>
          <w:i/>
          <w:iCs/>
          <w:sz w:val="18"/>
          <w:szCs w:val="16"/>
        </w:rPr>
        <w:t xml:space="preserve"> 52-57, sections 10(1), 29(CB), </w:t>
      </w:r>
      <w:r w:rsidR="00DE145D">
        <w:rPr>
          <w:b/>
          <w:bCs/>
          <w:i/>
          <w:iCs/>
          <w:sz w:val="18"/>
          <w:szCs w:val="16"/>
        </w:rPr>
        <w:t>29</w:t>
      </w:r>
      <w:r w:rsidR="000E0048">
        <w:rPr>
          <w:b/>
          <w:bCs/>
          <w:i/>
          <w:iCs/>
          <w:sz w:val="18"/>
          <w:szCs w:val="16"/>
        </w:rPr>
        <w:t>(CC)(1)-(2)</w:t>
      </w:r>
      <w:r w:rsidR="009F07E7">
        <w:rPr>
          <w:b/>
          <w:bCs/>
          <w:i/>
          <w:iCs/>
          <w:sz w:val="18"/>
          <w:szCs w:val="16"/>
        </w:rPr>
        <w:t xml:space="preserve"> and 29D(1)(h)</w:t>
      </w:r>
      <w:r w:rsidR="000E0048">
        <w:rPr>
          <w:b/>
          <w:bCs/>
          <w:i/>
          <w:iCs/>
          <w:sz w:val="18"/>
          <w:szCs w:val="16"/>
        </w:rPr>
        <w:t xml:space="preserve"> of the SIS Act]</w:t>
      </w:r>
    </w:p>
    <w:p w14:paraId="5127EA52" w14:textId="753F02A5" w:rsidR="00D7587A" w:rsidRDefault="00D7587A" w:rsidP="00D7587A">
      <w:pPr>
        <w:pStyle w:val="base-text-paragraph"/>
      </w:pPr>
      <w:r>
        <w:t xml:space="preserve">Section </w:t>
      </w:r>
      <w:r w:rsidR="009F07E7">
        <w:t>142</w:t>
      </w:r>
      <w:r>
        <w:t xml:space="preserve"> of the </w:t>
      </w:r>
      <w:r w:rsidR="00435185">
        <w:t>SIS Act</w:t>
      </w:r>
      <w:r>
        <w:t xml:space="preserve"> contains rules relating to the w</w:t>
      </w:r>
      <w:r w:rsidRPr="00D7587A">
        <w:t xml:space="preserve">inding-up or dissolution of </w:t>
      </w:r>
      <w:r w:rsidR="00C2361F">
        <w:t>s</w:t>
      </w:r>
      <w:r w:rsidRPr="00D7587A">
        <w:t>uperannuation entit</w:t>
      </w:r>
      <w:r>
        <w:t xml:space="preserve">ies. Previously under this section, </w:t>
      </w:r>
      <w:r w:rsidR="00B34881">
        <w:t>APRA was required to advertise the making of instruments made under subsection (1) of the section in certain newspapers.</w:t>
      </w:r>
      <w:r w:rsidR="008C1862">
        <w:t xml:space="preserve"> APRA is now required to </w:t>
      </w:r>
      <w:r w:rsidR="008C1862" w:rsidRPr="008C1862">
        <w:t xml:space="preserve">publish notice of the making of </w:t>
      </w:r>
      <w:r w:rsidR="00F24692">
        <w:t>the</w:t>
      </w:r>
      <w:r w:rsidR="008C1862" w:rsidRPr="008C1862">
        <w:t xml:space="preserve"> instrument</w:t>
      </w:r>
      <w:r w:rsidR="00F24692">
        <w:t xml:space="preserve">s </w:t>
      </w:r>
      <w:r w:rsidR="008C1862" w:rsidRPr="008C1862">
        <w:t>in a manner that results in the notice being accessible to the public and reasonably prominent.</w:t>
      </w:r>
      <w:r w:rsidR="000E0048">
        <w:t xml:space="preserve"> </w:t>
      </w:r>
      <w:r w:rsidR="000E0048" w:rsidRPr="00B111A1">
        <w:rPr>
          <w:b/>
          <w:bCs/>
          <w:i/>
          <w:iCs/>
          <w:sz w:val="18"/>
          <w:szCs w:val="16"/>
        </w:rPr>
        <w:t xml:space="preserve">[Schedule </w:t>
      </w:r>
      <w:r w:rsidR="00725EA5">
        <w:rPr>
          <w:b/>
          <w:bCs/>
          <w:i/>
          <w:iCs/>
          <w:sz w:val="18"/>
          <w:szCs w:val="16"/>
        </w:rPr>
        <w:t>3</w:t>
      </w:r>
      <w:r w:rsidR="000E0048" w:rsidRPr="00B111A1">
        <w:rPr>
          <w:b/>
          <w:bCs/>
          <w:i/>
          <w:iCs/>
          <w:sz w:val="18"/>
          <w:szCs w:val="16"/>
        </w:rPr>
        <w:t>, item</w:t>
      </w:r>
      <w:r w:rsidR="000E0048">
        <w:rPr>
          <w:b/>
          <w:bCs/>
          <w:i/>
          <w:iCs/>
          <w:sz w:val="18"/>
          <w:szCs w:val="16"/>
        </w:rPr>
        <w:t xml:space="preserve"> 5</w:t>
      </w:r>
      <w:r w:rsidR="009F07E7">
        <w:rPr>
          <w:b/>
          <w:bCs/>
          <w:i/>
          <w:iCs/>
          <w:sz w:val="18"/>
          <w:szCs w:val="16"/>
        </w:rPr>
        <w:t>8</w:t>
      </w:r>
      <w:r w:rsidR="000E0048">
        <w:rPr>
          <w:b/>
          <w:bCs/>
          <w:i/>
          <w:iCs/>
          <w:sz w:val="18"/>
          <w:szCs w:val="16"/>
        </w:rPr>
        <w:t xml:space="preserve">, section </w:t>
      </w:r>
      <w:r w:rsidR="009F07E7">
        <w:rPr>
          <w:b/>
          <w:bCs/>
          <w:i/>
          <w:iCs/>
          <w:sz w:val="18"/>
          <w:szCs w:val="16"/>
        </w:rPr>
        <w:t>142(7) and (9)</w:t>
      </w:r>
      <w:r w:rsidR="000E0048">
        <w:rPr>
          <w:b/>
          <w:bCs/>
          <w:i/>
          <w:iCs/>
          <w:sz w:val="18"/>
          <w:szCs w:val="16"/>
        </w:rPr>
        <w:t xml:space="preserve"> of the SIS Act]</w:t>
      </w:r>
    </w:p>
    <w:p w14:paraId="28D7BD5B" w14:textId="0A2B0E96" w:rsidR="008F4886" w:rsidRPr="001D2259" w:rsidRDefault="00137704" w:rsidP="001D2259">
      <w:pPr>
        <w:pStyle w:val="base-text-paragraph"/>
        <w:numPr>
          <w:ilvl w:val="0"/>
          <w:numId w:val="0"/>
        </w:numPr>
        <w:ind w:left="1134"/>
        <w:rPr>
          <w:b/>
          <w:i/>
        </w:rPr>
      </w:pPr>
      <w:r w:rsidRPr="001D2259">
        <w:rPr>
          <w:b/>
          <w:i/>
        </w:rPr>
        <w:t>Taxation Administration Act 1953</w:t>
      </w:r>
    </w:p>
    <w:p w14:paraId="4D700A2E" w14:textId="430D072E" w:rsidR="00CF2F56" w:rsidRDefault="00D7587A" w:rsidP="00CF2F56">
      <w:pPr>
        <w:pStyle w:val="base-text-paragraph"/>
      </w:pPr>
      <w:r>
        <w:t xml:space="preserve"> </w:t>
      </w:r>
      <w:r w:rsidR="00CF2F56">
        <w:t xml:space="preserve">Section 260-145 of Schedule 1 to the </w:t>
      </w:r>
      <w:r w:rsidR="00CF2F56" w:rsidRPr="001D2259">
        <w:rPr>
          <w:i/>
        </w:rPr>
        <w:t>Taxation Administration Act 1953</w:t>
      </w:r>
      <w:r w:rsidR="00CF2F56">
        <w:t xml:space="preserve"> </w:t>
      </w:r>
      <w:r w:rsidR="0058623A">
        <w:t xml:space="preserve">requires the Commissioner of Taxation to publish notice of </w:t>
      </w:r>
      <w:r w:rsidR="0058623A">
        <w:lastRenderedPageBreak/>
        <w:t xml:space="preserve">certain determinations in newspapers. The Commissioner of Taxation is now required to publish the notice in </w:t>
      </w:r>
      <w:r w:rsidR="0058623A" w:rsidRPr="008C1862">
        <w:t>a manner that results in the notice being accessible to the public and reasonably prominent</w:t>
      </w:r>
      <w:r w:rsidR="002940BE">
        <w:t>.</w:t>
      </w:r>
      <w:r w:rsidR="009F07E7">
        <w:t xml:space="preserve"> </w:t>
      </w:r>
      <w:r w:rsidR="009F07E7" w:rsidRPr="00B111A1">
        <w:rPr>
          <w:b/>
          <w:bCs/>
          <w:i/>
          <w:iCs/>
          <w:sz w:val="18"/>
          <w:szCs w:val="16"/>
        </w:rPr>
        <w:t xml:space="preserve">[Schedule </w:t>
      </w:r>
      <w:r w:rsidR="00725EA5">
        <w:rPr>
          <w:b/>
          <w:bCs/>
          <w:i/>
          <w:iCs/>
          <w:sz w:val="18"/>
          <w:szCs w:val="16"/>
        </w:rPr>
        <w:t>3</w:t>
      </w:r>
      <w:r w:rsidR="009F07E7" w:rsidRPr="00B111A1">
        <w:rPr>
          <w:b/>
          <w:bCs/>
          <w:i/>
          <w:iCs/>
          <w:sz w:val="18"/>
          <w:szCs w:val="16"/>
        </w:rPr>
        <w:t>, item</w:t>
      </w:r>
      <w:r w:rsidR="00435185">
        <w:rPr>
          <w:b/>
          <w:bCs/>
          <w:i/>
          <w:iCs/>
          <w:sz w:val="18"/>
          <w:szCs w:val="16"/>
        </w:rPr>
        <w:t> </w:t>
      </w:r>
      <w:r w:rsidR="009F07E7">
        <w:rPr>
          <w:b/>
          <w:bCs/>
          <w:i/>
          <w:iCs/>
          <w:sz w:val="18"/>
          <w:szCs w:val="16"/>
        </w:rPr>
        <w:t>59, section 260-145(3) of Schedule 1 to the Tax Administration Act 1953]</w:t>
      </w:r>
    </w:p>
    <w:p w14:paraId="5F41320D" w14:textId="4AADAB1F" w:rsidR="00D7587A" w:rsidRPr="001D2259" w:rsidRDefault="00E83DA3" w:rsidP="001D2259">
      <w:pPr>
        <w:pStyle w:val="base-text-paragraph"/>
        <w:numPr>
          <w:ilvl w:val="0"/>
          <w:numId w:val="0"/>
        </w:numPr>
        <w:ind w:left="1134"/>
        <w:rPr>
          <w:b/>
          <w:i/>
        </w:rPr>
      </w:pPr>
      <w:r>
        <w:rPr>
          <w:b/>
          <w:i/>
        </w:rPr>
        <w:t>Other minor amendments</w:t>
      </w:r>
    </w:p>
    <w:p w14:paraId="62452F94" w14:textId="400C25BF" w:rsidR="00E83DA3" w:rsidRPr="00E4587A" w:rsidRDefault="00E83DA3" w:rsidP="00D54531">
      <w:pPr>
        <w:pStyle w:val="base-text-paragraph"/>
      </w:pPr>
      <w:r>
        <w:t xml:space="preserve"> Contingent amendments are also made to replace references to ASIC with the Registrar after the commencement of the </w:t>
      </w:r>
      <w:r w:rsidRPr="00E4587A">
        <w:rPr>
          <w:i/>
          <w:iCs/>
        </w:rPr>
        <w:t>Treasury Laws Amendment (Registries Modernisation and Other Measures) Act 2020</w:t>
      </w:r>
      <w:r w:rsidRPr="00E4587A">
        <w:t>. That Act transfers the registry functions from ASIC to the Registrar.</w:t>
      </w:r>
      <w:r w:rsidR="007A5AA3" w:rsidRPr="007A5AA3">
        <w:rPr>
          <w:b/>
          <w:bCs/>
          <w:i/>
          <w:iCs/>
          <w:sz w:val="18"/>
          <w:szCs w:val="16"/>
        </w:rPr>
        <w:t xml:space="preserve"> </w:t>
      </w:r>
      <w:r w:rsidR="007A5AA3" w:rsidRPr="00B111A1">
        <w:rPr>
          <w:b/>
          <w:bCs/>
          <w:i/>
          <w:iCs/>
          <w:sz w:val="18"/>
          <w:szCs w:val="16"/>
        </w:rPr>
        <w:t xml:space="preserve">[Schedule </w:t>
      </w:r>
      <w:r w:rsidR="007A5AA3">
        <w:rPr>
          <w:b/>
          <w:bCs/>
          <w:i/>
          <w:iCs/>
          <w:sz w:val="18"/>
          <w:szCs w:val="16"/>
        </w:rPr>
        <w:t>3</w:t>
      </w:r>
      <w:r w:rsidR="007A5AA3" w:rsidRPr="00B111A1">
        <w:rPr>
          <w:b/>
          <w:bCs/>
          <w:i/>
          <w:iCs/>
          <w:sz w:val="18"/>
          <w:szCs w:val="16"/>
        </w:rPr>
        <w:t>, item</w:t>
      </w:r>
      <w:r w:rsidR="007A5AA3">
        <w:rPr>
          <w:b/>
          <w:bCs/>
          <w:i/>
          <w:iCs/>
          <w:sz w:val="18"/>
          <w:szCs w:val="16"/>
        </w:rPr>
        <w:t>s 60, 61 and 62, sections 254Q(5B)-(5C), 601CCA(2)-(3) and 601CLA(2)-(3) of Corporations Act]</w:t>
      </w:r>
    </w:p>
    <w:p w14:paraId="0234BEB8" w14:textId="77777777" w:rsidR="00EF2CFC" w:rsidRDefault="00EF2CFC" w:rsidP="00EF2CFC">
      <w:pPr>
        <w:pStyle w:val="Heading2"/>
      </w:pPr>
      <w:r>
        <w:t>Application and transitional provisions</w:t>
      </w:r>
    </w:p>
    <w:p w14:paraId="37741957" w14:textId="1F144D54" w:rsidR="00E83DA3" w:rsidRDefault="000E26D9" w:rsidP="006C0FC8">
      <w:pPr>
        <w:pStyle w:val="base-text-paragraph"/>
      </w:pPr>
      <w:r>
        <w:t>Most of the</w:t>
      </w:r>
      <w:r w:rsidR="00E83DA3">
        <w:t xml:space="preserve"> </w:t>
      </w:r>
      <w:r w:rsidR="00B759C3">
        <w:t>new rules</w:t>
      </w:r>
      <w:r>
        <w:t xml:space="preserve"> relating to the publication requirements</w:t>
      </w:r>
      <w:r w:rsidR="00B759C3">
        <w:t xml:space="preserve"> commence and apply </w:t>
      </w:r>
      <w:r w:rsidR="00017D53">
        <w:t>on</w:t>
      </w:r>
      <w:r w:rsidR="00B759C3">
        <w:t xml:space="preserve"> </w:t>
      </w:r>
      <w:r w:rsidR="00017D53">
        <w:t>a</w:t>
      </w:r>
      <w:r w:rsidR="00B759C3">
        <w:t xml:space="preserve"> date </w:t>
      </w:r>
      <w:r w:rsidR="00017D53">
        <w:t>to be fixed by</w:t>
      </w:r>
      <w:r w:rsidR="00B759C3">
        <w:t xml:space="preserve"> </w:t>
      </w:r>
      <w:r w:rsidR="00F8236F">
        <w:t>Proclamation</w:t>
      </w:r>
      <w:r w:rsidR="00017D53">
        <w:t>.</w:t>
      </w:r>
      <w:r w:rsidR="00596A95">
        <w:t xml:space="preserve"> Where this date</w:t>
      </w:r>
      <w:r w:rsidR="00CB5DE7">
        <w:t xml:space="preserve"> is not within 6 months on the day after the Act receives Royal Assent, the new rules will commence and apply on the day after the end of the 6 months.</w:t>
      </w:r>
      <w:r w:rsidR="00017D53">
        <w:t xml:space="preserve"> This </w:t>
      </w:r>
      <w:r w:rsidR="007365EB">
        <w:t xml:space="preserve">will allow </w:t>
      </w:r>
      <w:r w:rsidR="00017D53">
        <w:t>interconnected</w:t>
      </w:r>
      <w:r w:rsidR="00CD1AFC">
        <w:t xml:space="preserve"> </w:t>
      </w:r>
      <w:r w:rsidR="004F533B">
        <w:t xml:space="preserve">amendments </w:t>
      </w:r>
      <w:r w:rsidR="00A26CFA">
        <w:t>to</w:t>
      </w:r>
      <w:r w:rsidR="004F533B">
        <w:t xml:space="preserve"> the Regulations</w:t>
      </w:r>
      <w:r w:rsidR="00A26CFA">
        <w:t xml:space="preserve"> to be commenced on the same day</w:t>
      </w:r>
      <w:r w:rsidR="00B759C3">
        <w:t>.</w:t>
      </w:r>
    </w:p>
    <w:p w14:paraId="645AD8CA" w14:textId="368EC56F" w:rsidR="000E26D9" w:rsidRDefault="000E26D9" w:rsidP="006C0FC8">
      <w:pPr>
        <w:pStyle w:val="base-text-paragraph"/>
      </w:pPr>
      <w:r>
        <w:t xml:space="preserve">The contingent amendments commence at the later of the commencement of the </w:t>
      </w:r>
      <w:r w:rsidRPr="00E4587A">
        <w:rPr>
          <w:i/>
          <w:iCs/>
        </w:rPr>
        <w:t>Treasury Laws Amendment (Registries Modernisation and Other Measures) Act 2020</w:t>
      </w:r>
      <w:r>
        <w:t xml:space="preserve"> and the other provisions in this Schedule. </w:t>
      </w:r>
    </w:p>
    <w:p w14:paraId="2FBF7A5B" w14:textId="330B78CB" w:rsidR="00E83DA3" w:rsidRDefault="00B759C3" w:rsidP="006B5E68">
      <w:pPr>
        <w:pStyle w:val="base-text-paragraph"/>
      </w:pPr>
      <w:r>
        <w:t>S</w:t>
      </w:r>
      <w:r w:rsidR="00E83DA3">
        <w:t xml:space="preserve">aving provisions </w:t>
      </w:r>
      <w:r>
        <w:t xml:space="preserve">are also included to </w:t>
      </w:r>
      <w:r w:rsidR="00E83DA3">
        <w:t xml:space="preserve">ensure the determinations continue to be in force when administration of the sections transfers from ASIC to the Registrar. However, </w:t>
      </w:r>
      <w:r w:rsidR="00E83DA3" w:rsidRPr="00804AE4">
        <w:t xml:space="preserve">if the Registrar has not amended or repealed the determination before the end of the period of 6 months after </w:t>
      </w:r>
      <w:r w:rsidR="00E83DA3">
        <w:t>the transfer</w:t>
      </w:r>
      <w:r w:rsidR="00E83DA3" w:rsidRPr="00804AE4">
        <w:t>, the determination</w:t>
      </w:r>
      <w:r w:rsidR="00E83DA3">
        <w:t>s</w:t>
      </w:r>
      <w:r w:rsidR="00E83DA3" w:rsidRPr="00804AE4">
        <w:t xml:space="preserve"> </w:t>
      </w:r>
      <w:r w:rsidR="00E83DA3">
        <w:t>are</w:t>
      </w:r>
      <w:r w:rsidR="00E83DA3" w:rsidRPr="00804AE4">
        <w:t xml:space="preserve"> repealed at the end of that period.</w:t>
      </w:r>
      <w:r w:rsidR="00347724">
        <w:t xml:space="preserve"> </w:t>
      </w:r>
      <w:r>
        <w:rPr>
          <w:rStyle w:val="Referencingstyle"/>
        </w:rPr>
        <w:t>[Schedule</w:t>
      </w:r>
      <w:r w:rsidDel="00725EA5">
        <w:rPr>
          <w:rStyle w:val="Referencingstyle"/>
        </w:rPr>
        <w:t xml:space="preserve"> </w:t>
      </w:r>
      <w:r w:rsidR="00725EA5">
        <w:rPr>
          <w:rStyle w:val="Referencingstyle"/>
        </w:rPr>
        <w:t>3,</w:t>
      </w:r>
      <w:r>
        <w:rPr>
          <w:rStyle w:val="Referencingstyle"/>
        </w:rPr>
        <w:t xml:space="preserve"> item </w:t>
      </w:r>
      <w:r w:rsidR="00347724">
        <w:rPr>
          <w:rStyle w:val="Referencingstyle"/>
        </w:rPr>
        <w:t>63</w:t>
      </w:r>
      <w:r>
        <w:rPr>
          <w:rStyle w:val="Referencingstyle"/>
        </w:rPr>
        <w:t>, sections 1</w:t>
      </w:r>
      <w:r w:rsidR="00347724">
        <w:rPr>
          <w:rStyle w:val="Referencingstyle"/>
        </w:rPr>
        <w:t>6</w:t>
      </w:r>
      <w:r w:rsidR="000D0555">
        <w:rPr>
          <w:rStyle w:val="Referencingstyle"/>
        </w:rPr>
        <w:t>94 and 1694A</w:t>
      </w:r>
      <w:r>
        <w:rPr>
          <w:rStyle w:val="Referencingstyle"/>
        </w:rPr>
        <w:t xml:space="preserve">] </w:t>
      </w:r>
    </w:p>
    <w:p w14:paraId="606BFBDC" w14:textId="77777777" w:rsidR="00443860" w:rsidRDefault="00443860" w:rsidP="00443860">
      <w:pPr>
        <w:pStyle w:val="base-text-paragraph"/>
        <w:numPr>
          <w:ilvl w:val="0"/>
          <w:numId w:val="0"/>
        </w:numPr>
      </w:pPr>
    </w:p>
    <w:p w14:paraId="732D8E31" w14:textId="6D2DD942" w:rsidR="00A80189" w:rsidRDefault="00A80189" w:rsidP="00A80189">
      <w:pPr>
        <w:pStyle w:val="base-text-paragraph"/>
        <w:numPr>
          <w:ilvl w:val="0"/>
          <w:numId w:val="0"/>
        </w:numPr>
        <w:ind w:left="1134"/>
      </w:pPr>
    </w:p>
    <w:p w14:paraId="12F4B8CF" w14:textId="77777777" w:rsidR="00A80189" w:rsidRDefault="00A80189" w:rsidP="00A80189">
      <w:pPr>
        <w:pStyle w:val="base-text-paragraph"/>
        <w:numPr>
          <w:ilvl w:val="0"/>
          <w:numId w:val="0"/>
        </w:numPr>
        <w:ind w:left="1134"/>
      </w:pPr>
    </w:p>
    <w:p w14:paraId="68F3B2BB" w14:textId="13DB0FCC" w:rsidR="00A23BD3" w:rsidRPr="005F0DD2" w:rsidRDefault="00A23BD3" w:rsidP="005F0DD2">
      <w:pPr>
        <w:pStyle w:val="base-text-paragraph"/>
        <w:numPr>
          <w:ilvl w:val="0"/>
          <w:numId w:val="0"/>
        </w:numPr>
        <w:ind w:left="1134"/>
      </w:pPr>
    </w:p>
    <w:p w14:paraId="681C8D5E" w14:textId="77777777" w:rsidR="00A23BD3" w:rsidRDefault="00A23BD3" w:rsidP="00A23BD3">
      <w:pPr>
        <w:pStyle w:val="base-text-paragraph"/>
        <w:numPr>
          <w:ilvl w:val="0"/>
          <w:numId w:val="0"/>
        </w:numPr>
        <w:ind w:left="1134"/>
      </w:pPr>
    </w:p>
    <w:p w14:paraId="102A74DF" w14:textId="167B2FBB" w:rsidR="00C779C5" w:rsidRPr="005E2763" w:rsidRDefault="00C779C5" w:rsidP="005E2763">
      <w:pPr>
        <w:spacing w:before="0" w:after="160" w:line="259" w:lineRule="auto"/>
        <w:rPr>
          <w:rFonts w:ascii="Helvetica" w:hAnsi="Helvetica"/>
          <w:b/>
          <w:caps/>
          <w:sz w:val="28"/>
        </w:rPr>
      </w:pPr>
    </w:p>
    <w:sectPr w:rsidR="00C779C5" w:rsidRPr="005E2763" w:rsidSect="00C10AAF">
      <w:footerReference w:type="even" r:id="rId34"/>
      <w:footerReference w:type="default" r:id="rId35"/>
      <w:footerReference w:type="first" r:id="rId3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5997B" w14:textId="77777777" w:rsidR="006161ED" w:rsidRDefault="006161ED" w:rsidP="00C3452B">
      <w:pPr>
        <w:spacing w:before="0" w:after="0"/>
      </w:pPr>
      <w:r>
        <w:separator/>
      </w:r>
    </w:p>
  </w:endnote>
  <w:endnote w:type="continuationSeparator" w:id="0">
    <w:p w14:paraId="15E10B08" w14:textId="77777777" w:rsidR="006161ED" w:rsidRDefault="006161ED" w:rsidP="00C3452B">
      <w:pPr>
        <w:spacing w:before="0" w:after="0"/>
      </w:pPr>
      <w:r>
        <w:continuationSeparator/>
      </w:r>
    </w:p>
  </w:endnote>
  <w:endnote w:type="continuationNotice" w:id="1">
    <w:p w14:paraId="06FA33D4" w14:textId="77777777" w:rsidR="006161ED" w:rsidRDefault="006161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D3660" w14:textId="77777777" w:rsidR="00435185" w:rsidRDefault="00435185" w:rsidP="00735E41">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D6A91" w14:textId="77777777" w:rsidR="00435185" w:rsidRDefault="00435185" w:rsidP="009D3DC0">
    <w:pPr>
      <w:pStyle w:val="leftfooter"/>
    </w:pPr>
    <w:r>
      <w:fldChar w:fldCharType="begin"/>
    </w:r>
    <w:r>
      <w:instrText xml:space="preserve"> PAGE   \* MERGEFORMAT </w:instrText>
    </w:r>
    <w:r>
      <w:fldChar w:fldCharType="separate"/>
    </w:r>
    <w:r>
      <w:rPr>
        <w:noProof/>
      </w:rPr>
      <w:t>6</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026A" w14:textId="77777777" w:rsidR="00435185" w:rsidRDefault="00435185" w:rsidP="009D3DC0">
    <w:pPr>
      <w:pStyle w:val="rightfooter"/>
    </w:pPr>
    <w:r>
      <w:fldChar w:fldCharType="begin"/>
    </w:r>
    <w:r>
      <w:instrText xml:space="preserve"> PAGE   \* MERGEFORMAT </w:instrText>
    </w:r>
    <w:r>
      <w:fldChar w:fldCharType="separate"/>
    </w:r>
    <w:r>
      <w:rPr>
        <w:noProof/>
      </w:rPr>
      <w:t>7</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A2D82" w14:textId="77777777" w:rsidR="00435185" w:rsidRDefault="00435185" w:rsidP="009D3DC0">
    <w:pPr>
      <w:pStyle w:val="rightfooter"/>
    </w:pPr>
    <w:r>
      <w:fldChar w:fldCharType="begin"/>
    </w:r>
    <w:r>
      <w:instrText xml:space="preserve"> PAGE  \* Arabic  \* MERGEFORMAT </w:instrText>
    </w:r>
    <w:r>
      <w:fldChar w:fldCharType="separate"/>
    </w:r>
    <w:r>
      <w:rPr>
        <w:noProof/>
      </w:rPr>
      <w:t>5</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0CA09" w14:textId="77777777" w:rsidR="00435185" w:rsidRDefault="00435185" w:rsidP="00735E41">
    <w:pPr>
      <w:pStyle w:val="leftfooter"/>
    </w:pPr>
    <w:r>
      <w:fldChar w:fldCharType="begin"/>
    </w:r>
    <w:r>
      <w:instrText xml:space="preserve"> PAGE   \* MERGEFORMAT </w:instrText>
    </w:r>
    <w:r>
      <w:fldChar w:fldCharType="separate"/>
    </w:r>
    <w:r>
      <w:rPr>
        <w:noProof/>
      </w:rPr>
      <w:t>6</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3" w:name="_Hlk26336195"/>
  <w:bookmarkStart w:id="44" w:name="_Hlk26336196"/>
  <w:bookmarkStart w:id="45" w:name="_Hlk26336199"/>
  <w:bookmarkStart w:id="46" w:name="_Hlk26336200"/>
  <w:p w14:paraId="1C51324C" w14:textId="77777777" w:rsidR="00435185" w:rsidRDefault="00435185" w:rsidP="00735E41">
    <w:pPr>
      <w:pStyle w:val="rightfooter"/>
    </w:pPr>
    <w:r>
      <w:fldChar w:fldCharType="begin"/>
    </w:r>
    <w:r>
      <w:instrText xml:space="preserve"> PAGE   \* MERGEFORMAT </w:instrText>
    </w:r>
    <w:r>
      <w:fldChar w:fldCharType="separate"/>
    </w:r>
    <w:r>
      <w:rPr>
        <w:noProof/>
      </w:rPr>
      <w:t>11</w:t>
    </w:r>
    <w:r>
      <w:rPr>
        <w:noProof/>
      </w:rPr>
      <w:fldChar w:fldCharType="end"/>
    </w:r>
    <w:bookmarkEnd w:id="43"/>
    <w:bookmarkEnd w:id="44"/>
    <w:bookmarkEnd w:id="45"/>
    <w:bookmarkEnd w:id="46"/>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7" w:name="_Hlk26336197"/>
  <w:bookmarkStart w:id="48" w:name="_Hlk26336198"/>
  <w:p w14:paraId="02D07010" w14:textId="77777777" w:rsidR="00435185" w:rsidRDefault="00435185" w:rsidP="00735E41">
    <w:pPr>
      <w:pStyle w:val="rightfooter"/>
    </w:pPr>
    <w:r>
      <w:fldChar w:fldCharType="begin"/>
    </w:r>
    <w:r>
      <w:instrText xml:space="preserve"> PAGE  \* Arabic  \* MERGEFORMAT </w:instrText>
    </w:r>
    <w:r>
      <w:fldChar w:fldCharType="separate"/>
    </w:r>
    <w:r>
      <w:rPr>
        <w:noProof/>
      </w:rPr>
      <w:t>5</w:t>
    </w:r>
    <w:r>
      <w:rPr>
        <w:noProof/>
      </w:rPr>
      <w:fldChar w:fldCharType="end"/>
    </w:r>
    <w:bookmarkEnd w:id="47"/>
    <w:bookmarkEnd w:id="4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26336147"/>
  <w:bookmarkStart w:id="6" w:name="_Hlk26336148"/>
  <w:bookmarkStart w:id="7" w:name="_Hlk26336151"/>
  <w:bookmarkStart w:id="8" w:name="_Hlk26336152"/>
  <w:p w14:paraId="7BAF6AEB" w14:textId="77777777" w:rsidR="00435185" w:rsidRDefault="00435185" w:rsidP="00735E41">
    <w:pPr>
      <w:pStyle w:val="rightfooter"/>
    </w:pPr>
    <w:r>
      <w:fldChar w:fldCharType="begin"/>
    </w:r>
    <w:r>
      <w:instrText xml:space="preserve"> PAGE   \* MERGEFORMAT </w:instrText>
    </w:r>
    <w:r>
      <w:fldChar w:fldCharType="separate"/>
    </w:r>
    <w:r>
      <w:rPr>
        <w:noProof/>
      </w:rPr>
      <w:t>5</w:t>
    </w:r>
    <w:r>
      <w:rPr>
        <w:noProof/>
      </w:rPr>
      <w:fldChar w:fldCharType="end"/>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28E92" w14:textId="77777777" w:rsidR="00435185" w:rsidRDefault="00435185">
    <w:pPr>
      <w:pStyle w:val="Footer"/>
    </w:pPr>
    <w:bookmarkStart w:id="11" w:name="_Hlk26336149"/>
    <w:bookmarkStart w:id="12" w:name="_Hlk2633615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22A1" w14:textId="77777777" w:rsidR="00435185" w:rsidRDefault="00435185" w:rsidP="00735E41">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7" w:name="_Hlk26336159"/>
  <w:bookmarkStart w:id="18" w:name="_Hlk26336160"/>
  <w:bookmarkStart w:id="19" w:name="_Hlk26336163"/>
  <w:bookmarkStart w:id="20" w:name="_Hlk26336164"/>
  <w:p w14:paraId="32D00505" w14:textId="77777777" w:rsidR="00435185" w:rsidRDefault="00435185" w:rsidP="00735E41">
    <w:pPr>
      <w:pStyle w:val="rightfooter"/>
    </w:pPr>
    <w:r>
      <w:fldChar w:fldCharType="begin"/>
    </w:r>
    <w:r>
      <w:instrText xml:space="preserve"> PAGE   \* MERGEFORMAT </w:instrText>
    </w:r>
    <w:r>
      <w:fldChar w:fldCharType="separate"/>
    </w:r>
    <w:r>
      <w:rPr>
        <w:noProof/>
      </w:rPr>
      <w:t>5</w:t>
    </w:r>
    <w:r>
      <w:rPr>
        <w:noProof/>
      </w:rPr>
      <w:fldChar w:fldCharType="end"/>
    </w:r>
    <w:bookmarkEnd w:id="17"/>
    <w:bookmarkEnd w:id="18"/>
    <w:bookmarkEnd w:id="19"/>
    <w:bookmarkEnd w:id="20"/>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88BC" w14:textId="77777777" w:rsidR="00435185" w:rsidRPr="00B2068E" w:rsidRDefault="00435185" w:rsidP="00735E41">
    <w:pPr>
      <w:pStyle w:val="Footer"/>
    </w:pPr>
    <w:bookmarkStart w:id="23" w:name="_Hlk26336161"/>
    <w:bookmarkStart w:id="24" w:name="_Hlk26336162"/>
    <w:bookmarkEnd w:id="23"/>
    <w:bookmarkEnd w:id="2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70293" w14:textId="77777777" w:rsidR="00435185" w:rsidRDefault="00435185" w:rsidP="00735E41">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9" w:name="_Hlk26336171"/>
  <w:bookmarkStart w:id="30" w:name="_Hlk26336172"/>
  <w:bookmarkStart w:id="31" w:name="_Hlk26336175"/>
  <w:bookmarkStart w:id="32" w:name="_Hlk26336176"/>
  <w:p w14:paraId="3FACD0D0" w14:textId="77777777" w:rsidR="00435185" w:rsidRDefault="00435185" w:rsidP="00735E41">
    <w:pPr>
      <w:pStyle w:val="rightfooter"/>
    </w:pPr>
    <w:r>
      <w:fldChar w:fldCharType="begin"/>
    </w:r>
    <w:r>
      <w:instrText xml:space="preserve"> PAGE   \* MERGEFORMAT </w:instrText>
    </w:r>
    <w:r>
      <w:fldChar w:fldCharType="separate"/>
    </w:r>
    <w:r>
      <w:rPr>
        <w:noProof/>
      </w:rPr>
      <w:t>3</w:t>
    </w:r>
    <w:r>
      <w:rPr>
        <w:noProof/>
      </w:rPr>
      <w:fldChar w:fldCharType="end"/>
    </w:r>
    <w:bookmarkEnd w:id="29"/>
    <w:bookmarkEnd w:id="30"/>
    <w:bookmarkEnd w:id="31"/>
    <w:bookmarkEnd w:id="32"/>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3" w:name="_Hlk26336173"/>
  <w:bookmarkStart w:id="34" w:name="_Hlk26336174"/>
  <w:p w14:paraId="47849D2D" w14:textId="77777777" w:rsidR="00435185" w:rsidRDefault="00435185" w:rsidP="00735E41">
    <w:pPr>
      <w:pStyle w:val="rightfooter"/>
    </w:pPr>
    <w:r>
      <w:fldChar w:fldCharType="begin"/>
    </w:r>
    <w:r>
      <w:instrText xml:space="preserve"> PAGE  \* Arabic  \* MERGEFORMAT </w:instrText>
    </w:r>
    <w:r>
      <w:fldChar w:fldCharType="separate"/>
    </w:r>
    <w:r>
      <w:rPr>
        <w:noProof/>
      </w:rPr>
      <w:t>1</w:t>
    </w:r>
    <w:r>
      <w:rPr>
        <w:noProof/>
      </w:rPr>
      <w:fldChar w:fldCharType="end"/>
    </w:r>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AEB68" w14:textId="77777777" w:rsidR="006161ED" w:rsidRDefault="006161ED" w:rsidP="00C3452B">
      <w:pPr>
        <w:spacing w:before="0" w:after="0"/>
      </w:pPr>
      <w:r>
        <w:separator/>
      </w:r>
    </w:p>
  </w:footnote>
  <w:footnote w:type="continuationSeparator" w:id="0">
    <w:p w14:paraId="1621E82F" w14:textId="77777777" w:rsidR="006161ED" w:rsidRDefault="006161ED" w:rsidP="00C3452B">
      <w:pPr>
        <w:spacing w:before="0" w:after="0"/>
      </w:pPr>
      <w:r>
        <w:continuationSeparator/>
      </w:r>
    </w:p>
  </w:footnote>
  <w:footnote w:type="continuationNotice" w:id="1">
    <w:p w14:paraId="635A3F02" w14:textId="77777777" w:rsidR="006161ED" w:rsidRDefault="006161E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DF0A0" w14:textId="77777777" w:rsidR="00435185" w:rsidRDefault="00435185" w:rsidP="00735E41">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26336141"/>
  <w:bookmarkStart w:id="2" w:name="_Hlk26336142"/>
  <w:bookmarkStart w:id="3" w:name="_Hlk26336145"/>
  <w:bookmarkStart w:id="4" w:name="_Hlk26336146"/>
  <w:p w14:paraId="04A1617D" w14:textId="77777777" w:rsidR="00435185" w:rsidRDefault="00435185" w:rsidP="00735E41">
    <w:pPr>
      <w:pStyle w:val="rightheader"/>
    </w:pPr>
    <w:r>
      <w:fldChar w:fldCharType="begin"/>
    </w:r>
    <w:r>
      <w:instrText xml:space="preserve"> macrobutton nomacro [Click here and enter the name of the Chapter </w:instrText>
    </w:r>
    <w:r>
      <w:fldChar w:fldCharType="end"/>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Hlk26336144" w:displacedByCustomXml="next"/>
  <w:bookmarkStart w:id="10" w:name="_Hlk26336143" w:displacedByCustomXml="next"/>
  <w:sdt>
    <w:sdtPr>
      <w:id w:val="-1403914990"/>
      <w:docPartObj>
        <w:docPartGallery w:val="Watermarks"/>
        <w:docPartUnique/>
      </w:docPartObj>
    </w:sdtPr>
    <w:sdtEndPr/>
    <w:sdtContent>
      <w:p w14:paraId="59179F5A" w14:textId="77777777" w:rsidR="00435185" w:rsidRDefault="006161ED">
        <w:pPr>
          <w:pStyle w:val="Header"/>
        </w:pPr>
        <w:r>
          <w:rPr>
            <w:noProof/>
            <w:lang w:val="en-US" w:eastAsia="en-US"/>
          </w:rPr>
          <w:pict w14:anchorId="61715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9" w:displacedByCustomXml="prev"/>
  <w:bookmarkEnd w:id="10" w:displacedByCustomXml="prev"/>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F52F2" w14:textId="77777777" w:rsidR="00435185" w:rsidRDefault="00435185" w:rsidP="00735E41">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D4223" w14:textId="77777777" w:rsidR="00435185" w:rsidRDefault="00435185" w:rsidP="00735E41">
    <w:pPr>
      <w:pStyle w:val="rightheader"/>
    </w:pPr>
    <w:bookmarkStart w:id="13" w:name="_Hlk26336153"/>
    <w:bookmarkStart w:id="14" w:name="_Hlk26336154"/>
    <w:bookmarkStart w:id="15" w:name="_Hlk26336157"/>
    <w:bookmarkStart w:id="16" w:name="_Hlk26336158"/>
    <w:bookmarkEnd w:id="13"/>
    <w:bookmarkEnd w:id="14"/>
    <w:bookmarkEnd w:id="15"/>
    <w:bookmarkEnd w:id="1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85A50" w14:textId="77777777" w:rsidR="00435185" w:rsidRDefault="00435185">
    <w:pPr>
      <w:pStyle w:val="Header"/>
    </w:pPr>
    <w:bookmarkStart w:id="21" w:name="_Hlk26336191"/>
    <w:bookmarkStart w:id="22" w:name="_Hlk26336192"/>
    <w:bookmarkEnd w:id="21"/>
    <w:bookmarkEnd w:id="2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5310" w14:textId="1A412CCD" w:rsidR="00435185" w:rsidRPr="00E4587A" w:rsidRDefault="00435185" w:rsidP="00E458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7" w:name="_Hlk26336193"/>
  <w:bookmarkStart w:id="28" w:name="_Hlk26336194"/>
  <w:p w14:paraId="2864066A" w14:textId="6F12B4F7" w:rsidR="00435185" w:rsidRDefault="00435185" w:rsidP="00735E41">
    <w:pPr>
      <w:pStyle w:val="rightheader"/>
    </w:pPr>
    <w:r>
      <w:fldChar w:fldCharType="begin"/>
    </w:r>
    <w:r>
      <w:instrText xml:space="preserve"> STYLEREF  "ChapterNameOnly"  \* MERGEFORMAT </w:instrText>
    </w:r>
    <w:r>
      <w:fldChar w:fldCharType="separate"/>
    </w:r>
    <w:r w:rsidR="003D6F40">
      <w:rPr>
        <w:noProof/>
      </w:rPr>
      <w:t>Credit and payments</w:t>
    </w:r>
    <w:r>
      <w:rPr>
        <w:noProof/>
      </w:rPr>
      <w:fldChar w:fldCharType="end"/>
    </w:r>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15:restartNumberingAfterBreak="0">
    <w:nsid w:val="2D2B7E2A"/>
    <w:multiLevelType w:val="hybridMultilevel"/>
    <w:tmpl w:val="6EB0CA76"/>
    <w:lvl w:ilvl="0" w:tplc="C1486C90">
      <w:start w:val="1"/>
      <w:numFmt w:val="bullet"/>
      <w:pStyle w:val="Dotpoint1"/>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3"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0358F6"/>
    <w:multiLevelType w:val="multilevel"/>
    <w:tmpl w:val="19486834"/>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bullet"/>
      <w:lvlText w:val=""/>
      <w:lvlJc w:val="left"/>
      <w:pPr>
        <w:ind w:left="5868" w:hanging="360"/>
      </w:pPr>
      <w:rPr>
        <w:rFonts w:ascii="Symbol" w:hAnsi="Symbol" w:hint="default"/>
      </w:rPr>
    </w:lvl>
    <w:lvl w:ilvl="4">
      <w:start w:val="1"/>
      <w:numFmt w:val="lowerLetter"/>
      <w:lvlText w:val="(%5)"/>
      <w:lvlJc w:val="left"/>
      <w:pPr>
        <w:ind w:left="6228" w:hanging="360"/>
      </w:pPr>
    </w:lvl>
    <w:lvl w:ilvl="5">
      <w:start w:val="1"/>
      <w:numFmt w:val="lowerRoman"/>
      <w:lvlText w:val="(%6)"/>
      <w:lvlJc w:val="left"/>
      <w:pPr>
        <w:ind w:left="6588" w:hanging="360"/>
      </w:pPr>
    </w:lvl>
    <w:lvl w:ilvl="6">
      <w:start w:val="1"/>
      <w:numFmt w:val="decimal"/>
      <w:lvlText w:val="%7."/>
      <w:lvlJc w:val="left"/>
      <w:pPr>
        <w:ind w:left="6948" w:hanging="360"/>
      </w:pPr>
    </w:lvl>
    <w:lvl w:ilvl="7">
      <w:start w:val="1"/>
      <w:numFmt w:val="lowerLetter"/>
      <w:lvlText w:val="%8."/>
      <w:lvlJc w:val="left"/>
      <w:pPr>
        <w:ind w:left="7308" w:hanging="360"/>
      </w:pPr>
    </w:lvl>
    <w:lvl w:ilvl="8">
      <w:start w:val="1"/>
      <w:numFmt w:val="lowerRoman"/>
      <w:lvlText w:val="%9."/>
      <w:lvlJc w:val="left"/>
      <w:pPr>
        <w:ind w:left="7668" w:hanging="360"/>
      </w:pPr>
    </w:lvl>
  </w:abstractNum>
  <w:abstractNum w:abstractNumId="15"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6"/>
        </w:tabs>
        <w:ind w:left="1135"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BC7E8D"/>
    <w:multiLevelType w:val="singleLevel"/>
    <w:tmpl w:val="594AE62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0" w15:restartNumberingAfterBreak="0">
    <w:nsid w:val="65DF6494"/>
    <w:multiLevelType w:val="multilevel"/>
    <w:tmpl w:val="A316FE50"/>
    <w:numStyleLink w:val="ChapterList"/>
  </w:abstractNum>
  <w:abstractNum w:abstractNumId="21" w15:restartNumberingAfterBreak="0">
    <w:nsid w:val="6AD0793F"/>
    <w:multiLevelType w:val="multilevel"/>
    <w:tmpl w:val="3D22A74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lowerRoman"/>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3"/>
  </w:num>
  <w:num w:numId="2">
    <w:abstractNumId w:val="22"/>
  </w:num>
  <w:num w:numId="3">
    <w:abstractNumId w:val="23"/>
  </w:num>
  <w:num w:numId="4">
    <w:abstractNumId w:val="20"/>
  </w:num>
  <w:num w:numId="5">
    <w:abstractNumId w:val="15"/>
  </w:num>
  <w:num w:numId="6">
    <w:abstractNumId w:val="20"/>
    <w:lvlOverride w:ilvl="0"/>
  </w:num>
  <w:num w:numId="7">
    <w:abstractNumId w:val="16"/>
  </w:num>
  <w:num w:numId="8">
    <w:abstractNumId w:val="17"/>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6"/>
          </w:tabs>
          <w:ind w:left="1135"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 w:ilvl="0">
        <w:start w:val="1"/>
        <w:numFmt w:val="decimal"/>
        <w:pStyle w:val="ChapterHeading"/>
        <w:lvlText w:val="Chapter %1"/>
        <w:lvlJc w:val="left"/>
        <w:pPr>
          <w:tabs>
            <w:tab w:val="num" w:pos="1134"/>
          </w:tabs>
          <w:ind w:left="0" w:firstLine="0"/>
        </w:pPr>
        <w:rPr>
          <w:rFonts w:hint="default"/>
        </w:rPr>
      </w:lvl>
    </w:lvlOverride>
  </w:num>
  <w:num w:numId="25">
    <w:abstractNumId w:val="21"/>
  </w:num>
  <w:num w:numId="26">
    <w:abstractNumId w:val="12"/>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46"/>
    <w:rsid w:val="00000251"/>
    <w:rsid w:val="000004FD"/>
    <w:rsid w:val="00000D8E"/>
    <w:rsid w:val="00002BE8"/>
    <w:rsid w:val="00002C16"/>
    <w:rsid w:val="00002C47"/>
    <w:rsid w:val="00004313"/>
    <w:rsid w:val="00005C4C"/>
    <w:rsid w:val="00011183"/>
    <w:rsid w:val="000113EA"/>
    <w:rsid w:val="000118EB"/>
    <w:rsid w:val="000152C6"/>
    <w:rsid w:val="00015389"/>
    <w:rsid w:val="00015732"/>
    <w:rsid w:val="000170C5"/>
    <w:rsid w:val="00017237"/>
    <w:rsid w:val="00017D53"/>
    <w:rsid w:val="00020389"/>
    <w:rsid w:val="000206C2"/>
    <w:rsid w:val="00020ACE"/>
    <w:rsid w:val="00020D0B"/>
    <w:rsid w:val="000225C9"/>
    <w:rsid w:val="00023460"/>
    <w:rsid w:val="000239EF"/>
    <w:rsid w:val="00024838"/>
    <w:rsid w:val="00027E09"/>
    <w:rsid w:val="000327B5"/>
    <w:rsid w:val="0003307C"/>
    <w:rsid w:val="00033280"/>
    <w:rsid w:val="00034903"/>
    <w:rsid w:val="00036BF8"/>
    <w:rsid w:val="00040A88"/>
    <w:rsid w:val="00041401"/>
    <w:rsid w:val="00041806"/>
    <w:rsid w:val="0004189D"/>
    <w:rsid w:val="00042005"/>
    <w:rsid w:val="00043549"/>
    <w:rsid w:val="00044538"/>
    <w:rsid w:val="00046B1E"/>
    <w:rsid w:val="00047526"/>
    <w:rsid w:val="00051E9F"/>
    <w:rsid w:val="00052228"/>
    <w:rsid w:val="00052657"/>
    <w:rsid w:val="000531DC"/>
    <w:rsid w:val="00055121"/>
    <w:rsid w:val="000600E4"/>
    <w:rsid w:val="0006066D"/>
    <w:rsid w:val="00060692"/>
    <w:rsid w:val="00062FAB"/>
    <w:rsid w:val="000652F8"/>
    <w:rsid w:val="00065CF3"/>
    <w:rsid w:val="0006609E"/>
    <w:rsid w:val="0006710C"/>
    <w:rsid w:val="000673EE"/>
    <w:rsid w:val="00067B17"/>
    <w:rsid w:val="00067C82"/>
    <w:rsid w:val="00071C84"/>
    <w:rsid w:val="00074D0F"/>
    <w:rsid w:val="00075079"/>
    <w:rsid w:val="000755D3"/>
    <w:rsid w:val="00075826"/>
    <w:rsid w:val="00075E39"/>
    <w:rsid w:val="000769F0"/>
    <w:rsid w:val="00077CDE"/>
    <w:rsid w:val="0008011D"/>
    <w:rsid w:val="00081277"/>
    <w:rsid w:val="00082E53"/>
    <w:rsid w:val="00083F51"/>
    <w:rsid w:val="00083FE3"/>
    <w:rsid w:val="0008453D"/>
    <w:rsid w:val="00084C7D"/>
    <w:rsid w:val="00084FDA"/>
    <w:rsid w:val="0008516F"/>
    <w:rsid w:val="000852C3"/>
    <w:rsid w:val="0008589A"/>
    <w:rsid w:val="00086026"/>
    <w:rsid w:val="00086AB3"/>
    <w:rsid w:val="00091F03"/>
    <w:rsid w:val="00092132"/>
    <w:rsid w:val="000922B3"/>
    <w:rsid w:val="0009322A"/>
    <w:rsid w:val="00093400"/>
    <w:rsid w:val="00093FCB"/>
    <w:rsid w:val="00094A20"/>
    <w:rsid w:val="000965CE"/>
    <w:rsid w:val="00096FE6"/>
    <w:rsid w:val="000A0DCE"/>
    <w:rsid w:val="000A146F"/>
    <w:rsid w:val="000A5A19"/>
    <w:rsid w:val="000A5BD1"/>
    <w:rsid w:val="000A6467"/>
    <w:rsid w:val="000A777B"/>
    <w:rsid w:val="000A7D8B"/>
    <w:rsid w:val="000A7E3E"/>
    <w:rsid w:val="000B165C"/>
    <w:rsid w:val="000B25AE"/>
    <w:rsid w:val="000B2F8E"/>
    <w:rsid w:val="000B3600"/>
    <w:rsid w:val="000B4569"/>
    <w:rsid w:val="000B5E3D"/>
    <w:rsid w:val="000C04E3"/>
    <w:rsid w:val="000C0AD7"/>
    <w:rsid w:val="000C507E"/>
    <w:rsid w:val="000C5502"/>
    <w:rsid w:val="000C5F70"/>
    <w:rsid w:val="000D0555"/>
    <w:rsid w:val="000D06AF"/>
    <w:rsid w:val="000D0C5F"/>
    <w:rsid w:val="000D0D78"/>
    <w:rsid w:val="000D0F7B"/>
    <w:rsid w:val="000D15D5"/>
    <w:rsid w:val="000D33FD"/>
    <w:rsid w:val="000E0048"/>
    <w:rsid w:val="000E035A"/>
    <w:rsid w:val="000E0EE4"/>
    <w:rsid w:val="000E26D9"/>
    <w:rsid w:val="000E444C"/>
    <w:rsid w:val="000E6F39"/>
    <w:rsid w:val="000E715A"/>
    <w:rsid w:val="000E7CA3"/>
    <w:rsid w:val="000F1FEB"/>
    <w:rsid w:val="000F2015"/>
    <w:rsid w:val="000F2CAE"/>
    <w:rsid w:val="000F324A"/>
    <w:rsid w:val="000F444F"/>
    <w:rsid w:val="000F4D1C"/>
    <w:rsid w:val="000F59C1"/>
    <w:rsid w:val="000F6954"/>
    <w:rsid w:val="000F75CF"/>
    <w:rsid w:val="00100489"/>
    <w:rsid w:val="00101AE4"/>
    <w:rsid w:val="0010266B"/>
    <w:rsid w:val="001034D0"/>
    <w:rsid w:val="00103543"/>
    <w:rsid w:val="001042E5"/>
    <w:rsid w:val="001042F9"/>
    <w:rsid w:val="00110558"/>
    <w:rsid w:val="001105C9"/>
    <w:rsid w:val="00111786"/>
    <w:rsid w:val="00112B5A"/>
    <w:rsid w:val="00114FAE"/>
    <w:rsid w:val="00115C90"/>
    <w:rsid w:val="00116F8C"/>
    <w:rsid w:val="00117633"/>
    <w:rsid w:val="0012005A"/>
    <w:rsid w:val="0012225A"/>
    <w:rsid w:val="0012314C"/>
    <w:rsid w:val="00123AB5"/>
    <w:rsid w:val="00123F4F"/>
    <w:rsid w:val="001243F1"/>
    <w:rsid w:val="001248CC"/>
    <w:rsid w:val="0012632E"/>
    <w:rsid w:val="0013080B"/>
    <w:rsid w:val="00130839"/>
    <w:rsid w:val="0013186B"/>
    <w:rsid w:val="001322EE"/>
    <w:rsid w:val="00132BA9"/>
    <w:rsid w:val="001330F6"/>
    <w:rsid w:val="0013425F"/>
    <w:rsid w:val="00134CA8"/>
    <w:rsid w:val="00137704"/>
    <w:rsid w:val="0014264D"/>
    <w:rsid w:val="001431DF"/>
    <w:rsid w:val="00143AE8"/>
    <w:rsid w:val="00144BAE"/>
    <w:rsid w:val="00144CEC"/>
    <w:rsid w:val="0014515F"/>
    <w:rsid w:val="00145C8B"/>
    <w:rsid w:val="001510B7"/>
    <w:rsid w:val="0015150C"/>
    <w:rsid w:val="00151883"/>
    <w:rsid w:val="00152B72"/>
    <w:rsid w:val="00154AE8"/>
    <w:rsid w:val="00155FA5"/>
    <w:rsid w:val="0015693B"/>
    <w:rsid w:val="00157688"/>
    <w:rsid w:val="001602FA"/>
    <w:rsid w:val="001624D9"/>
    <w:rsid w:val="00164203"/>
    <w:rsid w:val="00164967"/>
    <w:rsid w:val="00165CB9"/>
    <w:rsid w:val="0016702C"/>
    <w:rsid w:val="001674B8"/>
    <w:rsid w:val="00171C78"/>
    <w:rsid w:val="00172331"/>
    <w:rsid w:val="001728DB"/>
    <w:rsid w:val="00172AEC"/>
    <w:rsid w:val="00172C77"/>
    <w:rsid w:val="00174F15"/>
    <w:rsid w:val="001752CA"/>
    <w:rsid w:val="00176969"/>
    <w:rsid w:val="0018024B"/>
    <w:rsid w:val="00180565"/>
    <w:rsid w:val="0018329B"/>
    <w:rsid w:val="00186532"/>
    <w:rsid w:val="00187F45"/>
    <w:rsid w:val="00193B52"/>
    <w:rsid w:val="00196AD1"/>
    <w:rsid w:val="00197770"/>
    <w:rsid w:val="00197D4B"/>
    <w:rsid w:val="001A1AA8"/>
    <w:rsid w:val="001A2D7D"/>
    <w:rsid w:val="001A3075"/>
    <w:rsid w:val="001A4EC9"/>
    <w:rsid w:val="001A5B89"/>
    <w:rsid w:val="001A77E4"/>
    <w:rsid w:val="001B1A9B"/>
    <w:rsid w:val="001B1EB0"/>
    <w:rsid w:val="001B4CCD"/>
    <w:rsid w:val="001B63AF"/>
    <w:rsid w:val="001C09BA"/>
    <w:rsid w:val="001C2F8E"/>
    <w:rsid w:val="001C30D9"/>
    <w:rsid w:val="001C3CD0"/>
    <w:rsid w:val="001C410B"/>
    <w:rsid w:val="001C522B"/>
    <w:rsid w:val="001C6F15"/>
    <w:rsid w:val="001D0728"/>
    <w:rsid w:val="001D1418"/>
    <w:rsid w:val="001D2259"/>
    <w:rsid w:val="001D3E44"/>
    <w:rsid w:val="001D4141"/>
    <w:rsid w:val="001D4310"/>
    <w:rsid w:val="001D4398"/>
    <w:rsid w:val="001D5F32"/>
    <w:rsid w:val="001D626B"/>
    <w:rsid w:val="001D75A9"/>
    <w:rsid w:val="001D7C4E"/>
    <w:rsid w:val="001E061C"/>
    <w:rsid w:val="001E0BBF"/>
    <w:rsid w:val="001E0E51"/>
    <w:rsid w:val="001E1040"/>
    <w:rsid w:val="001E11ED"/>
    <w:rsid w:val="001E1506"/>
    <w:rsid w:val="001E4FC3"/>
    <w:rsid w:val="001E5540"/>
    <w:rsid w:val="001E5A94"/>
    <w:rsid w:val="001F073C"/>
    <w:rsid w:val="001F2A37"/>
    <w:rsid w:val="001F3D67"/>
    <w:rsid w:val="001F4B7F"/>
    <w:rsid w:val="001F5E95"/>
    <w:rsid w:val="001F65CA"/>
    <w:rsid w:val="00205387"/>
    <w:rsid w:val="002078DF"/>
    <w:rsid w:val="00210A87"/>
    <w:rsid w:val="00211AAB"/>
    <w:rsid w:val="002128E9"/>
    <w:rsid w:val="00213124"/>
    <w:rsid w:val="00213C1C"/>
    <w:rsid w:val="00216802"/>
    <w:rsid w:val="002169BF"/>
    <w:rsid w:val="002174D0"/>
    <w:rsid w:val="00221CD5"/>
    <w:rsid w:val="0022234C"/>
    <w:rsid w:val="0022257C"/>
    <w:rsid w:val="002247DA"/>
    <w:rsid w:val="00227B6B"/>
    <w:rsid w:val="00233D85"/>
    <w:rsid w:val="00235045"/>
    <w:rsid w:val="00235A5E"/>
    <w:rsid w:val="00241545"/>
    <w:rsid w:val="00241729"/>
    <w:rsid w:val="00242DA5"/>
    <w:rsid w:val="0024378A"/>
    <w:rsid w:val="00243D7C"/>
    <w:rsid w:val="0024468A"/>
    <w:rsid w:val="002464E6"/>
    <w:rsid w:val="002511A6"/>
    <w:rsid w:val="0025208B"/>
    <w:rsid w:val="00253311"/>
    <w:rsid w:val="002549EF"/>
    <w:rsid w:val="00255187"/>
    <w:rsid w:val="00255719"/>
    <w:rsid w:val="00261852"/>
    <w:rsid w:val="00261FFA"/>
    <w:rsid w:val="00263235"/>
    <w:rsid w:val="00263DAB"/>
    <w:rsid w:val="00264FCC"/>
    <w:rsid w:val="00265CD3"/>
    <w:rsid w:val="00265DFA"/>
    <w:rsid w:val="00266C3D"/>
    <w:rsid w:val="00266E0E"/>
    <w:rsid w:val="00267D88"/>
    <w:rsid w:val="0027169C"/>
    <w:rsid w:val="00272AF1"/>
    <w:rsid w:val="00275CA3"/>
    <w:rsid w:val="00280F40"/>
    <w:rsid w:val="00281943"/>
    <w:rsid w:val="00282759"/>
    <w:rsid w:val="00282E73"/>
    <w:rsid w:val="00291237"/>
    <w:rsid w:val="002940BE"/>
    <w:rsid w:val="00294333"/>
    <w:rsid w:val="002944E9"/>
    <w:rsid w:val="0029586F"/>
    <w:rsid w:val="00296778"/>
    <w:rsid w:val="002973D8"/>
    <w:rsid w:val="00297F17"/>
    <w:rsid w:val="002A015D"/>
    <w:rsid w:val="002A0C4E"/>
    <w:rsid w:val="002A115B"/>
    <w:rsid w:val="002A3D17"/>
    <w:rsid w:val="002A4821"/>
    <w:rsid w:val="002A503C"/>
    <w:rsid w:val="002A59AE"/>
    <w:rsid w:val="002A6687"/>
    <w:rsid w:val="002A7233"/>
    <w:rsid w:val="002B0F01"/>
    <w:rsid w:val="002B2308"/>
    <w:rsid w:val="002B4589"/>
    <w:rsid w:val="002B7B0F"/>
    <w:rsid w:val="002C30F7"/>
    <w:rsid w:val="002C515E"/>
    <w:rsid w:val="002C5ADA"/>
    <w:rsid w:val="002C5CA4"/>
    <w:rsid w:val="002C5DBA"/>
    <w:rsid w:val="002C6116"/>
    <w:rsid w:val="002C6A12"/>
    <w:rsid w:val="002D24DE"/>
    <w:rsid w:val="002D27C6"/>
    <w:rsid w:val="002D468A"/>
    <w:rsid w:val="002E0532"/>
    <w:rsid w:val="002E07D1"/>
    <w:rsid w:val="002E09EE"/>
    <w:rsid w:val="002E159B"/>
    <w:rsid w:val="002E4F38"/>
    <w:rsid w:val="002E4F6D"/>
    <w:rsid w:val="002E621C"/>
    <w:rsid w:val="002E6891"/>
    <w:rsid w:val="002E6A8E"/>
    <w:rsid w:val="002F07A1"/>
    <w:rsid w:val="002F2F76"/>
    <w:rsid w:val="002F34AE"/>
    <w:rsid w:val="002F44D1"/>
    <w:rsid w:val="002F470D"/>
    <w:rsid w:val="002F4B6B"/>
    <w:rsid w:val="002F6335"/>
    <w:rsid w:val="002F7116"/>
    <w:rsid w:val="0030032D"/>
    <w:rsid w:val="0030040A"/>
    <w:rsid w:val="00300D54"/>
    <w:rsid w:val="0030290E"/>
    <w:rsid w:val="00310BD6"/>
    <w:rsid w:val="00311ADA"/>
    <w:rsid w:val="00312BF8"/>
    <w:rsid w:val="0031300D"/>
    <w:rsid w:val="0031381A"/>
    <w:rsid w:val="00313902"/>
    <w:rsid w:val="00314280"/>
    <w:rsid w:val="00317E5D"/>
    <w:rsid w:val="00320DC1"/>
    <w:rsid w:val="0032135A"/>
    <w:rsid w:val="00322390"/>
    <w:rsid w:val="00322B93"/>
    <w:rsid w:val="00323801"/>
    <w:rsid w:val="00323F94"/>
    <w:rsid w:val="003240DE"/>
    <w:rsid w:val="003243ED"/>
    <w:rsid w:val="00325A41"/>
    <w:rsid w:val="003263A0"/>
    <w:rsid w:val="0033086D"/>
    <w:rsid w:val="003322C6"/>
    <w:rsid w:val="003325C0"/>
    <w:rsid w:val="00334EEA"/>
    <w:rsid w:val="003354EE"/>
    <w:rsid w:val="003374D4"/>
    <w:rsid w:val="0034083D"/>
    <w:rsid w:val="00340935"/>
    <w:rsid w:val="00341C4E"/>
    <w:rsid w:val="00344728"/>
    <w:rsid w:val="0034502A"/>
    <w:rsid w:val="0034548C"/>
    <w:rsid w:val="00346EEB"/>
    <w:rsid w:val="00347724"/>
    <w:rsid w:val="00350509"/>
    <w:rsid w:val="00351DC4"/>
    <w:rsid w:val="00352886"/>
    <w:rsid w:val="0035320E"/>
    <w:rsid w:val="0035610A"/>
    <w:rsid w:val="00356F88"/>
    <w:rsid w:val="0035796B"/>
    <w:rsid w:val="003610CD"/>
    <w:rsid w:val="0036149F"/>
    <w:rsid w:val="003614E0"/>
    <w:rsid w:val="00362A16"/>
    <w:rsid w:val="00363084"/>
    <w:rsid w:val="00363649"/>
    <w:rsid w:val="00363BC9"/>
    <w:rsid w:val="00364D59"/>
    <w:rsid w:val="00365610"/>
    <w:rsid w:val="00366113"/>
    <w:rsid w:val="003664C3"/>
    <w:rsid w:val="00366C2B"/>
    <w:rsid w:val="00366C58"/>
    <w:rsid w:val="00367C38"/>
    <w:rsid w:val="003733D8"/>
    <w:rsid w:val="003743D0"/>
    <w:rsid w:val="003749AE"/>
    <w:rsid w:val="003755B2"/>
    <w:rsid w:val="0037703D"/>
    <w:rsid w:val="00377571"/>
    <w:rsid w:val="00377653"/>
    <w:rsid w:val="00382742"/>
    <w:rsid w:val="00390185"/>
    <w:rsid w:val="00390A27"/>
    <w:rsid w:val="003923DF"/>
    <w:rsid w:val="00393E0A"/>
    <w:rsid w:val="003950A1"/>
    <w:rsid w:val="0039587B"/>
    <w:rsid w:val="00396A42"/>
    <w:rsid w:val="00396E94"/>
    <w:rsid w:val="003975C0"/>
    <w:rsid w:val="003A071E"/>
    <w:rsid w:val="003A21F8"/>
    <w:rsid w:val="003A3102"/>
    <w:rsid w:val="003A3E3C"/>
    <w:rsid w:val="003A4E83"/>
    <w:rsid w:val="003A57DB"/>
    <w:rsid w:val="003A5F59"/>
    <w:rsid w:val="003A659D"/>
    <w:rsid w:val="003A79E8"/>
    <w:rsid w:val="003B0B7D"/>
    <w:rsid w:val="003B0FCD"/>
    <w:rsid w:val="003B1F15"/>
    <w:rsid w:val="003B2C6D"/>
    <w:rsid w:val="003B3B48"/>
    <w:rsid w:val="003B4B82"/>
    <w:rsid w:val="003B5A2E"/>
    <w:rsid w:val="003B7336"/>
    <w:rsid w:val="003C07F0"/>
    <w:rsid w:val="003C24A4"/>
    <w:rsid w:val="003C323F"/>
    <w:rsid w:val="003C6D73"/>
    <w:rsid w:val="003D0162"/>
    <w:rsid w:val="003D0CE9"/>
    <w:rsid w:val="003D34E0"/>
    <w:rsid w:val="003D3EEE"/>
    <w:rsid w:val="003D4E57"/>
    <w:rsid w:val="003D5FA6"/>
    <w:rsid w:val="003D6302"/>
    <w:rsid w:val="003D6F40"/>
    <w:rsid w:val="003E0ED8"/>
    <w:rsid w:val="003E2066"/>
    <w:rsid w:val="003E3927"/>
    <w:rsid w:val="003E5A37"/>
    <w:rsid w:val="003E66B1"/>
    <w:rsid w:val="003E6F28"/>
    <w:rsid w:val="003E7A50"/>
    <w:rsid w:val="003F0499"/>
    <w:rsid w:val="003F16DF"/>
    <w:rsid w:val="003F1D75"/>
    <w:rsid w:val="003F2650"/>
    <w:rsid w:val="003F378B"/>
    <w:rsid w:val="003F39DB"/>
    <w:rsid w:val="003F5ECF"/>
    <w:rsid w:val="003F7FF6"/>
    <w:rsid w:val="00400F86"/>
    <w:rsid w:val="0040125D"/>
    <w:rsid w:val="00401A18"/>
    <w:rsid w:val="00402643"/>
    <w:rsid w:val="00402D5E"/>
    <w:rsid w:val="00403743"/>
    <w:rsid w:val="0040430A"/>
    <w:rsid w:val="0040480C"/>
    <w:rsid w:val="0040488A"/>
    <w:rsid w:val="0041142D"/>
    <w:rsid w:val="00411E21"/>
    <w:rsid w:val="004136B5"/>
    <w:rsid w:val="00413B1B"/>
    <w:rsid w:val="00414B1D"/>
    <w:rsid w:val="00414DA0"/>
    <w:rsid w:val="00415A85"/>
    <w:rsid w:val="00415C54"/>
    <w:rsid w:val="00417FAF"/>
    <w:rsid w:val="0042216C"/>
    <w:rsid w:val="0042539B"/>
    <w:rsid w:val="00425CEA"/>
    <w:rsid w:val="004265A3"/>
    <w:rsid w:val="0042745E"/>
    <w:rsid w:val="004335DB"/>
    <w:rsid w:val="00434252"/>
    <w:rsid w:val="00435185"/>
    <w:rsid w:val="004353CB"/>
    <w:rsid w:val="0043686E"/>
    <w:rsid w:val="00436968"/>
    <w:rsid w:val="00437103"/>
    <w:rsid w:val="00437B46"/>
    <w:rsid w:val="00443860"/>
    <w:rsid w:val="00446009"/>
    <w:rsid w:val="00447CBA"/>
    <w:rsid w:val="00450C76"/>
    <w:rsid w:val="0045140F"/>
    <w:rsid w:val="004527EE"/>
    <w:rsid w:val="0045331B"/>
    <w:rsid w:val="00454386"/>
    <w:rsid w:val="00454662"/>
    <w:rsid w:val="00454D37"/>
    <w:rsid w:val="00456C4C"/>
    <w:rsid w:val="004607AF"/>
    <w:rsid w:val="00460AFB"/>
    <w:rsid w:val="00460C5E"/>
    <w:rsid w:val="0046369E"/>
    <w:rsid w:val="00463873"/>
    <w:rsid w:val="004639AB"/>
    <w:rsid w:val="00464111"/>
    <w:rsid w:val="00464628"/>
    <w:rsid w:val="004664F6"/>
    <w:rsid w:val="004672C5"/>
    <w:rsid w:val="00471801"/>
    <w:rsid w:val="00471D71"/>
    <w:rsid w:val="00472443"/>
    <w:rsid w:val="0047728E"/>
    <w:rsid w:val="00480A33"/>
    <w:rsid w:val="00480DFC"/>
    <w:rsid w:val="00481ACD"/>
    <w:rsid w:val="0048209A"/>
    <w:rsid w:val="004820AF"/>
    <w:rsid w:val="00483CFA"/>
    <w:rsid w:val="00484A3A"/>
    <w:rsid w:val="00485CD9"/>
    <w:rsid w:val="00485D24"/>
    <w:rsid w:val="00486220"/>
    <w:rsid w:val="00490046"/>
    <w:rsid w:val="0049063E"/>
    <w:rsid w:val="00490792"/>
    <w:rsid w:val="0049086D"/>
    <w:rsid w:val="004915F4"/>
    <w:rsid w:val="00494514"/>
    <w:rsid w:val="0049483A"/>
    <w:rsid w:val="00495098"/>
    <w:rsid w:val="00497639"/>
    <w:rsid w:val="004A0006"/>
    <w:rsid w:val="004A367F"/>
    <w:rsid w:val="004A499B"/>
    <w:rsid w:val="004A75F9"/>
    <w:rsid w:val="004B0CF6"/>
    <w:rsid w:val="004B1960"/>
    <w:rsid w:val="004B2E89"/>
    <w:rsid w:val="004B5514"/>
    <w:rsid w:val="004B657C"/>
    <w:rsid w:val="004B6FEA"/>
    <w:rsid w:val="004C05E5"/>
    <w:rsid w:val="004C06B4"/>
    <w:rsid w:val="004C0738"/>
    <w:rsid w:val="004C1AF6"/>
    <w:rsid w:val="004C2312"/>
    <w:rsid w:val="004C6BE3"/>
    <w:rsid w:val="004C7670"/>
    <w:rsid w:val="004D2718"/>
    <w:rsid w:val="004D7101"/>
    <w:rsid w:val="004D7F79"/>
    <w:rsid w:val="004E0807"/>
    <w:rsid w:val="004E3982"/>
    <w:rsid w:val="004E4B4F"/>
    <w:rsid w:val="004E4BCE"/>
    <w:rsid w:val="004E5CAF"/>
    <w:rsid w:val="004E6450"/>
    <w:rsid w:val="004E73E6"/>
    <w:rsid w:val="004E76AF"/>
    <w:rsid w:val="004E7DF2"/>
    <w:rsid w:val="004F0D6C"/>
    <w:rsid w:val="004F272E"/>
    <w:rsid w:val="004F3D0A"/>
    <w:rsid w:val="004F3DCF"/>
    <w:rsid w:val="004F3FDB"/>
    <w:rsid w:val="004F5322"/>
    <w:rsid w:val="004F533B"/>
    <w:rsid w:val="004F6D8A"/>
    <w:rsid w:val="00500627"/>
    <w:rsid w:val="00500990"/>
    <w:rsid w:val="00500F65"/>
    <w:rsid w:val="0050170D"/>
    <w:rsid w:val="005020EB"/>
    <w:rsid w:val="0050321A"/>
    <w:rsid w:val="0050381A"/>
    <w:rsid w:val="0050477D"/>
    <w:rsid w:val="00505D11"/>
    <w:rsid w:val="00506B45"/>
    <w:rsid w:val="00507D9B"/>
    <w:rsid w:val="00513476"/>
    <w:rsid w:val="005135F5"/>
    <w:rsid w:val="005144CA"/>
    <w:rsid w:val="00514D23"/>
    <w:rsid w:val="00520D0C"/>
    <w:rsid w:val="005212FD"/>
    <w:rsid w:val="00522674"/>
    <w:rsid w:val="005247F9"/>
    <w:rsid w:val="00524BA2"/>
    <w:rsid w:val="0053181E"/>
    <w:rsid w:val="00534218"/>
    <w:rsid w:val="00540E70"/>
    <w:rsid w:val="0054116E"/>
    <w:rsid w:val="005427B1"/>
    <w:rsid w:val="005475C6"/>
    <w:rsid w:val="00547D83"/>
    <w:rsid w:val="0055380F"/>
    <w:rsid w:val="005567A4"/>
    <w:rsid w:val="00556F55"/>
    <w:rsid w:val="00560AEB"/>
    <w:rsid w:val="005613F4"/>
    <w:rsid w:val="0056326F"/>
    <w:rsid w:val="0056491D"/>
    <w:rsid w:val="00564C2F"/>
    <w:rsid w:val="00567933"/>
    <w:rsid w:val="00567BA3"/>
    <w:rsid w:val="005705A3"/>
    <w:rsid w:val="00570BBA"/>
    <w:rsid w:val="00571C9B"/>
    <w:rsid w:val="00571E87"/>
    <w:rsid w:val="00572616"/>
    <w:rsid w:val="00572CDE"/>
    <w:rsid w:val="005738DC"/>
    <w:rsid w:val="005755A5"/>
    <w:rsid w:val="00575685"/>
    <w:rsid w:val="00575E58"/>
    <w:rsid w:val="00576E4B"/>
    <w:rsid w:val="005800B8"/>
    <w:rsid w:val="00580804"/>
    <w:rsid w:val="00580CB8"/>
    <w:rsid w:val="00580EFB"/>
    <w:rsid w:val="005819F6"/>
    <w:rsid w:val="0058332D"/>
    <w:rsid w:val="005844C6"/>
    <w:rsid w:val="00585C79"/>
    <w:rsid w:val="00585D5F"/>
    <w:rsid w:val="0058623A"/>
    <w:rsid w:val="005867E9"/>
    <w:rsid w:val="00587C89"/>
    <w:rsid w:val="00591813"/>
    <w:rsid w:val="00592E99"/>
    <w:rsid w:val="00593751"/>
    <w:rsid w:val="00594433"/>
    <w:rsid w:val="0059444E"/>
    <w:rsid w:val="00595E14"/>
    <w:rsid w:val="00596A95"/>
    <w:rsid w:val="005A20A5"/>
    <w:rsid w:val="005A304F"/>
    <w:rsid w:val="005A33E9"/>
    <w:rsid w:val="005A4269"/>
    <w:rsid w:val="005A7F62"/>
    <w:rsid w:val="005B1450"/>
    <w:rsid w:val="005B2B63"/>
    <w:rsid w:val="005B4FB6"/>
    <w:rsid w:val="005B7AEA"/>
    <w:rsid w:val="005B7E7F"/>
    <w:rsid w:val="005B7FF6"/>
    <w:rsid w:val="005C1C87"/>
    <w:rsid w:val="005C2650"/>
    <w:rsid w:val="005C2865"/>
    <w:rsid w:val="005C4559"/>
    <w:rsid w:val="005C50EC"/>
    <w:rsid w:val="005C5F00"/>
    <w:rsid w:val="005C7880"/>
    <w:rsid w:val="005D0B38"/>
    <w:rsid w:val="005D0CB8"/>
    <w:rsid w:val="005D1F4C"/>
    <w:rsid w:val="005D1FE5"/>
    <w:rsid w:val="005D248D"/>
    <w:rsid w:val="005D6A74"/>
    <w:rsid w:val="005E00AF"/>
    <w:rsid w:val="005E033E"/>
    <w:rsid w:val="005E2763"/>
    <w:rsid w:val="005E2CCD"/>
    <w:rsid w:val="005E3B0C"/>
    <w:rsid w:val="005E5628"/>
    <w:rsid w:val="005E6FF4"/>
    <w:rsid w:val="005F0DD2"/>
    <w:rsid w:val="005F1AB6"/>
    <w:rsid w:val="005F1D63"/>
    <w:rsid w:val="005F347A"/>
    <w:rsid w:val="005F3982"/>
    <w:rsid w:val="005F3E7C"/>
    <w:rsid w:val="005F4E0F"/>
    <w:rsid w:val="005F54DA"/>
    <w:rsid w:val="005F56ED"/>
    <w:rsid w:val="005F5D95"/>
    <w:rsid w:val="005F6A22"/>
    <w:rsid w:val="005F724C"/>
    <w:rsid w:val="005F7517"/>
    <w:rsid w:val="00607DC2"/>
    <w:rsid w:val="0061104D"/>
    <w:rsid w:val="0061485D"/>
    <w:rsid w:val="00615154"/>
    <w:rsid w:val="006161ED"/>
    <w:rsid w:val="00617746"/>
    <w:rsid w:val="00617CF6"/>
    <w:rsid w:val="006205C1"/>
    <w:rsid w:val="00620AB9"/>
    <w:rsid w:val="006240D1"/>
    <w:rsid w:val="006254B5"/>
    <w:rsid w:val="0062559D"/>
    <w:rsid w:val="00630E7F"/>
    <w:rsid w:val="0063184D"/>
    <w:rsid w:val="0064034C"/>
    <w:rsid w:val="00640643"/>
    <w:rsid w:val="006430D9"/>
    <w:rsid w:val="00643ADC"/>
    <w:rsid w:val="00644108"/>
    <w:rsid w:val="006447D7"/>
    <w:rsid w:val="00645C11"/>
    <w:rsid w:val="006468C0"/>
    <w:rsid w:val="006469E3"/>
    <w:rsid w:val="0064725B"/>
    <w:rsid w:val="006513C7"/>
    <w:rsid w:val="006523C5"/>
    <w:rsid w:val="00652782"/>
    <w:rsid w:val="00652E51"/>
    <w:rsid w:val="00653220"/>
    <w:rsid w:val="0065654B"/>
    <w:rsid w:val="006603E6"/>
    <w:rsid w:val="00660FB4"/>
    <w:rsid w:val="006622DE"/>
    <w:rsid w:val="00663554"/>
    <w:rsid w:val="006646D6"/>
    <w:rsid w:val="0066481B"/>
    <w:rsid w:val="00664E60"/>
    <w:rsid w:val="00666D54"/>
    <w:rsid w:val="00667CF0"/>
    <w:rsid w:val="00674E02"/>
    <w:rsid w:val="00675B11"/>
    <w:rsid w:val="00676428"/>
    <w:rsid w:val="006806DC"/>
    <w:rsid w:val="00681D04"/>
    <w:rsid w:val="006824C6"/>
    <w:rsid w:val="00683FD0"/>
    <w:rsid w:val="00685CE9"/>
    <w:rsid w:val="00686BA1"/>
    <w:rsid w:val="00687E3A"/>
    <w:rsid w:val="00691DA1"/>
    <w:rsid w:val="00693B4D"/>
    <w:rsid w:val="006952BF"/>
    <w:rsid w:val="00696065"/>
    <w:rsid w:val="006970AC"/>
    <w:rsid w:val="006A0F39"/>
    <w:rsid w:val="006A53D4"/>
    <w:rsid w:val="006B01A9"/>
    <w:rsid w:val="006B128A"/>
    <w:rsid w:val="006B546E"/>
    <w:rsid w:val="006B5E68"/>
    <w:rsid w:val="006C02ED"/>
    <w:rsid w:val="006C1458"/>
    <w:rsid w:val="006C36E6"/>
    <w:rsid w:val="006C4AA2"/>
    <w:rsid w:val="006C56D2"/>
    <w:rsid w:val="006C580D"/>
    <w:rsid w:val="006C5E7B"/>
    <w:rsid w:val="006C702B"/>
    <w:rsid w:val="006C7F04"/>
    <w:rsid w:val="006C7FC5"/>
    <w:rsid w:val="006D0068"/>
    <w:rsid w:val="006D06FF"/>
    <w:rsid w:val="006D0EFA"/>
    <w:rsid w:val="006D1234"/>
    <w:rsid w:val="006D1AA9"/>
    <w:rsid w:val="006D1E39"/>
    <w:rsid w:val="006D3BEC"/>
    <w:rsid w:val="006D4F38"/>
    <w:rsid w:val="006D72CE"/>
    <w:rsid w:val="006D7816"/>
    <w:rsid w:val="006E13D2"/>
    <w:rsid w:val="006E15E0"/>
    <w:rsid w:val="006E2205"/>
    <w:rsid w:val="006E30C1"/>
    <w:rsid w:val="006E4115"/>
    <w:rsid w:val="006E5ECD"/>
    <w:rsid w:val="006E6733"/>
    <w:rsid w:val="006E68E5"/>
    <w:rsid w:val="006E727B"/>
    <w:rsid w:val="006F2B39"/>
    <w:rsid w:val="006F2B62"/>
    <w:rsid w:val="006F32AA"/>
    <w:rsid w:val="006F510D"/>
    <w:rsid w:val="006F6FAB"/>
    <w:rsid w:val="00701BFE"/>
    <w:rsid w:val="00702773"/>
    <w:rsid w:val="0070391C"/>
    <w:rsid w:val="007073E9"/>
    <w:rsid w:val="0071023D"/>
    <w:rsid w:val="007173B3"/>
    <w:rsid w:val="00721736"/>
    <w:rsid w:val="00723947"/>
    <w:rsid w:val="00725EA5"/>
    <w:rsid w:val="007260BD"/>
    <w:rsid w:val="0072799A"/>
    <w:rsid w:val="0073051E"/>
    <w:rsid w:val="0073080D"/>
    <w:rsid w:val="00731340"/>
    <w:rsid w:val="00731799"/>
    <w:rsid w:val="00731BAB"/>
    <w:rsid w:val="0073223B"/>
    <w:rsid w:val="0073297C"/>
    <w:rsid w:val="007335A0"/>
    <w:rsid w:val="00733889"/>
    <w:rsid w:val="007344C0"/>
    <w:rsid w:val="00734E4E"/>
    <w:rsid w:val="00735344"/>
    <w:rsid w:val="00735E41"/>
    <w:rsid w:val="007365EB"/>
    <w:rsid w:val="00741732"/>
    <w:rsid w:val="00742289"/>
    <w:rsid w:val="0074325A"/>
    <w:rsid w:val="00744584"/>
    <w:rsid w:val="00745210"/>
    <w:rsid w:val="00745726"/>
    <w:rsid w:val="00746124"/>
    <w:rsid w:val="00746E68"/>
    <w:rsid w:val="007471C6"/>
    <w:rsid w:val="00750156"/>
    <w:rsid w:val="0075288B"/>
    <w:rsid w:val="00762F55"/>
    <w:rsid w:val="007636A6"/>
    <w:rsid w:val="00763BB9"/>
    <w:rsid w:val="007652A3"/>
    <w:rsid w:val="00766F64"/>
    <w:rsid w:val="00770977"/>
    <w:rsid w:val="0077203D"/>
    <w:rsid w:val="00773988"/>
    <w:rsid w:val="00774C23"/>
    <w:rsid w:val="00774FEA"/>
    <w:rsid w:val="00781A8D"/>
    <w:rsid w:val="00783B80"/>
    <w:rsid w:val="00785F3A"/>
    <w:rsid w:val="00786D08"/>
    <w:rsid w:val="00790213"/>
    <w:rsid w:val="00790396"/>
    <w:rsid w:val="00790B62"/>
    <w:rsid w:val="00790C05"/>
    <w:rsid w:val="0079163C"/>
    <w:rsid w:val="00792C0B"/>
    <w:rsid w:val="00793589"/>
    <w:rsid w:val="0079367E"/>
    <w:rsid w:val="007951A6"/>
    <w:rsid w:val="00795D7C"/>
    <w:rsid w:val="00795F7C"/>
    <w:rsid w:val="007A0543"/>
    <w:rsid w:val="007A08BB"/>
    <w:rsid w:val="007A2447"/>
    <w:rsid w:val="007A39A8"/>
    <w:rsid w:val="007A5AA3"/>
    <w:rsid w:val="007A5D54"/>
    <w:rsid w:val="007A79AD"/>
    <w:rsid w:val="007A7E74"/>
    <w:rsid w:val="007B0099"/>
    <w:rsid w:val="007B4AB3"/>
    <w:rsid w:val="007B6269"/>
    <w:rsid w:val="007B6E66"/>
    <w:rsid w:val="007C08D2"/>
    <w:rsid w:val="007C08E6"/>
    <w:rsid w:val="007C14D8"/>
    <w:rsid w:val="007C2DCF"/>
    <w:rsid w:val="007C4288"/>
    <w:rsid w:val="007C4DE6"/>
    <w:rsid w:val="007C50CB"/>
    <w:rsid w:val="007C5597"/>
    <w:rsid w:val="007C66D1"/>
    <w:rsid w:val="007C6CE2"/>
    <w:rsid w:val="007D0FD8"/>
    <w:rsid w:val="007D207D"/>
    <w:rsid w:val="007D2707"/>
    <w:rsid w:val="007D2992"/>
    <w:rsid w:val="007D3D4E"/>
    <w:rsid w:val="007D4B5E"/>
    <w:rsid w:val="007D6A43"/>
    <w:rsid w:val="007D7AFD"/>
    <w:rsid w:val="007D7F6A"/>
    <w:rsid w:val="007E0F75"/>
    <w:rsid w:val="007E5EA0"/>
    <w:rsid w:val="007E66AE"/>
    <w:rsid w:val="007E6AC2"/>
    <w:rsid w:val="007E7751"/>
    <w:rsid w:val="007F0076"/>
    <w:rsid w:val="007F00FF"/>
    <w:rsid w:val="007F33EE"/>
    <w:rsid w:val="007F34DA"/>
    <w:rsid w:val="007F4F58"/>
    <w:rsid w:val="007F53F8"/>
    <w:rsid w:val="007F55EC"/>
    <w:rsid w:val="007F6050"/>
    <w:rsid w:val="00802E9C"/>
    <w:rsid w:val="008046B0"/>
    <w:rsid w:val="00804AE4"/>
    <w:rsid w:val="00805506"/>
    <w:rsid w:val="00810760"/>
    <w:rsid w:val="0081375F"/>
    <w:rsid w:val="00816459"/>
    <w:rsid w:val="008178F2"/>
    <w:rsid w:val="008201F4"/>
    <w:rsid w:val="00820220"/>
    <w:rsid w:val="00820251"/>
    <w:rsid w:val="00820724"/>
    <w:rsid w:val="00822854"/>
    <w:rsid w:val="0082496C"/>
    <w:rsid w:val="00825112"/>
    <w:rsid w:val="00825AA7"/>
    <w:rsid w:val="008265C1"/>
    <w:rsid w:val="00830108"/>
    <w:rsid w:val="00830745"/>
    <w:rsid w:val="008308E8"/>
    <w:rsid w:val="0083298F"/>
    <w:rsid w:val="00833013"/>
    <w:rsid w:val="00833100"/>
    <w:rsid w:val="00834210"/>
    <w:rsid w:val="00835DBA"/>
    <w:rsid w:val="008368C5"/>
    <w:rsid w:val="0084018F"/>
    <w:rsid w:val="0084034A"/>
    <w:rsid w:val="00840796"/>
    <w:rsid w:val="008413A3"/>
    <w:rsid w:val="00841F77"/>
    <w:rsid w:val="00841F97"/>
    <w:rsid w:val="00842CF4"/>
    <w:rsid w:val="00844457"/>
    <w:rsid w:val="00847616"/>
    <w:rsid w:val="0085010B"/>
    <w:rsid w:val="0085060C"/>
    <w:rsid w:val="008523A8"/>
    <w:rsid w:val="008529EE"/>
    <w:rsid w:val="00852D69"/>
    <w:rsid w:val="008535CB"/>
    <w:rsid w:val="0085517E"/>
    <w:rsid w:val="008575BB"/>
    <w:rsid w:val="00857DB0"/>
    <w:rsid w:val="00861BD7"/>
    <w:rsid w:val="00862070"/>
    <w:rsid w:val="0086338C"/>
    <w:rsid w:val="00863A82"/>
    <w:rsid w:val="00863C9A"/>
    <w:rsid w:val="00863F08"/>
    <w:rsid w:val="008643BA"/>
    <w:rsid w:val="008660CF"/>
    <w:rsid w:val="00867467"/>
    <w:rsid w:val="00870150"/>
    <w:rsid w:val="00870638"/>
    <w:rsid w:val="0087135A"/>
    <w:rsid w:val="0087211F"/>
    <w:rsid w:val="00875B06"/>
    <w:rsid w:val="00876356"/>
    <w:rsid w:val="00877137"/>
    <w:rsid w:val="00877DD0"/>
    <w:rsid w:val="008819E4"/>
    <w:rsid w:val="0088207D"/>
    <w:rsid w:val="00882C07"/>
    <w:rsid w:val="00883F55"/>
    <w:rsid w:val="00884107"/>
    <w:rsid w:val="00884158"/>
    <w:rsid w:val="00885079"/>
    <w:rsid w:val="00885146"/>
    <w:rsid w:val="008859C0"/>
    <w:rsid w:val="008861B7"/>
    <w:rsid w:val="0089065E"/>
    <w:rsid w:val="008907B7"/>
    <w:rsid w:val="008909D5"/>
    <w:rsid w:val="00892477"/>
    <w:rsid w:val="008927B4"/>
    <w:rsid w:val="00892D86"/>
    <w:rsid w:val="00895B01"/>
    <w:rsid w:val="0089604D"/>
    <w:rsid w:val="00896CF2"/>
    <w:rsid w:val="008A20B9"/>
    <w:rsid w:val="008A4A58"/>
    <w:rsid w:val="008A4D4A"/>
    <w:rsid w:val="008A67F7"/>
    <w:rsid w:val="008A75DA"/>
    <w:rsid w:val="008B0675"/>
    <w:rsid w:val="008B4011"/>
    <w:rsid w:val="008B4BA4"/>
    <w:rsid w:val="008C1862"/>
    <w:rsid w:val="008C27C3"/>
    <w:rsid w:val="008C2922"/>
    <w:rsid w:val="008C2B18"/>
    <w:rsid w:val="008C2BC6"/>
    <w:rsid w:val="008C3F4C"/>
    <w:rsid w:val="008C436D"/>
    <w:rsid w:val="008C63C3"/>
    <w:rsid w:val="008C6AE6"/>
    <w:rsid w:val="008D0521"/>
    <w:rsid w:val="008D10E3"/>
    <w:rsid w:val="008D33B7"/>
    <w:rsid w:val="008D46F3"/>
    <w:rsid w:val="008D63FC"/>
    <w:rsid w:val="008D7550"/>
    <w:rsid w:val="008E0794"/>
    <w:rsid w:val="008E0DC5"/>
    <w:rsid w:val="008E1CE3"/>
    <w:rsid w:val="008E241D"/>
    <w:rsid w:val="008E2621"/>
    <w:rsid w:val="008E644C"/>
    <w:rsid w:val="008F2960"/>
    <w:rsid w:val="008F4886"/>
    <w:rsid w:val="008F63B4"/>
    <w:rsid w:val="008F755E"/>
    <w:rsid w:val="008F78CF"/>
    <w:rsid w:val="00901946"/>
    <w:rsid w:val="00902F98"/>
    <w:rsid w:val="00907737"/>
    <w:rsid w:val="00907FEF"/>
    <w:rsid w:val="00913E21"/>
    <w:rsid w:val="0091478B"/>
    <w:rsid w:val="009147CB"/>
    <w:rsid w:val="00917C1C"/>
    <w:rsid w:val="00921537"/>
    <w:rsid w:val="00921C3A"/>
    <w:rsid w:val="00925788"/>
    <w:rsid w:val="009259E6"/>
    <w:rsid w:val="00925FED"/>
    <w:rsid w:val="0092618F"/>
    <w:rsid w:val="009265EB"/>
    <w:rsid w:val="009308E7"/>
    <w:rsid w:val="00930D88"/>
    <w:rsid w:val="00931D5E"/>
    <w:rsid w:val="00933B40"/>
    <w:rsid w:val="00934470"/>
    <w:rsid w:val="00934EE3"/>
    <w:rsid w:val="00936DED"/>
    <w:rsid w:val="00937EF5"/>
    <w:rsid w:val="00940EFB"/>
    <w:rsid w:val="00942952"/>
    <w:rsid w:val="00950AEC"/>
    <w:rsid w:val="00953751"/>
    <w:rsid w:val="009539AD"/>
    <w:rsid w:val="00954707"/>
    <w:rsid w:val="00954B08"/>
    <w:rsid w:val="009558B1"/>
    <w:rsid w:val="00957229"/>
    <w:rsid w:val="00957EE4"/>
    <w:rsid w:val="009617BF"/>
    <w:rsid w:val="00961B2D"/>
    <w:rsid w:val="00962316"/>
    <w:rsid w:val="00963422"/>
    <w:rsid w:val="00963DF7"/>
    <w:rsid w:val="009646F6"/>
    <w:rsid w:val="00964BF6"/>
    <w:rsid w:val="0096637A"/>
    <w:rsid w:val="00966EB8"/>
    <w:rsid w:val="009677A9"/>
    <w:rsid w:val="009715B4"/>
    <w:rsid w:val="00973ED5"/>
    <w:rsid w:val="009749B1"/>
    <w:rsid w:val="00975F88"/>
    <w:rsid w:val="009769C6"/>
    <w:rsid w:val="00976ECC"/>
    <w:rsid w:val="00977880"/>
    <w:rsid w:val="00977928"/>
    <w:rsid w:val="0098141B"/>
    <w:rsid w:val="009852A8"/>
    <w:rsid w:val="00985419"/>
    <w:rsid w:val="00985644"/>
    <w:rsid w:val="00990C23"/>
    <w:rsid w:val="00993ED9"/>
    <w:rsid w:val="00994A48"/>
    <w:rsid w:val="00997141"/>
    <w:rsid w:val="009A0CD1"/>
    <w:rsid w:val="009A12DF"/>
    <w:rsid w:val="009A5265"/>
    <w:rsid w:val="009A6B10"/>
    <w:rsid w:val="009A779E"/>
    <w:rsid w:val="009A784E"/>
    <w:rsid w:val="009B04B4"/>
    <w:rsid w:val="009B372E"/>
    <w:rsid w:val="009B3E65"/>
    <w:rsid w:val="009B60AC"/>
    <w:rsid w:val="009B618C"/>
    <w:rsid w:val="009B6B8C"/>
    <w:rsid w:val="009B6BAA"/>
    <w:rsid w:val="009B7019"/>
    <w:rsid w:val="009B7165"/>
    <w:rsid w:val="009C03BB"/>
    <w:rsid w:val="009C086F"/>
    <w:rsid w:val="009C10A8"/>
    <w:rsid w:val="009C29B3"/>
    <w:rsid w:val="009C30A2"/>
    <w:rsid w:val="009C47C7"/>
    <w:rsid w:val="009C5632"/>
    <w:rsid w:val="009D06C4"/>
    <w:rsid w:val="009D0AC7"/>
    <w:rsid w:val="009D2314"/>
    <w:rsid w:val="009D3DC0"/>
    <w:rsid w:val="009D704D"/>
    <w:rsid w:val="009D71A9"/>
    <w:rsid w:val="009D75FF"/>
    <w:rsid w:val="009E2DB6"/>
    <w:rsid w:val="009E317C"/>
    <w:rsid w:val="009E4130"/>
    <w:rsid w:val="009E5FA5"/>
    <w:rsid w:val="009E77C5"/>
    <w:rsid w:val="009E7E74"/>
    <w:rsid w:val="009F07E7"/>
    <w:rsid w:val="009F6674"/>
    <w:rsid w:val="00A01085"/>
    <w:rsid w:val="00A0369B"/>
    <w:rsid w:val="00A044C6"/>
    <w:rsid w:val="00A04ACE"/>
    <w:rsid w:val="00A06806"/>
    <w:rsid w:val="00A07188"/>
    <w:rsid w:val="00A07692"/>
    <w:rsid w:val="00A07761"/>
    <w:rsid w:val="00A1082F"/>
    <w:rsid w:val="00A10FA0"/>
    <w:rsid w:val="00A12869"/>
    <w:rsid w:val="00A20E97"/>
    <w:rsid w:val="00A22023"/>
    <w:rsid w:val="00A2260F"/>
    <w:rsid w:val="00A22C38"/>
    <w:rsid w:val="00A2384E"/>
    <w:rsid w:val="00A23BD3"/>
    <w:rsid w:val="00A23D04"/>
    <w:rsid w:val="00A25E38"/>
    <w:rsid w:val="00A26CFA"/>
    <w:rsid w:val="00A30D7D"/>
    <w:rsid w:val="00A3139B"/>
    <w:rsid w:val="00A32765"/>
    <w:rsid w:val="00A36F2E"/>
    <w:rsid w:val="00A40E3E"/>
    <w:rsid w:val="00A42F9E"/>
    <w:rsid w:val="00A43793"/>
    <w:rsid w:val="00A45059"/>
    <w:rsid w:val="00A46271"/>
    <w:rsid w:val="00A46928"/>
    <w:rsid w:val="00A4711D"/>
    <w:rsid w:val="00A47CB1"/>
    <w:rsid w:val="00A50917"/>
    <w:rsid w:val="00A51003"/>
    <w:rsid w:val="00A51639"/>
    <w:rsid w:val="00A52CD2"/>
    <w:rsid w:val="00A54841"/>
    <w:rsid w:val="00A57992"/>
    <w:rsid w:val="00A600C9"/>
    <w:rsid w:val="00A607B5"/>
    <w:rsid w:val="00A615BF"/>
    <w:rsid w:val="00A61697"/>
    <w:rsid w:val="00A61B4D"/>
    <w:rsid w:val="00A6418F"/>
    <w:rsid w:val="00A67F0B"/>
    <w:rsid w:val="00A70BBA"/>
    <w:rsid w:val="00A735D6"/>
    <w:rsid w:val="00A74D14"/>
    <w:rsid w:val="00A75DD5"/>
    <w:rsid w:val="00A76A12"/>
    <w:rsid w:val="00A76C25"/>
    <w:rsid w:val="00A7768E"/>
    <w:rsid w:val="00A77AC6"/>
    <w:rsid w:val="00A80189"/>
    <w:rsid w:val="00A82ADB"/>
    <w:rsid w:val="00A82F76"/>
    <w:rsid w:val="00A8386A"/>
    <w:rsid w:val="00A84CFA"/>
    <w:rsid w:val="00A85BDB"/>
    <w:rsid w:val="00A86E6E"/>
    <w:rsid w:val="00A874CB"/>
    <w:rsid w:val="00A87C58"/>
    <w:rsid w:val="00A9238C"/>
    <w:rsid w:val="00A95726"/>
    <w:rsid w:val="00A958DA"/>
    <w:rsid w:val="00AA0563"/>
    <w:rsid w:val="00AA0822"/>
    <w:rsid w:val="00AA1377"/>
    <w:rsid w:val="00AA1F78"/>
    <w:rsid w:val="00AA26EB"/>
    <w:rsid w:val="00AA2932"/>
    <w:rsid w:val="00AA4412"/>
    <w:rsid w:val="00AB062C"/>
    <w:rsid w:val="00AB085B"/>
    <w:rsid w:val="00AB0AE6"/>
    <w:rsid w:val="00AB1F3A"/>
    <w:rsid w:val="00AB1FE4"/>
    <w:rsid w:val="00AB3F75"/>
    <w:rsid w:val="00AB5B89"/>
    <w:rsid w:val="00AB7A33"/>
    <w:rsid w:val="00AB7C4A"/>
    <w:rsid w:val="00AC4689"/>
    <w:rsid w:val="00AC5E3E"/>
    <w:rsid w:val="00AC614F"/>
    <w:rsid w:val="00AD1634"/>
    <w:rsid w:val="00AD1DAE"/>
    <w:rsid w:val="00AD27B0"/>
    <w:rsid w:val="00AD40D8"/>
    <w:rsid w:val="00AD5E85"/>
    <w:rsid w:val="00AE1AC1"/>
    <w:rsid w:val="00AE2DEB"/>
    <w:rsid w:val="00AE4650"/>
    <w:rsid w:val="00AE4894"/>
    <w:rsid w:val="00AE5AD5"/>
    <w:rsid w:val="00AE684C"/>
    <w:rsid w:val="00AE6AB1"/>
    <w:rsid w:val="00AF0FBE"/>
    <w:rsid w:val="00AF2C8D"/>
    <w:rsid w:val="00AF3529"/>
    <w:rsid w:val="00AF43D6"/>
    <w:rsid w:val="00AF5820"/>
    <w:rsid w:val="00AF64CB"/>
    <w:rsid w:val="00AF7288"/>
    <w:rsid w:val="00B0101C"/>
    <w:rsid w:val="00B045F8"/>
    <w:rsid w:val="00B06024"/>
    <w:rsid w:val="00B073CE"/>
    <w:rsid w:val="00B074D6"/>
    <w:rsid w:val="00B07564"/>
    <w:rsid w:val="00B1050A"/>
    <w:rsid w:val="00B115B1"/>
    <w:rsid w:val="00B14739"/>
    <w:rsid w:val="00B1537D"/>
    <w:rsid w:val="00B15443"/>
    <w:rsid w:val="00B16232"/>
    <w:rsid w:val="00B17494"/>
    <w:rsid w:val="00B224C0"/>
    <w:rsid w:val="00B22E2B"/>
    <w:rsid w:val="00B23974"/>
    <w:rsid w:val="00B23AF3"/>
    <w:rsid w:val="00B25750"/>
    <w:rsid w:val="00B25A9F"/>
    <w:rsid w:val="00B26402"/>
    <w:rsid w:val="00B27360"/>
    <w:rsid w:val="00B27D41"/>
    <w:rsid w:val="00B30134"/>
    <w:rsid w:val="00B318EC"/>
    <w:rsid w:val="00B33DDF"/>
    <w:rsid w:val="00B341DF"/>
    <w:rsid w:val="00B3468F"/>
    <w:rsid w:val="00B34881"/>
    <w:rsid w:val="00B34C6C"/>
    <w:rsid w:val="00B351B4"/>
    <w:rsid w:val="00B35714"/>
    <w:rsid w:val="00B3795F"/>
    <w:rsid w:val="00B4002A"/>
    <w:rsid w:val="00B4013C"/>
    <w:rsid w:val="00B43D10"/>
    <w:rsid w:val="00B43FD4"/>
    <w:rsid w:val="00B441EC"/>
    <w:rsid w:val="00B44E81"/>
    <w:rsid w:val="00B450CA"/>
    <w:rsid w:val="00B45E95"/>
    <w:rsid w:val="00B47D6B"/>
    <w:rsid w:val="00B509F5"/>
    <w:rsid w:val="00B539E3"/>
    <w:rsid w:val="00B54495"/>
    <w:rsid w:val="00B54C40"/>
    <w:rsid w:val="00B614C7"/>
    <w:rsid w:val="00B65070"/>
    <w:rsid w:val="00B661C8"/>
    <w:rsid w:val="00B669AD"/>
    <w:rsid w:val="00B6756E"/>
    <w:rsid w:val="00B7024A"/>
    <w:rsid w:val="00B70C89"/>
    <w:rsid w:val="00B7129E"/>
    <w:rsid w:val="00B71670"/>
    <w:rsid w:val="00B7222A"/>
    <w:rsid w:val="00B73B06"/>
    <w:rsid w:val="00B744B2"/>
    <w:rsid w:val="00B7528F"/>
    <w:rsid w:val="00B759C3"/>
    <w:rsid w:val="00B760A2"/>
    <w:rsid w:val="00B76825"/>
    <w:rsid w:val="00B809CF"/>
    <w:rsid w:val="00B817D1"/>
    <w:rsid w:val="00B8234D"/>
    <w:rsid w:val="00B82550"/>
    <w:rsid w:val="00B84CC9"/>
    <w:rsid w:val="00B85498"/>
    <w:rsid w:val="00B85886"/>
    <w:rsid w:val="00B86170"/>
    <w:rsid w:val="00B863E3"/>
    <w:rsid w:val="00B87D8A"/>
    <w:rsid w:val="00B9218E"/>
    <w:rsid w:val="00B939BF"/>
    <w:rsid w:val="00B93E97"/>
    <w:rsid w:val="00B94286"/>
    <w:rsid w:val="00B9439C"/>
    <w:rsid w:val="00B94964"/>
    <w:rsid w:val="00B95DBC"/>
    <w:rsid w:val="00B9632C"/>
    <w:rsid w:val="00BA1F5B"/>
    <w:rsid w:val="00BA232F"/>
    <w:rsid w:val="00BA24E6"/>
    <w:rsid w:val="00BA34D1"/>
    <w:rsid w:val="00BA5541"/>
    <w:rsid w:val="00BA5B05"/>
    <w:rsid w:val="00BA5FE5"/>
    <w:rsid w:val="00BA6C9D"/>
    <w:rsid w:val="00BA7C8D"/>
    <w:rsid w:val="00BB0B6A"/>
    <w:rsid w:val="00BB0C89"/>
    <w:rsid w:val="00BB0F41"/>
    <w:rsid w:val="00BB39D6"/>
    <w:rsid w:val="00BB6DDA"/>
    <w:rsid w:val="00BB7BFC"/>
    <w:rsid w:val="00BC0B2D"/>
    <w:rsid w:val="00BC282C"/>
    <w:rsid w:val="00BC29EF"/>
    <w:rsid w:val="00BD0EAE"/>
    <w:rsid w:val="00BD29FB"/>
    <w:rsid w:val="00BD3767"/>
    <w:rsid w:val="00BD4804"/>
    <w:rsid w:val="00BD4B69"/>
    <w:rsid w:val="00BD6BBF"/>
    <w:rsid w:val="00BD6C64"/>
    <w:rsid w:val="00BD7F0F"/>
    <w:rsid w:val="00BE3861"/>
    <w:rsid w:val="00BE4F63"/>
    <w:rsid w:val="00BE6D19"/>
    <w:rsid w:val="00BF2846"/>
    <w:rsid w:val="00BF37A4"/>
    <w:rsid w:val="00BF3E52"/>
    <w:rsid w:val="00BF4AAC"/>
    <w:rsid w:val="00BF55D2"/>
    <w:rsid w:val="00BF5A90"/>
    <w:rsid w:val="00BF6A3F"/>
    <w:rsid w:val="00C00790"/>
    <w:rsid w:val="00C0191B"/>
    <w:rsid w:val="00C01F74"/>
    <w:rsid w:val="00C01FDE"/>
    <w:rsid w:val="00C0203F"/>
    <w:rsid w:val="00C020A5"/>
    <w:rsid w:val="00C02317"/>
    <w:rsid w:val="00C02962"/>
    <w:rsid w:val="00C04840"/>
    <w:rsid w:val="00C05560"/>
    <w:rsid w:val="00C06FE8"/>
    <w:rsid w:val="00C1060E"/>
    <w:rsid w:val="00C10AAF"/>
    <w:rsid w:val="00C11328"/>
    <w:rsid w:val="00C1197F"/>
    <w:rsid w:val="00C1310E"/>
    <w:rsid w:val="00C134F4"/>
    <w:rsid w:val="00C14604"/>
    <w:rsid w:val="00C14796"/>
    <w:rsid w:val="00C15A0D"/>
    <w:rsid w:val="00C15B4B"/>
    <w:rsid w:val="00C173A1"/>
    <w:rsid w:val="00C17A1C"/>
    <w:rsid w:val="00C209C4"/>
    <w:rsid w:val="00C21169"/>
    <w:rsid w:val="00C22204"/>
    <w:rsid w:val="00C2323F"/>
    <w:rsid w:val="00C2361F"/>
    <w:rsid w:val="00C25524"/>
    <w:rsid w:val="00C2640D"/>
    <w:rsid w:val="00C26E3E"/>
    <w:rsid w:val="00C271A3"/>
    <w:rsid w:val="00C30795"/>
    <w:rsid w:val="00C30AE7"/>
    <w:rsid w:val="00C3101F"/>
    <w:rsid w:val="00C33853"/>
    <w:rsid w:val="00C3452B"/>
    <w:rsid w:val="00C349AE"/>
    <w:rsid w:val="00C354F7"/>
    <w:rsid w:val="00C3605C"/>
    <w:rsid w:val="00C37DE1"/>
    <w:rsid w:val="00C40ABC"/>
    <w:rsid w:val="00C40EC3"/>
    <w:rsid w:val="00C40F39"/>
    <w:rsid w:val="00C4108E"/>
    <w:rsid w:val="00C41318"/>
    <w:rsid w:val="00C41728"/>
    <w:rsid w:val="00C43AA1"/>
    <w:rsid w:val="00C44953"/>
    <w:rsid w:val="00C4578E"/>
    <w:rsid w:val="00C474C3"/>
    <w:rsid w:val="00C47BD6"/>
    <w:rsid w:val="00C50EF2"/>
    <w:rsid w:val="00C52049"/>
    <w:rsid w:val="00C53179"/>
    <w:rsid w:val="00C53410"/>
    <w:rsid w:val="00C54177"/>
    <w:rsid w:val="00C5519A"/>
    <w:rsid w:val="00C5761B"/>
    <w:rsid w:val="00C61350"/>
    <w:rsid w:val="00C62415"/>
    <w:rsid w:val="00C63B4E"/>
    <w:rsid w:val="00C66D2E"/>
    <w:rsid w:val="00C66FA8"/>
    <w:rsid w:val="00C7296B"/>
    <w:rsid w:val="00C72BD4"/>
    <w:rsid w:val="00C76CDF"/>
    <w:rsid w:val="00C77559"/>
    <w:rsid w:val="00C779C5"/>
    <w:rsid w:val="00C803A4"/>
    <w:rsid w:val="00C80916"/>
    <w:rsid w:val="00C81372"/>
    <w:rsid w:val="00C818A6"/>
    <w:rsid w:val="00C822C8"/>
    <w:rsid w:val="00C841A3"/>
    <w:rsid w:val="00C84747"/>
    <w:rsid w:val="00C84D23"/>
    <w:rsid w:val="00C85104"/>
    <w:rsid w:val="00C86DC2"/>
    <w:rsid w:val="00C87162"/>
    <w:rsid w:val="00C90F4F"/>
    <w:rsid w:val="00C91B0E"/>
    <w:rsid w:val="00C91FF3"/>
    <w:rsid w:val="00C9209D"/>
    <w:rsid w:val="00C92B8B"/>
    <w:rsid w:val="00C94782"/>
    <w:rsid w:val="00C9500F"/>
    <w:rsid w:val="00C95046"/>
    <w:rsid w:val="00C953ED"/>
    <w:rsid w:val="00C95691"/>
    <w:rsid w:val="00CA3FC4"/>
    <w:rsid w:val="00CA4AD0"/>
    <w:rsid w:val="00CA4E2A"/>
    <w:rsid w:val="00CA6620"/>
    <w:rsid w:val="00CB213E"/>
    <w:rsid w:val="00CB28B9"/>
    <w:rsid w:val="00CB4E22"/>
    <w:rsid w:val="00CB4EB6"/>
    <w:rsid w:val="00CB5DE7"/>
    <w:rsid w:val="00CC106D"/>
    <w:rsid w:val="00CC1DA7"/>
    <w:rsid w:val="00CC608B"/>
    <w:rsid w:val="00CC74A6"/>
    <w:rsid w:val="00CD1AFC"/>
    <w:rsid w:val="00CD1FA1"/>
    <w:rsid w:val="00CD3197"/>
    <w:rsid w:val="00CD42DB"/>
    <w:rsid w:val="00CD4CFE"/>
    <w:rsid w:val="00CD5028"/>
    <w:rsid w:val="00CE1A1E"/>
    <w:rsid w:val="00CE7BE1"/>
    <w:rsid w:val="00CE7BF1"/>
    <w:rsid w:val="00CF0761"/>
    <w:rsid w:val="00CF0E7E"/>
    <w:rsid w:val="00CF0F15"/>
    <w:rsid w:val="00CF1FCA"/>
    <w:rsid w:val="00CF2F56"/>
    <w:rsid w:val="00CF6418"/>
    <w:rsid w:val="00D01625"/>
    <w:rsid w:val="00D02907"/>
    <w:rsid w:val="00D03EC3"/>
    <w:rsid w:val="00D04614"/>
    <w:rsid w:val="00D05BFD"/>
    <w:rsid w:val="00D06905"/>
    <w:rsid w:val="00D1012B"/>
    <w:rsid w:val="00D1269D"/>
    <w:rsid w:val="00D1387B"/>
    <w:rsid w:val="00D13A65"/>
    <w:rsid w:val="00D159D5"/>
    <w:rsid w:val="00D16CA4"/>
    <w:rsid w:val="00D17C1E"/>
    <w:rsid w:val="00D20E78"/>
    <w:rsid w:val="00D22AFB"/>
    <w:rsid w:val="00D2408D"/>
    <w:rsid w:val="00D255DD"/>
    <w:rsid w:val="00D26E0E"/>
    <w:rsid w:val="00D27480"/>
    <w:rsid w:val="00D30426"/>
    <w:rsid w:val="00D352EA"/>
    <w:rsid w:val="00D35EC0"/>
    <w:rsid w:val="00D3664B"/>
    <w:rsid w:val="00D429AA"/>
    <w:rsid w:val="00D4327E"/>
    <w:rsid w:val="00D43567"/>
    <w:rsid w:val="00D439BA"/>
    <w:rsid w:val="00D43D48"/>
    <w:rsid w:val="00D4420F"/>
    <w:rsid w:val="00D4515C"/>
    <w:rsid w:val="00D46AEC"/>
    <w:rsid w:val="00D477DB"/>
    <w:rsid w:val="00D47AE1"/>
    <w:rsid w:val="00D47EE3"/>
    <w:rsid w:val="00D508E8"/>
    <w:rsid w:val="00D513B6"/>
    <w:rsid w:val="00D5229A"/>
    <w:rsid w:val="00D53ED2"/>
    <w:rsid w:val="00D53F72"/>
    <w:rsid w:val="00D54531"/>
    <w:rsid w:val="00D551F1"/>
    <w:rsid w:val="00D5573A"/>
    <w:rsid w:val="00D5605D"/>
    <w:rsid w:val="00D5776A"/>
    <w:rsid w:val="00D60BAB"/>
    <w:rsid w:val="00D621C8"/>
    <w:rsid w:val="00D62212"/>
    <w:rsid w:val="00D64111"/>
    <w:rsid w:val="00D65E46"/>
    <w:rsid w:val="00D67BBD"/>
    <w:rsid w:val="00D700EB"/>
    <w:rsid w:val="00D71618"/>
    <w:rsid w:val="00D71682"/>
    <w:rsid w:val="00D7254E"/>
    <w:rsid w:val="00D7587A"/>
    <w:rsid w:val="00D77016"/>
    <w:rsid w:val="00D809F0"/>
    <w:rsid w:val="00D8233A"/>
    <w:rsid w:val="00D83043"/>
    <w:rsid w:val="00D84FB2"/>
    <w:rsid w:val="00D85A4E"/>
    <w:rsid w:val="00D86024"/>
    <w:rsid w:val="00D90192"/>
    <w:rsid w:val="00D9374A"/>
    <w:rsid w:val="00D938CA"/>
    <w:rsid w:val="00D9571C"/>
    <w:rsid w:val="00D96B46"/>
    <w:rsid w:val="00DA15BC"/>
    <w:rsid w:val="00DA223F"/>
    <w:rsid w:val="00DA2A24"/>
    <w:rsid w:val="00DA7F34"/>
    <w:rsid w:val="00DB06BB"/>
    <w:rsid w:val="00DB1B36"/>
    <w:rsid w:val="00DB1D03"/>
    <w:rsid w:val="00DB5443"/>
    <w:rsid w:val="00DB65D1"/>
    <w:rsid w:val="00DC0B40"/>
    <w:rsid w:val="00DC16CD"/>
    <w:rsid w:val="00DC1E5E"/>
    <w:rsid w:val="00DC5B92"/>
    <w:rsid w:val="00DC5F97"/>
    <w:rsid w:val="00DC74E6"/>
    <w:rsid w:val="00DD078F"/>
    <w:rsid w:val="00DD35CB"/>
    <w:rsid w:val="00DD5664"/>
    <w:rsid w:val="00DD63E4"/>
    <w:rsid w:val="00DE145D"/>
    <w:rsid w:val="00DE6712"/>
    <w:rsid w:val="00DE673B"/>
    <w:rsid w:val="00DE6DDF"/>
    <w:rsid w:val="00DE6F3B"/>
    <w:rsid w:val="00DE723B"/>
    <w:rsid w:val="00DE7812"/>
    <w:rsid w:val="00DF0F47"/>
    <w:rsid w:val="00DF17D2"/>
    <w:rsid w:val="00DF2EBA"/>
    <w:rsid w:val="00DF3466"/>
    <w:rsid w:val="00DF3E76"/>
    <w:rsid w:val="00DF4367"/>
    <w:rsid w:val="00DF4DB3"/>
    <w:rsid w:val="00DF50D8"/>
    <w:rsid w:val="00DF6632"/>
    <w:rsid w:val="00DF6ABF"/>
    <w:rsid w:val="00E000E3"/>
    <w:rsid w:val="00E021C3"/>
    <w:rsid w:val="00E021C6"/>
    <w:rsid w:val="00E05D49"/>
    <w:rsid w:val="00E06E80"/>
    <w:rsid w:val="00E0789C"/>
    <w:rsid w:val="00E07DF6"/>
    <w:rsid w:val="00E11C83"/>
    <w:rsid w:val="00E12F83"/>
    <w:rsid w:val="00E13C4E"/>
    <w:rsid w:val="00E14CC2"/>
    <w:rsid w:val="00E1556B"/>
    <w:rsid w:val="00E15807"/>
    <w:rsid w:val="00E158D7"/>
    <w:rsid w:val="00E15FCB"/>
    <w:rsid w:val="00E171DE"/>
    <w:rsid w:val="00E17759"/>
    <w:rsid w:val="00E17904"/>
    <w:rsid w:val="00E228A4"/>
    <w:rsid w:val="00E235EE"/>
    <w:rsid w:val="00E2426D"/>
    <w:rsid w:val="00E24D60"/>
    <w:rsid w:val="00E25088"/>
    <w:rsid w:val="00E25501"/>
    <w:rsid w:val="00E25F5A"/>
    <w:rsid w:val="00E27248"/>
    <w:rsid w:val="00E2780C"/>
    <w:rsid w:val="00E3205F"/>
    <w:rsid w:val="00E32FB0"/>
    <w:rsid w:val="00E33D10"/>
    <w:rsid w:val="00E344EB"/>
    <w:rsid w:val="00E3498E"/>
    <w:rsid w:val="00E351D5"/>
    <w:rsid w:val="00E35664"/>
    <w:rsid w:val="00E3666A"/>
    <w:rsid w:val="00E4146D"/>
    <w:rsid w:val="00E41CDA"/>
    <w:rsid w:val="00E4289B"/>
    <w:rsid w:val="00E43550"/>
    <w:rsid w:val="00E4507E"/>
    <w:rsid w:val="00E4587A"/>
    <w:rsid w:val="00E46E14"/>
    <w:rsid w:val="00E4796D"/>
    <w:rsid w:val="00E537FA"/>
    <w:rsid w:val="00E557F8"/>
    <w:rsid w:val="00E55EB9"/>
    <w:rsid w:val="00E60422"/>
    <w:rsid w:val="00E60632"/>
    <w:rsid w:val="00E62854"/>
    <w:rsid w:val="00E62AC0"/>
    <w:rsid w:val="00E64C92"/>
    <w:rsid w:val="00E66729"/>
    <w:rsid w:val="00E71FF5"/>
    <w:rsid w:val="00E7220C"/>
    <w:rsid w:val="00E7293C"/>
    <w:rsid w:val="00E740C6"/>
    <w:rsid w:val="00E752F1"/>
    <w:rsid w:val="00E757D2"/>
    <w:rsid w:val="00E769A2"/>
    <w:rsid w:val="00E8264C"/>
    <w:rsid w:val="00E83837"/>
    <w:rsid w:val="00E83DA3"/>
    <w:rsid w:val="00E85580"/>
    <w:rsid w:val="00E86190"/>
    <w:rsid w:val="00E875D2"/>
    <w:rsid w:val="00E902A7"/>
    <w:rsid w:val="00E911CA"/>
    <w:rsid w:val="00E91956"/>
    <w:rsid w:val="00E9264D"/>
    <w:rsid w:val="00E9411E"/>
    <w:rsid w:val="00E94C04"/>
    <w:rsid w:val="00E97D77"/>
    <w:rsid w:val="00EA0835"/>
    <w:rsid w:val="00EA285A"/>
    <w:rsid w:val="00EA3B93"/>
    <w:rsid w:val="00EA3D86"/>
    <w:rsid w:val="00EA54AA"/>
    <w:rsid w:val="00EA63D0"/>
    <w:rsid w:val="00EB0081"/>
    <w:rsid w:val="00EB04CF"/>
    <w:rsid w:val="00EB2A25"/>
    <w:rsid w:val="00EB3C63"/>
    <w:rsid w:val="00EB4006"/>
    <w:rsid w:val="00EB5E36"/>
    <w:rsid w:val="00EB71C4"/>
    <w:rsid w:val="00EB74E6"/>
    <w:rsid w:val="00EC0329"/>
    <w:rsid w:val="00EC13FA"/>
    <w:rsid w:val="00EC1730"/>
    <w:rsid w:val="00EC19DD"/>
    <w:rsid w:val="00EC35E7"/>
    <w:rsid w:val="00EC5933"/>
    <w:rsid w:val="00EC6597"/>
    <w:rsid w:val="00ED1DD0"/>
    <w:rsid w:val="00ED3787"/>
    <w:rsid w:val="00ED3E98"/>
    <w:rsid w:val="00ED47E6"/>
    <w:rsid w:val="00ED5776"/>
    <w:rsid w:val="00EE0622"/>
    <w:rsid w:val="00EE1C04"/>
    <w:rsid w:val="00EE2DB4"/>
    <w:rsid w:val="00EE3AF9"/>
    <w:rsid w:val="00EE4CF6"/>
    <w:rsid w:val="00EE5C61"/>
    <w:rsid w:val="00EE79D5"/>
    <w:rsid w:val="00EF04CB"/>
    <w:rsid w:val="00EF1661"/>
    <w:rsid w:val="00EF2CFC"/>
    <w:rsid w:val="00EF38BB"/>
    <w:rsid w:val="00EF54BC"/>
    <w:rsid w:val="00EF6C67"/>
    <w:rsid w:val="00EF7DDE"/>
    <w:rsid w:val="00F00075"/>
    <w:rsid w:val="00F014D0"/>
    <w:rsid w:val="00F023DA"/>
    <w:rsid w:val="00F0294E"/>
    <w:rsid w:val="00F02D79"/>
    <w:rsid w:val="00F04F4F"/>
    <w:rsid w:val="00F05182"/>
    <w:rsid w:val="00F057BC"/>
    <w:rsid w:val="00F06DBB"/>
    <w:rsid w:val="00F12149"/>
    <w:rsid w:val="00F124AE"/>
    <w:rsid w:val="00F1542B"/>
    <w:rsid w:val="00F160B5"/>
    <w:rsid w:val="00F160E2"/>
    <w:rsid w:val="00F172DE"/>
    <w:rsid w:val="00F17FA4"/>
    <w:rsid w:val="00F22CA0"/>
    <w:rsid w:val="00F23F78"/>
    <w:rsid w:val="00F24385"/>
    <w:rsid w:val="00F24692"/>
    <w:rsid w:val="00F25818"/>
    <w:rsid w:val="00F25DA7"/>
    <w:rsid w:val="00F26004"/>
    <w:rsid w:val="00F26BB6"/>
    <w:rsid w:val="00F27738"/>
    <w:rsid w:val="00F27B2E"/>
    <w:rsid w:val="00F27CAF"/>
    <w:rsid w:val="00F308BB"/>
    <w:rsid w:val="00F30A3C"/>
    <w:rsid w:val="00F3227B"/>
    <w:rsid w:val="00F3300C"/>
    <w:rsid w:val="00F34D8E"/>
    <w:rsid w:val="00F404E4"/>
    <w:rsid w:val="00F4065D"/>
    <w:rsid w:val="00F4128C"/>
    <w:rsid w:val="00F41E75"/>
    <w:rsid w:val="00F43412"/>
    <w:rsid w:val="00F43B3C"/>
    <w:rsid w:val="00F43DD3"/>
    <w:rsid w:val="00F44ED9"/>
    <w:rsid w:val="00F452D5"/>
    <w:rsid w:val="00F45F74"/>
    <w:rsid w:val="00F50D11"/>
    <w:rsid w:val="00F50DCC"/>
    <w:rsid w:val="00F51963"/>
    <w:rsid w:val="00F528E9"/>
    <w:rsid w:val="00F52FA8"/>
    <w:rsid w:val="00F54334"/>
    <w:rsid w:val="00F54525"/>
    <w:rsid w:val="00F5564E"/>
    <w:rsid w:val="00F575DA"/>
    <w:rsid w:val="00F64BD3"/>
    <w:rsid w:val="00F65016"/>
    <w:rsid w:val="00F654B8"/>
    <w:rsid w:val="00F657F7"/>
    <w:rsid w:val="00F705B9"/>
    <w:rsid w:val="00F708CB"/>
    <w:rsid w:val="00F7234A"/>
    <w:rsid w:val="00F731EC"/>
    <w:rsid w:val="00F740D6"/>
    <w:rsid w:val="00F76097"/>
    <w:rsid w:val="00F770BA"/>
    <w:rsid w:val="00F80EEC"/>
    <w:rsid w:val="00F80F1C"/>
    <w:rsid w:val="00F8236F"/>
    <w:rsid w:val="00F857DC"/>
    <w:rsid w:val="00F94D1A"/>
    <w:rsid w:val="00FA0105"/>
    <w:rsid w:val="00FA2FD8"/>
    <w:rsid w:val="00FA3228"/>
    <w:rsid w:val="00FA383D"/>
    <w:rsid w:val="00FA3854"/>
    <w:rsid w:val="00FA4D9F"/>
    <w:rsid w:val="00FA5746"/>
    <w:rsid w:val="00FA5869"/>
    <w:rsid w:val="00FA7812"/>
    <w:rsid w:val="00FB0DEC"/>
    <w:rsid w:val="00FB1952"/>
    <w:rsid w:val="00FB1D2C"/>
    <w:rsid w:val="00FB2AC6"/>
    <w:rsid w:val="00FB2D8D"/>
    <w:rsid w:val="00FB41AB"/>
    <w:rsid w:val="00FB502E"/>
    <w:rsid w:val="00FB5D32"/>
    <w:rsid w:val="00FB5EA9"/>
    <w:rsid w:val="00FB61FA"/>
    <w:rsid w:val="00FC05EC"/>
    <w:rsid w:val="00FC0F48"/>
    <w:rsid w:val="00FC2CEB"/>
    <w:rsid w:val="00FC321F"/>
    <w:rsid w:val="00FC3494"/>
    <w:rsid w:val="00FC48AB"/>
    <w:rsid w:val="00FC4965"/>
    <w:rsid w:val="00FC52F2"/>
    <w:rsid w:val="00FC544C"/>
    <w:rsid w:val="00FC56AB"/>
    <w:rsid w:val="00FC58B4"/>
    <w:rsid w:val="00FC594A"/>
    <w:rsid w:val="00FC6622"/>
    <w:rsid w:val="00FD0846"/>
    <w:rsid w:val="00FD0B0D"/>
    <w:rsid w:val="00FD0FD2"/>
    <w:rsid w:val="00FD16D2"/>
    <w:rsid w:val="00FD1DA2"/>
    <w:rsid w:val="00FD24AA"/>
    <w:rsid w:val="00FD2689"/>
    <w:rsid w:val="00FD4F75"/>
    <w:rsid w:val="00FD7D0D"/>
    <w:rsid w:val="00FE023B"/>
    <w:rsid w:val="00FF1923"/>
    <w:rsid w:val="00FF1F7D"/>
    <w:rsid w:val="00FF2591"/>
    <w:rsid w:val="00FF27B7"/>
    <w:rsid w:val="00FF39DB"/>
    <w:rsid w:val="00FF3E38"/>
    <w:rsid w:val="00FF54F7"/>
    <w:rsid w:val="00FF7E25"/>
    <w:rsid w:val="00FF7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8ACC7D"/>
  <w15:chartTrackingRefBased/>
  <w15:docId w15:val="{4234A8C3-9FB2-4FF7-BE00-8FABF71B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2"/>
      </w:numPr>
    </w:pPr>
  </w:style>
  <w:style w:type="numbering" w:styleId="ArticleSection">
    <w:name w:val="Outline List 3"/>
    <w:basedOn w:val="NoList"/>
    <w:semiHidden/>
    <w:rsid w:val="00C3452B"/>
    <w:pPr>
      <w:numPr>
        <w:numId w:val="3"/>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4"/>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link w:val="base-text-paragraphnonumbersChar"/>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4"/>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5"/>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4"/>
      </w:numPr>
      <w:spacing w:before="0" w:after="0"/>
    </w:pPr>
    <w:rPr>
      <w:b/>
    </w:rPr>
  </w:style>
  <w:style w:type="paragraph" w:customStyle="1" w:styleId="dotpoint">
    <w:name w:val="dot point"/>
    <w:basedOn w:val="Normal"/>
    <w:rsid w:val="00C3452B"/>
    <w:pPr>
      <w:numPr>
        <w:numId w:val="7"/>
      </w:numPr>
    </w:pPr>
  </w:style>
  <w:style w:type="paragraph" w:customStyle="1" w:styleId="dotpoint2">
    <w:name w:val="dot point 2"/>
    <w:basedOn w:val="Normal"/>
    <w:rsid w:val="00C3452B"/>
    <w:pPr>
      <w:numPr>
        <w:ilvl w:val="1"/>
        <w:numId w:val="8"/>
      </w:numPr>
    </w:pPr>
  </w:style>
  <w:style w:type="numbering" w:customStyle="1" w:styleId="DotPointList">
    <w:name w:val="Dot Point List"/>
    <w:uiPriority w:val="99"/>
    <w:rsid w:val="00C3452B"/>
    <w:pPr>
      <w:numPr>
        <w:numId w:val="8"/>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9"/>
      </w:numPr>
      <w:spacing w:before="200" w:after="200"/>
      <w:ind w:left="2269" w:hanging="284"/>
    </w:pPr>
  </w:style>
  <w:style w:type="paragraph" w:customStyle="1" w:styleId="exampledotpoint2">
    <w:name w:val="example dot point 2"/>
    <w:basedOn w:val="exampletext"/>
    <w:rsid w:val="00C3452B"/>
    <w:pPr>
      <w:numPr>
        <w:ilvl w:val="1"/>
        <w:numId w:val="9"/>
      </w:numPr>
      <w:spacing w:before="200" w:after="200"/>
    </w:pPr>
  </w:style>
  <w:style w:type="numbering" w:customStyle="1" w:styleId="ExampleDotPointList">
    <w:name w:val="Example Dot Point List"/>
    <w:uiPriority w:val="99"/>
    <w:rsid w:val="00C3452B"/>
    <w:pPr>
      <w:numPr>
        <w:numId w:val="9"/>
      </w:numPr>
    </w:pPr>
  </w:style>
  <w:style w:type="paragraph" w:customStyle="1" w:styleId="ExampleHeading">
    <w:name w:val="Example Heading"/>
    <w:basedOn w:val="Normal"/>
    <w:next w:val="exampletext"/>
    <w:rsid w:val="00C3452B"/>
    <w:pPr>
      <w:keepNext/>
      <w:numPr>
        <w:ilvl w:val="3"/>
        <w:numId w:val="4"/>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0"/>
      </w:numPr>
    </w:pPr>
  </w:style>
  <w:style w:type="paragraph" w:styleId="ListBullet2">
    <w:name w:val="List Bullet 2"/>
    <w:basedOn w:val="Normal"/>
    <w:semiHidden/>
    <w:rsid w:val="00C3452B"/>
    <w:pPr>
      <w:numPr>
        <w:numId w:val="11"/>
      </w:numPr>
    </w:pPr>
  </w:style>
  <w:style w:type="paragraph" w:styleId="ListBullet3">
    <w:name w:val="List Bullet 3"/>
    <w:basedOn w:val="Normal"/>
    <w:semiHidden/>
    <w:rsid w:val="00C3452B"/>
    <w:pPr>
      <w:numPr>
        <w:numId w:val="12"/>
      </w:numPr>
    </w:pPr>
  </w:style>
  <w:style w:type="paragraph" w:styleId="ListBullet4">
    <w:name w:val="List Bullet 4"/>
    <w:basedOn w:val="Normal"/>
    <w:semiHidden/>
    <w:rsid w:val="00C3452B"/>
    <w:pPr>
      <w:numPr>
        <w:numId w:val="13"/>
      </w:numPr>
    </w:pPr>
  </w:style>
  <w:style w:type="paragraph" w:styleId="ListBullet5">
    <w:name w:val="List Bullet 5"/>
    <w:basedOn w:val="Normal"/>
    <w:semiHidden/>
    <w:rsid w:val="00C3452B"/>
    <w:pPr>
      <w:numPr>
        <w:numId w:val="14"/>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15"/>
      </w:numPr>
    </w:pPr>
  </w:style>
  <w:style w:type="paragraph" w:styleId="ListNumber2">
    <w:name w:val="List Number 2"/>
    <w:basedOn w:val="Normal"/>
    <w:semiHidden/>
    <w:rsid w:val="00C3452B"/>
    <w:pPr>
      <w:numPr>
        <w:numId w:val="16"/>
      </w:numPr>
    </w:pPr>
  </w:style>
  <w:style w:type="paragraph" w:styleId="ListNumber3">
    <w:name w:val="List Number 3"/>
    <w:basedOn w:val="Normal"/>
    <w:semiHidden/>
    <w:rsid w:val="00C3452B"/>
    <w:pPr>
      <w:numPr>
        <w:numId w:val="17"/>
      </w:numPr>
    </w:pPr>
  </w:style>
  <w:style w:type="paragraph" w:styleId="ListNumber4">
    <w:name w:val="List Number 4"/>
    <w:basedOn w:val="Normal"/>
    <w:semiHidden/>
    <w:rsid w:val="00C3452B"/>
    <w:pPr>
      <w:numPr>
        <w:numId w:val="18"/>
      </w:numPr>
    </w:pPr>
  </w:style>
  <w:style w:type="paragraph" w:styleId="ListNumber5">
    <w:name w:val="List Number 5"/>
    <w:basedOn w:val="Normal"/>
    <w:semiHidden/>
    <w:rsid w:val="00C3452B"/>
    <w:pPr>
      <w:numPr>
        <w:numId w:val="19"/>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20"/>
      </w:numPr>
    </w:pPr>
  </w:style>
  <w:style w:type="paragraph" w:customStyle="1" w:styleId="tabledotpoint2">
    <w:name w:val="table dot point 2"/>
    <w:basedOn w:val="tabletext"/>
    <w:rsid w:val="00C3452B"/>
    <w:pPr>
      <w:numPr>
        <w:ilvl w:val="1"/>
        <w:numId w:val="20"/>
      </w:numPr>
    </w:pPr>
  </w:style>
  <w:style w:type="numbering" w:customStyle="1" w:styleId="TableDotPointList">
    <w:name w:val="Table Dot Point List"/>
    <w:uiPriority w:val="99"/>
    <w:rsid w:val="00C3452B"/>
    <w:pPr>
      <w:numPr>
        <w:numId w:val="20"/>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4"/>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4A499B"/>
    <w:rPr>
      <w:sz w:val="16"/>
      <w:szCs w:val="16"/>
    </w:rPr>
  </w:style>
  <w:style w:type="paragraph" w:styleId="CommentText">
    <w:name w:val="annotation text"/>
    <w:basedOn w:val="Normal"/>
    <w:link w:val="CommentTextChar"/>
    <w:uiPriority w:val="99"/>
    <w:semiHidden/>
    <w:unhideWhenUsed/>
    <w:rsid w:val="004A499B"/>
    <w:rPr>
      <w:sz w:val="20"/>
    </w:rPr>
  </w:style>
  <w:style w:type="character" w:customStyle="1" w:styleId="CommentTextChar">
    <w:name w:val="Comment Text Char"/>
    <w:basedOn w:val="DefaultParagraphFont"/>
    <w:link w:val="CommentText"/>
    <w:uiPriority w:val="99"/>
    <w:semiHidden/>
    <w:rsid w:val="004A499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A499B"/>
    <w:rPr>
      <w:b/>
      <w:bCs/>
    </w:rPr>
  </w:style>
  <w:style w:type="character" w:customStyle="1" w:styleId="CommentSubjectChar">
    <w:name w:val="Comment Subject Char"/>
    <w:basedOn w:val="CommentTextChar"/>
    <w:link w:val="CommentSubject"/>
    <w:uiPriority w:val="99"/>
    <w:semiHidden/>
    <w:rsid w:val="004A499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A499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9B"/>
    <w:rPr>
      <w:rFonts w:ascii="Segoe UI" w:eastAsia="Times New Roman" w:hAnsi="Segoe UI" w:cs="Segoe UI"/>
      <w:sz w:val="18"/>
      <w:szCs w:val="18"/>
      <w:lang w:eastAsia="en-AU"/>
    </w:rPr>
  </w:style>
  <w:style w:type="paragraph" w:customStyle="1" w:styleId="Bullet">
    <w:name w:val="Bullet"/>
    <w:basedOn w:val="Normal"/>
    <w:link w:val="BulletChar"/>
    <w:rsid w:val="00863C9A"/>
    <w:pPr>
      <w:numPr>
        <w:numId w:val="22"/>
      </w:numPr>
    </w:pPr>
  </w:style>
  <w:style w:type="character" w:customStyle="1" w:styleId="base-text-paragraphnonumbersChar">
    <w:name w:val="base-text-paragraph no numbers Char"/>
    <w:basedOn w:val="DefaultParagraphFont"/>
    <w:link w:val="base-text-paragraphnonumbers"/>
    <w:rsid w:val="00863C9A"/>
    <w:rPr>
      <w:rFonts w:ascii="Times New Roman" w:eastAsia="Times New Roman" w:hAnsi="Times New Roman" w:cs="Times New Roman"/>
      <w:szCs w:val="20"/>
      <w:lang w:eastAsia="en-AU"/>
    </w:rPr>
  </w:style>
  <w:style w:type="character" w:customStyle="1" w:styleId="BulletChar">
    <w:name w:val="Bullet Char"/>
    <w:basedOn w:val="base-text-paragraphnonumbersChar"/>
    <w:link w:val="Bullet"/>
    <w:rsid w:val="00863C9A"/>
    <w:rPr>
      <w:rFonts w:ascii="Times New Roman" w:eastAsia="Times New Roman" w:hAnsi="Times New Roman" w:cs="Times New Roman"/>
      <w:szCs w:val="20"/>
      <w:lang w:eastAsia="en-AU"/>
    </w:rPr>
  </w:style>
  <w:style w:type="paragraph" w:customStyle="1" w:styleId="Dash">
    <w:name w:val="Dash"/>
    <w:basedOn w:val="Normal"/>
    <w:link w:val="DashChar"/>
    <w:rsid w:val="00863C9A"/>
    <w:pPr>
      <w:numPr>
        <w:ilvl w:val="1"/>
        <w:numId w:val="22"/>
      </w:numPr>
    </w:pPr>
  </w:style>
  <w:style w:type="character" w:customStyle="1" w:styleId="DashChar">
    <w:name w:val="Dash Char"/>
    <w:basedOn w:val="base-text-paragraphnonumbersChar"/>
    <w:link w:val="Dash"/>
    <w:rsid w:val="00863C9A"/>
    <w:rPr>
      <w:rFonts w:ascii="Times New Roman" w:eastAsia="Times New Roman" w:hAnsi="Times New Roman" w:cs="Times New Roman"/>
      <w:szCs w:val="20"/>
      <w:lang w:eastAsia="en-AU"/>
    </w:rPr>
  </w:style>
  <w:style w:type="paragraph" w:customStyle="1" w:styleId="DoubleDot">
    <w:name w:val="Double Dot"/>
    <w:basedOn w:val="Normal"/>
    <w:link w:val="DoubleDotChar"/>
    <w:rsid w:val="00863C9A"/>
    <w:pPr>
      <w:numPr>
        <w:ilvl w:val="2"/>
        <w:numId w:val="22"/>
      </w:numPr>
    </w:pPr>
  </w:style>
  <w:style w:type="character" w:customStyle="1" w:styleId="DoubleDotChar">
    <w:name w:val="Double Dot Char"/>
    <w:basedOn w:val="base-text-paragraphnonumbersChar"/>
    <w:link w:val="DoubleDot"/>
    <w:rsid w:val="00863C9A"/>
    <w:rPr>
      <w:rFonts w:ascii="Times New Roman" w:eastAsia="Times New Roman" w:hAnsi="Times New Roman" w:cs="Times New Roman"/>
      <w:szCs w:val="20"/>
      <w:lang w:eastAsia="en-AU"/>
    </w:rPr>
  </w:style>
  <w:style w:type="paragraph" w:styleId="Revision">
    <w:name w:val="Revision"/>
    <w:hidden/>
    <w:uiPriority w:val="99"/>
    <w:semiHidden/>
    <w:rsid w:val="00EB71C4"/>
    <w:pPr>
      <w:spacing w:after="0" w:line="240" w:lineRule="auto"/>
    </w:pPr>
    <w:rPr>
      <w:rFonts w:ascii="Times New Roman" w:eastAsia="Times New Roman" w:hAnsi="Times New Roman" w:cs="Times New Roman"/>
      <w:szCs w:val="20"/>
      <w:lang w:eastAsia="en-AU"/>
    </w:rPr>
  </w:style>
  <w:style w:type="paragraph" w:customStyle="1" w:styleId="OutlineNumbered1">
    <w:name w:val="Outline Numbered 1"/>
    <w:basedOn w:val="Normal"/>
    <w:link w:val="OutlineNumbered1Char"/>
    <w:rsid w:val="00B7222A"/>
    <w:pPr>
      <w:numPr>
        <w:numId w:val="25"/>
      </w:numPr>
    </w:pPr>
  </w:style>
  <w:style w:type="character" w:customStyle="1" w:styleId="OutlineNumbered1Char">
    <w:name w:val="Outline Numbered 1 Char"/>
    <w:basedOn w:val="base-text-paragraphChar"/>
    <w:link w:val="OutlineNumbered1"/>
    <w:rsid w:val="00C61350"/>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C61350"/>
    <w:pPr>
      <w:numPr>
        <w:ilvl w:val="1"/>
        <w:numId w:val="25"/>
      </w:numPr>
    </w:pPr>
  </w:style>
  <w:style w:type="character" w:customStyle="1" w:styleId="OutlineNumbered2Char">
    <w:name w:val="Outline Numbered 2 Char"/>
    <w:basedOn w:val="base-text-paragraphChar"/>
    <w:link w:val="OutlineNumbered2"/>
    <w:rsid w:val="00C61350"/>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C61350"/>
    <w:pPr>
      <w:ind w:left="1134"/>
    </w:pPr>
  </w:style>
  <w:style w:type="character" w:customStyle="1" w:styleId="OutlineNumbered3Char">
    <w:name w:val="Outline Numbered 3 Char"/>
    <w:basedOn w:val="base-text-paragraphChar"/>
    <w:link w:val="OutlineNumbered3"/>
    <w:rsid w:val="00C61350"/>
    <w:rPr>
      <w:rFonts w:ascii="Times New Roman" w:eastAsia="Times New Roman" w:hAnsi="Times New Roman" w:cs="Times New Roman"/>
      <w:szCs w:val="20"/>
      <w:lang w:eastAsia="en-AU"/>
    </w:rPr>
  </w:style>
  <w:style w:type="paragraph" w:customStyle="1" w:styleId="Dotpoint1">
    <w:name w:val="Dot point 1"/>
    <w:basedOn w:val="Normal"/>
    <w:link w:val="Dotpoint1Char"/>
    <w:uiPriority w:val="1"/>
    <w:qFormat/>
    <w:rsid w:val="0014264D"/>
    <w:pPr>
      <w:numPr>
        <w:numId w:val="26"/>
      </w:numPr>
    </w:pPr>
    <w:rPr>
      <w:rFonts w:eastAsiaTheme="minorHAnsi" w:cstheme="minorBidi"/>
      <w:szCs w:val="22"/>
      <w:lang w:eastAsia="en-US"/>
    </w:rPr>
  </w:style>
  <w:style w:type="character" w:customStyle="1" w:styleId="Dotpoint1Char">
    <w:name w:val="Dot point 1 Char"/>
    <w:basedOn w:val="DefaultParagraphFont"/>
    <w:link w:val="Dotpoint1"/>
    <w:uiPriority w:val="1"/>
    <w:rsid w:val="0014264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2226">
      <w:bodyDiv w:val="1"/>
      <w:marLeft w:val="0"/>
      <w:marRight w:val="0"/>
      <w:marTop w:val="0"/>
      <w:marBottom w:val="0"/>
      <w:divBdr>
        <w:top w:val="none" w:sz="0" w:space="0" w:color="auto"/>
        <w:left w:val="none" w:sz="0" w:space="0" w:color="auto"/>
        <w:bottom w:val="none" w:sz="0" w:space="0" w:color="auto"/>
        <w:right w:val="none" w:sz="0" w:space="0" w:color="auto"/>
      </w:divBdr>
    </w:div>
    <w:div w:id="67073506">
      <w:bodyDiv w:val="1"/>
      <w:marLeft w:val="0"/>
      <w:marRight w:val="0"/>
      <w:marTop w:val="0"/>
      <w:marBottom w:val="0"/>
      <w:divBdr>
        <w:top w:val="none" w:sz="0" w:space="0" w:color="auto"/>
        <w:left w:val="none" w:sz="0" w:space="0" w:color="auto"/>
        <w:bottom w:val="none" w:sz="0" w:space="0" w:color="auto"/>
        <w:right w:val="none" w:sz="0" w:space="0" w:color="auto"/>
      </w:divBdr>
    </w:div>
    <w:div w:id="350230134">
      <w:bodyDiv w:val="1"/>
      <w:marLeft w:val="0"/>
      <w:marRight w:val="0"/>
      <w:marTop w:val="0"/>
      <w:marBottom w:val="0"/>
      <w:divBdr>
        <w:top w:val="none" w:sz="0" w:space="0" w:color="auto"/>
        <w:left w:val="none" w:sz="0" w:space="0" w:color="auto"/>
        <w:bottom w:val="none" w:sz="0" w:space="0" w:color="auto"/>
        <w:right w:val="none" w:sz="0" w:space="0" w:color="auto"/>
      </w:divBdr>
    </w:div>
    <w:div w:id="567113876">
      <w:bodyDiv w:val="1"/>
      <w:marLeft w:val="0"/>
      <w:marRight w:val="0"/>
      <w:marTop w:val="0"/>
      <w:marBottom w:val="0"/>
      <w:divBdr>
        <w:top w:val="none" w:sz="0" w:space="0" w:color="auto"/>
        <w:left w:val="none" w:sz="0" w:space="0" w:color="auto"/>
        <w:bottom w:val="none" w:sz="0" w:space="0" w:color="auto"/>
        <w:right w:val="none" w:sz="0" w:space="0" w:color="auto"/>
      </w:divBdr>
    </w:div>
    <w:div w:id="1284456333">
      <w:bodyDiv w:val="1"/>
      <w:marLeft w:val="0"/>
      <w:marRight w:val="0"/>
      <w:marTop w:val="0"/>
      <w:marBottom w:val="0"/>
      <w:divBdr>
        <w:top w:val="none" w:sz="0" w:space="0" w:color="auto"/>
        <w:left w:val="none" w:sz="0" w:space="0" w:color="auto"/>
        <w:bottom w:val="none" w:sz="0" w:space="0" w:color="auto"/>
        <w:right w:val="none" w:sz="0" w:space="0" w:color="auto"/>
      </w:divBdr>
    </w:div>
    <w:div w:id="135084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2021MG-90-33232</_dlc_DocId>
    <_dlc_DocIdUrl xmlns="0f563589-9cf9-4143-b1eb-fb0534803d38">
      <Url>http://tweb/sites/mg/fsd/_layouts/15/DocIdRedir.aspx?ID=2021MG-90-33232</Url>
      <Description>2021MG-90-33232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42361" ma:contentTypeDescription=" " ma:contentTypeScope="" ma:versionID="6649e25ba05f50aff66de5912207da9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aade13847dee2df693ec129d834b4c09"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8"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FDD983A5-F5FE-4032-8BD8-0D573B7FB3E1}">
  <ds:schemaRefs>
    <ds:schemaRef ds:uri="http://schemas.microsoft.com/office/2006/metadata/properties"/>
    <ds:schemaRef ds:uri="http://schemas.microsoft.com/office/infopath/2007/PartnerControls"/>
    <ds:schemaRef ds:uri="d4dd4adf-ddb3-46a3-8d7c-fab3fb2a6bc7"/>
    <ds:schemaRef ds:uri="http://schemas.microsoft.com/sharepoint/v4"/>
    <ds:schemaRef ds:uri="0f563589-9cf9-4143-b1eb-fb0534803d38"/>
  </ds:schemaRefs>
</ds:datastoreItem>
</file>

<file path=customXml/itemProps2.xml><?xml version="1.0" encoding="utf-8"?>
<ds:datastoreItem xmlns:ds="http://schemas.openxmlformats.org/officeDocument/2006/customXml" ds:itemID="{56C7D186-05A7-45C0-95C8-2F3D7C29F00B}">
  <ds:schemaRefs>
    <ds:schemaRef ds:uri="http://schemas.microsoft.com/sharepoint/v3/contenttype/forms"/>
  </ds:schemaRefs>
</ds:datastoreItem>
</file>

<file path=customXml/itemProps3.xml><?xml version="1.0" encoding="utf-8"?>
<ds:datastoreItem xmlns:ds="http://schemas.openxmlformats.org/officeDocument/2006/customXml" ds:itemID="{2396C694-E580-4824-9CEB-50824B009D72}">
  <ds:schemaRefs>
    <ds:schemaRef ds:uri="http://schemas.microsoft.com/sharepoint/events"/>
  </ds:schemaRefs>
</ds:datastoreItem>
</file>

<file path=customXml/itemProps4.xml><?xml version="1.0" encoding="utf-8"?>
<ds:datastoreItem xmlns:ds="http://schemas.openxmlformats.org/officeDocument/2006/customXml" ds:itemID="{DBB2445D-7FA8-43FA-985A-F886698ABEE9}">
  <ds:schemaRefs>
    <ds:schemaRef ds:uri="http://schemas.openxmlformats.org/officeDocument/2006/bibliography"/>
  </ds:schemaRefs>
</ds:datastoreItem>
</file>

<file path=customXml/itemProps5.xml><?xml version="1.0" encoding="utf-8"?>
<ds:datastoreItem xmlns:ds="http://schemas.openxmlformats.org/officeDocument/2006/customXml" ds:itemID="{34EA16D2-1F50-401A-945F-6F3D893D5EF0}">
  <ds:schemaRefs>
    <ds:schemaRef ds:uri="http://schemas.microsoft.com/sharepoint/events"/>
  </ds:schemaRefs>
</ds:datastoreItem>
</file>

<file path=customXml/itemProps6.xml><?xml version="1.0" encoding="utf-8"?>
<ds:datastoreItem xmlns:ds="http://schemas.openxmlformats.org/officeDocument/2006/customXml" ds:itemID="{87B9D3C7-484E-4F25-89FF-F3141E8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5F7B750-3F45-4F43-A187-DD5E47F39D5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Pri-EM.dotx</Template>
  <TotalTime>9</TotalTime>
  <Pages>29</Pages>
  <Words>8238</Words>
  <Characters>43075</Characters>
  <Application>Microsoft Office Word</Application>
  <DocSecurity>0</DocSecurity>
  <Lines>1006</Lines>
  <Paragraphs>282</Paragraphs>
  <ScaleCrop>false</ScaleCrop>
  <HeadingPairs>
    <vt:vector size="2" baseType="variant">
      <vt:variant>
        <vt:lpstr>Title</vt:lpstr>
      </vt:variant>
      <vt:variant>
        <vt:i4>1</vt:i4>
      </vt:variant>
    </vt:vector>
  </HeadingPairs>
  <TitlesOfParts>
    <vt:vector size="1" baseType="lpstr">
      <vt:lpstr>Exposure Draft Explanatory Materials: Treasury Laws Amendment (Modernising Business Communications) Bill 2021</vt:lpstr>
    </vt:vector>
  </TitlesOfParts>
  <Company/>
  <LinksUpToDate>false</LinksUpToDate>
  <CharactersWithSpaces>51126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Treasury Laws Amendment (Modernising Business Communications) Bill 2021</dc:title>
  <dc:subject/>
  <dc:creator>Australian Government</dc:creator>
  <cp:keywords/>
  <dc:description/>
  <cp:lastModifiedBy>Smith, Matthew</cp:lastModifiedBy>
  <cp:revision>6</cp:revision>
  <cp:lastPrinted>2021-11-03T03:19:00Z</cp:lastPrinted>
  <dcterms:created xsi:type="dcterms:W3CDTF">2021-11-12T00:39:00Z</dcterms:created>
  <dcterms:modified xsi:type="dcterms:W3CDTF">2021-11-16T02:18:00Z</dcterms:modified>
</cp:coreProperties>
</file>