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6EBB1" w14:textId="77777777" w:rsidR="007F247F" w:rsidRDefault="007F247F" w:rsidP="007F247F">
      <w:pPr>
        <w:pStyle w:val="Baseparagraphcentred"/>
      </w:pPr>
    </w:p>
    <w:p w14:paraId="5E4CA48A" w14:textId="77777777" w:rsidR="007F247F" w:rsidRDefault="007F247F" w:rsidP="007F247F">
      <w:pPr>
        <w:pStyle w:val="Baseparagraphcentred"/>
      </w:pPr>
    </w:p>
    <w:p w14:paraId="3D5127A9" w14:textId="77777777" w:rsidR="007F247F" w:rsidRDefault="007F247F" w:rsidP="007F247F">
      <w:pPr>
        <w:pStyle w:val="Baseparagraphcentred"/>
      </w:pPr>
    </w:p>
    <w:p w14:paraId="46589B20" w14:textId="77777777" w:rsidR="00121A29" w:rsidRDefault="00121A29" w:rsidP="007F247F">
      <w:pPr>
        <w:pStyle w:val="Baseparagraphcentred"/>
      </w:pPr>
    </w:p>
    <w:p w14:paraId="5BD7F5F3" w14:textId="77777777" w:rsidR="00121A29" w:rsidRDefault="00121A29" w:rsidP="007F247F">
      <w:pPr>
        <w:pStyle w:val="Baseparagraphcentred"/>
      </w:pPr>
    </w:p>
    <w:p w14:paraId="26DDBAC6" w14:textId="77777777" w:rsidR="00121A29" w:rsidRDefault="00121A29" w:rsidP="007F247F">
      <w:pPr>
        <w:pStyle w:val="Baseparagraphcentred"/>
      </w:pPr>
    </w:p>
    <w:p w14:paraId="44650204" w14:textId="77777777" w:rsidR="00121A29" w:rsidRDefault="00121A29" w:rsidP="007F247F">
      <w:pPr>
        <w:pStyle w:val="Baseparagraphcentred"/>
      </w:pPr>
    </w:p>
    <w:p w14:paraId="325F61B6" w14:textId="77777777" w:rsidR="00121A29" w:rsidRDefault="00121A29" w:rsidP="007F247F">
      <w:pPr>
        <w:pStyle w:val="Baseparagraphcentred"/>
      </w:pPr>
    </w:p>
    <w:p w14:paraId="42ED7F8A" w14:textId="77777777" w:rsidR="00121A29" w:rsidRDefault="00121A29" w:rsidP="007F247F">
      <w:pPr>
        <w:pStyle w:val="Baseparagraphcentred"/>
      </w:pPr>
    </w:p>
    <w:p w14:paraId="14B7235B" w14:textId="77777777" w:rsidR="00121A29" w:rsidRDefault="00121A29" w:rsidP="007F247F">
      <w:pPr>
        <w:pStyle w:val="Baseparagraphcentred"/>
      </w:pPr>
    </w:p>
    <w:p w14:paraId="7411FBAD" w14:textId="77777777" w:rsidR="00121A29" w:rsidRDefault="00121A29" w:rsidP="007F247F">
      <w:pPr>
        <w:pStyle w:val="Baseparagraphcentred"/>
      </w:pPr>
    </w:p>
    <w:p w14:paraId="58C830A9" w14:textId="3A516626" w:rsidR="00121A29" w:rsidRPr="003F34BA" w:rsidRDefault="00121A29" w:rsidP="00121A29">
      <w:pPr>
        <w:pStyle w:val="BillName"/>
      </w:pPr>
      <w:bookmarkStart w:id="0" w:name="_Hlk87995633"/>
      <w:r w:rsidRPr="003F34BA">
        <w:t>COMPETITION AND CONSUMER AMENDMENT (NATIONAL ACCESS REGIME) BILL</w:t>
      </w:r>
      <w:r w:rsidR="00E026B7" w:rsidRPr="003F34BA">
        <w:t xml:space="preserve"> 2021</w:t>
      </w:r>
    </w:p>
    <w:bookmarkEnd w:id="0"/>
    <w:p w14:paraId="6D46AB09" w14:textId="53A84B66" w:rsidR="00121A29" w:rsidRPr="003F34BA" w:rsidRDefault="00121A29" w:rsidP="007F247F">
      <w:pPr>
        <w:pStyle w:val="Baseparagraphcentred"/>
      </w:pPr>
    </w:p>
    <w:p w14:paraId="7A617B97" w14:textId="7B2AA6AF" w:rsidR="00121A29" w:rsidRPr="003F34BA" w:rsidRDefault="00121A29" w:rsidP="007F247F">
      <w:pPr>
        <w:pStyle w:val="Baseparagraphcentred"/>
      </w:pPr>
    </w:p>
    <w:p w14:paraId="2E498BAD" w14:textId="197A035F" w:rsidR="00121A29" w:rsidRPr="003F34BA" w:rsidRDefault="00121A29" w:rsidP="007F247F">
      <w:pPr>
        <w:pStyle w:val="Baseparagraphcentred"/>
      </w:pPr>
    </w:p>
    <w:p w14:paraId="78E00470" w14:textId="77777777" w:rsidR="00121A29" w:rsidRPr="003F34BA" w:rsidRDefault="00121A29" w:rsidP="007F247F">
      <w:pPr>
        <w:pStyle w:val="Baseparagraphcentred"/>
      </w:pPr>
    </w:p>
    <w:p w14:paraId="78611B7C" w14:textId="77777777" w:rsidR="00121A29" w:rsidRPr="003F34BA" w:rsidRDefault="00121A29" w:rsidP="00121A29">
      <w:pPr>
        <w:pStyle w:val="Baseparagraphcentred"/>
      </w:pPr>
      <w:r w:rsidRPr="003F34BA">
        <w:t>EXPOSURE DRAFT EXPLANATORY MATERIALS</w:t>
      </w:r>
    </w:p>
    <w:p w14:paraId="1C526236" w14:textId="77777777" w:rsidR="00121A29" w:rsidRPr="003F34BA" w:rsidRDefault="00121A29" w:rsidP="007F247F">
      <w:pPr>
        <w:pStyle w:val="Baseparagraphcentred"/>
      </w:pPr>
    </w:p>
    <w:p w14:paraId="33FD0493" w14:textId="77777777" w:rsidR="00121A29" w:rsidRPr="003F34BA" w:rsidRDefault="00121A29" w:rsidP="007F247F">
      <w:pPr>
        <w:pStyle w:val="Baseparagraphcentred"/>
      </w:pPr>
    </w:p>
    <w:p w14:paraId="3B8DB6AC" w14:textId="77777777" w:rsidR="00121A29" w:rsidRPr="003F34BA" w:rsidRDefault="00121A29" w:rsidP="007F247F">
      <w:pPr>
        <w:pStyle w:val="Baseparagraphcentred"/>
      </w:pPr>
    </w:p>
    <w:p w14:paraId="60609DDD" w14:textId="77777777" w:rsidR="00121A29" w:rsidRPr="003F34BA" w:rsidRDefault="00121A29" w:rsidP="007F247F">
      <w:pPr>
        <w:pStyle w:val="Baseparagraphcentred"/>
      </w:pPr>
    </w:p>
    <w:p w14:paraId="7477EAD5" w14:textId="77777777" w:rsidR="00121A29" w:rsidRPr="003F34BA" w:rsidRDefault="00121A29" w:rsidP="007F247F">
      <w:pPr>
        <w:pStyle w:val="Baseparagraphcentred"/>
      </w:pPr>
    </w:p>
    <w:p w14:paraId="32C11B96" w14:textId="77777777" w:rsidR="00121A29" w:rsidRPr="003F34BA" w:rsidRDefault="00121A29" w:rsidP="007F247F">
      <w:pPr>
        <w:pStyle w:val="Baseparagraphcentred"/>
      </w:pPr>
    </w:p>
    <w:p w14:paraId="450E2463" w14:textId="77777777" w:rsidR="00121A29" w:rsidRPr="003F34BA" w:rsidRDefault="00121A29" w:rsidP="007F247F">
      <w:pPr>
        <w:pStyle w:val="Baseparagraphcentred"/>
      </w:pPr>
    </w:p>
    <w:p w14:paraId="7D4C6CB7" w14:textId="77777777" w:rsidR="00C3452B" w:rsidRPr="003F34BA" w:rsidRDefault="00C3452B" w:rsidP="00C3452B">
      <w:pPr>
        <w:sectPr w:rsidR="00C3452B" w:rsidRPr="003F34BA" w:rsidSect="00C10AAF">
          <w:headerReference w:type="default" r:id="rId13"/>
          <w:footerReference w:type="even" r:id="rId14"/>
          <w:footerReference w:type="default" r:id="rId15"/>
          <w:headerReference w:type="first" r:id="rId16"/>
          <w:footerReference w:type="first" r:id="rId17"/>
          <w:type w:val="oddPage"/>
          <w:pgSz w:w="9979" w:h="14175" w:code="138"/>
          <w:pgMar w:top="567" w:right="1134" w:bottom="567" w:left="1134" w:header="709" w:footer="709" w:gutter="0"/>
          <w:cols w:space="708"/>
          <w:titlePg/>
          <w:docGrid w:linePitch="360"/>
        </w:sectPr>
      </w:pPr>
    </w:p>
    <w:p w14:paraId="77F39F3D" w14:textId="77777777" w:rsidR="00C3452B" w:rsidRPr="003F34BA" w:rsidRDefault="00C3452B" w:rsidP="00C3452B">
      <w:pPr>
        <w:pStyle w:val="TOCHeading"/>
      </w:pPr>
      <w:r w:rsidRPr="003F34BA">
        <w:lastRenderedPageBreak/>
        <w:t>Table of contents</w:t>
      </w:r>
    </w:p>
    <w:p w14:paraId="6118DB06" w14:textId="2C4E8265" w:rsidR="00121A29" w:rsidRPr="003F34BA" w:rsidRDefault="00C3452B">
      <w:pPr>
        <w:pStyle w:val="TOC2"/>
        <w:rPr>
          <w:rFonts w:asciiTheme="minorHAnsi" w:eastAsiaTheme="minorEastAsia" w:hAnsiTheme="minorHAnsi" w:cstheme="minorBidi"/>
          <w:sz w:val="22"/>
          <w:szCs w:val="22"/>
        </w:rPr>
      </w:pPr>
      <w:r w:rsidRPr="003F34BA">
        <w:fldChar w:fldCharType="begin"/>
      </w:r>
      <w:r w:rsidRPr="003F34BA">
        <w:instrText xml:space="preserve"> TOC \t "Chapter Heading,1,Chapter heading subdocument,2" </w:instrText>
      </w:r>
      <w:r w:rsidRPr="003F34BA">
        <w:fldChar w:fldCharType="separate"/>
      </w:r>
      <w:r w:rsidR="00121A29" w:rsidRPr="003F34BA">
        <w:t>Glossary</w:t>
      </w:r>
      <w:r w:rsidR="00121A29" w:rsidRPr="003F34BA">
        <w:tab/>
      </w:r>
      <w:r w:rsidR="00121A29" w:rsidRPr="003F34BA">
        <w:fldChar w:fldCharType="begin"/>
      </w:r>
      <w:r w:rsidR="00121A29" w:rsidRPr="003F34BA">
        <w:instrText xml:space="preserve"> PAGEREF _Toc87981907 \h </w:instrText>
      </w:r>
      <w:r w:rsidR="00121A29" w:rsidRPr="003F34BA">
        <w:fldChar w:fldCharType="separate"/>
      </w:r>
      <w:r w:rsidR="00121A29" w:rsidRPr="003F34BA">
        <w:t>1</w:t>
      </w:r>
      <w:r w:rsidR="00121A29" w:rsidRPr="003F34BA">
        <w:fldChar w:fldCharType="end"/>
      </w:r>
    </w:p>
    <w:p w14:paraId="11976D98" w14:textId="553000AB" w:rsidR="00121A29" w:rsidRPr="003F34BA" w:rsidRDefault="00121A29">
      <w:pPr>
        <w:pStyle w:val="TOC1"/>
        <w:rPr>
          <w:rFonts w:asciiTheme="minorHAnsi" w:eastAsiaTheme="minorEastAsia" w:hAnsiTheme="minorHAnsi" w:cstheme="minorBidi"/>
          <w:noProof/>
          <w:sz w:val="22"/>
          <w:szCs w:val="22"/>
        </w:rPr>
      </w:pPr>
      <w:r w:rsidRPr="003F34BA">
        <w:rPr>
          <w:noProof/>
        </w:rPr>
        <w:t>Chapter 1</w:t>
      </w:r>
      <w:r w:rsidRPr="003F34BA">
        <w:rPr>
          <w:rFonts w:asciiTheme="minorHAnsi" w:eastAsiaTheme="minorEastAsia" w:hAnsiTheme="minorHAnsi" w:cstheme="minorBidi"/>
          <w:noProof/>
          <w:sz w:val="22"/>
          <w:szCs w:val="22"/>
        </w:rPr>
        <w:tab/>
      </w:r>
      <w:r w:rsidRPr="003F34BA">
        <w:rPr>
          <w:noProof/>
        </w:rPr>
        <w:t>Improving timeliness of processes</w:t>
      </w:r>
      <w:r w:rsidRPr="003F34BA">
        <w:rPr>
          <w:noProof/>
        </w:rPr>
        <w:tab/>
      </w:r>
      <w:r w:rsidRPr="003F34BA">
        <w:rPr>
          <w:noProof/>
        </w:rPr>
        <w:fldChar w:fldCharType="begin"/>
      </w:r>
      <w:r w:rsidRPr="003F34BA">
        <w:rPr>
          <w:noProof/>
        </w:rPr>
        <w:instrText xml:space="preserve"> PAGEREF _Toc87981908 \h </w:instrText>
      </w:r>
      <w:r w:rsidRPr="003F34BA">
        <w:rPr>
          <w:noProof/>
        </w:rPr>
      </w:r>
      <w:r w:rsidRPr="003F34BA">
        <w:rPr>
          <w:noProof/>
        </w:rPr>
        <w:fldChar w:fldCharType="separate"/>
      </w:r>
      <w:r w:rsidRPr="003F34BA">
        <w:rPr>
          <w:noProof/>
        </w:rPr>
        <w:t>3</w:t>
      </w:r>
      <w:r w:rsidRPr="003F34BA">
        <w:rPr>
          <w:noProof/>
        </w:rPr>
        <w:fldChar w:fldCharType="end"/>
      </w:r>
    </w:p>
    <w:p w14:paraId="1AE8282C" w14:textId="79540FB8" w:rsidR="00C3452B" w:rsidRPr="003F34BA" w:rsidRDefault="00C3452B" w:rsidP="00C3452B">
      <w:pPr>
        <w:rPr>
          <w:rFonts w:ascii="Helvetica" w:hAnsi="Helvetica"/>
          <w:noProof/>
          <w:sz w:val="24"/>
        </w:rPr>
      </w:pPr>
      <w:r w:rsidRPr="003F34BA">
        <w:rPr>
          <w:rFonts w:ascii="Helvetica" w:hAnsi="Helvetica"/>
          <w:noProof/>
          <w:sz w:val="24"/>
        </w:rPr>
        <w:fldChar w:fldCharType="end"/>
      </w:r>
    </w:p>
    <w:p w14:paraId="563270D9" w14:textId="5F782E18" w:rsidR="00E4746F" w:rsidRPr="003F34BA" w:rsidRDefault="00E4746F" w:rsidP="00C3452B">
      <w:pPr>
        <w:rPr>
          <w:rFonts w:ascii="Helvetica" w:hAnsi="Helvetica"/>
          <w:noProof/>
          <w:sz w:val="24"/>
        </w:rPr>
      </w:pPr>
    </w:p>
    <w:p w14:paraId="2D683827" w14:textId="77777777" w:rsidR="00C3452B" w:rsidRPr="003F34BA" w:rsidRDefault="00C3452B" w:rsidP="00C3452B">
      <w:pPr>
        <w:pStyle w:val="base-text-paragraphnonumbers"/>
        <w:sectPr w:rsidR="00C3452B" w:rsidRPr="003F34BA" w:rsidSect="00C10AAF">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123EEB84" w14:textId="3CA02717" w:rsidR="00C3452B" w:rsidRPr="003F34BA" w:rsidRDefault="00C3452B" w:rsidP="00121A29">
      <w:pPr>
        <w:pStyle w:val="Chapterheadingsubdocument"/>
        <w:pBdr>
          <w:bottom w:val="single" w:sz="4" w:space="0" w:color="auto"/>
        </w:pBdr>
        <w:outlineLvl w:val="0"/>
      </w:pPr>
      <w:bookmarkStart w:id="23" w:name="GlossaryTableStart"/>
      <w:bookmarkStart w:id="24" w:name="_Toc87981907"/>
      <w:bookmarkEnd w:id="23"/>
      <w:r w:rsidRPr="003F34BA">
        <w:rPr>
          <w:rStyle w:val="ChapterNameOnly"/>
        </w:rPr>
        <w:lastRenderedPageBreak/>
        <w:t>Glossary</w:t>
      </w:r>
      <w:bookmarkEnd w:id="24"/>
    </w:p>
    <w:p w14:paraId="12DDD50A" w14:textId="52EA9D90" w:rsidR="00C3452B" w:rsidRPr="003F34BA" w:rsidRDefault="00C3452B" w:rsidP="00C3452B">
      <w:pPr>
        <w:pStyle w:val="BTPwithextraspacing"/>
      </w:pPr>
      <w:r w:rsidRPr="003F34BA">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3F34BA" w14:paraId="4A5BE126" w14:textId="391CF9C2" w:rsidTr="00F74BD2">
        <w:tc>
          <w:tcPr>
            <w:tcW w:w="2721" w:type="dxa"/>
          </w:tcPr>
          <w:p w14:paraId="634288F1" w14:textId="074036BF" w:rsidR="00C3452B" w:rsidRPr="003F34BA" w:rsidRDefault="00C3452B" w:rsidP="00E65F63">
            <w:pPr>
              <w:pStyle w:val="tableheaderwithintable"/>
            </w:pPr>
            <w:r w:rsidRPr="003F34BA">
              <w:t>Abbreviation</w:t>
            </w:r>
          </w:p>
        </w:tc>
        <w:tc>
          <w:tcPr>
            <w:tcW w:w="3885" w:type="dxa"/>
          </w:tcPr>
          <w:p w14:paraId="0A8C7B1E" w14:textId="00402D78" w:rsidR="00C3452B" w:rsidRPr="003F34BA" w:rsidRDefault="00C3452B" w:rsidP="00E65F63">
            <w:pPr>
              <w:pStyle w:val="tableheaderwithintable"/>
            </w:pPr>
            <w:r w:rsidRPr="003F34BA">
              <w:t>Definition</w:t>
            </w:r>
          </w:p>
        </w:tc>
      </w:tr>
      <w:tr w:rsidR="00F74BD2" w:rsidRPr="003F34BA" w14:paraId="3B8BCA28" w14:textId="03B79B6E" w:rsidTr="00F74BD2">
        <w:tc>
          <w:tcPr>
            <w:tcW w:w="2721" w:type="dxa"/>
          </w:tcPr>
          <w:p w14:paraId="152267F8" w14:textId="357A3A47" w:rsidR="00F74BD2" w:rsidRPr="003F34BA" w:rsidRDefault="00F74BD2" w:rsidP="00F74BD2">
            <w:pPr>
              <w:pStyle w:val="Glossarytabletext"/>
              <w:rPr>
                <w:lang w:val="en-US" w:eastAsia="en-US"/>
              </w:rPr>
            </w:pPr>
            <w:r w:rsidRPr="003F34BA">
              <w:rPr>
                <w:lang w:val="en-US" w:eastAsia="en-US"/>
              </w:rPr>
              <w:t>ACCC</w:t>
            </w:r>
          </w:p>
        </w:tc>
        <w:tc>
          <w:tcPr>
            <w:tcW w:w="3885" w:type="dxa"/>
          </w:tcPr>
          <w:p w14:paraId="63FB5229" w14:textId="1255E179" w:rsidR="00F74BD2" w:rsidRPr="003F34BA" w:rsidRDefault="00F74BD2" w:rsidP="00F74BD2">
            <w:pPr>
              <w:pStyle w:val="Glossarytabletext"/>
              <w:rPr>
                <w:lang w:val="en-US" w:eastAsia="en-US"/>
              </w:rPr>
            </w:pPr>
            <w:r w:rsidRPr="003F34BA">
              <w:rPr>
                <w:lang w:val="en-US" w:eastAsia="en-US"/>
              </w:rPr>
              <w:t>Australian Competition and Consumer Commission</w:t>
            </w:r>
          </w:p>
        </w:tc>
      </w:tr>
      <w:tr w:rsidR="006D53A2" w:rsidRPr="003F34BA" w14:paraId="4C3A0C79" w14:textId="7967FCC6" w:rsidTr="00F74BD2">
        <w:tc>
          <w:tcPr>
            <w:tcW w:w="2721" w:type="dxa"/>
          </w:tcPr>
          <w:p w14:paraId="3D871B7B" w14:textId="64E51BE7" w:rsidR="006D53A2" w:rsidRPr="003F34BA" w:rsidRDefault="006D53A2" w:rsidP="00F74BD2">
            <w:pPr>
              <w:pStyle w:val="Glossarytabletext"/>
              <w:rPr>
                <w:lang w:val="en-US" w:eastAsia="en-US"/>
              </w:rPr>
            </w:pPr>
            <w:r w:rsidRPr="003F34BA">
              <w:rPr>
                <w:lang w:val="en-US" w:eastAsia="en-US"/>
              </w:rPr>
              <w:t>Bill</w:t>
            </w:r>
          </w:p>
        </w:tc>
        <w:tc>
          <w:tcPr>
            <w:tcW w:w="3885" w:type="dxa"/>
          </w:tcPr>
          <w:p w14:paraId="03361115" w14:textId="630607D9" w:rsidR="006D53A2" w:rsidRPr="003F34BA" w:rsidRDefault="006D53A2" w:rsidP="00F74BD2">
            <w:pPr>
              <w:pStyle w:val="Glossarytabletext"/>
              <w:rPr>
                <w:lang w:val="en-US" w:eastAsia="en-US"/>
              </w:rPr>
            </w:pPr>
            <w:r w:rsidRPr="003F34BA">
              <w:rPr>
                <w:lang w:val="en-US" w:eastAsia="en-US"/>
              </w:rPr>
              <w:t>Competition and Consumer Amendment (National Access Regime) Bill 2021</w:t>
            </w:r>
          </w:p>
        </w:tc>
      </w:tr>
      <w:tr w:rsidR="00CE066F" w:rsidRPr="003F34BA" w14:paraId="218FA1D2" w14:textId="323A8E96" w:rsidTr="00F74BD2">
        <w:tc>
          <w:tcPr>
            <w:tcW w:w="2721" w:type="dxa"/>
          </w:tcPr>
          <w:p w14:paraId="5DA4FD08" w14:textId="6B667B1D" w:rsidR="00CE066F" w:rsidRPr="003F34BA" w:rsidRDefault="00CE066F" w:rsidP="00F74BD2">
            <w:pPr>
              <w:pStyle w:val="Glossarytabletext"/>
              <w:rPr>
                <w:lang w:val="en-US" w:eastAsia="en-US"/>
              </w:rPr>
            </w:pPr>
            <w:r w:rsidRPr="003F34BA">
              <w:t>Council</w:t>
            </w:r>
          </w:p>
        </w:tc>
        <w:tc>
          <w:tcPr>
            <w:tcW w:w="3885" w:type="dxa"/>
          </w:tcPr>
          <w:p w14:paraId="1D8C11B2" w14:textId="412B391B" w:rsidR="00CE066F" w:rsidRPr="003F34BA" w:rsidRDefault="00CE066F" w:rsidP="00F74BD2">
            <w:pPr>
              <w:pStyle w:val="Glossarytabletext"/>
              <w:rPr>
                <w:lang w:val="en-US" w:eastAsia="en-US"/>
              </w:rPr>
            </w:pPr>
            <w:r w:rsidRPr="003F34BA">
              <w:t>National Competition Council</w:t>
            </w:r>
          </w:p>
        </w:tc>
      </w:tr>
      <w:tr w:rsidR="00F74BD2" w:rsidRPr="003F34BA" w14:paraId="3658FB20" w14:textId="21B2F4C0" w:rsidTr="00F74BD2">
        <w:tc>
          <w:tcPr>
            <w:tcW w:w="2721" w:type="dxa"/>
          </w:tcPr>
          <w:p w14:paraId="7CD74382" w14:textId="4F95EED0" w:rsidR="00FA07AC" w:rsidRPr="003F34BA" w:rsidRDefault="00FA07AC" w:rsidP="00F74BD2">
            <w:pPr>
              <w:pStyle w:val="Glossarytabletext"/>
              <w:rPr>
                <w:lang w:val="en-US" w:eastAsia="en-US"/>
              </w:rPr>
            </w:pPr>
            <w:r w:rsidRPr="003F34BA">
              <w:rPr>
                <w:lang w:val="en-US" w:eastAsia="en-US"/>
              </w:rPr>
              <w:t>Competition and Consumer Act</w:t>
            </w:r>
          </w:p>
        </w:tc>
        <w:tc>
          <w:tcPr>
            <w:tcW w:w="3885" w:type="dxa"/>
          </w:tcPr>
          <w:p w14:paraId="6945D067" w14:textId="42FDE7D0" w:rsidR="00F74BD2" w:rsidRPr="003F34BA" w:rsidRDefault="00336C5F" w:rsidP="00F74BD2">
            <w:pPr>
              <w:pStyle w:val="Glossarytabletext"/>
              <w:rPr>
                <w:lang w:val="en-US" w:eastAsia="en-US"/>
              </w:rPr>
            </w:pPr>
            <w:r w:rsidRPr="003F34BA">
              <w:rPr>
                <w:i/>
                <w:iCs/>
                <w:lang w:val="en-US" w:eastAsia="en-US"/>
              </w:rPr>
              <w:t>Competition and Consumer Act 2010</w:t>
            </w:r>
          </w:p>
        </w:tc>
      </w:tr>
      <w:tr w:rsidR="00336C5F" w:rsidRPr="003F34BA" w14:paraId="26AB0F0B" w14:textId="6CBD50EF" w:rsidTr="00F74BD2">
        <w:tc>
          <w:tcPr>
            <w:tcW w:w="2721" w:type="dxa"/>
          </w:tcPr>
          <w:p w14:paraId="6241C7B7" w14:textId="429C5667" w:rsidR="00336C5F" w:rsidRPr="003F34BA" w:rsidRDefault="00336C5F" w:rsidP="00336C5F">
            <w:pPr>
              <w:pStyle w:val="Glossarytabletext"/>
              <w:rPr>
                <w:lang w:val="en-US" w:eastAsia="en-US"/>
              </w:rPr>
            </w:pPr>
            <w:r w:rsidRPr="003F34BA">
              <w:t>Tribunal</w:t>
            </w:r>
          </w:p>
        </w:tc>
        <w:tc>
          <w:tcPr>
            <w:tcW w:w="3885" w:type="dxa"/>
          </w:tcPr>
          <w:p w14:paraId="1097B297" w14:textId="0AF4CF31" w:rsidR="00336C5F" w:rsidRPr="003F34BA" w:rsidRDefault="00336C5F" w:rsidP="00336C5F">
            <w:pPr>
              <w:pStyle w:val="Glossarytabletext"/>
              <w:rPr>
                <w:lang w:val="en-US" w:eastAsia="en-US"/>
              </w:rPr>
            </w:pPr>
            <w:r w:rsidRPr="003F34BA">
              <w:t>Australian Competition Tribunal</w:t>
            </w:r>
          </w:p>
        </w:tc>
      </w:tr>
    </w:tbl>
    <w:p w14:paraId="6E6DF8D5" w14:textId="35D6D242" w:rsidR="00C3452B" w:rsidRPr="003F34BA" w:rsidRDefault="00C3452B" w:rsidP="00C3452B"/>
    <w:p w14:paraId="32661D2B" w14:textId="0D4CF8D5" w:rsidR="007F247F" w:rsidRPr="003F34BA" w:rsidRDefault="007F247F" w:rsidP="00C3452B"/>
    <w:p w14:paraId="666B4974" w14:textId="5CF2C876" w:rsidR="007F247F" w:rsidRPr="003F34BA" w:rsidRDefault="007F247F" w:rsidP="00C3452B"/>
    <w:p w14:paraId="0878AA34" w14:textId="690142D6" w:rsidR="007F247F" w:rsidRPr="003F34BA" w:rsidRDefault="007F247F" w:rsidP="00C3452B"/>
    <w:p w14:paraId="0F325FCE" w14:textId="706E0220" w:rsidR="007F247F" w:rsidRPr="003F34BA" w:rsidRDefault="007F247F" w:rsidP="00C3452B"/>
    <w:p w14:paraId="732B5A01" w14:textId="47548587" w:rsidR="007F247F" w:rsidRPr="003F34BA" w:rsidRDefault="007F247F" w:rsidP="00C3452B"/>
    <w:p w14:paraId="76B2C84D" w14:textId="10936848" w:rsidR="007F247F" w:rsidRPr="003F34BA" w:rsidRDefault="007F247F" w:rsidP="00C3452B"/>
    <w:p w14:paraId="7C02C23D" w14:textId="02145CA4" w:rsidR="007F247F" w:rsidRPr="003F34BA" w:rsidRDefault="007F247F" w:rsidP="00C3452B"/>
    <w:p w14:paraId="5D69EF91" w14:textId="6232A1D2" w:rsidR="007F247F" w:rsidRPr="003F34BA" w:rsidRDefault="007F247F" w:rsidP="00C3452B"/>
    <w:p w14:paraId="7A6A008A" w14:textId="4B76CF81" w:rsidR="007F247F" w:rsidRPr="003F34BA" w:rsidRDefault="007F247F" w:rsidP="00C3452B"/>
    <w:p w14:paraId="557DC9C0" w14:textId="28036D05" w:rsidR="007F247F" w:rsidRPr="003F34BA" w:rsidRDefault="007F247F" w:rsidP="00C3452B"/>
    <w:p w14:paraId="1B23A51B" w14:textId="267A1489" w:rsidR="007F247F" w:rsidRPr="003F34BA" w:rsidRDefault="007F247F" w:rsidP="00C3452B"/>
    <w:p w14:paraId="2BF7DCC8" w14:textId="34729CB1" w:rsidR="007F247F" w:rsidRPr="003F34BA" w:rsidRDefault="007F247F" w:rsidP="00C3452B"/>
    <w:p w14:paraId="79B718C4" w14:textId="2BF212BC" w:rsidR="007F247F" w:rsidRPr="003F34BA" w:rsidRDefault="007F247F" w:rsidP="00C3452B"/>
    <w:p w14:paraId="6779B4F2" w14:textId="00C58760" w:rsidR="007F247F" w:rsidRPr="003F34BA" w:rsidRDefault="007F247F" w:rsidP="00C3452B"/>
    <w:p w14:paraId="2CC43206" w14:textId="34E70F85" w:rsidR="007F247F" w:rsidRPr="003F34BA" w:rsidRDefault="007F247F" w:rsidP="00C3452B"/>
    <w:p w14:paraId="44680BAC" w14:textId="1F4B2A26" w:rsidR="007F247F" w:rsidRPr="003F34BA" w:rsidRDefault="007F247F" w:rsidP="00C3452B"/>
    <w:p w14:paraId="6F23FFA6" w14:textId="219CC810" w:rsidR="007F247F" w:rsidRPr="003F34BA" w:rsidRDefault="007F247F" w:rsidP="00C3452B"/>
    <w:p w14:paraId="20E02194" w14:textId="119E70EE" w:rsidR="00411F5F" w:rsidRPr="003F34BA" w:rsidRDefault="00411F5F" w:rsidP="00411F5F">
      <w:pPr>
        <w:pStyle w:val="dotpoint"/>
        <w:numPr>
          <w:ilvl w:val="0"/>
          <w:numId w:val="0"/>
        </w:numPr>
        <w:ind w:left="2268" w:hanging="284"/>
        <w:sectPr w:rsidR="00411F5F" w:rsidRPr="003F34BA" w:rsidSect="00C10AAF">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0AE33C36" w14:textId="55630E60" w:rsidR="00C3452B" w:rsidRPr="003F34BA" w:rsidRDefault="00C3452B" w:rsidP="00B805AB">
      <w:pPr>
        <w:pStyle w:val="ChapterHeading"/>
        <w:numPr>
          <w:ilvl w:val="0"/>
          <w:numId w:val="20"/>
        </w:numPr>
      </w:pPr>
      <w:r w:rsidRPr="003F34BA">
        <w:lastRenderedPageBreak/>
        <w:br/>
      </w:r>
      <w:bookmarkStart w:id="31" w:name="_Toc87981908"/>
      <w:r w:rsidR="0079398A" w:rsidRPr="003F34BA">
        <w:rPr>
          <w:rStyle w:val="ChapterNameOnly"/>
        </w:rPr>
        <w:t xml:space="preserve">Improving timeliness of </w:t>
      </w:r>
      <w:r w:rsidR="00045732" w:rsidRPr="003F34BA">
        <w:rPr>
          <w:rStyle w:val="ChapterNameOnly"/>
        </w:rPr>
        <w:t>processes</w:t>
      </w:r>
      <w:bookmarkEnd w:id="31"/>
    </w:p>
    <w:p w14:paraId="4A899CF0" w14:textId="77777777" w:rsidR="00C3452B" w:rsidRPr="003F34BA" w:rsidRDefault="00C3452B" w:rsidP="00C3452B">
      <w:pPr>
        <w:pStyle w:val="Heading2"/>
      </w:pPr>
      <w:r w:rsidRPr="003F34BA">
        <w:t>Outline of chapter</w:t>
      </w:r>
    </w:p>
    <w:p w14:paraId="4F23A8C9" w14:textId="2D0D3753" w:rsidR="00B367F6" w:rsidRPr="003F34BA" w:rsidRDefault="002702E8" w:rsidP="00245B0F">
      <w:pPr>
        <w:pStyle w:val="base-text-paragraph"/>
      </w:pPr>
      <w:r w:rsidRPr="003F34BA">
        <w:t>This</w:t>
      </w:r>
      <w:r w:rsidR="00CF7595" w:rsidRPr="003F34BA">
        <w:t xml:space="preserve"> Bill</w:t>
      </w:r>
      <w:r w:rsidR="006653B7" w:rsidRPr="003F34BA">
        <w:t xml:space="preserve"> will </w:t>
      </w:r>
      <w:r w:rsidR="00CF7595" w:rsidRPr="003F34BA">
        <w:t>amend the Competition and Consumer Act to improve</w:t>
      </w:r>
      <w:r w:rsidR="001842B3" w:rsidRPr="003F34BA">
        <w:t xml:space="preserve"> the timeliness of processes under the </w:t>
      </w:r>
      <w:r w:rsidR="00DA00E2" w:rsidRPr="003F34BA">
        <w:t>National Access Regime</w:t>
      </w:r>
      <w:r w:rsidR="006653B7" w:rsidRPr="003F34BA">
        <w:t xml:space="preserve"> by</w:t>
      </w:r>
      <w:r w:rsidR="00B367F6" w:rsidRPr="003F34BA">
        <w:t>:</w:t>
      </w:r>
    </w:p>
    <w:p w14:paraId="5F56B4EA" w14:textId="52E72C7D" w:rsidR="001C332A" w:rsidRPr="003F34BA" w:rsidRDefault="00A649C5" w:rsidP="001C332A">
      <w:pPr>
        <w:pStyle w:val="dotpoint"/>
      </w:pPr>
      <w:r w:rsidRPr="003F34BA">
        <w:t>removing</w:t>
      </w:r>
      <w:r w:rsidR="00061230" w:rsidRPr="003F34BA">
        <w:t xml:space="preserve"> the Tribunal’s ability to </w:t>
      </w:r>
      <w:r w:rsidRPr="003F34BA">
        <w:t xml:space="preserve">review </w:t>
      </w:r>
      <w:r w:rsidR="00061230" w:rsidRPr="003F34BA">
        <w:t xml:space="preserve">the merits </w:t>
      </w:r>
      <w:r w:rsidRPr="003F34BA">
        <w:t>o</w:t>
      </w:r>
      <w:r w:rsidR="00E37877" w:rsidRPr="003F34BA">
        <w:t xml:space="preserve">f declaration </w:t>
      </w:r>
      <w:r w:rsidR="00E026B7" w:rsidRPr="003F34BA">
        <w:t xml:space="preserve">and revocation </w:t>
      </w:r>
      <w:proofErr w:type="gramStart"/>
      <w:r w:rsidR="001C332A" w:rsidRPr="003F34BA">
        <w:t>decisions</w:t>
      </w:r>
      <w:r w:rsidR="00EA4F49" w:rsidRPr="003F34BA">
        <w:t>;</w:t>
      </w:r>
      <w:proofErr w:type="gramEnd"/>
    </w:p>
    <w:p w14:paraId="2503656B" w14:textId="1136CCDE" w:rsidR="00EA4F49" w:rsidRPr="003F34BA" w:rsidRDefault="002302DD" w:rsidP="006E280D">
      <w:pPr>
        <w:pStyle w:val="dotpoint"/>
      </w:pPr>
      <w:r w:rsidRPr="003F34BA">
        <w:t xml:space="preserve">limiting repeat </w:t>
      </w:r>
      <w:r w:rsidR="00537228" w:rsidRPr="003F34BA">
        <w:t>declaration and revocation processes</w:t>
      </w:r>
      <w:r w:rsidR="00255484" w:rsidRPr="003F34BA">
        <w:t>,</w:t>
      </w:r>
      <w:r w:rsidR="00537228" w:rsidRPr="003F34BA">
        <w:t xml:space="preserve"> </w:t>
      </w:r>
      <w:r w:rsidR="00B81F7F" w:rsidRPr="003F34BA">
        <w:t>and</w:t>
      </w:r>
    </w:p>
    <w:p w14:paraId="65E1FE3D" w14:textId="00076454" w:rsidR="004278B7" w:rsidRPr="003F34BA" w:rsidRDefault="004278B7" w:rsidP="003110BA">
      <w:pPr>
        <w:pStyle w:val="dotpoint"/>
      </w:pPr>
      <w:r w:rsidRPr="003F34BA">
        <w:t>terminat</w:t>
      </w:r>
      <w:r w:rsidR="001842B3" w:rsidRPr="003F34BA">
        <w:t>ing</w:t>
      </w:r>
      <w:r w:rsidRPr="003F34BA">
        <w:t xml:space="preserve"> arbitration proceedings and determinations where the underlying declaration is revoked or expires</w:t>
      </w:r>
      <w:r w:rsidR="001C332A" w:rsidRPr="003F34BA">
        <w:t>.</w:t>
      </w:r>
      <w:r w:rsidRPr="003F34BA">
        <w:t xml:space="preserve"> </w:t>
      </w:r>
    </w:p>
    <w:p w14:paraId="406E9C9F" w14:textId="65A465B4" w:rsidR="007C3552" w:rsidRPr="003F34BA" w:rsidRDefault="006E10AB" w:rsidP="003110BA">
      <w:pPr>
        <w:pStyle w:val="base-text-paragraph"/>
      </w:pPr>
      <w:r w:rsidRPr="003F34BA">
        <w:t xml:space="preserve">All legislative references in this chapter are to </w:t>
      </w:r>
      <w:r w:rsidR="007C3552" w:rsidRPr="003F34BA">
        <w:t>the Competition and Consumer Act</w:t>
      </w:r>
      <w:r w:rsidRPr="003F34BA">
        <w:t xml:space="preserve"> unless otherwise stated.</w:t>
      </w:r>
    </w:p>
    <w:p w14:paraId="3CC52A31" w14:textId="7260D8F1" w:rsidR="00C3452B" w:rsidRPr="003F34BA" w:rsidRDefault="00C3452B" w:rsidP="00C3452B">
      <w:pPr>
        <w:pStyle w:val="Heading2"/>
      </w:pPr>
      <w:r w:rsidRPr="003F34BA">
        <w:t>Context of amendments</w:t>
      </w:r>
    </w:p>
    <w:p w14:paraId="35516AE0" w14:textId="120E6086" w:rsidR="00550457" w:rsidRPr="003F34BA" w:rsidRDefault="008C0D3A" w:rsidP="008C0D3A">
      <w:pPr>
        <w:pStyle w:val="base-text-paragraph"/>
      </w:pPr>
      <w:r w:rsidRPr="003F34BA">
        <w:t>Part IIIA of the Competition and Consumer Act establishe</w:t>
      </w:r>
      <w:r w:rsidR="004B4618" w:rsidRPr="003F34BA">
        <w:t>s</w:t>
      </w:r>
      <w:r w:rsidRPr="003F34BA">
        <w:t xml:space="preserve"> the </w:t>
      </w:r>
      <w:r w:rsidR="0015496F" w:rsidRPr="003F34BA">
        <w:t xml:space="preserve">National Access Regime </w:t>
      </w:r>
      <w:r w:rsidRPr="003F34BA">
        <w:t xml:space="preserve">to facilitate third party access to services provided by means of </w:t>
      </w:r>
      <w:r w:rsidR="002B08FE" w:rsidRPr="003F34BA">
        <w:t>nationally significant</w:t>
      </w:r>
      <w:r w:rsidR="004A6B84" w:rsidRPr="003F34BA">
        <w:t xml:space="preserve"> infrastructure</w:t>
      </w:r>
      <w:r w:rsidR="002B08FE" w:rsidRPr="003F34BA">
        <w:t xml:space="preserve"> </w:t>
      </w:r>
      <w:r w:rsidRPr="003F34BA">
        <w:t>facilit</w:t>
      </w:r>
      <w:r w:rsidR="0004161C" w:rsidRPr="003F34BA">
        <w:t>ies</w:t>
      </w:r>
      <w:r w:rsidRPr="003F34BA">
        <w:t xml:space="preserve">. </w:t>
      </w:r>
      <w:r w:rsidR="00A70EE9" w:rsidRPr="003F34BA">
        <w:t>The N</w:t>
      </w:r>
      <w:r w:rsidR="0015496F" w:rsidRPr="003F34BA">
        <w:t xml:space="preserve">ational Access </w:t>
      </w:r>
      <w:r w:rsidR="00A70EE9" w:rsidRPr="003F34BA">
        <w:t>R</w:t>
      </w:r>
      <w:r w:rsidR="0015496F" w:rsidRPr="003F34BA">
        <w:t>egime</w:t>
      </w:r>
      <w:r w:rsidR="00A70EE9" w:rsidRPr="003F34BA">
        <w:t xml:space="preserve"> is</w:t>
      </w:r>
      <w:r w:rsidR="00A70EE9" w:rsidRPr="003F34BA" w:rsidDel="006B20D0">
        <w:t xml:space="preserve"> </w:t>
      </w:r>
      <w:r w:rsidR="006B20D0" w:rsidRPr="003F34BA">
        <w:t xml:space="preserve">designed </w:t>
      </w:r>
      <w:r w:rsidR="00B367F6" w:rsidRPr="003F34BA">
        <w:t>to</w:t>
      </w:r>
      <w:r w:rsidR="00C369BE" w:rsidRPr="003F34BA">
        <w:t xml:space="preserve"> </w:t>
      </w:r>
      <w:r w:rsidR="00B367F6" w:rsidRPr="003F34BA">
        <w:t>promote the economically efficient operation o</w:t>
      </w:r>
      <w:r w:rsidR="006E7611" w:rsidRPr="003F34BA">
        <w:t>f</w:t>
      </w:r>
      <w:r w:rsidR="006B20D0" w:rsidRPr="003F34BA">
        <w:t>,</w:t>
      </w:r>
      <w:r w:rsidR="00B367F6" w:rsidRPr="003F34BA">
        <w:t xml:space="preserve"> </w:t>
      </w:r>
      <w:r w:rsidR="006A216B" w:rsidRPr="003F34BA">
        <w:t xml:space="preserve">use of </w:t>
      </w:r>
      <w:r w:rsidR="00B367F6" w:rsidRPr="003F34BA">
        <w:t>and investment in</w:t>
      </w:r>
      <w:r w:rsidR="00EC4950" w:rsidRPr="003F34BA">
        <w:t>,</w:t>
      </w:r>
      <w:r w:rsidR="006E7611" w:rsidRPr="003F34BA">
        <w:t xml:space="preserve"> </w:t>
      </w:r>
      <w:r w:rsidR="00B367F6" w:rsidRPr="003F34BA">
        <w:t>infrastructure</w:t>
      </w:r>
      <w:r w:rsidR="003F0895" w:rsidRPr="003F34BA">
        <w:t>,</w:t>
      </w:r>
      <w:r w:rsidR="00EC4950" w:rsidRPr="003F34BA">
        <w:t xml:space="preserve"> thereby promoting effective competition in upstream and downstream markets</w:t>
      </w:r>
      <w:r w:rsidR="00550457" w:rsidRPr="003F34BA">
        <w:t>.</w:t>
      </w:r>
    </w:p>
    <w:p w14:paraId="2362AE3F" w14:textId="0B1EA6E7" w:rsidR="00A445C4" w:rsidRPr="003F34BA" w:rsidRDefault="00A445C4" w:rsidP="00A445C4">
      <w:pPr>
        <w:pStyle w:val="base-text-paragraph"/>
      </w:pPr>
      <w:r w:rsidRPr="003F34BA">
        <w:t xml:space="preserve">Under the National Access Regime, a person, such as a </w:t>
      </w:r>
      <w:proofErr w:type="gramStart"/>
      <w:r w:rsidRPr="003F34BA">
        <w:t>third party</w:t>
      </w:r>
      <w:proofErr w:type="gramEnd"/>
      <w:r w:rsidRPr="003F34BA">
        <w:t xml:space="preserve"> seeking access to an infrastructure service, may apply to the Council asking it to recommend that an infrastructure service be declared. That is, made subject to the National Access Regime. The designated Minister then decides </w:t>
      </w:r>
      <w:proofErr w:type="gramStart"/>
      <w:r w:rsidRPr="003F34BA">
        <w:t>whether or not</w:t>
      </w:r>
      <w:proofErr w:type="gramEnd"/>
      <w:r w:rsidRPr="003F34BA">
        <w:t xml:space="preserve"> to declare the service. Once the declaration process is initiated, the current design of the National Access Regime involves multiple steps and avenues of review. </w:t>
      </w:r>
    </w:p>
    <w:p w14:paraId="1BC372F1" w14:textId="02ECA254" w:rsidR="00A445C4" w:rsidRPr="003F34BA" w:rsidRDefault="00A445C4" w:rsidP="00A445C4">
      <w:pPr>
        <w:pStyle w:val="base-text-paragraph"/>
      </w:pPr>
      <w:r w:rsidRPr="003F34BA">
        <w:t>A broad summary of the declaration and revocation process</w:t>
      </w:r>
      <w:r w:rsidR="00E010C7" w:rsidRPr="003F34BA">
        <w:t>es</w:t>
      </w:r>
      <w:r w:rsidRPr="003F34BA">
        <w:t xml:space="preserve"> under the National Access Regime</w:t>
      </w:r>
      <w:r w:rsidR="00E77A8B" w:rsidRPr="003F34BA">
        <w:t xml:space="preserve"> </w:t>
      </w:r>
      <w:r w:rsidRPr="003F34BA">
        <w:t xml:space="preserve">is set out </w:t>
      </w:r>
      <w:r w:rsidR="00E010C7" w:rsidRPr="003F34BA">
        <w:t xml:space="preserve">in </w:t>
      </w:r>
      <w:r w:rsidRPr="003F34BA">
        <w:t>diagram 1.1 below.</w:t>
      </w:r>
    </w:p>
    <w:p w14:paraId="01A49131" w14:textId="260875F9" w:rsidR="00AE55FF" w:rsidRPr="003F34BA" w:rsidRDefault="006937F0" w:rsidP="005A349B">
      <w:pPr>
        <w:pStyle w:val="base-text-paragraph"/>
        <w:numPr>
          <w:ilvl w:val="0"/>
          <w:numId w:val="0"/>
        </w:numPr>
        <w:spacing w:before="200"/>
        <w:ind w:left="709"/>
        <w:rPr>
          <w:b/>
          <w:bCs/>
          <w:szCs w:val="22"/>
        </w:rPr>
      </w:pPr>
      <w:r w:rsidRPr="003F34BA">
        <w:rPr>
          <w:noProof/>
        </w:rPr>
        <w:lastRenderedPageBreak/>
        <w:drawing>
          <wp:anchor distT="0" distB="0" distL="114300" distR="114300" simplePos="0" relativeHeight="251660288" behindDoc="0" locked="0" layoutInCell="1" allowOverlap="1" wp14:anchorId="152F01DB" wp14:editId="09BE450B">
            <wp:simplePos x="0" y="0"/>
            <wp:positionH relativeFrom="column">
              <wp:posOffset>60960</wp:posOffset>
            </wp:positionH>
            <wp:positionV relativeFrom="paragraph">
              <wp:posOffset>356235</wp:posOffset>
            </wp:positionV>
            <wp:extent cx="4896485" cy="5836285"/>
            <wp:effectExtent l="0" t="0" r="0" b="0"/>
            <wp:wrapThrough wrapText="bothSides">
              <wp:wrapPolygon edited="0">
                <wp:start x="0" y="0"/>
                <wp:lineTo x="0" y="21504"/>
                <wp:lineTo x="21513" y="21504"/>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4896485" cy="5836285"/>
                    </a:xfrm>
                    <a:prstGeom prst="rect">
                      <a:avLst/>
                    </a:prstGeom>
                  </pic:spPr>
                </pic:pic>
              </a:graphicData>
            </a:graphic>
          </wp:anchor>
        </w:drawing>
      </w:r>
      <w:r w:rsidR="00AE55FF" w:rsidRPr="003F34BA">
        <w:rPr>
          <w:b/>
          <w:bCs/>
          <w:szCs w:val="22"/>
        </w:rPr>
        <w:t>Diagram 1.1 Summary of current processes under</w:t>
      </w:r>
      <w:r w:rsidR="008E5FD0" w:rsidRPr="003F34BA">
        <w:rPr>
          <w:b/>
          <w:bCs/>
          <w:szCs w:val="22"/>
        </w:rPr>
        <w:t xml:space="preserve"> the</w:t>
      </w:r>
      <w:r w:rsidR="00AE55FF" w:rsidRPr="003F34BA">
        <w:rPr>
          <w:b/>
          <w:bCs/>
          <w:szCs w:val="22"/>
        </w:rPr>
        <w:t xml:space="preserve"> National Access Regime</w:t>
      </w:r>
    </w:p>
    <w:p w14:paraId="3F8AA2DE" w14:textId="3F39B748" w:rsidR="00137844" w:rsidRPr="003F34BA" w:rsidRDefault="00EF60FF" w:rsidP="005A349B">
      <w:pPr>
        <w:pStyle w:val="base-text-paragraph"/>
        <w:spacing w:before="200"/>
        <w:ind w:left="709"/>
        <w:rPr>
          <w:rStyle w:val="Referencingstyle"/>
          <w:b w:val="0"/>
          <w:i w:val="0"/>
          <w:sz w:val="22"/>
        </w:rPr>
      </w:pPr>
      <w:r w:rsidRPr="003F34BA">
        <w:t>Due to th</w:t>
      </w:r>
      <w:r w:rsidR="00EB3A00" w:rsidRPr="003F34BA">
        <w:t>e</w:t>
      </w:r>
      <w:r w:rsidR="009F54CD" w:rsidRPr="003F34BA">
        <w:t xml:space="preserve"> </w:t>
      </w:r>
      <w:r w:rsidR="00853F48" w:rsidRPr="003F34BA">
        <w:t xml:space="preserve">number and complexity of </w:t>
      </w:r>
      <w:r w:rsidR="005951E7" w:rsidRPr="003F34BA">
        <w:t xml:space="preserve">steps </w:t>
      </w:r>
      <w:r w:rsidR="006653B7" w:rsidRPr="003F34BA">
        <w:t>involved</w:t>
      </w:r>
      <w:r w:rsidR="002264D8" w:rsidRPr="003F34BA">
        <w:t>,</w:t>
      </w:r>
      <w:r w:rsidR="005332E4" w:rsidRPr="003F34BA">
        <w:t xml:space="preserve"> </w:t>
      </w:r>
      <w:r w:rsidR="00611145" w:rsidRPr="003F34BA">
        <w:t>matters</w:t>
      </w:r>
      <w:r w:rsidR="00DC6778" w:rsidRPr="003F34BA">
        <w:t xml:space="preserve"> can </w:t>
      </w:r>
      <w:r w:rsidR="0066348A" w:rsidRPr="003F34BA">
        <w:t>take</w:t>
      </w:r>
      <w:r w:rsidR="002264D8" w:rsidRPr="003F34BA">
        <w:t xml:space="preserve"> several years to </w:t>
      </w:r>
      <w:r w:rsidR="009E1ED9" w:rsidRPr="003F34BA">
        <w:t>reach</w:t>
      </w:r>
      <w:r w:rsidR="0066348A" w:rsidRPr="003F34BA">
        <w:t xml:space="preserve"> </w:t>
      </w:r>
      <w:r w:rsidR="00C47409" w:rsidRPr="003F34BA">
        <w:t>an outcome</w:t>
      </w:r>
      <w:r w:rsidR="0066348A" w:rsidRPr="003F34BA">
        <w:t>,</w:t>
      </w:r>
      <w:r w:rsidR="00C47409" w:rsidRPr="003F34BA">
        <w:t xml:space="preserve"> </w:t>
      </w:r>
      <w:r w:rsidR="00ED4E61" w:rsidRPr="003F34BA">
        <w:t>during which time the parties have limited</w:t>
      </w:r>
      <w:r w:rsidR="00C47409" w:rsidRPr="003F34BA">
        <w:t xml:space="preserve"> certainty regarding </w:t>
      </w:r>
      <w:r w:rsidR="00261837" w:rsidRPr="003F34BA">
        <w:t xml:space="preserve">term of </w:t>
      </w:r>
      <w:r w:rsidR="00815A3F" w:rsidRPr="003F34BA">
        <w:t>access to services</w:t>
      </w:r>
      <w:r w:rsidR="00261837" w:rsidRPr="003F34BA">
        <w:t>.</w:t>
      </w:r>
      <w:r w:rsidR="008A79A2" w:rsidRPr="003F34BA">
        <w:t xml:space="preserve"> </w:t>
      </w:r>
      <w:r w:rsidR="00C02D30" w:rsidRPr="003F34BA">
        <w:t>In particular, t</w:t>
      </w:r>
      <w:r w:rsidR="008A79A2" w:rsidRPr="003F34BA">
        <w:t xml:space="preserve">he regulatory process </w:t>
      </w:r>
      <w:r w:rsidR="00B255F3" w:rsidRPr="003F34BA">
        <w:t xml:space="preserve">can be </w:t>
      </w:r>
      <w:r w:rsidR="004D4D1C" w:rsidRPr="003F34BA">
        <w:t xml:space="preserve">prolonged </w:t>
      </w:r>
      <w:r w:rsidR="008A79A2" w:rsidRPr="003F34BA">
        <w:t xml:space="preserve">by </w:t>
      </w:r>
      <w:r w:rsidR="004D4D1C" w:rsidRPr="003F34BA">
        <w:t xml:space="preserve">parties </w:t>
      </w:r>
      <w:r w:rsidR="00395202" w:rsidRPr="003F34BA">
        <w:t xml:space="preserve">seeking </w:t>
      </w:r>
      <w:r w:rsidR="008A79A2" w:rsidRPr="003F34BA">
        <w:t>both merits and judicial review</w:t>
      </w:r>
      <w:r w:rsidR="00C06F5C" w:rsidRPr="003F34BA">
        <w:t xml:space="preserve"> of decisions made </w:t>
      </w:r>
      <w:r w:rsidR="005E0BA0" w:rsidRPr="003F34BA">
        <w:t>under the National Access Regime</w:t>
      </w:r>
      <w:r w:rsidR="002264D8" w:rsidRPr="003F34BA">
        <w:t xml:space="preserve">. </w:t>
      </w:r>
    </w:p>
    <w:p w14:paraId="4FBB047C" w14:textId="2BC34A0B" w:rsidR="004B1CFB" w:rsidRPr="003F34BA" w:rsidRDefault="005359DF" w:rsidP="00047F36">
      <w:pPr>
        <w:pStyle w:val="base-text-paragraph"/>
      </w:pPr>
      <w:r w:rsidRPr="003F34BA">
        <w:rPr>
          <w:rStyle w:val="Referencingstyle"/>
          <w:b w:val="0"/>
          <w:bCs/>
          <w:i w:val="0"/>
          <w:iCs/>
          <w:sz w:val="22"/>
        </w:rPr>
        <w:lastRenderedPageBreak/>
        <w:t xml:space="preserve">A lack of timeliness in regulatory processes can increase uncertainty and diminish or delay business investment. </w:t>
      </w:r>
      <w:r w:rsidR="004828B2" w:rsidRPr="003F34BA">
        <w:rPr>
          <w:rStyle w:val="Referencingstyle"/>
          <w:b w:val="0"/>
          <w:bCs/>
          <w:i w:val="0"/>
          <w:iCs/>
          <w:sz w:val="22"/>
        </w:rPr>
        <w:t xml:space="preserve">It </w:t>
      </w:r>
      <w:r w:rsidR="0057655A" w:rsidRPr="003F34BA">
        <w:rPr>
          <w:rStyle w:val="Referencingstyle"/>
          <w:b w:val="0"/>
          <w:bCs/>
          <w:i w:val="0"/>
          <w:iCs/>
          <w:sz w:val="22"/>
        </w:rPr>
        <w:t xml:space="preserve">may </w:t>
      </w:r>
      <w:r w:rsidR="00611145" w:rsidRPr="003F34BA">
        <w:rPr>
          <w:rStyle w:val="Referencingstyle"/>
          <w:b w:val="0"/>
          <w:bCs/>
          <w:i w:val="0"/>
          <w:iCs/>
          <w:sz w:val="22"/>
        </w:rPr>
        <w:t xml:space="preserve">also </w:t>
      </w:r>
      <w:r w:rsidR="00C41A55" w:rsidRPr="003F34BA">
        <w:rPr>
          <w:rStyle w:val="Referencingstyle"/>
          <w:b w:val="0"/>
          <w:bCs/>
          <w:i w:val="0"/>
          <w:iCs/>
          <w:sz w:val="22"/>
        </w:rPr>
        <w:t xml:space="preserve">deter </w:t>
      </w:r>
      <w:r w:rsidR="008F2A9E" w:rsidRPr="003F34BA">
        <w:rPr>
          <w:rStyle w:val="Referencingstyle"/>
          <w:b w:val="0"/>
          <w:bCs/>
          <w:i w:val="0"/>
          <w:iCs/>
          <w:sz w:val="22"/>
        </w:rPr>
        <w:t xml:space="preserve">others </w:t>
      </w:r>
      <w:r w:rsidR="0057655A" w:rsidRPr="003F34BA">
        <w:rPr>
          <w:rStyle w:val="Referencingstyle"/>
          <w:b w:val="0"/>
          <w:bCs/>
          <w:i w:val="0"/>
          <w:iCs/>
          <w:sz w:val="22"/>
        </w:rPr>
        <w:t xml:space="preserve">from </w:t>
      </w:r>
      <w:r w:rsidR="00812114" w:rsidRPr="003F34BA">
        <w:rPr>
          <w:rStyle w:val="Referencingstyle"/>
          <w:b w:val="0"/>
          <w:bCs/>
          <w:i w:val="0"/>
          <w:iCs/>
          <w:sz w:val="22"/>
        </w:rPr>
        <w:t xml:space="preserve">utilising or </w:t>
      </w:r>
      <w:r w:rsidR="00C41A55" w:rsidRPr="003F34BA">
        <w:rPr>
          <w:rStyle w:val="Referencingstyle"/>
          <w:b w:val="0"/>
          <w:bCs/>
          <w:i w:val="0"/>
          <w:iCs/>
          <w:sz w:val="22"/>
        </w:rPr>
        <w:t>engag</w:t>
      </w:r>
      <w:r w:rsidR="00812114" w:rsidRPr="003F34BA">
        <w:rPr>
          <w:rStyle w:val="Referencingstyle"/>
          <w:b w:val="0"/>
          <w:bCs/>
          <w:i w:val="0"/>
          <w:iCs/>
          <w:sz w:val="22"/>
        </w:rPr>
        <w:t>ing</w:t>
      </w:r>
      <w:r w:rsidR="00C41A55" w:rsidRPr="003F34BA">
        <w:rPr>
          <w:rStyle w:val="Referencingstyle"/>
          <w:b w:val="0"/>
          <w:bCs/>
          <w:i w:val="0"/>
          <w:iCs/>
          <w:sz w:val="22"/>
        </w:rPr>
        <w:t xml:space="preserve"> </w:t>
      </w:r>
      <w:r w:rsidR="00812114" w:rsidRPr="003F34BA">
        <w:rPr>
          <w:rStyle w:val="Referencingstyle"/>
          <w:b w:val="0"/>
          <w:bCs/>
          <w:i w:val="0"/>
          <w:iCs/>
          <w:sz w:val="22"/>
        </w:rPr>
        <w:t>with</w:t>
      </w:r>
      <w:r w:rsidR="00C41A55" w:rsidRPr="003F34BA">
        <w:rPr>
          <w:rStyle w:val="Referencingstyle"/>
          <w:b w:val="0"/>
          <w:bCs/>
          <w:i w:val="0"/>
          <w:iCs/>
          <w:sz w:val="22"/>
        </w:rPr>
        <w:t xml:space="preserve"> N</w:t>
      </w:r>
      <w:r w:rsidR="003A5D85" w:rsidRPr="003F34BA">
        <w:rPr>
          <w:rStyle w:val="Referencingstyle"/>
          <w:b w:val="0"/>
          <w:bCs/>
          <w:i w:val="0"/>
          <w:iCs/>
          <w:sz w:val="22"/>
        </w:rPr>
        <w:t xml:space="preserve">ational </w:t>
      </w:r>
      <w:r w:rsidR="00C41A55" w:rsidRPr="003F34BA">
        <w:rPr>
          <w:rStyle w:val="Referencingstyle"/>
          <w:b w:val="0"/>
          <w:bCs/>
          <w:i w:val="0"/>
          <w:iCs/>
          <w:sz w:val="22"/>
        </w:rPr>
        <w:t>A</w:t>
      </w:r>
      <w:r w:rsidR="003A5D85" w:rsidRPr="003F34BA">
        <w:rPr>
          <w:rStyle w:val="Referencingstyle"/>
          <w:b w:val="0"/>
          <w:bCs/>
          <w:i w:val="0"/>
          <w:iCs/>
          <w:sz w:val="22"/>
        </w:rPr>
        <w:t xml:space="preserve">ccess </w:t>
      </w:r>
      <w:r w:rsidR="00C41A55" w:rsidRPr="003F34BA">
        <w:rPr>
          <w:rStyle w:val="Referencingstyle"/>
          <w:b w:val="0"/>
          <w:bCs/>
          <w:i w:val="0"/>
          <w:iCs/>
          <w:sz w:val="22"/>
        </w:rPr>
        <w:t>R</w:t>
      </w:r>
      <w:r w:rsidR="003A5D85" w:rsidRPr="003F34BA">
        <w:rPr>
          <w:rStyle w:val="Referencingstyle"/>
          <w:b w:val="0"/>
          <w:bCs/>
          <w:i w:val="0"/>
          <w:iCs/>
          <w:sz w:val="22"/>
        </w:rPr>
        <w:t>egime</w:t>
      </w:r>
      <w:r w:rsidR="00812114" w:rsidRPr="003F34BA">
        <w:rPr>
          <w:rStyle w:val="Referencingstyle"/>
          <w:b w:val="0"/>
          <w:bCs/>
          <w:i w:val="0"/>
          <w:iCs/>
          <w:sz w:val="22"/>
        </w:rPr>
        <w:t xml:space="preserve"> processes</w:t>
      </w:r>
      <w:r w:rsidR="00C41A55" w:rsidRPr="003F34BA">
        <w:rPr>
          <w:rStyle w:val="Referencingstyle"/>
          <w:b w:val="0"/>
          <w:bCs/>
          <w:i w:val="0"/>
          <w:iCs/>
          <w:sz w:val="22"/>
        </w:rPr>
        <w:t>.</w:t>
      </w:r>
      <w:r w:rsidR="008212FB" w:rsidRPr="003F34BA">
        <w:rPr>
          <w:rStyle w:val="Referencingstyle"/>
          <w:b w:val="0"/>
          <w:bCs/>
          <w:i w:val="0"/>
          <w:iCs/>
          <w:sz w:val="22"/>
        </w:rPr>
        <w:t xml:space="preserve"> </w:t>
      </w:r>
      <w:r w:rsidR="008A79A2" w:rsidRPr="003F34BA">
        <w:rPr>
          <w:rStyle w:val="Referencingstyle"/>
          <w:b w:val="0"/>
          <w:bCs/>
          <w:i w:val="0"/>
          <w:iCs/>
          <w:sz w:val="22"/>
        </w:rPr>
        <w:t xml:space="preserve">This </w:t>
      </w:r>
      <w:r w:rsidR="00002654" w:rsidRPr="003F34BA">
        <w:rPr>
          <w:rStyle w:val="Referencingstyle"/>
          <w:b w:val="0"/>
          <w:bCs/>
          <w:i w:val="0"/>
          <w:iCs/>
          <w:sz w:val="22"/>
        </w:rPr>
        <w:t xml:space="preserve">has the potential to </w:t>
      </w:r>
      <w:r w:rsidR="008A79A2" w:rsidRPr="003F34BA">
        <w:rPr>
          <w:rStyle w:val="Referencingstyle"/>
          <w:b w:val="0"/>
          <w:bCs/>
          <w:i w:val="0"/>
          <w:iCs/>
          <w:sz w:val="22"/>
        </w:rPr>
        <w:t>frustrate the purpose of the N</w:t>
      </w:r>
      <w:r w:rsidR="003A5D85" w:rsidRPr="003F34BA">
        <w:rPr>
          <w:rStyle w:val="Referencingstyle"/>
          <w:b w:val="0"/>
          <w:bCs/>
          <w:i w:val="0"/>
          <w:iCs/>
          <w:sz w:val="22"/>
        </w:rPr>
        <w:t xml:space="preserve">ational </w:t>
      </w:r>
      <w:r w:rsidR="008A79A2" w:rsidRPr="003F34BA">
        <w:rPr>
          <w:rStyle w:val="Referencingstyle"/>
          <w:b w:val="0"/>
          <w:bCs/>
          <w:i w:val="0"/>
          <w:iCs/>
          <w:sz w:val="22"/>
        </w:rPr>
        <w:t>A</w:t>
      </w:r>
      <w:r w:rsidR="003A5D85" w:rsidRPr="003F34BA">
        <w:rPr>
          <w:rStyle w:val="Referencingstyle"/>
          <w:b w:val="0"/>
          <w:bCs/>
          <w:i w:val="0"/>
          <w:iCs/>
          <w:sz w:val="22"/>
        </w:rPr>
        <w:t xml:space="preserve">ccess </w:t>
      </w:r>
      <w:r w:rsidR="008A79A2" w:rsidRPr="003F34BA">
        <w:rPr>
          <w:rStyle w:val="Referencingstyle"/>
          <w:b w:val="0"/>
          <w:bCs/>
          <w:i w:val="0"/>
          <w:iCs/>
          <w:sz w:val="22"/>
        </w:rPr>
        <w:t>R</w:t>
      </w:r>
      <w:r w:rsidR="003A5D85" w:rsidRPr="003F34BA">
        <w:rPr>
          <w:rStyle w:val="Referencingstyle"/>
          <w:b w:val="0"/>
          <w:bCs/>
          <w:i w:val="0"/>
          <w:iCs/>
          <w:sz w:val="22"/>
        </w:rPr>
        <w:t>egime</w:t>
      </w:r>
      <w:r w:rsidR="008A79A2" w:rsidRPr="003F34BA">
        <w:rPr>
          <w:rStyle w:val="Referencingstyle"/>
          <w:b w:val="0"/>
          <w:bCs/>
          <w:i w:val="0"/>
          <w:iCs/>
          <w:sz w:val="22"/>
        </w:rPr>
        <w:t xml:space="preserve"> to promote economically efficient operation of</w:t>
      </w:r>
      <w:r w:rsidR="00002654" w:rsidRPr="003F34BA">
        <w:rPr>
          <w:rStyle w:val="Referencingstyle"/>
          <w:b w:val="0"/>
          <w:bCs/>
          <w:i w:val="0"/>
          <w:iCs/>
          <w:sz w:val="22"/>
        </w:rPr>
        <w:t>,</w:t>
      </w:r>
      <w:r w:rsidR="008A79A2" w:rsidRPr="003F34BA">
        <w:rPr>
          <w:rStyle w:val="Referencingstyle"/>
          <w:b w:val="0"/>
          <w:bCs/>
          <w:i w:val="0"/>
          <w:iCs/>
          <w:sz w:val="22"/>
        </w:rPr>
        <w:t xml:space="preserve"> </w:t>
      </w:r>
      <w:r w:rsidR="006B7897" w:rsidRPr="003F34BA">
        <w:rPr>
          <w:rStyle w:val="Referencingstyle"/>
          <w:b w:val="0"/>
          <w:bCs/>
          <w:i w:val="0"/>
          <w:iCs/>
          <w:sz w:val="22"/>
        </w:rPr>
        <w:t xml:space="preserve">use of </w:t>
      </w:r>
      <w:r w:rsidR="00002654" w:rsidRPr="003F34BA">
        <w:rPr>
          <w:rStyle w:val="Referencingstyle"/>
          <w:b w:val="0"/>
          <w:bCs/>
          <w:i w:val="0"/>
          <w:iCs/>
          <w:sz w:val="22"/>
        </w:rPr>
        <w:t xml:space="preserve">and investment in, </w:t>
      </w:r>
      <w:r w:rsidR="008A79A2" w:rsidRPr="003F34BA">
        <w:rPr>
          <w:rStyle w:val="Referencingstyle"/>
          <w:b w:val="0"/>
          <w:bCs/>
          <w:i w:val="0"/>
          <w:iCs/>
          <w:sz w:val="22"/>
        </w:rPr>
        <w:t>the infrastructure by which services are provided, thereby promoting competition in markets.</w:t>
      </w:r>
    </w:p>
    <w:p w14:paraId="01B90318" w14:textId="79B83B13" w:rsidR="00D7543E" w:rsidRPr="003F34BA" w:rsidRDefault="00450A07" w:rsidP="002F2756">
      <w:pPr>
        <w:pStyle w:val="base-text-paragraph"/>
        <w:rPr>
          <w:bCs/>
          <w:iCs/>
        </w:rPr>
      </w:pPr>
      <w:r w:rsidRPr="003F34BA">
        <w:rPr>
          <w:rStyle w:val="Referencingstyle"/>
          <w:b w:val="0"/>
          <w:bCs/>
          <w:i w:val="0"/>
          <w:iCs/>
          <w:sz w:val="22"/>
        </w:rPr>
        <w:t xml:space="preserve">On </w:t>
      </w:r>
      <w:r w:rsidR="00824E44" w:rsidRPr="003F34BA">
        <w:rPr>
          <w:rStyle w:val="Referencingstyle"/>
          <w:b w:val="0"/>
          <w:bCs/>
          <w:i w:val="0"/>
          <w:iCs/>
          <w:sz w:val="22"/>
        </w:rPr>
        <w:t>16</w:t>
      </w:r>
      <w:r w:rsidRPr="003F34BA">
        <w:rPr>
          <w:rStyle w:val="Referencingstyle"/>
          <w:b w:val="0"/>
          <w:bCs/>
          <w:i w:val="0"/>
          <w:iCs/>
          <w:sz w:val="22"/>
        </w:rPr>
        <w:t xml:space="preserve"> February</w:t>
      </w:r>
      <w:r w:rsidR="00824E44" w:rsidRPr="003F34BA">
        <w:rPr>
          <w:rStyle w:val="Referencingstyle"/>
          <w:b w:val="0"/>
          <w:bCs/>
          <w:i w:val="0"/>
          <w:iCs/>
          <w:sz w:val="22"/>
        </w:rPr>
        <w:t xml:space="preserve"> 2021</w:t>
      </w:r>
      <w:r w:rsidR="00144BD3" w:rsidRPr="003F34BA">
        <w:rPr>
          <w:rStyle w:val="Referencingstyle"/>
          <w:b w:val="0"/>
          <w:bCs/>
          <w:i w:val="0"/>
          <w:iCs/>
          <w:sz w:val="22"/>
        </w:rPr>
        <w:t>, the Government announced that</w:t>
      </w:r>
      <w:r w:rsidR="00F25896" w:rsidRPr="003F34BA">
        <w:rPr>
          <w:rStyle w:val="Referencingstyle"/>
          <w:b w:val="0"/>
          <w:bCs/>
          <w:i w:val="0"/>
          <w:iCs/>
          <w:sz w:val="22"/>
        </w:rPr>
        <w:t xml:space="preserve"> the timeliness of</w:t>
      </w:r>
      <w:r w:rsidR="00144BD3" w:rsidRPr="003F34BA">
        <w:rPr>
          <w:rStyle w:val="Referencingstyle"/>
          <w:b w:val="0"/>
          <w:bCs/>
          <w:i w:val="0"/>
          <w:iCs/>
          <w:sz w:val="22"/>
        </w:rPr>
        <w:t xml:space="preserve"> processes under the N</w:t>
      </w:r>
      <w:r w:rsidR="003A5D85" w:rsidRPr="003F34BA">
        <w:rPr>
          <w:rStyle w:val="Referencingstyle"/>
          <w:b w:val="0"/>
          <w:bCs/>
          <w:i w:val="0"/>
          <w:iCs/>
          <w:sz w:val="22"/>
        </w:rPr>
        <w:t xml:space="preserve">ational </w:t>
      </w:r>
      <w:r w:rsidR="00144BD3" w:rsidRPr="003F34BA">
        <w:rPr>
          <w:rStyle w:val="Referencingstyle"/>
          <w:b w:val="0"/>
          <w:bCs/>
          <w:i w:val="0"/>
          <w:iCs/>
          <w:sz w:val="22"/>
        </w:rPr>
        <w:t>A</w:t>
      </w:r>
      <w:r w:rsidR="003A5D85" w:rsidRPr="003F34BA">
        <w:rPr>
          <w:rStyle w:val="Referencingstyle"/>
          <w:b w:val="0"/>
          <w:bCs/>
          <w:i w:val="0"/>
          <w:iCs/>
          <w:sz w:val="22"/>
        </w:rPr>
        <w:t xml:space="preserve">ccess </w:t>
      </w:r>
      <w:r w:rsidR="00144BD3" w:rsidRPr="003F34BA">
        <w:rPr>
          <w:rStyle w:val="Referencingstyle"/>
          <w:b w:val="0"/>
          <w:bCs/>
          <w:i w:val="0"/>
          <w:iCs/>
          <w:sz w:val="22"/>
        </w:rPr>
        <w:t>R</w:t>
      </w:r>
      <w:r w:rsidR="003A5D85" w:rsidRPr="003F34BA">
        <w:rPr>
          <w:rStyle w:val="Referencingstyle"/>
          <w:b w:val="0"/>
          <w:bCs/>
          <w:i w:val="0"/>
          <w:iCs/>
          <w:sz w:val="22"/>
        </w:rPr>
        <w:t>egime</w:t>
      </w:r>
      <w:r w:rsidR="00144BD3" w:rsidRPr="003F34BA">
        <w:rPr>
          <w:rStyle w:val="Referencingstyle"/>
          <w:b w:val="0"/>
          <w:bCs/>
          <w:i w:val="0"/>
          <w:iCs/>
          <w:sz w:val="22"/>
        </w:rPr>
        <w:t xml:space="preserve"> would be examined. </w:t>
      </w:r>
      <w:r w:rsidR="006A338D" w:rsidRPr="003F34BA">
        <w:rPr>
          <w:rStyle w:val="Referencingstyle"/>
          <w:b w:val="0"/>
          <w:bCs/>
          <w:i w:val="0"/>
          <w:iCs/>
          <w:sz w:val="22"/>
        </w:rPr>
        <w:t xml:space="preserve">A consultation paper </w:t>
      </w:r>
      <w:r w:rsidR="00534EBF" w:rsidRPr="003F34BA">
        <w:rPr>
          <w:rStyle w:val="Referencingstyle"/>
          <w:b w:val="0"/>
          <w:bCs/>
          <w:i w:val="0"/>
          <w:iCs/>
          <w:sz w:val="22"/>
        </w:rPr>
        <w:t>setting out</w:t>
      </w:r>
      <w:r w:rsidR="00CE5046" w:rsidRPr="003F34BA">
        <w:rPr>
          <w:rStyle w:val="Referencingstyle"/>
          <w:b w:val="0"/>
          <w:bCs/>
          <w:i w:val="0"/>
          <w:iCs/>
          <w:sz w:val="22"/>
        </w:rPr>
        <w:t xml:space="preserve"> </w:t>
      </w:r>
      <w:r w:rsidR="00534EBF" w:rsidRPr="003F34BA">
        <w:rPr>
          <w:rStyle w:val="Referencingstyle"/>
          <w:b w:val="0"/>
          <w:bCs/>
          <w:i w:val="0"/>
          <w:iCs/>
          <w:sz w:val="22"/>
        </w:rPr>
        <w:t xml:space="preserve">potential </w:t>
      </w:r>
      <w:r w:rsidR="00CE5046" w:rsidRPr="003F34BA">
        <w:rPr>
          <w:bCs/>
          <w:iCs/>
        </w:rPr>
        <w:t>options to streamline and add greater certainty to decisions under the N</w:t>
      </w:r>
      <w:r w:rsidR="003A5D85" w:rsidRPr="003F34BA">
        <w:rPr>
          <w:bCs/>
          <w:iCs/>
        </w:rPr>
        <w:t xml:space="preserve">ational </w:t>
      </w:r>
      <w:r w:rsidR="00CE5046" w:rsidRPr="003F34BA">
        <w:rPr>
          <w:bCs/>
          <w:iCs/>
        </w:rPr>
        <w:t>A</w:t>
      </w:r>
      <w:r w:rsidR="003A5D85" w:rsidRPr="003F34BA">
        <w:rPr>
          <w:bCs/>
          <w:iCs/>
        </w:rPr>
        <w:t xml:space="preserve">ccess </w:t>
      </w:r>
      <w:r w:rsidR="00CE5046" w:rsidRPr="003F34BA">
        <w:rPr>
          <w:bCs/>
          <w:iCs/>
        </w:rPr>
        <w:t>R</w:t>
      </w:r>
      <w:r w:rsidR="003A5D85" w:rsidRPr="003F34BA">
        <w:rPr>
          <w:bCs/>
          <w:iCs/>
        </w:rPr>
        <w:t>egime</w:t>
      </w:r>
      <w:r w:rsidR="00CE5046" w:rsidRPr="003F34BA">
        <w:rPr>
          <w:rStyle w:val="Referencingstyle"/>
          <w:b w:val="0"/>
          <w:bCs/>
          <w:i w:val="0"/>
          <w:iCs/>
          <w:sz w:val="22"/>
        </w:rPr>
        <w:t xml:space="preserve"> </w:t>
      </w:r>
      <w:r w:rsidR="006A338D" w:rsidRPr="003F34BA">
        <w:rPr>
          <w:rStyle w:val="Referencingstyle"/>
          <w:b w:val="0"/>
          <w:bCs/>
          <w:i w:val="0"/>
          <w:iCs/>
          <w:sz w:val="22"/>
        </w:rPr>
        <w:t>was released</w:t>
      </w:r>
      <w:r w:rsidR="00E62FCD" w:rsidRPr="003F34BA">
        <w:rPr>
          <w:rStyle w:val="Referencingstyle"/>
          <w:b w:val="0"/>
          <w:bCs/>
          <w:i w:val="0"/>
          <w:iCs/>
          <w:sz w:val="22"/>
        </w:rPr>
        <w:t xml:space="preserve"> on 19</w:t>
      </w:r>
      <w:r w:rsidR="003706C3" w:rsidRPr="003F34BA">
        <w:rPr>
          <w:rStyle w:val="Referencingstyle"/>
          <w:b w:val="0"/>
          <w:bCs/>
          <w:i w:val="0"/>
          <w:iCs/>
          <w:sz w:val="22"/>
        </w:rPr>
        <w:t> </w:t>
      </w:r>
      <w:r w:rsidR="00E62FCD" w:rsidRPr="003F34BA">
        <w:rPr>
          <w:rStyle w:val="Referencingstyle"/>
          <w:b w:val="0"/>
          <w:bCs/>
          <w:i w:val="0"/>
          <w:iCs/>
          <w:sz w:val="22"/>
        </w:rPr>
        <w:t>March 2021</w:t>
      </w:r>
      <w:r w:rsidR="00721FA9" w:rsidRPr="003F34BA">
        <w:rPr>
          <w:bCs/>
          <w:iCs/>
        </w:rPr>
        <w:t>,</w:t>
      </w:r>
      <w:r w:rsidR="00721FA9" w:rsidRPr="003F34BA">
        <w:rPr>
          <w:rStyle w:val="Referencingstyle"/>
          <w:b w:val="0"/>
          <w:bCs/>
          <w:i w:val="0"/>
          <w:iCs/>
          <w:sz w:val="22"/>
        </w:rPr>
        <w:t xml:space="preserve"> with submissions due by 19</w:t>
      </w:r>
      <w:r w:rsidR="00E62FCD" w:rsidRPr="003F34BA">
        <w:rPr>
          <w:rStyle w:val="Referencingstyle"/>
          <w:b w:val="0"/>
          <w:bCs/>
          <w:i w:val="0"/>
          <w:iCs/>
          <w:sz w:val="22"/>
        </w:rPr>
        <w:t xml:space="preserve"> April 2021.</w:t>
      </w:r>
      <w:r w:rsidRPr="003F34BA">
        <w:rPr>
          <w:rStyle w:val="Referencingstyle"/>
          <w:b w:val="0"/>
          <w:bCs/>
          <w:i w:val="0"/>
          <w:iCs/>
          <w:sz w:val="22"/>
        </w:rPr>
        <w:t xml:space="preserve"> </w:t>
      </w:r>
      <w:r w:rsidR="009A628E" w:rsidRPr="003F34BA">
        <w:rPr>
          <w:bCs/>
          <w:iCs/>
        </w:rPr>
        <w:t xml:space="preserve">The </w:t>
      </w:r>
      <w:r w:rsidR="00E574B7" w:rsidRPr="003F34BA">
        <w:rPr>
          <w:bCs/>
          <w:iCs/>
        </w:rPr>
        <w:t>consultation</w:t>
      </w:r>
      <w:r w:rsidR="009A628E" w:rsidRPr="003F34BA">
        <w:rPr>
          <w:bCs/>
          <w:iCs/>
        </w:rPr>
        <w:t xml:space="preserve"> process received 13 submissions</w:t>
      </w:r>
      <w:r w:rsidR="00E574B7" w:rsidRPr="003F34BA">
        <w:rPr>
          <w:bCs/>
          <w:iCs/>
        </w:rPr>
        <w:t xml:space="preserve"> </w:t>
      </w:r>
      <w:r w:rsidR="002F2756" w:rsidRPr="003F34BA">
        <w:rPr>
          <w:bCs/>
          <w:iCs/>
        </w:rPr>
        <w:t>which highlighte</w:t>
      </w:r>
      <w:r w:rsidR="00D7543E" w:rsidRPr="003F34BA">
        <w:rPr>
          <w:bCs/>
          <w:iCs/>
        </w:rPr>
        <w:t xml:space="preserve">d that: </w:t>
      </w:r>
    </w:p>
    <w:p w14:paraId="75E09623" w14:textId="5A391D9A" w:rsidR="00D7543E" w:rsidRPr="003F34BA" w:rsidRDefault="002F2756" w:rsidP="003110BA">
      <w:pPr>
        <w:pStyle w:val="dotpoint"/>
      </w:pPr>
      <w:r w:rsidRPr="003F34BA">
        <w:t xml:space="preserve">prolonged </w:t>
      </w:r>
      <w:r w:rsidR="00E10605" w:rsidRPr="003F34BA">
        <w:t>N</w:t>
      </w:r>
      <w:r w:rsidR="003A5D85" w:rsidRPr="003F34BA">
        <w:t xml:space="preserve">ational </w:t>
      </w:r>
      <w:r w:rsidR="00E10605" w:rsidRPr="003F34BA">
        <w:t>A</w:t>
      </w:r>
      <w:r w:rsidR="003A5D85" w:rsidRPr="003F34BA">
        <w:t xml:space="preserve">ccess </w:t>
      </w:r>
      <w:r w:rsidR="00E10605" w:rsidRPr="003F34BA">
        <w:t>R</w:t>
      </w:r>
      <w:r w:rsidR="003A5D85" w:rsidRPr="003F34BA">
        <w:t>egime</w:t>
      </w:r>
      <w:r w:rsidR="00E10605" w:rsidRPr="003F34BA">
        <w:t xml:space="preserve"> </w:t>
      </w:r>
      <w:r w:rsidRPr="003F34BA">
        <w:t xml:space="preserve">processes could impose unnecessary </w:t>
      </w:r>
      <w:proofErr w:type="gramStart"/>
      <w:r w:rsidRPr="003F34BA">
        <w:t>cost</w:t>
      </w:r>
      <w:r w:rsidR="0088113A" w:rsidRPr="003F34BA">
        <w:t>s</w:t>
      </w:r>
      <w:r w:rsidR="00F05BAA" w:rsidRPr="003F34BA">
        <w:t>;</w:t>
      </w:r>
      <w:proofErr w:type="gramEnd"/>
    </w:p>
    <w:p w14:paraId="4ADB9F9D" w14:textId="0BD40031" w:rsidR="00D7543E" w:rsidRPr="003F34BA" w:rsidRDefault="00D7543E" w:rsidP="00E93B43">
      <w:pPr>
        <w:pStyle w:val="dotpoint"/>
      </w:pPr>
      <w:r w:rsidRPr="003F34BA">
        <w:t xml:space="preserve">repeat applications </w:t>
      </w:r>
      <w:r w:rsidR="000410D0" w:rsidRPr="003F34BA">
        <w:t>initiate</w:t>
      </w:r>
      <w:r w:rsidR="00FD11D3" w:rsidRPr="003F34BA">
        <w:t>d</w:t>
      </w:r>
      <w:r w:rsidR="000410D0" w:rsidRPr="003F34BA">
        <w:t xml:space="preserve"> </w:t>
      </w:r>
      <w:r w:rsidRPr="003F34BA">
        <w:t xml:space="preserve">relatively shortly after a previous declaration </w:t>
      </w:r>
      <w:r w:rsidR="009F31E9" w:rsidRPr="003F34BA">
        <w:t xml:space="preserve">or revocation </w:t>
      </w:r>
      <w:r w:rsidRPr="003F34BA">
        <w:t>decision can extend processes</w:t>
      </w:r>
      <w:r w:rsidR="009F31E9" w:rsidRPr="003F34BA">
        <w:t>, increase costs</w:t>
      </w:r>
      <w:r w:rsidR="009D45A5" w:rsidRPr="003F34BA">
        <w:t>,</w:t>
      </w:r>
      <w:r w:rsidR="009F31E9" w:rsidRPr="003F34BA">
        <w:t xml:space="preserve"> and reduce certainty for </w:t>
      </w:r>
      <w:proofErr w:type="gramStart"/>
      <w:r w:rsidR="009F31E9" w:rsidRPr="003F34BA">
        <w:t>parties</w:t>
      </w:r>
      <w:r w:rsidRPr="003F34BA">
        <w:t>;</w:t>
      </w:r>
      <w:proofErr w:type="gramEnd"/>
    </w:p>
    <w:p w14:paraId="4649F82A" w14:textId="54353BCC" w:rsidR="00D7543E" w:rsidRPr="003F34BA" w:rsidRDefault="00D7543E" w:rsidP="00E93B43">
      <w:pPr>
        <w:pStyle w:val="dotpoint"/>
        <w:rPr>
          <w:bCs/>
          <w:iCs/>
        </w:rPr>
      </w:pPr>
      <w:r w:rsidRPr="003F34BA">
        <w:t xml:space="preserve">parties </w:t>
      </w:r>
      <w:r w:rsidR="00CB53FF" w:rsidRPr="003F34BA">
        <w:t>to</w:t>
      </w:r>
      <w:r w:rsidRPr="003F34BA">
        <w:t xml:space="preserve"> N</w:t>
      </w:r>
      <w:r w:rsidR="003A5D85" w:rsidRPr="003F34BA">
        <w:t xml:space="preserve">ational </w:t>
      </w:r>
      <w:r w:rsidRPr="003F34BA">
        <w:t>A</w:t>
      </w:r>
      <w:r w:rsidR="003A5D85" w:rsidRPr="003F34BA">
        <w:t xml:space="preserve">ccess </w:t>
      </w:r>
      <w:r w:rsidRPr="003F34BA">
        <w:t>R</w:t>
      </w:r>
      <w:r w:rsidR="003A5D85" w:rsidRPr="003F34BA">
        <w:t>egime</w:t>
      </w:r>
      <w:r w:rsidRPr="003F34BA">
        <w:t xml:space="preserve"> matters can </w:t>
      </w:r>
      <w:proofErr w:type="gramStart"/>
      <w:r w:rsidRPr="003F34BA">
        <w:t xml:space="preserve">have a </w:t>
      </w:r>
      <w:r w:rsidR="00E40E9F" w:rsidRPr="003F34BA">
        <w:t>tendency</w:t>
      </w:r>
      <w:r w:rsidRPr="003F34BA">
        <w:t xml:space="preserve"> to</w:t>
      </w:r>
      <w:proofErr w:type="gramEnd"/>
      <w:r w:rsidRPr="003F34BA">
        <w:t xml:space="preserve"> </w:t>
      </w:r>
      <w:r w:rsidR="006856D6" w:rsidRPr="003F34BA">
        <w:t>go to court to test whether decisions are legally sound</w:t>
      </w:r>
      <w:r w:rsidR="00F05BAA" w:rsidRPr="003F34BA">
        <w:t>, meaning that Tribunal review does not finally resolve matters</w:t>
      </w:r>
      <w:r w:rsidR="00B66738" w:rsidRPr="003F34BA">
        <w:t>,</w:t>
      </w:r>
      <w:r w:rsidR="00E10605" w:rsidRPr="003F34BA">
        <w:t xml:space="preserve"> and</w:t>
      </w:r>
    </w:p>
    <w:p w14:paraId="7E35C36A" w14:textId="2A91C390" w:rsidR="00E574B7" w:rsidRPr="003F34BA" w:rsidRDefault="00E10605" w:rsidP="00E93B43">
      <w:pPr>
        <w:pStyle w:val="dotpoint"/>
      </w:pPr>
      <w:r w:rsidRPr="003F34BA">
        <w:rPr>
          <w:bCs/>
          <w:iCs/>
        </w:rPr>
        <w:t>arbitration determinations can, because of the design of the N</w:t>
      </w:r>
      <w:r w:rsidR="003A5D85" w:rsidRPr="003F34BA">
        <w:rPr>
          <w:bCs/>
          <w:iCs/>
        </w:rPr>
        <w:t xml:space="preserve">ational </w:t>
      </w:r>
      <w:r w:rsidRPr="003F34BA">
        <w:rPr>
          <w:bCs/>
          <w:iCs/>
        </w:rPr>
        <w:t>A</w:t>
      </w:r>
      <w:r w:rsidR="003A5D85" w:rsidRPr="003F34BA">
        <w:rPr>
          <w:bCs/>
          <w:iCs/>
        </w:rPr>
        <w:t xml:space="preserve">ccess </w:t>
      </w:r>
      <w:r w:rsidRPr="003F34BA">
        <w:rPr>
          <w:bCs/>
          <w:iCs/>
        </w:rPr>
        <w:t>R</w:t>
      </w:r>
      <w:r w:rsidR="003A5D85" w:rsidRPr="003F34BA">
        <w:rPr>
          <w:bCs/>
          <w:iCs/>
        </w:rPr>
        <w:t>egime</w:t>
      </w:r>
      <w:r w:rsidRPr="003F34BA">
        <w:rPr>
          <w:bCs/>
          <w:iCs/>
        </w:rPr>
        <w:t>, extend beyond when</w:t>
      </w:r>
      <w:r w:rsidR="00AC246C" w:rsidRPr="003F34BA">
        <w:rPr>
          <w:bCs/>
          <w:iCs/>
        </w:rPr>
        <w:t xml:space="preserve"> an</w:t>
      </w:r>
      <w:r w:rsidRPr="003F34BA">
        <w:rPr>
          <w:bCs/>
          <w:iCs/>
        </w:rPr>
        <w:t xml:space="preserve"> infrastructure</w:t>
      </w:r>
      <w:r w:rsidR="00AC246C" w:rsidRPr="003F34BA">
        <w:rPr>
          <w:bCs/>
          <w:iCs/>
        </w:rPr>
        <w:t xml:space="preserve"> service</w:t>
      </w:r>
      <w:r w:rsidRPr="003F34BA">
        <w:rPr>
          <w:bCs/>
          <w:iCs/>
        </w:rPr>
        <w:t xml:space="preserve"> is declared.</w:t>
      </w:r>
    </w:p>
    <w:p w14:paraId="436B0ECD" w14:textId="5BBBE7B1" w:rsidR="009A628E" w:rsidRPr="003F34BA" w:rsidRDefault="006679DE" w:rsidP="00E93B43">
      <w:pPr>
        <w:pStyle w:val="base-text-paragraph"/>
      </w:pPr>
      <w:r w:rsidRPr="003F34BA">
        <w:rPr>
          <w:rStyle w:val="Referencingstyle"/>
          <w:b w:val="0"/>
          <w:bCs/>
          <w:i w:val="0"/>
          <w:iCs/>
          <w:sz w:val="22"/>
        </w:rPr>
        <w:t>Following the results of consultation, t</w:t>
      </w:r>
      <w:r w:rsidR="00721FA9" w:rsidRPr="003F34BA">
        <w:rPr>
          <w:rStyle w:val="Referencingstyle"/>
          <w:b w:val="0"/>
          <w:bCs/>
          <w:i w:val="0"/>
          <w:iCs/>
          <w:sz w:val="22"/>
        </w:rPr>
        <w:t xml:space="preserve">he Government announced reforms to improve the timeliness of </w:t>
      </w:r>
      <w:r w:rsidR="00556E9F" w:rsidRPr="003F34BA">
        <w:rPr>
          <w:rStyle w:val="Referencingstyle"/>
          <w:b w:val="0"/>
          <w:bCs/>
          <w:i w:val="0"/>
          <w:iCs/>
          <w:sz w:val="22"/>
        </w:rPr>
        <w:t>N</w:t>
      </w:r>
      <w:r w:rsidR="003A5D85" w:rsidRPr="003F34BA">
        <w:rPr>
          <w:rStyle w:val="Referencingstyle"/>
          <w:b w:val="0"/>
          <w:bCs/>
          <w:i w:val="0"/>
          <w:iCs/>
          <w:sz w:val="22"/>
        </w:rPr>
        <w:t xml:space="preserve">ational </w:t>
      </w:r>
      <w:r w:rsidR="00556E9F" w:rsidRPr="003F34BA">
        <w:rPr>
          <w:rStyle w:val="Referencingstyle"/>
          <w:b w:val="0"/>
          <w:bCs/>
          <w:i w:val="0"/>
          <w:iCs/>
          <w:sz w:val="22"/>
        </w:rPr>
        <w:t>A</w:t>
      </w:r>
      <w:r w:rsidR="003A5D85" w:rsidRPr="003F34BA">
        <w:rPr>
          <w:rStyle w:val="Referencingstyle"/>
          <w:b w:val="0"/>
          <w:bCs/>
          <w:i w:val="0"/>
          <w:iCs/>
          <w:sz w:val="22"/>
        </w:rPr>
        <w:t xml:space="preserve">ccess </w:t>
      </w:r>
      <w:r w:rsidR="00556E9F" w:rsidRPr="003F34BA">
        <w:rPr>
          <w:rStyle w:val="Referencingstyle"/>
          <w:b w:val="0"/>
          <w:bCs/>
          <w:i w:val="0"/>
          <w:iCs/>
          <w:sz w:val="22"/>
        </w:rPr>
        <w:t>R</w:t>
      </w:r>
      <w:r w:rsidR="003A5D85" w:rsidRPr="003F34BA">
        <w:rPr>
          <w:rStyle w:val="Referencingstyle"/>
          <w:b w:val="0"/>
          <w:bCs/>
          <w:i w:val="0"/>
          <w:iCs/>
          <w:sz w:val="22"/>
        </w:rPr>
        <w:t>egime</w:t>
      </w:r>
      <w:r w:rsidR="00556E9F" w:rsidRPr="003F34BA">
        <w:rPr>
          <w:rStyle w:val="Referencingstyle"/>
          <w:b w:val="0"/>
          <w:bCs/>
          <w:i w:val="0"/>
          <w:iCs/>
          <w:sz w:val="22"/>
        </w:rPr>
        <w:t xml:space="preserve"> processes</w:t>
      </w:r>
      <w:r w:rsidR="00721FA9" w:rsidRPr="003F34BA">
        <w:rPr>
          <w:rStyle w:val="Referencingstyle"/>
          <w:b w:val="0"/>
          <w:bCs/>
          <w:i w:val="0"/>
          <w:iCs/>
          <w:sz w:val="22"/>
        </w:rPr>
        <w:t xml:space="preserve"> as part of 2021-22 Commonwealth Budget. </w:t>
      </w:r>
      <w:r w:rsidR="00B515D8" w:rsidRPr="003F34BA">
        <w:t xml:space="preserve">The </w:t>
      </w:r>
      <w:r w:rsidR="003A0E6C" w:rsidRPr="003F34BA">
        <w:t xml:space="preserve">proposed amendments </w:t>
      </w:r>
      <w:r w:rsidR="00CB677C" w:rsidRPr="003F34BA">
        <w:t xml:space="preserve">in this Bill </w:t>
      </w:r>
      <w:r w:rsidR="003A0E6C" w:rsidRPr="003F34BA">
        <w:t xml:space="preserve">will implement </w:t>
      </w:r>
      <w:r w:rsidR="00FA6B02" w:rsidRPr="003F34BA">
        <w:t>those reforms</w:t>
      </w:r>
      <w:r w:rsidR="003212BF" w:rsidRPr="003F34BA">
        <w:t xml:space="preserve">. </w:t>
      </w:r>
      <w:r w:rsidR="00B515D8" w:rsidRPr="003F34BA">
        <w:t xml:space="preserve"> </w:t>
      </w:r>
    </w:p>
    <w:p w14:paraId="0A74F014" w14:textId="77777777" w:rsidR="00C3452B" w:rsidRPr="003F34BA" w:rsidRDefault="00C3452B" w:rsidP="00C3452B">
      <w:pPr>
        <w:pStyle w:val="Heading2"/>
      </w:pPr>
      <w:r w:rsidRPr="003F34BA">
        <w:t>Summary of new law</w:t>
      </w:r>
    </w:p>
    <w:p w14:paraId="22E08307" w14:textId="034DB6FA" w:rsidR="00316A80" w:rsidRPr="003F34BA" w:rsidRDefault="00265AB7" w:rsidP="00C3452B">
      <w:pPr>
        <w:pStyle w:val="base-text-paragraph"/>
      </w:pPr>
      <w:r w:rsidRPr="003F34BA">
        <w:t xml:space="preserve">The </w:t>
      </w:r>
      <w:r w:rsidR="00B9257E" w:rsidRPr="003F34BA">
        <w:t>Bill</w:t>
      </w:r>
      <w:r w:rsidRPr="003F34BA">
        <w:t xml:space="preserve"> </w:t>
      </w:r>
      <w:r w:rsidR="00934495" w:rsidRPr="003F34BA">
        <w:t>will</w:t>
      </w:r>
      <w:r w:rsidRPr="003F34BA">
        <w:t xml:space="preserve"> </w:t>
      </w:r>
      <w:r w:rsidR="00EA3DEC" w:rsidRPr="003F34BA">
        <w:t xml:space="preserve">amend the Competition and Consumer Act to </w:t>
      </w:r>
      <w:r w:rsidR="00BC64D7" w:rsidRPr="003F34BA">
        <w:t>improv</w:t>
      </w:r>
      <w:r w:rsidR="00934495" w:rsidRPr="003F34BA">
        <w:t>e</w:t>
      </w:r>
      <w:r w:rsidR="00BC64D7" w:rsidRPr="003F34BA">
        <w:t xml:space="preserve"> the timeliness</w:t>
      </w:r>
      <w:r w:rsidR="00934495" w:rsidRPr="003F34BA">
        <w:t xml:space="preserve"> </w:t>
      </w:r>
      <w:r w:rsidR="00BC64D7" w:rsidRPr="003F34BA">
        <w:t xml:space="preserve">of </w:t>
      </w:r>
      <w:r w:rsidR="00934495" w:rsidRPr="003F34BA">
        <w:t xml:space="preserve">processes under </w:t>
      </w:r>
      <w:r w:rsidR="002B7C85" w:rsidRPr="003F34BA">
        <w:t xml:space="preserve">the </w:t>
      </w:r>
      <w:r w:rsidR="006D3605" w:rsidRPr="003F34BA">
        <w:t>N</w:t>
      </w:r>
      <w:r w:rsidR="0015496F" w:rsidRPr="003F34BA">
        <w:t xml:space="preserve">ational </w:t>
      </w:r>
      <w:r w:rsidR="006D3605" w:rsidRPr="003F34BA">
        <w:t>A</w:t>
      </w:r>
      <w:r w:rsidR="0015496F" w:rsidRPr="003F34BA">
        <w:t xml:space="preserve">ccess </w:t>
      </w:r>
      <w:r w:rsidR="006D3605" w:rsidRPr="003F34BA">
        <w:t>R</w:t>
      </w:r>
      <w:r w:rsidR="0015496F" w:rsidRPr="003F34BA">
        <w:t>egime</w:t>
      </w:r>
      <w:r w:rsidR="006D3605" w:rsidRPr="003F34BA">
        <w:t xml:space="preserve"> </w:t>
      </w:r>
      <w:r w:rsidR="00934495" w:rsidRPr="003F34BA">
        <w:t>in three key areas.</w:t>
      </w:r>
      <w:r w:rsidR="00316A80" w:rsidRPr="003F34BA">
        <w:t xml:space="preserve"> </w:t>
      </w:r>
    </w:p>
    <w:p w14:paraId="207DB70B" w14:textId="31850F93" w:rsidR="001C332A" w:rsidRPr="003F34BA" w:rsidRDefault="00316A80" w:rsidP="00316A80">
      <w:pPr>
        <w:pStyle w:val="base-text-paragraph"/>
      </w:pPr>
      <w:r w:rsidRPr="003F34BA">
        <w:t xml:space="preserve">First, the proposed amendments will </w:t>
      </w:r>
      <w:r w:rsidR="001C332A" w:rsidRPr="003F34BA">
        <w:t>remov</w:t>
      </w:r>
      <w:r w:rsidRPr="003F34BA">
        <w:t>e</w:t>
      </w:r>
      <w:r w:rsidR="001C332A" w:rsidRPr="003F34BA">
        <w:t xml:space="preserve"> the Tribunal</w:t>
      </w:r>
      <w:r w:rsidR="00567943" w:rsidRPr="003F34BA">
        <w:t>’s ability</w:t>
      </w:r>
      <w:r w:rsidR="001C332A" w:rsidRPr="003F34BA">
        <w:t xml:space="preserve"> to review </w:t>
      </w:r>
      <w:r w:rsidR="00567943" w:rsidRPr="003F34BA">
        <w:t>a decision of the</w:t>
      </w:r>
      <w:r w:rsidR="001C332A" w:rsidRPr="003F34BA">
        <w:t xml:space="preserve"> designated Minister to declare a service, not declare a service or not revoke a declaratio</w:t>
      </w:r>
      <w:r w:rsidRPr="003F34BA">
        <w:t>n</w:t>
      </w:r>
      <w:r w:rsidR="00B5732E" w:rsidRPr="003F34BA">
        <w:t>.</w:t>
      </w:r>
    </w:p>
    <w:p w14:paraId="683B8497" w14:textId="768018F4" w:rsidR="00C74300" w:rsidRPr="003F34BA" w:rsidRDefault="00316A80" w:rsidP="00CD16EE">
      <w:pPr>
        <w:pStyle w:val="base-text-paragraph"/>
      </w:pPr>
      <w:r w:rsidRPr="003F34BA">
        <w:t>Second,</w:t>
      </w:r>
      <w:r w:rsidR="0002612D" w:rsidRPr="003F34BA">
        <w:t xml:space="preserve"> the proposed amendments will limit repeat </w:t>
      </w:r>
      <w:r w:rsidR="005A1C49" w:rsidRPr="003F34BA">
        <w:t>declaration and revocation processes.</w:t>
      </w:r>
    </w:p>
    <w:p w14:paraId="11147022" w14:textId="440073AB" w:rsidR="0017415D" w:rsidRPr="003F34BA" w:rsidRDefault="00322961" w:rsidP="001902BD">
      <w:pPr>
        <w:pStyle w:val="base-text-paragraph"/>
      </w:pPr>
      <w:bookmarkStart w:id="32" w:name="_Hlk88027415"/>
      <w:r w:rsidRPr="003F34BA">
        <w:t>If</w:t>
      </w:r>
      <w:r w:rsidR="00843734" w:rsidRPr="003F34BA">
        <w:t>, in the previous 10 years,</w:t>
      </w:r>
      <w:r w:rsidR="0002612D" w:rsidRPr="003F34BA">
        <w:t xml:space="preserve"> </w:t>
      </w:r>
      <w:r w:rsidR="00DF4819" w:rsidRPr="003F34BA">
        <w:t xml:space="preserve">the </w:t>
      </w:r>
      <w:r w:rsidR="004B053D" w:rsidRPr="003F34BA">
        <w:t xml:space="preserve">designated </w:t>
      </w:r>
      <w:r w:rsidR="00DF4819" w:rsidRPr="003F34BA">
        <w:t>Minister has decided a service is not appropriate to be</w:t>
      </w:r>
      <w:r w:rsidR="004A2D47" w:rsidRPr="003F34BA">
        <w:t xml:space="preserve"> declared or remain</w:t>
      </w:r>
      <w:r w:rsidR="00DF4819" w:rsidRPr="003F34BA">
        <w:t xml:space="preserve"> declared</w:t>
      </w:r>
      <w:r w:rsidR="00683B0B" w:rsidRPr="003F34BA">
        <w:t xml:space="preserve">, </w:t>
      </w:r>
      <w:r w:rsidR="0017415D" w:rsidRPr="003F34BA">
        <w:t>person</w:t>
      </w:r>
      <w:r w:rsidR="00282AEC" w:rsidRPr="003F34BA">
        <w:t>s</w:t>
      </w:r>
      <w:r w:rsidR="0017415D" w:rsidRPr="003F34BA">
        <w:t xml:space="preserve"> </w:t>
      </w:r>
      <w:r w:rsidR="00DF4819" w:rsidRPr="003F34BA">
        <w:t xml:space="preserve">will be </w:t>
      </w:r>
      <w:r w:rsidR="00DF4819" w:rsidRPr="003F34BA">
        <w:lastRenderedPageBreak/>
        <w:t xml:space="preserve">limited </w:t>
      </w:r>
      <w:r w:rsidR="0017415D" w:rsidRPr="003F34BA">
        <w:t xml:space="preserve">from making </w:t>
      </w:r>
      <w:r w:rsidR="00683B0B" w:rsidRPr="003F34BA">
        <w:t>repeat</w:t>
      </w:r>
      <w:r w:rsidR="00391376" w:rsidRPr="003F34BA">
        <w:t xml:space="preserve"> </w:t>
      </w:r>
      <w:r w:rsidR="00CD16EE" w:rsidRPr="003F34BA">
        <w:t>application</w:t>
      </w:r>
      <w:r w:rsidR="0017415D" w:rsidRPr="003F34BA">
        <w:t>s</w:t>
      </w:r>
      <w:r w:rsidR="00CD16EE" w:rsidRPr="003F34BA">
        <w:t xml:space="preserve"> </w:t>
      </w:r>
      <w:r w:rsidR="0017415D" w:rsidRPr="003F34BA">
        <w:t>t</w:t>
      </w:r>
      <w:r w:rsidR="004A5BCD" w:rsidRPr="003F34BA">
        <w:t>o</w:t>
      </w:r>
      <w:r w:rsidR="0017415D" w:rsidRPr="003F34BA">
        <w:t xml:space="preserve"> </w:t>
      </w:r>
      <w:r w:rsidR="00E354CC" w:rsidRPr="003F34BA">
        <w:t xml:space="preserve">the Council to </w:t>
      </w:r>
      <w:r w:rsidR="00CD16EE" w:rsidRPr="003F34BA">
        <w:t xml:space="preserve">initiate the declaration </w:t>
      </w:r>
      <w:r w:rsidR="0017415D" w:rsidRPr="003F34BA">
        <w:t>process</w:t>
      </w:r>
      <w:r w:rsidR="009153CF" w:rsidRPr="003F34BA">
        <w:t>.</w:t>
      </w:r>
      <w:r w:rsidR="00683B0B" w:rsidRPr="003F34BA">
        <w:t xml:space="preserve"> </w:t>
      </w:r>
    </w:p>
    <w:p w14:paraId="67AD2B65" w14:textId="10EB1372" w:rsidR="00CD16EE" w:rsidRPr="003F34BA" w:rsidRDefault="00322961" w:rsidP="001902BD">
      <w:pPr>
        <w:pStyle w:val="base-text-paragraph"/>
      </w:pPr>
      <w:r w:rsidRPr="003F34BA">
        <w:t>If</w:t>
      </w:r>
      <w:r w:rsidR="00843734" w:rsidRPr="003F34BA">
        <w:t>, in the previous 10 years,</w:t>
      </w:r>
      <w:r w:rsidR="00DF4819" w:rsidRPr="003F34BA">
        <w:t xml:space="preserve"> </w:t>
      </w:r>
      <w:r w:rsidR="00C74300" w:rsidRPr="003F34BA">
        <w:t xml:space="preserve">the </w:t>
      </w:r>
      <w:r w:rsidR="004B053D" w:rsidRPr="003F34BA">
        <w:t xml:space="preserve">designated </w:t>
      </w:r>
      <w:r w:rsidR="00C74300" w:rsidRPr="003F34BA">
        <w:t>Minister</w:t>
      </w:r>
      <w:r w:rsidR="00E805C1" w:rsidRPr="003F34BA">
        <w:t xml:space="preserve"> received a recommendation </w:t>
      </w:r>
      <w:r w:rsidR="007B101B" w:rsidRPr="003F34BA">
        <w:t xml:space="preserve">from the Council </w:t>
      </w:r>
      <w:r w:rsidR="00E805C1" w:rsidRPr="003F34BA">
        <w:t>and</w:t>
      </w:r>
      <w:r w:rsidR="00F27335" w:rsidRPr="003F34BA">
        <w:t xml:space="preserve"> </w:t>
      </w:r>
      <w:r w:rsidR="00DF4819" w:rsidRPr="003F34BA">
        <w:t xml:space="preserve">decided a service is appropriate to be </w:t>
      </w:r>
      <w:r w:rsidR="007B101B" w:rsidRPr="003F34BA">
        <w:t>declared or remain declared</w:t>
      </w:r>
      <w:r w:rsidR="00E805C1" w:rsidRPr="003F34BA">
        <w:t>;</w:t>
      </w:r>
      <w:r w:rsidR="00555A0E" w:rsidRPr="003F34BA">
        <w:t xml:space="preserve"> </w:t>
      </w:r>
      <w:r w:rsidR="00E805C1" w:rsidRPr="003F34BA">
        <w:t xml:space="preserve">or the Council (when considering recommending revocation) decided a service is appropriate to </w:t>
      </w:r>
      <w:r w:rsidR="00280161" w:rsidRPr="003F34BA">
        <w:t>remain</w:t>
      </w:r>
      <w:r w:rsidR="00E805C1" w:rsidRPr="003F34BA">
        <w:t xml:space="preserve"> declared, </w:t>
      </w:r>
      <w:r w:rsidR="0017415D" w:rsidRPr="003F34BA">
        <w:t xml:space="preserve">the Council </w:t>
      </w:r>
      <w:r w:rsidR="00DF4819" w:rsidRPr="003F34BA">
        <w:t>will be limited</w:t>
      </w:r>
      <w:r w:rsidR="00662CE5" w:rsidRPr="003F34BA">
        <w:t xml:space="preserve"> </w:t>
      </w:r>
      <w:r w:rsidR="0017415D" w:rsidRPr="003F34BA">
        <w:t xml:space="preserve">from making </w:t>
      </w:r>
      <w:r w:rsidR="00A10FCB" w:rsidRPr="003F34BA">
        <w:t xml:space="preserve">a </w:t>
      </w:r>
      <w:r w:rsidR="00A42746" w:rsidRPr="003F34BA">
        <w:t xml:space="preserve">repeat </w:t>
      </w:r>
      <w:r w:rsidR="00D7238B" w:rsidRPr="003F34BA">
        <w:t xml:space="preserve">revocation </w:t>
      </w:r>
      <w:r w:rsidR="00CD16EE" w:rsidRPr="003F34BA">
        <w:t>recommendation t</w:t>
      </w:r>
      <w:r w:rsidR="004A5BCD" w:rsidRPr="003F34BA">
        <w:t>o</w:t>
      </w:r>
      <w:r w:rsidR="00CD16EE" w:rsidRPr="003F34BA">
        <w:t xml:space="preserve"> </w:t>
      </w:r>
      <w:r w:rsidR="00E354CC" w:rsidRPr="003F34BA">
        <w:t>the Minister</w:t>
      </w:r>
      <w:r w:rsidR="00CD16EE" w:rsidRPr="003F34BA">
        <w:t>.</w:t>
      </w:r>
    </w:p>
    <w:bookmarkEnd w:id="32"/>
    <w:p w14:paraId="3E6731F3" w14:textId="0DDE036D" w:rsidR="004C7779" w:rsidRPr="003F34BA" w:rsidRDefault="004C7779" w:rsidP="00582C7A">
      <w:pPr>
        <w:pStyle w:val="base-text-paragraph"/>
      </w:pPr>
      <w:r w:rsidRPr="003F34BA">
        <w:t>Th</w:t>
      </w:r>
      <w:r w:rsidR="00582C7A" w:rsidRPr="003F34BA">
        <w:t>ese</w:t>
      </w:r>
      <w:r w:rsidRPr="003F34BA">
        <w:t xml:space="preserve"> limitation</w:t>
      </w:r>
      <w:r w:rsidR="00582C7A" w:rsidRPr="003F34BA">
        <w:t>s</w:t>
      </w:r>
      <w:r w:rsidRPr="003F34BA">
        <w:t xml:space="preserve"> will not apply if there has been a material change of circumstances or the designated Minister </w:t>
      </w:r>
      <w:r w:rsidR="00B05B10" w:rsidRPr="003F34BA">
        <w:t>initiate</w:t>
      </w:r>
      <w:r w:rsidR="00D6246B" w:rsidRPr="003F34BA">
        <w:t xml:space="preserve">s </w:t>
      </w:r>
      <w:r w:rsidRPr="003F34BA">
        <w:t xml:space="preserve">the </w:t>
      </w:r>
      <w:r w:rsidR="00D6246B" w:rsidRPr="003F34BA">
        <w:t xml:space="preserve">new </w:t>
      </w:r>
      <w:r w:rsidRPr="003F34BA">
        <w:t>declaration or revocation</w:t>
      </w:r>
      <w:r w:rsidR="00B05B10" w:rsidRPr="003F34BA">
        <w:t xml:space="preserve"> process.</w:t>
      </w:r>
      <w:r w:rsidRPr="003F34BA">
        <w:t xml:space="preserve"> </w:t>
      </w:r>
    </w:p>
    <w:p w14:paraId="6F49A2C1" w14:textId="77777777" w:rsidR="000022B5" w:rsidRPr="003F34BA" w:rsidRDefault="00D658B1" w:rsidP="009375C0">
      <w:pPr>
        <w:pStyle w:val="base-text-paragraph"/>
      </w:pPr>
      <w:r w:rsidRPr="003F34BA">
        <w:t>Third, the proposed amendments will</w:t>
      </w:r>
      <w:r w:rsidR="0050408A" w:rsidRPr="003F34BA">
        <w:t xml:space="preserve"> terminate arbitration proceedings and determinations </w:t>
      </w:r>
      <w:r w:rsidR="001F26B4" w:rsidRPr="003F34BA">
        <w:t>if</w:t>
      </w:r>
      <w:r w:rsidR="0050408A" w:rsidRPr="003F34BA">
        <w:t xml:space="preserve"> the underlying</w:t>
      </w:r>
      <w:r w:rsidR="00C55915" w:rsidRPr="003F34BA">
        <w:t xml:space="preserve"> </w:t>
      </w:r>
      <w:r w:rsidR="0050408A" w:rsidRPr="003F34BA">
        <w:t>declaration</w:t>
      </w:r>
      <w:r w:rsidR="001F26B4" w:rsidRPr="003F34BA">
        <w:t xml:space="preserve"> </w:t>
      </w:r>
      <w:r w:rsidR="0050408A" w:rsidRPr="003F34BA">
        <w:t xml:space="preserve">is revoked or expires. </w:t>
      </w:r>
    </w:p>
    <w:p w14:paraId="63C1FF35" w14:textId="43BAB5F2" w:rsidR="004C2C8F" w:rsidRPr="003F34BA" w:rsidRDefault="000022B5" w:rsidP="009375C0">
      <w:pPr>
        <w:pStyle w:val="base-text-paragraph"/>
      </w:pPr>
      <w:r w:rsidRPr="003F34BA">
        <w:t>A</w:t>
      </w:r>
      <w:r w:rsidR="00332629" w:rsidRPr="003F34BA">
        <w:t>rbitration</w:t>
      </w:r>
      <w:r w:rsidR="006A5B0E" w:rsidRPr="003F34BA">
        <w:t xml:space="preserve"> of an </w:t>
      </w:r>
      <w:r w:rsidR="00952922" w:rsidRPr="003F34BA">
        <w:t>access dispute</w:t>
      </w:r>
      <w:r w:rsidR="004812AB" w:rsidRPr="003F34BA">
        <w:t xml:space="preserve"> by the ACCC</w:t>
      </w:r>
      <w:r w:rsidR="00600185" w:rsidRPr="003F34BA">
        <w:t xml:space="preserve"> </w:t>
      </w:r>
      <w:r w:rsidR="006A5B0E" w:rsidRPr="003F34BA">
        <w:t>and</w:t>
      </w:r>
      <w:r w:rsidR="004812AB" w:rsidRPr="003F34BA">
        <w:t xml:space="preserve"> </w:t>
      </w:r>
      <w:r w:rsidR="00600185" w:rsidRPr="003F34BA">
        <w:t>re-</w:t>
      </w:r>
      <w:r w:rsidR="00D658B1" w:rsidRPr="003F34BA">
        <w:t xml:space="preserve">arbitration </w:t>
      </w:r>
      <w:r w:rsidR="00600185" w:rsidRPr="003F34BA">
        <w:t xml:space="preserve">of </w:t>
      </w:r>
      <w:r w:rsidR="007F5951" w:rsidRPr="003F34BA">
        <w:t xml:space="preserve">the </w:t>
      </w:r>
      <w:r w:rsidR="004C02D9" w:rsidRPr="003F34BA">
        <w:t xml:space="preserve">access dispute </w:t>
      </w:r>
      <w:r w:rsidR="00600185" w:rsidRPr="003F34BA">
        <w:t>by the Trib</w:t>
      </w:r>
      <w:r w:rsidR="006A5B0E" w:rsidRPr="003F34BA">
        <w:t>unal</w:t>
      </w:r>
      <w:r w:rsidR="00332629" w:rsidRPr="003F34BA">
        <w:t xml:space="preserve"> will terminate</w:t>
      </w:r>
      <w:r w:rsidR="006A5B0E" w:rsidRPr="003F34BA">
        <w:t xml:space="preserve"> </w:t>
      </w:r>
      <w:r w:rsidR="00D658B1" w:rsidRPr="003F34BA">
        <w:t>whe</w:t>
      </w:r>
      <w:r w:rsidR="0050637B" w:rsidRPr="003F34BA">
        <w:t>n</w:t>
      </w:r>
      <w:r w:rsidR="00D658B1" w:rsidRPr="003F34BA">
        <w:t xml:space="preserve"> the underlying declaration is revoked or expires.</w:t>
      </w:r>
      <w:r w:rsidR="003C08D9" w:rsidRPr="003F34BA">
        <w:t xml:space="preserve"> </w:t>
      </w:r>
    </w:p>
    <w:p w14:paraId="388D4BFE" w14:textId="62219CE0" w:rsidR="003C08D9" w:rsidRPr="003F34BA" w:rsidRDefault="004812AB" w:rsidP="009375C0">
      <w:pPr>
        <w:pStyle w:val="base-text-paragraph"/>
      </w:pPr>
      <w:r w:rsidRPr="003F34BA">
        <w:t xml:space="preserve">The ACCC and Tribunal will be required to include an expiry date </w:t>
      </w:r>
      <w:r w:rsidR="00D6246B" w:rsidRPr="003F34BA">
        <w:t xml:space="preserve">that is no later than the expiry date of the underlying declaration </w:t>
      </w:r>
      <w:r w:rsidRPr="003F34BA">
        <w:t xml:space="preserve">on all </w:t>
      </w:r>
      <w:r w:rsidR="004E14CD" w:rsidRPr="003F34BA">
        <w:t xml:space="preserve">final </w:t>
      </w:r>
      <w:r w:rsidRPr="003F34BA">
        <w:t xml:space="preserve">determinations. </w:t>
      </w:r>
      <w:r w:rsidR="009375C0" w:rsidRPr="003F34BA">
        <w:t xml:space="preserve">A </w:t>
      </w:r>
      <w:r w:rsidR="004E14CD" w:rsidRPr="003F34BA">
        <w:t xml:space="preserve">final </w:t>
      </w:r>
      <w:r w:rsidR="009375C0" w:rsidRPr="003F34BA">
        <w:t xml:space="preserve">determination </w:t>
      </w:r>
      <w:r w:rsidR="009B56A3" w:rsidRPr="003F34BA">
        <w:t xml:space="preserve">will </w:t>
      </w:r>
      <w:r w:rsidR="009B10C3" w:rsidRPr="003F34BA">
        <w:t xml:space="preserve">remain in effect until its expiry date unless </w:t>
      </w:r>
      <w:r w:rsidR="004B4EA7" w:rsidRPr="003F34BA">
        <w:t>it is revoked earlier</w:t>
      </w:r>
      <w:r w:rsidR="004378CA" w:rsidRPr="003F34BA">
        <w:t xml:space="preserve">. </w:t>
      </w:r>
      <w:r w:rsidR="00065376" w:rsidRPr="003F34BA">
        <w:t xml:space="preserve">If the </w:t>
      </w:r>
      <w:r w:rsidR="00CB6A13" w:rsidRPr="003F34BA">
        <w:t xml:space="preserve">underlying </w:t>
      </w:r>
      <w:r w:rsidR="00065376" w:rsidRPr="003F34BA">
        <w:t xml:space="preserve">declaration is revoked, </w:t>
      </w:r>
      <w:r w:rsidR="00D82894" w:rsidRPr="003F34BA">
        <w:t xml:space="preserve">a final </w:t>
      </w:r>
      <w:r w:rsidR="009B10C3" w:rsidRPr="003F34BA">
        <w:t xml:space="preserve">determination </w:t>
      </w:r>
      <w:r w:rsidR="004B0E33" w:rsidRPr="003F34BA">
        <w:t>will be</w:t>
      </w:r>
      <w:r w:rsidR="004B4EA7" w:rsidRPr="003F34BA">
        <w:t xml:space="preserve"> taken to be</w:t>
      </w:r>
      <w:r w:rsidR="009375C0" w:rsidRPr="003F34BA">
        <w:t xml:space="preserve"> revoked 6 months </w:t>
      </w:r>
      <w:r w:rsidR="00E9425C" w:rsidRPr="003F34BA">
        <w:t>later</w:t>
      </w:r>
      <w:r w:rsidR="009375C0" w:rsidRPr="003F34BA">
        <w:t xml:space="preserve">, </w:t>
      </w:r>
      <w:r w:rsidR="004B4EA7" w:rsidRPr="003F34BA">
        <w:t>unless</w:t>
      </w:r>
      <w:r w:rsidR="009375C0" w:rsidRPr="003F34BA">
        <w:t xml:space="preserve"> the expiry date of the de</w:t>
      </w:r>
      <w:r w:rsidR="00065376" w:rsidRPr="003F34BA">
        <w:t>termination</w:t>
      </w:r>
      <w:r w:rsidR="009B10C3" w:rsidRPr="003F34BA">
        <w:t xml:space="preserve"> i</w:t>
      </w:r>
      <w:r w:rsidR="00E9425C" w:rsidRPr="003F34BA">
        <w:t xml:space="preserve">s </w:t>
      </w:r>
      <w:r w:rsidR="009B10C3" w:rsidRPr="003F34BA">
        <w:t>earlier</w:t>
      </w:r>
      <w:r w:rsidR="004B4EA7" w:rsidRPr="003F34BA">
        <w:t>.</w:t>
      </w:r>
      <w:r w:rsidR="00D82894" w:rsidRPr="003F34BA">
        <w:t xml:space="preserve"> An interim determination will </w:t>
      </w:r>
      <w:r w:rsidR="00852314" w:rsidRPr="003F34BA">
        <w:t xml:space="preserve">expire </w:t>
      </w:r>
      <w:r w:rsidR="00CB6A13" w:rsidRPr="003F34BA">
        <w:t xml:space="preserve">if </w:t>
      </w:r>
      <w:r w:rsidR="00735202" w:rsidRPr="003F34BA">
        <w:t>the</w:t>
      </w:r>
      <w:r w:rsidR="00852314" w:rsidRPr="003F34BA">
        <w:t xml:space="preserve"> underlying declaration </w:t>
      </w:r>
      <w:proofErr w:type="gramStart"/>
      <w:r w:rsidR="00CB6A13" w:rsidRPr="003F34BA">
        <w:t>expires</w:t>
      </w:r>
      <w:r w:rsidR="001D6F05" w:rsidRPr="003F34BA">
        <w:t>,</w:t>
      </w:r>
      <w:r w:rsidR="00CB6A13" w:rsidRPr="003F34BA">
        <w:t xml:space="preserve"> and</w:t>
      </w:r>
      <w:proofErr w:type="gramEnd"/>
      <w:r w:rsidR="00852314" w:rsidRPr="003F34BA">
        <w:t xml:space="preserve"> be</w:t>
      </w:r>
      <w:r w:rsidR="00D82894" w:rsidRPr="003F34BA">
        <w:t xml:space="preserve"> taken to be revoked </w:t>
      </w:r>
      <w:r w:rsidR="00CB6A13" w:rsidRPr="003F34BA">
        <w:t xml:space="preserve">if </w:t>
      </w:r>
      <w:r w:rsidR="00735202" w:rsidRPr="003F34BA">
        <w:t>the</w:t>
      </w:r>
      <w:r w:rsidR="00D82894" w:rsidRPr="003F34BA">
        <w:t xml:space="preserve"> declaration </w:t>
      </w:r>
      <w:r w:rsidR="00852314" w:rsidRPr="003F34BA">
        <w:t>is</w:t>
      </w:r>
      <w:r w:rsidR="00D82894" w:rsidRPr="003F34BA">
        <w:t xml:space="preserve"> revoked. </w:t>
      </w:r>
    </w:p>
    <w:p w14:paraId="5DD3B582" w14:textId="3A750E96" w:rsidR="00C3452B" w:rsidRPr="003F34BA" w:rsidRDefault="00C3452B" w:rsidP="00C3452B">
      <w:pPr>
        <w:pStyle w:val="Heading2with18pointafter"/>
      </w:pPr>
      <w:r w:rsidRPr="003F34BA">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3213"/>
      </w:tblGrid>
      <w:tr w:rsidR="00C3452B" w:rsidRPr="003F34BA" w14:paraId="60A47FD8" w14:textId="77777777" w:rsidTr="001902BD">
        <w:tc>
          <w:tcPr>
            <w:tcW w:w="3204" w:type="dxa"/>
          </w:tcPr>
          <w:p w14:paraId="1DE71445" w14:textId="77777777" w:rsidR="00C3452B" w:rsidRPr="003F34BA" w:rsidRDefault="00C3452B" w:rsidP="00E65F63">
            <w:pPr>
              <w:pStyle w:val="tableheaderwithintable"/>
              <w:rPr>
                <w:lang w:val="en-US" w:eastAsia="en-US"/>
              </w:rPr>
            </w:pPr>
            <w:r w:rsidRPr="003F34BA">
              <w:rPr>
                <w:lang w:val="en-US" w:eastAsia="en-US"/>
              </w:rPr>
              <w:t>New law</w:t>
            </w:r>
          </w:p>
        </w:tc>
        <w:tc>
          <w:tcPr>
            <w:tcW w:w="3213" w:type="dxa"/>
          </w:tcPr>
          <w:p w14:paraId="45015EF4" w14:textId="77777777" w:rsidR="00C3452B" w:rsidRPr="003F34BA" w:rsidRDefault="00C3452B" w:rsidP="00E65F63">
            <w:pPr>
              <w:pStyle w:val="tableheaderwithintable"/>
              <w:rPr>
                <w:lang w:val="en-US" w:eastAsia="en-US"/>
              </w:rPr>
            </w:pPr>
            <w:r w:rsidRPr="003F34BA">
              <w:rPr>
                <w:lang w:val="en-US" w:eastAsia="en-US"/>
              </w:rPr>
              <w:t>Current law</w:t>
            </w:r>
          </w:p>
        </w:tc>
      </w:tr>
      <w:tr w:rsidR="00C3452B" w:rsidRPr="003F34BA" w14:paraId="477798FD" w14:textId="77777777" w:rsidTr="001902BD">
        <w:tc>
          <w:tcPr>
            <w:tcW w:w="3204" w:type="dxa"/>
          </w:tcPr>
          <w:p w14:paraId="4BB64765" w14:textId="06F03A0B" w:rsidR="005D5F9D" w:rsidRPr="003F34BA" w:rsidRDefault="00F41063" w:rsidP="005D5F9D">
            <w:pPr>
              <w:pStyle w:val="tabletext"/>
              <w:rPr>
                <w:lang w:val="en-US" w:eastAsia="en-US"/>
              </w:rPr>
            </w:pPr>
            <w:r w:rsidRPr="003F34BA">
              <w:rPr>
                <w:lang w:val="en-US" w:eastAsia="en-US"/>
              </w:rPr>
              <w:t>T</w:t>
            </w:r>
            <w:r w:rsidR="00FC3CE7" w:rsidRPr="003F34BA">
              <w:rPr>
                <w:lang w:val="en-US" w:eastAsia="en-US"/>
              </w:rPr>
              <w:t xml:space="preserve">he Tribunal </w:t>
            </w:r>
            <w:r w:rsidR="0079126F" w:rsidRPr="003F34BA">
              <w:rPr>
                <w:lang w:val="en-US" w:eastAsia="en-US"/>
              </w:rPr>
              <w:t>cannot</w:t>
            </w:r>
            <w:r w:rsidRPr="003F34BA">
              <w:rPr>
                <w:lang w:val="en-US" w:eastAsia="en-US"/>
              </w:rPr>
              <w:t xml:space="preserve"> review</w:t>
            </w:r>
            <w:r w:rsidR="00FC3CE7" w:rsidRPr="003F34BA">
              <w:rPr>
                <w:lang w:val="en-US" w:eastAsia="en-US"/>
              </w:rPr>
              <w:t xml:space="preserve"> </w:t>
            </w:r>
            <w:r w:rsidR="005D5F9D" w:rsidRPr="003F34BA">
              <w:rPr>
                <w:lang w:val="en-US" w:eastAsia="en-US"/>
              </w:rPr>
              <w:t xml:space="preserve">a decision by the Minister to declare a service, not declare a service or not revoke </w:t>
            </w:r>
            <w:r w:rsidR="005E6255" w:rsidRPr="003F34BA">
              <w:rPr>
                <w:lang w:val="en-US" w:eastAsia="en-US"/>
              </w:rPr>
              <w:t xml:space="preserve">the declaration of </w:t>
            </w:r>
            <w:r w:rsidR="005D5F9D" w:rsidRPr="003F34BA">
              <w:rPr>
                <w:lang w:val="en-US" w:eastAsia="en-US"/>
              </w:rPr>
              <w:t xml:space="preserve">a service. </w:t>
            </w:r>
          </w:p>
          <w:p w14:paraId="21C96D11" w14:textId="6EA5D81F" w:rsidR="005D5F9D" w:rsidRPr="003F34BA" w:rsidRDefault="00AA1FA3" w:rsidP="005D5F9D">
            <w:pPr>
              <w:pStyle w:val="tabletext"/>
              <w:rPr>
                <w:lang w:val="en-US" w:eastAsia="en-US"/>
              </w:rPr>
            </w:pPr>
            <w:r w:rsidRPr="003F34BA">
              <w:rPr>
                <w:lang w:val="en-US" w:eastAsia="en-US"/>
              </w:rPr>
              <w:t>J</w:t>
            </w:r>
            <w:r w:rsidR="005D5F9D" w:rsidRPr="003F34BA">
              <w:rPr>
                <w:lang w:val="en-US" w:eastAsia="en-US"/>
              </w:rPr>
              <w:t>udicial review of the</w:t>
            </w:r>
            <w:r w:rsidR="00F41063" w:rsidRPr="003F34BA">
              <w:rPr>
                <w:lang w:val="en-US" w:eastAsia="en-US"/>
              </w:rPr>
              <w:t>se decisions</w:t>
            </w:r>
            <w:r w:rsidRPr="003F34BA">
              <w:rPr>
                <w:lang w:val="en-US" w:eastAsia="en-US"/>
              </w:rPr>
              <w:t xml:space="preserve"> remain</w:t>
            </w:r>
            <w:r w:rsidR="00F863CA" w:rsidRPr="003F34BA">
              <w:rPr>
                <w:lang w:val="en-US" w:eastAsia="en-US"/>
              </w:rPr>
              <w:t>s</w:t>
            </w:r>
            <w:r w:rsidRPr="003F34BA">
              <w:rPr>
                <w:lang w:val="en-US" w:eastAsia="en-US"/>
              </w:rPr>
              <w:t xml:space="preserve"> available</w:t>
            </w:r>
            <w:r w:rsidR="00F41063" w:rsidRPr="003F34BA">
              <w:rPr>
                <w:lang w:val="en-US" w:eastAsia="en-US"/>
              </w:rPr>
              <w:t>.</w:t>
            </w:r>
          </w:p>
        </w:tc>
        <w:tc>
          <w:tcPr>
            <w:tcW w:w="3213" w:type="dxa"/>
          </w:tcPr>
          <w:p w14:paraId="4769F8B8" w14:textId="50AAC0B9" w:rsidR="00FC3CE7" w:rsidRPr="003F34BA" w:rsidRDefault="005E6255" w:rsidP="0079398A">
            <w:pPr>
              <w:pStyle w:val="tabletext"/>
              <w:rPr>
                <w:lang w:val="en-US" w:eastAsia="en-US"/>
              </w:rPr>
            </w:pPr>
            <w:r w:rsidRPr="003F34BA">
              <w:rPr>
                <w:lang w:val="en-US" w:eastAsia="en-US"/>
              </w:rPr>
              <w:t xml:space="preserve">The Tribunal may review a decision by the Minister to declare a service, not declare a service or not revoke the declaration of a service. </w:t>
            </w:r>
            <w:r w:rsidR="00807189" w:rsidRPr="003F34BA">
              <w:rPr>
                <w:lang w:val="en-US" w:eastAsia="en-US"/>
              </w:rPr>
              <w:t>Judicial review of these decisions is available.</w:t>
            </w:r>
          </w:p>
        </w:tc>
      </w:tr>
      <w:tr w:rsidR="00DD3C66" w:rsidRPr="003F34BA" w14:paraId="46F7DF2F" w14:textId="77777777" w:rsidTr="001902BD">
        <w:trPr>
          <w:trHeight w:val="2433"/>
        </w:trPr>
        <w:tc>
          <w:tcPr>
            <w:tcW w:w="3204" w:type="dxa"/>
          </w:tcPr>
          <w:p w14:paraId="47E013DA" w14:textId="146F74BB" w:rsidR="00DD3C66" w:rsidRPr="003F34BA" w:rsidRDefault="009654DA" w:rsidP="00E65F63">
            <w:pPr>
              <w:pStyle w:val="tabletext"/>
              <w:rPr>
                <w:lang w:val="en-US" w:eastAsia="en-US"/>
              </w:rPr>
            </w:pPr>
            <w:r w:rsidRPr="003F34BA">
              <w:rPr>
                <w:lang w:val="en-US" w:eastAsia="en-US"/>
              </w:rPr>
              <w:lastRenderedPageBreak/>
              <w:t>A person can</w:t>
            </w:r>
            <w:r w:rsidR="005F2654" w:rsidRPr="003F34BA">
              <w:rPr>
                <w:lang w:val="en-US" w:eastAsia="en-US"/>
              </w:rPr>
              <w:t xml:space="preserve">not </w:t>
            </w:r>
            <w:r w:rsidRPr="003F34BA">
              <w:rPr>
                <w:lang w:val="en-US" w:eastAsia="en-US"/>
              </w:rPr>
              <w:t xml:space="preserve">apply to the Council to recommend </w:t>
            </w:r>
            <w:r w:rsidR="0048164C" w:rsidRPr="003F34BA">
              <w:rPr>
                <w:lang w:val="en-US" w:eastAsia="en-US"/>
              </w:rPr>
              <w:t xml:space="preserve">that </w:t>
            </w:r>
            <w:r w:rsidR="007C0116" w:rsidRPr="003F34BA">
              <w:rPr>
                <w:lang w:val="en-US" w:eastAsia="en-US"/>
              </w:rPr>
              <w:t>the Minister</w:t>
            </w:r>
            <w:r w:rsidR="0048164C" w:rsidRPr="003F34BA">
              <w:rPr>
                <w:lang w:val="en-US" w:eastAsia="en-US"/>
              </w:rPr>
              <w:t xml:space="preserve"> declare </w:t>
            </w:r>
            <w:r w:rsidR="005F2654" w:rsidRPr="003F34BA">
              <w:rPr>
                <w:lang w:val="en-US" w:eastAsia="en-US"/>
              </w:rPr>
              <w:t xml:space="preserve">a service </w:t>
            </w:r>
            <w:r w:rsidR="00EA52BC" w:rsidRPr="003F34BA">
              <w:rPr>
                <w:lang w:val="en-US" w:eastAsia="en-US"/>
              </w:rPr>
              <w:t xml:space="preserve">if </w:t>
            </w:r>
            <w:r w:rsidRPr="003F34BA">
              <w:rPr>
                <w:lang w:val="en-US" w:eastAsia="en-US"/>
              </w:rPr>
              <w:t>the Minister has</w:t>
            </w:r>
            <w:r w:rsidR="00EA52BC" w:rsidRPr="003F34BA">
              <w:rPr>
                <w:lang w:val="en-US" w:eastAsia="en-US"/>
              </w:rPr>
              <w:t xml:space="preserve"> </w:t>
            </w:r>
            <w:r w:rsidR="005F2654" w:rsidRPr="003F34BA">
              <w:rPr>
                <w:lang w:val="en-US" w:eastAsia="en-US"/>
              </w:rPr>
              <w:t>refuse</w:t>
            </w:r>
            <w:r w:rsidR="00EA52BC" w:rsidRPr="003F34BA">
              <w:rPr>
                <w:lang w:val="en-US" w:eastAsia="en-US"/>
              </w:rPr>
              <w:t>d</w:t>
            </w:r>
            <w:r w:rsidR="005F2654" w:rsidRPr="003F34BA">
              <w:rPr>
                <w:lang w:val="en-US" w:eastAsia="en-US"/>
              </w:rPr>
              <w:t xml:space="preserve"> to declare the </w:t>
            </w:r>
            <w:r w:rsidR="00EA52BC" w:rsidRPr="003F34BA">
              <w:rPr>
                <w:lang w:val="en-US" w:eastAsia="en-US"/>
              </w:rPr>
              <w:t>service or</w:t>
            </w:r>
            <w:r w:rsidR="007C0116" w:rsidRPr="003F34BA">
              <w:rPr>
                <w:lang w:val="en-US" w:eastAsia="en-US"/>
              </w:rPr>
              <w:t xml:space="preserve"> revoke</w:t>
            </w:r>
            <w:r w:rsidR="005F2654" w:rsidRPr="003F34BA">
              <w:rPr>
                <w:lang w:val="en-US" w:eastAsia="en-US"/>
              </w:rPr>
              <w:t>d</w:t>
            </w:r>
            <w:r w:rsidR="007C0116" w:rsidRPr="003F34BA">
              <w:rPr>
                <w:lang w:val="en-US" w:eastAsia="en-US"/>
              </w:rPr>
              <w:t xml:space="preserve"> </w:t>
            </w:r>
            <w:r w:rsidR="00703285" w:rsidRPr="003F34BA">
              <w:rPr>
                <w:lang w:val="en-US" w:eastAsia="en-US"/>
              </w:rPr>
              <w:t xml:space="preserve">a declaration in relation to that service in the past 10 years. This rule does not apply if the applicant is the Minister or if </w:t>
            </w:r>
            <w:r w:rsidR="006E26DD" w:rsidRPr="003F34BA">
              <w:rPr>
                <w:lang w:val="en-US" w:eastAsia="en-US"/>
              </w:rPr>
              <w:t>there has been a</w:t>
            </w:r>
            <w:r w:rsidR="00DD3C66" w:rsidRPr="003F34BA">
              <w:rPr>
                <w:lang w:val="en-US" w:eastAsia="en-US"/>
              </w:rPr>
              <w:t xml:space="preserve"> material change of circumstances</w:t>
            </w:r>
            <w:r w:rsidR="00560471" w:rsidRPr="003F34BA">
              <w:rPr>
                <w:lang w:val="en-US" w:eastAsia="en-US"/>
              </w:rPr>
              <w:t xml:space="preserve"> between repeat application</w:t>
            </w:r>
            <w:r w:rsidR="00387591" w:rsidRPr="003F34BA">
              <w:rPr>
                <w:lang w:val="en-US" w:eastAsia="en-US"/>
              </w:rPr>
              <w:t>s</w:t>
            </w:r>
            <w:r w:rsidR="00DD3C66" w:rsidRPr="003F34BA">
              <w:rPr>
                <w:lang w:val="en-US" w:eastAsia="en-US"/>
              </w:rPr>
              <w:t>.</w:t>
            </w:r>
            <w:r w:rsidR="000A01D5" w:rsidRPr="003F34BA">
              <w:rPr>
                <w:lang w:val="en-US" w:eastAsia="en-US"/>
              </w:rPr>
              <w:t xml:space="preserve"> </w:t>
            </w:r>
          </w:p>
        </w:tc>
        <w:tc>
          <w:tcPr>
            <w:tcW w:w="3213" w:type="dxa"/>
          </w:tcPr>
          <w:p w14:paraId="7A667087" w14:textId="7F0D4FD4" w:rsidR="00DD3C66" w:rsidRPr="003F34BA" w:rsidRDefault="00C570F5" w:rsidP="00DD3C66">
            <w:pPr>
              <w:spacing w:before="40" w:after="40"/>
              <w:rPr>
                <w:sz w:val="20"/>
                <w:lang w:val="en-US" w:eastAsia="en-US"/>
              </w:rPr>
            </w:pPr>
            <w:r w:rsidRPr="003F34BA">
              <w:rPr>
                <w:sz w:val="20"/>
                <w:lang w:val="en-US" w:eastAsia="en-US"/>
              </w:rPr>
              <w:t xml:space="preserve">A person may </w:t>
            </w:r>
            <w:r w:rsidR="003D41EA" w:rsidRPr="003F34BA">
              <w:rPr>
                <w:sz w:val="20"/>
                <w:lang w:val="en-US" w:eastAsia="en-US"/>
              </w:rPr>
              <w:t xml:space="preserve">apply to </w:t>
            </w:r>
            <w:r w:rsidR="00584ACC" w:rsidRPr="003F34BA">
              <w:rPr>
                <w:sz w:val="20"/>
                <w:lang w:val="en-US" w:eastAsia="en-US"/>
              </w:rPr>
              <w:t xml:space="preserve">the </w:t>
            </w:r>
            <w:r w:rsidR="0046398B" w:rsidRPr="003F34BA">
              <w:rPr>
                <w:sz w:val="20"/>
                <w:lang w:val="en-US" w:eastAsia="en-US"/>
              </w:rPr>
              <w:t>Council</w:t>
            </w:r>
            <w:r w:rsidR="00584ACC" w:rsidRPr="003F34BA">
              <w:rPr>
                <w:sz w:val="20"/>
                <w:lang w:val="en-US" w:eastAsia="en-US"/>
              </w:rPr>
              <w:t xml:space="preserve"> </w:t>
            </w:r>
            <w:r w:rsidR="003D41EA" w:rsidRPr="003F34BA">
              <w:rPr>
                <w:sz w:val="20"/>
                <w:lang w:val="en-US" w:eastAsia="en-US"/>
              </w:rPr>
              <w:t xml:space="preserve">to recommend </w:t>
            </w:r>
            <w:r w:rsidR="005F6368" w:rsidRPr="003F34BA">
              <w:rPr>
                <w:sz w:val="20"/>
                <w:lang w:val="en-US" w:eastAsia="en-US"/>
              </w:rPr>
              <w:t>that</w:t>
            </w:r>
            <w:r w:rsidR="003D41EA" w:rsidRPr="003F34BA">
              <w:rPr>
                <w:sz w:val="20"/>
                <w:lang w:val="en-US" w:eastAsia="en-US"/>
              </w:rPr>
              <w:t xml:space="preserve"> the Minister </w:t>
            </w:r>
            <w:r w:rsidR="005F6368" w:rsidRPr="003F34BA">
              <w:rPr>
                <w:sz w:val="20"/>
                <w:lang w:val="en-US" w:eastAsia="en-US"/>
              </w:rPr>
              <w:t xml:space="preserve">declare a service, </w:t>
            </w:r>
            <w:proofErr w:type="gramStart"/>
            <w:r w:rsidR="005F6368" w:rsidRPr="003F34BA">
              <w:rPr>
                <w:sz w:val="20"/>
                <w:lang w:val="en-US" w:eastAsia="en-US"/>
              </w:rPr>
              <w:t>whether or not</w:t>
            </w:r>
            <w:proofErr w:type="gramEnd"/>
            <w:r w:rsidR="005F6368" w:rsidRPr="003F34BA">
              <w:rPr>
                <w:sz w:val="20"/>
                <w:lang w:val="en-US" w:eastAsia="en-US"/>
              </w:rPr>
              <w:t xml:space="preserve"> </w:t>
            </w:r>
            <w:r w:rsidR="00584ACC" w:rsidRPr="003F34BA">
              <w:rPr>
                <w:sz w:val="20"/>
                <w:lang w:val="en-US" w:eastAsia="en-US"/>
              </w:rPr>
              <w:t xml:space="preserve">the Minister </w:t>
            </w:r>
            <w:r w:rsidR="009B3C38" w:rsidRPr="003F34BA">
              <w:rPr>
                <w:sz w:val="20"/>
                <w:lang w:val="en-US" w:eastAsia="en-US"/>
              </w:rPr>
              <w:t xml:space="preserve">has made a recent decision </w:t>
            </w:r>
            <w:r w:rsidR="00601555" w:rsidRPr="003F34BA">
              <w:rPr>
                <w:sz w:val="20"/>
                <w:lang w:val="en-US" w:eastAsia="en-US"/>
              </w:rPr>
              <w:t>not to</w:t>
            </w:r>
            <w:r w:rsidR="009B3C38" w:rsidRPr="003F34BA">
              <w:rPr>
                <w:sz w:val="20"/>
                <w:lang w:val="en-US" w:eastAsia="en-US"/>
              </w:rPr>
              <w:t xml:space="preserve"> declare the </w:t>
            </w:r>
            <w:r w:rsidR="001224F3" w:rsidRPr="003F34BA">
              <w:rPr>
                <w:sz w:val="20"/>
                <w:lang w:val="en-US" w:eastAsia="en-US"/>
              </w:rPr>
              <w:t>service or</w:t>
            </w:r>
            <w:r w:rsidR="009B3C38" w:rsidRPr="003F34BA">
              <w:rPr>
                <w:sz w:val="20"/>
                <w:lang w:val="en-US" w:eastAsia="en-US"/>
              </w:rPr>
              <w:t xml:space="preserve"> has recently revoked a declaration in relation to the service</w:t>
            </w:r>
            <w:r w:rsidR="005433B4" w:rsidRPr="003F34BA">
              <w:rPr>
                <w:sz w:val="20"/>
                <w:lang w:val="en-US" w:eastAsia="en-US"/>
              </w:rPr>
              <w:t xml:space="preserve">. </w:t>
            </w:r>
            <w:r w:rsidR="00C810EB" w:rsidRPr="003F34BA">
              <w:rPr>
                <w:sz w:val="20"/>
                <w:lang w:val="en-US" w:eastAsia="en-US"/>
              </w:rPr>
              <w:t xml:space="preserve">There is no requirement for </w:t>
            </w:r>
            <w:proofErr w:type="gramStart"/>
            <w:r w:rsidR="00C810EB" w:rsidRPr="003F34BA">
              <w:rPr>
                <w:sz w:val="20"/>
                <w:lang w:val="en-US" w:eastAsia="en-US"/>
              </w:rPr>
              <w:t>a period of time</w:t>
            </w:r>
            <w:proofErr w:type="gramEnd"/>
            <w:r w:rsidR="00C810EB" w:rsidRPr="003F34BA">
              <w:rPr>
                <w:sz w:val="20"/>
                <w:lang w:val="en-US" w:eastAsia="en-US"/>
              </w:rPr>
              <w:t xml:space="preserve"> to have passed between repeat application</w:t>
            </w:r>
            <w:r w:rsidR="005E619D" w:rsidRPr="003F34BA">
              <w:rPr>
                <w:sz w:val="20"/>
                <w:lang w:val="en-US" w:eastAsia="en-US"/>
              </w:rPr>
              <w:t>s</w:t>
            </w:r>
            <w:r w:rsidR="00C810EB" w:rsidRPr="003F34BA">
              <w:rPr>
                <w:sz w:val="20"/>
                <w:lang w:val="en-US" w:eastAsia="en-US"/>
              </w:rPr>
              <w:t>.</w:t>
            </w:r>
          </w:p>
        </w:tc>
      </w:tr>
      <w:tr w:rsidR="001D799B" w:rsidRPr="003F34BA" w14:paraId="60FD1002" w14:textId="77777777" w:rsidTr="001902BD">
        <w:tc>
          <w:tcPr>
            <w:tcW w:w="3204" w:type="dxa"/>
          </w:tcPr>
          <w:p w14:paraId="684CDEBB" w14:textId="77777777" w:rsidR="00B41DD5" w:rsidRPr="003F34BA" w:rsidRDefault="001D799B" w:rsidP="00E65F63">
            <w:pPr>
              <w:pStyle w:val="tabletext"/>
              <w:rPr>
                <w:lang w:val="en-US" w:eastAsia="en-US"/>
              </w:rPr>
            </w:pPr>
            <w:r w:rsidRPr="003F34BA">
              <w:rPr>
                <w:lang w:val="en-US" w:eastAsia="en-US"/>
              </w:rPr>
              <w:t xml:space="preserve">The Council cannot recommend revocation of a declaration </w:t>
            </w:r>
            <w:r w:rsidR="005A7581" w:rsidRPr="003F34BA">
              <w:rPr>
                <w:lang w:val="en-US" w:eastAsia="en-US"/>
              </w:rPr>
              <w:t>if</w:t>
            </w:r>
            <w:r w:rsidRPr="003F34BA">
              <w:rPr>
                <w:lang w:val="en-US" w:eastAsia="en-US"/>
              </w:rPr>
              <w:t xml:space="preserve"> </w:t>
            </w:r>
            <w:r w:rsidR="00F13C08" w:rsidRPr="003F34BA">
              <w:rPr>
                <w:lang w:val="en-US" w:eastAsia="en-US"/>
              </w:rPr>
              <w:t>the declaration</w:t>
            </w:r>
            <w:r w:rsidR="00A15C1A" w:rsidRPr="003F34BA">
              <w:rPr>
                <w:lang w:val="en-US" w:eastAsia="en-US"/>
              </w:rPr>
              <w:t xml:space="preserve"> is subject to the </w:t>
            </w:r>
            <w:r w:rsidR="00A15C1A" w:rsidRPr="003F34BA">
              <w:rPr>
                <w:b/>
                <w:bCs/>
                <w:i/>
                <w:iCs/>
                <w:lang w:val="en-US" w:eastAsia="en-US"/>
              </w:rPr>
              <w:t>revocation exclusion perio</w:t>
            </w:r>
            <w:r w:rsidR="004344B9" w:rsidRPr="003F34BA">
              <w:rPr>
                <w:b/>
                <w:bCs/>
                <w:i/>
                <w:iCs/>
                <w:lang w:val="en-US" w:eastAsia="en-US"/>
              </w:rPr>
              <w:t>d</w:t>
            </w:r>
            <w:r w:rsidR="00A957A1" w:rsidRPr="003F34BA">
              <w:rPr>
                <w:lang w:val="en-US" w:eastAsia="en-US"/>
              </w:rPr>
              <w:t xml:space="preserve"> (</w:t>
            </w:r>
            <w:r w:rsidR="00397C3C" w:rsidRPr="003F34BA">
              <w:rPr>
                <w:lang w:val="en-US" w:eastAsia="en-US"/>
              </w:rPr>
              <w:t>this period is engaged if</w:t>
            </w:r>
            <w:r w:rsidR="00417E97" w:rsidRPr="003F34BA">
              <w:rPr>
                <w:lang w:val="en-US" w:eastAsia="en-US"/>
              </w:rPr>
              <w:t xml:space="preserve"> </w:t>
            </w:r>
            <w:r w:rsidR="00A957A1" w:rsidRPr="003F34BA">
              <w:rPr>
                <w:lang w:val="en-US" w:eastAsia="en-US"/>
              </w:rPr>
              <w:t xml:space="preserve">in the past 10 years, the designated Minister received a recommendation </w:t>
            </w:r>
            <w:r w:rsidR="00397C3C" w:rsidRPr="003F34BA">
              <w:rPr>
                <w:lang w:val="en-US" w:eastAsia="en-US"/>
              </w:rPr>
              <w:t xml:space="preserve">from the Council </w:t>
            </w:r>
            <w:r w:rsidR="00A957A1" w:rsidRPr="003F34BA">
              <w:rPr>
                <w:lang w:val="en-US" w:eastAsia="en-US"/>
              </w:rPr>
              <w:t>and decided a service is appropriate to be declared</w:t>
            </w:r>
            <w:r w:rsidR="00397C3C" w:rsidRPr="003F34BA">
              <w:rPr>
                <w:lang w:val="en-US" w:eastAsia="en-US"/>
              </w:rPr>
              <w:t xml:space="preserve"> or remain declared</w:t>
            </w:r>
            <w:r w:rsidR="00A957A1" w:rsidRPr="003F34BA">
              <w:rPr>
                <w:lang w:val="en-US" w:eastAsia="en-US"/>
              </w:rPr>
              <w:t xml:space="preserve">; or the Council (when considering recommending revocation) decided a service is appropriate to remain declared). </w:t>
            </w:r>
          </w:p>
          <w:p w14:paraId="43350433" w14:textId="3517ACCC" w:rsidR="001D799B" w:rsidRPr="003F34BA" w:rsidRDefault="006C359F" w:rsidP="00E65F63">
            <w:pPr>
              <w:pStyle w:val="tabletext"/>
              <w:rPr>
                <w:lang w:val="en-US" w:eastAsia="en-US"/>
              </w:rPr>
            </w:pPr>
            <w:r w:rsidRPr="003F34BA">
              <w:rPr>
                <w:lang w:val="en-US" w:eastAsia="en-US"/>
              </w:rPr>
              <w:t>This rule does not apply if there has been a material change of circumstances or the Minister requests the Council consider recommending revocation.</w:t>
            </w:r>
          </w:p>
        </w:tc>
        <w:tc>
          <w:tcPr>
            <w:tcW w:w="3213" w:type="dxa"/>
          </w:tcPr>
          <w:p w14:paraId="63EEF36A" w14:textId="204F0ECC" w:rsidR="001D799B" w:rsidRPr="003F34BA" w:rsidRDefault="001D799B" w:rsidP="009B3C38">
            <w:pPr>
              <w:spacing w:before="40" w:after="40"/>
              <w:rPr>
                <w:sz w:val="20"/>
                <w:lang w:val="en-US" w:eastAsia="en-US"/>
              </w:rPr>
            </w:pPr>
            <w:r w:rsidRPr="003F34BA">
              <w:rPr>
                <w:sz w:val="20"/>
                <w:lang w:val="en-US" w:eastAsia="en-US"/>
              </w:rPr>
              <w:t xml:space="preserve">The Council may recommend revocation of a </w:t>
            </w:r>
            <w:r w:rsidR="00703285" w:rsidRPr="003F34BA">
              <w:rPr>
                <w:sz w:val="20"/>
                <w:lang w:val="en-US" w:eastAsia="en-US"/>
              </w:rPr>
              <w:t>declaration</w:t>
            </w:r>
            <w:r w:rsidR="00C810EB" w:rsidRPr="003F34BA">
              <w:t xml:space="preserve"> </w:t>
            </w:r>
            <w:proofErr w:type="gramStart"/>
            <w:r w:rsidR="004344B9" w:rsidRPr="003F34BA">
              <w:rPr>
                <w:sz w:val="20"/>
                <w:lang w:val="en-US" w:eastAsia="en-US"/>
              </w:rPr>
              <w:t>whether or not</w:t>
            </w:r>
            <w:proofErr w:type="gramEnd"/>
            <w:r w:rsidR="00C810EB" w:rsidRPr="003F34BA">
              <w:rPr>
                <w:sz w:val="20"/>
                <w:lang w:val="en-US" w:eastAsia="en-US"/>
              </w:rPr>
              <w:t xml:space="preserve"> a decision maker has recently considered </w:t>
            </w:r>
            <w:r w:rsidR="002B5137" w:rsidRPr="003F34BA">
              <w:rPr>
                <w:sz w:val="20"/>
                <w:lang w:val="en-US" w:eastAsia="en-US"/>
              </w:rPr>
              <w:t>whether the</w:t>
            </w:r>
            <w:r w:rsidR="00560471" w:rsidRPr="003F34BA">
              <w:rPr>
                <w:sz w:val="20"/>
                <w:lang w:val="en-US" w:eastAsia="en-US"/>
              </w:rPr>
              <w:t xml:space="preserve"> service </w:t>
            </w:r>
            <w:r w:rsidR="002B5137" w:rsidRPr="003F34BA">
              <w:rPr>
                <w:sz w:val="20"/>
                <w:lang w:val="en-US" w:eastAsia="en-US"/>
              </w:rPr>
              <w:t xml:space="preserve">is </w:t>
            </w:r>
            <w:r w:rsidR="00560471" w:rsidRPr="003F34BA">
              <w:rPr>
                <w:sz w:val="20"/>
                <w:lang w:val="en-US" w:eastAsia="en-US"/>
              </w:rPr>
              <w:t>appropriate to be declared</w:t>
            </w:r>
            <w:r w:rsidR="00C810EB" w:rsidRPr="003F34BA">
              <w:rPr>
                <w:sz w:val="20"/>
                <w:lang w:val="en-US" w:eastAsia="en-US"/>
              </w:rPr>
              <w:t>.</w:t>
            </w:r>
            <w:r w:rsidRPr="003F34BA">
              <w:rPr>
                <w:sz w:val="20"/>
                <w:lang w:val="en-US" w:eastAsia="en-US"/>
              </w:rPr>
              <w:t xml:space="preserve"> There is no requirement for </w:t>
            </w:r>
            <w:proofErr w:type="gramStart"/>
            <w:r w:rsidRPr="003F34BA">
              <w:rPr>
                <w:sz w:val="20"/>
                <w:lang w:val="en-US" w:eastAsia="en-US"/>
              </w:rPr>
              <w:t>a period of time</w:t>
            </w:r>
            <w:proofErr w:type="gramEnd"/>
            <w:r w:rsidRPr="003F34BA">
              <w:rPr>
                <w:sz w:val="20"/>
                <w:lang w:val="en-US" w:eastAsia="en-US"/>
              </w:rPr>
              <w:t xml:space="preserve"> to have passed </w:t>
            </w:r>
            <w:r w:rsidR="00703285" w:rsidRPr="003F34BA">
              <w:rPr>
                <w:sz w:val="20"/>
                <w:lang w:val="en-US" w:eastAsia="en-US"/>
              </w:rPr>
              <w:t xml:space="preserve">between repeat </w:t>
            </w:r>
            <w:r w:rsidR="0002612D" w:rsidRPr="003F34BA">
              <w:rPr>
                <w:sz w:val="20"/>
                <w:lang w:val="en-US" w:eastAsia="en-US"/>
              </w:rPr>
              <w:t xml:space="preserve">revocation </w:t>
            </w:r>
            <w:r w:rsidR="00E50341" w:rsidRPr="003F34BA">
              <w:rPr>
                <w:sz w:val="20"/>
                <w:lang w:val="en-US" w:eastAsia="en-US"/>
              </w:rPr>
              <w:t>recommendations.</w:t>
            </w:r>
          </w:p>
        </w:tc>
      </w:tr>
      <w:tr w:rsidR="00DB2739" w:rsidRPr="003F34BA" w14:paraId="53A34B45" w14:textId="77777777" w:rsidTr="001902BD">
        <w:tc>
          <w:tcPr>
            <w:tcW w:w="3204" w:type="dxa"/>
          </w:tcPr>
          <w:p w14:paraId="199B0A42" w14:textId="49385994" w:rsidR="00DB2739" w:rsidRPr="003F34BA" w:rsidRDefault="00312591" w:rsidP="00E65F63">
            <w:pPr>
              <w:pStyle w:val="tabletext"/>
              <w:rPr>
                <w:lang w:val="en-US" w:eastAsia="en-US"/>
              </w:rPr>
            </w:pPr>
            <w:r w:rsidRPr="003F34BA">
              <w:rPr>
                <w:lang w:val="en-US" w:eastAsia="en-US"/>
              </w:rPr>
              <w:t>If the</w:t>
            </w:r>
            <w:r w:rsidR="00574BF9" w:rsidRPr="003F34BA">
              <w:rPr>
                <w:lang w:val="en-US" w:eastAsia="en-US"/>
              </w:rPr>
              <w:t xml:space="preserve"> ACCC is </w:t>
            </w:r>
            <w:r w:rsidRPr="003F34BA">
              <w:rPr>
                <w:lang w:val="en-US" w:eastAsia="en-US"/>
              </w:rPr>
              <w:t>arbitrating</w:t>
            </w:r>
            <w:r w:rsidR="00574BF9" w:rsidRPr="003F34BA">
              <w:rPr>
                <w:lang w:val="en-US" w:eastAsia="en-US"/>
              </w:rPr>
              <w:t xml:space="preserve"> an access </w:t>
            </w:r>
            <w:r w:rsidR="006A338C" w:rsidRPr="003F34BA">
              <w:rPr>
                <w:lang w:val="en-US" w:eastAsia="en-US"/>
              </w:rPr>
              <w:t xml:space="preserve">dispute and the underlying declaration expires or is revoked, </w:t>
            </w:r>
            <w:r w:rsidR="00C26B51" w:rsidRPr="003F34BA">
              <w:rPr>
                <w:lang w:val="en-US" w:eastAsia="en-US"/>
              </w:rPr>
              <w:t>the ACC</w:t>
            </w:r>
            <w:r w:rsidR="003F1E15" w:rsidRPr="003F34BA">
              <w:rPr>
                <w:lang w:val="en-US" w:eastAsia="en-US"/>
              </w:rPr>
              <w:t>C</w:t>
            </w:r>
            <w:r w:rsidR="00C26B51" w:rsidRPr="003F34BA">
              <w:rPr>
                <w:lang w:val="en-US" w:eastAsia="en-US"/>
              </w:rPr>
              <w:t xml:space="preserve"> must </w:t>
            </w:r>
            <w:r w:rsidR="003F1E15" w:rsidRPr="003F34BA">
              <w:rPr>
                <w:lang w:val="en-US" w:eastAsia="en-US"/>
              </w:rPr>
              <w:t xml:space="preserve">terminate the arbitration, and must </w:t>
            </w:r>
            <w:r w:rsidR="00C26B51" w:rsidRPr="003F34BA">
              <w:rPr>
                <w:lang w:val="en-US" w:eastAsia="en-US"/>
              </w:rPr>
              <w:t xml:space="preserve">not </w:t>
            </w:r>
            <w:proofErr w:type="gramStart"/>
            <w:r w:rsidR="00C26B51" w:rsidRPr="003F34BA">
              <w:rPr>
                <w:lang w:val="en-US" w:eastAsia="en-US"/>
              </w:rPr>
              <w:t>make a determination</w:t>
            </w:r>
            <w:proofErr w:type="gramEnd"/>
            <w:r w:rsidR="00C26B51" w:rsidRPr="003F34BA">
              <w:rPr>
                <w:lang w:val="en-US" w:eastAsia="en-US"/>
              </w:rPr>
              <w:t>.</w:t>
            </w:r>
            <w:r w:rsidRPr="003F34BA">
              <w:rPr>
                <w:lang w:val="en-US" w:eastAsia="en-US"/>
              </w:rPr>
              <w:t xml:space="preserve"> </w:t>
            </w:r>
            <w:r w:rsidR="00477CB3" w:rsidRPr="003F34BA">
              <w:rPr>
                <w:lang w:val="en-US" w:eastAsia="en-US"/>
              </w:rPr>
              <w:t>If the Tribunal is re</w:t>
            </w:r>
            <w:r w:rsidR="00033BF1" w:rsidRPr="003F34BA">
              <w:rPr>
                <w:lang w:val="en-US" w:eastAsia="en-US"/>
              </w:rPr>
              <w:t>-</w:t>
            </w:r>
            <w:r w:rsidR="00477CB3" w:rsidRPr="003F34BA">
              <w:rPr>
                <w:lang w:val="en-US" w:eastAsia="en-US"/>
              </w:rPr>
              <w:t xml:space="preserve">arbitrating </w:t>
            </w:r>
            <w:r w:rsidR="00033BF1" w:rsidRPr="003F34BA">
              <w:rPr>
                <w:lang w:val="en-US" w:eastAsia="en-US"/>
              </w:rPr>
              <w:t>a</w:t>
            </w:r>
            <w:r w:rsidR="006C2D3D" w:rsidRPr="003F34BA">
              <w:rPr>
                <w:lang w:val="en-US" w:eastAsia="en-US"/>
              </w:rPr>
              <w:t>n access dispute</w:t>
            </w:r>
            <w:r w:rsidR="00033BF1" w:rsidRPr="003F34BA">
              <w:rPr>
                <w:lang w:val="en-US" w:eastAsia="en-US"/>
              </w:rPr>
              <w:t xml:space="preserve"> </w:t>
            </w:r>
            <w:r w:rsidR="005B65CF" w:rsidRPr="003F34BA">
              <w:rPr>
                <w:lang w:val="en-US" w:eastAsia="en-US"/>
              </w:rPr>
              <w:t>and the underlying declaration expires or is revoked, the Tribunal must</w:t>
            </w:r>
            <w:r w:rsidR="00F440E7" w:rsidRPr="003F34BA">
              <w:rPr>
                <w:lang w:val="en-US" w:eastAsia="en-US"/>
              </w:rPr>
              <w:t xml:space="preserve"> also</w:t>
            </w:r>
            <w:r w:rsidR="005B65CF" w:rsidRPr="003F34BA">
              <w:rPr>
                <w:lang w:val="en-US" w:eastAsia="en-US"/>
              </w:rPr>
              <w:t xml:space="preserve"> terminate the review. </w:t>
            </w:r>
          </w:p>
        </w:tc>
        <w:tc>
          <w:tcPr>
            <w:tcW w:w="3213" w:type="dxa"/>
          </w:tcPr>
          <w:p w14:paraId="6BE53807" w14:textId="4EB670FD" w:rsidR="00DB2739" w:rsidRPr="003F34BA" w:rsidRDefault="0041218F" w:rsidP="00DD3C66">
            <w:pPr>
              <w:spacing w:before="40" w:after="40"/>
              <w:rPr>
                <w:sz w:val="20"/>
                <w:lang w:val="en-US" w:eastAsia="en-US"/>
              </w:rPr>
            </w:pPr>
            <w:r w:rsidRPr="003F34BA">
              <w:rPr>
                <w:sz w:val="20"/>
                <w:lang w:val="en-US" w:eastAsia="en-US"/>
              </w:rPr>
              <w:t>The revocation or expiration of a declaration does not affect the arbitration of a</w:t>
            </w:r>
            <w:r w:rsidR="00EF6B86" w:rsidRPr="003F34BA">
              <w:rPr>
                <w:sz w:val="20"/>
                <w:lang w:val="en-US" w:eastAsia="en-US"/>
              </w:rPr>
              <w:t>n access</w:t>
            </w:r>
            <w:r w:rsidRPr="003F34BA">
              <w:rPr>
                <w:sz w:val="20"/>
                <w:lang w:val="en-US" w:eastAsia="en-US"/>
              </w:rPr>
              <w:t xml:space="preserve"> dispute</w:t>
            </w:r>
            <w:r w:rsidR="00EF6B86" w:rsidRPr="003F34BA">
              <w:rPr>
                <w:sz w:val="20"/>
                <w:lang w:val="en-US" w:eastAsia="en-US"/>
              </w:rPr>
              <w:t>, or re-arbitration of an access dispute</w:t>
            </w:r>
            <w:r w:rsidRPr="003F34BA">
              <w:rPr>
                <w:sz w:val="20"/>
                <w:lang w:val="en-US" w:eastAsia="en-US"/>
              </w:rPr>
              <w:t xml:space="preserve"> </w:t>
            </w:r>
            <w:r w:rsidR="00973D88" w:rsidRPr="003F34BA">
              <w:rPr>
                <w:sz w:val="20"/>
                <w:lang w:val="en-US" w:eastAsia="en-US"/>
              </w:rPr>
              <w:t>that is ongoing when</w:t>
            </w:r>
            <w:r w:rsidRPr="003F34BA">
              <w:rPr>
                <w:sz w:val="20"/>
                <w:lang w:val="en-US" w:eastAsia="en-US"/>
              </w:rPr>
              <w:t xml:space="preserve"> the </w:t>
            </w:r>
            <w:r w:rsidR="00973D88" w:rsidRPr="003F34BA">
              <w:rPr>
                <w:sz w:val="20"/>
                <w:lang w:val="en-US" w:eastAsia="en-US"/>
              </w:rPr>
              <w:t>declaration. is revoked or expires.</w:t>
            </w:r>
            <w:r w:rsidRPr="003F34BA">
              <w:rPr>
                <w:sz w:val="20"/>
                <w:lang w:val="en-US" w:eastAsia="en-US"/>
              </w:rPr>
              <w:t xml:space="preserve"> </w:t>
            </w:r>
          </w:p>
        </w:tc>
      </w:tr>
      <w:tr w:rsidR="00DB2739" w:rsidRPr="003F34BA" w14:paraId="69F2B2FF" w14:textId="77777777" w:rsidTr="001902BD">
        <w:trPr>
          <w:trHeight w:val="473"/>
        </w:trPr>
        <w:tc>
          <w:tcPr>
            <w:tcW w:w="3204" w:type="dxa"/>
          </w:tcPr>
          <w:p w14:paraId="13DDFCB6" w14:textId="799E9516" w:rsidR="00DB2739" w:rsidRPr="003F34BA" w:rsidRDefault="004E5841" w:rsidP="002F38C2">
            <w:pPr>
              <w:pStyle w:val="tabletext"/>
              <w:rPr>
                <w:lang w:val="en-US" w:eastAsia="en-US"/>
              </w:rPr>
            </w:pPr>
            <w:r w:rsidRPr="003F34BA">
              <w:rPr>
                <w:lang w:val="en-US" w:eastAsia="en-US"/>
              </w:rPr>
              <w:t>The ACCC and Tribunal must include an expiry date on a</w:t>
            </w:r>
            <w:r w:rsidR="00C810EB" w:rsidRPr="003F34BA">
              <w:rPr>
                <w:lang w:val="en-US" w:eastAsia="en-US"/>
              </w:rPr>
              <w:t xml:space="preserve"> </w:t>
            </w:r>
            <w:r w:rsidRPr="003F34BA">
              <w:rPr>
                <w:lang w:val="en-US" w:eastAsia="en-US"/>
              </w:rPr>
              <w:t>final determination</w:t>
            </w:r>
            <w:r w:rsidR="00C810EB" w:rsidRPr="003F34BA">
              <w:rPr>
                <w:lang w:val="en-US" w:eastAsia="en-US"/>
              </w:rPr>
              <w:t xml:space="preserve"> </w:t>
            </w:r>
            <w:r w:rsidRPr="003F34BA">
              <w:rPr>
                <w:lang w:val="en-US" w:eastAsia="en-US"/>
              </w:rPr>
              <w:t xml:space="preserve">that is no later than the expiry date of </w:t>
            </w:r>
            <w:r w:rsidR="00340864" w:rsidRPr="003F34BA">
              <w:rPr>
                <w:lang w:val="en-US" w:eastAsia="en-US"/>
              </w:rPr>
              <w:t>the</w:t>
            </w:r>
            <w:r w:rsidRPr="003F34BA">
              <w:rPr>
                <w:lang w:val="en-US" w:eastAsia="en-US"/>
              </w:rPr>
              <w:t xml:space="preserve"> underlying declaration. A final determination remains in effect until its expiry date unless revoked earlier. A final determination is revoked 6 months after the revocation of </w:t>
            </w:r>
            <w:r w:rsidR="00340864" w:rsidRPr="003F34BA">
              <w:rPr>
                <w:lang w:val="en-US" w:eastAsia="en-US"/>
              </w:rPr>
              <w:t>the</w:t>
            </w:r>
            <w:r w:rsidRPr="003F34BA">
              <w:rPr>
                <w:lang w:val="en-US" w:eastAsia="en-US"/>
              </w:rPr>
              <w:t xml:space="preserve"> underlying declaration, unless the expiry date of </w:t>
            </w:r>
            <w:r w:rsidRPr="003F34BA">
              <w:rPr>
                <w:lang w:val="en-US" w:eastAsia="en-US"/>
              </w:rPr>
              <w:lastRenderedPageBreak/>
              <w:t>the determination is earlier</w:t>
            </w:r>
            <w:r w:rsidR="00EF6B86" w:rsidRPr="003F34BA">
              <w:rPr>
                <w:lang w:val="en-US" w:eastAsia="en-US"/>
              </w:rPr>
              <w:t>, in which case</w:t>
            </w:r>
            <w:r w:rsidRPr="003F34BA">
              <w:rPr>
                <w:lang w:val="en-US" w:eastAsia="en-US"/>
              </w:rPr>
              <w:t xml:space="preserve"> the determination is revoked on that date. An interim determination </w:t>
            </w:r>
            <w:r w:rsidR="00EF6B86" w:rsidRPr="003F34BA">
              <w:rPr>
                <w:lang w:val="en-US" w:eastAsia="en-US"/>
              </w:rPr>
              <w:t>is</w:t>
            </w:r>
            <w:r w:rsidRPr="003F34BA">
              <w:rPr>
                <w:lang w:val="en-US" w:eastAsia="en-US"/>
              </w:rPr>
              <w:t xml:space="preserve"> taken to be revoked on the day </w:t>
            </w:r>
            <w:r w:rsidR="00C74370" w:rsidRPr="003F34BA">
              <w:rPr>
                <w:lang w:val="en-US" w:eastAsia="en-US"/>
              </w:rPr>
              <w:t>the</w:t>
            </w:r>
            <w:r w:rsidRPr="003F34BA">
              <w:rPr>
                <w:lang w:val="en-US" w:eastAsia="en-US"/>
              </w:rPr>
              <w:t xml:space="preserve"> underlying declaration is </w:t>
            </w:r>
            <w:r w:rsidR="001C25F7" w:rsidRPr="003F34BA">
              <w:rPr>
                <w:lang w:val="en-US" w:eastAsia="en-US"/>
              </w:rPr>
              <w:t>revoked and</w:t>
            </w:r>
            <w:r w:rsidR="00E50341" w:rsidRPr="003F34BA">
              <w:rPr>
                <w:lang w:val="en-US" w:eastAsia="en-US"/>
              </w:rPr>
              <w:t xml:space="preserve"> expire</w:t>
            </w:r>
            <w:r w:rsidR="00C74370" w:rsidRPr="003F34BA">
              <w:rPr>
                <w:lang w:val="en-US" w:eastAsia="en-US"/>
              </w:rPr>
              <w:t>s</w:t>
            </w:r>
            <w:r w:rsidR="00E50341" w:rsidRPr="003F34BA">
              <w:rPr>
                <w:lang w:val="en-US" w:eastAsia="en-US"/>
              </w:rPr>
              <w:t xml:space="preserve"> if </w:t>
            </w:r>
            <w:r w:rsidR="00C74370" w:rsidRPr="003F34BA">
              <w:rPr>
                <w:lang w:val="en-US" w:eastAsia="en-US"/>
              </w:rPr>
              <w:t>the</w:t>
            </w:r>
            <w:r w:rsidR="00E50341" w:rsidRPr="003F34BA">
              <w:rPr>
                <w:lang w:val="en-US" w:eastAsia="en-US"/>
              </w:rPr>
              <w:t xml:space="preserve"> declaration expires</w:t>
            </w:r>
            <w:r w:rsidR="001C25F7" w:rsidRPr="003F34BA">
              <w:rPr>
                <w:lang w:val="en-US" w:eastAsia="en-US"/>
              </w:rPr>
              <w:t>.</w:t>
            </w:r>
            <w:r w:rsidR="00E50341" w:rsidRPr="003F34BA">
              <w:rPr>
                <w:lang w:val="en-US" w:eastAsia="en-US"/>
              </w:rPr>
              <w:t xml:space="preserve"> </w:t>
            </w:r>
            <w:r w:rsidRPr="003F34BA">
              <w:rPr>
                <w:lang w:val="en-US" w:eastAsia="en-US"/>
              </w:rPr>
              <w:t xml:space="preserve"> </w:t>
            </w:r>
          </w:p>
        </w:tc>
        <w:tc>
          <w:tcPr>
            <w:tcW w:w="3213" w:type="dxa"/>
          </w:tcPr>
          <w:p w14:paraId="463492DB" w14:textId="4A55D0BF" w:rsidR="00DB2739" w:rsidRPr="003F34BA" w:rsidRDefault="00A05145" w:rsidP="003B163C">
            <w:pPr>
              <w:spacing w:before="0" w:after="0"/>
              <w:rPr>
                <w:sz w:val="20"/>
                <w:lang w:val="en-US" w:eastAsia="en-US"/>
              </w:rPr>
            </w:pPr>
            <w:r w:rsidRPr="003F34BA">
              <w:rPr>
                <w:sz w:val="20"/>
                <w:lang w:val="en-US" w:eastAsia="en-US"/>
              </w:rPr>
              <w:lastRenderedPageBreak/>
              <w:t>A</w:t>
            </w:r>
            <w:r w:rsidR="009C79D3" w:rsidRPr="003F34BA">
              <w:rPr>
                <w:sz w:val="20"/>
                <w:lang w:val="en-US" w:eastAsia="en-US"/>
              </w:rPr>
              <w:t xml:space="preserve"> </w:t>
            </w:r>
            <w:r w:rsidR="00703285" w:rsidRPr="003F34BA">
              <w:rPr>
                <w:sz w:val="20"/>
                <w:lang w:val="en-US" w:eastAsia="en-US"/>
              </w:rPr>
              <w:t xml:space="preserve">final </w:t>
            </w:r>
            <w:r w:rsidR="00BF100A" w:rsidRPr="003F34BA">
              <w:rPr>
                <w:sz w:val="20"/>
                <w:lang w:val="en-US" w:eastAsia="en-US"/>
              </w:rPr>
              <w:t>determination</w:t>
            </w:r>
            <w:r w:rsidR="00CF43DE" w:rsidRPr="003F34BA">
              <w:rPr>
                <w:sz w:val="20"/>
                <w:lang w:val="en-US" w:eastAsia="en-US"/>
              </w:rPr>
              <w:t xml:space="preserve"> of an access dispute</w:t>
            </w:r>
            <w:r w:rsidR="00474433" w:rsidRPr="003F34BA">
              <w:rPr>
                <w:sz w:val="20"/>
                <w:lang w:val="en-US" w:eastAsia="en-US"/>
              </w:rPr>
              <w:t xml:space="preserve"> is not required to include an expiry date</w:t>
            </w:r>
            <w:r w:rsidR="00F8693F" w:rsidRPr="003F34BA">
              <w:rPr>
                <w:sz w:val="20"/>
                <w:lang w:val="en-US" w:eastAsia="en-US"/>
              </w:rPr>
              <w:t>. A final determination and interim determination</w:t>
            </w:r>
            <w:r w:rsidR="009C79D3" w:rsidRPr="003F34BA">
              <w:rPr>
                <w:sz w:val="20"/>
                <w:lang w:val="en-US" w:eastAsia="en-US"/>
              </w:rPr>
              <w:t xml:space="preserve"> </w:t>
            </w:r>
            <w:r w:rsidR="00BF100A" w:rsidRPr="003F34BA">
              <w:rPr>
                <w:sz w:val="20"/>
                <w:lang w:val="en-US" w:eastAsia="en-US"/>
              </w:rPr>
              <w:t>may remain in force after the expir</w:t>
            </w:r>
            <w:r w:rsidR="00EC7D1F" w:rsidRPr="003F34BA">
              <w:rPr>
                <w:sz w:val="20"/>
                <w:lang w:val="en-US" w:eastAsia="en-US"/>
              </w:rPr>
              <w:t>y</w:t>
            </w:r>
            <w:r w:rsidR="00BF100A" w:rsidRPr="003F34BA">
              <w:rPr>
                <w:sz w:val="20"/>
                <w:lang w:val="en-US" w:eastAsia="en-US"/>
              </w:rPr>
              <w:t xml:space="preserve"> </w:t>
            </w:r>
            <w:r w:rsidR="00FE269F" w:rsidRPr="003F34BA">
              <w:rPr>
                <w:sz w:val="20"/>
                <w:lang w:val="en-US" w:eastAsia="en-US"/>
              </w:rPr>
              <w:t xml:space="preserve">or revocation </w:t>
            </w:r>
            <w:r w:rsidR="00BF100A" w:rsidRPr="003F34BA">
              <w:rPr>
                <w:sz w:val="20"/>
                <w:lang w:val="en-US" w:eastAsia="en-US"/>
              </w:rPr>
              <w:t>of the underlying declaration.</w:t>
            </w:r>
            <w:r w:rsidR="00C943B5" w:rsidRPr="003F34BA">
              <w:rPr>
                <w:sz w:val="20"/>
                <w:lang w:val="en-US" w:eastAsia="en-US"/>
              </w:rPr>
              <w:t xml:space="preserve"> </w:t>
            </w:r>
          </w:p>
        </w:tc>
      </w:tr>
    </w:tbl>
    <w:p w14:paraId="5234FC33" w14:textId="015DE071" w:rsidR="00C3452B" w:rsidRPr="003F34BA" w:rsidRDefault="00C3452B" w:rsidP="00245B0F">
      <w:pPr>
        <w:pStyle w:val="Heading2"/>
      </w:pPr>
      <w:r w:rsidRPr="003F34BA">
        <w:t>Detailed explanation of new law</w:t>
      </w:r>
    </w:p>
    <w:p w14:paraId="3712D771" w14:textId="1F550333" w:rsidR="006F1EC4" w:rsidRPr="003F34BA" w:rsidRDefault="00EF4C67" w:rsidP="003110BA">
      <w:pPr>
        <w:pStyle w:val="Heading3"/>
      </w:pPr>
      <w:r w:rsidRPr="003F34BA">
        <w:t xml:space="preserve">Removal of merits review </w:t>
      </w:r>
      <w:r w:rsidR="006F1EC4" w:rsidRPr="003F34BA">
        <w:t xml:space="preserve"> </w:t>
      </w:r>
    </w:p>
    <w:p w14:paraId="36F93B51" w14:textId="61F1581F" w:rsidR="00E51C04" w:rsidRPr="003F34BA" w:rsidRDefault="00F50945" w:rsidP="00E51C04">
      <w:pPr>
        <w:pStyle w:val="base-text-paragraph"/>
      </w:pPr>
      <w:r w:rsidRPr="003F34BA">
        <w:t>T</w:t>
      </w:r>
      <w:r w:rsidR="00E51C04" w:rsidRPr="003F34BA">
        <w:t xml:space="preserve">he proposed amendments </w:t>
      </w:r>
      <w:r w:rsidR="000B24F1" w:rsidRPr="003F34BA">
        <w:t xml:space="preserve">will </w:t>
      </w:r>
      <w:r w:rsidR="004176C1" w:rsidRPr="003F34BA">
        <w:t xml:space="preserve">remove </w:t>
      </w:r>
      <w:r w:rsidR="00E51C04" w:rsidRPr="003F34BA">
        <w:t>the Tribunal</w:t>
      </w:r>
      <w:r w:rsidR="00426FE3" w:rsidRPr="003F34BA">
        <w:t>’s ability</w:t>
      </w:r>
      <w:r w:rsidR="00E51C04" w:rsidRPr="003F34BA">
        <w:t xml:space="preserve"> </w:t>
      </w:r>
      <w:r w:rsidR="00054AC3" w:rsidRPr="003F34BA">
        <w:t xml:space="preserve">to </w:t>
      </w:r>
      <w:r w:rsidR="00E51C04" w:rsidRPr="003F34BA">
        <w:t>review the</w:t>
      </w:r>
      <w:r w:rsidR="00D4541B" w:rsidRPr="003F34BA">
        <w:t xml:space="preserve"> merits of the</w:t>
      </w:r>
      <w:r w:rsidR="00E51C04" w:rsidRPr="003F34BA">
        <w:t xml:space="preserve"> following decisions</w:t>
      </w:r>
      <w:r w:rsidR="003E2443" w:rsidRPr="003F34BA">
        <w:t xml:space="preserve"> under the N</w:t>
      </w:r>
      <w:r w:rsidR="0015496F" w:rsidRPr="003F34BA">
        <w:t xml:space="preserve">ational </w:t>
      </w:r>
      <w:r w:rsidR="003E2443" w:rsidRPr="003F34BA">
        <w:t>A</w:t>
      </w:r>
      <w:r w:rsidR="0015496F" w:rsidRPr="003F34BA">
        <w:t xml:space="preserve">ccess </w:t>
      </w:r>
      <w:r w:rsidR="003E2443" w:rsidRPr="003F34BA">
        <w:t>R</w:t>
      </w:r>
      <w:r w:rsidR="0015496F" w:rsidRPr="003F34BA">
        <w:t>egime</w:t>
      </w:r>
      <w:r w:rsidR="00E51C04" w:rsidRPr="003F34BA">
        <w:t>:</w:t>
      </w:r>
    </w:p>
    <w:p w14:paraId="12655650" w14:textId="5B3F1CE3" w:rsidR="00E51C04" w:rsidRPr="003F34BA" w:rsidRDefault="00E51C04" w:rsidP="00E93B43">
      <w:pPr>
        <w:pStyle w:val="dotpoint"/>
      </w:pPr>
      <w:r w:rsidRPr="003F34BA">
        <w:t>a decision by the</w:t>
      </w:r>
      <w:r w:rsidR="00D76935" w:rsidRPr="003F34BA">
        <w:t xml:space="preserve"> designated</w:t>
      </w:r>
      <w:r w:rsidRPr="003F34BA">
        <w:t xml:space="preserve"> Minister, including a deemed decision, to declare a service under s</w:t>
      </w:r>
      <w:r w:rsidR="00811B96" w:rsidRPr="003F34BA">
        <w:t>ubs</w:t>
      </w:r>
      <w:r w:rsidRPr="003F34BA">
        <w:t>ection</w:t>
      </w:r>
      <w:r w:rsidR="00811B96" w:rsidRPr="003F34BA">
        <w:t>s</w:t>
      </w:r>
      <w:r w:rsidRPr="003F34BA">
        <w:t> 44</w:t>
      </w:r>
      <w:proofErr w:type="gramStart"/>
      <w:r w:rsidRPr="003F34BA">
        <w:t>H</w:t>
      </w:r>
      <w:r w:rsidR="00811B96" w:rsidRPr="003F34BA">
        <w:t>(</w:t>
      </w:r>
      <w:proofErr w:type="gramEnd"/>
      <w:r w:rsidR="00811B96" w:rsidRPr="003F34BA">
        <w:t>1) and (9)</w:t>
      </w:r>
      <w:r w:rsidRPr="003F34BA">
        <w:t>;</w:t>
      </w:r>
    </w:p>
    <w:p w14:paraId="54AD0444" w14:textId="77370DAB" w:rsidR="00E51C04" w:rsidRPr="003F34BA" w:rsidRDefault="00E51C04" w:rsidP="00E93B43">
      <w:pPr>
        <w:pStyle w:val="dotpoint"/>
      </w:pPr>
      <w:r w:rsidRPr="003F34BA">
        <w:t xml:space="preserve">a decision by the </w:t>
      </w:r>
      <w:r w:rsidR="00D76935" w:rsidRPr="003F34BA">
        <w:t xml:space="preserve">designated </w:t>
      </w:r>
      <w:r w:rsidRPr="003F34BA">
        <w:t xml:space="preserve">Minister, including a deemed decision, not to declare a service under </w:t>
      </w:r>
      <w:r w:rsidR="00811B96" w:rsidRPr="003F34BA">
        <w:t>sub</w:t>
      </w:r>
      <w:r w:rsidRPr="003F34BA">
        <w:t>section</w:t>
      </w:r>
      <w:r w:rsidR="00811B96" w:rsidRPr="003F34BA">
        <w:t>s</w:t>
      </w:r>
      <w:r w:rsidRPr="003F34BA">
        <w:t> 44</w:t>
      </w:r>
      <w:proofErr w:type="gramStart"/>
      <w:r w:rsidRPr="003F34BA">
        <w:t>H</w:t>
      </w:r>
      <w:r w:rsidR="00811B96" w:rsidRPr="003F34BA">
        <w:t>(</w:t>
      </w:r>
      <w:proofErr w:type="gramEnd"/>
      <w:r w:rsidR="00811B96" w:rsidRPr="003F34BA">
        <w:t>1) and (9)</w:t>
      </w:r>
      <w:r w:rsidR="00DC2662" w:rsidRPr="003F34BA">
        <w:t>,</w:t>
      </w:r>
      <w:r w:rsidRPr="003F34BA">
        <w:t xml:space="preserve"> and</w:t>
      </w:r>
    </w:p>
    <w:p w14:paraId="063449EC" w14:textId="32861B30" w:rsidR="0090488C" w:rsidRPr="003F34BA" w:rsidRDefault="00E51C04" w:rsidP="00A957A1">
      <w:pPr>
        <w:pStyle w:val="dotpoint"/>
      </w:pPr>
      <w:r w:rsidRPr="003F34BA">
        <w:t xml:space="preserve">a decision by the </w:t>
      </w:r>
      <w:r w:rsidR="00D76935" w:rsidRPr="003F34BA">
        <w:t xml:space="preserve">designated </w:t>
      </w:r>
      <w:r w:rsidRPr="003F34BA">
        <w:t>Minister</w:t>
      </w:r>
      <w:r w:rsidR="004176C1" w:rsidRPr="003F34BA">
        <w:t>, including a deemed decision</w:t>
      </w:r>
      <w:r w:rsidR="00BF39EB" w:rsidRPr="003F34BA">
        <w:t>,</w:t>
      </w:r>
      <w:r w:rsidR="005235C5" w:rsidRPr="003F34BA">
        <w:t xml:space="preserve"> </w:t>
      </w:r>
      <w:r w:rsidRPr="003F34BA">
        <w:t xml:space="preserve">not to revoke the declaration of a service under </w:t>
      </w:r>
      <w:r w:rsidR="00C174A8" w:rsidRPr="003F34BA">
        <w:t>sub</w:t>
      </w:r>
      <w:r w:rsidRPr="003F34BA">
        <w:t>section</w:t>
      </w:r>
      <w:r w:rsidR="00BF39EB" w:rsidRPr="003F34BA">
        <w:t>s</w:t>
      </w:r>
      <w:r w:rsidRPr="003F34BA">
        <w:t> 44</w:t>
      </w:r>
      <w:proofErr w:type="gramStart"/>
      <w:r w:rsidR="005C1A45" w:rsidRPr="003F34BA">
        <w:t>J</w:t>
      </w:r>
      <w:r w:rsidR="00C174A8" w:rsidRPr="003F34BA">
        <w:t>(</w:t>
      </w:r>
      <w:proofErr w:type="gramEnd"/>
      <w:r w:rsidR="00C174A8" w:rsidRPr="003F34BA">
        <w:t>3)</w:t>
      </w:r>
      <w:r w:rsidR="005235C5" w:rsidRPr="003F34BA">
        <w:t xml:space="preserve"> and 44J(7)</w:t>
      </w:r>
      <w:r w:rsidRPr="003F34BA">
        <w:t xml:space="preserve">. </w:t>
      </w:r>
      <w:r w:rsidR="00A957A1" w:rsidRPr="003F34BA">
        <w:rPr>
          <w:rStyle w:val="Referencingstyle"/>
          <w:bCs/>
        </w:rPr>
        <w:t>[</w:t>
      </w:r>
      <w:r w:rsidR="00A957A1" w:rsidRPr="003F34BA">
        <w:rPr>
          <w:rStyle w:val="Referencingstyle"/>
        </w:rPr>
        <w:t xml:space="preserve">Schedule 1, </w:t>
      </w:r>
      <w:proofErr w:type="gramStart"/>
      <w:r w:rsidR="00A957A1" w:rsidRPr="003F34BA">
        <w:rPr>
          <w:rStyle w:val="Referencingstyle"/>
        </w:rPr>
        <w:t xml:space="preserve">item </w:t>
      </w:r>
      <w:r w:rsidR="00EF448B" w:rsidRPr="003F34BA">
        <w:rPr>
          <w:rStyle w:val="Referencingstyle"/>
        </w:rPr>
        <w:t>,</w:t>
      </w:r>
      <w:proofErr w:type="gramEnd"/>
      <w:r w:rsidR="00A957A1" w:rsidRPr="003F34BA">
        <w:rPr>
          <w:rStyle w:val="Referencingstyle"/>
        </w:rPr>
        <w:t xml:space="preserve"> sections 44K and 44L of the Competition and Consumer Act] </w:t>
      </w:r>
    </w:p>
    <w:p w14:paraId="190FE6EC" w14:textId="772B9570" w:rsidR="00CD6C01" w:rsidRPr="003F34BA" w:rsidRDefault="001C5AE8" w:rsidP="006F1EC4">
      <w:pPr>
        <w:pStyle w:val="base-text-paragraph"/>
        <w:rPr>
          <w:rStyle w:val="Referencingstyle"/>
          <w:b w:val="0"/>
          <w:i w:val="0"/>
          <w:sz w:val="22"/>
        </w:rPr>
      </w:pPr>
      <w:r w:rsidRPr="003F34BA">
        <w:rPr>
          <w:rStyle w:val="Referencingstyle"/>
          <w:b w:val="0"/>
          <w:i w:val="0"/>
          <w:sz w:val="22"/>
        </w:rPr>
        <w:t>Removing merits review will ensure that final decisions on declaration</w:t>
      </w:r>
      <w:r w:rsidR="00B81529" w:rsidRPr="003F34BA">
        <w:rPr>
          <w:rStyle w:val="Referencingstyle"/>
          <w:b w:val="0"/>
          <w:i w:val="0"/>
          <w:sz w:val="22"/>
        </w:rPr>
        <w:t>s</w:t>
      </w:r>
      <w:r w:rsidRPr="003F34BA">
        <w:rPr>
          <w:rStyle w:val="Referencingstyle"/>
          <w:b w:val="0"/>
          <w:i w:val="0"/>
          <w:sz w:val="22"/>
        </w:rPr>
        <w:t xml:space="preserve"> and revocation</w:t>
      </w:r>
      <w:r w:rsidR="00B81529" w:rsidRPr="003F34BA">
        <w:rPr>
          <w:rStyle w:val="Referencingstyle"/>
          <w:b w:val="0"/>
          <w:i w:val="0"/>
          <w:sz w:val="22"/>
        </w:rPr>
        <w:t>s</w:t>
      </w:r>
      <w:r w:rsidRPr="003F34BA">
        <w:rPr>
          <w:rStyle w:val="Referencingstyle"/>
          <w:b w:val="0"/>
          <w:i w:val="0"/>
          <w:sz w:val="22"/>
        </w:rPr>
        <w:t xml:space="preserve"> are made by the Minister. This is consistent with the principle expressed by the 1993</w:t>
      </w:r>
      <w:r w:rsidRPr="003F34BA">
        <w:rPr>
          <w:szCs w:val="22"/>
        </w:rPr>
        <w:t xml:space="preserve"> </w:t>
      </w:r>
      <w:proofErr w:type="spellStart"/>
      <w:r w:rsidRPr="003F34BA">
        <w:rPr>
          <w:szCs w:val="22"/>
        </w:rPr>
        <w:t>Hilmer</w:t>
      </w:r>
      <w:proofErr w:type="spellEnd"/>
      <w:r w:rsidRPr="003F34BA">
        <w:rPr>
          <w:szCs w:val="22"/>
        </w:rPr>
        <w:t xml:space="preserve"> National Competition Policy Review</w:t>
      </w:r>
      <w:r w:rsidRPr="003F34BA">
        <w:rPr>
          <w:rStyle w:val="Referencingstyle"/>
          <w:b w:val="0"/>
          <w:i w:val="0"/>
          <w:sz w:val="22"/>
        </w:rPr>
        <w:t xml:space="preserve"> that, as the decision to provide a right of access rests on an evaluation of important public interest considerations, it should be one for Government.</w:t>
      </w:r>
    </w:p>
    <w:p w14:paraId="04E45C0B" w14:textId="29D91CE5" w:rsidR="00F51465" w:rsidRPr="003F34BA" w:rsidRDefault="00B81529" w:rsidP="006F1EC4">
      <w:pPr>
        <w:pStyle w:val="base-text-paragraph"/>
        <w:rPr>
          <w:rStyle w:val="Referencingstyle"/>
          <w:b w:val="0"/>
          <w:i w:val="0"/>
          <w:sz w:val="22"/>
        </w:rPr>
      </w:pPr>
      <w:proofErr w:type="gramStart"/>
      <w:r w:rsidRPr="003F34BA">
        <w:rPr>
          <w:rStyle w:val="Referencingstyle"/>
          <w:b w:val="0"/>
          <w:i w:val="0"/>
          <w:sz w:val="22"/>
        </w:rPr>
        <w:t>M</w:t>
      </w:r>
      <w:r w:rsidR="00E62A87" w:rsidRPr="003F34BA">
        <w:rPr>
          <w:rStyle w:val="Referencingstyle"/>
          <w:b w:val="0"/>
          <w:i w:val="0"/>
          <w:sz w:val="22"/>
        </w:rPr>
        <w:t>erits</w:t>
      </w:r>
      <w:proofErr w:type="gramEnd"/>
      <w:r w:rsidR="00E62A87" w:rsidRPr="003F34BA">
        <w:rPr>
          <w:rStyle w:val="Referencingstyle"/>
          <w:b w:val="0"/>
          <w:i w:val="0"/>
          <w:sz w:val="22"/>
        </w:rPr>
        <w:t xml:space="preserve"> review</w:t>
      </w:r>
      <w:r w:rsidR="00142B56" w:rsidRPr="003F34BA">
        <w:rPr>
          <w:rStyle w:val="Referencingstyle"/>
          <w:b w:val="0"/>
          <w:i w:val="0"/>
          <w:sz w:val="22"/>
        </w:rPr>
        <w:t xml:space="preserve"> of</w:t>
      </w:r>
      <w:r w:rsidR="00E62A87" w:rsidRPr="003F34BA">
        <w:rPr>
          <w:rStyle w:val="Referencingstyle"/>
          <w:b w:val="0"/>
          <w:i w:val="0"/>
          <w:sz w:val="22"/>
        </w:rPr>
        <w:t xml:space="preserve"> these decisions</w:t>
      </w:r>
      <w:r w:rsidR="007E4356" w:rsidRPr="003F34BA">
        <w:rPr>
          <w:rStyle w:val="Referencingstyle"/>
          <w:b w:val="0"/>
          <w:i w:val="0"/>
          <w:sz w:val="22"/>
        </w:rPr>
        <w:t xml:space="preserve"> </w:t>
      </w:r>
      <w:r w:rsidR="002752FB" w:rsidRPr="003F34BA">
        <w:rPr>
          <w:rStyle w:val="Referencingstyle"/>
          <w:b w:val="0"/>
          <w:i w:val="0"/>
          <w:sz w:val="22"/>
        </w:rPr>
        <w:t xml:space="preserve">can </w:t>
      </w:r>
      <w:r w:rsidRPr="003F34BA">
        <w:rPr>
          <w:rStyle w:val="Referencingstyle"/>
          <w:b w:val="0"/>
          <w:i w:val="0"/>
          <w:sz w:val="22"/>
        </w:rPr>
        <w:t xml:space="preserve">also </w:t>
      </w:r>
      <w:r w:rsidR="002752FB" w:rsidRPr="003F34BA">
        <w:rPr>
          <w:rStyle w:val="Referencingstyle"/>
          <w:b w:val="0"/>
          <w:i w:val="0"/>
          <w:sz w:val="22"/>
        </w:rPr>
        <w:t>be</w:t>
      </w:r>
      <w:r w:rsidR="00332EE7" w:rsidRPr="003F34BA">
        <w:rPr>
          <w:rStyle w:val="Referencingstyle"/>
          <w:b w:val="0"/>
          <w:i w:val="0"/>
          <w:sz w:val="22"/>
        </w:rPr>
        <w:t xml:space="preserve"> </w:t>
      </w:r>
      <w:r w:rsidR="007E4356" w:rsidRPr="003F34BA">
        <w:rPr>
          <w:rStyle w:val="Referencingstyle"/>
          <w:b w:val="0"/>
          <w:i w:val="0"/>
          <w:sz w:val="22"/>
        </w:rPr>
        <w:t xml:space="preserve">ineffective in </w:t>
      </w:r>
      <w:r w:rsidR="002752FB" w:rsidRPr="003F34BA">
        <w:rPr>
          <w:rStyle w:val="Referencingstyle"/>
          <w:b w:val="0"/>
          <w:i w:val="0"/>
          <w:sz w:val="22"/>
        </w:rPr>
        <w:t xml:space="preserve">finally </w:t>
      </w:r>
      <w:r w:rsidR="007E4356" w:rsidRPr="003F34BA">
        <w:rPr>
          <w:rStyle w:val="Referencingstyle"/>
          <w:b w:val="0"/>
          <w:i w:val="0"/>
          <w:sz w:val="22"/>
        </w:rPr>
        <w:t xml:space="preserve">resolving </w:t>
      </w:r>
      <w:r w:rsidR="00EA33F5" w:rsidRPr="003F34BA">
        <w:rPr>
          <w:rStyle w:val="Referencingstyle"/>
          <w:b w:val="0"/>
          <w:i w:val="0"/>
          <w:sz w:val="22"/>
        </w:rPr>
        <w:t>matters</w:t>
      </w:r>
      <w:r w:rsidR="007E4356" w:rsidRPr="003F34BA">
        <w:rPr>
          <w:rStyle w:val="Referencingstyle"/>
          <w:b w:val="0"/>
          <w:i w:val="0"/>
          <w:sz w:val="22"/>
        </w:rPr>
        <w:t xml:space="preserve"> due to the </w:t>
      </w:r>
      <w:r w:rsidR="00B40B86" w:rsidRPr="003F34BA">
        <w:rPr>
          <w:rStyle w:val="Referencingstyle"/>
          <w:b w:val="0"/>
          <w:i w:val="0"/>
          <w:sz w:val="22"/>
        </w:rPr>
        <w:t>tendency</w:t>
      </w:r>
      <w:r w:rsidR="007E4356" w:rsidRPr="003F34BA">
        <w:rPr>
          <w:rStyle w:val="Referencingstyle"/>
          <w:b w:val="0"/>
          <w:i w:val="0"/>
          <w:sz w:val="22"/>
        </w:rPr>
        <w:t xml:space="preserve"> of parties to seek judicial review of Tribunal decisions</w:t>
      </w:r>
      <w:r w:rsidR="008C3918" w:rsidRPr="003F34BA">
        <w:rPr>
          <w:rStyle w:val="Referencingstyle"/>
          <w:b w:val="0"/>
          <w:i w:val="0"/>
          <w:sz w:val="22"/>
        </w:rPr>
        <w:t>,</w:t>
      </w:r>
      <w:r w:rsidR="00572A42" w:rsidRPr="003F34BA">
        <w:rPr>
          <w:rStyle w:val="Referencingstyle"/>
          <w:b w:val="0"/>
          <w:i w:val="0"/>
          <w:sz w:val="22"/>
        </w:rPr>
        <w:t xml:space="preserve"> to test whether they are </w:t>
      </w:r>
      <w:r w:rsidR="00DC26C4" w:rsidRPr="003F34BA">
        <w:rPr>
          <w:rStyle w:val="Referencingstyle"/>
          <w:b w:val="0"/>
          <w:i w:val="0"/>
          <w:sz w:val="22"/>
        </w:rPr>
        <w:t xml:space="preserve">affected by an error of law. </w:t>
      </w:r>
      <w:r w:rsidR="00572A42" w:rsidRPr="003F34BA">
        <w:rPr>
          <w:rStyle w:val="Referencingstyle"/>
          <w:b w:val="0"/>
          <w:i w:val="0"/>
          <w:sz w:val="22"/>
        </w:rPr>
        <w:t>Merits review</w:t>
      </w:r>
      <w:r w:rsidR="002514DD" w:rsidRPr="003F34BA">
        <w:rPr>
          <w:rStyle w:val="Referencingstyle"/>
          <w:b w:val="0"/>
          <w:i w:val="0"/>
          <w:sz w:val="22"/>
        </w:rPr>
        <w:t xml:space="preserve"> therefore</w:t>
      </w:r>
      <w:r w:rsidR="00E62A87" w:rsidRPr="003F34BA">
        <w:rPr>
          <w:rStyle w:val="Referencingstyle"/>
          <w:b w:val="0"/>
          <w:i w:val="0"/>
          <w:sz w:val="22"/>
        </w:rPr>
        <w:t xml:space="preserve"> add</w:t>
      </w:r>
      <w:r w:rsidR="002514DD" w:rsidRPr="003F34BA">
        <w:rPr>
          <w:rStyle w:val="Referencingstyle"/>
          <w:b w:val="0"/>
          <w:i w:val="0"/>
          <w:sz w:val="22"/>
        </w:rPr>
        <w:t>s</w:t>
      </w:r>
      <w:r w:rsidR="00E62A87" w:rsidRPr="003F34BA">
        <w:rPr>
          <w:rStyle w:val="Referencingstyle"/>
          <w:b w:val="0"/>
          <w:i w:val="0"/>
          <w:sz w:val="22"/>
        </w:rPr>
        <w:t xml:space="preserve"> </w:t>
      </w:r>
      <w:r w:rsidR="002514DD" w:rsidRPr="003F34BA">
        <w:rPr>
          <w:rStyle w:val="Referencingstyle"/>
          <w:b w:val="0"/>
          <w:i w:val="0"/>
          <w:sz w:val="22"/>
        </w:rPr>
        <w:t xml:space="preserve">unnecessary </w:t>
      </w:r>
      <w:r w:rsidR="00E62A87" w:rsidRPr="003F34BA">
        <w:rPr>
          <w:rStyle w:val="Referencingstyle"/>
          <w:b w:val="0"/>
          <w:i w:val="0"/>
          <w:sz w:val="22"/>
        </w:rPr>
        <w:t xml:space="preserve">time and complexity to the </w:t>
      </w:r>
      <w:r w:rsidR="00610920" w:rsidRPr="003F34BA">
        <w:rPr>
          <w:rStyle w:val="Referencingstyle"/>
          <w:b w:val="0"/>
          <w:i w:val="0"/>
          <w:sz w:val="22"/>
        </w:rPr>
        <w:t xml:space="preserve">declaration and revocation processes under </w:t>
      </w:r>
      <w:r w:rsidR="00F70513" w:rsidRPr="003F34BA">
        <w:rPr>
          <w:rStyle w:val="Referencingstyle"/>
          <w:b w:val="0"/>
          <w:i w:val="0"/>
          <w:sz w:val="22"/>
        </w:rPr>
        <w:t xml:space="preserve">the </w:t>
      </w:r>
      <w:r w:rsidR="00E62A87" w:rsidRPr="003F34BA">
        <w:rPr>
          <w:rStyle w:val="Referencingstyle"/>
          <w:b w:val="0"/>
          <w:i w:val="0"/>
          <w:sz w:val="22"/>
        </w:rPr>
        <w:t>National Access Regime</w:t>
      </w:r>
      <w:r w:rsidR="007E4356" w:rsidRPr="003F34BA">
        <w:rPr>
          <w:rStyle w:val="Referencingstyle"/>
          <w:b w:val="0"/>
          <w:i w:val="0"/>
          <w:sz w:val="22"/>
        </w:rPr>
        <w:t>.</w:t>
      </w:r>
      <w:r w:rsidR="00E62A87" w:rsidRPr="003F34BA">
        <w:rPr>
          <w:rStyle w:val="Referencingstyle"/>
          <w:b w:val="0"/>
          <w:i w:val="0"/>
          <w:sz w:val="22"/>
        </w:rPr>
        <w:t xml:space="preserve"> </w:t>
      </w:r>
      <w:r w:rsidR="004176C1" w:rsidRPr="003F34BA">
        <w:rPr>
          <w:rStyle w:val="Referencingstyle"/>
          <w:b w:val="0"/>
          <w:i w:val="0"/>
          <w:sz w:val="22"/>
        </w:rPr>
        <w:t xml:space="preserve">Removing </w:t>
      </w:r>
      <w:r w:rsidR="005C23D6" w:rsidRPr="003F34BA">
        <w:rPr>
          <w:rStyle w:val="Referencingstyle"/>
          <w:b w:val="0"/>
          <w:i w:val="0"/>
          <w:sz w:val="22"/>
        </w:rPr>
        <w:t>the Tribunal’s ability to</w:t>
      </w:r>
      <w:r w:rsidR="004176C1" w:rsidRPr="003F34BA">
        <w:rPr>
          <w:rStyle w:val="Referencingstyle"/>
          <w:b w:val="0"/>
          <w:i w:val="0"/>
          <w:sz w:val="22"/>
        </w:rPr>
        <w:t xml:space="preserve"> review </w:t>
      </w:r>
      <w:r w:rsidR="00747DCA" w:rsidRPr="003F34BA">
        <w:rPr>
          <w:rStyle w:val="Referencingstyle"/>
          <w:b w:val="0"/>
          <w:i w:val="0"/>
          <w:sz w:val="22"/>
        </w:rPr>
        <w:t xml:space="preserve">these decisions </w:t>
      </w:r>
      <w:r w:rsidR="00657AA3" w:rsidRPr="003F34BA">
        <w:rPr>
          <w:rStyle w:val="Referencingstyle"/>
          <w:b w:val="0"/>
          <w:i w:val="0"/>
          <w:sz w:val="22"/>
        </w:rPr>
        <w:t xml:space="preserve">is intended to </w:t>
      </w:r>
      <w:r w:rsidR="00381B28" w:rsidRPr="003F34BA">
        <w:rPr>
          <w:rStyle w:val="Referencingstyle"/>
          <w:b w:val="0"/>
          <w:i w:val="0"/>
          <w:sz w:val="22"/>
        </w:rPr>
        <w:t xml:space="preserve">ensure that </w:t>
      </w:r>
      <w:r w:rsidR="00D57382" w:rsidRPr="003F34BA">
        <w:rPr>
          <w:rStyle w:val="Referencingstyle"/>
          <w:b w:val="0"/>
          <w:i w:val="0"/>
          <w:sz w:val="22"/>
        </w:rPr>
        <w:t>the</w:t>
      </w:r>
      <w:r w:rsidR="000B794C" w:rsidRPr="003F34BA">
        <w:rPr>
          <w:rStyle w:val="Referencingstyle"/>
          <w:b w:val="0"/>
          <w:i w:val="0"/>
          <w:sz w:val="22"/>
        </w:rPr>
        <w:t xml:space="preserve"> declaration</w:t>
      </w:r>
      <w:r w:rsidR="00D57382" w:rsidRPr="003F34BA">
        <w:rPr>
          <w:rStyle w:val="Referencingstyle"/>
          <w:b w:val="0"/>
          <w:i w:val="0"/>
          <w:sz w:val="22"/>
        </w:rPr>
        <w:t xml:space="preserve"> and</w:t>
      </w:r>
      <w:r w:rsidR="000B794C" w:rsidRPr="003F34BA">
        <w:rPr>
          <w:rStyle w:val="Referencingstyle"/>
          <w:b w:val="0"/>
          <w:i w:val="0"/>
          <w:sz w:val="22"/>
        </w:rPr>
        <w:t xml:space="preserve"> </w:t>
      </w:r>
      <w:r w:rsidR="00D57382" w:rsidRPr="003F34BA">
        <w:rPr>
          <w:rStyle w:val="Referencingstyle"/>
          <w:b w:val="0"/>
          <w:i w:val="0"/>
          <w:sz w:val="22"/>
        </w:rPr>
        <w:t xml:space="preserve">revocation process is </w:t>
      </w:r>
      <w:r w:rsidR="00381B28" w:rsidRPr="003F34BA">
        <w:rPr>
          <w:rStyle w:val="Referencingstyle"/>
          <w:b w:val="0"/>
          <w:i w:val="0"/>
          <w:sz w:val="22"/>
        </w:rPr>
        <w:t>re</w:t>
      </w:r>
      <w:r w:rsidR="000B794C" w:rsidRPr="003F34BA">
        <w:rPr>
          <w:rStyle w:val="Referencingstyle"/>
          <w:b w:val="0"/>
          <w:i w:val="0"/>
          <w:sz w:val="22"/>
        </w:rPr>
        <w:t xml:space="preserve">solved </w:t>
      </w:r>
      <w:r w:rsidR="00B15423" w:rsidRPr="003F34BA">
        <w:rPr>
          <w:rStyle w:val="Referencingstyle"/>
          <w:b w:val="0"/>
          <w:i w:val="0"/>
          <w:sz w:val="22"/>
        </w:rPr>
        <w:t xml:space="preserve">more </w:t>
      </w:r>
      <w:r w:rsidR="00381B28" w:rsidRPr="003F34BA">
        <w:rPr>
          <w:rStyle w:val="Referencingstyle"/>
          <w:b w:val="0"/>
          <w:i w:val="0"/>
          <w:sz w:val="22"/>
        </w:rPr>
        <w:t>quick</w:t>
      </w:r>
      <w:r w:rsidR="00B15423" w:rsidRPr="003F34BA">
        <w:rPr>
          <w:rStyle w:val="Referencingstyle"/>
          <w:b w:val="0"/>
          <w:i w:val="0"/>
          <w:sz w:val="22"/>
        </w:rPr>
        <w:t>ly</w:t>
      </w:r>
      <w:r w:rsidR="00381B28" w:rsidRPr="003F34BA">
        <w:rPr>
          <w:rStyle w:val="Referencingstyle"/>
          <w:b w:val="0"/>
          <w:i w:val="0"/>
          <w:sz w:val="22"/>
        </w:rPr>
        <w:t xml:space="preserve">. </w:t>
      </w:r>
      <w:r w:rsidR="00001EAE" w:rsidRPr="003F34BA">
        <w:rPr>
          <w:rStyle w:val="Referencingstyle"/>
          <w:b w:val="0"/>
          <w:i w:val="0"/>
          <w:sz w:val="22"/>
        </w:rPr>
        <w:t xml:space="preserve">This will </w:t>
      </w:r>
      <w:r w:rsidR="009E5880" w:rsidRPr="003F34BA">
        <w:rPr>
          <w:rStyle w:val="Referencingstyle"/>
          <w:b w:val="0"/>
          <w:i w:val="0"/>
          <w:sz w:val="22"/>
        </w:rPr>
        <w:t>expedite</w:t>
      </w:r>
      <w:r w:rsidR="006F1EC4" w:rsidRPr="003F34BA">
        <w:rPr>
          <w:rStyle w:val="Referencingstyle"/>
          <w:b w:val="0"/>
          <w:i w:val="0"/>
          <w:sz w:val="22"/>
        </w:rPr>
        <w:t xml:space="preserve"> the resolution of </w:t>
      </w:r>
      <w:r w:rsidR="009D45A5" w:rsidRPr="003F34BA">
        <w:rPr>
          <w:rStyle w:val="Referencingstyle"/>
          <w:b w:val="0"/>
          <w:i w:val="0"/>
          <w:sz w:val="22"/>
        </w:rPr>
        <w:t>disputes and</w:t>
      </w:r>
      <w:r w:rsidR="006F1EC4" w:rsidRPr="003F34BA">
        <w:rPr>
          <w:rStyle w:val="Referencingstyle"/>
          <w:b w:val="0"/>
          <w:i w:val="0"/>
          <w:sz w:val="22"/>
        </w:rPr>
        <w:t xml:space="preserve"> improve business</w:t>
      </w:r>
      <w:r w:rsidR="00003833" w:rsidRPr="003F34BA">
        <w:rPr>
          <w:rStyle w:val="Referencingstyle"/>
          <w:b w:val="0"/>
          <w:i w:val="0"/>
          <w:sz w:val="22"/>
        </w:rPr>
        <w:t xml:space="preserve"> </w:t>
      </w:r>
      <w:r w:rsidR="006461A4" w:rsidRPr="003F34BA">
        <w:rPr>
          <w:rStyle w:val="Referencingstyle"/>
          <w:b w:val="0"/>
          <w:i w:val="0"/>
          <w:sz w:val="22"/>
        </w:rPr>
        <w:t>certainty and</w:t>
      </w:r>
      <w:r w:rsidR="00003833" w:rsidRPr="003F34BA">
        <w:rPr>
          <w:rStyle w:val="Referencingstyle"/>
          <w:b w:val="0"/>
          <w:i w:val="0"/>
          <w:sz w:val="22"/>
        </w:rPr>
        <w:t xml:space="preserve"> </w:t>
      </w:r>
      <w:r w:rsidR="006F1EC4" w:rsidRPr="003F34BA">
        <w:rPr>
          <w:rStyle w:val="Referencingstyle"/>
          <w:b w:val="0"/>
          <w:i w:val="0"/>
          <w:sz w:val="22"/>
        </w:rPr>
        <w:t xml:space="preserve">confidence in the </w:t>
      </w:r>
      <w:r w:rsidR="003A5D85" w:rsidRPr="003F34BA">
        <w:rPr>
          <w:rStyle w:val="Referencingstyle"/>
          <w:b w:val="0"/>
          <w:i w:val="0"/>
          <w:sz w:val="22"/>
        </w:rPr>
        <w:t xml:space="preserve">National Access Regime </w:t>
      </w:r>
      <w:r w:rsidR="006F1EC4" w:rsidRPr="003F34BA">
        <w:rPr>
          <w:rStyle w:val="Referencingstyle"/>
          <w:b w:val="0"/>
          <w:i w:val="0"/>
          <w:sz w:val="22"/>
        </w:rPr>
        <w:t>decision-making process</w:t>
      </w:r>
      <w:r w:rsidR="00754ED8" w:rsidRPr="003F34BA">
        <w:rPr>
          <w:rStyle w:val="Referencingstyle"/>
          <w:b w:val="0"/>
          <w:i w:val="0"/>
          <w:sz w:val="22"/>
        </w:rPr>
        <w:t>es</w:t>
      </w:r>
      <w:r w:rsidR="000B0613" w:rsidRPr="003F34BA">
        <w:rPr>
          <w:rStyle w:val="Referencingstyle"/>
          <w:b w:val="0"/>
          <w:i w:val="0"/>
          <w:sz w:val="22"/>
        </w:rPr>
        <w:t>.</w:t>
      </w:r>
      <w:r w:rsidR="00747DCA" w:rsidRPr="003F34BA">
        <w:rPr>
          <w:rStyle w:val="Referencingstyle"/>
          <w:b w:val="0"/>
          <w:i w:val="0"/>
          <w:sz w:val="22"/>
        </w:rPr>
        <w:t xml:space="preserve"> </w:t>
      </w:r>
    </w:p>
    <w:p w14:paraId="21E0173A" w14:textId="7BB41E95" w:rsidR="006F1EC4" w:rsidRPr="003F34BA" w:rsidRDefault="00747DCA">
      <w:pPr>
        <w:pStyle w:val="base-text-paragraph"/>
        <w:rPr>
          <w:rStyle w:val="Referencingstyle"/>
          <w:b w:val="0"/>
          <w:i w:val="0"/>
          <w:sz w:val="22"/>
        </w:rPr>
      </w:pPr>
      <w:r w:rsidRPr="003F34BA">
        <w:rPr>
          <w:rStyle w:val="Referencingstyle"/>
          <w:b w:val="0"/>
          <w:i w:val="0"/>
          <w:sz w:val="22"/>
        </w:rPr>
        <w:t xml:space="preserve">The Tribunal will retain its ability to review </w:t>
      </w:r>
      <w:r w:rsidR="00A66012" w:rsidRPr="003F34BA">
        <w:rPr>
          <w:rStyle w:val="Referencingstyle"/>
          <w:b w:val="0"/>
          <w:i w:val="0"/>
          <w:sz w:val="22"/>
        </w:rPr>
        <w:t xml:space="preserve">the merits of other </w:t>
      </w:r>
      <w:r w:rsidR="00CB7D5B" w:rsidRPr="003F34BA">
        <w:rPr>
          <w:rStyle w:val="Referencingstyle"/>
          <w:b w:val="0"/>
          <w:i w:val="0"/>
          <w:sz w:val="22"/>
        </w:rPr>
        <w:t>decision</w:t>
      </w:r>
      <w:r w:rsidR="00A66012" w:rsidRPr="003F34BA">
        <w:rPr>
          <w:rStyle w:val="Referencingstyle"/>
          <w:b w:val="0"/>
          <w:i w:val="0"/>
          <w:sz w:val="22"/>
        </w:rPr>
        <w:t>s</w:t>
      </w:r>
      <w:r w:rsidR="00CB7D5B" w:rsidRPr="003F34BA">
        <w:rPr>
          <w:rStyle w:val="Referencingstyle"/>
          <w:b w:val="0"/>
          <w:i w:val="0"/>
          <w:sz w:val="22"/>
        </w:rPr>
        <w:t xml:space="preserve"> </w:t>
      </w:r>
      <w:r w:rsidR="00A111E1" w:rsidRPr="003F34BA">
        <w:rPr>
          <w:rStyle w:val="Referencingstyle"/>
          <w:b w:val="0"/>
          <w:i w:val="0"/>
          <w:sz w:val="22"/>
        </w:rPr>
        <w:t xml:space="preserve">made </w:t>
      </w:r>
      <w:r w:rsidR="00A66012" w:rsidRPr="003F34BA">
        <w:rPr>
          <w:rStyle w:val="Referencingstyle"/>
          <w:b w:val="0"/>
          <w:i w:val="0"/>
          <w:sz w:val="22"/>
        </w:rPr>
        <w:t>under Part IIIA</w:t>
      </w:r>
      <w:r w:rsidR="00AE53EE" w:rsidRPr="003F34BA">
        <w:rPr>
          <w:rStyle w:val="Referencingstyle"/>
          <w:b w:val="0"/>
          <w:i w:val="0"/>
          <w:sz w:val="22"/>
        </w:rPr>
        <w:t>, as</w:t>
      </w:r>
      <w:r w:rsidR="00A8680D" w:rsidRPr="003F34BA">
        <w:rPr>
          <w:rStyle w:val="Referencingstyle"/>
          <w:b w:val="0"/>
          <w:i w:val="0"/>
          <w:sz w:val="22"/>
        </w:rPr>
        <w:t xml:space="preserve"> </w:t>
      </w:r>
      <w:r w:rsidR="00197D00" w:rsidRPr="003F34BA">
        <w:rPr>
          <w:rStyle w:val="Referencingstyle"/>
          <w:b w:val="0"/>
          <w:i w:val="0"/>
          <w:sz w:val="22"/>
        </w:rPr>
        <w:t>the</w:t>
      </w:r>
      <w:r w:rsidR="002D40C3" w:rsidRPr="003F34BA">
        <w:rPr>
          <w:rStyle w:val="Referencingstyle"/>
          <w:b w:val="0"/>
          <w:i w:val="0"/>
          <w:sz w:val="22"/>
        </w:rPr>
        <w:t xml:space="preserve"> review of such decisions </w:t>
      </w:r>
      <w:r w:rsidR="00AF3526" w:rsidRPr="003F34BA">
        <w:rPr>
          <w:rStyle w:val="Referencingstyle"/>
          <w:b w:val="0"/>
          <w:i w:val="0"/>
          <w:sz w:val="22"/>
        </w:rPr>
        <w:t xml:space="preserve">is unlikely to </w:t>
      </w:r>
      <w:r w:rsidR="00197D00" w:rsidRPr="003F34BA">
        <w:rPr>
          <w:rStyle w:val="Referencingstyle"/>
          <w:b w:val="0"/>
          <w:i w:val="0"/>
          <w:sz w:val="22"/>
        </w:rPr>
        <w:t xml:space="preserve">impact </w:t>
      </w:r>
      <w:r w:rsidR="002D40C3" w:rsidRPr="003F34BA">
        <w:rPr>
          <w:rStyle w:val="Referencingstyle"/>
          <w:b w:val="0"/>
          <w:i w:val="0"/>
          <w:sz w:val="22"/>
        </w:rPr>
        <w:t xml:space="preserve">the </w:t>
      </w:r>
      <w:r w:rsidR="00F00196" w:rsidRPr="003F34BA">
        <w:rPr>
          <w:rStyle w:val="Referencingstyle"/>
          <w:b w:val="0"/>
          <w:i w:val="0"/>
          <w:sz w:val="22"/>
        </w:rPr>
        <w:t xml:space="preserve">effectiveness </w:t>
      </w:r>
      <w:r w:rsidR="002D40C3" w:rsidRPr="003F34BA">
        <w:rPr>
          <w:rStyle w:val="Referencingstyle"/>
          <w:b w:val="0"/>
          <w:i w:val="0"/>
          <w:sz w:val="22"/>
        </w:rPr>
        <w:t>of the National Access Regime.</w:t>
      </w:r>
    </w:p>
    <w:p w14:paraId="3AE8B1CE" w14:textId="145501AA" w:rsidR="00494690" w:rsidRPr="003F34BA" w:rsidRDefault="000C48B2" w:rsidP="003110BA">
      <w:pPr>
        <w:pStyle w:val="base-text-paragraph"/>
        <w:rPr>
          <w:rStyle w:val="Referencingstyle"/>
          <w:b w:val="0"/>
          <w:i w:val="0"/>
          <w:sz w:val="22"/>
        </w:rPr>
      </w:pPr>
      <w:r w:rsidRPr="003F34BA">
        <w:rPr>
          <w:rStyle w:val="Referencingstyle"/>
          <w:b w:val="0"/>
          <w:i w:val="0"/>
          <w:sz w:val="22"/>
        </w:rPr>
        <w:lastRenderedPageBreak/>
        <w:t xml:space="preserve">In relation to due process, </w:t>
      </w:r>
      <w:r w:rsidR="00564F30" w:rsidRPr="003F34BA">
        <w:rPr>
          <w:rStyle w:val="Referencingstyle"/>
          <w:b w:val="0"/>
          <w:i w:val="0"/>
          <w:sz w:val="22"/>
        </w:rPr>
        <w:t>recommendations from the</w:t>
      </w:r>
      <w:r w:rsidR="00F35B1B" w:rsidRPr="003F34BA">
        <w:rPr>
          <w:rStyle w:val="Referencingstyle"/>
          <w:b w:val="0"/>
          <w:i w:val="0"/>
          <w:sz w:val="22"/>
        </w:rPr>
        <w:t xml:space="preserve"> Council</w:t>
      </w:r>
      <w:r w:rsidR="007B02EE" w:rsidRPr="003F34BA">
        <w:rPr>
          <w:rStyle w:val="Referencingstyle"/>
          <w:b w:val="0"/>
          <w:i w:val="0"/>
          <w:sz w:val="22"/>
        </w:rPr>
        <w:t xml:space="preserve"> </w:t>
      </w:r>
      <w:r w:rsidR="005F067C" w:rsidRPr="003F34BA">
        <w:rPr>
          <w:rStyle w:val="Referencingstyle"/>
          <w:b w:val="0"/>
          <w:i w:val="0"/>
          <w:sz w:val="22"/>
        </w:rPr>
        <w:t>and</w:t>
      </w:r>
      <w:r w:rsidR="00090668" w:rsidRPr="003F34BA">
        <w:rPr>
          <w:rStyle w:val="Referencingstyle"/>
          <w:b w:val="0"/>
          <w:i w:val="0"/>
          <w:sz w:val="22"/>
        </w:rPr>
        <w:t xml:space="preserve"> decisions by the </w:t>
      </w:r>
      <w:r w:rsidR="00D76935" w:rsidRPr="003F34BA">
        <w:rPr>
          <w:rStyle w:val="Referencingstyle"/>
          <w:b w:val="0"/>
          <w:i w:val="0"/>
          <w:sz w:val="22"/>
        </w:rPr>
        <w:t xml:space="preserve">designated </w:t>
      </w:r>
      <w:r w:rsidR="00090668" w:rsidRPr="003F34BA">
        <w:rPr>
          <w:rStyle w:val="Referencingstyle"/>
          <w:b w:val="0"/>
          <w:i w:val="0"/>
          <w:sz w:val="22"/>
        </w:rPr>
        <w:t>Minister</w:t>
      </w:r>
      <w:r w:rsidR="005F067C" w:rsidRPr="003F34BA">
        <w:rPr>
          <w:rStyle w:val="Referencingstyle"/>
          <w:b w:val="0"/>
          <w:i w:val="0"/>
          <w:sz w:val="22"/>
        </w:rPr>
        <w:t xml:space="preserve"> </w:t>
      </w:r>
      <w:r w:rsidR="00D02661" w:rsidRPr="003F34BA">
        <w:rPr>
          <w:rStyle w:val="Referencingstyle"/>
          <w:b w:val="0"/>
          <w:i w:val="0"/>
          <w:sz w:val="22"/>
        </w:rPr>
        <w:t>regarding declarations</w:t>
      </w:r>
      <w:r w:rsidR="00D80BB7" w:rsidRPr="003F34BA">
        <w:rPr>
          <w:rStyle w:val="Referencingstyle"/>
          <w:b w:val="0"/>
          <w:i w:val="0"/>
          <w:sz w:val="22"/>
        </w:rPr>
        <w:t xml:space="preserve"> and revocations</w:t>
      </w:r>
      <w:r w:rsidR="00D02661" w:rsidRPr="003F34BA">
        <w:rPr>
          <w:rStyle w:val="Referencingstyle"/>
          <w:b w:val="0"/>
          <w:i w:val="0"/>
          <w:sz w:val="22"/>
        </w:rPr>
        <w:t xml:space="preserve"> </w:t>
      </w:r>
      <w:r w:rsidRPr="003F34BA">
        <w:rPr>
          <w:rStyle w:val="Referencingstyle"/>
          <w:b w:val="0"/>
          <w:i w:val="0"/>
          <w:sz w:val="22"/>
        </w:rPr>
        <w:t xml:space="preserve">involve a </w:t>
      </w:r>
      <w:r w:rsidR="00A23C3E" w:rsidRPr="003F34BA">
        <w:rPr>
          <w:rStyle w:val="Referencingstyle"/>
          <w:b w:val="0"/>
          <w:i w:val="0"/>
          <w:sz w:val="22"/>
        </w:rPr>
        <w:t xml:space="preserve">thorough </w:t>
      </w:r>
      <w:r w:rsidRPr="003F34BA">
        <w:rPr>
          <w:rStyle w:val="Referencingstyle"/>
          <w:b w:val="0"/>
          <w:i w:val="0"/>
          <w:sz w:val="22"/>
        </w:rPr>
        <w:t>examination of the issues</w:t>
      </w:r>
      <w:r w:rsidR="00494690" w:rsidRPr="003F34BA">
        <w:rPr>
          <w:rStyle w:val="Referencingstyle"/>
          <w:b w:val="0"/>
          <w:i w:val="0"/>
          <w:sz w:val="22"/>
        </w:rPr>
        <w:t xml:space="preserve">. </w:t>
      </w:r>
      <w:r w:rsidR="000C0101" w:rsidRPr="003F34BA">
        <w:rPr>
          <w:rStyle w:val="Referencingstyle"/>
          <w:b w:val="0"/>
          <w:i w:val="0"/>
          <w:sz w:val="22"/>
        </w:rPr>
        <w:t>S</w:t>
      </w:r>
      <w:r w:rsidR="00564F30" w:rsidRPr="003F34BA">
        <w:rPr>
          <w:rStyle w:val="Referencingstyle"/>
          <w:b w:val="0"/>
          <w:i w:val="0"/>
          <w:sz w:val="22"/>
        </w:rPr>
        <w:t xml:space="preserve">ubmissions </w:t>
      </w:r>
      <w:r w:rsidR="00494690" w:rsidRPr="003F34BA">
        <w:rPr>
          <w:rStyle w:val="Referencingstyle"/>
          <w:b w:val="0"/>
          <w:i w:val="0"/>
          <w:sz w:val="22"/>
        </w:rPr>
        <w:t>are typically lodged by large business</w:t>
      </w:r>
      <w:r w:rsidR="007231C3" w:rsidRPr="003F34BA">
        <w:rPr>
          <w:rStyle w:val="Referencingstyle"/>
          <w:b w:val="0"/>
          <w:i w:val="0"/>
          <w:sz w:val="22"/>
        </w:rPr>
        <w:t>es</w:t>
      </w:r>
      <w:r w:rsidR="00494690" w:rsidRPr="003F34BA">
        <w:rPr>
          <w:rStyle w:val="Referencingstyle"/>
          <w:b w:val="0"/>
          <w:i w:val="0"/>
          <w:sz w:val="22"/>
        </w:rPr>
        <w:t xml:space="preserve"> </w:t>
      </w:r>
      <w:r w:rsidR="00557EB4" w:rsidRPr="003F34BA">
        <w:rPr>
          <w:rStyle w:val="Referencingstyle"/>
          <w:b w:val="0"/>
          <w:i w:val="0"/>
          <w:sz w:val="22"/>
        </w:rPr>
        <w:t>that</w:t>
      </w:r>
      <w:r w:rsidR="00494690" w:rsidRPr="003F34BA">
        <w:rPr>
          <w:rStyle w:val="Referencingstyle"/>
          <w:b w:val="0"/>
          <w:i w:val="0"/>
          <w:sz w:val="22"/>
        </w:rPr>
        <w:t xml:space="preserve"> are</w:t>
      </w:r>
      <w:r w:rsidR="00B13D44" w:rsidRPr="003F34BA">
        <w:rPr>
          <w:rStyle w:val="Referencingstyle"/>
          <w:b w:val="0"/>
          <w:i w:val="0"/>
          <w:sz w:val="22"/>
        </w:rPr>
        <w:t xml:space="preserve"> </w:t>
      </w:r>
      <w:r w:rsidRPr="003F34BA">
        <w:rPr>
          <w:rStyle w:val="Referencingstyle"/>
          <w:b w:val="0"/>
          <w:i w:val="0"/>
          <w:sz w:val="22"/>
        </w:rPr>
        <w:t>experienced and well</w:t>
      </w:r>
      <w:r w:rsidR="00A625F9" w:rsidRPr="003F34BA">
        <w:rPr>
          <w:rStyle w:val="Referencingstyle"/>
          <w:b w:val="0"/>
          <w:i w:val="0"/>
          <w:sz w:val="22"/>
        </w:rPr>
        <w:noBreakHyphen/>
      </w:r>
      <w:r w:rsidRPr="003F34BA">
        <w:rPr>
          <w:rStyle w:val="Referencingstyle"/>
          <w:b w:val="0"/>
          <w:i w:val="0"/>
          <w:sz w:val="22"/>
        </w:rPr>
        <w:t>resourced participants</w:t>
      </w:r>
      <w:r w:rsidR="00494690" w:rsidRPr="003F34BA">
        <w:rPr>
          <w:rStyle w:val="Referencingstyle"/>
          <w:b w:val="0"/>
          <w:i w:val="0"/>
          <w:sz w:val="22"/>
        </w:rPr>
        <w:t xml:space="preserve"> in the process</w:t>
      </w:r>
      <w:r w:rsidR="00557EB4" w:rsidRPr="003F34BA">
        <w:rPr>
          <w:rStyle w:val="Referencingstyle"/>
          <w:b w:val="0"/>
          <w:i w:val="0"/>
          <w:sz w:val="22"/>
        </w:rPr>
        <w:t>,</w:t>
      </w:r>
      <w:r w:rsidR="00494690" w:rsidRPr="003F34BA">
        <w:rPr>
          <w:rStyle w:val="Referencingstyle"/>
          <w:b w:val="0"/>
          <w:i w:val="0"/>
          <w:sz w:val="22"/>
        </w:rPr>
        <w:t xml:space="preserve"> capable of purs</w:t>
      </w:r>
      <w:r w:rsidR="00C208D5" w:rsidRPr="003F34BA">
        <w:rPr>
          <w:rStyle w:val="Referencingstyle"/>
          <w:b w:val="0"/>
          <w:i w:val="0"/>
          <w:sz w:val="22"/>
        </w:rPr>
        <w:t>u</w:t>
      </w:r>
      <w:r w:rsidR="00494690" w:rsidRPr="003F34BA">
        <w:rPr>
          <w:rStyle w:val="Referencingstyle"/>
          <w:b w:val="0"/>
          <w:i w:val="0"/>
          <w:sz w:val="22"/>
        </w:rPr>
        <w:t xml:space="preserve">ing their </w:t>
      </w:r>
      <w:r w:rsidR="00557EB4" w:rsidRPr="003F34BA">
        <w:rPr>
          <w:rStyle w:val="Referencingstyle"/>
          <w:b w:val="0"/>
          <w:i w:val="0"/>
          <w:sz w:val="22"/>
        </w:rPr>
        <w:t xml:space="preserve">own </w:t>
      </w:r>
      <w:r w:rsidR="00494690" w:rsidRPr="003F34BA">
        <w:rPr>
          <w:rStyle w:val="Referencingstyle"/>
          <w:b w:val="0"/>
          <w:i w:val="0"/>
          <w:sz w:val="22"/>
        </w:rPr>
        <w:t>interests in relation to the N</w:t>
      </w:r>
      <w:r w:rsidR="003A5D85" w:rsidRPr="003F34BA">
        <w:rPr>
          <w:rStyle w:val="Referencingstyle"/>
          <w:b w:val="0"/>
          <w:i w:val="0"/>
          <w:sz w:val="22"/>
        </w:rPr>
        <w:t xml:space="preserve">ational </w:t>
      </w:r>
      <w:r w:rsidR="00494690" w:rsidRPr="003F34BA">
        <w:rPr>
          <w:rStyle w:val="Referencingstyle"/>
          <w:b w:val="0"/>
          <w:i w:val="0"/>
          <w:sz w:val="22"/>
        </w:rPr>
        <w:t>A</w:t>
      </w:r>
      <w:r w:rsidR="003A5D85" w:rsidRPr="003F34BA">
        <w:rPr>
          <w:rStyle w:val="Referencingstyle"/>
          <w:b w:val="0"/>
          <w:i w:val="0"/>
          <w:sz w:val="22"/>
        </w:rPr>
        <w:t xml:space="preserve">ccess </w:t>
      </w:r>
      <w:r w:rsidR="00494690" w:rsidRPr="003F34BA">
        <w:rPr>
          <w:rStyle w:val="Referencingstyle"/>
          <w:b w:val="0"/>
          <w:i w:val="0"/>
          <w:sz w:val="22"/>
        </w:rPr>
        <w:t>R</w:t>
      </w:r>
      <w:r w:rsidR="003A5D85" w:rsidRPr="003F34BA">
        <w:rPr>
          <w:rStyle w:val="Referencingstyle"/>
          <w:b w:val="0"/>
          <w:i w:val="0"/>
          <w:sz w:val="22"/>
        </w:rPr>
        <w:t>egime</w:t>
      </w:r>
      <w:r w:rsidRPr="003F34BA">
        <w:rPr>
          <w:rStyle w:val="Referencingstyle"/>
          <w:b w:val="0"/>
          <w:i w:val="0"/>
          <w:sz w:val="22"/>
        </w:rPr>
        <w:t>. It is unlikely that the parties</w:t>
      </w:r>
      <w:r w:rsidR="003A5D85" w:rsidRPr="003F34BA">
        <w:rPr>
          <w:rStyle w:val="Referencingstyle"/>
          <w:b w:val="0"/>
          <w:i w:val="0"/>
          <w:sz w:val="22"/>
        </w:rPr>
        <w:t xml:space="preserve"> </w:t>
      </w:r>
      <w:r w:rsidR="007457D1" w:rsidRPr="003F34BA">
        <w:rPr>
          <w:rStyle w:val="Referencingstyle"/>
          <w:b w:val="0"/>
          <w:i w:val="0"/>
          <w:sz w:val="22"/>
        </w:rPr>
        <w:t>in</w:t>
      </w:r>
      <w:r w:rsidR="003A5D85" w:rsidRPr="003F34BA">
        <w:rPr>
          <w:rStyle w:val="Referencingstyle"/>
          <w:b w:val="0"/>
          <w:i w:val="0"/>
          <w:sz w:val="22"/>
        </w:rPr>
        <w:t xml:space="preserve"> </w:t>
      </w:r>
      <w:r w:rsidRPr="003F34BA">
        <w:rPr>
          <w:rStyle w:val="Referencingstyle"/>
          <w:b w:val="0"/>
          <w:i w:val="0"/>
          <w:sz w:val="22"/>
        </w:rPr>
        <w:t>these proce</w:t>
      </w:r>
      <w:r w:rsidR="007457D1" w:rsidRPr="003F34BA">
        <w:rPr>
          <w:rStyle w:val="Referencingstyle"/>
          <w:b w:val="0"/>
          <w:i w:val="0"/>
          <w:sz w:val="22"/>
        </w:rPr>
        <w:t>sses</w:t>
      </w:r>
      <w:r w:rsidRPr="003F34BA">
        <w:rPr>
          <w:rStyle w:val="Referencingstyle"/>
          <w:b w:val="0"/>
          <w:i w:val="0"/>
          <w:sz w:val="22"/>
        </w:rPr>
        <w:t xml:space="preserve"> would not be capable of upholding their rights and ensuring that all relevant information is provided to the decision maker. </w:t>
      </w:r>
    </w:p>
    <w:p w14:paraId="37579E3E" w14:textId="5087D80B" w:rsidR="00585CB7" w:rsidRPr="003F34BA" w:rsidRDefault="009B12C9" w:rsidP="00343F06">
      <w:pPr>
        <w:pStyle w:val="base-text-paragraph"/>
        <w:rPr>
          <w:rStyle w:val="Referencingstyle"/>
          <w:b w:val="0"/>
          <w:i w:val="0"/>
          <w:sz w:val="22"/>
        </w:rPr>
      </w:pPr>
      <w:r w:rsidRPr="003F34BA">
        <w:rPr>
          <w:szCs w:val="22"/>
        </w:rPr>
        <w:t xml:space="preserve">Removing </w:t>
      </w:r>
      <w:r w:rsidR="00321ADA" w:rsidRPr="003F34BA">
        <w:rPr>
          <w:szCs w:val="22"/>
        </w:rPr>
        <w:t xml:space="preserve">the </w:t>
      </w:r>
      <w:r w:rsidRPr="003F34BA">
        <w:rPr>
          <w:szCs w:val="22"/>
        </w:rPr>
        <w:t>Tribunal</w:t>
      </w:r>
      <w:r w:rsidR="00321ADA" w:rsidRPr="003F34BA">
        <w:rPr>
          <w:szCs w:val="22"/>
        </w:rPr>
        <w:t>’s ability to</w:t>
      </w:r>
      <w:r w:rsidRPr="003F34BA">
        <w:rPr>
          <w:szCs w:val="22"/>
        </w:rPr>
        <w:t xml:space="preserve"> review </w:t>
      </w:r>
      <w:r w:rsidR="00321ADA" w:rsidRPr="003F34BA">
        <w:rPr>
          <w:szCs w:val="22"/>
        </w:rPr>
        <w:t xml:space="preserve">these decisions </w:t>
      </w:r>
      <w:r w:rsidRPr="003F34BA">
        <w:rPr>
          <w:szCs w:val="22"/>
        </w:rPr>
        <w:t xml:space="preserve">would also mean that, where judicial review of </w:t>
      </w:r>
      <w:r w:rsidR="00D76935" w:rsidRPr="003F34BA">
        <w:rPr>
          <w:szCs w:val="22"/>
        </w:rPr>
        <w:t>the designated</w:t>
      </w:r>
      <w:r w:rsidRPr="003F34BA">
        <w:rPr>
          <w:szCs w:val="22"/>
        </w:rPr>
        <w:t xml:space="preserve"> Minister’s decision was successful and the matter returned to the original decision maker</w:t>
      </w:r>
      <w:r w:rsidR="00692E93" w:rsidRPr="003F34BA">
        <w:rPr>
          <w:szCs w:val="22"/>
        </w:rPr>
        <w:t xml:space="preserve"> by the court</w:t>
      </w:r>
      <w:r w:rsidRPr="003F34BA">
        <w:rPr>
          <w:szCs w:val="22"/>
        </w:rPr>
        <w:t xml:space="preserve">, the matter would be returned to the Minister, rather than the Tribunal. </w:t>
      </w:r>
      <w:r w:rsidR="00585CB7" w:rsidRPr="003F34BA">
        <w:rPr>
          <w:szCs w:val="22"/>
        </w:rPr>
        <w:t xml:space="preserve">This is consistent with the </w:t>
      </w:r>
      <w:r w:rsidR="002357DF" w:rsidRPr="003F34BA">
        <w:rPr>
          <w:szCs w:val="22"/>
        </w:rPr>
        <w:t>1993</w:t>
      </w:r>
      <w:r w:rsidRPr="003F34BA">
        <w:rPr>
          <w:szCs w:val="22"/>
        </w:rPr>
        <w:t xml:space="preserve"> </w:t>
      </w:r>
      <w:proofErr w:type="spellStart"/>
      <w:r w:rsidR="00585CB7" w:rsidRPr="003F34BA">
        <w:rPr>
          <w:szCs w:val="22"/>
        </w:rPr>
        <w:t>Hil</w:t>
      </w:r>
      <w:r w:rsidR="00FB3C8A" w:rsidRPr="003F34BA">
        <w:rPr>
          <w:szCs w:val="22"/>
        </w:rPr>
        <w:t>m</w:t>
      </w:r>
      <w:r w:rsidR="00585CB7" w:rsidRPr="003F34BA">
        <w:rPr>
          <w:szCs w:val="22"/>
        </w:rPr>
        <w:t>er</w:t>
      </w:r>
      <w:proofErr w:type="spellEnd"/>
      <w:r w:rsidR="00585CB7" w:rsidRPr="003F34BA">
        <w:rPr>
          <w:szCs w:val="22"/>
        </w:rPr>
        <w:t xml:space="preserve"> </w:t>
      </w:r>
      <w:r w:rsidR="002357DF" w:rsidRPr="003F34BA">
        <w:rPr>
          <w:szCs w:val="22"/>
        </w:rPr>
        <w:t>National</w:t>
      </w:r>
      <w:r w:rsidR="00585CB7" w:rsidRPr="003F34BA">
        <w:rPr>
          <w:szCs w:val="22"/>
        </w:rPr>
        <w:t xml:space="preserve"> </w:t>
      </w:r>
      <w:r w:rsidRPr="003F34BA">
        <w:rPr>
          <w:szCs w:val="22"/>
        </w:rPr>
        <w:t xml:space="preserve">Competition Policy </w:t>
      </w:r>
      <w:r w:rsidR="00585CB7" w:rsidRPr="003F34BA">
        <w:rPr>
          <w:szCs w:val="22"/>
        </w:rPr>
        <w:t>Review, which states that as the decision to provide a right of access rests on an evaluation of important public interest considerations, the ultimate decision on this issue should be one for Government, rather than a court, tribunal</w:t>
      </w:r>
      <w:r w:rsidR="00692E93" w:rsidRPr="003F34BA">
        <w:rPr>
          <w:szCs w:val="22"/>
        </w:rPr>
        <w:t>,</w:t>
      </w:r>
      <w:r w:rsidR="00585CB7" w:rsidRPr="003F34BA">
        <w:rPr>
          <w:szCs w:val="22"/>
        </w:rPr>
        <w:t xml:space="preserve"> or other unelected body. </w:t>
      </w:r>
    </w:p>
    <w:p w14:paraId="77393C15" w14:textId="476F04ED" w:rsidR="000C3046" w:rsidRPr="003F34BA" w:rsidRDefault="006F1EC4" w:rsidP="00343F06">
      <w:pPr>
        <w:pStyle w:val="base-text-paragraph"/>
        <w:rPr>
          <w:rStyle w:val="Referencingstyle"/>
          <w:b w:val="0"/>
          <w:i w:val="0"/>
          <w:sz w:val="22"/>
        </w:rPr>
      </w:pPr>
      <w:r w:rsidRPr="003F34BA">
        <w:rPr>
          <w:rStyle w:val="Referencingstyle"/>
          <w:b w:val="0"/>
          <w:i w:val="0"/>
          <w:sz w:val="22"/>
        </w:rPr>
        <w:t>The proposed amendments are</w:t>
      </w:r>
      <w:r w:rsidR="00F95831" w:rsidRPr="003F34BA">
        <w:rPr>
          <w:rStyle w:val="Referencingstyle"/>
          <w:b w:val="0"/>
          <w:i w:val="0"/>
          <w:sz w:val="22"/>
        </w:rPr>
        <w:t xml:space="preserve"> also</w:t>
      </w:r>
      <w:r w:rsidRPr="003F34BA">
        <w:rPr>
          <w:rStyle w:val="Referencingstyle"/>
          <w:b w:val="0"/>
          <w:i w:val="0"/>
          <w:sz w:val="22"/>
        </w:rPr>
        <w:t xml:space="preserve"> </w:t>
      </w:r>
      <w:r w:rsidR="000C3046" w:rsidRPr="003F34BA">
        <w:rPr>
          <w:rStyle w:val="Referencingstyle"/>
          <w:b w:val="0"/>
          <w:i w:val="0"/>
          <w:sz w:val="22"/>
        </w:rPr>
        <w:t xml:space="preserve">consistent with the principles developed by the Administrative Review Council in its publication </w:t>
      </w:r>
      <w:r w:rsidR="000C3046" w:rsidRPr="003F34BA">
        <w:rPr>
          <w:rStyle w:val="Referencingstyle"/>
          <w:b w:val="0"/>
          <w:iCs/>
          <w:sz w:val="22"/>
        </w:rPr>
        <w:t xml:space="preserve">What decisions should be subject to merits </w:t>
      </w:r>
      <w:r w:rsidR="00C31DB6" w:rsidRPr="003F34BA">
        <w:rPr>
          <w:rStyle w:val="Referencingstyle"/>
          <w:b w:val="0"/>
          <w:iCs/>
          <w:sz w:val="22"/>
        </w:rPr>
        <w:t>review</w:t>
      </w:r>
      <w:r w:rsidR="00C31DB6" w:rsidRPr="003F34BA">
        <w:rPr>
          <w:rStyle w:val="Referencingstyle"/>
          <w:b w:val="0"/>
          <w:i w:val="0"/>
          <w:sz w:val="22"/>
        </w:rPr>
        <w:t>?</w:t>
      </w:r>
      <w:r w:rsidR="000C3046" w:rsidRPr="003F34BA">
        <w:rPr>
          <w:rStyle w:val="Referencingstyle"/>
          <w:b w:val="0"/>
          <w:i w:val="0"/>
          <w:sz w:val="22"/>
        </w:rPr>
        <w:t xml:space="preserve"> </w:t>
      </w:r>
      <w:r w:rsidR="00E067D9" w:rsidRPr="003F34BA">
        <w:rPr>
          <w:rStyle w:val="Referencingstyle"/>
          <w:b w:val="0"/>
          <w:i w:val="0"/>
          <w:sz w:val="22"/>
        </w:rPr>
        <w:t>In particular, t</w:t>
      </w:r>
      <w:r w:rsidR="000C3046" w:rsidRPr="003F34BA">
        <w:rPr>
          <w:rStyle w:val="Referencingstyle"/>
          <w:b w:val="0"/>
          <w:i w:val="0"/>
          <w:sz w:val="22"/>
        </w:rPr>
        <w:t xml:space="preserve">he </w:t>
      </w:r>
      <w:r w:rsidR="000236A8" w:rsidRPr="003F34BA">
        <w:rPr>
          <w:rStyle w:val="Referencingstyle"/>
          <w:b w:val="0"/>
          <w:i w:val="0"/>
          <w:sz w:val="22"/>
        </w:rPr>
        <w:t xml:space="preserve">designated </w:t>
      </w:r>
      <w:r w:rsidR="00C31DB6" w:rsidRPr="003F34BA">
        <w:rPr>
          <w:rStyle w:val="Referencingstyle"/>
          <w:b w:val="0"/>
          <w:i w:val="0"/>
          <w:sz w:val="22"/>
        </w:rPr>
        <w:t>Minister</w:t>
      </w:r>
      <w:r w:rsidR="000C3046" w:rsidRPr="003F34BA">
        <w:rPr>
          <w:rStyle w:val="Referencingstyle"/>
          <w:b w:val="0"/>
          <w:i w:val="0"/>
          <w:sz w:val="22"/>
        </w:rPr>
        <w:t xml:space="preserve">’s decisions </w:t>
      </w:r>
      <w:r w:rsidR="007E38E0" w:rsidRPr="003F34BA">
        <w:rPr>
          <w:rStyle w:val="Referencingstyle"/>
          <w:b w:val="0"/>
          <w:i w:val="0"/>
          <w:sz w:val="22"/>
        </w:rPr>
        <w:t xml:space="preserve">are informed by the recommendation of the Council, which </w:t>
      </w:r>
      <w:r w:rsidR="000C3046" w:rsidRPr="003F34BA">
        <w:rPr>
          <w:rStyle w:val="Referencingstyle"/>
          <w:b w:val="0"/>
          <w:i w:val="0"/>
          <w:sz w:val="22"/>
        </w:rPr>
        <w:t>involve</w:t>
      </w:r>
      <w:r w:rsidR="006A716B" w:rsidRPr="003F34BA">
        <w:rPr>
          <w:rStyle w:val="Referencingstyle"/>
          <w:b w:val="0"/>
          <w:i w:val="0"/>
          <w:sz w:val="22"/>
        </w:rPr>
        <w:t>s</w:t>
      </w:r>
      <w:r w:rsidR="000C3046" w:rsidRPr="003F34BA">
        <w:rPr>
          <w:rStyle w:val="Referencingstyle"/>
          <w:b w:val="0"/>
          <w:i w:val="0"/>
          <w:sz w:val="22"/>
        </w:rPr>
        <w:t xml:space="preserve"> extensive public inquiry processes and consultations</w:t>
      </w:r>
      <w:r w:rsidR="00090668" w:rsidRPr="003F34BA">
        <w:rPr>
          <w:rStyle w:val="Referencingstyle"/>
          <w:b w:val="0"/>
          <w:i w:val="0"/>
          <w:sz w:val="22"/>
        </w:rPr>
        <w:t>. This cannot be</w:t>
      </w:r>
      <w:r w:rsidR="000C3046" w:rsidRPr="003F34BA">
        <w:rPr>
          <w:rStyle w:val="Referencingstyle"/>
          <w:b w:val="0"/>
          <w:i w:val="0"/>
          <w:sz w:val="22"/>
        </w:rPr>
        <w:t xml:space="preserve"> adequately replicated in the Tribunal.   </w:t>
      </w:r>
    </w:p>
    <w:p w14:paraId="2BC7ECEB" w14:textId="77BC5CB8" w:rsidR="00915E90" w:rsidRPr="003F34BA" w:rsidRDefault="000C48B2" w:rsidP="00343F06">
      <w:pPr>
        <w:pStyle w:val="base-text-paragraph"/>
      </w:pPr>
      <w:r w:rsidRPr="003F34BA">
        <w:rPr>
          <w:rStyle w:val="Referencingstyle"/>
          <w:b w:val="0"/>
          <w:i w:val="0"/>
          <w:sz w:val="22"/>
        </w:rPr>
        <w:t>If</w:t>
      </w:r>
      <w:r w:rsidR="00AC246C" w:rsidRPr="003F34BA">
        <w:t xml:space="preserve"> </w:t>
      </w:r>
      <w:r w:rsidR="00AC246C" w:rsidRPr="003F34BA">
        <w:rPr>
          <w:rStyle w:val="Referencingstyle"/>
          <w:b w:val="0"/>
          <w:i w:val="0"/>
          <w:sz w:val="22"/>
        </w:rPr>
        <w:t>a party’s view is that the designated Minister’s decision is affected by an error of law</w:t>
      </w:r>
      <w:r w:rsidR="00043202" w:rsidRPr="003F34BA">
        <w:rPr>
          <w:rStyle w:val="Referencingstyle"/>
          <w:b w:val="0"/>
          <w:i w:val="0"/>
          <w:sz w:val="22"/>
        </w:rPr>
        <w:t>,</w:t>
      </w:r>
      <w:r w:rsidRPr="003F34BA">
        <w:rPr>
          <w:rStyle w:val="Referencingstyle"/>
          <w:b w:val="0"/>
          <w:i w:val="0"/>
          <w:sz w:val="22"/>
        </w:rPr>
        <w:t xml:space="preserve"> </w:t>
      </w:r>
      <w:r w:rsidR="00AC246C" w:rsidRPr="003F34BA">
        <w:rPr>
          <w:rStyle w:val="Referencingstyle"/>
          <w:b w:val="0"/>
          <w:i w:val="0"/>
          <w:sz w:val="22"/>
        </w:rPr>
        <w:t>the</w:t>
      </w:r>
      <w:r w:rsidRPr="003F34BA">
        <w:rPr>
          <w:rStyle w:val="Referencingstyle"/>
          <w:b w:val="0"/>
          <w:i w:val="0"/>
          <w:sz w:val="22"/>
        </w:rPr>
        <w:t xml:space="preserve"> part</w:t>
      </w:r>
      <w:r w:rsidR="00AC246C" w:rsidRPr="003F34BA">
        <w:rPr>
          <w:rStyle w:val="Referencingstyle"/>
          <w:b w:val="0"/>
          <w:i w:val="0"/>
          <w:sz w:val="22"/>
        </w:rPr>
        <w:t>y</w:t>
      </w:r>
      <w:r w:rsidRPr="003F34BA">
        <w:rPr>
          <w:rStyle w:val="Referencingstyle"/>
          <w:b w:val="0"/>
          <w:i w:val="0"/>
          <w:sz w:val="22"/>
        </w:rPr>
        <w:t xml:space="preserve"> retain</w:t>
      </w:r>
      <w:r w:rsidR="00043202" w:rsidRPr="003F34BA">
        <w:rPr>
          <w:rStyle w:val="Referencingstyle"/>
          <w:b w:val="0"/>
          <w:i w:val="0"/>
          <w:sz w:val="22"/>
        </w:rPr>
        <w:t>s</w:t>
      </w:r>
      <w:r w:rsidRPr="003F34BA">
        <w:rPr>
          <w:rStyle w:val="Referencingstyle"/>
          <w:b w:val="0"/>
          <w:i w:val="0"/>
          <w:sz w:val="22"/>
        </w:rPr>
        <w:t xml:space="preserve"> the capacity to seek review by the Federal Court under the </w:t>
      </w:r>
      <w:r w:rsidRPr="003F34BA">
        <w:rPr>
          <w:rStyle w:val="Referencingstyle"/>
          <w:b w:val="0"/>
          <w:sz w:val="22"/>
        </w:rPr>
        <w:t>Administrative Decisions (Judicial Review) Act 1977</w:t>
      </w:r>
      <w:r w:rsidRPr="003F34BA">
        <w:rPr>
          <w:rStyle w:val="Referencingstyle"/>
          <w:b w:val="0"/>
          <w:i w:val="0"/>
          <w:sz w:val="22"/>
        </w:rPr>
        <w:t xml:space="preserve">, as well as through other appeal mechanisms in the Federal and High Courts provided for under the </w:t>
      </w:r>
      <w:r w:rsidRPr="003F34BA">
        <w:rPr>
          <w:rStyle w:val="Referencingstyle"/>
          <w:b w:val="0"/>
          <w:sz w:val="22"/>
        </w:rPr>
        <w:t>Judiciary Act 1903</w:t>
      </w:r>
      <w:r w:rsidRPr="003F34BA">
        <w:rPr>
          <w:rStyle w:val="Referencingstyle"/>
          <w:b w:val="0"/>
          <w:i w:val="0"/>
          <w:sz w:val="22"/>
        </w:rPr>
        <w:t>.</w:t>
      </w:r>
    </w:p>
    <w:p w14:paraId="679ABD1A" w14:textId="77777777" w:rsidR="006534A5" w:rsidRPr="003F34BA" w:rsidRDefault="006534A5" w:rsidP="006534A5">
      <w:pPr>
        <w:pStyle w:val="Heading3"/>
      </w:pPr>
      <w:r w:rsidRPr="003F34BA">
        <w:t xml:space="preserve">Limiting repeat declaration and revocation </w:t>
      </w:r>
      <w:r w:rsidRPr="003F34BA">
        <w:rPr>
          <w:bCs/>
          <w:iCs/>
        </w:rPr>
        <w:t>processes</w:t>
      </w:r>
    </w:p>
    <w:p w14:paraId="36557EB0" w14:textId="77777777" w:rsidR="006534A5" w:rsidRPr="003F34BA" w:rsidRDefault="006534A5" w:rsidP="00043202">
      <w:pPr>
        <w:pStyle w:val="base-text-paragraph"/>
        <w:numPr>
          <w:ilvl w:val="0"/>
          <w:numId w:val="0"/>
        </w:numPr>
        <w:ind w:left="1134"/>
        <w:outlineLvl w:val="1"/>
      </w:pPr>
      <w:r w:rsidRPr="003F34BA">
        <w:rPr>
          <w:b/>
          <w:bCs/>
          <w:i/>
          <w:iCs/>
        </w:rPr>
        <w:t>Limiting repeat declaration processes</w:t>
      </w:r>
      <w:r w:rsidRPr="003F34BA">
        <w:t xml:space="preserve"> </w:t>
      </w:r>
    </w:p>
    <w:p w14:paraId="08EA0387" w14:textId="62FD9699" w:rsidR="006534A5" w:rsidRPr="003F34BA" w:rsidRDefault="006534A5" w:rsidP="006534A5">
      <w:pPr>
        <w:pStyle w:val="base-text-paragraph"/>
      </w:pPr>
      <w:r w:rsidRPr="003F34BA">
        <w:t>Under subsection 44F, a person can apply to the Council to recommend to the designated Minister that a service be declared, regardless of whether:</w:t>
      </w:r>
    </w:p>
    <w:p w14:paraId="14960080" w14:textId="7BD6A1E1" w:rsidR="006534A5" w:rsidRPr="003F34BA" w:rsidRDefault="006534A5" w:rsidP="006534A5">
      <w:pPr>
        <w:pStyle w:val="dotpoint"/>
      </w:pPr>
      <w:r w:rsidRPr="003F34BA">
        <w:t xml:space="preserve">the Minister has </w:t>
      </w:r>
      <w:r w:rsidR="00D47B11" w:rsidRPr="003F34BA">
        <w:t xml:space="preserve">recently decided </w:t>
      </w:r>
      <w:r w:rsidR="0055734E" w:rsidRPr="003F34BA">
        <w:t>not</w:t>
      </w:r>
      <w:r w:rsidRPr="003F34BA">
        <w:t xml:space="preserve"> to declare the service under subsection 44</w:t>
      </w:r>
      <w:proofErr w:type="gramStart"/>
      <w:r w:rsidRPr="003F34BA">
        <w:t>H(</w:t>
      </w:r>
      <w:proofErr w:type="gramEnd"/>
      <w:r w:rsidRPr="003F34BA">
        <w:t>1), including a deemed decision under subsection 44H(9)</w:t>
      </w:r>
      <w:r w:rsidR="009340A2" w:rsidRPr="003F34BA">
        <w:t>,</w:t>
      </w:r>
      <w:r w:rsidRPr="003F34BA">
        <w:t xml:space="preserve"> or</w:t>
      </w:r>
    </w:p>
    <w:p w14:paraId="599DF9A7" w14:textId="5B56017F" w:rsidR="006534A5" w:rsidRPr="003F34BA" w:rsidRDefault="006534A5" w:rsidP="006534A5">
      <w:pPr>
        <w:pStyle w:val="dotpoint"/>
      </w:pPr>
      <w:r w:rsidRPr="003F34BA">
        <w:t xml:space="preserve">the Minister has recently </w:t>
      </w:r>
      <w:r w:rsidR="00C64162" w:rsidRPr="003F34BA">
        <w:t>decided to</w:t>
      </w:r>
      <w:r w:rsidRPr="003F34BA">
        <w:t xml:space="preserve"> revoke a</w:t>
      </w:r>
      <w:r w:rsidR="00891A39" w:rsidRPr="003F34BA">
        <w:t>n earlier</w:t>
      </w:r>
      <w:r w:rsidRPr="003F34BA">
        <w:t xml:space="preserve"> declaration in relation to the service under subsection 44</w:t>
      </w:r>
      <w:proofErr w:type="gramStart"/>
      <w:r w:rsidRPr="003F34BA">
        <w:t>J(</w:t>
      </w:r>
      <w:proofErr w:type="gramEnd"/>
      <w:r w:rsidRPr="003F34BA">
        <w:t>3)</w:t>
      </w:r>
      <w:r w:rsidR="008B2086" w:rsidRPr="003F34BA">
        <w:t xml:space="preserve">, including a deemed revocation </w:t>
      </w:r>
      <w:r w:rsidR="00C64162" w:rsidRPr="003F34BA">
        <w:t xml:space="preserve">decision </w:t>
      </w:r>
      <w:r w:rsidR="008B2086" w:rsidRPr="003F34BA">
        <w:t>under subsection 44J(7</w:t>
      </w:r>
      <w:r w:rsidRPr="003F34BA">
        <w:t xml:space="preserve">). </w:t>
      </w:r>
    </w:p>
    <w:p w14:paraId="1C7F5CA1" w14:textId="2BDA97E6" w:rsidR="006534A5" w:rsidRPr="003F34BA" w:rsidRDefault="006534A5" w:rsidP="009910E9">
      <w:pPr>
        <w:pStyle w:val="base-text-paragraph"/>
      </w:pPr>
      <w:r w:rsidRPr="003F34BA">
        <w:lastRenderedPageBreak/>
        <w:t>This can result in repeat applications being made to the Council to recommend that the same</w:t>
      </w:r>
      <w:r w:rsidR="00085CFD" w:rsidRPr="003F34BA">
        <w:t xml:space="preserve"> </w:t>
      </w:r>
      <w:r w:rsidRPr="003F34BA">
        <w:t xml:space="preserve">service </w:t>
      </w:r>
      <w:r w:rsidR="00B164B1" w:rsidRPr="003F34BA">
        <w:t xml:space="preserve">at </w:t>
      </w:r>
      <w:r w:rsidRPr="003F34BA">
        <w:t>the same facility be declared</w:t>
      </w:r>
      <w:r w:rsidR="00A826A1" w:rsidRPr="003F34BA">
        <w:t>,</w:t>
      </w:r>
      <w:r w:rsidR="005C5A52" w:rsidRPr="003F34BA">
        <w:t xml:space="preserve"> relatively shortly after </w:t>
      </w:r>
      <w:r w:rsidR="00A826A1" w:rsidRPr="003F34BA">
        <w:t xml:space="preserve">the Minister has decided </w:t>
      </w:r>
      <w:r w:rsidR="0049016F" w:rsidRPr="003F34BA">
        <w:t>it</w:t>
      </w:r>
      <w:r w:rsidR="00A826A1" w:rsidRPr="003F34BA">
        <w:t xml:space="preserve"> is not appropriate to be declared</w:t>
      </w:r>
      <w:r w:rsidR="00685659" w:rsidRPr="003F34BA">
        <w:t xml:space="preserve"> or remain declared</w:t>
      </w:r>
      <w:r w:rsidR="0049016F" w:rsidRPr="003F34BA">
        <w:t>. This</w:t>
      </w:r>
      <w:r w:rsidR="00A826A1" w:rsidRPr="003F34BA">
        <w:t xml:space="preserve"> includ</w:t>
      </w:r>
      <w:r w:rsidR="0049016F" w:rsidRPr="003F34BA">
        <w:t>es</w:t>
      </w:r>
      <w:r w:rsidR="008F7E56" w:rsidRPr="003F34BA">
        <w:t xml:space="preserve"> where there has been no </w:t>
      </w:r>
      <w:r w:rsidR="004F4DA2" w:rsidRPr="003F34BA">
        <w:t xml:space="preserve">material </w:t>
      </w:r>
      <w:r w:rsidR="008F7E56" w:rsidRPr="003F34BA">
        <w:t>change in the circumstances</w:t>
      </w:r>
      <w:r w:rsidRPr="003F34BA">
        <w:t>. For each application, the Council must make a recommendation to the Minister, and the Minister must decide whether to declare the service. This contributes to lengthy processes</w:t>
      </w:r>
      <w:r w:rsidR="002B7D56" w:rsidRPr="003F34BA">
        <w:t xml:space="preserve"> requiring the participation of </w:t>
      </w:r>
      <w:r w:rsidR="005B0C80" w:rsidRPr="003F34BA">
        <w:t>infrastructure users and owners</w:t>
      </w:r>
      <w:r w:rsidR="005C5A52" w:rsidRPr="003F34BA">
        <w:t>, reduces certainty,</w:t>
      </w:r>
      <w:r w:rsidRPr="003F34BA">
        <w:t xml:space="preserve"> and compromises the </w:t>
      </w:r>
      <w:r w:rsidR="00C56B67" w:rsidRPr="003F34BA">
        <w:t xml:space="preserve">effectiveness </w:t>
      </w:r>
      <w:r w:rsidRPr="003F34BA">
        <w:t>of the N</w:t>
      </w:r>
      <w:r w:rsidR="003A5D85" w:rsidRPr="003F34BA">
        <w:t xml:space="preserve">ational </w:t>
      </w:r>
      <w:r w:rsidRPr="003F34BA">
        <w:t>A</w:t>
      </w:r>
      <w:r w:rsidR="003A5D85" w:rsidRPr="003F34BA">
        <w:t xml:space="preserve">ccess </w:t>
      </w:r>
      <w:r w:rsidRPr="003F34BA">
        <w:t>R</w:t>
      </w:r>
      <w:r w:rsidR="003A5D85" w:rsidRPr="003F34BA">
        <w:t>egime</w:t>
      </w:r>
      <w:r w:rsidRPr="003F34BA">
        <w:t xml:space="preserve">. </w:t>
      </w:r>
    </w:p>
    <w:p w14:paraId="5D11419C" w14:textId="389603F0" w:rsidR="006534A5" w:rsidRPr="003F34BA" w:rsidRDefault="006534A5" w:rsidP="006534A5">
      <w:pPr>
        <w:pStyle w:val="base-text-paragraph"/>
      </w:pPr>
      <w:r w:rsidRPr="003F34BA">
        <w:t xml:space="preserve">The proposed amendments address this by </w:t>
      </w:r>
      <w:r w:rsidR="00601555" w:rsidRPr="003F34BA">
        <w:t xml:space="preserve">limiting </w:t>
      </w:r>
      <w:r w:rsidR="007235D0" w:rsidRPr="003F34BA">
        <w:t xml:space="preserve">persons from making </w:t>
      </w:r>
      <w:r w:rsidRPr="003F34BA">
        <w:t xml:space="preserve">repeat </w:t>
      </w:r>
      <w:r w:rsidR="009B3387" w:rsidRPr="003F34BA">
        <w:t>applications to</w:t>
      </w:r>
      <w:r w:rsidR="00936F54" w:rsidRPr="003F34BA">
        <w:t xml:space="preserve"> the Council to recommend a service be</w:t>
      </w:r>
      <w:r w:rsidR="009B3387" w:rsidRPr="003F34BA">
        <w:t xml:space="preserve"> declare</w:t>
      </w:r>
      <w:r w:rsidR="00936F54" w:rsidRPr="003F34BA">
        <w:t>d</w:t>
      </w:r>
      <w:r w:rsidR="00EE2F86" w:rsidRPr="003F34BA">
        <w:t xml:space="preserve">, </w:t>
      </w:r>
      <w:r w:rsidR="00181112" w:rsidRPr="003F34BA">
        <w:t xml:space="preserve">where </w:t>
      </w:r>
      <w:r w:rsidR="000B1F3E" w:rsidRPr="003F34BA">
        <w:t xml:space="preserve">the Minister has relatively recently decided that </w:t>
      </w:r>
      <w:r w:rsidR="00EE2F86" w:rsidRPr="003F34BA">
        <w:t>the</w:t>
      </w:r>
      <w:r w:rsidRPr="003F34BA">
        <w:t xml:space="preserve"> service</w:t>
      </w:r>
      <w:r w:rsidR="000B1F3E" w:rsidRPr="003F34BA">
        <w:t xml:space="preserve"> </w:t>
      </w:r>
      <w:r w:rsidR="002F4614" w:rsidRPr="003F34BA">
        <w:t>i</w:t>
      </w:r>
      <w:r w:rsidR="00244059" w:rsidRPr="003F34BA">
        <w:t xml:space="preserve">s not appropriate to </w:t>
      </w:r>
      <w:r w:rsidR="00E32537" w:rsidRPr="003F34BA">
        <w:t>be</w:t>
      </w:r>
      <w:r w:rsidR="00244059" w:rsidRPr="003F34BA">
        <w:t xml:space="preserve"> </w:t>
      </w:r>
      <w:r w:rsidR="00E32537" w:rsidRPr="003F34BA">
        <w:t>declared</w:t>
      </w:r>
      <w:r w:rsidR="00954F69" w:rsidRPr="003F34BA">
        <w:t xml:space="preserve"> or remain declared</w:t>
      </w:r>
      <w:r w:rsidR="00E32537" w:rsidRPr="003F34BA">
        <w:t>.</w:t>
      </w:r>
      <w:r w:rsidRPr="003F34BA">
        <w:t xml:space="preserve"> </w:t>
      </w:r>
    </w:p>
    <w:p w14:paraId="7A0EF58E" w14:textId="44166DD0" w:rsidR="006534A5" w:rsidRPr="003F34BA" w:rsidRDefault="006534A5" w:rsidP="006534A5">
      <w:pPr>
        <w:pStyle w:val="base-text-paragraph"/>
      </w:pPr>
      <w:r w:rsidRPr="003F34BA">
        <w:t xml:space="preserve">Specifically, a person will not be able to apply to the Council to recommend to the designated Minister that a service provided by a </w:t>
      </w:r>
      <w:r w:rsidR="00B164B1" w:rsidRPr="003F34BA">
        <w:t>facility is</w:t>
      </w:r>
      <w:r w:rsidR="00865D51" w:rsidRPr="003F34BA">
        <w:t xml:space="preserve"> </w:t>
      </w:r>
      <w:r w:rsidRPr="003F34BA">
        <w:t xml:space="preserve">declared if: </w:t>
      </w:r>
    </w:p>
    <w:p w14:paraId="2AEF3A67" w14:textId="3AD3404C" w:rsidR="006534A5" w:rsidRPr="003F34BA" w:rsidRDefault="006534A5" w:rsidP="006534A5">
      <w:pPr>
        <w:pStyle w:val="dotpoint"/>
      </w:pPr>
      <w:r w:rsidRPr="003F34BA">
        <w:t xml:space="preserve">the Minister has </w:t>
      </w:r>
      <w:r w:rsidR="00770030" w:rsidRPr="003F34BA">
        <w:t xml:space="preserve">previously </w:t>
      </w:r>
      <w:r w:rsidRPr="003F34BA">
        <w:t xml:space="preserve">decided not to declare the service, or a substantially similar service, at that facility, and it has been less than 10 years since the Minister received the </w:t>
      </w:r>
      <w:r w:rsidR="004C5E7B" w:rsidRPr="003F34BA">
        <w:t xml:space="preserve">relevant </w:t>
      </w:r>
      <w:r w:rsidRPr="003F34BA">
        <w:t xml:space="preserve">declaration recommendation from the Council, or </w:t>
      </w:r>
    </w:p>
    <w:p w14:paraId="36A057F6" w14:textId="4848DFCA" w:rsidR="006534A5" w:rsidRPr="003F34BA" w:rsidRDefault="006534A5" w:rsidP="00240044">
      <w:pPr>
        <w:pStyle w:val="dotpoint"/>
      </w:pPr>
      <w:r w:rsidRPr="003F34BA">
        <w:t>the Minister has</w:t>
      </w:r>
      <w:r w:rsidR="004C5E7B" w:rsidRPr="003F34BA">
        <w:t xml:space="preserve"> previously</w:t>
      </w:r>
      <w:r w:rsidRPr="003F34BA">
        <w:t xml:space="preserve"> </w:t>
      </w:r>
      <w:r w:rsidR="005B26F6" w:rsidRPr="003F34BA">
        <w:t xml:space="preserve">decided to </w:t>
      </w:r>
      <w:r w:rsidRPr="003F34BA">
        <w:t xml:space="preserve">revoke a declaration in relation to the service, or a substantially similar service, at that facility, and it has been less than 10 years since the </w:t>
      </w:r>
      <w:r w:rsidR="00484D44" w:rsidRPr="003F34BA">
        <w:t>M</w:t>
      </w:r>
      <w:r w:rsidRPr="003F34BA">
        <w:t xml:space="preserve">inister received the relevant revocation recommendation from the Council. </w:t>
      </w:r>
      <w:r w:rsidRPr="003F34BA">
        <w:rPr>
          <w:rStyle w:val="Referencingstyle"/>
        </w:rPr>
        <w:t>[Schedule 1, items 2</w:t>
      </w:r>
      <w:r w:rsidR="004670D8" w:rsidRPr="003F34BA">
        <w:rPr>
          <w:rStyle w:val="Referencingstyle"/>
        </w:rPr>
        <w:t>3</w:t>
      </w:r>
      <w:r w:rsidRPr="003F34BA">
        <w:rPr>
          <w:rStyle w:val="Referencingstyle"/>
        </w:rPr>
        <w:t xml:space="preserve"> and 2</w:t>
      </w:r>
      <w:r w:rsidR="004670D8" w:rsidRPr="003F34BA">
        <w:rPr>
          <w:rStyle w:val="Referencingstyle"/>
        </w:rPr>
        <w:t>5</w:t>
      </w:r>
      <w:r w:rsidR="00EF448B" w:rsidRPr="003F34BA">
        <w:rPr>
          <w:rStyle w:val="Referencingstyle"/>
        </w:rPr>
        <w:t>,</w:t>
      </w:r>
      <w:r w:rsidRPr="003F34BA">
        <w:rPr>
          <w:rStyle w:val="Referencingstyle"/>
        </w:rPr>
        <w:t xml:space="preserve"> paragraph 44F(1)(e) and subsection 44</w:t>
      </w:r>
      <w:proofErr w:type="gramStart"/>
      <w:r w:rsidRPr="003F34BA">
        <w:rPr>
          <w:rStyle w:val="Referencingstyle"/>
        </w:rPr>
        <w:t>F(</w:t>
      </w:r>
      <w:proofErr w:type="gramEnd"/>
      <w:r w:rsidRPr="003F34BA">
        <w:rPr>
          <w:rStyle w:val="Referencingstyle"/>
        </w:rPr>
        <w:t>1) of the Competition and Consumer Act]</w:t>
      </w:r>
    </w:p>
    <w:p w14:paraId="405B4A57" w14:textId="52460FBB" w:rsidR="006534A5" w:rsidRPr="003F34BA" w:rsidRDefault="006534A5" w:rsidP="006534A5">
      <w:pPr>
        <w:pStyle w:val="base-text-paragraph"/>
      </w:pPr>
      <w:r w:rsidRPr="003F34BA">
        <w:t>A substantially similar service is not defined. However, it is intended to be engaged where one service is, in substance, the same as another service</w:t>
      </w:r>
      <w:r w:rsidR="00F33978" w:rsidRPr="003F34BA">
        <w:t xml:space="preserve"> provided by the same facility</w:t>
      </w:r>
      <w:r w:rsidRPr="003F34BA">
        <w:t xml:space="preserve">. This is intended to ensure a person cannot make minor changes to the description of a service </w:t>
      </w:r>
      <w:r w:rsidR="00770030" w:rsidRPr="003F34BA">
        <w:t xml:space="preserve">provided </w:t>
      </w:r>
      <w:r w:rsidR="004111D6" w:rsidRPr="003F34BA">
        <w:t xml:space="preserve">by </w:t>
      </w:r>
      <w:r w:rsidR="00770030" w:rsidRPr="003F34BA">
        <w:t xml:space="preserve">a facility </w:t>
      </w:r>
      <w:r w:rsidRPr="003F34BA">
        <w:t xml:space="preserve">in an application </w:t>
      </w:r>
      <w:r w:rsidR="00770030" w:rsidRPr="003F34BA">
        <w:t xml:space="preserve">to the Council, </w:t>
      </w:r>
      <w:r w:rsidRPr="003F34BA">
        <w:t xml:space="preserve">to avoid the </w:t>
      </w:r>
      <w:r w:rsidR="00770030" w:rsidRPr="003F34BA">
        <w:t>limitations</w:t>
      </w:r>
      <w:r w:rsidRPr="003F34BA">
        <w:t xml:space="preserve"> on repeat applications. </w:t>
      </w:r>
    </w:p>
    <w:p w14:paraId="093FBA82" w14:textId="3BC3D986" w:rsidR="006534A5" w:rsidRPr="003F34BA" w:rsidRDefault="006534A5" w:rsidP="006534A5">
      <w:pPr>
        <w:pStyle w:val="base-text-paragraph"/>
      </w:pPr>
      <w:r w:rsidRPr="003F34BA">
        <w:t xml:space="preserve">The </w:t>
      </w:r>
      <w:r w:rsidR="00DB7E06" w:rsidRPr="003F34BA">
        <w:t>limitation on repeat applications</w:t>
      </w:r>
      <w:r w:rsidRPr="003F34BA">
        <w:t xml:space="preserve"> is subject to two exceptions. A person may </w:t>
      </w:r>
      <w:r w:rsidR="00374F59" w:rsidRPr="003F34BA">
        <w:t xml:space="preserve">make </w:t>
      </w:r>
      <w:r w:rsidRPr="003F34BA">
        <w:t xml:space="preserve">a </w:t>
      </w:r>
      <w:r w:rsidR="00843160" w:rsidRPr="003F34BA">
        <w:t xml:space="preserve">repeat </w:t>
      </w:r>
      <w:r w:rsidRPr="003F34BA">
        <w:t>application if:</w:t>
      </w:r>
    </w:p>
    <w:p w14:paraId="6CE2CAF7" w14:textId="005D5BBF" w:rsidR="006534A5" w:rsidRPr="003F34BA" w:rsidRDefault="006534A5" w:rsidP="006534A5">
      <w:pPr>
        <w:pStyle w:val="dotpoint"/>
      </w:pPr>
      <w:r w:rsidRPr="003F34BA">
        <w:t xml:space="preserve">there has been a material change </w:t>
      </w:r>
      <w:r w:rsidR="002E1FA9" w:rsidRPr="003F34BA">
        <w:t>of</w:t>
      </w:r>
      <w:r w:rsidRPr="003F34BA">
        <w:t xml:space="preserve"> circumstances since the Min</w:t>
      </w:r>
      <w:r w:rsidR="002E1FA9" w:rsidRPr="003F34BA">
        <w:t>i</w:t>
      </w:r>
      <w:r w:rsidRPr="003F34BA">
        <w:t>ster received the Council’s recommendation</w:t>
      </w:r>
      <w:r w:rsidR="002E1FA9" w:rsidRPr="003F34BA">
        <w:t xml:space="preserve"> in the earlier process</w:t>
      </w:r>
      <w:r w:rsidRPr="003F34BA">
        <w:t xml:space="preserve">, or </w:t>
      </w:r>
    </w:p>
    <w:p w14:paraId="53915958" w14:textId="2B65D83E" w:rsidR="006534A5" w:rsidRPr="003F34BA" w:rsidRDefault="006534A5" w:rsidP="00FB13B6">
      <w:pPr>
        <w:pStyle w:val="dotpoint"/>
      </w:pPr>
      <w:r w:rsidRPr="003F34BA">
        <w:t xml:space="preserve">the person applying to the Council is the designated Minister. </w:t>
      </w:r>
      <w:r w:rsidR="00FB13B6" w:rsidRPr="003F34BA">
        <w:rPr>
          <w:rStyle w:val="Referencingstyle"/>
        </w:rPr>
        <w:t>[</w:t>
      </w:r>
      <w:r w:rsidRPr="003F34BA">
        <w:rPr>
          <w:rStyle w:val="Referencingstyle"/>
        </w:rPr>
        <w:t>Schedule 1, items 2</w:t>
      </w:r>
      <w:r w:rsidR="00B66003" w:rsidRPr="003F34BA">
        <w:rPr>
          <w:rStyle w:val="Referencingstyle"/>
        </w:rPr>
        <w:t>3</w:t>
      </w:r>
      <w:r w:rsidRPr="003F34BA">
        <w:rPr>
          <w:rStyle w:val="Referencingstyle"/>
        </w:rPr>
        <w:t xml:space="preserve"> and 2</w:t>
      </w:r>
      <w:r w:rsidR="00B66003" w:rsidRPr="003F34BA">
        <w:rPr>
          <w:rStyle w:val="Referencingstyle"/>
        </w:rPr>
        <w:t>5</w:t>
      </w:r>
      <w:r w:rsidR="00EF448B" w:rsidRPr="003F34BA">
        <w:rPr>
          <w:rStyle w:val="Referencingstyle"/>
        </w:rPr>
        <w:t>,</w:t>
      </w:r>
      <w:r w:rsidRPr="003F34BA">
        <w:rPr>
          <w:rStyle w:val="Referencingstyle"/>
        </w:rPr>
        <w:t xml:space="preserve"> paragraph 44F(1)(e) and subsection 44</w:t>
      </w:r>
      <w:proofErr w:type="gramStart"/>
      <w:r w:rsidRPr="003F34BA">
        <w:rPr>
          <w:rStyle w:val="Referencingstyle"/>
        </w:rPr>
        <w:t>F(</w:t>
      </w:r>
      <w:proofErr w:type="gramEnd"/>
      <w:r w:rsidRPr="003F34BA">
        <w:rPr>
          <w:rStyle w:val="Referencingstyle"/>
        </w:rPr>
        <w:t>1) of the Competition and Consumer Act]</w:t>
      </w:r>
    </w:p>
    <w:p w14:paraId="242E3C14" w14:textId="70BDD727" w:rsidR="007235D0" w:rsidRPr="003F34BA" w:rsidRDefault="003F0117" w:rsidP="006534A5">
      <w:pPr>
        <w:pStyle w:val="base-text-paragraph"/>
      </w:pPr>
      <w:r w:rsidRPr="003F34BA">
        <w:t>These exceptions</w:t>
      </w:r>
      <w:r w:rsidR="007235D0" w:rsidRPr="003F34BA">
        <w:t xml:space="preserve"> </w:t>
      </w:r>
      <w:r w:rsidRPr="003F34BA">
        <w:t xml:space="preserve">are intended to </w:t>
      </w:r>
      <w:r w:rsidR="007235D0" w:rsidRPr="003F34BA">
        <w:t xml:space="preserve">strike a balance between streamlining the declaration process and reducing administrative burden, while recognising that </w:t>
      </w:r>
      <w:r w:rsidR="00EB55E2" w:rsidRPr="003F34BA">
        <w:t xml:space="preserve">material </w:t>
      </w:r>
      <w:r w:rsidR="007235D0" w:rsidRPr="003F34BA">
        <w:t xml:space="preserve">changes in circumstances can occur over time. </w:t>
      </w:r>
    </w:p>
    <w:p w14:paraId="0A1D694D" w14:textId="5B90F5EA" w:rsidR="006534A5" w:rsidRPr="003F34BA" w:rsidRDefault="006534A5" w:rsidP="006534A5">
      <w:pPr>
        <w:pStyle w:val="base-text-paragraph"/>
      </w:pPr>
      <w:r w:rsidRPr="003F34BA">
        <w:lastRenderedPageBreak/>
        <w:t xml:space="preserve">The meaning of a material change of circumstances is not defined. This is consistent with </w:t>
      </w:r>
      <w:r w:rsidR="00EB10CC" w:rsidRPr="003F34BA">
        <w:t xml:space="preserve">the </w:t>
      </w:r>
      <w:r w:rsidRPr="003F34BA">
        <w:t xml:space="preserve">usage </w:t>
      </w:r>
      <w:r w:rsidR="00EB10CC" w:rsidRPr="003F34BA">
        <w:t>of this term in</w:t>
      </w:r>
      <w:r w:rsidRPr="003F34BA">
        <w:t xml:space="preserve"> other sections of the Competition and Consumer Act. </w:t>
      </w:r>
      <w:r w:rsidR="009340A2" w:rsidRPr="003F34BA">
        <w:t>A material change of circumstances is intended to capture a change in facts or law that is significant enough that a different decision may be made</w:t>
      </w:r>
      <w:r w:rsidRPr="003F34BA">
        <w:t xml:space="preserve">. Changes which are inconsequential to the decision, such as minor or procedural changes to the law, would not meet this test, while significant changes, including </w:t>
      </w:r>
      <w:r w:rsidR="009532B3" w:rsidRPr="003F34BA">
        <w:t xml:space="preserve">in </w:t>
      </w:r>
      <w:r w:rsidR="007B41EE" w:rsidRPr="003F34BA">
        <w:t xml:space="preserve">a </w:t>
      </w:r>
      <w:r w:rsidRPr="003F34BA">
        <w:t>relevant market or the infrastructure facility, could do so.</w:t>
      </w:r>
    </w:p>
    <w:p w14:paraId="255D6AC4" w14:textId="33A961CC" w:rsidR="006534A5" w:rsidRPr="003F34BA" w:rsidRDefault="006534A5" w:rsidP="006534A5">
      <w:pPr>
        <w:pStyle w:val="base-text-paragraph"/>
      </w:pPr>
      <w:r w:rsidRPr="003F34BA">
        <w:t xml:space="preserve">The exception allowing the designated Minister to apply to the Council to recommend a service </w:t>
      </w:r>
      <w:r w:rsidR="00264963" w:rsidRPr="003F34BA">
        <w:t>be</w:t>
      </w:r>
      <w:r w:rsidRPr="003F34BA">
        <w:t xml:space="preserve"> declared, regardless of whether the </w:t>
      </w:r>
      <w:proofErr w:type="gramStart"/>
      <w:r w:rsidRPr="003F34BA">
        <w:t>10 year</w:t>
      </w:r>
      <w:proofErr w:type="gramEnd"/>
      <w:r w:rsidRPr="003F34BA">
        <w:t xml:space="preserve"> period has elapsed, </w:t>
      </w:r>
      <w:bookmarkStart w:id="33" w:name="_Hlk87993258"/>
      <w:r w:rsidR="006B1A0F" w:rsidRPr="003F34BA">
        <w:t>maintain</w:t>
      </w:r>
      <w:r w:rsidR="00C006CC" w:rsidRPr="003F34BA">
        <w:t>s</w:t>
      </w:r>
      <w:r w:rsidR="006B1A0F" w:rsidRPr="003F34BA">
        <w:t xml:space="preserve"> the position under the current law, which </w:t>
      </w:r>
      <w:r w:rsidRPr="003F34BA">
        <w:t>enable</w:t>
      </w:r>
      <w:r w:rsidR="006B1A0F" w:rsidRPr="003F34BA">
        <w:t>s</w:t>
      </w:r>
      <w:r w:rsidRPr="003F34BA">
        <w:t xml:space="preserve"> the Minister to initiate the declaration process</w:t>
      </w:r>
      <w:bookmarkEnd w:id="33"/>
      <w:r w:rsidR="006B1A0F" w:rsidRPr="003F34BA">
        <w:t>.</w:t>
      </w:r>
      <w:r w:rsidRPr="003F34BA">
        <w:t xml:space="preserve"> </w:t>
      </w:r>
    </w:p>
    <w:p w14:paraId="0BD5B919" w14:textId="77777777" w:rsidR="006534A5" w:rsidRPr="003F34BA" w:rsidRDefault="006534A5" w:rsidP="00043202">
      <w:pPr>
        <w:pStyle w:val="base-text-paragraph"/>
        <w:numPr>
          <w:ilvl w:val="0"/>
          <w:numId w:val="0"/>
        </w:numPr>
        <w:ind w:left="1134"/>
        <w:outlineLvl w:val="1"/>
        <w:rPr>
          <w:b/>
          <w:bCs/>
          <w:i/>
          <w:iCs/>
        </w:rPr>
      </w:pPr>
      <w:r w:rsidRPr="003F34BA">
        <w:rPr>
          <w:b/>
          <w:bCs/>
          <w:i/>
          <w:iCs/>
        </w:rPr>
        <w:t>Limiting repeat revocation processes</w:t>
      </w:r>
    </w:p>
    <w:p w14:paraId="212AAA08" w14:textId="43C0E546" w:rsidR="006534A5" w:rsidRPr="003F34BA" w:rsidRDefault="006534A5" w:rsidP="006534A5">
      <w:pPr>
        <w:pStyle w:val="base-text-paragraph"/>
      </w:pPr>
      <w:r w:rsidRPr="003F34BA">
        <w:t>Under section 44J, the Council may recommend to the designated Min</w:t>
      </w:r>
      <w:r w:rsidR="00D76382" w:rsidRPr="003F34BA">
        <w:t>i</w:t>
      </w:r>
      <w:r w:rsidRPr="003F34BA">
        <w:t>ster that a declaration be revoke</w:t>
      </w:r>
      <w:r w:rsidR="00215D87" w:rsidRPr="003F34BA">
        <w:t>d</w:t>
      </w:r>
      <w:r w:rsidR="00DD08D2" w:rsidRPr="003F34BA">
        <w:t xml:space="preserve">. </w:t>
      </w:r>
      <w:r w:rsidRPr="003F34BA">
        <w:t>Following receipt of a</w:t>
      </w:r>
      <w:r w:rsidR="00685986" w:rsidRPr="003F34BA">
        <w:t xml:space="preserve"> </w:t>
      </w:r>
      <w:r w:rsidR="003D2F9E" w:rsidRPr="003F34BA">
        <w:t xml:space="preserve">revocation </w:t>
      </w:r>
      <w:r w:rsidRPr="003F34BA">
        <w:t xml:space="preserve">recommendation, the designated Minister must decide to </w:t>
      </w:r>
      <w:r w:rsidR="00630C2E" w:rsidRPr="003F34BA">
        <w:t xml:space="preserve">either </w:t>
      </w:r>
      <w:r w:rsidRPr="003F34BA">
        <w:t>revoke or not revoke the declaration.</w:t>
      </w:r>
    </w:p>
    <w:p w14:paraId="641BA636" w14:textId="06A8B3AE" w:rsidR="00E51AE9" w:rsidRPr="003F34BA" w:rsidRDefault="005276CD" w:rsidP="006534A5">
      <w:pPr>
        <w:pStyle w:val="base-text-paragraph"/>
      </w:pPr>
      <w:r w:rsidRPr="003F34BA">
        <w:t>T</w:t>
      </w:r>
      <w:r w:rsidR="006534A5" w:rsidRPr="003F34BA">
        <w:t>here is no formal trigger for the Council to begin consideration of whether to recommend revocation</w:t>
      </w:r>
      <w:r w:rsidR="00127C75" w:rsidRPr="003F34BA">
        <w:t>; it commences consideration on its own initiative</w:t>
      </w:r>
      <w:r w:rsidR="006534A5" w:rsidRPr="003F34BA">
        <w:t xml:space="preserve">. However, in practice, the Council </w:t>
      </w:r>
      <w:r w:rsidR="001C46E1" w:rsidRPr="003F34BA">
        <w:t xml:space="preserve">may </w:t>
      </w:r>
      <w:r w:rsidR="00226530" w:rsidRPr="003F34BA">
        <w:t>choose</w:t>
      </w:r>
      <w:r w:rsidR="00D645F2" w:rsidRPr="003F34BA">
        <w:t xml:space="preserve"> to </w:t>
      </w:r>
      <w:r w:rsidR="006534A5" w:rsidRPr="003F34BA">
        <w:t xml:space="preserve">commence consideration following informal requests from infrastructure service providers. </w:t>
      </w:r>
      <w:r w:rsidR="0059637C" w:rsidRPr="003F34BA">
        <w:t>I</w:t>
      </w:r>
      <w:r w:rsidR="006534A5" w:rsidRPr="003F34BA">
        <w:t xml:space="preserve">nformal requests </w:t>
      </w:r>
      <w:r w:rsidR="0059637C" w:rsidRPr="003F34BA">
        <w:t xml:space="preserve">could be </w:t>
      </w:r>
      <w:r w:rsidR="006534A5" w:rsidRPr="003F34BA">
        <w:t xml:space="preserve">made </w:t>
      </w:r>
      <w:r w:rsidR="00EB10CC" w:rsidRPr="003F34BA">
        <w:t xml:space="preserve">by a provider </w:t>
      </w:r>
      <w:r w:rsidR="006534A5" w:rsidRPr="003F34BA">
        <w:t xml:space="preserve">several times </w:t>
      </w:r>
      <w:r w:rsidR="0090488C" w:rsidRPr="003F34BA">
        <w:t xml:space="preserve">in a short period </w:t>
      </w:r>
      <w:r w:rsidR="006534A5" w:rsidRPr="003F34BA">
        <w:t xml:space="preserve">in relation to the same service at the same facility. </w:t>
      </w:r>
    </w:p>
    <w:p w14:paraId="7CC9C65A" w14:textId="637CC444" w:rsidR="006534A5" w:rsidRPr="003F34BA" w:rsidRDefault="00E51AE9" w:rsidP="006534A5">
      <w:pPr>
        <w:pStyle w:val="base-text-paragraph"/>
      </w:pPr>
      <w:r w:rsidRPr="003F34BA">
        <w:t>I</w:t>
      </w:r>
      <w:r w:rsidR="003022DD" w:rsidRPr="003F34BA">
        <w:t xml:space="preserve">n effect, </w:t>
      </w:r>
      <w:r w:rsidRPr="003F34BA">
        <w:t xml:space="preserve">this </w:t>
      </w:r>
      <w:r w:rsidR="003022DD" w:rsidRPr="003F34BA">
        <w:t xml:space="preserve">allows service providers to initiate </w:t>
      </w:r>
      <w:r w:rsidR="00925228" w:rsidRPr="003F34BA">
        <w:t xml:space="preserve">repeat revocation </w:t>
      </w:r>
      <w:r w:rsidR="003022DD" w:rsidRPr="003F34BA">
        <w:t>process</w:t>
      </w:r>
      <w:r w:rsidR="00925228" w:rsidRPr="003F34BA">
        <w:t>es</w:t>
      </w:r>
      <w:r w:rsidR="003022DD" w:rsidRPr="003F34BA">
        <w:t xml:space="preserve"> for infrastructure </w:t>
      </w:r>
      <w:r w:rsidR="005C5A52" w:rsidRPr="003F34BA">
        <w:t xml:space="preserve">shortly after a previous decision, </w:t>
      </w:r>
      <w:r w:rsidR="003022DD" w:rsidRPr="003F34BA">
        <w:t xml:space="preserve">where there has been no </w:t>
      </w:r>
      <w:r w:rsidR="006B1A0F" w:rsidRPr="003F34BA">
        <w:t xml:space="preserve">material </w:t>
      </w:r>
      <w:r w:rsidR="003022DD" w:rsidRPr="003F34BA">
        <w:t>change</w:t>
      </w:r>
      <w:r w:rsidR="00F903CA" w:rsidRPr="003F34BA">
        <w:t xml:space="preserve"> in circumstances</w:t>
      </w:r>
      <w:r w:rsidR="003022DD" w:rsidRPr="003F34BA">
        <w:t xml:space="preserve">. </w:t>
      </w:r>
      <w:r w:rsidR="005C5A52" w:rsidRPr="003F34BA">
        <w:t xml:space="preserve">For each revocation recommendation made by the Council, the Minister must decide whether to revoke the declaration. </w:t>
      </w:r>
      <w:r w:rsidR="00EB10CC" w:rsidRPr="003F34BA">
        <w:t>This contributes to lengthy processes requiring the participation of infrastructure users and owners, reduces certainty, and compromises the effectiveness of the National Access Regime.</w:t>
      </w:r>
    </w:p>
    <w:p w14:paraId="63CB558B" w14:textId="448255B2" w:rsidR="006534A5" w:rsidRPr="003F34BA" w:rsidRDefault="00D645F2" w:rsidP="006534A5">
      <w:pPr>
        <w:pStyle w:val="base-text-paragraph"/>
      </w:pPr>
      <w:r w:rsidRPr="003F34BA">
        <w:t>T</w:t>
      </w:r>
      <w:r w:rsidR="006534A5" w:rsidRPr="003F34BA">
        <w:t>he proposed amendments will formalis</w:t>
      </w:r>
      <w:r w:rsidR="00FB0F6A" w:rsidRPr="003F34BA">
        <w:t>e</w:t>
      </w:r>
      <w:r w:rsidR="006534A5" w:rsidRPr="003F34BA">
        <w:t xml:space="preserve"> the ability </w:t>
      </w:r>
      <w:r w:rsidR="006C5679" w:rsidRPr="003F34BA">
        <w:t>of</w:t>
      </w:r>
      <w:r w:rsidR="006534A5" w:rsidRPr="003F34BA">
        <w:t xml:space="preserve"> the designated Minister or any other person to write to the Council to request </w:t>
      </w:r>
      <w:r w:rsidR="00076E50" w:rsidRPr="003F34BA">
        <w:t xml:space="preserve">the Council consider </w:t>
      </w:r>
      <w:r w:rsidR="00DB7E06" w:rsidRPr="003F34BA">
        <w:t xml:space="preserve">recommending </w:t>
      </w:r>
      <w:r w:rsidR="006534A5" w:rsidRPr="003F34BA">
        <w:t xml:space="preserve">revocation, in addition to the Council’s existing ability to consider recommending revocation of a declaration on its own initiative. </w:t>
      </w:r>
      <w:r w:rsidR="006534A5" w:rsidRPr="003F34BA">
        <w:rPr>
          <w:rStyle w:val="Referencingstyle"/>
        </w:rPr>
        <w:t xml:space="preserve">[Schedule 1, item </w:t>
      </w:r>
      <w:r w:rsidR="006D0F72" w:rsidRPr="003F34BA">
        <w:rPr>
          <w:rStyle w:val="Referencingstyle"/>
        </w:rPr>
        <w:t>30</w:t>
      </w:r>
      <w:r w:rsidR="00EF448B" w:rsidRPr="003F34BA">
        <w:rPr>
          <w:rStyle w:val="Referencingstyle"/>
        </w:rPr>
        <w:t>,</w:t>
      </w:r>
      <w:r w:rsidR="006534A5" w:rsidRPr="003F34BA">
        <w:rPr>
          <w:rStyle w:val="Referencingstyle"/>
        </w:rPr>
        <w:t xml:space="preserve"> subsection 44</w:t>
      </w:r>
      <w:proofErr w:type="gramStart"/>
      <w:r w:rsidR="006534A5" w:rsidRPr="003F34BA">
        <w:rPr>
          <w:rStyle w:val="Referencingstyle"/>
        </w:rPr>
        <w:t>J(</w:t>
      </w:r>
      <w:proofErr w:type="gramEnd"/>
      <w:r w:rsidR="006534A5" w:rsidRPr="003F34BA">
        <w:rPr>
          <w:rStyle w:val="Referencingstyle"/>
        </w:rPr>
        <w:t>1) of the Competition and Consumer Act]</w:t>
      </w:r>
      <w:r w:rsidRPr="003F34BA">
        <w:rPr>
          <w:rStyle w:val="Referencingstyle"/>
        </w:rPr>
        <w:t xml:space="preserve"> </w:t>
      </w:r>
    </w:p>
    <w:p w14:paraId="0A9D903D" w14:textId="7E293084" w:rsidR="006534A5" w:rsidRPr="003F34BA" w:rsidRDefault="006534A5" w:rsidP="006534A5">
      <w:pPr>
        <w:pStyle w:val="base-text-paragraph"/>
      </w:pPr>
      <w:r w:rsidRPr="003F34BA">
        <w:t xml:space="preserve">The proposed amendments will </w:t>
      </w:r>
      <w:r w:rsidR="00B4124B" w:rsidRPr="003F34BA">
        <w:t xml:space="preserve">also </w:t>
      </w:r>
      <w:r w:rsidRPr="003F34BA">
        <w:t>lim</w:t>
      </w:r>
      <w:r w:rsidR="006812BC" w:rsidRPr="003F34BA">
        <w:t>it</w:t>
      </w:r>
      <w:r w:rsidRPr="003F34BA">
        <w:t xml:space="preserve"> the</w:t>
      </w:r>
      <w:r w:rsidR="00672F4B" w:rsidRPr="003F34BA">
        <w:t xml:space="preserve"> Council from</w:t>
      </w:r>
      <w:r w:rsidRPr="003F34BA">
        <w:t xml:space="preserve"> </w:t>
      </w:r>
      <w:r w:rsidR="00672F4B" w:rsidRPr="003F34BA">
        <w:t>making repeat revocation recommendations.</w:t>
      </w:r>
    </w:p>
    <w:p w14:paraId="59B3265C" w14:textId="10E7689A" w:rsidR="006534A5" w:rsidRPr="003F34BA" w:rsidRDefault="006534A5" w:rsidP="006534A5">
      <w:pPr>
        <w:pStyle w:val="base-text-paragraph"/>
      </w:pPr>
      <w:r w:rsidRPr="003F34BA">
        <w:t xml:space="preserve">Specifically, the Council will be </w:t>
      </w:r>
      <w:r w:rsidR="003A22D5" w:rsidRPr="003F34BA">
        <w:t>not be able to recommend</w:t>
      </w:r>
      <w:r w:rsidRPr="003F34BA">
        <w:t xml:space="preserve"> to the designated Minister that a declaration be revoked if the declaration is subject to a </w:t>
      </w:r>
      <w:r w:rsidRPr="003F34BA">
        <w:rPr>
          <w:b/>
          <w:bCs/>
          <w:i/>
          <w:iCs/>
        </w:rPr>
        <w:t>revocation exclusion period.</w:t>
      </w:r>
      <w:r w:rsidR="00834958" w:rsidRPr="003F34BA">
        <w:rPr>
          <w:b/>
          <w:bCs/>
          <w:i/>
          <w:iCs/>
        </w:rPr>
        <w:t xml:space="preserve"> </w:t>
      </w:r>
      <w:r w:rsidR="00834958" w:rsidRPr="003F34BA">
        <w:t>This</w:t>
      </w:r>
      <w:r w:rsidR="00660A9A" w:rsidRPr="003F34BA">
        <w:t xml:space="preserve"> is in </w:t>
      </w:r>
      <w:r w:rsidR="00834958" w:rsidRPr="003F34BA">
        <w:t>addition to restrictions on revocation recommendations</w:t>
      </w:r>
      <w:r w:rsidR="00D075FB" w:rsidRPr="003F34BA">
        <w:t xml:space="preserve"> under the current law, which will continue.</w:t>
      </w:r>
      <w:r w:rsidR="00FB7E53" w:rsidRPr="003F34BA">
        <w:t xml:space="preserve"> </w:t>
      </w:r>
      <w:r w:rsidRPr="003F34BA">
        <w:rPr>
          <w:rStyle w:val="Referencingstyle"/>
        </w:rPr>
        <w:t xml:space="preserve">[Schedule 1, item </w:t>
      </w:r>
      <w:r w:rsidR="00CA33A5" w:rsidRPr="003F34BA">
        <w:rPr>
          <w:rStyle w:val="Referencingstyle"/>
        </w:rPr>
        <w:t>31</w:t>
      </w:r>
      <w:r w:rsidR="00EF448B" w:rsidRPr="003F34BA">
        <w:rPr>
          <w:rStyle w:val="Referencingstyle"/>
        </w:rPr>
        <w:t>,</w:t>
      </w:r>
      <w:r w:rsidRPr="003F34BA">
        <w:rPr>
          <w:rStyle w:val="Referencingstyle"/>
        </w:rPr>
        <w:t xml:space="preserve"> subsection 44</w:t>
      </w:r>
      <w:proofErr w:type="gramStart"/>
      <w:r w:rsidRPr="003F34BA">
        <w:rPr>
          <w:rStyle w:val="Referencingstyle"/>
        </w:rPr>
        <w:t>J(</w:t>
      </w:r>
      <w:proofErr w:type="gramEnd"/>
      <w:r w:rsidRPr="003F34BA">
        <w:rPr>
          <w:rStyle w:val="Referencingstyle"/>
        </w:rPr>
        <w:t>2) of the Competition and Consumer Act]</w:t>
      </w:r>
    </w:p>
    <w:p w14:paraId="48D38C16" w14:textId="1A247FD9" w:rsidR="006534A5" w:rsidRPr="003F34BA" w:rsidRDefault="006534A5" w:rsidP="006534A5">
      <w:pPr>
        <w:pStyle w:val="base-text-paragraph"/>
      </w:pPr>
      <w:r w:rsidRPr="003F34BA">
        <w:lastRenderedPageBreak/>
        <w:t xml:space="preserve">The </w:t>
      </w:r>
      <w:r w:rsidRPr="003F34BA">
        <w:rPr>
          <w:b/>
          <w:bCs/>
          <w:i/>
          <w:iCs/>
        </w:rPr>
        <w:t>revocation exclusion period</w:t>
      </w:r>
      <w:r w:rsidRPr="003F34BA">
        <w:t xml:space="preserve"> will be engaged if less than 10 years has elapsed since any one of the following three events: </w:t>
      </w:r>
    </w:p>
    <w:p w14:paraId="76B1FAB6" w14:textId="23C79E3F" w:rsidR="006534A5" w:rsidRPr="003F34BA" w:rsidRDefault="006534A5" w:rsidP="006534A5">
      <w:pPr>
        <w:pStyle w:val="dotpoint"/>
      </w:pPr>
      <w:r w:rsidRPr="003F34BA">
        <w:t xml:space="preserve">the designated Minister received the initial </w:t>
      </w:r>
      <w:r w:rsidR="00807189" w:rsidRPr="003F34BA">
        <w:t xml:space="preserve">declaration </w:t>
      </w:r>
      <w:r w:rsidRPr="003F34BA">
        <w:t xml:space="preserve">recommendation from the </w:t>
      </w:r>
      <w:proofErr w:type="gramStart"/>
      <w:r w:rsidRPr="003F34BA">
        <w:t>Council;</w:t>
      </w:r>
      <w:proofErr w:type="gramEnd"/>
    </w:p>
    <w:p w14:paraId="24EC0657" w14:textId="122AD60F" w:rsidR="006534A5" w:rsidRPr="003F34BA" w:rsidRDefault="006534A5" w:rsidP="006534A5">
      <w:pPr>
        <w:pStyle w:val="dotpoint"/>
      </w:pPr>
      <w:r w:rsidRPr="003F34BA">
        <w:t xml:space="preserve">the designated Minister received a revocation recommendation from the Council </w:t>
      </w:r>
      <w:r w:rsidR="00807189" w:rsidRPr="003F34BA">
        <w:t>(</w:t>
      </w:r>
      <w:r w:rsidRPr="003F34BA">
        <w:t>in circumstances where the Minister did not revoke the declaration</w:t>
      </w:r>
      <w:r w:rsidR="00807189" w:rsidRPr="003F34BA">
        <w:t>)</w:t>
      </w:r>
      <w:r w:rsidR="0092390D" w:rsidRPr="003F34BA">
        <w:t>,</w:t>
      </w:r>
      <w:r w:rsidRPr="003F34BA">
        <w:t xml:space="preserve"> or </w:t>
      </w:r>
    </w:p>
    <w:p w14:paraId="0DBBF294" w14:textId="6CDFD0C8" w:rsidR="006534A5" w:rsidRPr="003F34BA" w:rsidRDefault="006534A5" w:rsidP="00FB13B6">
      <w:pPr>
        <w:pStyle w:val="dotpoint"/>
      </w:pPr>
      <w:r w:rsidRPr="003F34BA">
        <w:t>the Council published a notice of a decision not to recommend revocation of the declaration. This represents the point in time that the Council concludes its consideration of whether to recommend revocation of a declaration.</w:t>
      </w:r>
      <w:r w:rsidR="00FB13B6" w:rsidRPr="003F34BA">
        <w:t xml:space="preserve"> </w:t>
      </w:r>
      <w:r w:rsidRPr="003F34BA">
        <w:rPr>
          <w:rStyle w:val="Referencingstyle"/>
        </w:rPr>
        <w:t xml:space="preserve">[Schedule 1, items 21 and </w:t>
      </w:r>
      <w:r w:rsidR="003962AF" w:rsidRPr="003F34BA">
        <w:rPr>
          <w:rStyle w:val="Referencingstyle"/>
        </w:rPr>
        <w:t>31</w:t>
      </w:r>
      <w:r w:rsidR="00EF448B" w:rsidRPr="003F34BA">
        <w:rPr>
          <w:rStyle w:val="Referencingstyle"/>
        </w:rPr>
        <w:t>,</w:t>
      </w:r>
      <w:r w:rsidRPr="003F34BA">
        <w:rPr>
          <w:rStyle w:val="Referencingstyle"/>
        </w:rPr>
        <w:t xml:space="preserve"> section 44B and subsection 44</w:t>
      </w:r>
      <w:proofErr w:type="gramStart"/>
      <w:r w:rsidRPr="003F34BA">
        <w:rPr>
          <w:rStyle w:val="Referencingstyle"/>
        </w:rPr>
        <w:t>J(</w:t>
      </w:r>
      <w:proofErr w:type="gramEnd"/>
      <w:r w:rsidRPr="003F34BA">
        <w:rPr>
          <w:rStyle w:val="Referencingstyle"/>
        </w:rPr>
        <w:t>2) of the Competition and Consumer Act]</w:t>
      </w:r>
    </w:p>
    <w:p w14:paraId="7E55C95D" w14:textId="78D750F4" w:rsidR="006534A5" w:rsidRPr="003F34BA" w:rsidRDefault="006534A5" w:rsidP="006534A5">
      <w:pPr>
        <w:pStyle w:val="base-text-paragraph"/>
      </w:pPr>
      <w:r w:rsidRPr="003F34BA">
        <w:t xml:space="preserve">These events are significant, </w:t>
      </w:r>
      <w:r w:rsidR="006912E1" w:rsidRPr="003F34BA">
        <w:t xml:space="preserve">as </w:t>
      </w:r>
      <w:r w:rsidR="00526CED" w:rsidRPr="003F34BA">
        <w:t>the</w:t>
      </w:r>
      <w:r w:rsidR="001D3D5E" w:rsidRPr="003F34BA">
        <w:t>y represent</w:t>
      </w:r>
      <w:r w:rsidR="00526CED" w:rsidRPr="003F34BA">
        <w:t xml:space="preserve"> </w:t>
      </w:r>
      <w:r w:rsidR="001D3D5E" w:rsidRPr="003F34BA">
        <w:t xml:space="preserve">the point that the </w:t>
      </w:r>
      <w:r w:rsidR="00526CED" w:rsidRPr="003F34BA">
        <w:t>designated Minister received a recommendation and decided a service is appropriate to be declared</w:t>
      </w:r>
      <w:r w:rsidR="001D3D5E" w:rsidRPr="003F34BA">
        <w:t xml:space="preserve"> or remain declared</w:t>
      </w:r>
      <w:r w:rsidR="002A194F" w:rsidRPr="003F34BA">
        <w:t>,</w:t>
      </w:r>
      <w:r w:rsidR="00526CED" w:rsidRPr="003F34BA">
        <w:t xml:space="preserve"> or the Council (when considering recommending revocation) decided a service is appropriate to remain declared. </w:t>
      </w:r>
      <w:r w:rsidR="002A194F" w:rsidRPr="003F34BA">
        <w:t xml:space="preserve">It is </w:t>
      </w:r>
      <w:r w:rsidR="001F4645" w:rsidRPr="003F34BA">
        <w:t xml:space="preserve">suitable </w:t>
      </w:r>
      <w:r w:rsidR="002A194F" w:rsidRPr="003F34BA">
        <w:t xml:space="preserve">that </w:t>
      </w:r>
      <w:r w:rsidRPr="003F34BA">
        <w:t xml:space="preserve">10 years elapses before </w:t>
      </w:r>
      <w:r w:rsidR="00BF3CDF" w:rsidRPr="003F34BA">
        <w:t xml:space="preserve">the </w:t>
      </w:r>
      <w:r w:rsidRPr="003F34BA">
        <w:t>declaration is reconsidered</w:t>
      </w:r>
      <w:r w:rsidR="00F82A5D" w:rsidRPr="003F34BA">
        <w:t xml:space="preserve"> to increase </w:t>
      </w:r>
      <w:r w:rsidR="001F4645" w:rsidRPr="003F34BA">
        <w:t>certainty and</w:t>
      </w:r>
      <w:r w:rsidR="00F82A5D" w:rsidRPr="003F34BA">
        <w:t xml:space="preserve"> ensure the effectiveness of the National Access Regime is not compromised. </w:t>
      </w:r>
    </w:p>
    <w:p w14:paraId="3C1AFE6E" w14:textId="159B1DB4" w:rsidR="006534A5" w:rsidRPr="003F34BA" w:rsidRDefault="006534A5" w:rsidP="006534A5">
      <w:pPr>
        <w:pStyle w:val="base-text-paragraph"/>
      </w:pPr>
      <w:r w:rsidRPr="003F34BA">
        <w:t>The</w:t>
      </w:r>
      <w:r w:rsidR="004F0BDD" w:rsidRPr="003F34BA">
        <w:t xml:space="preserve"> limitation on recommending revocation</w:t>
      </w:r>
      <w:r w:rsidRPr="003F34BA">
        <w:t xml:space="preserve"> is subject to two exceptions. The Council may make a recommendation to revoke a declaration if:</w:t>
      </w:r>
    </w:p>
    <w:p w14:paraId="729F8F5C" w14:textId="42BED36D" w:rsidR="006534A5" w:rsidRPr="003F34BA" w:rsidRDefault="006534A5" w:rsidP="006534A5">
      <w:pPr>
        <w:pStyle w:val="dotpoint"/>
      </w:pPr>
      <w:r w:rsidRPr="003F34BA">
        <w:t xml:space="preserve">the Council is satisfied that there has been a material change in the circumstances since the start of the </w:t>
      </w:r>
      <w:r w:rsidRPr="003F34BA">
        <w:rPr>
          <w:b/>
          <w:bCs/>
          <w:i/>
          <w:iCs/>
        </w:rPr>
        <w:t>revocation exclusion period</w:t>
      </w:r>
      <w:r w:rsidR="0092390D" w:rsidRPr="003F34BA">
        <w:t>,</w:t>
      </w:r>
      <w:r w:rsidRPr="003F34BA">
        <w:t xml:space="preserve"> or </w:t>
      </w:r>
    </w:p>
    <w:p w14:paraId="6E4BAE9C" w14:textId="166054B1" w:rsidR="006534A5" w:rsidRPr="003F34BA" w:rsidRDefault="006534A5" w:rsidP="00FB13B6">
      <w:pPr>
        <w:pStyle w:val="dotpoint"/>
      </w:pPr>
      <w:r w:rsidRPr="003F34BA">
        <w:t xml:space="preserve">the designated Minister requests the Council consider whether to recommend revocation of the declaration. </w:t>
      </w:r>
      <w:r w:rsidRPr="003F34BA">
        <w:rPr>
          <w:rStyle w:val="Referencingstyle"/>
        </w:rPr>
        <w:t xml:space="preserve">[Schedule 1, item </w:t>
      </w:r>
      <w:r w:rsidR="00C147B2" w:rsidRPr="003F34BA">
        <w:rPr>
          <w:rStyle w:val="Referencingstyle"/>
        </w:rPr>
        <w:t>31</w:t>
      </w:r>
      <w:r w:rsidR="00EF448B" w:rsidRPr="003F34BA">
        <w:rPr>
          <w:rStyle w:val="Referencingstyle"/>
        </w:rPr>
        <w:t>,</w:t>
      </w:r>
      <w:r w:rsidRPr="003F34BA">
        <w:rPr>
          <w:rStyle w:val="Referencingstyle"/>
        </w:rPr>
        <w:t xml:space="preserve"> s</w:t>
      </w:r>
      <w:r w:rsidR="00EF448B" w:rsidRPr="003F34BA">
        <w:rPr>
          <w:rStyle w:val="Referencingstyle"/>
        </w:rPr>
        <w:t>ubs</w:t>
      </w:r>
      <w:r w:rsidRPr="003F34BA">
        <w:rPr>
          <w:rStyle w:val="Referencingstyle"/>
        </w:rPr>
        <w:t>ection 44</w:t>
      </w:r>
      <w:proofErr w:type="gramStart"/>
      <w:r w:rsidR="00C147B2" w:rsidRPr="003F34BA">
        <w:rPr>
          <w:rStyle w:val="Referencingstyle"/>
        </w:rPr>
        <w:t>J(</w:t>
      </w:r>
      <w:proofErr w:type="gramEnd"/>
      <w:r w:rsidR="00C147B2" w:rsidRPr="003F34BA">
        <w:rPr>
          <w:rStyle w:val="Referencingstyle"/>
        </w:rPr>
        <w:t>2</w:t>
      </w:r>
      <w:r w:rsidR="00BE74E4" w:rsidRPr="003F34BA">
        <w:rPr>
          <w:rStyle w:val="Referencingstyle"/>
        </w:rPr>
        <w:t>)</w:t>
      </w:r>
      <w:r w:rsidR="00FD7F0F" w:rsidRPr="003F34BA">
        <w:rPr>
          <w:rStyle w:val="Referencingstyle"/>
        </w:rPr>
        <w:t xml:space="preserve"> </w:t>
      </w:r>
      <w:r w:rsidRPr="003F34BA">
        <w:rPr>
          <w:rStyle w:val="Referencingstyle"/>
        </w:rPr>
        <w:t>of the Competition and Consumer Act]</w:t>
      </w:r>
    </w:p>
    <w:p w14:paraId="5952F613" w14:textId="7DFCD4D8" w:rsidR="000C462F" w:rsidRPr="003F34BA" w:rsidRDefault="000C462F" w:rsidP="000C462F">
      <w:pPr>
        <w:pStyle w:val="base-text-paragraph"/>
      </w:pPr>
      <w:r w:rsidRPr="003F34BA">
        <w:t xml:space="preserve">These exceptions are intended to strike a balance between streamlining the </w:t>
      </w:r>
      <w:r w:rsidR="003A5424" w:rsidRPr="003F34BA">
        <w:t>revocation</w:t>
      </w:r>
      <w:r w:rsidRPr="003F34BA">
        <w:t xml:space="preserve"> process and reducing administrative burden, while recognising that material changes in circumstances can occur over time. </w:t>
      </w:r>
    </w:p>
    <w:p w14:paraId="68768FFB" w14:textId="6D8AFA43" w:rsidR="006534A5" w:rsidRPr="003F34BA" w:rsidRDefault="00EE7DF0">
      <w:pPr>
        <w:pStyle w:val="base-text-paragraph"/>
      </w:pPr>
      <w:r w:rsidRPr="003F34BA">
        <w:t>T</w:t>
      </w:r>
      <w:r w:rsidR="001A22A5" w:rsidRPr="003F34BA">
        <w:t xml:space="preserve">he </w:t>
      </w:r>
      <w:r w:rsidR="006534A5" w:rsidRPr="003F34BA">
        <w:t>proposed amendments will require the Council to publish notice of</w:t>
      </w:r>
      <w:r w:rsidR="00A76E00" w:rsidRPr="003F34BA">
        <w:t xml:space="preserve"> its</w:t>
      </w:r>
      <w:r w:rsidR="00DC2E85" w:rsidRPr="003F34BA">
        <w:t xml:space="preserve"> </w:t>
      </w:r>
      <w:r w:rsidR="006534A5" w:rsidRPr="003F34BA">
        <w:t>decision</w:t>
      </w:r>
      <w:r w:rsidR="005F5EC0" w:rsidRPr="003F34BA">
        <w:t xml:space="preserve"> not to recommend revocation</w:t>
      </w:r>
      <w:r w:rsidR="00C577DE" w:rsidRPr="003F34BA">
        <w:t>.</w:t>
      </w:r>
      <w:r w:rsidR="006534A5" w:rsidRPr="003F34BA">
        <w:t xml:space="preserve"> Th</w:t>
      </w:r>
      <w:r w:rsidR="007B5F34" w:rsidRPr="003F34BA">
        <w:t xml:space="preserve">e publication of this notice formalises the Council’s decision not </w:t>
      </w:r>
      <w:r w:rsidR="006534A5" w:rsidRPr="003F34BA">
        <w:t>to recommend revocation</w:t>
      </w:r>
      <w:r w:rsidR="007B5F34" w:rsidRPr="003F34BA">
        <w:t>,</w:t>
      </w:r>
      <w:r w:rsidR="006534A5" w:rsidRPr="003F34BA">
        <w:t xml:space="preserve"> for the purposes of </w:t>
      </w:r>
      <w:r w:rsidR="008F5D3E" w:rsidRPr="003F34BA">
        <w:t xml:space="preserve">triggering </w:t>
      </w:r>
      <w:r w:rsidR="006534A5" w:rsidRPr="003F34BA">
        <w:t xml:space="preserve">the </w:t>
      </w:r>
      <w:r w:rsidR="006534A5" w:rsidRPr="003F34BA">
        <w:rPr>
          <w:b/>
          <w:bCs/>
          <w:i/>
          <w:iCs/>
        </w:rPr>
        <w:t>revocation exclusion period</w:t>
      </w:r>
      <w:r w:rsidR="006534A5" w:rsidRPr="003F34BA">
        <w:t>. The Council will also be required to provide a copy of the notice to the service provider and the designated Minister. This</w:t>
      </w:r>
      <w:r w:rsidR="009A71C9" w:rsidRPr="003F34BA">
        <w:t xml:space="preserve"> requirement </w:t>
      </w:r>
      <w:r w:rsidR="006534A5" w:rsidRPr="003F34BA">
        <w:t>does not apply if the Council deci</w:t>
      </w:r>
      <w:r w:rsidR="009A71C9" w:rsidRPr="003F34BA">
        <w:t xml:space="preserve">des </w:t>
      </w:r>
      <w:r w:rsidR="006534A5" w:rsidRPr="003F34BA">
        <w:t xml:space="preserve">not to make </w:t>
      </w:r>
      <w:r w:rsidR="00CD1B44" w:rsidRPr="003F34BA">
        <w:t>a revocation</w:t>
      </w:r>
      <w:r w:rsidR="006534A5" w:rsidRPr="003F34BA">
        <w:t xml:space="preserve"> recommendation because the declaration is subject to the </w:t>
      </w:r>
      <w:r w:rsidR="006534A5" w:rsidRPr="003F34BA">
        <w:rPr>
          <w:b/>
          <w:bCs/>
          <w:i/>
          <w:iCs/>
        </w:rPr>
        <w:t>revocation exclusion period</w:t>
      </w:r>
      <w:r w:rsidR="006534A5" w:rsidRPr="003F34BA">
        <w:t xml:space="preserve"> and the Council is not satisfied there has been a material change of circumstances since the start of that period. The Council </w:t>
      </w:r>
      <w:r w:rsidR="006534A5" w:rsidRPr="003F34BA">
        <w:lastRenderedPageBreak/>
        <w:t>will not be required to publish the reason</w:t>
      </w:r>
      <w:r w:rsidR="009A71C9" w:rsidRPr="003F34BA">
        <w:t>s it does not make a revocation recommendation</w:t>
      </w:r>
      <w:r w:rsidR="006534A5" w:rsidRPr="003F34BA">
        <w:rPr>
          <w:sz w:val="18"/>
          <w:szCs w:val="18"/>
        </w:rPr>
        <w:t xml:space="preserve">. </w:t>
      </w:r>
      <w:r w:rsidR="006534A5" w:rsidRPr="003F34BA">
        <w:rPr>
          <w:b/>
          <w:i/>
          <w:sz w:val="18"/>
          <w:szCs w:val="18"/>
        </w:rPr>
        <w:t xml:space="preserve">[Schedule 1, item </w:t>
      </w:r>
      <w:r w:rsidR="00044871" w:rsidRPr="003F34BA">
        <w:rPr>
          <w:b/>
          <w:i/>
          <w:sz w:val="18"/>
          <w:szCs w:val="18"/>
        </w:rPr>
        <w:t>31</w:t>
      </w:r>
      <w:r w:rsidR="00EF448B" w:rsidRPr="003F34BA">
        <w:rPr>
          <w:b/>
          <w:i/>
          <w:sz w:val="18"/>
          <w:szCs w:val="18"/>
        </w:rPr>
        <w:t>,</w:t>
      </w:r>
      <w:r w:rsidR="006534A5" w:rsidRPr="003F34BA">
        <w:rPr>
          <w:b/>
          <w:i/>
          <w:sz w:val="18"/>
          <w:szCs w:val="18"/>
        </w:rPr>
        <w:t xml:space="preserve"> subsection 44</w:t>
      </w:r>
      <w:proofErr w:type="gramStart"/>
      <w:r w:rsidR="006534A5" w:rsidRPr="003F34BA">
        <w:rPr>
          <w:b/>
          <w:i/>
          <w:sz w:val="18"/>
          <w:szCs w:val="18"/>
        </w:rPr>
        <w:t>J(</w:t>
      </w:r>
      <w:proofErr w:type="gramEnd"/>
      <w:r w:rsidR="006534A5" w:rsidRPr="003F34BA">
        <w:rPr>
          <w:b/>
          <w:i/>
          <w:sz w:val="18"/>
          <w:szCs w:val="18"/>
        </w:rPr>
        <w:t>2) of the Competition and Consumer Act]</w:t>
      </w:r>
    </w:p>
    <w:p w14:paraId="142CCF0E" w14:textId="74F49713" w:rsidR="00526CED" w:rsidRPr="003F34BA" w:rsidRDefault="00526CED" w:rsidP="00526CED">
      <w:pPr>
        <w:pStyle w:val="base-text-paragraph"/>
      </w:pPr>
      <w:r w:rsidRPr="003F34BA">
        <w:t xml:space="preserve">The meaning of a material change of circumstances is not defined. This is consistent with the usage of this term in other sections of the Competition and Consumer Act. A material change of circumstances is intended to capture a change in facts or law that is significant enough that a different decision may be made. Changes which are inconsequential to the decision, such as minor or procedural changes to the law, would not meet this test, while significant changes, including in </w:t>
      </w:r>
      <w:r w:rsidR="007B41EE" w:rsidRPr="003F34BA">
        <w:t xml:space="preserve">a </w:t>
      </w:r>
      <w:r w:rsidRPr="003F34BA">
        <w:t>relevant market or the infrastructure facility, could do so.</w:t>
      </w:r>
    </w:p>
    <w:p w14:paraId="74D090FA" w14:textId="1062B49A" w:rsidR="007B1216" w:rsidRPr="003F34BA" w:rsidRDefault="006534A5" w:rsidP="00526CED">
      <w:pPr>
        <w:pStyle w:val="base-text-paragraph"/>
      </w:pPr>
      <w:r w:rsidRPr="003F34BA">
        <w:t>The exception allowing the designated Minister to request the Council recommend revo</w:t>
      </w:r>
      <w:r w:rsidR="004028FD" w:rsidRPr="003F34BA">
        <w:t>cation</w:t>
      </w:r>
      <w:r w:rsidRPr="003F34BA">
        <w:t xml:space="preserve">, regardless of whether the declaration is subject to the </w:t>
      </w:r>
      <w:r w:rsidRPr="003F34BA">
        <w:rPr>
          <w:b/>
          <w:bCs/>
          <w:i/>
          <w:iCs/>
        </w:rPr>
        <w:t>revocation exclusion period</w:t>
      </w:r>
      <w:r w:rsidRPr="003F34BA">
        <w:t xml:space="preserve">, </w:t>
      </w:r>
      <w:r w:rsidR="00F94E6C" w:rsidRPr="003F34BA">
        <w:t>will</w:t>
      </w:r>
      <w:r w:rsidR="0056634A" w:rsidRPr="003F34BA">
        <w:t xml:space="preserve"> enable the Minister to initiate the </w:t>
      </w:r>
      <w:r w:rsidR="00245680" w:rsidRPr="003F34BA">
        <w:t>revocation</w:t>
      </w:r>
      <w:r w:rsidR="0056634A" w:rsidRPr="003F34BA">
        <w:t xml:space="preserve"> process</w:t>
      </w:r>
      <w:r w:rsidR="00F94E6C" w:rsidRPr="003F34BA">
        <w:t xml:space="preserve">, consistent with the approach for </w:t>
      </w:r>
      <w:r w:rsidR="00245680" w:rsidRPr="003F34BA">
        <w:t>declaration</w:t>
      </w:r>
      <w:r w:rsidR="00F94E6C" w:rsidRPr="003F34BA">
        <w:t xml:space="preserve"> processes.</w:t>
      </w:r>
      <w:r w:rsidR="0056634A" w:rsidRPr="003F34BA">
        <w:t xml:space="preserve"> </w:t>
      </w:r>
    </w:p>
    <w:p w14:paraId="65608DD4" w14:textId="048C24A8" w:rsidR="00625AB8" w:rsidRPr="003F34BA" w:rsidRDefault="00625AB8" w:rsidP="00625AB8">
      <w:pPr>
        <w:keepNext/>
        <w:spacing w:before="240" w:after="200"/>
        <w:outlineLvl w:val="2"/>
        <w:rPr>
          <w:rFonts w:ascii="Helvetica" w:hAnsi="Helvetica"/>
          <w:b/>
        </w:rPr>
      </w:pPr>
      <w:r w:rsidRPr="003F34BA">
        <w:rPr>
          <w:rFonts w:ascii="Helvetica" w:hAnsi="Helvetica"/>
          <w:b/>
        </w:rPr>
        <w:t>Reforms to arbitration proceedings and determination</w:t>
      </w:r>
      <w:r w:rsidR="00A77883" w:rsidRPr="003F34BA">
        <w:rPr>
          <w:rFonts w:ascii="Helvetica" w:hAnsi="Helvetica"/>
          <w:b/>
        </w:rPr>
        <w:t>s</w:t>
      </w:r>
    </w:p>
    <w:p w14:paraId="442DEA23" w14:textId="2BFAB58A" w:rsidR="00625AB8" w:rsidRPr="003F34BA" w:rsidRDefault="00625AB8" w:rsidP="00625AB8">
      <w:pPr>
        <w:keepNext/>
        <w:spacing w:after="200"/>
        <w:ind w:left="1134"/>
        <w:outlineLvl w:val="3"/>
        <w:rPr>
          <w:b/>
          <w:i/>
        </w:rPr>
      </w:pPr>
      <w:r w:rsidRPr="003F34BA">
        <w:rPr>
          <w:b/>
          <w:i/>
        </w:rPr>
        <w:t xml:space="preserve">Termination of arbitration </w:t>
      </w:r>
      <w:r w:rsidR="00DD57C8" w:rsidRPr="003F34BA">
        <w:rPr>
          <w:b/>
          <w:i/>
        </w:rPr>
        <w:t>and re-arbitration</w:t>
      </w:r>
    </w:p>
    <w:p w14:paraId="11D4394E" w14:textId="5375231A" w:rsidR="005B2856" w:rsidRPr="003F34BA" w:rsidRDefault="00625AB8" w:rsidP="00625AB8">
      <w:pPr>
        <w:numPr>
          <w:ilvl w:val="1"/>
          <w:numId w:val="20"/>
        </w:numPr>
      </w:pPr>
      <w:r w:rsidRPr="003F34BA">
        <w:t>Under the existing law, the revocation or expiry of a declaration does not affect arbitration</w:t>
      </w:r>
      <w:r w:rsidR="005B3B15" w:rsidRPr="003F34BA">
        <w:t xml:space="preserve"> of an access dispute</w:t>
      </w:r>
      <w:r w:rsidRPr="003F34BA">
        <w:t xml:space="preserve"> </w:t>
      </w:r>
      <w:r w:rsidR="007805E8" w:rsidRPr="003F34BA">
        <w:t>before</w:t>
      </w:r>
      <w:r w:rsidRPr="003F34BA">
        <w:t xml:space="preserve"> the ACCC or re</w:t>
      </w:r>
      <w:r w:rsidRPr="003F34BA">
        <w:noBreakHyphen/>
        <w:t xml:space="preserve">arbitration </w:t>
      </w:r>
      <w:r w:rsidR="005B3B15" w:rsidRPr="003F34BA">
        <w:t xml:space="preserve">of an access dispute </w:t>
      </w:r>
      <w:r w:rsidRPr="003F34BA">
        <w:t>in the Tribunal</w:t>
      </w:r>
      <w:r w:rsidR="007B1216" w:rsidRPr="003F34BA">
        <w:t xml:space="preserve"> related to that declaration</w:t>
      </w:r>
      <w:r w:rsidR="0063749A" w:rsidRPr="003F34BA">
        <w:t>.</w:t>
      </w:r>
      <w:r w:rsidRPr="003F34BA">
        <w:t xml:space="preserve"> </w:t>
      </w:r>
      <w:r w:rsidR="00BF5C48" w:rsidRPr="003F34BA">
        <w:t>S</w:t>
      </w:r>
      <w:r w:rsidR="005B2856" w:rsidRPr="003F34BA">
        <w:t xml:space="preserve">uch </w:t>
      </w:r>
      <w:r w:rsidR="0063749A" w:rsidRPr="003F34BA">
        <w:t xml:space="preserve">proceedings </w:t>
      </w:r>
      <w:r w:rsidR="005B2856" w:rsidRPr="003F34BA">
        <w:t>can</w:t>
      </w:r>
      <w:r w:rsidR="0063749A" w:rsidRPr="003F34BA">
        <w:t xml:space="preserve"> continue </w:t>
      </w:r>
      <w:r w:rsidR="00251F82" w:rsidRPr="003F34BA">
        <w:t>even where t</w:t>
      </w:r>
      <w:r w:rsidR="005B2856" w:rsidRPr="003F34BA">
        <w:t xml:space="preserve">he underlying declaration </w:t>
      </w:r>
      <w:r w:rsidR="00251F82" w:rsidRPr="003F34BA">
        <w:t>is</w:t>
      </w:r>
      <w:r w:rsidR="005B2856" w:rsidRPr="003F34BA">
        <w:t xml:space="preserve"> no longer in force. </w:t>
      </w:r>
    </w:p>
    <w:p w14:paraId="24B1A426" w14:textId="14DF14E4" w:rsidR="00625AB8" w:rsidRPr="003F34BA" w:rsidRDefault="00E9449D" w:rsidP="000A149D">
      <w:pPr>
        <w:numPr>
          <w:ilvl w:val="1"/>
          <w:numId w:val="20"/>
        </w:numPr>
        <w:ind w:left="709"/>
      </w:pPr>
      <w:r w:rsidRPr="003F34BA">
        <w:t>In addition, t</w:t>
      </w:r>
      <w:r w:rsidR="005B2856" w:rsidRPr="003F34BA">
        <w:t>he expiry or revocation of a declaration</w:t>
      </w:r>
      <w:r w:rsidR="001C029A" w:rsidRPr="003F34BA">
        <w:t xml:space="preserve"> </w:t>
      </w:r>
      <w:r w:rsidR="00625AB8" w:rsidRPr="003F34BA">
        <w:t xml:space="preserve">does </w:t>
      </w:r>
      <w:r w:rsidR="00275CAB" w:rsidRPr="003F34BA">
        <w:t xml:space="preserve">not </w:t>
      </w:r>
      <w:r w:rsidR="00625AB8" w:rsidRPr="003F34BA">
        <w:t>prevent the ACCC or Tribunal</w:t>
      </w:r>
      <w:r w:rsidR="00010701" w:rsidRPr="003F34BA">
        <w:t xml:space="preserve"> from</w:t>
      </w:r>
      <w:r w:rsidR="00625AB8" w:rsidRPr="003F34BA">
        <w:t xml:space="preserve"> </w:t>
      </w:r>
      <w:proofErr w:type="gramStart"/>
      <w:r w:rsidR="00625AB8" w:rsidRPr="003F34BA">
        <w:t xml:space="preserve">making </w:t>
      </w:r>
      <w:r w:rsidR="00010701" w:rsidRPr="003F34BA">
        <w:t xml:space="preserve">a </w:t>
      </w:r>
      <w:r w:rsidR="00625AB8" w:rsidRPr="003F34BA">
        <w:t>determination</w:t>
      </w:r>
      <w:proofErr w:type="gramEnd"/>
      <w:r w:rsidR="006D5E2E" w:rsidRPr="003F34BA">
        <w:t xml:space="preserve"> in </w:t>
      </w:r>
      <w:r w:rsidR="00010701" w:rsidRPr="003F34BA">
        <w:t>these</w:t>
      </w:r>
      <w:r w:rsidR="006D5E2E" w:rsidRPr="003F34BA">
        <w:t xml:space="preserve"> proceedings</w:t>
      </w:r>
      <w:r w:rsidR="00BF5C48" w:rsidRPr="003F34BA">
        <w:t xml:space="preserve">. </w:t>
      </w:r>
      <w:r w:rsidR="00625AB8" w:rsidRPr="003F34BA">
        <w:t xml:space="preserve">As a result, determinations can be made after revocation or expiration of a </w:t>
      </w:r>
      <w:r w:rsidR="006D5E2E" w:rsidRPr="003F34BA">
        <w:t>declaration and</w:t>
      </w:r>
      <w:r w:rsidR="001C029A" w:rsidRPr="003F34BA">
        <w:t xml:space="preserve"> can </w:t>
      </w:r>
      <w:r w:rsidR="00D6216B" w:rsidRPr="003F34BA">
        <w:t>remain in operation</w:t>
      </w:r>
      <w:r w:rsidR="006D5E2E" w:rsidRPr="003F34BA">
        <w:t>,</w:t>
      </w:r>
      <w:r w:rsidR="00D6216B" w:rsidRPr="003F34BA">
        <w:t xml:space="preserve"> and</w:t>
      </w:r>
      <w:r w:rsidR="001C029A" w:rsidRPr="003F34BA">
        <w:t xml:space="preserve"> be</w:t>
      </w:r>
      <w:r w:rsidR="00625AB8" w:rsidRPr="003F34BA">
        <w:t xml:space="preserve"> enforceable</w:t>
      </w:r>
      <w:r w:rsidR="006D5E2E" w:rsidRPr="003F34BA">
        <w:t>,</w:t>
      </w:r>
      <w:r w:rsidR="00625AB8" w:rsidRPr="003F34BA">
        <w:t xml:space="preserve"> even if the</w:t>
      </w:r>
      <w:r w:rsidR="00A67770" w:rsidRPr="003F34BA">
        <w:t xml:space="preserve"> </w:t>
      </w:r>
      <w:r w:rsidR="00D6216B" w:rsidRPr="003F34BA">
        <w:t xml:space="preserve">service </w:t>
      </w:r>
      <w:r w:rsidR="00251F82" w:rsidRPr="003F34BA">
        <w:t xml:space="preserve">is no longer </w:t>
      </w:r>
      <w:r w:rsidR="0069317A" w:rsidRPr="003F34BA">
        <w:t>declared</w:t>
      </w:r>
      <w:r w:rsidR="00625AB8" w:rsidRPr="003F34BA">
        <w:t xml:space="preserve">. </w:t>
      </w:r>
    </w:p>
    <w:p w14:paraId="4DF2FC5A" w14:textId="77777777" w:rsidR="00625AB8" w:rsidRPr="003F34BA" w:rsidRDefault="00625AB8" w:rsidP="000A149D">
      <w:pPr>
        <w:numPr>
          <w:ilvl w:val="1"/>
          <w:numId w:val="20"/>
        </w:numPr>
        <w:ind w:left="709"/>
      </w:pPr>
      <w:r w:rsidRPr="003F34BA">
        <w:t xml:space="preserve">The proposed amendments address this by: </w:t>
      </w:r>
    </w:p>
    <w:p w14:paraId="570CE731" w14:textId="29CCE389" w:rsidR="00096C0F" w:rsidRPr="003F34BA" w:rsidRDefault="00096C0F" w:rsidP="00096C0F">
      <w:pPr>
        <w:pStyle w:val="dotpoint"/>
      </w:pPr>
      <w:r w:rsidRPr="003F34BA">
        <w:t>re</w:t>
      </w:r>
      <w:r w:rsidR="00010701" w:rsidRPr="003F34BA">
        <w:t>pealing</w:t>
      </w:r>
      <w:r w:rsidRPr="003F34BA">
        <w:t xml:space="preserve"> </w:t>
      </w:r>
      <w:r w:rsidR="005261AA" w:rsidRPr="003F34BA">
        <w:t>subsection 44</w:t>
      </w:r>
      <w:proofErr w:type="gramStart"/>
      <w:r w:rsidR="005261AA" w:rsidRPr="003F34BA">
        <w:t>I(</w:t>
      </w:r>
      <w:proofErr w:type="gramEnd"/>
      <w:r w:rsidR="005261AA" w:rsidRPr="003F34BA">
        <w:t>4), which</w:t>
      </w:r>
      <w:r w:rsidRPr="003F34BA">
        <w:t xml:space="preserve"> </w:t>
      </w:r>
      <w:r w:rsidR="005261AA" w:rsidRPr="003F34BA">
        <w:t>currently</w:t>
      </w:r>
      <w:r w:rsidRPr="003F34BA">
        <w:t xml:space="preserve"> prevent</w:t>
      </w:r>
      <w:r w:rsidR="00490004" w:rsidRPr="003F34BA">
        <w:t>s</w:t>
      </w:r>
      <w:r w:rsidRPr="003F34BA">
        <w:t xml:space="preserve"> the expiry or revocation of a declaration from affecting the arbitration of an access dispute th</w:t>
      </w:r>
      <w:r w:rsidR="0067074B" w:rsidRPr="003F34BA">
        <w:t>at</w:t>
      </w:r>
      <w:r w:rsidRPr="003F34BA">
        <w:t xml:space="preserve"> commenced before the expiry or revocation, or the operation or enforcement of a determination made in the arbitration; </w:t>
      </w:r>
      <w:r w:rsidRPr="003F34BA">
        <w:rPr>
          <w:rStyle w:val="Referencingstyle"/>
        </w:rPr>
        <w:t>[Schedule 1, item 3</w:t>
      </w:r>
      <w:r w:rsidR="00EF448B" w:rsidRPr="003F34BA">
        <w:rPr>
          <w:rStyle w:val="Referencingstyle"/>
        </w:rPr>
        <w:t>,</w:t>
      </w:r>
      <w:r w:rsidRPr="003F34BA">
        <w:rPr>
          <w:rStyle w:val="Referencingstyle"/>
        </w:rPr>
        <w:t xml:space="preserve"> subsection 44I(4) </w:t>
      </w:r>
      <w:r w:rsidR="00E2337A" w:rsidRPr="003F34BA">
        <w:rPr>
          <w:rStyle w:val="Referencingstyle"/>
        </w:rPr>
        <w:t xml:space="preserve">of the </w:t>
      </w:r>
      <w:r w:rsidRPr="003F34BA">
        <w:rPr>
          <w:rStyle w:val="Referencingstyle"/>
        </w:rPr>
        <w:t>Competition and Consumer Act]</w:t>
      </w:r>
    </w:p>
    <w:p w14:paraId="7DC7EB86" w14:textId="2C17D83C" w:rsidR="00625AB8" w:rsidRPr="003F34BA" w:rsidRDefault="00625AB8" w:rsidP="00625AB8">
      <w:pPr>
        <w:numPr>
          <w:ilvl w:val="0"/>
          <w:numId w:val="6"/>
        </w:numPr>
      </w:pPr>
      <w:r w:rsidRPr="003F34BA">
        <w:t>requiring the ACCC to terminate arbitration of an access dispute in relation to a declared service if the underlying declaration expires or is revoked</w:t>
      </w:r>
      <w:r w:rsidR="0092390D" w:rsidRPr="003F34BA">
        <w:t>,</w:t>
      </w:r>
      <w:r w:rsidRPr="003F34BA">
        <w:t xml:space="preserve"> and </w:t>
      </w:r>
      <w:r w:rsidRPr="003F34BA">
        <w:rPr>
          <w:b/>
          <w:i/>
          <w:sz w:val="18"/>
        </w:rPr>
        <w:t xml:space="preserve">[Schedule 1, item </w:t>
      </w:r>
      <w:r w:rsidR="007F7C35" w:rsidRPr="003F34BA">
        <w:rPr>
          <w:b/>
          <w:i/>
          <w:sz w:val="18"/>
        </w:rPr>
        <w:t>40</w:t>
      </w:r>
      <w:r w:rsidR="00EF448B" w:rsidRPr="003F34BA">
        <w:rPr>
          <w:b/>
          <w:i/>
          <w:sz w:val="18"/>
        </w:rPr>
        <w:t>,</w:t>
      </w:r>
      <w:r w:rsidRPr="003F34BA">
        <w:rPr>
          <w:b/>
          <w:i/>
          <w:sz w:val="18"/>
        </w:rPr>
        <w:t xml:space="preserve"> </w:t>
      </w:r>
      <w:r w:rsidR="00742CB7" w:rsidRPr="003F34BA">
        <w:rPr>
          <w:b/>
          <w:i/>
          <w:sz w:val="18"/>
        </w:rPr>
        <w:t>section 44YAA</w:t>
      </w:r>
      <w:r w:rsidRPr="003F34BA">
        <w:rPr>
          <w:b/>
          <w:i/>
          <w:sz w:val="18"/>
        </w:rPr>
        <w:t xml:space="preserve"> of </w:t>
      </w:r>
      <w:r w:rsidR="00E2337A" w:rsidRPr="003F34BA">
        <w:rPr>
          <w:b/>
          <w:i/>
          <w:sz w:val="18"/>
        </w:rPr>
        <w:t xml:space="preserve">the </w:t>
      </w:r>
      <w:r w:rsidRPr="003F34BA">
        <w:rPr>
          <w:b/>
          <w:i/>
          <w:sz w:val="18"/>
        </w:rPr>
        <w:t>Competition and Consumer Act]</w:t>
      </w:r>
      <w:r w:rsidRPr="003F34BA">
        <w:t xml:space="preserve"> </w:t>
      </w:r>
    </w:p>
    <w:p w14:paraId="0C3D3279" w14:textId="702B7968" w:rsidR="00625AB8" w:rsidRPr="003F34BA" w:rsidRDefault="00625AB8" w:rsidP="00410D18">
      <w:pPr>
        <w:numPr>
          <w:ilvl w:val="0"/>
          <w:numId w:val="6"/>
        </w:numPr>
      </w:pPr>
      <w:r w:rsidRPr="003F34BA">
        <w:t xml:space="preserve">requiring the Tribunal to terminate </w:t>
      </w:r>
      <w:r w:rsidR="008D265F" w:rsidRPr="003F34BA">
        <w:t xml:space="preserve">the </w:t>
      </w:r>
      <w:r w:rsidRPr="003F34BA">
        <w:t xml:space="preserve">re-arbitration </w:t>
      </w:r>
      <w:r w:rsidR="007D6A72" w:rsidRPr="003F34BA">
        <w:t>of</w:t>
      </w:r>
      <w:r w:rsidRPr="003F34BA">
        <w:t xml:space="preserve"> </w:t>
      </w:r>
      <w:r w:rsidR="008D265F" w:rsidRPr="003F34BA">
        <w:t>an</w:t>
      </w:r>
      <w:r w:rsidR="007D6A72" w:rsidRPr="003F34BA">
        <w:t xml:space="preserve"> </w:t>
      </w:r>
      <w:r w:rsidR="008D265F" w:rsidRPr="003F34BA">
        <w:t xml:space="preserve">access dispute </w:t>
      </w:r>
      <w:r w:rsidR="00EC1BBA" w:rsidRPr="003F34BA">
        <w:t>(</w:t>
      </w:r>
      <w:r w:rsidR="00156BC2" w:rsidRPr="003F34BA">
        <w:t xml:space="preserve">that is, </w:t>
      </w:r>
      <w:r w:rsidR="00EC1BBA" w:rsidRPr="003F34BA">
        <w:t>the review</w:t>
      </w:r>
      <w:r w:rsidR="00EA668A" w:rsidRPr="003F34BA">
        <w:t xml:space="preserve"> </w:t>
      </w:r>
      <w:r w:rsidR="00EC1BBA" w:rsidRPr="003F34BA">
        <w:t xml:space="preserve">of </w:t>
      </w:r>
      <w:r w:rsidR="008D265F" w:rsidRPr="003F34BA">
        <w:t xml:space="preserve">the </w:t>
      </w:r>
      <w:r w:rsidR="007D6A72" w:rsidRPr="003F34BA">
        <w:t xml:space="preserve">ACCC’s </w:t>
      </w:r>
      <w:r w:rsidRPr="003F34BA">
        <w:t>final determination</w:t>
      </w:r>
      <w:r w:rsidR="00EC1BBA" w:rsidRPr="003F34BA">
        <w:t>)</w:t>
      </w:r>
      <w:r w:rsidR="008D265F" w:rsidRPr="003F34BA">
        <w:t>, if</w:t>
      </w:r>
      <w:r w:rsidR="007D6A72" w:rsidRPr="003F34BA">
        <w:t xml:space="preserve"> </w:t>
      </w:r>
      <w:r w:rsidRPr="003F34BA">
        <w:t xml:space="preserve">the underlying declaration expires or is </w:t>
      </w:r>
      <w:r w:rsidRPr="003F34BA">
        <w:lastRenderedPageBreak/>
        <w:t xml:space="preserve">revoked. </w:t>
      </w:r>
      <w:r w:rsidRPr="003F34BA">
        <w:rPr>
          <w:b/>
          <w:i/>
          <w:sz w:val="18"/>
        </w:rPr>
        <w:t xml:space="preserve">[Schedule 1, item </w:t>
      </w:r>
      <w:r w:rsidR="007F7C35" w:rsidRPr="003F34BA">
        <w:rPr>
          <w:b/>
          <w:i/>
          <w:sz w:val="18"/>
        </w:rPr>
        <w:t>45</w:t>
      </w:r>
      <w:r w:rsidR="00EF448B" w:rsidRPr="003F34BA">
        <w:rPr>
          <w:b/>
          <w:i/>
          <w:sz w:val="18"/>
        </w:rPr>
        <w:t>,</w:t>
      </w:r>
      <w:r w:rsidRPr="003F34BA">
        <w:rPr>
          <w:b/>
          <w:i/>
          <w:sz w:val="18"/>
        </w:rPr>
        <w:t xml:space="preserve"> section 44ZP</w:t>
      </w:r>
      <w:r w:rsidR="00742CB7" w:rsidRPr="003F34BA">
        <w:rPr>
          <w:b/>
          <w:i/>
          <w:sz w:val="18"/>
        </w:rPr>
        <w:t>A</w:t>
      </w:r>
      <w:r w:rsidRPr="003F34BA">
        <w:rPr>
          <w:b/>
          <w:i/>
          <w:sz w:val="18"/>
        </w:rPr>
        <w:t xml:space="preserve"> of </w:t>
      </w:r>
      <w:r w:rsidR="00E2337A" w:rsidRPr="003F34BA">
        <w:rPr>
          <w:b/>
          <w:i/>
          <w:sz w:val="18"/>
        </w:rPr>
        <w:t xml:space="preserve">the </w:t>
      </w:r>
      <w:r w:rsidRPr="003F34BA">
        <w:rPr>
          <w:b/>
          <w:i/>
          <w:sz w:val="18"/>
        </w:rPr>
        <w:t>Competition and Consumer Act]</w:t>
      </w:r>
    </w:p>
    <w:p w14:paraId="22C6086D" w14:textId="21122C91" w:rsidR="00625AB8" w:rsidRPr="003F34BA" w:rsidRDefault="00625AB8" w:rsidP="00625AB8">
      <w:pPr>
        <w:numPr>
          <w:ilvl w:val="1"/>
          <w:numId w:val="20"/>
        </w:numPr>
      </w:pPr>
      <w:r w:rsidRPr="003F34BA">
        <w:t xml:space="preserve">The proposed amendments also prohibit the ACCC from </w:t>
      </w:r>
      <w:proofErr w:type="gramStart"/>
      <w:r w:rsidRPr="003F34BA">
        <w:t>making a determination</w:t>
      </w:r>
      <w:proofErr w:type="gramEnd"/>
      <w:r w:rsidRPr="003F34BA">
        <w:t xml:space="preserve"> </w:t>
      </w:r>
      <w:r w:rsidR="007003A6" w:rsidRPr="003F34BA">
        <w:t>in</w:t>
      </w:r>
      <w:r w:rsidR="00AC0ED2" w:rsidRPr="003F34BA">
        <w:t xml:space="preserve"> relation to a service in</w:t>
      </w:r>
      <w:r w:rsidR="007003A6" w:rsidRPr="003F34BA">
        <w:t xml:space="preserve"> an arbitration that is </w:t>
      </w:r>
      <w:r w:rsidR="00711F75" w:rsidRPr="003F34BA">
        <w:t xml:space="preserve">ongoing </w:t>
      </w:r>
      <w:r w:rsidRPr="003F34BA">
        <w:t>wh</w:t>
      </w:r>
      <w:r w:rsidR="00AC0ED2" w:rsidRPr="003F34BA">
        <w:t xml:space="preserve">en </w:t>
      </w:r>
      <w:r w:rsidRPr="003F34BA">
        <w:t xml:space="preserve">the </w:t>
      </w:r>
      <w:r w:rsidR="007003A6" w:rsidRPr="003F34BA">
        <w:t xml:space="preserve">underlying </w:t>
      </w:r>
      <w:r w:rsidRPr="003F34BA">
        <w:t xml:space="preserve">declaration </w:t>
      </w:r>
      <w:r w:rsidR="00216675" w:rsidRPr="003F34BA">
        <w:t>is</w:t>
      </w:r>
      <w:r w:rsidRPr="003F34BA">
        <w:t xml:space="preserve"> revoked</w:t>
      </w:r>
      <w:r w:rsidR="00BE1F5C" w:rsidRPr="003F34BA">
        <w:t xml:space="preserve"> or expires</w:t>
      </w:r>
      <w:r w:rsidRPr="003F34BA">
        <w:t xml:space="preserve">. This is intended to make it clear that, in addition to terminating arbitration proceedings, the ACCC must not </w:t>
      </w:r>
      <w:proofErr w:type="gramStart"/>
      <w:r w:rsidRPr="003F34BA">
        <w:t>make a determination</w:t>
      </w:r>
      <w:proofErr w:type="gramEnd"/>
      <w:r w:rsidRPr="003F34BA">
        <w:t>.</w:t>
      </w:r>
      <w:r w:rsidRPr="003F34BA">
        <w:rPr>
          <w:b/>
          <w:i/>
          <w:sz w:val="18"/>
        </w:rPr>
        <w:t xml:space="preserve"> [Schedule 1, item 3</w:t>
      </w:r>
      <w:r w:rsidR="00711F75" w:rsidRPr="003F34BA">
        <w:rPr>
          <w:b/>
          <w:i/>
          <w:sz w:val="18"/>
        </w:rPr>
        <w:t>9</w:t>
      </w:r>
      <w:r w:rsidR="00EF448B" w:rsidRPr="003F34BA">
        <w:rPr>
          <w:b/>
          <w:i/>
          <w:sz w:val="18"/>
        </w:rPr>
        <w:t>,</w:t>
      </w:r>
      <w:r w:rsidRPr="003F34BA">
        <w:rPr>
          <w:b/>
          <w:i/>
          <w:sz w:val="18"/>
        </w:rPr>
        <w:t xml:space="preserve"> subsection 44</w:t>
      </w:r>
      <w:proofErr w:type="gramStart"/>
      <w:r w:rsidRPr="003F34BA">
        <w:rPr>
          <w:b/>
          <w:i/>
          <w:sz w:val="18"/>
        </w:rPr>
        <w:t>W(</w:t>
      </w:r>
      <w:proofErr w:type="gramEnd"/>
      <w:r w:rsidRPr="003F34BA">
        <w:rPr>
          <w:b/>
          <w:i/>
          <w:sz w:val="18"/>
        </w:rPr>
        <w:t>2) of the Competition and Consumer Act]</w:t>
      </w:r>
    </w:p>
    <w:p w14:paraId="1A425160" w14:textId="509EF203" w:rsidR="00DD57C8" w:rsidRPr="003F34BA" w:rsidRDefault="00DD57C8" w:rsidP="00DD57C8">
      <w:pPr>
        <w:keepNext/>
        <w:spacing w:after="200"/>
        <w:ind w:left="1134"/>
        <w:outlineLvl w:val="3"/>
        <w:rPr>
          <w:b/>
          <w:i/>
        </w:rPr>
      </w:pPr>
      <w:r w:rsidRPr="003F34BA">
        <w:rPr>
          <w:b/>
          <w:i/>
        </w:rPr>
        <w:t>Federal Court appeals</w:t>
      </w:r>
    </w:p>
    <w:p w14:paraId="223E077B" w14:textId="6AC09D36" w:rsidR="00625AB8" w:rsidRPr="003F34BA" w:rsidRDefault="00625AB8" w:rsidP="00625AB8">
      <w:pPr>
        <w:numPr>
          <w:ilvl w:val="1"/>
          <w:numId w:val="20"/>
        </w:numPr>
      </w:pPr>
      <w:r w:rsidRPr="003F34BA">
        <w:t xml:space="preserve">Under section 44ZR, a party to re-arbitration may appeal to the Federal Court, on a question of law, from the decision of the Tribunal in relation to a final determination. The proposed amendments require the Federal Court to </w:t>
      </w:r>
      <w:proofErr w:type="gramStart"/>
      <w:r w:rsidRPr="003F34BA">
        <w:t>take into account</w:t>
      </w:r>
      <w:proofErr w:type="gramEnd"/>
      <w:r w:rsidRPr="003F34BA">
        <w:t xml:space="preserve"> whether a declaration has expired or been revoked when determining such an appeal. This is </w:t>
      </w:r>
      <w:r w:rsidR="00D54D4F" w:rsidRPr="003F34BA">
        <w:t>relevant, as the Tribunal will be required to terminate the re-arbitration of an access dispute</w:t>
      </w:r>
      <w:r w:rsidR="009910E9" w:rsidRPr="003F34BA">
        <w:t xml:space="preserve"> </w:t>
      </w:r>
      <w:r w:rsidR="00D54D4F" w:rsidRPr="003F34BA">
        <w:t>if the underlying declaration is revoked or expires</w:t>
      </w:r>
      <w:r w:rsidRPr="003F34BA">
        <w:t xml:space="preserve">. </w:t>
      </w:r>
      <w:r w:rsidR="004F0FE7" w:rsidRPr="003F34BA">
        <w:t xml:space="preserve">This </w:t>
      </w:r>
      <w:r w:rsidR="00253DA9" w:rsidRPr="003F34BA">
        <w:t xml:space="preserve">requirement </w:t>
      </w:r>
      <w:r w:rsidR="004F0FE7" w:rsidRPr="003F34BA">
        <w:t xml:space="preserve">will not limit the matters the Federal Court may </w:t>
      </w:r>
      <w:proofErr w:type="gramStart"/>
      <w:r w:rsidR="004F0FE7" w:rsidRPr="003F34BA">
        <w:t>take into account</w:t>
      </w:r>
      <w:proofErr w:type="gramEnd"/>
      <w:r w:rsidR="004F0FE7" w:rsidRPr="003F34BA">
        <w:t>.</w:t>
      </w:r>
      <w:r w:rsidR="004F0FE7" w:rsidRPr="003F34BA">
        <w:rPr>
          <w:b/>
          <w:i/>
          <w:sz w:val="18"/>
        </w:rPr>
        <w:t xml:space="preserve"> </w:t>
      </w:r>
      <w:r w:rsidRPr="003F34BA">
        <w:rPr>
          <w:b/>
          <w:i/>
          <w:sz w:val="18"/>
        </w:rPr>
        <w:t>[Schedule 1, item 4</w:t>
      </w:r>
      <w:r w:rsidR="009C76BF" w:rsidRPr="003F34BA">
        <w:rPr>
          <w:b/>
          <w:i/>
          <w:sz w:val="18"/>
        </w:rPr>
        <w:t>6</w:t>
      </w:r>
      <w:r w:rsidR="00EF448B" w:rsidRPr="003F34BA">
        <w:rPr>
          <w:b/>
          <w:i/>
          <w:sz w:val="18"/>
        </w:rPr>
        <w:t>,</w:t>
      </w:r>
      <w:r w:rsidRPr="003F34BA">
        <w:rPr>
          <w:b/>
          <w:i/>
          <w:sz w:val="18"/>
        </w:rPr>
        <w:t xml:space="preserve"> section 44ZR of </w:t>
      </w:r>
      <w:r w:rsidR="00E2337A" w:rsidRPr="003F34BA">
        <w:rPr>
          <w:b/>
          <w:i/>
          <w:sz w:val="18"/>
        </w:rPr>
        <w:t xml:space="preserve">the </w:t>
      </w:r>
      <w:r w:rsidRPr="003F34BA">
        <w:rPr>
          <w:b/>
          <w:i/>
          <w:sz w:val="18"/>
        </w:rPr>
        <w:t>Competition and Consumer Act]</w:t>
      </w:r>
    </w:p>
    <w:p w14:paraId="5EDF5451" w14:textId="77777777" w:rsidR="00F74179" w:rsidRPr="003F34BA" w:rsidRDefault="00F74179" w:rsidP="00F74179">
      <w:pPr>
        <w:pStyle w:val="Heading4"/>
      </w:pPr>
      <w:r w:rsidRPr="003F34BA">
        <w:t>Expiry of determinations</w:t>
      </w:r>
    </w:p>
    <w:p w14:paraId="04EAF91B" w14:textId="46C11405" w:rsidR="00DF1553" w:rsidRPr="003F34BA" w:rsidRDefault="00DF1553" w:rsidP="00DF1553">
      <w:pPr>
        <w:numPr>
          <w:ilvl w:val="1"/>
          <w:numId w:val="20"/>
        </w:numPr>
        <w:tabs>
          <w:tab w:val="num" w:pos="1985"/>
        </w:tabs>
      </w:pPr>
      <w:bookmarkStart w:id="34" w:name="_Hlk87902358"/>
      <w:r w:rsidRPr="003F34BA">
        <w:t xml:space="preserve">Under the existing law, there is no express requirement for final determinations to contain an expiry date. This leaves open the possibility for </w:t>
      </w:r>
      <w:r w:rsidR="00F24467" w:rsidRPr="003F34BA">
        <w:t xml:space="preserve">parties to be bound by the terms of access under a final </w:t>
      </w:r>
      <w:r w:rsidRPr="003F34BA">
        <w:t>determination</w:t>
      </w:r>
      <w:r w:rsidR="007B01D7" w:rsidRPr="003F34BA">
        <w:t xml:space="preserve"> </w:t>
      </w:r>
      <w:r w:rsidR="00F24467" w:rsidRPr="003F34BA">
        <w:t xml:space="preserve">despite the </w:t>
      </w:r>
      <w:r w:rsidR="001F347B" w:rsidRPr="003F34BA">
        <w:t xml:space="preserve">relevant </w:t>
      </w:r>
      <w:r w:rsidR="00F24467" w:rsidRPr="003F34BA">
        <w:t xml:space="preserve">service no longer being </w:t>
      </w:r>
      <w:r w:rsidR="00D80CBE" w:rsidRPr="003F34BA">
        <w:t>declare</w:t>
      </w:r>
      <w:r w:rsidR="001F347B" w:rsidRPr="003F34BA">
        <w:t>d</w:t>
      </w:r>
      <w:r w:rsidR="00D80CBE" w:rsidRPr="003F34BA">
        <w:t xml:space="preserve">, </w:t>
      </w:r>
      <w:r w:rsidR="00A90C10" w:rsidRPr="003F34BA">
        <w:t xml:space="preserve">and therefore no longer being regulated under </w:t>
      </w:r>
      <w:r w:rsidR="00D80CBE" w:rsidRPr="003F34BA">
        <w:t>the National Access Regime</w:t>
      </w:r>
      <w:r w:rsidR="007B01D7" w:rsidRPr="003F34BA">
        <w:t>.</w:t>
      </w:r>
      <w:r w:rsidRPr="003F34BA">
        <w:t xml:space="preserve"> </w:t>
      </w:r>
    </w:p>
    <w:p w14:paraId="45633063" w14:textId="6851F169" w:rsidR="00DF1553" w:rsidRPr="003F34BA" w:rsidRDefault="00DF1553" w:rsidP="00DF1553">
      <w:pPr>
        <w:numPr>
          <w:ilvl w:val="1"/>
          <w:numId w:val="20"/>
        </w:numPr>
      </w:pPr>
      <w:r w:rsidRPr="003F34BA">
        <w:t xml:space="preserve">The proposed amendments will address this by requiring </w:t>
      </w:r>
      <w:r w:rsidR="0079388E" w:rsidRPr="003F34BA">
        <w:t>all final determinations made or varied by the</w:t>
      </w:r>
      <w:r w:rsidR="001D136A" w:rsidRPr="003F34BA">
        <w:t xml:space="preserve"> ACCC</w:t>
      </w:r>
      <w:r w:rsidR="0079388E" w:rsidRPr="003F34BA">
        <w:t>, or affirmed or varied by</w:t>
      </w:r>
      <w:r w:rsidR="001D136A" w:rsidRPr="003F34BA">
        <w:t xml:space="preserve"> the Tribunal</w:t>
      </w:r>
      <w:r w:rsidR="0079388E" w:rsidRPr="003F34BA">
        <w:t>,</w:t>
      </w:r>
      <w:r w:rsidR="001D136A" w:rsidRPr="003F34BA">
        <w:t xml:space="preserve"> to </w:t>
      </w:r>
      <w:r w:rsidR="00AF0992" w:rsidRPr="003F34BA">
        <w:t xml:space="preserve">specify </w:t>
      </w:r>
      <w:r w:rsidR="003F49E0" w:rsidRPr="003F34BA">
        <w:t xml:space="preserve">an </w:t>
      </w:r>
      <w:r w:rsidR="00AF0992" w:rsidRPr="003F34BA">
        <w:t>expiry date</w:t>
      </w:r>
      <w:r w:rsidRPr="003F34BA">
        <w:t>. The expiry date must be no later than the expiry date for the underlying declaration. This will ensure that obligations do not continue under a</w:t>
      </w:r>
      <w:r w:rsidR="0060076A" w:rsidRPr="003F34BA">
        <w:t xml:space="preserve"> </w:t>
      </w:r>
      <w:r w:rsidRPr="003F34BA">
        <w:t>determination</w:t>
      </w:r>
      <w:r w:rsidR="00817382" w:rsidRPr="003F34BA">
        <w:t xml:space="preserve"> for which there is no underlying declaration</w:t>
      </w:r>
      <w:r w:rsidRPr="003F34BA">
        <w:t xml:space="preserve">. </w:t>
      </w:r>
      <w:r w:rsidRPr="003F34BA">
        <w:rPr>
          <w:b/>
          <w:i/>
          <w:sz w:val="18"/>
        </w:rPr>
        <w:t>[Schedule 1, item</w:t>
      </w:r>
      <w:r w:rsidR="00FA0D7B" w:rsidRPr="003F34BA">
        <w:rPr>
          <w:b/>
          <w:i/>
          <w:sz w:val="18"/>
        </w:rPr>
        <w:t>s 38,</w:t>
      </w:r>
      <w:r w:rsidRPr="003F34BA">
        <w:rPr>
          <w:b/>
          <w:i/>
          <w:sz w:val="18"/>
        </w:rPr>
        <w:t xml:space="preserve"> 4</w:t>
      </w:r>
      <w:r w:rsidR="002A5D13" w:rsidRPr="003F34BA">
        <w:rPr>
          <w:b/>
          <w:i/>
          <w:sz w:val="18"/>
        </w:rPr>
        <w:t xml:space="preserve">4 </w:t>
      </w:r>
      <w:r w:rsidRPr="003F34BA">
        <w:rPr>
          <w:b/>
          <w:i/>
          <w:sz w:val="18"/>
        </w:rPr>
        <w:t>and 4</w:t>
      </w:r>
      <w:r w:rsidR="002A5D13" w:rsidRPr="003F34BA">
        <w:rPr>
          <w:b/>
          <w:i/>
          <w:sz w:val="18"/>
        </w:rPr>
        <w:t>7</w:t>
      </w:r>
      <w:r w:rsidR="00EF448B" w:rsidRPr="003F34BA">
        <w:rPr>
          <w:b/>
          <w:i/>
          <w:sz w:val="18"/>
        </w:rPr>
        <w:t>,</w:t>
      </w:r>
      <w:r w:rsidRPr="003F34BA">
        <w:rPr>
          <w:b/>
          <w:i/>
          <w:sz w:val="18"/>
        </w:rPr>
        <w:t xml:space="preserve"> subsection</w:t>
      </w:r>
      <w:r w:rsidR="009A6733" w:rsidRPr="003F34BA">
        <w:rPr>
          <w:b/>
          <w:i/>
          <w:sz w:val="18"/>
        </w:rPr>
        <w:t>s</w:t>
      </w:r>
      <w:r w:rsidRPr="003F34BA">
        <w:rPr>
          <w:b/>
          <w:i/>
          <w:sz w:val="18"/>
        </w:rPr>
        <w:t xml:space="preserve"> </w:t>
      </w:r>
      <w:r w:rsidR="00FA0D7B" w:rsidRPr="003F34BA">
        <w:rPr>
          <w:b/>
          <w:i/>
          <w:sz w:val="18"/>
        </w:rPr>
        <w:t>44</w:t>
      </w:r>
      <w:proofErr w:type="gramStart"/>
      <w:r w:rsidR="00FA0D7B" w:rsidRPr="003F34BA">
        <w:rPr>
          <w:b/>
          <w:i/>
          <w:sz w:val="18"/>
        </w:rPr>
        <w:t>V(</w:t>
      </w:r>
      <w:proofErr w:type="gramEnd"/>
      <w:r w:rsidR="00FA0D7B" w:rsidRPr="003F34BA">
        <w:rPr>
          <w:b/>
          <w:i/>
          <w:sz w:val="18"/>
        </w:rPr>
        <w:t xml:space="preserve">1), </w:t>
      </w:r>
      <w:r w:rsidRPr="003F34BA">
        <w:rPr>
          <w:b/>
          <w:i/>
          <w:sz w:val="18"/>
        </w:rPr>
        <w:t>44ZP(6) and section 44ZU of the Competition and Consumer Act]</w:t>
      </w:r>
    </w:p>
    <w:p w14:paraId="09442CEC" w14:textId="41042C6E" w:rsidR="00DF1553" w:rsidRPr="003F34BA" w:rsidRDefault="00DF1553" w:rsidP="00DF1553">
      <w:pPr>
        <w:numPr>
          <w:ilvl w:val="1"/>
          <w:numId w:val="20"/>
        </w:numPr>
      </w:pPr>
      <w:r w:rsidRPr="003F34BA">
        <w:t xml:space="preserve">When the expiry date is reached, the final determination will </w:t>
      </w:r>
      <w:r w:rsidR="00AA7463" w:rsidRPr="003F34BA">
        <w:t xml:space="preserve">expire </w:t>
      </w:r>
      <w:r w:rsidRPr="003F34BA">
        <w:t>with immediate effect and will no longer be enforceable.</w:t>
      </w:r>
      <w:r w:rsidR="002A5D13" w:rsidRPr="003F34BA">
        <w:t xml:space="preserve"> T</w:t>
      </w:r>
      <w:r w:rsidRPr="003F34BA">
        <w:t>he introduction of an expiry date is not intended to affect the enforcement of a final determination in relation to the period it was in force. Rather, it</w:t>
      </w:r>
      <w:r w:rsidR="007F5AC2" w:rsidRPr="003F34BA">
        <w:t xml:space="preserve"> </w:t>
      </w:r>
      <w:r w:rsidR="00A154FB" w:rsidRPr="003F34BA">
        <w:t xml:space="preserve">is intended to </w:t>
      </w:r>
      <w:r w:rsidR="007F5AC2" w:rsidRPr="003F34BA">
        <w:t xml:space="preserve">ensure </w:t>
      </w:r>
      <w:r w:rsidR="00A154FB" w:rsidRPr="003F34BA">
        <w:t xml:space="preserve">that </w:t>
      </w:r>
      <w:r w:rsidR="007F5AC2" w:rsidRPr="003F34BA">
        <w:t>a final</w:t>
      </w:r>
      <w:r w:rsidRPr="003F34BA">
        <w:t xml:space="preserve"> determination</w:t>
      </w:r>
      <w:r w:rsidR="007F5AC2" w:rsidRPr="003F34BA">
        <w:t xml:space="preserve"> does </w:t>
      </w:r>
      <w:r w:rsidR="00C50FE9" w:rsidRPr="003F34BA">
        <w:t xml:space="preserve">not </w:t>
      </w:r>
      <w:r w:rsidRPr="003F34BA">
        <w:t>bind the parties</w:t>
      </w:r>
      <w:r w:rsidR="00A06FAD" w:rsidRPr="003F34BA">
        <w:t xml:space="preserve"> when the underlying declaration is no longer in force, and the relevant </w:t>
      </w:r>
      <w:r w:rsidR="003F49E0" w:rsidRPr="003F34BA">
        <w:t xml:space="preserve">infrastructure service </w:t>
      </w:r>
      <w:r w:rsidR="00A06FAD" w:rsidRPr="003F34BA">
        <w:t xml:space="preserve">is no longer subject to the National Access Regime. </w:t>
      </w:r>
      <w:r w:rsidRPr="003F34BA">
        <w:t xml:space="preserve"> </w:t>
      </w:r>
    </w:p>
    <w:p w14:paraId="177BFCE1" w14:textId="69774966" w:rsidR="00DF1553" w:rsidRPr="003F34BA" w:rsidRDefault="003B6ECD" w:rsidP="00DF1553">
      <w:pPr>
        <w:numPr>
          <w:ilvl w:val="1"/>
          <w:numId w:val="20"/>
        </w:numPr>
      </w:pPr>
      <w:r w:rsidRPr="003F34BA">
        <w:t>T</w:t>
      </w:r>
      <w:r w:rsidR="00DF1553" w:rsidRPr="003F34BA">
        <w:t xml:space="preserve">he ACCC </w:t>
      </w:r>
      <w:r w:rsidRPr="003F34BA">
        <w:t xml:space="preserve">will be required </w:t>
      </w:r>
      <w:r w:rsidR="00DF1553" w:rsidRPr="003F34BA">
        <w:t xml:space="preserve">to include the expiry date of each determination in its public register for transparency. </w:t>
      </w:r>
      <w:r w:rsidR="00DF1553" w:rsidRPr="003F34BA">
        <w:rPr>
          <w:b/>
          <w:i/>
          <w:sz w:val="18"/>
        </w:rPr>
        <w:t xml:space="preserve">[Schedule 1, item </w:t>
      </w:r>
      <w:r w:rsidR="002A5D13" w:rsidRPr="003F34BA">
        <w:rPr>
          <w:b/>
          <w:i/>
          <w:sz w:val="18"/>
        </w:rPr>
        <w:t>50</w:t>
      </w:r>
      <w:r w:rsidR="00EF448B" w:rsidRPr="003F34BA">
        <w:rPr>
          <w:b/>
          <w:i/>
          <w:sz w:val="18"/>
        </w:rPr>
        <w:t>,</w:t>
      </w:r>
      <w:r w:rsidR="00DF1553" w:rsidRPr="003F34BA">
        <w:rPr>
          <w:b/>
          <w:i/>
          <w:sz w:val="18"/>
        </w:rPr>
        <w:t xml:space="preserve"> subsection 44ZZL of the Competition and Consumer Act]</w:t>
      </w:r>
    </w:p>
    <w:bookmarkEnd w:id="34"/>
    <w:p w14:paraId="5F677649" w14:textId="46D047E7" w:rsidR="004B11D5" w:rsidRPr="003F34BA" w:rsidRDefault="004B11D5" w:rsidP="004B11D5">
      <w:pPr>
        <w:pStyle w:val="Heading4"/>
      </w:pPr>
      <w:r w:rsidRPr="003F34BA">
        <w:lastRenderedPageBreak/>
        <w:t>Duration of determinations</w:t>
      </w:r>
    </w:p>
    <w:p w14:paraId="0A7F9481" w14:textId="4D80E13E" w:rsidR="007E0651" w:rsidRPr="003F34BA" w:rsidRDefault="004B11D5" w:rsidP="00FF0509">
      <w:pPr>
        <w:pStyle w:val="base-text-paragraph"/>
      </w:pPr>
      <w:bookmarkStart w:id="35" w:name="_Hlk87902336"/>
      <w:r w:rsidRPr="003F34BA">
        <w:t>Under the proposed amendments, a final determination will remain in force until its expiry date, unless it is revoked earlier</w:t>
      </w:r>
      <w:r w:rsidR="00165D78" w:rsidRPr="003F34BA">
        <w:t xml:space="preserve"> due to the revocation of the underlying declaration</w:t>
      </w:r>
      <w:r w:rsidRPr="003F34BA">
        <w:t xml:space="preserve">. </w:t>
      </w:r>
      <w:r w:rsidR="00BE74E4" w:rsidRPr="003F34BA">
        <w:rPr>
          <w:b/>
          <w:i/>
          <w:sz w:val="18"/>
        </w:rPr>
        <w:t>[Schedule 1, item</w:t>
      </w:r>
      <w:r w:rsidR="00806551" w:rsidRPr="003F34BA">
        <w:rPr>
          <w:b/>
          <w:i/>
          <w:sz w:val="18"/>
        </w:rPr>
        <w:t>s</w:t>
      </w:r>
      <w:r w:rsidR="00BE74E4" w:rsidRPr="003F34BA">
        <w:rPr>
          <w:b/>
          <w:i/>
          <w:sz w:val="18"/>
        </w:rPr>
        <w:t xml:space="preserve"> 4</w:t>
      </w:r>
      <w:r w:rsidR="004047BE" w:rsidRPr="003F34BA">
        <w:rPr>
          <w:b/>
          <w:i/>
          <w:sz w:val="18"/>
        </w:rPr>
        <w:t>2</w:t>
      </w:r>
      <w:r w:rsidR="00806551" w:rsidRPr="003F34BA">
        <w:rPr>
          <w:b/>
          <w:i/>
          <w:sz w:val="18"/>
        </w:rPr>
        <w:t xml:space="preserve"> and 48</w:t>
      </w:r>
      <w:r w:rsidR="00A50E81" w:rsidRPr="003F34BA">
        <w:rPr>
          <w:b/>
          <w:i/>
          <w:sz w:val="18"/>
        </w:rPr>
        <w:t>,</w:t>
      </w:r>
      <w:r w:rsidR="00BE74E4" w:rsidRPr="003F34BA">
        <w:rPr>
          <w:b/>
          <w:i/>
          <w:sz w:val="18"/>
        </w:rPr>
        <w:t xml:space="preserve"> s</w:t>
      </w:r>
      <w:r w:rsidR="004047BE" w:rsidRPr="003F34BA">
        <w:rPr>
          <w:b/>
          <w:i/>
          <w:sz w:val="18"/>
        </w:rPr>
        <w:t>ubs</w:t>
      </w:r>
      <w:r w:rsidR="00BE74E4" w:rsidRPr="003F34BA">
        <w:rPr>
          <w:b/>
          <w:i/>
          <w:sz w:val="18"/>
        </w:rPr>
        <w:t>ection 44</w:t>
      </w:r>
      <w:proofErr w:type="gramStart"/>
      <w:r w:rsidR="00BE74E4" w:rsidRPr="003F34BA">
        <w:rPr>
          <w:b/>
          <w:i/>
          <w:sz w:val="18"/>
        </w:rPr>
        <w:t>Z</w:t>
      </w:r>
      <w:r w:rsidR="004047BE" w:rsidRPr="003F34BA">
        <w:rPr>
          <w:b/>
          <w:i/>
          <w:sz w:val="18"/>
        </w:rPr>
        <w:t>O(</w:t>
      </w:r>
      <w:proofErr w:type="gramEnd"/>
      <w:r w:rsidR="004047BE" w:rsidRPr="003F34BA">
        <w:rPr>
          <w:b/>
          <w:i/>
          <w:sz w:val="18"/>
        </w:rPr>
        <w:t>2)</w:t>
      </w:r>
      <w:r w:rsidR="00BE74E4" w:rsidRPr="003F34BA">
        <w:rPr>
          <w:b/>
          <w:i/>
          <w:sz w:val="18"/>
        </w:rPr>
        <w:t xml:space="preserve"> </w:t>
      </w:r>
      <w:r w:rsidR="00806551" w:rsidRPr="003F34BA">
        <w:rPr>
          <w:b/>
          <w:i/>
          <w:sz w:val="18"/>
        </w:rPr>
        <w:t>and section 44ZU</w:t>
      </w:r>
      <w:r w:rsidR="00742CB7" w:rsidRPr="003F34BA">
        <w:rPr>
          <w:b/>
          <w:i/>
          <w:sz w:val="18"/>
        </w:rPr>
        <w:t>AA</w:t>
      </w:r>
      <w:r w:rsidR="00806551" w:rsidRPr="003F34BA">
        <w:rPr>
          <w:b/>
          <w:i/>
          <w:sz w:val="18"/>
        </w:rPr>
        <w:t xml:space="preserve"> </w:t>
      </w:r>
      <w:r w:rsidR="00BE74E4" w:rsidRPr="003F34BA">
        <w:rPr>
          <w:b/>
          <w:i/>
          <w:sz w:val="18"/>
        </w:rPr>
        <w:t>of the Competition and Consumer Act]</w:t>
      </w:r>
    </w:p>
    <w:p w14:paraId="1F31C642" w14:textId="20C6B1C8" w:rsidR="004B11D5" w:rsidRPr="003F34BA" w:rsidRDefault="007E0651" w:rsidP="00410D18">
      <w:pPr>
        <w:pStyle w:val="base-text-paragraph"/>
      </w:pPr>
      <w:r w:rsidRPr="003F34BA">
        <w:t>Should an underl</w:t>
      </w:r>
      <w:r w:rsidR="00364855" w:rsidRPr="003F34BA">
        <w:t>y</w:t>
      </w:r>
      <w:r w:rsidRPr="003F34BA">
        <w:t>ing declaration be revoked, a</w:t>
      </w:r>
      <w:r w:rsidR="00114E1B" w:rsidRPr="003F34BA">
        <w:t xml:space="preserve"> final </w:t>
      </w:r>
      <w:r w:rsidR="004B11D5" w:rsidRPr="003F34BA">
        <w:t>determination will be</w:t>
      </w:r>
      <w:r w:rsidRPr="003F34BA">
        <w:t xml:space="preserve"> taken to be</w:t>
      </w:r>
      <w:r w:rsidR="004B11D5" w:rsidRPr="003F34BA">
        <w:t xml:space="preserve"> revoked 6 months after </w:t>
      </w:r>
      <w:r w:rsidRPr="003F34BA">
        <w:t>the</w:t>
      </w:r>
      <w:r w:rsidR="004B11D5" w:rsidRPr="003F34BA">
        <w:t xml:space="preserve"> declaration is revoked. This creates a transitional period for the relevant parties to organise their affairs and agree alternative arrangements. If the expiry date of the</w:t>
      </w:r>
      <w:r w:rsidRPr="003F34BA">
        <w:t xml:space="preserve"> final</w:t>
      </w:r>
      <w:r w:rsidR="004B11D5" w:rsidRPr="003F34BA">
        <w:t xml:space="preserve"> </w:t>
      </w:r>
      <w:r w:rsidRPr="003F34BA">
        <w:t xml:space="preserve">determination </w:t>
      </w:r>
      <w:r w:rsidR="004B11D5" w:rsidRPr="003F34BA">
        <w:t xml:space="preserve">is within the </w:t>
      </w:r>
      <w:proofErr w:type="gramStart"/>
      <w:r w:rsidR="004B11D5" w:rsidRPr="003F34BA">
        <w:t>6 month</w:t>
      </w:r>
      <w:proofErr w:type="gramEnd"/>
      <w:r w:rsidR="004B11D5" w:rsidRPr="003F34BA">
        <w:t xml:space="preserve"> transitional period, the determination</w:t>
      </w:r>
      <w:r w:rsidR="00114E1B" w:rsidRPr="003F34BA">
        <w:t xml:space="preserve"> is taken to be revoked on t</w:t>
      </w:r>
      <w:r w:rsidR="00871927" w:rsidRPr="003F34BA">
        <w:t>he</w:t>
      </w:r>
      <w:r w:rsidR="00114E1B" w:rsidRPr="003F34BA">
        <w:t xml:space="preserve"> </w:t>
      </w:r>
      <w:r w:rsidR="00600BEE" w:rsidRPr="003F34BA">
        <w:t xml:space="preserve">expiry </w:t>
      </w:r>
      <w:r w:rsidR="004B11D5" w:rsidRPr="003F34BA">
        <w:t xml:space="preserve">date. This reflects the fact that parties will be aware of the expiry of the </w:t>
      </w:r>
      <w:r w:rsidR="00852539" w:rsidRPr="003F34BA">
        <w:t xml:space="preserve">final </w:t>
      </w:r>
      <w:r w:rsidRPr="003F34BA">
        <w:t>determination</w:t>
      </w:r>
      <w:r w:rsidR="004B11D5" w:rsidRPr="003F34BA">
        <w:t xml:space="preserve"> and will have sufficient time organise their affairs. </w:t>
      </w:r>
      <w:r w:rsidR="004B11D5" w:rsidRPr="003F34BA">
        <w:rPr>
          <w:rStyle w:val="Referencingstyle"/>
        </w:rPr>
        <w:t>[Schedule 1, item 4</w:t>
      </w:r>
      <w:r w:rsidR="002A5D13" w:rsidRPr="003F34BA">
        <w:rPr>
          <w:rStyle w:val="Referencingstyle"/>
        </w:rPr>
        <w:t>8</w:t>
      </w:r>
      <w:r w:rsidR="00EF448B" w:rsidRPr="003F34BA">
        <w:rPr>
          <w:rStyle w:val="Referencingstyle"/>
        </w:rPr>
        <w:t>,</w:t>
      </w:r>
      <w:r w:rsidR="004B11D5" w:rsidRPr="003F34BA">
        <w:rPr>
          <w:rStyle w:val="Referencingstyle"/>
        </w:rPr>
        <w:t xml:space="preserve"> section 44ZU of the Competition and Consumer Act]</w:t>
      </w:r>
      <w:r w:rsidR="004B11D5" w:rsidRPr="003F34BA">
        <w:t xml:space="preserve"> </w:t>
      </w:r>
    </w:p>
    <w:p w14:paraId="538F8F7E" w14:textId="0C7A0748" w:rsidR="004B11D5" w:rsidRPr="003F34BA" w:rsidRDefault="004B11D5" w:rsidP="004B11D5">
      <w:pPr>
        <w:pStyle w:val="base-text-paragraph"/>
      </w:pPr>
      <w:r w:rsidRPr="003F34BA">
        <w:t xml:space="preserve">In addition to final determinations, the existing law allows an interim determination </w:t>
      </w:r>
      <w:r w:rsidR="00B35BDD" w:rsidRPr="003F34BA">
        <w:t xml:space="preserve">to be made </w:t>
      </w:r>
      <w:r w:rsidRPr="003F34BA">
        <w:t xml:space="preserve">during arbitration proceedings to ensure that a </w:t>
      </w:r>
      <w:proofErr w:type="gramStart"/>
      <w:r w:rsidRPr="003F34BA">
        <w:t>third party</w:t>
      </w:r>
      <w:proofErr w:type="gramEnd"/>
      <w:r w:rsidRPr="003F34BA">
        <w:t xml:space="preserve"> access seeker can obtain access to the service whilst the arbitration process is conducted. The proposed amendments will ensure that an interim determination </w:t>
      </w:r>
      <w:r w:rsidR="002133F0" w:rsidRPr="003F34BA">
        <w:t xml:space="preserve">expires if the underlying declaration </w:t>
      </w:r>
      <w:proofErr w:type="gramStart"/>
      <w:r w:rsidR="00600BEE" w:rsidRPr="003F34BA">
        <w:t>expires</w:t>
      </w:r>
      <w:r w:rsidR="009910E9" w:rsidRPr="003F34BA">
        <w:t>,</w:t>
      </w:r>
      <w:r w:rsidR="00600BEE" w:rsidRPr="003F34BA">
        <w:t xml:space="preserve"> and</w:t>
      </w:r>
      <w:proofErr w:type="gramEnd"/>
      <w:r w:rsidR="002133F0" w:rsidRPr="003F34BA">
        <w:t xml:space="preserve"> </w:t>
      </w:r>
      <w:r w:rsidRPr="003F34BA">
        <w:t>is revoked on the da</w:t>
      </w:r>
      <w:r w:rsidR="00BA4352" w:rsidRPr="003F34BA">
        <w:t>y</w:t>
      </w:r>
      <w:r w:rsidRPr="003F34BA">
        <w:t xml:space="preserve"> the underlying declaration is revoked</w:t>
      </w:r>
      <w:r w:rsidR="002133F0" w:rsidRPr="003F34BA">
        <w:t>.</w:t>
      </w:r>
      <w:r w:rsidRPr="003F34BA">
        <w:t xml:space="preserve"> </w:t>
      </w:r>
      <w:r w:rsidRPr="003F34BA">
        <w:rPr>
          <w:rStyle w:val="Referencingstyle"/>
        </w:rPr>
        <w:t>[Schedule 1, item</w:t>
      </w:r>
      <w:r w:rsidR="00D707F4" w:rsidRPr="003F34BA">
        <w:rPr>
          <w:rStyle w:val="Referencingstyle"/>
        </w:rPr>
        <w:t>s</w:t>
      </w:r>
      <w:r w:rsidRPr="003F34BA">
        <w:rPr>
          <w:rStyle w:val="Referencingstyle"/>
        </w:rPr>
        <w:t xml:space="preserve"> </w:t>
      </w:r>
      <w:r w:rsidR="0056516D" w:rsidRPr="003F34BA">
        <w:rPr>
          <w:rStyle w:val="Referencingstyle"/>
        </w:rPr>
        <w:t xml:space="preserve">43 and </w:t>
      </w:r>
      <w:r w:rsidRPr="003F34BA">
        <w:rPr>
          <w:rStyle w:val="Referencingstyle"/>
        </w:rPr>
        <w:t>4</w:t>
      </w:r>
      <w:r w:rsidR="002A5D13" w:rsidRPr="003F34BA">
        <w:rPr>
          <w:rStyle w:val="Referencingstyle"/>
        </w:rPr>
        <w:t>9</w:t>
      </w:r>
      <w:r w:rsidR="00EF448B" w:rsidRPr="003F34BA">
        <w:rPr>
          <w:rStyle w:val="Referencingstyle"/>
        </w:rPr>
        <w:t>,</w:t>
      </w:r>
      <w:r w:rsidRPr="003F34BA">
        <w:rPr>
          <w:rStyle w:val="Referencingstyle"/>
        </w:rPr>
        <w:t xml:space="preserve"> s</w:t>
      </w:r>
      <w:r w:rsidR="00D707F4" w:rsidRPr="003F34BA">
        <w:rPr>
          <w:rStyle w:val="Referencingstyle"/>
        </w:rPr>
        <w:t>ubs</w:t>
      </w:r>
      <w:r w:rsidRPr="003F34BA">
        <w:rPr>
          <w:rStyle w:val="Referencingstyle"/>
        </w:rPr>
        <w:t>ection</w:t>
      </w:r>
      <w:r w:rsidR="00D707F4" w:rsidRPr="003F34BA">
        <w:rPr>
          <w:rStyle w:val="Referencingstyle"/>
        </w:rPr>
        <w:t xml:space="preserve"> </w:t>
      </w:r>
      <w:r w:rsidR="00165E80" w:rsidRPr="003F34BA">
        <w:rPr>
          <w:rStyle w:val="Referencingstyle"/>
        </w:rPr>
        <w:t>44</w:t>
      </w:r>
      <w:proofErr w:type="gramStart"/>
      <w:r w:rsidR="00165E80" w:rsidRPr="003F34BA">
        <w:rPr>
          <w:rStyle w:val="Referencingstyle"/>
        </w:rPr>
        <w:t>ZOA(</w:t>
      </w:r>
      <w:proofErr w:type="gramEnd"/>
      <w:r w:rsidR="00165E80" w:rsidRPr="003F34BA">
        <w:rPr>
          <w:rStyle w:val="Referencingstyle"/>
        </w:rPr>
        <w:t xml:space="preserve">2) and </w:t>
      </w:r>
      <w:r w:rsidR="00D707F4" w:rsidRPr="003F34BA">
        <w:rPr>
          <w:rStyle w:val="Referencingstyle"/>
        </w:rPr>
        <w:t xml:space="preserve">section </w:t>
      </w:r>
      <w:r w:rsidRPr="003F34BA">
        <w:rPr>
          <w:rStyle w:val="Referencingstyle"/>
        </w:rPr>
        <w:t>44ZUA of the Competition and Consumer Act]</w:t>
      </w:r>
    </w:p>
    <w:bookmarkEnd w:id="35"/>
    <w:p w14:paraId="71B2076A" w14:textId="77777777" w:rsidR="00F9439E" w:rsidRPr="003F34BA" w:rsidRDefault="00F9439E" w:rsidP="00F9439E">
      <w:pPr>
        <w:keepNext/>
        <w:spacing w:before="480" w:after="200"/>
        <w:outlineLvl w:val="1"/>
        <w:rPr>
          <w:rFonts w:ascii="Helvetica" w:hAnsi="Helvetica"/>
          <w:b/>
          <w:sz w:val="26"/>
        </w:rPr>
      </w:pPr>
      <w:r w:rsidRPr="003F34BA">
        <w:rPr>
          <w:rFonts w:ascii="Helvetica" w:hAnsi="Helvetica"/>
          <w:b/>
          <w:sz w:val="26"/>
        </w:rPr>
        <w:t>Consequential amendments</w:t>
      </w:r>
    </w:p>
    <w:p w14:paraId="55D353A2" w14:textId="77777777" w:rsidR="00F9439E" w:rsidRPr="003F34BA" w:rsidRDefault="00F9439E" w:rsidP="00F9439E">
      <w:pPr>
        <w:numPr>
          <w:ilvl w:val="1"/>
          <w:numId w:val="20"/>
        </w:numPr>
        <w:rPr>
          <w:b/>
          <w:i/>
          <w:sz w:val="18"/>
        </w:rPr>
      </w:pPr>
      <w:r w:rsidRPr="003F34BA">
        <w:rPr>
          <w:bCs/>
          <w:iCs/>
          <w:szCs w:val="22"/>
        </w:rPr>
        <w:t xml:space="preserve">The Bill will make consequential amendments to the Competition and Consumer Act necessary to: </w:t>
      </w:r>
    </w:p>
    <w:p w14:paraId="273C5DDF" w14:textId="40B57412" w:rsidR="00F9439E" w:rsidRPr="003F34BA" w:rsidRDefault="00F9439E" w:rsidP="00F9439E">
      <w:pPr>
        <w:numPr>
          <w:ilvl w:val="0"/>
          <w:numId w:val="6"/>
        </w:numPr>
        <w:rPr>
          <w:b/>
          <w:i/>
          <w:sz w:val="18"/>
        </w:rPr>
      </w:pPr>
      <w:r w:rsidRPr="003F34BA">
        <w:rPr>
          <w:bCs/>
          <w:iCs/>
          <w:szCs w:val="22"/>
        </w:rPr>
        <w:t xml:space="preserve">remove </w:t>
      </w:r>
      <w:r w:rsidR="004640FF" w:rsidRPr="003F34BA">
        <w:rPr>
          <w:bCs/>
          <w:iCs/>
          <w:szCs w:val="22"/>
        </w:rPr>
        <w:t>merits review for</w:t>
      </w:r>
      <w:r w:rsidRPr="003F34BA">
        <w:rPr>
          <w:bCs/>
          <w:iCs/>
          <w:szCs w:val="22"/>
        </w:rPr>
        <w:t xml:space="preserve"> declaration</w:t>
      </w:r>
      <w:r w:rsidR="007E0651" w:rsidRPr="003F34BA">
        <w:rPr>
          <w:bCs/>
          <w:iCs/>
          <w:szCs w:val="22"/>
        </w:rPr>
        <w:t xml:space="preserve"> decisions</w:t>
      </w:r>
      <w:r w:rsidRPr="003F34BA">
        <w:rPr>
          <w:bCs/>
          <w:iCs/>
          <w:szCs w:val="22"/>
        </w:rPr>
        <w:t>, including by repealing redundant provisions and removing references to provisions that will be repealed;</w:t>
      </w:r>
      <w:r w:rsidRPr="003F34BA">
        <w:rPr>
          <w:b/>
          <w:i/>
          <w:sz w:val="18"/>
        </w:rPr>
        <w:t xml:space="preserve"> [Schedule 1, items 1 to 19, heading of Division 6B of Part IIIA, sections 44KA, 44KB, 44YA and 44ZZCBA, subsections 44I(1), 44I(2), 44V(1), 44W(4A</w:t>
      </w:r>
      <w:r w:rsidR="007834D3" w:rsidRPr="003F34BA">
        <w:rPr>
          <w:b/>
          <w:i/>
          <w:sz w:val="18"/>
        </w:rPr>
        <w:t>),</w:t>
      </w:r>
      <w:r w:rsidRPr="003F34BA">
        <w:rPr>
          <w:b/>
          <w:i/>
          <w:sz w:val="18"/>
        </w:rPr>
        <w:t xml:space="preserve"> </w:t>
      </w:r>
      <w:r w:rsidR="007834D3" w:rsidRPr="003F34BA">
        <w:rPr>
          <w:b/>
          <w:i/>
          <w:sz w:val="18"/>
        </w:rPr>
        <w:t xml:space="preserve">444ZZOAAA(2), table item 4 of subsection </w:t>
      </w:r>
      <w:r w:rsidRPr="003F34BA">
        <w:rPr>
          <w:b/>
          <w:i/>
          <w:sz w:val="18"/>
        </w:rPr>
        <w:t xml:space="preserve">44XA(2), </w:t>
      </w:r>
      <w:r w:rsidR="00C7035E" w:rsidRPr="003F34BA">
        <w:rPr>
          <w:b/>
          <w:i/>
          <w:sz w:val="18"/>
        </w:rPr>
        <w:t xml:space="preserve">column 1 of </w:t>
      </w:r>
      <w:r w:rsidRPr="003F34BA">
        <w:rPr>
          <w:b/>
          <w:i/>
          <w:sz w:val="18"/>
        </w:rPr>
        <w:t>table item 3 of subsection 444ZZOA(3), paragraphs 44ZZOAAA(3)(a), 44ZZOA(5)(c), 44ZZOA(9)(b) and paragraph (a) of the definition of decision maker in subsection 44ZZOAA(9), subparagraphs 44ZZOAAA(6)(a)(ii), 44ZZOAA(a)(iii), 44ZZOAA(a)(iv), and 44ZZOAA(b)(ii) of the Competition and Consumer Act]</w:t>
      </w:r>
    </w:p>
    <w:p w14:paraId="51E9FCB1" w14:textId="503D7752" w:rsidR="00F9439E" w:rsidRPr="003F34BA" w:rsidRDefault="00F9439E" w:rsidP="00F9439E">
      <w:pPr>
        <w:numPr>
          <w:ilvl w:val="0"/>
          <w:numId w:val="6"/>
        </w:numPr>
        <w:rPr>
          <w:b/>
          <w:i/>
          <w:sz w:val="18"/>
        </w:rPr>
      </w:pPr>
      <w:r w:rsidRPr="003F34BA">
        <w:rPr>
          <w:bCs/>
          <w:iCs/>
          <w:szCs w:val="22"/>
        </w:rPr>
        <w:t>limit repeat declaration and revocation processes, including by updating provision references, notes</w:t>
      </w:r>
      <w:r w:rsidR="009D45A5" w:rsidRPr="003F34BA">
        <w:rPr>
          <w:bCs/>
          <w:iCs/>
          <w:szCs w:val="22"/>
        </w:rPr>
        <w:t>,</w:t>
      </w:r>
      <w:r w:rsidRPr="003F34BA">
        <w:rPr>
          <w:bCs/>
          <w:iCs/>
          <w:szCs w:val="22"/>
        </w:rPr>
        <w:t xml:space="preserve"> and headings</w:t>
      </w:r>
      <w:r w:rsidR="0092390D" w:rsidRPr="003F34BA">
        <w:rPr>
          <w:bCs/>
          <w:iCs/>
          <w:szCs w:val="22"/>
        </w:rPr>
        <w:t>,</w:t>
      </w:r>
      <w:r w:rsidRPr="003F34BA">
        <w:rPr>
          <w:bCs/>
          <w:iCs/>
          <w:szCs w:val="22"/>
        </w:rPr>
        <w:t xml:space="preserve"> and </w:t>
      </w:r>
      <w:r w:rsidRPr="003F34BA">
        <w:rPr>
          <w:b/>
          <w:i/>
          <w:sz w:val="18"/>
        </w:rPr>
        <w:t>[Schedule 1, items 2</w:t>
      </w:r>
      <w:r w:rsidR="00E124FA" w:rsidRPr="003F34BA">
        <w:rPr>
          <w:b/>
          <w:i/>
          <w:sz w:val="18"/>
        </w:rPr>
        <w:t>2</w:t>
      </w:r>
      <w:r w:rsidRPr="003F34BA">
        <w:rPr>
          <w:b/>
          <w:i/>
          <w:sz w:val="18"/>
        </w:rPr>
        <w:t>, 2</w:t>
      </w:r>
      <w:r w:rsidR="00E124FA" w:rsidRPr="003F34BA">
        <w:rPr>
          <w:b/>
          <w:i/>
          <w:sz w:val="18"/>
        </w:rPr>
        <w:t>4</w:t>
      </w:r>
      <w:r w:rsidRPr="003F34BA">
        <w:rPr>
          <w:b/>
          <w:i/>
          <w:sz w:val="18"/>
        </w:rPr>
        <w:t>, 2</w:t>
      </w:r>
      <w:r w:rsidR="00E124FA" w:rsidRPr="003F34BA">
        <w:rPr>
          <w:b/>
          <w:i/>
          <w:sz w:val="18"/>
        </w:rPr>
        <w:t>6</w:t>
      </w:r>
      <w:r w:rsidRPr="003F34BA">
        <w:rPr>
          <w:b/>
          <w:i/>
          <w:sz w:val="18"/>
        </w:rPr>
        <w:t xml:space="preserve"> -2</w:t>
      </w:r>
      <w:r w:rsidR="00E124FA" w:rsidRPr="003F34BA">
        <w:rPr>
          <w:b/>
          <w:i/>
          <w:sz w:val="18"/>
        </w:rPr>
        <w:t>9</w:t>
      </w:r>
      <w:r w:rsidRPr="003F34BA">
        <w:rPr>
          <w:b/>
          <w:i/>
          <w:sz w:val="18"/>
        </w:rPr>
        <w:t xml:space="preserve"> and 3</w:t>
      </w:r>
      <w:r w:rsidR="00E124FA" w:rsidRPr="003F34BA">
        <w:rPr>
          <w:b/>
          <w:i/>
          <w:sz w:val="18"/>
        </w:rPr>
        <w:t>2</w:t>
      </w:r>
      <w:r w:rsidRPr="003F34BA">
        <w:rPr>
          <w:b/>
          <w:i/>
          <w:sz w:val="18"/>
        </w:rPr>
        <w:t>-3</w:t>
      </w:r>
      <w:r w:rsidR="00E124FA" w:rsidRPr="003F34BA">
        <w:rPr>
          <w:b/>
          <w:i/>
          <w:sz w:val="18"/>
        </w:rPr>
        <w:t>3</w:t>
      </w:r>
      <w:r w:rsidR="00EF448B" w:rsidRPr="003F34BA">
        <w:rPr>
          <w:b/>
          <w:i/>
          <w:sz w:val="18"/>
        </w:rPr>
        <w:t>,</w:t>
      </w:r>
      <w:r w:rsidRPr="003F34BA">
        <w:rPr>
          <w:b/>
          <w:i/>
          <w:sz w:val="18"/>
        </w:rPr>
        <w:t xml:space="preserve"> note to subsection 44</w:t>
      </w:r>
      <w:proofErr w:type="gramStart"/>
      <w:r w:rsidRPr="003F34BA">
        <w:rPr>
          <w:b/>
          <w:i/>
          <w:sz w:val="18"/>
        </w:rPr>
        <w:t>F(</w:t>
      </w:r>
      <w:proofErr w:type="gramEnd"/>
      <w:r w:rsidRPr="003F34BA">
        <w:rPr>
          <w:b/>
          <w:i/>
          <w:sz w:val="18"/>
        </w:rPr>
        <w:t>1), subsections 44F(1), 44F(1A), 44F(2), 44F(5),</w:t>
      </w:r>
      <w:r w:rsidRPr="003F34BA">
        <w:t xml:space="preserve"> </w:t>
      </w:r>
      <w:r w:rsidRPr="003F34BA">
        <w:rPr>
          <w:b/>
          <w:i/>
          <w:sz w:val="18"/>
        </w:rPr>
        <w:t xml:space="preserve">44J(1), 44J(6) and 44J(7) of </w:t>
      </w:r>
      <w:r w:rsidR="00E2337A" w:rsidRPr="003F34BA">
        <w:rPr>
          <w:b/>
          <w:i/>
          <w:sz w:val="18"/>
        </w:rPr>
        <w:t xml:space="preserve">the </w:t>
      </w:r>
      <w:r w:rsidRPr="003F34BA">
        <w:rPr>
          <w:b/>
          <w:i/>
          <w:sz w:val="18"/>
        </w:rPr>
        <w:t>Competition and Consumer Act]</w:t>
      </w:r>
    </w:p>
    <w:p w14:paraId="188FF37C" w14:textId="6CBD2ED8" w:rsidR="00F9439E" w:rsidRPr="003F34BA" w:rsidRDefault="00F9439E" w:rsidP="00F9439E">
      <w:pPr>
        <w:numPr>
          <w:ilvl w:val="0"/>
          <w:numId w:val="6"/>
        </w:numPr>
        <w:rPr>
          <w:bCs/>
          <w:iCs/>
          <w:szCs w:val="22"/>
        </w:rPr>
      </w:pPr>
      <w:r w:rsidRPr="003F34BA">
        <w:rPr>
          <w:bCs/>
          <w:iCs/>
          <w:szCs w:val="22"/>
        </w:rPr>
        <w:t xml:space="preserve">implement reforms to arbitration proceedings and determinations, including by updating notes and headings. </w:t>
      </w:r>
      <w:r w:rsidRPr="003F34BA">
        <w:rPr>
          <w:b/>
          <w:i/>
          <w:sz w:val="18"/>
        </w:rPr>
        <w:t>[Schedule 1, items 3</w:t>
      </w:r>
      <w:r w:rsidR="008909EA" w:rsidRPr="003F34BA">
        <w:rPr>
          <w:b/>
          <w:i/>
          <w:sz w:val="18"/>
        </w:rPr>
        <w:t>5</w:t>
      </w:r>
      <w:r w:rsidRPr="003F34BA">
        <w:rPr>
          <w:b/>
          <w:i/>
          <w:sz w:val="18"/>
        </w:rPr>
        <w:t>, 3</w:t>
      </w:r>
      <w:r w:rsidR="008909EA" w:rsidRPr="003F34BA">
        <w:rPr>
          <w:b/>
          <w:i/>
          <w:sz w:val="18"/>
        </w:rPr>
        <w:t>7</w:t>
      </w:r>
      <w:r w:rsidR="00D86B0F" w:rsidRPr="003F34BA">
        <w:rPr>
          <w:b/>
          <w:i/>
          <w:sz w:val="18"/>
        </w:rPr>
        <w:t xml:space="preserve"> and</w:t>
      </w:r>
      <w:r w:rsidRPr="003F34BA">
        <w:rPr>
          <w:b/>
          <w:i/>
          <w:sz w:val="18"/>
        </w:rPr>
        <w:t xml:space="preserve"> 4</w:t>
      </w:r>
      <w:r w:rsidR="008909EA" w:rsidRPr="003F34BA">
        <w:rPr>
          <w:b/>
          <w:i/>
          <w:sz w:val="18"/>
        </w:rPr>
        <w:t>1</w:t>
      </w:r>
      <w:r w:rsidR="00EF448B" w:rsidRPr="003F34BA">
        <w:rPr>
          <w:b/>
          <w:i/>
          <w:sz w:val="18"/>
        </w:rPr>
        <w:t>,</w:t>
      </w:r>
      <w:r w:rsidRPr="003F34BA">
        <w:rPr>
          <w:b/>
          <w:i/>
          <w:sz w:val="18"/>
        </w:rPr>
        <w:t xml:space="preserve"> subsection</w:t>
      </w:r>
      <w:r w:rsidR="000A026E" w:rsidRPr="003F34BA">
        <w:rPr>
          <w:b/>
          <w:i/>
          <w:sz w:val="18"/>
        </w:rPr>
        <w:t>s</w:t>
      </w:r>
      <w:r w:rsidRPr="003F34BA">
        <w:rPr>
          <w:b/>
          <w:i/>
          <w:sz w:val="18"/>
        </w:rPr>
        <w:t xml:space="preserve"> 44</w:t>
      </w:r>
      <w:proofErr w:type="gramStart"/>
      <w:r w:rsidRPr="003F34BA">
        <w:rPr>
          <w:b/>
          <w:i/>
          <w:sz w:val="18"/>
        </w:rPr>
        <w:t>I(</w:t>
      </w:r>
      <w:proofErr w:type="gramEnd"/>
      <w:r w:rsidRPr="003F34BA">
        <w:rPr>
          <w:b/>
          <w:i/>
          <w:sz w:val="18"/>
        </w:rPr>
        <w:t xml:space="preserve">3), 44V(1) and heading </w:t>
      </w:r>
      <w:r w:rsidRPr="003F34BA">
        <w:rPr>
          <w:b/>
          <w:i/>
          <w:sz w:val="18"/>
        </w:rPr>
        <w:lastRenderedPageBreak/>
        <w:t>to Subdivision E of Division 3 of Part IIIA</w:t>
      </w:r>
      <w:r w:rsidRPr="003F34BA">
        <w:t xml:space="preserve"> </w:t>
      </w:r>
      <w:r w:rsidRPr="003F34BA">
        <w:rPr>
          <w:b/>
          <w:i/>
          <w:sz w:val="18"/>
        </w:rPr>
        <w:t xml:space="preserve">of </w:t>
      </w:r>
      <w:r w:rsidR="00E2337A" w:rsidRPr="003F34BA">
        <w:rPr>
          <w:b/>
          <w:i/>
          <w:sz w:val="18"/>
        </w:rPr>
        <w:t xml:space="preserve">the </w:t>
      </w:r>
      <w:r w:rsidRPr="003F34BA">
        <w:rPr>
          <w:b/>
          <w:i/>
          <w:sz w:val="18"/>
        </w:rPr>
        <w:t>Competition and Consumer Act]</w:t>
      </w:r>
    </w:p>
    <w:p w14:paraId="0D6F67DD" w14:textId="77777777" w:rsidR="00543F28" w:rsidRPr="003F34BA" w:rsidRDefault="00543F28" w:rsidP="00543F28">
      <w:pPr>
        <w:keepNext/>
        <w:spacing w:before="480" w:after="200"/>
        <w:outlineLvl w:val="1"/>
        <w:rPr>
          <w:rFonts w:ascii="Helvetica" w:hAnsi="Helvetica"/>
          <w:b/>
          <w:sz w:val="26"/>
        </w:rPr>
      </w:pPr>
      <w:r w:rsidRPr="003F34BA">
        <w:rPr>
          <w:rFonts w:ascii="Helvetica" w:hAnsi="Helvetica"/>
          <w:b/>
          <w:sz w:val="26"/>
        </w:rPr>
        <w:t>Application and transitional provisions</w:t>
      </w:r>
    </w:p>
    <w:p w14:paraId="5BDDAE9A" w14:textId="356BC097" w:rsidR="00986BAD" w:rsidRPr="003F34BA" w:rsidRDefault="00986BAD" w:rsidP="000A149D">
      <w:pPr>
        <w:pStyle w:val="base-text-paragraph"/>
        <w:numPr>
          <w:ilvl w:val="1"/>
          <w:numId w:val="29"/>
        </w:numPr>
        <w:ind w:left="709"/>
        <w:rPr>
          <w:b/>
          <w:bCs/>
          <w:i/>
          <w:iCs/>
        </w:rPr>
      </w:pPr>
      <w:r w:rsidRPr="003F34BA">
        <w:t xml:space="preserve">The Bill will commence on the day after Royal Assent. </w:t>
      </w:r>
      <w:r w:rsidRPr="003F34BA">
        <w:rPr>
          <w:b/>
          <w:i/>
          <w:sz w:val="18"/>
          <w:szCs w:val="18"/>
        </w:rPr>
        <w:t>[</w:t>
      </w:r>
      <w:r w:rsidR="00FC378F" w:rsidRPr="003F34BA">
        <w:rPr>
          <w:b/>
          <w:i/>
          <w:sz w:val="18"/>
          <w:szCs w:val="18"/>
        </w:rPr>
        <w:t>S</w:t>
      </w:r>
      <w:r w:rsidR="00D72826" w:rsidRPr="003F34BA">
        <w:rPr>
          <w:b/>
          <w:i/>
          <w:sz w:val="18"/>
          <w:szCs w:val="18"/>
        </w:rPr>
        <w:t xml:space="preserve">ection </w:t>
      </w:r>
      <w:r w:rsidR="00972D3A" w:rsidRPr="003F34BA">
        <w:rPr>
          <w:b/>
          <w:i/>
          <w:sz w:val="18"/>
          <w:szCs w:val="18"/>
        </w:rPr>
        <w:t>2</w:t>
      </w:r>
      <w:r w:rsidR="00D72826" w:rsidRPr="003F34BA">
        <w:rPr>
          <w:b/>
          <w:i/>
          <w:sz w:val="18"/>
          <w:szCs w:val="18"/>
        </w:rPr>
        <w:t>]</w:t>
      </w:r>
      <w:r w:rsidRPr="003F34BA">
        <w:rPr>
          <w:b/>
          <w:i/>
          <w:sz w:val="18"/>
          <w:szCs w:val="18"/>
        </w:rPr>
        <w:t xml:space="preserve"> </w:t>
      </w:r>
    </w:p>
    <w:p w14:paraId="05F03832" w14:textId="04C02F27" w:rsidR="00543F28" w:rsidRPr="003F34BA" w:rsidRDefault="00543F28" w:rsidP="00043202">
      <w:pPr>
        <w:pStyle w:val="base-text-paragraph"/>
        <w:numPr>
          <w:ilvl w:val="0"/>
          <w:numId w:val="0"/>
        </w:numPr>
        <w:ind w:left="1134"/>
        <w:outlineLvl w:val="1"/>
        <w:rPr>
          <w:b/>
          <w:bCs/>
          <w:i/>
          <w:iCs/>
        </w:rPr>
      </w:pPr>
      <w:r w:rsidRPr="003F34BA">
        <w:rPr>
          <w:b/>
          <w:bCs/>
          <w:i/>
          <w:iCs/>
        </w:rPr>
        <w:t>Removal of merits review</w:t>
      </w:r>
    </w:p>
    <w:p w14:paraId="6BA87E66" w14:textId="58FF537E" w:rsidR="00543F28" w:rsidRPr="003F34BA" w:rsidRDefault="00543F28" w:rsidP="00543F28">
      <w:pPr>
        <w:numPr>
          <w:ilvl w:val="1"/>
          <w:numId w:val="20"/>
        </w:numPr>
      </w:pPr>
      <w:r w:rsidRPr="003F34BA">
        <w:t xml:space="preserve">The proposed amendments </w:t>
      </w:r>
      <w:r w:rsidR="004640FF" w:rsidRPr="003F34BA">
        <w:t xml:space="preserve">to </w:t>
      </w:r>
      <w:r w:rsidR="00CA3B91" w:rsidRPr="003F34BA">
        <w:t>re</w:t>
      </w:r>
      <w:r w:rsidR="003E1EEA" w:rsidRPr="003F34BA">
        <w:t>move merits review for</w:t>
      </w:r>
      <w:r w:rsidR="00057064" w:rsidRPr="003F34BA">
        <w:t xml:space="preserve"> </w:t>
      </w:r>
      <w:r w:rsidRPr="003F34BA">
        <w:t>decision</w:t>
      </w:r>
      <w:r w:rsidR="003E1EEA" w:rsidRPr="003F34BA">
        <w:t>s</w:t>
      </w:r>
      <w:r w:rsidRPr="003F34BA">
        <w:t xml:space="preserve"> made by the designated Minister to declare, or not declare a service will apply if:</w:t>
      </w:r>
    </w:p>
    <w:p w14:paraId="3A05FDA6" w14:textId="066D627E" w:rsidR="00543F28" w:rsidRPr="003F34BA" w:rsidRDefault="00543F28" w:rsidP="00543F28">
      <w:pPr>
        <w:numPr>
          <w:ilvl w:val="0"/>
          <w:numId w:val="6"/>
        </w:numPr>
      </w:pPr>
      <w:r w:rsidRPr="003F34BA">
        <w:t>a person applies to the Council to recommend the service be declared</w:t>
      </w:r>
      <w:r w:rsidR="00A17BFA" w:rsidRPr="003F34BA">
        <w:t xml:space="preserve"> under section 44F, thereby initiating the declaration process,</w:t>
      </w:r>
      <w:r w:rsidRPr="003F34BA">
        <w:t xml:space="preserve"> on or after the commencement of Part</w:t>
      </w:r>
      <w:r w:rsidR="00214A8F" w:rsidRPr="003F34BA">
        <w:t> </w:t>
      </w:r>
      <w:r w:rsidRPr="003F34BA">
        <w:t>1</w:t>
      </w:r>
      <w:r w:rsidR="00214A8F" w:rsidRPr="003F34BA">
        <w:t> </w:t>
      </w:r>
      <w:r w:rsidRPr="003F34BA">
        <w:t>of</w:t>
      </w:r>
      <w:r w:rsidR="00214A8F" w:rsidRPr="003F34BA">
        <w:t> </w:t>
      </w:r>
      <w:r w:rsidRPr="003F34BA">
        <w:t>Schedule</w:t>
      </w:r>
      <w:r w:rsidR="00214A8F" w:rsidRPr="003F34BA">
        <w:t> </w:t>
      </w:r>
      <w:r w:rsidRPr="003F34BA">
        <w:t xml:space="preserve">1 </w:t>
      </w:r>
      <w:r w:rsidR="007F096D" w:rsidRPr="003F34BA">
        <w:t>to</w:t>
      </w:r>
      <w:r w:rsidRPr="003F34BA">
        <w:t xml:space="preserve"> the Bill, and</w:t>
      </w:r>
    </w:p>
    <w:p w14:paraId="12E0A70B" w14:textId="1BB66606" w:rsidR="00543F28" w:rsidRPr="003F34BA" w:rsidRDefault="00543F28" w:rsidP="00FB13B6">
      <w:pPr>
        <w:numPr>
          <w:ilvl w:val="0"/>
          <w:numId w:val="6"/>
        </w:numPr>
      </w:pPr>
      <w:r w:rsidRPr="003F34BA">
        <w:t>the designated Minister makes the decision to declare, or not declare the service in relation to that recommendation under section 44H on or after commencement of Part</w:t>
      </w:r>
      <w:r w:rsidR="00214A8F" w:rsidRPr="003F34BA">
        <w:t> </w:t>
      </w:r>
      <w:r w:rsidRPr="003F34BA">
        <w:t>1</w:t>
      </w:r>
      <w:r w:rsidR="00214A8F" w:rsidRPr="003F34BA">
        <w:t> </w:t>
      </w:r>
      <w:r w:rsidRPr="003F34BA">
        <w:t>of</w:t>
      </w:r>
      <w:r w:rsidR="00214A8F" w:rsidRPr="003F34BA">
        <w:t> </w:t>
      </w:r>
      <w:r w:rsidRPr="003F34BA">
        <w:t>Schedule</w:t>
      </w:r>
      <w:r w:rsidR="00214A8F" w:rsidRPr="003F34BA">
        <w:t> </w:t>
      </w:r>
      <w:r w:rsidRPr="003F34BA">
        <w:t xml:space="preserve">1 </w:t>
      </w:r>
      <w:r w:rsidR="007F096D" w:rsidRPr="003F34BA">
        <w:t>to</w:t>
      </w:r>
      <w:r w:rsidRPr="003F34BA">
        <w:t xml:space="preserve"> the Bill.</w:t>
      </w:r>
      <w:r w:rsidR="00FB13B6" w:rsidRPr="003F34BA">
        <w:t xml:space="preserve"> </w:t>
      </w:r>
      <w:r w:rsidRPr="003F34BA">
        <w:rPr>
          <w:b/>
          <w:i/>
          <w:sz w:val="18"/>
        </w:rPr>
        <w:t>[Schedule 1, item 20]</w:t>
      </w:r>
    </w:p>
    <w:p w14:paraId="4F750D63" w14:textId="71FB2A72" w:rsidR="00543F28" w:rsidRPr="003F34BA" w:rsidRDefault="00EF1095" w:rsidP="00543F28">
      <w:pPr>
        <w:numPr>
          <w:ilvl w:val="1"/>
          <w:numId w:val="20"/>
        </w:numPr>
      </w:pPr>
      <w:r w:rsidRPr="003F34BA">
        <w:t>In effect, t</w:t>
      </w:r>
      <w:r w:rsidR="00D07638" w:rsidRPr="003F34BA">
        <w:t>he Tribunal</w:t>
      </w:r>
      <w:r w:rsidR="00022B1A" w:rsidRPr="003F34BA">
        <w:t xml:space="preserve"> will</w:t>
      </w:r>
      <w:r w:rsidR="00D07638" w:rsidRPr="003F34BA">
        <w:t xml:space="preserve"> not be able to review </w:t>
      </w:r>
      <w:r w:rsidR="00A568E0" w:rsidRPr="003F34BA">
        <w:t xml:space="preserve">the merits of </w:t>
      </w:r>
      <w:r w:rsidR="00D07638" w:rsidRPr="003F34BA">
        <w:t>a decision</w:t>
      </w:r>
      <w:r w:rsidR="0026358F" w:rsidRPr="003F34BA">
        <w:t xml:space="preserve"> </w:t>
      </w:r>
      <w:r w:rsidR="00D07638" w:rsidRPr="003F34BA">
        <w:t xml:space="preserve">to declare or not </w:t>
      </w:r>
      <w:r w:rsidRPr="003F34BA">
        <w:t xml:space="preserve">to </w:t>
      </w:r>
      <w:r w:rsidR="00D07638" w:rsidRPr="003F34BA">
        <w:t xml:space="preserve">declare a </w:t>
      </w:r>
      <w:r w:rsidR="004504D7" w:rsidRPr="003F34BA">
        <w:t>service</w:t>
      </w:r>
      <w:r w:rsidR="00D07638" w:rsidRPr="003F34BA">
        <w:t xml:space="preserve"> </w:t>
      </w:r>
      <w:r w:rsidR="0026533F" w:rsidRPr="003F34BA">
        <w:t xml:space="preserve">made </w:t>
      </w:r>
      <w:r w:rsidR="0026358F" w:rsidRPr="003F34BA">
        <w:t xml:space="preserve">on or </w:t>
      </w:r>
      <w:r w:rsidR="00057064" w:rsidRPr="003F34BA">
        <w:t>after</w:t>
      </w:r>
      <w:r w:rsidR="00D07638" w:rsidRPr="003F34BA">
        <w:t xml:space="preserve"> the</w:t>
      </w:r>
      <w:r w:rsidR="00057064" w:rsidRPr="003F34BA">
        <w:t xml:space="preserve"> commencement </w:t>
      </w:r>
      <w:r w:rsidR="00D07638" w:rsidRPr="003F34BA">
        <w:t xml:space="preserve">of Part 1 of Schedule 1 </w:t>
      </w:r>
      <w:r w:rsidR="007F096D" w:rsidRPr="003F34BA">
        <w:t>to</w:t>
      </w:r>
      <w:r w:rsidR="00D07638" w:rsidRPr="003F34BA">
        <w:t xml:space="preserve"> the Bill</w:t>
      </w:r>
      <w:r w:rsidRPr="003F34BA">
        <w:t>,</w:t>
      </w:r>
      <w:r w:rsidR="00057064" w:rsidRPr="003F34BA">
        <w:t xml:space="preserve"> unless</w:t>
      </w:r>
      <w:r w:rsidR="0026533F" w:rsidRPr="003F34BA">
        <w:t xml:space="preserve"> the declaration process </w:t>
      </w:r>
      <w:r w:rsidR="00A17BFA" w:rsidRPr="003F34BA">
        <w:t>wa</w:t>
      </w:r>
      <w:r w:rsidR="0026533F" w:rsidRPr="003F34BA">
        <w:t>s initiated prior to commencement</w:t>
      </w:r>
      <w:r w:rsidRPr="003F34BA">
        <w:t xml:space="preserve">. </w:t>
      </w:r>
    </w:p>
    <w:p w14:paraId="588F783D" w14:textId="290D0005" w:rsidR="00543F28" w:rsidRPr="003F34BA" w:rsidRDefault="00543F28" w:rsidP="00543F28">
      <w:pPr>
        <w:numPr>
          <w:ilvl w:val="1"/>
          <w:numId w:val="20"/>
        </w:numPr>
      </w:pPr>
      <w:r w:rsidRPr="003F34BA">
        <w:t xml:space="preserve">The proposed amendments to </w:t>
      </w:r>
      <w:r w:rsidR="00852539" w:rsidRPr="003F34BA">
        <w:t>remove</w:t>
      </w:r>
      <w:r w:rsidR="003E1EEA" w:rsidRPr="003F34BA">
        <w:t xml:space="preserve"> merits </w:t>
      </w:r>
      <w:r w:rsidR="00852539" w:rsidRPr="003F34BA">
        <w:t xml:space="preserve">review </w:t>
      </w:r>
      <w:r w:rsidR="003E1EEA" w:rsidRPr="003F34BA">
        <w:t>for</w:t>
      </w:r>
      <w:r w:rsidRPr="003F34BA">
        <w:t xml:space="preserve"> decisions made by the designated Minister not to revoke a declaration will apply if:</w:t>
      </w:r>
    </w:p>
    <w:p w14:paraId="13049DDF" w14:textId="2BE5B522" w:rsidR="00543F28" w:rsidRPr="003F34BA" w:rsidRDefault="00543F28" w:rsidP="00543F28">
      <w:pPr>
        <w:numPr>
          <w:ilvl w:val="0"/>
          <w:numId w:val="6"/>
        </w:numPr>
      </w:pPr>
      <w:r w:rsidRPr="003F34BA">
        <w:t>the Council recommends that the Minister revoke the declaration under section 44J</w:t>
      </w:r>
      <w:r w:rsidR="00A17BFA" w:rsidRPr="003F34BA">
        <w:t>, thereby initiating the revocation process,</w:t>
      </w:r>
      <w:r w:rsidRPr="003F34BA">
        <w:t xml:space="preserve"> </w:t>
      </w:r>
      <w:r w:rsidR="00A17BFA" w:rsidRPr="003F34BA">
        <w:t xml:space="preserve">on or </w:t>
      </w:r>
      <w:r w:rsidRPr="003F34BA">
        <w:t>after the commencement of Part</w:t>
      </w:r>
      <w:r w:rsidR="007F096D" w:rsidRPr="003F34BA">
        <w:t> </w:t>
      </w:r>
      <w:r w:rsidRPr="003F34BA">
        <w:t>1</w:t>
      </w:r>
      <w:r w:rsidR="007F096D" w:rsidRPr="003F34BA">
        <w:t> </w:t>
      </w:r>
      <w:r w:rsidRPr="003F34BA">
        <w:t xml:space="preserve">of Schedule 1 </w:t>
      </w:r>
      <w:r w:rsidR="007F096D" w:rsidRPr="003F34BA">
        <w:t>to</w:t>
      </w:r>
      <w:r w:rsidRPr="003F34BA">
        <w:t xml:space="preserve"> the Bill, and</w:t>
      </w:r>
    </w:p>
    <w:p w14:paraId="33292218" w14:textId="2CCFEB44" w:rsidR="00543F28" w:rsidRPr="003F34BA" w:rsidRDefault="00543F28" w:rsidP="00AB0178">
      <w:pPr>
        <w:numPr>
          <w:ilvl w:val="0"/>
          <w:numId w:val="6"/>
        </w:numPr>
        <w:shd w:val="clear" w:color="auto" w:fill="FFFFFF" w:themeFill="background1"/>
      </w:pPr>
      <w:r w:rsidRPr="003F34BA">
        <w:t>the Minister revoke</w:t>
      </w:r>
      <w:r w:rsidR="00A24CF0" w:rsidRPr="003F34BA">
        <w:t>s</w:t>
      </w:r>
      <w:r w:rsidRPr="003F34BA">
        <w:t xml:space="preserve"> the declaration under section 44J </w:t>
      </w:r>
      <w:r w:rsidR="00A17BFA" w:rsidRPr="003F34BA">
        <w:t xml:space="preserve">on or </w:t>
      </w:r>
      <w:r w:rsidRPr="003F34BA">
        <w:t xml:space="preserve">after the commencement of Part 1 of Schedule 1 </w:t>
      </w:r>
      <w:r w:rsidR="007F096D" w:rsidRPr="003F34BA">
        <w:t>to</w:t>
      </w:r>
      <w:r w:rsidRPr="003F34BA">
        <w:t xml:space="preserve"> the Bill.</w:t>
      </w:r>
      <w:r w:rsidRPr="003F34BA">
        <w:rPr>
          <w:b/>
          <w:i/>
          <w:sz w:val="18"/>
        </w:rPr>
        <w:t xml:space="preserve"> [Schedule 1, item 20]</w:t>
      </w:r>
    </w:p>
    <w:p w14:paraId="4C0DC165" w14:textId="12FB147B" w:rsidR="00543F28" w:rsidRPr="003F34BA" w:rsidRDefault="000B7E9E" w:rsidP="00AB0178">
      <w:pPr>
        <w:numPr>
          <w:ilvl w:val="1"/>
          <w:numId w:val="20"/>
        </w:numPr>
        <w:shd w:val="clear" w:color="auto" w:fill="FFFFFF" w:themeFill="background1"/>
      </w:pPr>
      <w:r w:rsidRPr="003F34BA">
        <w:t>In effect, t</w:t>
      </w:r>
      <w:r w:rsidR="00543F28" w:rsidRPr="003F34BA">
        <w:t xml:space="preserve">he Tribunal </w:t>
      </w:r>
      <w:r w:rsidR="00022B1A" w:rsidRPr="003F34BA">
        <w:t>will</w:t>
      </w:r>
      <w:r w:rsidR="0005368B" w:rsidRPr="003F34BA">
        <w:t xml:space="preserve"> not be able to review the merits of a decision not to revoke a declaration made on or after the commencement of Part 1 of Schedule 1 </w:t>
      </w:r>
      <w:r w:rsidR="007F096D" w:rsidRPr="003F34BA">
        <w:t>to</w:t>
      </w:r>
      <w:r w:rsidR="0005368B" w:rsidRPr="003F34BA">
        <w:t xml:space="preserve"> the Bill unless the revocation process </w:t>
      </w:r>
      <w:r w:rsidR="00A17BFA" w:rsidRPr="003F34BA">
        <w:t>wa</w:t>
      </w:r>
      <w:r w:rsidR="0005368B" w:rsidRPr="003F34BA">
        <w:t xml:space="preserve">s initiated prior to commencement. </w:t>
      </w:r>
    </w:p>
    <w:p w14:paraId="0D51D50A" w14:textId="77777777" w:rsidR="006A2AD3" w:rsidRPr="003F34BA" w:rsidRDefault="006A2AD3" w:rsidP="00043202">
      <w:pPr>
        <w:pStyle w:val="base-text-paragraph"/>
        <w:numPr>
          <w:ilvl w:val="0"/>
          <w:numId w:val="0"/>
        </w:numPr>
        <w:ind w:left="1134"/>
        <w:outlineLvl w:val="1"/>
        <w:rPr>
          <w:b/>
          <w:bCs/>
          <w:i/>
          <w:iCs/>
        </w:rPr>
      </w:pPr>
      <w:r w:rsidRPr="003F34BA">
        <w:rPr>
          <w:b/>
          <w:bCs/>
          <w:i/>
          <w:iCs/>
        </w:rPr>
        <w:t>Limiting repeat declaration and revocation processes</w:t>
      </w:r>
    </w:p>
    <w:p w14:paraId="1766A50C" w14:textId="7A642D59" w:rsidR="006A2AD3" w:rsidRPr="003F34BA" w:rsidRDefault="006A2AD3" w:rsidP="006A2AD3">
      <w:pPr>
        <w:numPr>
          <w:ilvl w:val="1"/>
          <w:numId w:val="20"/>
        </w:numPr>
      </w:pPr>
      <w:r w:rsidRPr="003F34BA">
        <w:t xml:space="preserve">Proposed amendments to section 44F </w:t>
      </w:r>
      <w:r w:rsidR="001868B9" w:rsidRPr="003F34BA">
        <w:t xml:space="preserve">limiting persons from making </w:t>
      </w:r>
      <w:r w:rsidRPr="003F34BA">
        <w:t>repeat applications to the Council to recommend that a service be declared, will apply to application</w:t>
      </w:r>
      <w:r w:rsidR="006434A3" w:rsidRPr="003F34BA">
        <w:t>s</w:t>
      </w:r>
      <w:r w:rsidRPr="003F34BA">
        <w:t xml:space="preserve"> made </w:t>
      </w:r>
      <w:r w:rsidR="008E3FA8" w:rsidRPr="003F34BA">
        <w:t xml:space="preserve">on or </w:t>
      </w:r>
      <w:r w:rsidRPr="003F34BA">
        <w:t>after the commencement of Part</w:t>
      </w:r>
      <w:r w:rsidR="007F096D" w:rsidRPr="003F34BA">
        <w:t> </w:t>
      </w:r>
      <w:r w:rsidRPr="003F34BA">
        <w:t>2</w:t>
      </w:r>
      <w:r w:rsidR="007F096D" w:rsidRPr="003F34BA">
        <w:t> </w:t>
      </w:r>
      <w:r w:rsidRPr="003F34BA">
        <w:t>of</w:t>
      </w:r>
      <w:r w:rsidR="007F096D" w:rsidRPr="003F34BA">
        <w:t> </w:t>
      </w:r>
      <w:r w:rsidRPr="003F34BA">
        <w:t>Schedule 1</w:t>
      </w:r>
      <w:r w:rsidR="009F206F" w:rsidRPr="003F34BA">
        <w:t xml:space="preserve"> </w:t>
      </w:r>
      <w:r w:rsidR="007F096D" w:rsidRPr="003F34BA">
        <w:t>to</w:t>
      </w:r>
      <w:r w:rsidR="009F206F" w:rsidRPr="003F34BA">
        <w:t xml:space="preserve"> the Bill</w:t>
      </w:r>
      <w:r w:rsidRPr="003F34BA">
        <w:t xml:space="preserve">. However, for the purpose of determining </w:t>
      </w:r>
      <w:r w:rsidRPr="003F34BA">
        <w:lastRenderedPageBreak/>
        <w:t>whether</w:t>
      </w:r>
      <w:r w:rsidR="00E417B4" w:rsidRPr="003F34BA">
        <w:t xml:space="preserve"> </w:t>
      </w:r>
      <w:r w:rsidR="008632EF" w:rsidRPr="003F34BA">
        <w:t>an application made after commencement is subject to the limitations on repeat applications,</w:t>
      </w:r>
      <w:r w:rsidR="004C4BA6" w:rsidRPr="003F34BA">
        <w:t xml:space="preserve"> </w:t>
      </w:r>
      <w:r w:rsidRPr="003F34BA">
        <w:t xml:space="preserve">decisions made by the designated Minister before, on or after commencement </w:t>
      </w:r>
      <w:r w:rsidR="00127F30" w:rsidRPr="003F34BA">
        <w:t>of Part 2 of Schedule 1</w:t>
      </w:r>
      <w:r w:rsidR="005C3E1B" w:rsidRPr="003F34BA">
        <w:t xml:space="preserve"> </w:t>
      </w:r>
      <w:r w:rsidRPr="003F34BA">
        <w:t xml:space="preserve">will </w:t>
      </w:r>
      <w:r w:rsidR="001868B9" w:rsidRPr="003F34BA">
        <w:t>be relevant</w:t>
      </w:r>
      <w:r w:rsidRPr="003F34BA">
        <w:t xml:space="preserve">. </w:t>
      </w:r>
      <w:r w:rsidRPr="003F34BA">
        <w:rPr>
          <w:b/>
          <w:i/>
          <w:sz w:val="18"/>
        </w:rPr>
        <w:t>[Schedule 1, item 3</w:t>
      </w:r>
      <w:r w:rsidR="00FC7A3D" w:rsidRPr="003F34BA">
        <w:rPr>
          <w:b/>
          <w:i/>
          <w:sz w:val="18"/>
        </w:rPr>
        <w:t>4</w:t>
      </w:r>
      <w:r w:rsidRPr="003F34BA">
        <w:rPr>
          <w:b/>
          <w:i/>
          <w:sz w:val="18"/>
        </w:rPr>
        <w:t>]</w:t>
      </w:r>
    </w:p>
    <w:p w14:paraId="57D66A9D" w14:textId="7E871744" w:rsidR="006A2AD3" w:rsidRPr="003F34BA" w:rsidRDefault="006A2AD3" w:rsidP="006A2AD3">
      <w:pPr>
        <w:numPr>
          <w:ilvl w:val="1"/>
          <w:numId w:val="20"/>
        </w:numPr>
      </w:pPr>
      <w:r w:rsidRPr="003F34BA">
        <w:t xml:space="preserve">Proposed amendments to section 44J restricting the Council </w:t>
      </w:r>
      <w:r w:rsidR="00906402" w:rsidRPr="003F34BA">
        <w:t xml:space="preserve">from </w:t>
      </w:r>
      <w:r w:rsidRPr="003F34BA">
        <w:t xml:space="preserve">making repeat recommendations to the designated Minister </w:t>
      </w:r>
      <w:r w:rsidR="002A1BE4" w:rsidRPr="003F34BA">
        <w:t>to revoke a declar</w:t>
      </w:r>
      <w:r w:rsidR="00FA7AE0" w:rsidRPr="003F34BA">
        <w:t>ation</w:t>
      </w:r>
      <w:r w:rsidR="002A1BE4" w:rsidRPr="003F34BA">
        <w:t xml:space="preserve"> </w:t>
      </w:r>
      <w:r w:rsidRPr="003F34BA">
        <w:t xml:space="preserve">will apply </w:t>
      </w:r>
      <w:r w:rsidR="00FA7AE0" w:rsidRPr="003F34BA">
        <w:t xml:space="preserve">in relation </w:t>
      </w:r>
      <w:r w:rsidRPr="003F34BA">
        <w:t>to all declaration</w:t>
      </w:r>
      <w:r w:rsidR="002A1BE4" w:rsidRPr="003F34BA">
        <w:t>s</w:t>
      </w:r>
      <w:r w:rsidR="00FA7AE0" w:rsidRPr="003F34BA">
        <w:t>, regardless of whether the</w:t>
      </w:r>
      <w:r w:rsidR="00927789" w:rsidRPr="003F34BA">
        <w:t xml:space="preserve"> declaration was</w:t>
      </w:r>
      <w:r w:rsidRPr="003F34BA">
        <w:t xml:space="preserve"> made before, on or after commencement of Part</w:t>
      </w:r>
      <w:r w:rsidR="00BF2D03" w:rsidRPr="003F34BA">
        <w:t> </w:t>
      </w:r>
      <w:r w:rsidRPr="003F34BA">
        <w:t>2</w:t>
      </w:r>
      <w:r w:rsidR="00BF2D03" w:rsidRPr="003F34BA">
        <w:t> </w:t>
      </w:r>
      <w:r w:rsidRPr="003F34BA">
        <w:t>of</w:t>
      </w:r>
      <w:r w:rsidR="00BF2D03" w:rsidRPr="003F34BA">
        <w:t> </w:t>
      </w:r>
      <w:r w:rsidRPr="003F34BA">
        <w:t>Schedule</w:t>
      </w:r>
      <w:r w:rsidR="00BF2D03" w:rsidRPr="003F34BA">
        <w:t> </w:t>
      </w:r>
      <w:r w:rsidRPr="003F34BA">
        <w:t xml:space="preserve">1. This means that the new </w:t>
      </w:r>
      <w:r w:rsidR="005E619D" w:rsidRPr="003F34BA">
        <w:t xml:space="preserve">limitations </w:t>
      </w:r>
      <w:r w:rsidRPr="003F34BA">
        <w:t>will apply to a</w:t>
      </w:r>
      <w:r w:rsidR="00550D6F" w:rsidRPr="003F34BA">
        <w:t>ll</w:t>
      </w:r>
      <w:r w:rsidRPr="003F34BA">
        <w:t xml:space="preserve"> new </w:t>
      </w:r>
      <w:r w:rsidR="005E619D" w:rsidRPr="003F34BA">
        <w:t xml:space="preserve">revocation </w:t>
      </w:r>
      <w:r w:rsidRPr="003F34BA">
        <w:t>recommendation</w:t>
      </w:r>
      <w:r w:rsidR="00550D6F" w:rsidRPr="003F34BA">
        <w:t xml:space="preserve">s </w:t>
      </w:r>
      <w:r w:rsidRPr="003F34BA">
        <w:t xml:space="preserve">made by the Council after commencement. </w:t>
      </w:r>
      <w:r w:rsidRPr="003F34BA">
        <w:rPr>
          <w:b/>
          <w:i/>
          <w:sz w:val="18"/>
        </w:rPr>
        <w:t>[Schedule 1, item 3</w:t>
      </w:r>
      <w:r w:rsidR="00521CAD" w:rsidRPr="003F34BA">
        <w:rPr>
          <w:b/>
          <w:i/>
          <w:sz w:val="18"/>
        </w:rPr>
        <w:t>4</w:t>
      </w:r>
      <w:r w:rsidRPr="003F34BA">
        <w:rPr>
          <w:b/>
          <w:i/>
          <w:sz w:val="18"/>
        </w:rPr>
        <w:t>]</w:t>
      </w:r>
    </w:p>
    <w:p w14:paraId="57C4FE26" w14:textId="6ADB9FE0" w:rsidR="006A2AD3" w:rsidRPr="003F34BA" w:rsidRDefault="006A2AD3" w:rsidP="006A2AD3">
      <w:pPr>
        <w:numPr>
          <w:ilvl w:val="1"/>
          <w:numId w:val="20"/>
        </w:numPr>
      </w:pPr>
      <w:r w:rsidRPr="003F34BA">
        <w:t xml:space="preserve">The Council will only be required to publish a notice of a decision not to recommend revocation of a declaration and give a copy of the notice to the service provider and the designated Minister if the decision occurs on or after the commencement of Part 2 of Schedule 1. </w:t>
      </w:r>
      <w:r w:rsidRPr="003F34BA">
        <w:rPr>
          <w:b/>
          <w:i/>
          <w:sz w:val="18"/>
        </w:rPr>
        <w:t xml:space="preserve">[Schedule 1, item </w:t>
      </w:r>
      <w:r w:rsidR="00521CAD" w:rsidRPr="003F34BA">
        <w:rPr>
          <w:b/>
          <w:i/>
          <w:sz w:val="18"/>
        </w:rPr>
        <w:t>34</w:t>
      </w:r>
      <w:r w:rsidRPr="003F34BA">
        <w:rPr>
          <w:b/>
          <w:i/>
          <w:sz w:val="18"/>
        </w:rPr>
        <w:t>]</w:t>
      </w:r>
    </w:p>
    <w:p w14:paraId="3B56CDF9" w14:textId="77777777" w:rsidR="006A2AD3" w:rsidRPr="003F34BA" w:rsidRDefault="006A2AD3" w:rsidP="00043202">
      <w:pPr>
        <w:pStyle w:val="base-text-paragraph"/>
        <w:numPr>
          <w:ilvl w:val="0"/>
          <w:numId w:val="0"/>
        </w:numPr>
        <w:ind w:left="1134"/>
        <w:outlineLvl w:val="1"/>
        <w:rPr>
          <w:b/>
          <w:bCs/>
          <w:i/>
          <w:iCs/>
        </w:rPr>
      </w:pPr>
      <w:r w:rsidRPr="003F34BA">
        <w:rPr>
          <w:b/>
          <w:bCs/>
          <w:i/>
          <w:iCs/>
        </w:rPr>
        <w:t xml:space="preserve">Reforms to arbitration proceedings and determinations </w:t>
      </w:r>
    </w:p>
    <w:p w14:paraId="7ADECB66" w14:textId="54E7F974" w:rsidR="00C26C6D" w:rsidRPr="003F34BA" w:rsidRDefault="00C26C6D" w:rsidP="00A67DA9">
      <w:pPr>
        <w:numPr>
          <w:ilvl w:val="1"/>
          <w:numId w:val="20"/>
        </w:numPr>
      </w:pPr>
      <w:r w:rsidRPr="003F34BA">
        <w:t xml:space="preserve">The </w:t>
      </w:r>
      <w:r w:rsidR="00A67DA9" w:rsidRPr="003F34BA">
        <w:t xml:space="preserve">proposed amendments to arbitration proceedings and determinations in </w:t>
      </w:r>
      <w:r w:rsidRPr="003F34BA">
        <w:t xml:space="preserve">Part 3 of Schedule 1 </w:t>
      </w:r>
      <w:r w:rsidR="007F096D" w:rsidRPr="003F34BA">
        <w:t>to</w:t>
      </w:r>
      <w:r w:rsidR="00A67DA9" w:rsidRPr="003F34BA">
        <w:t xml:space="preserve"> the Bill </w:t>
      </w:r>
      <w:r w:rsidRPr="003F34BA">
        <w:t>will apply</w:t>
      </w:r>
      <w:r w:rsidR="00A67DA9" w:rsidRPr="003F34BA">
        <w:t xml:space="preserve"> to:</w:t>
      </w:r>
    </w:p>
    <w:p w14:paraId="502E0269" w14:textId="2B3793D7" w:rsidR="00C26C6D" w:rsidRPr="003F34BA" w:rsidRDefault="00A67DA9" w:rsidP="00A67DA9">
      <w:pPr>
        <w:numPr>
          <w:ilvl w:val="0"/>
          <w:numId w:val="6"/>
        </w:numPr>
      </w:pPr>
      <w:r w:rsidRPr="003F34BA">
        <w:t>any</w:t>
      </w:r>
      <w:r w:rsidR="00C26C6D" w:rsidRPr="003F34BA">
        <w:t xml:space="preserve"> arbitration of an access dispute</w:t>
      </w:r>
      <w:r w:rsidR="001A5A8C" w:rsidRPr="003F34BA">
        <w:t xml:space="preserve"> </w:t>
      </w:r>
      <w:r w:rsidR="00C26C6D" w:rsidRPr="003F34BA">
        <w:t xml:space="preserve">that is notified on or after the commencement of </w:t>
      </w:r>
      <w:r w:rsidRPr="003F34BA">
        <w:t xml:space="preserve">Part 3 of Schedule 1 </w:t>
      </w:r>
      <w:r w:rsidR="007F096D" w:rsidRPr="003F34BA">
        <w:t>to</w:t>
      </w:r>
      <w:r w:rsidRPr="003F34BA">
        <w:t xml:space="preserve"> the Bill</w:t>
      </w:r>
      <w:r w:rsidR="0092390D" w:rsidRPr="003F34BA">
        <w:t>,</w:t>
      </w:r>
      <w:r w:rsidR="00C26C6D" w:rsidRPr="003F34BA">
        <w:t xml:space="preserve"> and</w:t>
      </w:r>
    </w:p>
    <w:p w14:paraId="101F67D0" w14:textId="31B134EE" w:rsidR="00C26C6D" w:rsidRPr="003F34BA" w:rsidRDefault="00A67DA9" w:rsidP="00A67DA9">
      <w:pPr>
        <w:numPr>
          <w:ilvl w:val="0"/>
          <w:numId w:val="6"/>
        </w:numPr>
      </w:pPr>
      <w:r w:rsidRPr="003F34BA">
        <w:t xml:space="preserve">any </w:t>
      </w:r>
      <w:r w:rsidR="00C26C6D" w:rsidRPr="003F34BA">
        <w:t xml:space="preserve">determination that is made </w:t>
      </w:r>
      <w:r w:rsidRPr="003F34BA">
        <w:t xml:space="preserve">in an arbitration that is notified on or after commencement of </w:t>
      </w:r>
      <w:r w:rsidR="00A305CB" w:rsidRPr="003F34BA">
        <w:t xml:space="preserve">Part 3 of Schedule 1 </w:t>
      </w:r>
      <w:bookmarkStart w:id="36" w:name="_Hlk88081200"/>
      <w:r w:rsidR="007F096D" w:rsidRPr="003F34BA">
        <w:t xml:space="preserve">to </w:t>
      </w:r>
      <w:r w:rsidRPr="003F34BA">
        <w:t>the Bill</w:t>
      </w:r>
      <w:r w:rsidR="00C26C6D" w:rsidRPr="003F34BA">
        <w:t>.</w:t>
      </w:r>
      <w:r w:rsidR="00FB13B6" w:rsidRPr="003F34BA">
        <w:rPr>
          <w:rStyle w:val="Referencingstyle"/>
        </w:rPr>
        <w:t xml:space="preserve"> </w:t>
      </w:r>
      <w:bookmarkStart w:id="37" w:name="_Hlk88079622"/>
      <w:r w:rsidR="00FB13B6" w:rsidRPr="003F34BA">
        <w:rPr>
          <w:rStyle w:val="Referencingstyle"/>
        </w:rPr>
        <w:t xml:space="preserve">[Schedule </w:t>
      </w:r>
      <w:bookmarkEnd w:id="36"/>
      <w:r w:rsidR="00FB13B6" w:rsidRPr="003F34BA">
        <w:rPr>
          <w:rStyle w:val="Referencingstyle"/>
        </w:rPr>
        <w:t>1, item 51]</w:t>
      </w:r>
      <w:bookmarkEnd w:id="37"/>
    </w:p>
    <w:p w14:paraId="43A1DDDF" w14:textId="276DFBE7" w:rsidR="001F4645" w:rsidRPr="003F34BA" w:rsidRDefault="00373281" w:rsidP="00FB13B6">
      <w:pPr>
        <w:numPr>
          <w:ilvl w:val="1"/>
          <w:numId w:val="20"/>
        </w:numPr>
        <w:spacing w:before="0" w:after="160" w:line="259" w:lineRule="auto"/>
        <w:rPr>
          <w:i/>
        </w:rPr>
      </w:pPr>
      <w:r w:rsidRPr="003F34BA">
        <w:t xml:space="preserve">The reforms apply </w:t>
      </w:r>
      <w:r w:rsidR="00911AF4" w:rsidRPr="003F34BA">
        <w:t xml:space="preserve">to </w:t>
      </w:r>
      <w:r w:rsidR="00754269" w:rsidRPr="003F34BA">
        <w:t xml:space="preserve">access disputes that are </w:t>
      </w:r>
      <w:r w:rsidR="006429B9" w:rsidRPr="003F34BA">
        <w:t xml:space="preserve">notified </w:t>
      </w:r>
      <w:r w:rsidR="00754269" w:rsidRPr="003F34BA">
        <w:t xml:space="preserve">on or after commencement, </w:t>
      </w:r>
      <w:r w:rsidRPr="003F34BA">
        <w:t>and determinations</w:t>
      </w:r>
      <w:r w:rsidR="006429B9" w:rsidRPr="003F34BA">
        <w:t xml:space="preserve"> made on or after commencement</w:t>
      </w:r>
      <w:r w:rsidR="00E46572" w:rsidRPr="003F34BA">
        <w:t xml:space="preserve"> </w:t>
      </w:r>
      <w:r w:rsidR="00754269" w:rsidRPr="003F34BA">
        <w:t xml:space="preserve">in relation to such </w:t>
      </w:r>
      <w:r w:rsidR="00911AF4" w:rsidRPr="003F34BA">
        <w:t>disputes</w:t>
      </w:r>
      <w:r w:rsidRPr="003F34BA">
        <w:t xml:space="preserve">, regardless of whether the underlying declaration was made before, on or after commencement of Part 3 of Schedule 1. </w:t>
      </w:r>
      <w:r w:rsidR="003B5DAF" w:rsidRPr="003F34BA">
        <w:rPr>
          <w:rStyle w:val="Referencingstyle"/>
        </w:rPr>
        <w:t>[Schedule 1, item 51]</w:t>
      </w:r>
    </w:p>
    <w:p w14:paraId="29737C0C" w14:textId="7BFFDB05" w:rsidR="003C3249" w:rsidRPr="003F34BA" w:rsidRDefault="00124D33" w:rsidP="00FB13B6">
      <w:pPr>
        <w:numPr>
          <w:ilvl w:val="1"/>
          <w:numId w:val="20"/>
        </w:numPr>
        <w:spacing w:before="0" w:after="160" w:line="259" w:lineRule="auto"/>
        <w:rPr>
          <w:i/>
        </w:rPr>
      </w:pPr>
      <w:r w:rsidRPr="003F34BA">
        <w:t>T</w:t>
      </w:r>
      <w:r w:rsidR="00373281" w:rsidRPr="003F34BA">
        <w:t xml:space="preserve">he expiry or revocation of a declaration will only terminate </w:t>
      </w:r>
      <w:r w:rsidR="009D186A" w:rsidRPr="003F34BA">
        <w:t xml:space="preserve">the </w:t>
      </w:r>
      <w:r w:rsidR="00373281" w:rsidRPr="003F34BA">
        <w:t xml:space="preserve">arbitration </w:t>
      </w:r>
      <w:r w:rsidR="009D186A" w:rsidRPr="003F34BA">
        <w:t>of an access dispute that is</w:t>
      </w:r>
      <w:r w:rsidR="00373281" w:rsidRPr="003F34BA">
        <w:t xml:space="preserve"> notified on or after </w:t>
      </w:r>
      <w:r w:rsidR="009D186A" w:rsidRPr="003F34BA">
        <w:t>commencement and</w:t>
      </w:r>
      <w:r w:rsidR="00373281" w:rsidRPr="003F34BA">
        <w:t xml:space="preserve"> </w:t>
      </w:r>
      <w:r w:rsidR="00191C44" w:rsidRPr="003F34BA">
        <w:t>result in the revocation of</w:t>
      </w:r>
      <w:r w:rsidR="00373281" w:rsidRPr="003F34BA">
        <w:t xml:space="preserve"> determinations mad</w:t>
      </w:r>
      <w:r w:rsidR="00191C44" w:rsidRPr="003F34BA">
        <w:t xml:space="preserve">e </w:t>
      </w:r>
      <w:r w:rsidR="00833066" w:rsidRPr="003F34BA">
        <w:t xml:space="preserve">in </w:t>
      </w:r>
      <w:r w:rsidR="009D186A" w:rsidRPr="003F34BA">
        <w:t xml:space="preserve">disputes </w:t>
      </w:r>
      <w:r w:rsidR="00373281" w:rsidRPr="003F34BA">
        <w:t xml:space="preserve">that are notified on </w:t>
      </w:r>
      <w:r w:rsidR="005A6F87" w:rsidRPr="003F34BA">
        <w:t xml:space="preserve">or </w:t>
      </w:r>
      <w:r w:rsidR="00373281" w:rsidRPr="003F34BA">
        <w:t>after commencement.</w:t>
      </w:r>
      <w:r w:rsidR="00DA754C" w:rsidRPr="003F34BA">
        <w:t xml:space="preserve"> </w:t>
      </w:r>
    </w:p>
    <w:p w14:paraId="1E95C48F" w14:textId="4A6040EA" w:rsidR="007F247F" w:rsidRPr="003F34BA" w:rsidRDefault="008F2C8F" w:rsidP="003F34BA">
      <w:pPr>
        <w:numPr>
          <w:ilvl w:val="1"/>
          <w:numId w:val="20"/>
        </w:numPr>
        <w:shd w:val="clear" w:color="auto" w:fill="FFFFFF" w:themeFill="background1"/>
        <w:spacing w:before="0" w:after="160" w:line="259" w:lineRule="auto"/>
      </w:pPr>
      <w:r w:rsidRPr="003F34BA">
        <w:t xml:space="preserve">The reforms will not affect </w:t>
      </w:r>
      <w:r w:rsidR="00112F19" w:rsidRPr="003F34BA">
        <w:t>access disputes</w:t>
      </w:r>
      <w:r w:rsidR="00DA754C" w:rsidRPr="003F34BA">
        <w:t xml:space="preserve"> notified prior to commencement</w:t>
      </w:r>
      <w:r w:rsidRPr="003F34BA">
        <w:t xml:space="preserve">, or determinations made in such </w:t>
      </w:r>
      <w:r w:rsidR="00D30652" w:rsidRPr="003F34BA">
        <w:t>disputes</w:t>
      </w:r>
      <w:r w:rsidR="00DA754C" w:rsidRPr="003F34BA">
        <w:t>.</w:t>
      </w:r>
      <w:r w:rsidR="00373281" w:rsidRPr="003F34BA">
        <w:t xml:space="preserve"> </w:t>
      </w:r>
      <w:r w:rsidR="004B6B32" w:rsidRPr="003F34BA">
        <w:rPr>
          <w:rFonts w:cstheme="minorHAnsi"/>
        </w:rPr>
        <w:t xml:space="preserve">This means that where arbitration proceedings are under way, or a determination is in force when the reforms commence, they will be permitted to run their course. </w:t>
      </w:r>
      <w:r w:rsidR="00CD4938" w:rsidRPr="003F34BA">
        <w:t xml:space="preserve"> </w:t>
      </w:r>
    </w:p>
    <w:sectPr w:rsidR="007F247F" w:rsidRPr="003F34BA" w:rsidSect="00C10AAF">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7C43D" w14:textId="77777777" w:rsidR="00DA2E62" w:rsidRDefault="00DA2E62" w:rsidP="00C3452B">
      <w:pPr>
        <w:spacing w:before="0" w:after="0"/>
      </w:pPr>
      <w:r>
        <w:separator/>
      </w:r>
    </w:p>
  </w:endnote>
  <w:endnote w:type="continuationSeparator" w:id="0">
    <w:p w14:paraId="4AF821F4" w14:textId="77777777" w:rsidR="00DA2E62" w:rsidRDefault="00DA2E62" w:rsidP="00C3452B">
      <w:pPr>
        <w:spacing w:before="0" w:after="0"/>
      </w:pPr>
      <w:r>
        <w:continuationSeparator/>
      </w:r>
    </w:p>
  </w:endnote>
  <w:endnote w:type="continuationNotice" w:id="1">
    <w:p w14:paraId="7CC17994" w14:textId="77777777" w:rsidR="00DA2E62" w:rsidRDefault="00DA2E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D9EC3" w14:textId="77777777" w:rsidR="00742CB7" w:rsidRDefault="00742CB7" w:rsidP="00E65F63">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8DCD" w14:textId="77777777" w:rsidR="00742CB7" w:rsidRDefault="00742CB7" w:rsidP="00E65F63">
    <w:pPr>
      <w:pStyle w:val="leftfooter"/>
    </w:pPr>
    <w:r>
      <w:fldChar w:fldCharType="begin"/>
    </w:r>
    <w:r>
      <w:instrText xml:space="preserve"> PAGE   \* MERGEFORMAT </w:instrText>
    </w:r>
    <w:r>
      <w:fldChar w:fldCharType="separate"/>
    </w:r>
    <w:r>
      <w:rPr>
        <w:noProof/>
      </w:rPr>
      <w:t>6</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8" w:name="_Hlk26336195"/>
  <w:bookmarkStart w:id="39" w:name="_Hlk26336196"/>
  <w:bookmarkStart w:id="40" w:name="_Hlk26336199"/>
  <w:bookmarkStart w:id="41" w:name="_Hlk26336200"/>
  <w:p w14:paraId="306F75D4" w14:textId="77777777" w:rsidR="00742CB7" w:rsidRDefault="00742CB7" w:rsidP="00E65F63">
    <w:pPr>
      <w:pStyle w:val="rightfooter"/>
    </w:pPr>
    <w:r>
      <w:fldChar w:fldCharType="begin"/>
    </w:r>
    <w:r>
      <w:instrText xml:space="preserve"> PAGE   \* MERGEFORMAT </w:instrText>
    </w:r>
    <w:r>
      <w:fldChar w:fldCharType="separate"/>
    </w:r>
    <w:r>
      <w:rPr>
        <w:noProof/>
      </w:rPr>
      <w:t>11</w:t>
    </w:r>
    <w:r>
      <w:rPr>
        <w:noProof/>
      </w:rPr>
      <w:fldChar w:fldCharType="end"/>
    </w:r>
    <w:bookmarkEnd w:id="38"/>
    <w:bookmarkEnd w:id="39"/>
    <w:bookmarkEnd w:id="40"/>
    <w:bookmarkEnd w:id="41"/>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2" w:name="_Hlk26336197"/>
  <w:bookmarkStart w:id="43" w:name="_Hlk26336198"/>
  <w:p w14:paraId="31A4954E" w14:textId="77777777" w:rsidR="00742CB7" w:rsidRDefault="00742CB7" w:rsidP="00E65F63">
    <w:pPr>
      <w:pStyle w:val="rightfooter"/>
    </w:pPr>
    <w:r>
      <w:fldChar w:fldCharType="begin"/>
    </w:r>
    <w:r>
      <w:instrText xml:space="preserve"> PAGE  \* Arabic  \* MERGEFORMAT </w:instrText>
    </w:r>
    <w:r>
      <w:fldChar w:fldCharType="separate"/>
    </w:r>
    <w:r>
      <w:rPr>
        <w:noProof/>
      </w:rPr>
      <w:t>5</w:t>
    </w:r>
    <w:r>
      <w:rPr>
        <w:noProof/>
      </w:rPr>
      <w:fldChar w:fldCharType="end"/>
    </w:r>
    <w:bookmarkEnd w:id="42"/>
    <w:bookmarkEnd w:id="4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26336147"/>
  <w:bookmarkStart w:id="6" w:name="_Hlk26336148"/>
  <w:bookmarkStart w:id="7" w:name="_Hlk26336151"/>
  <w:bookmarkStart w:id="8" w:name="_Hlk26336152"/>
  <w:p w14:paraId="1F2A0488" w14:textId="77777777" w:rsidR="00742CB7" w:rsidRDefault="00742CB7" w:rsidP="00E65F63">
    <w:pPr>
      <w:pStyle w:val="rightfooter"/>
    </w:pPr>
    <w:r>
      <w:fldChar w:fldCharType="begin"/>
    </w:r>
    <w:r>
      <w:instrText xml:space="preserve"> PAGE   \* MERGEFORMAT </w:instrText>
    </w:r>
    <w:r>
      <w:fldChar w:fldCharType="separate"/>
    </w:r>
    <w:r>
      <w:rPr>
        <w:noProof/>
      </w:rPr>
      <w:t>5</w:t>
    </w:r>
    <w:r>
      <w:rPr>
        <w:noProof/>
      </w:rPr>
      <w:fldChar w:fldCharType="end"/>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2ABED" w14:textId="77777777" w:rsidR="00742CB7" w:rsidRDefault="00742CB7">
    <w:pPr>
      <w:pStyle w:val="Footer"/>
    </w:pPr>
    <w:bookmarkStart w:id="11" w:name="_Hlk26336149"/>
    <w:bookmarkStart w:id="12" w:name="_Hlk2633615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84D2E" w14:textId="77777777" w:rsidR="00742CB7" w:rsidRDefault="00742CB7" w:rsidP="00E65F63">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7" w:name="_Hlk26336159"/>
  <w:bookmarkStart w:id="18" w:name="_Hlk26336160"/>
  <w:bookmarkStart w:id="19" w:name="_Hlk26336163"/>
  <w:bookmarkStart w:id="20" w:name="_Hlk26336164"/>
  <w:p w14:paraId="6E5B9543" w14:textId="77777777" w:rsidR="00742CB7" w:rsidRDefault="00742CB7" w:rsidP="00E65F63">
    <w:pPr>
      <w:pStyle w:val="rightfooter"/>
    </w:pPr>
    <w:r>
      <w:fldChar w:fldCharType="begin"/>
    </w:r>
    <w:r>
      <w:instrText xml:space="preserve"> PAGE   \* MERGEFORMAT </w:instrText>
    </w:r>
    <w:r>
      <w:fldChar w:fldCharType="separate"/>
    </w:r>
    <w:r>
      <w:rPr>
        <w:noProof/>
      </w:rPr>
      <w:t>5</w:t>
    </w:r>
    <w:r>
      <w:rPr>
        <w:noProof/>
      </w:rPr>
      <w:fldChar w:fldCharType="end"/>
    </w:r>
    <w:bookmarkEnd w:id="17"/>
    <w:bookmarkEnd w:id="18"/>
    <w:bookmarkEnd w:id="19"/>
    <w:bookmarkEnd w:id="20"/>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88DF" w14:textId="77777777" w:rsidR="00742CB7" w:rsidRPr="00B2068E" w:rsidRDefault="00742CB7" w:rsidP="00E65F63">
    <w:pPr>
      <w:pStyle w:val="Footer"/>
    </w:pPr>
    <w:bookmarkStart w:id="21" w:name="_Hlk26336161"/>
    <w:bookmarkStart w:id="22" w:name="_Hlk26336162"/>
    <w:bookmarkEnd w:id="21"/>
    <w:bookmarkEnd w:id="22"/>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C8685" w14:textId="77777777" w:rsidR="00742CB7" w:rsidRDefault="00742CB7" w:rsidP="00E65F63">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5" w:name="_Hlk26336171"/>
  <w:bookmarkStart w:id="26" w:name="_Hlk26336172"/>
  <w:bookmarkStart w:id="27" w:name="_Hlk26336175"/>
  <w:bookmarkStart w:id="28" w:name="_Hlk26336176"/>
  <w:p w14:paraId="0AED6ABB" w14:textId="77777777" w:rsidR="00742CB7" w:rsidRDefault="00742CB7" w:rsidP="00E65F63">
    <w:pPr>
      <w:pStyle w:val="rightfooter"/>
    </w:pPr>
    <w:r>
      <w:fldChar w:fldCharType="begin"/>
    </w:r>
    <w:r>
      <w:instrText xml:space="preserve"> PAGE   \* MERGEFORMAT </w:instrText>
    </w:r>
    <w:r>
      <w:fldChar w:fldCharType="separate"/>
    </w:r>
    <w:r>
      <w:rPr>
        <w:noProof/>
      </w:rPr>
      <w:t>3</w:t>
    </w:r>
    <w:r>
      <w:rPr>
        <w:noProof/>
      </w:rPr>
      <w:fldChar w:fldCharType="end"/>
    </w:r>
    <w:bookmarkEnd w:id="25"/>
    <w:bookmarkEnd w:id="26"/>
    <w:bookmarkEnd w:id="27"/>
    <w:bookmarkEnd w:id="28"/>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9" w:name="_Hlk26336173"/>
  <w:bookmarkStart w:id="30" w:name="_Hlk26336174"/>
  <w:p w14:paraId="77892B7C" w14:textId="77777777" w:rsidR="00742CB7" w:rsidRDefault="00742CB7" w:rsidP="00E65F63">
    <w:pPr>
      <w:pStyle w:val="rightfooter"/>
    </w:pPr>
    <w:r>
      <w:fldChar w:fldCharType="begin"/>
    </w:r>
    <w:r>
      <w:instrText xml:space="preserve"> PAGE  \* Arabic  \* MERGEFORMAT </w:instrText>
    </w:r>
    <w:r>
      <w:fldChar w:fldCharType="separate"/>
    </w:r>
    <w:r>
      <w:rPr>
        <w:noProof/>
      </w:rPr>
      <w:t>1</w:t>
    </w:r>
    <w:r>
      <w:rPr>
        <w:noProof/>
      </w:rPr>
      <w:fldChar w:fldCharType="end"/>
    </w:r>
    <w:bookmarkEnd w:id="29"/>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D5416" w14:textId="77777777" w:rsidR="00DA2E62" w:rsidRDefault="00DA2E62" w:rsidP="00C3452B">
      <w:pPr>
        <w:spacing w:before="0" w:after="0"/>
      </w:pPr>
      <w:r>
        <w:separator/>
      </w:r>
    </w:p>
  </w:footnote>
  <w:footnote w:type="continuationSeparator" w:id="0">
    <w:p w14:paraId="412FF150" w14:textId="77777777" w:rsidR="00DA2E62" w:rsidRDefault="00DA2E62" w:rsidP="00C3452B">
      <w:pPr>
        <w:spacing w:before="0" w:after="0"/>
      </w:pPr>
      <w:r>
        <w:continuationSeparator/>
      </w:r>
    </w:p>
  </w:footnote>
  <w:footnote w:type="continuationNotice" w:id="1">
    <w:p w14:paraId="039BFCD6" w14:textId="77777777" w:rsidR="00DA2E62" w:rsidRDefault="00DA2E6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26336141"/>
  <w:bookmarkStart w:id="2" w:name="_Hlk26336142"/>
  <w:bookmarkStart w:id="3" w:name="_Hlk26336145"/>
  <w:bookmarkStart w:id="4" w:name="_Hlk26336146"/>
  <w:p w14:paraId="444B3D03" w14:textId="77777777" w:rsidR="00742CB7" w:rsidRDefault="00742CB7" w:rsidP="00E65F63">
    <w:pPr>
      <w:pStyle w:val="rightheader"/>
    </w:pPr>
    <w:r>
      <w:fldChar w:fldCharType="begin"/>
    </w:r>
    <w:r>
      <w:instrText xml:space="preserve"> macrobutton nomacro [Click here and enter the name of the Chapter </w:instrText>
    </w:r>
    <w:r>
      <w:fldChar w:fldCharType="end"/>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Hlk26336144" w:displacedByCustomXml="next"/>
  <w:bookmarkStart w:id="10" w:name="_Hlk26336143" w:displacedByCustomXml="next"/>
  <w:sdt>
    <w:sdtPr>
      <w:id w:val="-1403914990"/>
      <w:docPartObj>
        <w:docPartGallery w:val="Watermarks"/>
        <w:docPartUnique/>
      </w:docPartObj>
    </w:sdtPr>
    <w:sdtEndPr/>
    <w:sdtContent>
      <w:p w14:paraId="5AFBF6AA" w14:textId="77777777" w:rsidR="00742CB7" w:rsidRDefault="00DA2E62">
        <w:pPr>
          <w:pStyle w:val="Header"/>
        </w:pPr>
        <w:r>
          <w:rPr>
            <w:noProof/>
            <w:lang w:val="en-US" w:eastAsia="en-US"/>
          </w:rPr>
          <w:pict w14:anchorId="5EF53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9" w:displacedByCustomXml="prev"/>
  <w:bookmarkEnd w:id="10" w:displacedByCustomXml="prev"/>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B8E49" w14:textId="77777777" w:rsidR="00742CB7" w:rsidRDefault="00742CB7" w:rsidP="00E65F63">
    <w:pPr>
      <w:pStyle w:val="left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21242" w14:textId="77777777" w:rsidR="00742CB7" w:rsidRDefault="00742CB7" w:rsidP="00E65F63">
    <w:pPr>
      <w:pStyle w:val="rightheader"/>
    </w:pPr>
    <w:bookmarkStart w:id="13" w:name="_Hlk26336153"/>
    <w:bookmarkStart w:id="14" w:name="_Hlk26336154"/>
    <w:bookmarkStart w:id="15" w:name="_Hlk26336157"/>
    <w:bookmarkStart w:id="16" w:name="_Hlk26336158"/>
    <w:bookmarkEnd w:id="13"/>
    <w:bookmarkEnd w:id="14"/>
    <w:bookmarkEnd w:id="15"/>
    <w:bookmarkEnd w:id="16"/>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91DCC" w14:textId="77777777" w:rsidR="00742CB7" w:rsidRDefault="00742C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F3E5C" w14:textId="09ED1612" w:rsidR="00742CB7" w:rsidRPr="00422FA2" w:rsidRDefault="00742CB7" w:rsidP="00E65F63">
    <w:pPr>
      <w:pStyle w:val="lef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3256C" w14:textId="09316124" w:rsidR="00742CB7" w:rsidRDefault="00742CB7" w:rsidP="00E65F63">
    <w:pPr>
      <w:pStyle w:val="righ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1226C8"/>
    <w:lvl w:ilvl="0">
      <w:start w:val="1"/>
      <w:numFmt w:val="decimal"/>
      <w:pStyle w:val="ListNumber5"/>
      <w:lvlText w:val="%1."/>
      <w:lvlJc w:val="left"/>
      <w:pPr>
        <w:tabs>
          <w:tab w:val="num" w:pos="4895"/>
        </w:tabs>
        <w:ind w:left="4895"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B84169"/>
    <w:multiLevelType w:val="multilevel"/>
    <w:tmpl w:val="F59A9FC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25420828"/>
    <w:multiLevelType w:val="multilevel"/>
    <w:tmpl w:val="50EA8850"/>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647183"/>
    <w:multiLevelType w:val="hybridMultilevel"/>
    <w:tmpl w:val="8F20276A"/>
    <w:lvl w:ilvl="0" w:tplc="558092D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1" w15:restartNumberingAfterBreak="0">
    <w:nsid w:val="65DF6494"/>
    <w:multiLevelType w:val="multilevel"/>
    <w:tmpl w:val="A316FE50"/>
    <w:numStyleLink w:val="ChapterList"/>
  </w:abstractNum>
  <w:abstractNum w:abstractNumId="22" w15:restartNumberingAfterBreak="0">
    <w:nsid w:val="68BC5235"/>
    <w:multiLevelType w:val="multilevel"/>
    <w:tmpl w:val="51DAAF3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4"/>
  </w:num>
  <w:num w:numId="2">
    <w:abstractNumId w:val="23"/>
  </w:num>
  <w:num w:numId="3">
    <w:abstractNumId w:val="24"/>
  </w:num>
  <w:num w:numId="4">
    <w:abstractNumId w:val="21"/>
    <w:lvlOverride w:ilvl="0">
      <w:lvl w:ilvl="0">
        <w:start w:val="1"/>
        <w:numFmt w:val="decimal"/>
        <w:lvlText w:val="Chapter %1"/>
        <w:lvlJc w:val="left"/>
        <w:pPr>
          <w:tabs>
            <w:tab w:val="num" w:pos="1134"/>
          </w:tabs>
          <w:ind w:left="0" w:firstLine="0"/>
        </w:pPr>
        <w:rPr>
          <w:rFonts w:hint="default"/>
        </w:rPr>
      </w:lvl>
    </w:lvlOverride>
  </w:num>
  <w:num w:numId="5">
    <w:abstractNumId w:val="16"/>
  </w:num>
  <w:num w:numId="6">
    <w:abstractNumId w:val="17"/>
  </w:num>
  <w:num w:numId="7">
    <w:abstractNumId w:val="18"/>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561"/>
          </w:tabs>
          <w:ind w:left="710" w:firstLine="0"/>
        </w:pPr>
        <w:rPr>
          <w:rFonts w:hint="default"/>
          <w:i w:val="0"/>
          <w:iCs w:val="0"/>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0"/>
  </w:num>
  <w:num w:numId="22">
    <w:abstractNumId w:val="21"/>
    <w:lvlOverride w:ilvl="0">
      <w:lvl w:ilvl="0">
        <w:start w:val="1"/>
        <w:numFmt w:val="decimal"/>
        <w:lvlText w:val="Chapter %1"/>
        <w:lvlJc w:val="left"/>
        <w:pPr>
          <w:tabs>
            <w:tab w:val="num" w:pos="5103"/>
          </w:tabs>
          <w:ind w:left="3969"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3"/>
  </w:num>
  <w:num w:numId="24">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5"/>
  </w:num>
  <w:num w:numId="27">
    <w:abstractNumId w:val="17"/>
  </w:num>
  <w:num w:numId="28">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val="0"/>
          <w:i w:val="0"/>
          <w:iCs w:val="0"/>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561"/>
          </w:tabs>
          <w:ind w:left="710"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561"/>
          </w:tabs>
          <w:ind w:left="710"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561"/>
          </w:tabs>
          <w:ind w:left="710"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7"/>
  </w:num>
  <w:num w:numId="36">
    <w:abstractNumId w:val="17"/>
  </w:num>
  <w:num w:numId="37">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561"/>
          </w:tabs>
          <w:ind w:left="710"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561"/>
          </w:tabs>
          <w:ind w:left="710"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17"/>
  </w:num>
  <w:num w:numId="40">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561"/>
          </w:tabs>
          <w:ind w:left="710"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561"/>
          </w:tabs>
          <w:ind w:left="710"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561"/>
          </w:tabs>
          <w:ind w:left="710"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561"/>
          </w:tabs>
          <w:ind w:left="710"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A6"/>
    <w:rsid w:val="0000060E"/>
    <w:rsid w:val="00001108"/>
    <w:rsid w:val="000018F0"/>
    <w:rsid w:val="0000196B"/>
    <w:rsid w:val="00001EAE"/>
    <w:rsid w:val="000022B5"/>
    <w:rsid w:val="00002654"/>
    <w:rsid w:val="0000281D"/>
    <w:rsid w:val="00002A6B"/>
    <w:rsid w:val="00002FC0"/>
    <w:rsid w:val="00003249"/>
    <w:rsid w:val="000035A0"/>
    <w:rsid w:val="00003833"/>
    <w:rsid w:val="00003CF8"/>
    <w:rsid w:val="0000453B"/>
    <w:rsid w:val="00004970"/>
    <w:rsid w:val="00004CE8"/>
    <w:rsid w:val="000052BF"/>
    <w:rsid w:val="0000567C"/>
    <w:rsid w:val="0000783E"/>
    <w:rsid w:val="00010701"/>
    <w:rsid w:val="000112D2"/>
    <w:rsid w:val="000154E8"/>
    <w:rsid w:val="000157B2"/>
    <w:rsid w:val="000164F7"/>
    <w:rsid w:val="00016C97"/>
    <w:rsid w:val="000171EA"/>
    <w:rsid w:val="00021207"/>
    <w:rsid w:val="00022121"/>
    <w:rsid w:val="0002283E"/>
    <w:rsid w:val="00022B1A"/>
    <w:rsid w:val="00023477"/>
    <w:rsid w:val="000236A8"/>
    <w:rsid w:val="00023D3E"/>
    <w:rsid w:val="000248A5"/>
    <w:rsid w:val="00024EF3"/>
    <w:rsid w:val="00025461"/>
    <w:rsid w:val="0002612D"/>
    <w:rsid w:val="00026574"/>
    <w:rsid w:val="000323BD"/>
    <w:rsid w:val="00032813"/>
    <w:rsid w:val="00032994"/>
    <w:rsid w:val="0003357D"/>
    <w:rsid w:val="00033931"/>
    <w:rsid w:val="00033BF1"/>
    <w:rsid w:val="00034A0A"/>
    <w:rsid w:val="0003524F"/>
    <w:rsid w:val="00035A21"/>
    <w:rsid w:val="00036760"/>
    <w:rsid w:val="00036A7F"/>
    <w:rsid w:val="00036E53"/>
    <w:rsid w:val="00036F60"/>
    <w:rsid w:val="00037FA1"/>
    <w:rsid w:val="000403CC"/>
    <w:rsid w:val="0004065F"/>
    <w:rsid w:val="000406C4"/>
    <w:rsid w:val="000410D0"/>
    <w:rsid w:val="0004161C"/>
    <w:rsid w:val="000423BF"/>
    <w:rsid w:val="00043202"/>
    <w:rsid w:val="00044871"/>
    <w:rsid w:val="00045279"/>
    <w:rsid w:val="0004540F"/>
    <w:rsid w:val="00045732"/>
    <w:rsid w:val="0004596D"/>
    <w:rsid w:val="000464A2"/>
    <w:rsid w:val="00047F36"/>
    <w:rsid w:val="00050130"/>
    <w:rsid w:val="00051C8A"/>
    <w:rsid w:val="00051CB3"/>
    <w:rsid w:val="00052D05"/>
    <w:rsid w:val="00052D14"/>
    <w:rsid w:val="00052E11"/>
    <w:rsid w:val="0005368B"/>
    <w:rsid w:val="00054680"/>
    <w:rsid w:val="00054AC3"/>
    <w:rsid w:val="00055619"/>
    <w:rsid w:val="0005585C"/>
    <w:rsid w:val="000562D5"/>
    <w:rsid w:val="00057064"/>
    <w:rsid w:val="00061230"/>
    <w:rsid w:val="00062871"/>
    <w:rsid w:val="00064127"/>
    <w:rsid w:val="00064458"/>
    <w:rsid w:val="0006450F"/>
    <w:rsid w:val="00065376"/>
    <w:rsid w:val="00066AB8"/>
    <w:rsid w:val="00066C3C"/>
    <w:rsid w:val="000719E7"/>
    <w:rsid w:val="00071CEE"/>
    <w:rsid w:val="00072B35"/>
    <w:rsid w:val="00072C42"/>
    <w:rsid w:val="00072F77"/>
    <w:rsid w:val="00072FCA"/>
    <w:rsid w:val="0007340F"/>
    <w:rsid w:val="00074EBC"/>
    <w:rsid w:val="000750B2"/>
    <w:rsid w:val="000751A1"/>
    <w:rsid w:val="000752F9"/>
    <w:rsid w:val="000753EB"/>
    <w:rsid w:val="00075A3C"/>
    <w:rsid w:val="00076016"/>
    <w:rsid w:val="00076520"/>
    <w:rsid w:val="00076579"/>
    <w:rsid w:val="000765D5"/>
    <w:rsid w:val="00076614"/>
    <w:rsid w:val="000768BB"/>
    <w:rsid w:val="00076E50"/>
    <w:rsid w:val="00077C8B"/>
    <w:rsid w:val="00081F48"/>
    <w:rsid w:val="00083048"/>
    <w:rsid w:val="00083B44"/>
    <w:rsid w:val="000840F5"/>
    <w:rsid w:val="000844AD"/>
    <w:rsid w:val="000850D5"/>
    <w:rsid w:val="00085CFD"/>
    <w:rsid w:val="0008657C"/>
    <w:rsid w:val="00086D54"/>
    <w:rsid w:val="00087966"/>
    <w:rsid w:val="00087B57"/>
    <w:rsid w:val="00087B90"/>
    <w:rsid w:val="00090668"/>
    <w:rsid w:val="000907CB"/>
    <w:rsid w:val="000909C0"/>
    <w:rsid w:val="00090AE1"/>
    <w:rsid w:val="000914A0"/>
    <w:rsid w:val="000919A5"/>
    <w:rsid w:val="00091C2D"/>
    <w:rsid w:val="00091CD4"/>
    <w:rsid w:val="00092351"/>
    <w:rsid w:val="0009300A"/>
    <w:rsid w:val="00093032"/>
    <w:rsid w:val="000932DC"/>
    <w:rsid w:val="000951AB"/>
    <w:rsid w:val="00095490"/>
    <w:rsid w:val="00095522"/>
    <w:rsid w:val="00096438"/>
    <w:rsid w:val="00096C0F"/>
    <w:rsid w:val="00097182"/>
    <w:rsid w:val="000A01D5"/>
    <w:rsid w:val="000A026E"/>
    <w:rsid w:val="000A09CF"/>
    <w:rsid w:val="000A149D"/>
    <w:rsid w:val="000A1CE5"/>
    <w:rsid w:val="000A2094"/>
    <w:rsid w:val="000A2AB5"/>
    <w:rsid w:val="000A2ADE"/>
    <w:rsid w:val="000A2BE3"/>
    <w:rsid w:val="000A3961"/>
    <w:rsid w:val="000A48D9"/>
    <w:rsid w:val="000A490B"/>
    <w:rsid w:val="000A4A52"/>
    <w:rsid w:val="000A4D7E"/>
    <w:rsid w:val="000A4E9B"/>
    <w:rsid w:val="000A5F75"/>
    <w:rsid w:val="000A5FB2"/>
    <w:rsid w:val="000A6A82"/>
    <w:rsid w:val="000A7967"/>
    <w:rsid w:val="000B0613"/>
    <w:rsid w:val="000B1820"/>
    <w:rsid w:val="000B19D6"/>
    <w:rsid w:val="000B1B20"/>
    <w:rsid w:val="000B1F3E"/>
    <w:rsid w:val="000B24F1"/>
    <w:rsid w:val="000B4036"/>
    <w:rsid w:val="000B4DB0"/>
    <w:rsid w:val="000B5220"/>
    <w:rsid w:val="000B5CF3"/>
    <w:rsid w:val="000B5E1D"/>
    <w:rsid w:val="000B6020"/>
    <w:rsid w:val="000B6292"/>
    <w:rsid w:val="000B647B"/>
    <w:rsid w:val="000B723D"/>
    <w:rsid w:val="000B794C"/>
    <w:rsid w:val="000B7E9E"/>
    <w:rsid w:val="000C0101"/>
    <w:rsid w:val="000C16D6"/>
    <w:rsid w:val="000C3046"/>
    <w:rsid w:val="000C350C"/>
    <w:rsid w:val="000C38FB"/>
    <w:rsid w:val="000C462F"/>
    <w:rsid w:val="000C47A7"/>
    <w:rsid w:val="000C48B2"/>
    <w:rsid w:val="000C5EC2"/>
    <w:rsid w:val="000C7FA2"/>
    <w:rsid w:val="000D05FB"/>
    <w:rsid w:val="000D1E85"/>
    <w:rsid w:val="000D3E8C"/>
    <w:rsid w:val="000D3EC4"/>
    <w:rsid w:val="000D5526"/>
    <w:rsid w:val="000D6842"/>
    <w:rsid w:val="000D6F64"/>
    <w:rsid w:val="000E0656"/>
    <w:rsid w:val="000E208A"/>
    <w:rsid w:val="000E2FED"/>
    <w:rsid w:val="000E3AF7"/>
    <w:rsid w:val="000E41E6"/>
    <w:rsid w:val="000E47AF"/>
    <w:rsid w:val="000E60BC"/>
    <w:rsid w:val="000E6A69"/>
    <w:rsid w:val="000E6F18"/>
    <w:rsid w:val="000F0015"/>
    <w:rsid w:val="000F01D1"/>
    <w:rsid w:val="000F1F33"/>
    <w:rsid w:val="000F31D9"/>
    <w:rsid w:val="000F3981"/>
    <w:rsid w:val="000F7BAB"/>
    <w:rsid w:val="000F7C38"/>
    <w:rsid w:val="00100525"/>
    <w:rsid w:val="001006DA"/>
    <w:rsid w:val="00100FBD"/>
    <w:rsid w:val="00101982"/>
    <w:rsid w:val="00101A42"/>
    <w:rsid w:val="00102CEE"/>
    <w:rsid w:val="0010395D"/>
    <w:rsid w:val="00104DBE"/>
    <w:rsid w:val="00105E16"/>
    <w:rsid w:val="001114CE"/>
    <w:rsid w:val="00111739"/>
    <w:rsid w:val="00112205"/>
    <w:rsid w:val="0011274D"/>
    <w:rsid w:val="00112F19"/>
    <w:rsid w:val="0011366B"/>
    <w:rsid w:val="00113F1D"/>
    <w:rsid w:val="001146A3"/>
    <w:rsid w:val="001148DB"/>
    <w:rsid w:val="00114C70"/>
    <w:rsid w:val="00114DCD"/>
    <w:rsid w:val="00114E1B"/>
    <w:rsid w:val="00115473"/>
    <w:rsid w:val="0011552A"/>
    <w:rsid w:val="00117DC2"/>
    <w:rsid w:val="0012125D"/>
    <w:rsid w:val="0012175A"/>
    <w:rsid w:val="00121A29"/>
    <w:rsid w:val="001224F3"/>
    <w:rsid w:val="001225DE"/>
    <w:rsid w:val="00122671"/>
    <w:rsid w:val="00122681"/>
    <w:rsid w:val="00122725"/>
    <w:rsid w:val="001231DC"/>
    <w:rsid w:val="001236E3"/>
    <w:rsid w:val="001238A6"/>
    <w:rsid w:val="00123C44"/>
    <w:rsid w:val="00124D33"/>
    <w:rsid w:val="0012560E"/>
    <w:rsid w:val="00125A9B"/>
    <w:rsid w:val="00125FA6"/>
    <w:rsid w:val="0012670B"/>
    <w:rsid w:val="00127C75"/>
    <w:rsid w:val="00127CAD"/>
    <w:rsid w:val="00127F30"/>
    <w:rsid w:val="00130E47"/>
    <w:rsid w:val="001311A4"/>
    <w:rsid w:val="00132704"/>
    <w:rsid w:val="0013275A"/>
    <w:rsid w:val="00132AD4"/>
    <w:rsid w:val="00133339"/>
    <w:rsid w:val="00133AC5"/>
    <w:rsid w:val="00133ADD"/>
    <w:rsid w:val="00133B18"/>
    <w:rsid w:val="00134036"/>
    <w:rsid w:val="001350F1"/>
    <w:rsid w:val="00136240"/>
    <w:rsid w:val="0013704E"/>
    <w:rsid w:val="001371B7"/>
    <w:rsid w:val="001377D2"/>
    <w:rsid w:val="00137844"/>
    <w:rsid w:val="00141CD0"/>
    <w:rsid w:val="00141FE1"/>
    <w:rsid w:val="00142B56"/>
    <w:rsid w:val="00142E7A"/>
    <w:rsid w:val="00143674"/>
    <w:rsid w:val="00143D98"/>
    <w:rsid w:val="00144BD3"/>
    <w:rsid w:val="00145C08"/>
    <w:rsid w:val="00150459"/>
    <w:rsid w:val="00151448"/>
    <w:rsid w:val="001515E0"/>
    <w:rsid w:val="0015496F"/>
    <w:rsid w:val="00155066"/>
    <w:rsid w:val="00155DD3"/>
    <w:rsid w:val="00156BC2"/>
    <w:rsid w:val="00156EE9"/>
    <w:rsid w:val="00157403"/>
    <w:rsid w:val="00160A8B"/>
    <w:rsid w:val="0016129C"/>
    <w:rsid w:val="001619E4"/>
    <w:rsid w:val="00162B5D"/>
    <w:rsid w:val="0016356B"/>
    <w:rsid w:val="001649FA"/>
    <w:rsid w:val="00165309"/>
    <w:rsid w:val="00165D78"/>
    <w:rsid w:val="00165E80"/>
    <w:rsid w:val="001662A7"/>
    <w:rsid w:val="00167792"/>
    <w:rsid w:val="00167AAB"/>
    <w:rsid w:val="00167B2D"/>
    <w:rsid w:val="00170CE8"/>
    <w:rsid w:val="00170DD4"/>
    <w:rsid w:val="00171B70"/>
    <w:rsid w:val="00173D4C"/>
    <w:rsid w:val="0017415D"/>
    <w:rsid w:val="00175DBE"/>
    <w:rsid w:val="00176406"/>
    <w:rsid w:val="001767EE"/>
    <w:rsid w:val="00176A75"/>
    <w:rsid w:val="00176FEC"/>
    <w:rsid w:val="00177A5D"/>
    <w:rsid w:val="00180F08"/>
    <w:rsid w:val="00181112"/>
    <w:rsid w:val="001820A1"/>
    <w:rsid w:val="001828E3"/>
    <w:rsid w:val="001842B3"/>
    <w:rsid w:val="0018448A"/>
    <w:rsid w:val="00184A0E"/>
    <w:rsid w:val="0018547C"/>
    <w:rsid w:val="0018578F"/>
    <w:rsid w:val="00186597"/>
    <w:rsid w:val="001868B9"/>
    <w:rsid w:val="00186ADF"/>
    <w:rsid w:val="001870AE"/>
    <w:rsid w:val="00187B48"/>
    <w:rsid w:val="001902BD"/>
    <w:rsid w:val="001903C5"/>
    <w:rsid w:val="00190433"/>
    <w:rsid w:val="001909FF"/>
    <w:rsid w:val="001914AD"/>
    <w:rsid w:val="00191BB7"/>
    <w:rsid w:val="00191C44"/>
    <w:rsid w:val="00194109"/>
    <w:rsid w:val="001944E7"/>
    <w:rsid w:val="001948FF"/>
    <w:rsid w:val="00195F26"/>
    <w:rsid w:val="0019636C"/>
    <w:rsid w:val="00196D6F"/>
    <w:rsid w:val="001972CD"/>
    <w:rsid w:val="00197743"/>
    <w:rsid w:val="00197D00"/>
    <w:rsid w:val="001A079E"/>
    <w:rsid w:val="001A0B70"/>
    <w:rsid w:val="001A0E1B"/>
    <w:rsid w:val="001A22A5"/>
    <w:rsid w:val="001A22C6"/>
    <w:rsid w:val="001A26A6"/>
    <w:rsid w:val="001A2833"/>
    <w:rsid w:val="001A3B2D"/>
    <w:rsid w:val="001A5563"/>
    <w:rsid w:val="001A5A8C"/>
    <w:rsid w:val="001A63C0"/>
    <w:rsid w:val="001A66A2"/>
    <w:rsid w:val="001A7DDF"/>
    <w:rsid w:val="001A7DED"/>
    <w:rsid w:val="001B16F5"/>
    <w:rsid w:val="001B58B8"/>
    <w:rsid w:val="001B6B98"/>
    <w:rsid w:val="001B78A7"/>
    <w:rsid w:val="001C029A"/>
    <w:rsid w:val="001C18E7"/>
    <w:rsid w:val="001C25F7"/>
    <w:rsid w:val="001C2627"/>
    <w:rsid w:val="001C2876"/>
    <w:rsid w:val="001C2D59"/>
    <w:rsid w:val="001C2DAB"/>
    <w:rsid w:val="001C332A"/>
    <w:rsid w:val="001C40C1"/>
    <w:rsid w:val="001C46E1"/>
    <w:rsid w:val="001C4BED"/>
    <w:rsid w:val="001C5AE8"/>
    <w:rsid w:val="001C6903"/>
    <w:rsid w:val="001C6F69"/>
    <w:rsid w:val="001C7830"/>
    <w:rsid w:val="001D0412"/>
    <w:rsid w:val="001D1266"/>
    <w:rsid w:val="001D136A"/>
    <w:rsid w:val="001D3915"/>
    <w:rsid w:val="001D3D5E"/>
    <w:rsid w:val="001D4C21"/>
    <w:rsid w:val="001D500D"/>
    <w:rsid w:val="001D5111"/>
    <w:rsid w:val="001D5CEB"/>
    <w:rsid w:val="001D6F05"/>
    <w:rsid w:val="001D799B"/>
    <w:rsid w:val="001D7A5F"/>
    <w:rsid w:val="001E05A3"/>
    <w:rsid w:val="001E0EF3"/>
    <w:rsid w:val="001E2547"/>
    <w:rsid w:val="001E28DA"/>
    <w:rsid w:val="001E4121"/>
    <w:rsid w:val="001E5A79"/>
    <w:rsid w:val="001E692B"/>
    <w:rsid w:val="001E78C3"/>
    <w:rsid w:val="001F033C"/>
    <w:rsid w:val="001F03E5"/>
    <w:rsid w:val="001F1451"/>
    <w:rsid w:val="001F1618"/>
    <w:rsid w:val="001F1828"/>
    <w:rsid w:val="001F18CA"/>
    <w:rsid w:val="001F2296"/>
    <w:rsid w:val="001F26B4"/>
    <w:rsid w:val="001F285E"/>
    <w:rsid w:val="001F347B"/>
    <w:rsid w:val="001F40B4"/>
    <w:rsid w:val="001F4645"/>
    <w:rsid w:val="001F4C91"/>
    <w:rsid w:val="001F5D67"/>
    <w:rsid w:val="001F6808"/>
    <w:rsid w:val="001F71BC"/>
    <w:rsid w:val="001F72AC"/>
    <w:rsid w:val="001F737F"/>
    <w:rsid w:val="001F7EEA"/>
    <w:rsid w:val="0020110F"/>
    <w:rsid w:val="00201658"/>
    <w:rsid w:val="00201D2D"/>
    <w:rsid w:val="0020287E"/>
    <w:rsid w:val="002033FB"/>
    <w:rsid w:val="00204BDE"/>
    <w:rsid w:val="0020545D"/>
    <w:rsid w:val="002054AA"/>
    <w:rsid w:val="00206496"/>
    <w:rsid w:val="002065B8"/>
    <w:rsid w:val="00207D08"/>
    <w:rsid w:val="002100EA"/>
    <w:rsid w:val="00210A7B"/>
    <w:rsid w:val="00211453"/>
    <w:rsid w:val="0021187F"/>
    <w:rsid w:val="00211FE1"/>
    <w:rsid w:val="00212124"/>
    <w:rsid w:val="0021244D"/>
    <w:rsid w:val="002133F0"/>
    <w:rsid w:val="002134A4"/>
    <w:rsid w:val="00213653"/>
    <w:rsid w:val="00214449"/>
    <w:rsid w:val="00214A8F"/>
    <w:rsid w:val="00215D87"/>
    <w:rsid w:val="00216675"/>
    <w:rsid w:val="00216733"/>
    <w:rsid w:val="00216AA8"/>
    <w:rsid w:val="00216C50"/>
    <w:rsid w:val="00217A9C"/>
    <w:rsid w:val="00217EB1"/>
    <w:rsid w:val="002208E7"/>
    <w:rsid w:val="002209EE"/>
    <w:rsid w:val="00220A2E"/>
    <w:rsid w:val="00220F6F"/>
    <w:rsid w:val="00222027"/>
    <w:rsid w:val="00223DEF"/>
    <w:rsid w:val="002245E5"/>
    <w:rsid w:val="002247D5"/>
    <w:rsid w:val="00224A07"/>
    <w:rsid w:val="00226037"/>
    <w:rsid w:val="00226282"/>
    <w:rsid w:val="002264D8"/>
    <w:rsid w:val="00226530"/>
    <w:rsid w:val="00226E0F"/>
    <w:rsid w:val="00227452"/>
    <w:rsid w:val="002302DD"/>
    <w:rsid w:val="002316BA"/>
    <w:rsid w:val="0023319F"/>
    <w:rsid w:val="00233879"/>
    <w:rsid w:val="00233F73"/>
    <w:rsid w:val="00233FCC"/>
    <w:rsid w:val="002348DD"/>
    <w:rsid w:val="002349C1"/>
    <w:rsid w:val="00235258"/>
    <w:rsid w:val="002357DF"/>
    <w:rsid w:val="00235EB5"/>
    <w:rsid w:val="002377AB"/>
    <w:rsid w:val="0023798E"/>
    <w:rsid w:val="00240044"/>
    <w:rsid w:val="002402B5"/>
    <w:rsid w:val="002404EE"/>
    <w:rsid w:val="00240E9E"/>
    <w:rsid w:val="0024269B"/>
    <w:rsid w:val="002427E9"/>
    <w:rsid w:val="00242DB0"/>
    <w:rsid w:val="00244059"/>
    <w:rsid w:val="00245680"/>
    <w:rsid w:val="00245B0F"/>
    <w:rsid w:val="00245DE5"/>
    <w:rsid w:val="002462FC"/>
    <w:rsid w:val="002467C5"/>
    <w:rsid w:val="002468BC"/>
    <w:rsid w:val="00246E3C"/>
    <w:rsid w:val="00247231"/>
    <w:rsid w:val="0025054C"/>
    <w:rsid w:val="002506DF"/>
    <w:rsid w:val="00250FF0"/>
    <w:rsid w:val="002512FF"/>
    <w:rsid w:val="002514DD"/>
    <w:rsid w:val="00251D39"/>
    <w:rsid w:val="00251EBC"/>
    <w:rsid w:val="00251F82"/>
    <w:rsid w:val="002523E7"/>
    <w:rsid w:val="00252F89"/>
    <w:rsid w:val="00253A4A"/>
    <w:rsid w:val="00253DA9"/>
    <w:rsid w:val="00253EAB"/>
    <w:rsid w:val="00253F05"/>
    <w:rsid w:val="00255484"/>
    <w:rsid w:val="002558BB"/>
    <w:rsid w:val="002560C0"/>
    <w:rsid w:val="00256BF0"/>
    <w:rsid w:val="00256FAB"/>
    <w:rsid w:val="00257748"/>
    <w:rsid w:val="00257FF5"/>
    <w:rsid w:val="00260504"/>
    <w:rsid w:val="002609A8"/>
    <w:rsid w:val="00261837"/>
    <w:rsid w:val="0026206A"/>
    <w:rsid w:val="002625F4"/>
    <w:rsid w:val="00262644"/>
    <w:rsid w:val="00262678"/>
    <w:rsid w:val="002629BD"/>
    <w:rsid w:val="0026358F"/>
    <w:rsid w:val="002648B3"/>
    <w:rsid w:val="00264963"/>
    <w:rsid w:val="0026533F"/>
    <w:rsid w:val="002659B6"/>
    <w:rsid w:val="00265AB7"/>
    <w:rsid w:val="00266082"/>
    <w:rsid w:val="00266173"/>
    <w:rsid w:val="002701B7"/>
    <w:rsid w:val="002702CF"/>
    <w:rsid w:val="002702E8"/>
    <w:rsid w:val="00270976"/>
    <w:rsid w:val="00270BF2"/>
    <w:rsid w:val="002713FE"/>
    <w:rsid w:val="00271B85"/>
    <w:rsid w:val="00271D8A"/>
    <w:rsid w:val="0027218E"/>
    <w:rsid w:val="00274BB8"/>
    <w:rsid w:val="002752FB"/>
    <w:rsid w:val="00275738"/>
    <w:rsid w:val="00275887"/>
    <w:rsid w:val="00275CAB"/>
    <w:rsid w:val="00275E70"/>
    <w:rsid w:val="002774DD"/>
    <w:rsid w:val="00277762"/>
    <w:rsid w:val="00280161"/>
    <w:rsid w:val="002817E8"/>
    <w:rsid w:val="00281DA8"/>
    <w:rsid w:val="00282056"/>
    <w:rsid w:val="002822A4"/>
    <w:rsid w:val="00282AEC"/>
    <w:rsid w:val="00282D35"/>
    <w:rsid w:val="00283545"/>
    <w:rsid w:val="00284C1C"/>
    <w:rsid w:val="002858DE"/>
    <w:rsid w:val="00286327"/>
    <w:rsid w:val="00286A8B"/>
    <w:rsid w:val="00287B3F"/>
    <w:rsid w:val="00290D82"/>
    <w:rsid w:val="00291157"/>
    <w:rsid w:val="002911D7"/>
    <w:rsid w:val="00291C0F"/>
    <w:rsid w:val="002920B4"/>
    <w:rsid w:val="00292467"/>
    <w:rsid w:val="0029488E"/>
    <w:rsid w:val="00295984"/>
    <w:rsid w:val="00295D42"/>
    <w:rsid w:val="00295FDE"/>
    <w:rsid w:val="002961F4"/>
    <w:rsid w:val="00296628"/>
    <w:rsid w:val="00296B50"/>
    <w:rsid w:val="002A0980"/>
    <w:rsid w:val="002A15BA"/>
    <w:rsid w:val="002A1704"/>
    <w:rsid w:val="002A194F"/>
    <w:rsid w:val="002A1BE4"/>
    <w:rsid w:val="002A1E94"/>
    <w:rsid w:val="002A2624"/>
    <w:rsid w:val="002A2820"/>
    <w:rsid w:val="002A2F47"/>
    <w:rsid w:val="002A3D85"/>
    <w:rsid w:val="002A3F98"/>
    <w:rsid w:val="002A46DA"/>
    <w:rsid w:val="002A4ACF"/>
    <w:rsid w:val="002A53CF"/>
    <w:rsid w:val="002A574A"/>
    <w:rsid w:val="002A5C46"/>
    <w:rsid w:val="002A5D13"/>
    <w:rsid w:val="002A61DA"/>
    <w:rsid w:val="002A79EB"/>
    <w:rsid w:val="002B03A5"/>
    <w:rsid w:val="002B04CF"/>
    <w:rsid w:val="002B08FE"/>
    <w:rsid w:val="002B0A12"/>
    <w:rsid w:val="002B0DC5"/>
    <w:rsid w:val="002B15A3"/>
    <w:rsid w:val="002B1BFE"/>
    <w:rsid w:val="002B1D62"/>
    <w:rsid w:val="002B1DE6"/>
    <w:rsid w:val="002B2298"/>
    <w:rsid w:val="002B2925"/>
    <w:rsid w:val="002B2ADC"/>
    <w:rsid w:val="002B2C5C"/>
    <w:rsid w:val="002B3391"/>
    <w:rsid w:val="002B5137"/>
    <w:rsid w:val="002B599C"/>
    <w:rsid w:val="002B6023"/>
    <w:rsid w:val="002B6643"/>
    <w:rsid w:val="002B79E9"/>
    <w:rsid w:val="002B7C24"/>
    <w:rsid w:val="002B7C85"/>
    <w:rsid w:val="002B7D56"/>
    <w:rsid w:val="002B7D97"/>
    <w:rsid w:val="002C0C7B"/>
    <w:rsid w:val="002C0D3F"/>
    <w:rsid w:val="002C142B"/>
    <w:rsid w:val="002C17BD"/>
    <w:rsid w:val="002C1DDE"/>
    <w:rsid w:val="002C2A93"/>
    <w:rsid w:val="002C36B4"/>
    <w:rsid w:val="002C3A6C"/>
    <w:rsid w:val="002C40DD"/>
    <w:rsid w:val="002C4ADA"/>
    <w:rsid w:val="002C6838"/>
    <w:rsid w:val="002C7E2C"/>
    <w:rsid w:val="002D07C6"/>
    <w:rsid w:val="002D0A4E"/>
    <w:rsid w:val="002D124C"/>
    <w:rsid w:val="002D18B4"/>
    <w:rsid w:val="002D19A8"/>
    <w:rsid w:val="002D2AA8"/>
    <w:rsid w:val="002D3730"/>
    <w:rsid w:val="002D386B"/>
    <w:rsid w:val="002D3AE6"/>
    <w:rsid w:val="002D40C3"/>
    <w:rsid w:val="002D4173"/>
    <w:rsid w:val="002D4317"/>
    <w:rsid w:val="002D44BB"/>
    <w:rsid w:val="002D492A"/>
    <w:rsid w:val="002D4C92"/>
    <w:rsid w:val="002D5F5A"/>
    <w:rsid w:val="002D66FB"/>
    <w:rsid w:val="002D68C2"/>
    <w:rsid w:val="002D6D58"/>
    <w:rsid w:val="002D6D78"/>
    <w:rsid w:val="002D70C3"/>
    <w:rsid w:val="002D717D"/>
    <w:rsid w:val="002D734A"/>
    <w:rsid w:val="002E0094"/>
    <w:rsid w:val="002E1383"/>
    <w:rsid w:val="002E1FA9"/>
    <w:rsid w:val="002E2970"/>
    <w:rsid w:val="002E3E07"/>
    <w:rsid w:val="002E569A"/>
    <w:rsid w:val="002E64B2"/>
    <w:rsid w:val="002E730C"/>
    <w:rsid w:val="002E77CA"/>
    <w:rsid w:val="002E7E7E"/>
    <w:rsid w:val="002F07E3"/>
    <w:rsid w:val="002F0B0E"/>
    <w:rsid w:val="002F1288"/>
    <w:rsid w:val="002F2756"/>
    <w:rsid w:val="002F380B"/>
    <w:rsid w:val="002F38C2"/>
    <w:rsid w:val="002F45E1"/>
    <w:rsid w:val="002F4614"/>
    <w:rsid w:val="002F58EB"/>
    <w:rsid w:val="002F5A76"/>
    <w:rsid w:val="002F61F0"/>
    <w:rsid w:val="002F7BE4"/>
    <w:rsid w:val="002F7BFD"/>
    <w:rsid w:val="003022DD"/>
    <w:rsid w:val="003026E7"/>
    <w:rsid w:val="0030445A"/>
    <w:rsid w:val="003047A5"/>
    <w:rsid w:val="00304904"/>
    <w:rsid w:val="00305220"/>
    <w:rsid w:val="0030553D"/>
    <w:rsid w:val="00305623"/>
    <w:rsid w:val="0030705A"/>
    <w:rsid w:val="00307515"/>
    <w:rsid w:val="00307B4D"/>
    <w:rsid w:val="003110BA"/>
    <w:rsid w:val="003114E9"/>
    <w:rsid w:val="00312591"/>
    <w:rsid w:val="00312938"/>
    <w:rsid w:val="0031308B"/>
    <w:rsid w:val="0031331B"/>
    <w:rsid w:val="003134E3"/>
    <w:rsid w:val="00314013"/>
    <w:rsid w:val="00314178"/>
    <w:rsid w:val="00314929"/>
    <w:rsid w:val="00315BC1"/>
    <w:rsid w:val="00316412"/>
    <w:rsid w:val="003165BC"/>
    <w:rsid w:val="00316A80"/>
    <w:rsid w:val="00316EEA"/>
    <w:rsid w:val="00317019"/>
    <w:rsid w:val="00317275"/>
    <w:rsid w:val="00317E4A"/>
    <w:rsid w:val="003200BB"/>
    <w:rsid w:val="00320157"/>
    <w:rsid w:val="00320C8C"/>
    <w:rsid w:val="003212BF"/>
    <w:rsid w:val="00321739"/>
    <w:rsid w:val="00321ADA"/>
    <w:rsid w:val="00322961"/>
    <w:rsid w:val="00322A97"/>
    <w:rsid w:val="003232F7"/>
    <w:rsid w:val="00323BFF"/>
    <w:rsid w:val="00324BF9"/>
    <w:rsid w:val="00325A70"/>
    <w:rsid w:val="003268E8"/>
    <w:rsid w:val="00327F5D"/>
    <w:rsid w:val="00330000"/>
    <w:rsid w:val="00330B78"/>
    <w:rsid w:val="00331B0D"/>
    <w:rsid w:val="00332147"/>
    <w:rsid w:val="00332629"/>
    <w:rsid w:val="00332B73"/>
    <w:rsid w:val="00332EE7"/>
    <w:rsid w:val="00334253"/>
    <w:rsid w:val="0033435C"/>
    <w:rsid w:val="00334A6D"/>
    <w:rsid w:val="0033508D"/>
    <w:rsid w:val="00335539"/>
    <w:rsid w:val="00336C5F"/>
    <w:rsid w:val="00340864"/>
    <w:rsid w:val="003414FB"/>
    <w:rsid w:val="00341A56"/>
    <w:rsid w:val="00341F65"/>
    <w:rsid w:val="003423B6"/>
    <w:rsid w:val="00342A5C"/>
    <w:rsid w:val="0034325E"/>
    <w:rsid w:val="00343F06"/>
    <w:rsid w:val="003447EE"/>
    <w:rsid w:val="003449CA"/>
    <w:rsid w:val="00344D62"/>
    <w:rsid w:val="003453FE"/>
    <w:rsid w:val="00345AEB"/>
    <w:rsid w:val="00347B68"/>
    <w:rsid w:val="00347B70"/>
    <w:rsid w:val="00347BEB"/>
    <w:rsid w:val="00350050"/>
    <w:rsid w:val="0035020A"/>
    <w:rsid w:val="00350662"/>
    <w:rsid w:val="003515E9"/>
    <w:rsid w:val="003519A7"/>
    <w:rsid w:val="003521D6"/>
    <w:rsid w:val="00352522"/>
    <w:rsid w:val="003528E2"/>
    <w:rsid w:val="00352B1F"/>
    <w:rsid w:val="003540B5"/>
    <w:rsid w:val="0035492E"/>
    <w:rsid w:val="00356B10"/>
    <w:rsid w:val="00356B6A"/>
    <w:rsid w:val="00357F4D"/>
    <w:rsid w:val="00360241"/>
    <w:rsid w:val="00360694"/>
    <w:rsid w:val="00361354"/>
    <w:rsid w:val="003613FB"/>
    <w:rsid w:val="0036150A"/>
    <w:rsid w:val="0036193B"/>
    <w:rsid w:val="0036223D"/>
    <w:rsid w:val="00363737"/>
    <w:rsid w:val="00363B3E"/>
    <w:rsid w:val="00364096"/>
    <w:rsid w:val="003647E5"/>
    <w:rsid w:val="00364855"/>
    <w:rsid w:val="003654B3"/>
    <w:rsid w:val="003654EC"/>
    <w:rsid w:val="0036793B"/>
    <w:rsid w:val="003706C3"/>
    <w:rsid w:val="00371A30"/>
    <w:rsid w:val="00371F25"/>
    <w:rsid w:val="003729C3"/>
    <w:rsid w:val="00373091"/>
    <w:rsid w:val="00373281"/>
    <w:rsid w:val="0037347B"/>
    <w:rsid w:val="003736F1"/>
    <w:rsid w:val="00373AD5"/>
    <w:rsid w:val="00374A9B"/>
    <w:rsid w:val="00374CDC"/>
    <w:rsid w:val="00374F59"/>
    <w:rsid w:val="00376227"/>
    <w:rsid w:val="00376295"/>
    <w:rsid w:val="0037660B"/>
    <w:rsid w:val="00376621"/>
    <w:rsid w:val="003773A8"/>
    <w:rsid w:val="0037755B"/>
    <w:rsid w:val="00377F5E"/>
    <w:rsid w:val="00381B28"/>
    <w:rsid w:val="003822DE"/>
    <w:rsid w:val="00382550"/>
    <w:rsid w:val="00382BDE"/>
    <w:rsid w:val="00383053"/>
    <w:rsid w:val="003836E6"/>
    <w:rsid w:val="00384483"/>
    <w:rsid w:val="00384646"/>
    <w:rsid w:val="003846D7"/>
    <w:rsid w:val="00385607"/>
    <w:rsid w:val="00385BB5"/>
    <w:rsid w:val="00386327"/>
    <w:rsid w:val="0038654C"/>
    <w:rsid w:val="00386AD0"/>
    <w:rsid w:val="00386FE8"/>
    <w:rsid w:val="003870D2"/>
    <w:rsid w:val="00387591"/>
    <w:rsid w:val="00387B4A"/>
    <w:rsid w:val="00390814"/>
    <w:rsid w:val="00391376"/>
    <w:rsid w:val="00391FFB"/>
    <w:rsid w:val="0039246D"/>
    <w:rsid w:val="003925EB"/>
    <w:rsid w:val="00393046"/>
    <w:rsid w:val="00393D10"/>
    <w:rsid w:val="00395202"/>
    <w:rsid w:val="003962AF"/>
    <w:rsid w:val="00396762"/>
    <w:rsid w:val="003967AA"/>
    <w:rsid w:val="00396AB4"/>
    <w:rsid w:val="00397B8D"/>
    <w:rsid w:val="00397C3C"/>
    <w:rsid w:val="003A065B"/>
    <w:rsid w:val="003A0E6C"/>
    <w:rsid w:val="003A1ABC"/>
    <w:rsid w:val="003A1C03"/>
    <w:rsid w:val="003A22D5"/>
    <w:rsid w:val="003A23ED"/>
    <w:rsid w:val="003A2983"/>
    <w:rsid w:val="003A333C"/>
    <w:rsid w:val="003A4430"/>
    <w:rsid w:val="003A5424"/>
    <w:rsid w:val="003A5D85"/>
    <w:rsid w:val="003A6C0D"/>
    <w:rsid w:val="003A7190"/>
    <w:rsid w:val="003A7336"/>
    <w:rsid w:val="003B163C"/>
    <w:rsid w:val="003B1BB6"/>
    <w:rsid w:val="003B1E52"/>
    <w:rsid w:val="003B1EDB"/>
    <w:rsid w:val="003B36D7"/>
    <w:rsid w:val="003B3969"/>
    <w:rsid w:val="003B43A2"/>
    <w:rsid w:val="003B4F57"/>
    <w:rsid w:val="003B52C7"/>
    <w:rsid w:val="003B5DAF"/>
    <w:rsid w:val="003B6ECD"/>
    <w:rsid w:val="003B7CE1"/>
    <w:rsid w:val="003B7F9C"/>
    <w:rsid w:val="003C08D9"/>
    <w:rsid w:val="003C0E7D"/>
    <w:rsid w:val="003C13A9"/>
    <w:rsid w:val="003C14F9"/>
    <w:rsid w:val="003C26AB"/>
    <w:rsid w:val="003C2A6C"/>
    <w:rsid w:val="003C3249"/>
    <w:rsid w:val="003C42D8"/>
    <w:rsid w:val="003C4462"/>
    <w:rsid w:val="003C446F"/>
    <w:rsid w:val="003C45D8"/>
    <w:rsid w:val="003C5DD4"/>
    <w:rsid w:val="003C6815"/>
    <w:rsid w:val="003C7241"/>
    <w:rsid w:val="003C7571"/>
    <w:rsid w:val="003C7E7A"/>
    <w:rsid w:val="003D05F0"/>
    <w:rsid w:val="003D0B3C"/>
    <w:rsid w:val="003D1F7C"/>
    <w:rsid w:val="003D2443"/>
    <w:rsid w:val="003D2520"/>
    <w:rsid w:val="003D27D0"/>
    <w:rsid w:val="003D2C94"/>
    <w:rsid w:val="003D2F9E"/>
    <w:rsid w:val="003D41EA"/>
    <w:rsid w:val="003D4D8D"/>
    <w:rsid w:val="003D54DB"/>
    <w:rsid w:val="003D60DC"/>
    <w:rsid w:val="003D6980"/>
    <w:rsid w:val="003D79DC"/>
    <w:rsid w:val="003E0279"/>
    <w:rsid w:val="003E06AA"/>
    <w:rsid w:val="003E0AD1"/>
    <w:rsid w:val="003E0C00"/>
    <w:rsid w:val="003E1187"/>
    <w:rsid w:val="003E144C"/>
    <w:rsid w:val="003E1490"/>
    <w:rsid w:val="003E1885"/>
    <w:rsid w:val="003E1C51"/>
    <w:rsid w:val="003E1EEA"/>
    <w:rsid w:val="003E2443"/>
    <w:rsid w:val="003E31FD"/>
    <w:rsid w:val="003E32DE"/>
    <w:rsid w:val="003E3497"/>
    <w:rsid w:val="003E34E2"/>
    <w:rsid w:val="003E37FD"/>
    <w:rsid w:val="003E6104"/>
    <w:rsid w:val="003E6966"/>
    <w:rsid w:val="003E7D7A"/>
    <w:rsid w:val="003E7D8F"/>
    <w:rsid w:val="003F0117"/>
    <w:rsid w:val="003F0895"/>
    <w:rsid w:val="003F0A0E"/>
    <w:rsid w:val="003F0DF9"/>
    <w:rsid w:val="003F1070"/>
    <w:rsid w:val="003F13D6"/>
    <w:rsid w:val="003F1773"/>
    <w:rsid w:val="003F182E"/>
    <w:rsid w:val="003F19FB"/>
    <w:rsid w:val="003F1E15"/>
    <w:rsid w:val="003F2815"/>
    <w:rsid w:val="003F2842"/>
    <w:rsid w:val="003F2983"/>
    <w:rsid w:val="003F34BA"/>
    <w:rsid w:val="003F3ADE"/>
    <w:rsid w:val="003F3D19"/>
    <w:rsid w:val="003F4166"/>
    <w:rsid w:val="003F49E0"/>
    <w:rsid w:val="003F545B"/>
    <w:rsid w:val="003F6145"/>
    <w:rsid w:val="003F66DB"/>
    <w:rsid w:val="003F7221"/>
    <w:rsid w:val="003F7BFE"/>
    <w:rsid w:val="0040073B"/>
    <w:rsid w:val="00402018"/>
    <w:rsid w:val="004028FD"/>
    <w:rsid w:val="0040294C"/>
    <w:rsid w:val="00403915"/>
    <w:rsid w:val="004047BE"/>
    <w:rsid w:val="00404CF5"/>
    <w:rsid w:val="00405356"/>
    <w:rsid w:val="00405FE5"/>
    <w:rsid w:val="00406E88"/>
    <w:rsid w:val="00407B72"/>
    <w:rsid w:val="004101EB"/>
    <w:rsid w:val="00410D18"/>
    <w:rsid w:val="004111D6"/>
    <w:rsid w:val="00411812"/>
    <w:rsid w:val="00411F5F"/>
    <w:rsid w:val="0041218F"/>
    <w:rsid w:val="004127DD"/>
    <w:rsid w:val="00413141"/>
    <w:rsid w:val="00413C39"/>
    <w:rsid w:val="00414F37"/>
    <w:rsid w:val="004152B2"/>
    <w:rsid w:val="00415A8F"/>
    <w:rsid w:val="00415ABC"/>
    <w:rsid w:val="0041679D"/>
    <w:rsid w:val="00416CCE"/>
    <w:rsid w:val="004176C1"/>
    <w:rsid w:val="00417E97"/>
    <w:rsid w:val="00420414"/>
    <w:rsid w:val="00420633"/>
    <w:rsid w:val="00420A91"/>
    <w:rsid w:val="00420EA6"/>
    <w:rsid w:val="004219A3"/>
    <w:rsid w:val="00422A04"/>
    <w:rsid w:val="00422D6C"/>
    <w:rsid w:val="00422E59"/>
    <w:rsid w:val="00423533"/>
    <w:rsid w:val="00424117"/>
    <w:rsid w:val="004241F2"/>
    <w:rsid w:val="004256F0"/>
    <w:rsid w:val="004260C3"/>
    <w:rsid w:val="00426386"/>
    <w:rsid w:val="00426FE3"/>
    <w:rsid w:val="004278B7"/>
    <w:rsid w:val="0043042D"/>
    <w:rsid w:val="0043111B"/>
    <w:rsid w:val="0043118D"/>
    <w:rsid w:val="004312F6"/>
    <w:rsid w:val="00431594"/>
    <w:rsid w:val="00431A7C"/>
    <w:rsid w:val="00431A8D"/>
    <w:rsid w:val="00431F93"/>
    <w:rsid w:val="00432CF2"/>
    <w:rsid w:val="004332CC"/>
    <w:rsid w:val="00433A66"/>
    <w:rsid w:val="00433B89"/>
    <w:rsid w:val="00434187"/>
    <w:rsid w:val="004344B9"/>
    <w:rsid w:val="004345C1"/>
    <w:rsid w:val="00434B87"/>
    <w:rsid w:val="00435FEA"/>
    <w:rsid w:val="00436195"/>
    <w:rsid w:val="0043646C"/>
    <w:rsid w:val="004376D8"/>
    <w:rsid w:val="004378CA"/>
    <w:rsid w:val="00437EE3"/>
    <w:rsid w:val="004426F3"/>
    <w:rsid w:val="00445085"/>
    <w:rsid w:val="00445464"/>
    <w:rsid w:val="00446644"/>
    <w:rsid w:val="004466B4"/>
    <w:rsid w:val="00446E20"/>
    <w:rsid w:val="00447B58"/>
    <w:rsid w:val="004500F9"/>
    <w:rsid w:val="004504D7"/>
    <w:rsid w:val="00450A07"/>
    <w:rsid w:val="0045104F"/>
    <w:rsid w:val="0045168F"/>
    <w:rsid w:val="00452B20"/>
    <w:rsid w:val="00452F88"/>
    <w:rsid w:val="00455E37"/>
    <w:rsid w:val="0046049D"/>
    <w:rsid w:val="00460CE6"/>
    <w:rsid w:val="0046398B"/>
    <w:rsid w:val="00463FC5"/>
    <w:rsid w:val="004640FF"/>
    <w:rsid w:val="0046452A"/>
    <w:rsid w:val="00464B6D"/>
    <w:rsid w:val="0046648B"/>
    <w:rsid w:val="00466BAA"/>
    <w:rsid w:val="00466E16"/>
    <w:rsid w:val="004670D8"/>
    <w:rsid w:val="004674EA"/>
    <w:rsid w:val="00467A2E"/>
    <w:rsid w:val="00467DC9"/>
    <w:rsid w:val="004708A5"/>
    <w:rsid w:val="00471254"/>
    <w:rsid w:val="00472F65"/>
    <w:rsid w:val="004730C9"/>
    <w:rsid w:val="00473CD0"/>
    <w:rsid w:val="00474433"/>
    <w:rsid w:val="0047446C"/>
    <w:rsid w:val="00475128"/>
    <w:rsid w:val="004754AB"/>
    <w:rsid w:val="00475698"/>
    <w:rsid w:val="00475B79"/>
    <w:rsid w:val="00476061"/>
    <w:rsid w:val="00477407"/>
    <w:rsid w:val="00477CB3"/>
    <w:rsid w:val="004802AD"/>
    <w:rsid w:val="00480764"/>
    <w:rsid w:val="004809B2"/>
    <w:rsid w:val="004809C4"/>
    <w:rsid w:val="00480B8A"/>
    <w:rsid w:val="004812AB"/>
    <w:rsid w:val="00481337"/>
    <w:rsid w:val="0048164C"/>
    <w:rsid w:val="0048252B"/>
    <w:rsid w:val="004828B2"/>
    <w:rsid w:val="00483597"/>
    <w:rsid w:val="004843EC"/>
    <w:rsid w:val="00484D44"/>
    <w:rsid w:val="0048549A"/>
    <w:rsid w:val="00485CBA"/>
    <w:rsid w:val="00486B64"/>
    <w:rsid w:val="00490004"/>
    <w:rsid w:val="0049016F"/>
    <w:rsid w:val="0049026C"/>
    <w:rsid w:val="0049268A"/>
    <w:rsid w:val="00494104"/>
    <w:rsid w:val="00494690"/>
    <w:rsid w:val="004964A3"/>
    <w:rsid w:val="00496832"/>
    <w:rsid w:val="00496BC4"/>
    <w:rsid w:val="004A0216"/>
    <w:rsid w:val="004A02BA"/>
    <w:rsid w:val="004A0741"/>
    <w:rsid w:val="004A1D11"/>
    <w:rsid w:val="004A2311"/>
    <w:rsid w:val="004A2D47"/>
    <w:rsid w:val="004A31F9"/>
    <w:rsid w:val="004A3FAF"/>
    <w:rsid w:val="004A4FF9"/>
    <w:rsid w:val="004A5A5C"/>
    <w:rsid w:val="004A5B60"/>
    <w:rsid w:val="004A5BCD"/>
    <w:rsid w:val="004A6B84"/>
    <w:rsid w:val="004A78C4"/>
    <w:rsid w:val="004A7993"/>
    <w:rsid w:val="004A7CE1"/>
    <w:rsid w:val="004B0188"/>
    <w:rsid w:val="004B053D"/>
    <w:rsid w:val="004B053E"/>
    <w:rsid w:val="004B0D4F"/>
    <w:rsid w:val="004B0E33"/>
    <w:rsid w:val="004B11D5"/>
    <w:rsid w:val="004B1CFB"/>
    <w:rsid w:val="004B1FAA"/>
    <w:rsid w:val="004B2519"/>
    <w:rsid w:val="004B2D6F"/>
    <w:rsid w:val="004B35C7"/>
    <w:rsid w:val="004B3A28"/>
    <w:rsid w:val="004B425D"/>
    <w:rsid w:val="004B4618"/>
    <w:rsid w:val="004B4EA7"/>
    <w:rsid w:val="004B6B32"/>
    <w:rsid w:val="004B6E1D"/>
    <w:rsid w:val="004B74E8"/>
    <w:rsid w:val="004B76F1"/>
    <w:rsid w:val="004C02D9"/>
    <w:rsid w:val="004C1090"/>
    <w:rsid w:val="004C1483"/>
    <w:rsid w:val="004C1746"/>
    <w:rsid w:val="004C1EFF"/>
    <w:rsid w:val="004C2C8F"/>
    <w:rsid w:val="004C2E22"/>
    <w:rsid w:val="004C3947"/>
    <w:rsid w:val="004C3A3F"/>
    <w:rsid w:val="004C4BA6"/>
    <w:rsid w:val="004C5E7B"/>
    <w:rsid w:val="004C6763"/>
    <w:rsid w:val="004C7779"/>
    <w:rsid w:val="004D06C4"/>
    <w:rsid w:val="004D265C"/>
    <w:rsid w:val="004D2E04"/>
    <w:rsid w:val="004D30B9"/>
    <w:rsid w:val="004D33A6"/>
    <w:rsid w:val="004D451B"/>
    <w:rsid w:val="004D4D1C"/>
    <w:rsid w:val="004D562B"/>
    <w:rsid w:val="004D5FF7"/>
    <w:rsid w:val="004D6EDA"/>
    <w:rsid w:val="004D72E6"/>
    <w:rsid w:val="004D7B11"/>
    <w:rsid w:val="004E14CD"/>
    <w:rsid w:val="004E171C"/>
    <w:rsid w:val="004E19A0"/>
    <w:rsid w:val="004E23F5"/>
    <w:rsid w:val="004E289B"/>
    <w:rsid w:val="004E3959"/>
    <w:rsid w:val="004E3C2F"/>
    <w:rsid w:val="004E4905"/>
    <w:rsid w:val="004E4B23"/>
    <w:rsid w:val="004E514F"/>
    <w:rsid w:val="004E5324"/>
    <w:rsid w:val="004E5841"/>
    <w:rsid w:val="004F037C"/>
    <w:rsid w:val="004F09A2"/>
    <w:rsid w:val="004F0BDD"/>
    <w:rsid w:val="004F0FE7"/>
    <w:rsid w:val="004F10F1"/>
    <w:rsid w:val="004F13A3"/>
    <w:rsid w:val="004F1C94"/>
    <w:rsid w:val="004F2852"/>
    <w:rsid w:val="004F29BB"/>
    <w:rsid w:val="004F3C6D"/>
    <w:rsid w:val="004F3DD7"/>
    <w:rsid w:val="004F4981"/>
    <w:rsid w:val="004F4B7A"/>
    <w:rsid w:val="004F4DA2"/>
    <w:rsid w:val="004F546E"/>
    <w:rsid w:val="004F653B"/>
    <w:rsid w:val="004F684E"/>
    <w:rsid w:val="004F6E0C"/>
    <w:rsid w:val="004F6E5D"/>
    <w:rsid w:val="004F752A"/>
    <w:rsid w:val="004F7CF5"/>
    <w:rsid w:val="00500BD8"/>
    <w:rsid w:val="00500BF9"/>
    <w:rsid w:val="0050107A"/>
    <w:rsid w:val="00501504"/>
    <w:rsid w:val="0050191A"/>
    <w:rsid w:val="0050194D"/>
    <w:rsid w:val="00501DFE"/>
    <w:rsid w:val="00502C47"/>
    <w:rsid w:val="00502F39"/>
    <w:rsid w:val="00503D9E"/>
    <w:rsid w:val="0050408A"/>
    <w:rsid w:val="00504D16"/>
    <w:rsid w:val="0050536F"/>
    <w:rsid w:val="00505A4A"/>
    <w:rsid w:val="00505C44"/>
    <w:rsid w:val="00505E71"/>
    <w:rsid w:val="00505F5A"/>
    <w:rsid w:val="0050637B"/>
    <w:rsid w:val="00507101"/>
    <w:rsid w:val="00507340"/>
    <w:rsid w:val="00507354"/>
    <w:rsid w:val="00507558"/>
    <w:rsid w:val="00507F55"/>
    <w:rsid w:val="005107C8"/>
    <w:rsid w:val="0051145E"/>
    <w:rsid w:val="00511AB9"/>
    <w:rsid w:val="00512302"/>
    <w:rsid w:val="00512BBA"/>
    <w:rsid w:val="005133CE"/>
    <w:rsid w:val="005133D3"/>
    <w:rsid w:val="00513AD5"/>
    <w:rsid w:val="005140B1"/>
    <w:rsid w:val="005141F3"/>
    <w:rsid w:val="005142CB"/>
    <w:rsid w:val="00516410"/>
    <w:rsid w:val="00516F7D"/>
    <w:rsid w:val="00516FBC"/>
    <w:rsid w:val="00521838"/>
    <w:rsid w:val="00521CAD"/>
    <w:rsid w:val="00522544"/>
    <w:rsid w:val="005235C5"/>
    <w:rsid w:val="00524A1B"/>
    <w:rsid w:val="0052552B"/>
    <w:rsid w:val="00525AA9"/>
    <w:rsid w:val="005261AA"/>
    <w:rsid w:val="005263A1"/>
    <w:rsid w:val="00526CED"/>
    <w:rsid w:val="00526F33"/>
    <w:rsid w:val="005276CD"/>
    <w:rsid w:val="0052773D"/>
    <w:rsid w:val="005307B0"/>
    <w:rsid w:val="00530A27"/>
    <w:rsid w:val="00531C11"/>
    <w:rsid w:val="005320EE"/>
    <w:rsid w:val="005332E4"/>
    <w:rsid w:val="0053412D"/>
    <w:rsid w:val="00534430"/>
    <w:rsid w:val="00534518"/>
    <w:rsid w:val="0053470E"/>
    <w:rsid w:val="00534EBF"/>
    <w:rsid w:val="0053525D"/>
    <w:rsid w:val="00535714"/>
    <w:rsid w:val="005359DF"/>
    <w:rsid w:val="005360B8"/>
    <w:rsid w:val="00537228"/>
    <w:rsid w:val="005401E7"/>
    <w:rsid w:val="005406E7"/>
    <w:rsid w:val="00541781"/>
    <w:rsid w:val="00541B47"/>
    <w:rsid w:val="00541C4C"/>
    <w:rsid w:val="005433B4"/>
    <w:rsid w:val="00543CE1"/>
    <w:rsid w:val="00543F28"/>
    <w:rsid w:val="00544602"/>
    <w:rsid w:val="00545137"/>
    <w:rsid w:val="005466D8"/>
    <w:rsid w:val="005469C4"/>
    <w:rsid w:val="00546D0D"/>
    <w:rsid w:val="00547996"/>
    <w:rsid w:val="0055043D"/>
    <w:rsid w:val="00550457"/>
    <w:rsid w:val="005504E0"/>
    <w:rsid w:val="00550D6F"/>
    <w:rsid w:val="005521D7"/>
    <w:rsid w:val="0055248D"/>
    <w:rsid w:val="0055264A"/>
    <w:rsid w:val="00552B17"/>
    <w:rsid w:val="00553CC6"/>
    <w:rsid w:val="005544B0"/>
    <w:rsid w:val="00554969"/>
    <w:rsid w:val="005556A4"/>
    <w:rsid w:val="00555A0E"/>
    <w:rsid w:val="00555DF6"/>
    <w:rsid w:val="00556553"/>
    <w:rsid w:val="00556672"/>
    <w:rsid w:val="00556822"/>
    <w:rsid w:val="00556E9F"/>
    <w:rsid w:val="00556F7F"/>
    <w:rsid w:val="0055734E"/>
    <w:rsid w:val="0055797B"/>
    <w:rsid w:val="00557EB4"/>
    <w:rsid w:val="005600A9"/>
    <w:rsid w:val="00560424"/>
    <w:rsid w:val="00560471"/>
    <w:rsid w:val="005604C6"/>
    <w:rsid w:val="005609A6"/>
    <w:rsid w:val="00561064"/>
    <w:rsid w:val="005623B2"/>
    <w:rsid w:val="0056295C"/>
    <w:rsid w:val="0056456F"/>
    <w:rsid w:val="00564F30"/>
    <w:rsid w:val="00564F91"/>
    <w:rsid w:val="0056516D"/>
    <w:rsid w:val="00566036"/>
    <w:rsid w:val="0056634A"/>
    <w:rsid w:val="00566708"/>
    <w:rsid w:val="00567943"/>
    <w:rsid w:val="005717D7"/>
    <w:rsid w:val="00571DB5"/>
    <w:rsid w:val="00571EB8"/>
    <w:rsid w:val="00572A42"/>
    <w:rsid w:val="00572F48"/>
    <w:rsid w:val="00573700"/>
    <w:rsid w:val="00573994"/>
    <w:rsid w:val="0057414A"/>
    <w:rsid w:val="005746ED"/>
    <w:rsid w:val="00574A02"/>
    <w:rsid w:val="00574BF9"/>
    <w:rsid w:val="00574C58"/>
    <w:rsid w:val="005751AB"/>
    <w:rsid w:val="00575B8A"/>
    <w:rsid w:val="0057655A"/>
    <w:rsid w:val="00577032"/>
    <w:rsid w:val="00580C9F"/>
    <w:rsid w:val="00581F96"/>
    <w:rsid w:val="00582466"/>
    <w:rsid w:val="00582C7A"/>
    <w:rsid w:val="00582DF0"/>
    <w:rsid w:val="005834B9"/>
    <w:rsid w:val="005836E1"/>
    <w:rsid w:val="00583AD7"/>
    <w:rsid w:val="005845CE"/>
    <w:rsid w:val="00584ACC"/>
    <w:rsid w:val="00585CB7"/>
    <w:rsid w:val="00586351"/>
    <w:rsid w:val="00586DEA"/>
    <w:rsid w:val="005871B0"/>
    <w:rsid w:val="00587289"/>
    <w:rsid w:val="005877A7"/>
    <w:rsid w:val="00587C88"/>
    <w:rsid w:val="0059013F"/>
    <w:rsid w:val="00591CF4"/>
    <w:rsid w:val="005923E1"/>
    <w:rsid w:val="005951E7"/>
    <w:rsid w:val="0059637C"/>
    <w:rsid w:val="00596E7D"/>
    <w:rsid w:val="00597898"/>
    <w:rsid w:val="005A079B"/>
    <w:rsid w:val="005A0D3F"/>
    <w:rsid w:val="005A119F"/>
    <w:rsid w:val="005A15B7"/>
    <w:rsid w:val="005A1C49"/>
    <w:rsid w:val="005A25D8"/>
    <w:rsid w:val="005A349B"/>
    <w:rsid w:val="005A4824"/>
    <w:rsid w:val="005A48CE"/>
    <w:rsid w:val="005A55D1"/>
    <w:rsid w:val="005A5EF1"/>
    <w:rsid w:val="005A6F87"/>
    <w:rsid w:val="005A729D"/>
    <w:rsid w:val="005A7581"/>
    <w:rsid w:val="005A7E21"/>
    <w:rsid w:val="005B04DB"/>
    <w:rsid w:val="005B0C80"/>
    <w:rsid w:val="005B16D1"/>
    <w:rsid w:val="005B212A"/>
    <w:rsid w:val="005B26F6"/>
    <w:rsid w:val="005B2856"/>
    <w:rsid w:val="005B2FDB"/>
    <w:rsid w:val="005B3703"/>
    <w:rsid w:val="005B3B15"/>
    <w:rsid w:val="005B3F14"/>
    <w:rsid w:val="005B4FB4"/>
    <w:rsid w:val="005B58F6"/>
    <w:rsid w:val="005B5A32"/>
    <w:rsid w:val="005B65CF"/>
    <w:rsid w:val="005B6EA7"/>
    <w:rsid w:val="005B7D22"/>
    <w:rsid w:val="005C05A1"/>
    <w:rsid w:val="005C0CE0"/>
    <w:rsid w:val="005C1549"/>
    <w:rsid w:val="005C1A45"/>
    <w:rsid w:val="005C23D6"/>
    <w:rsid w:val="005C3E1B"/>
    <w:rsid w:val="005C40F6"/>
    <w:rsid w:val="005C4C42"/>
    <w:rsid w:val="005C4E3A"/>
    <w:rsid w:val="005C5A52"/>
    <w:rsid w:val="005C5F9F"/>
    <w:rsid w:val="005C70F3"/>
    <w:rsid w:val="005D0143"/>
    <w:rsid w:val="005D180F"/>
    <w:rsid w:val="005D2765"/>
    <w:rsid w:val="005D2B88"/>
    <w:rsid w:val="005D308E"/>
    <w:rsid w:val="005D3DA3"/>
    <w:rsid w:val="005D4AC6"/>
    <w:rsid w:val="005D4F4A"/>
    <w:rsid w:val="005D503A"/>
    <w:rsid w:val="005D5673"/>
    <w:rsid w:val="005D5F9D"/>
    <w:rsid w:val="005D71B5"/>
    <w:rsid w:val="005D72C7"/>
    <w:rsid w:val="005D7585"/>
    <w:rsid w:val="005D796C"/>
    <w:rsid w:val="005E0BA0"/>
    <w:rsid w:val="005E138E"/>
    <w:rsid w:val="005E1B77"/>
    <w:rsid w:val="005E241F"/>
    <w:rsid w:val="005E25D6"/>
    <w:rsid w:val="005E2DA3"/>
    <w:rsid w:val="005E3A81"/>
    <w:rsid w:val="005E4BB0"/>
    <w:rsid w:val="005E4FD8"/>
    <w:rsid w:val="005E619D"/>
    <w:rsid w:val="005E61B5"/>
    <w:rsid w:val="005E6255"/>
    <w:rsid w:val="005E65DC"/>
    <w:rsid w:val="005E6682"/>
    <w:rsid w:val="005E6911"/>
    <w:rsid w:val="005E6CA8"/>
    <w:rsid w:val="005E720C"/>
    <w:rsid w:val="005E7722"/>
    <w:rsid w:val="005F067C"/>
    <w:rsid w:val="005F1125"/>
    <w:rsid w:val="005F175E"/>
    <w:rsid w:val="005F1DFF"/>
    <w:rsid w:val="005F1EA2"/>
    <w:rsid w:val="005F2654"/>
    <w:rsid w:val="005F3927"/>
    <w:rsid w:val="005F3C2C"/>
    <w:rsid w:val="005F45F8"/>
    <w:rsid w:val="005F4B50"/>
    <w:rsid w:val="005F5B81"/>
    <w:rsid w:val="005F5EC0"/>
    <w:rsid w:val="005F6256"/>
    <w:rsid w:val="005F6368"/>
    <w:rsid w:val="005F68B9"/>
    <w:rsid w:val="005F6AE3"/>
    <w:rsid w:val="00600185"/>
    <w:rsid w:val="0060076A"/>
    <w:rsid w:val="00600BEE"/>
    <w:rsid w:val="00601555"/>
    <w:rsid w:val="00601958"/>
    <w:rsid w:val="00601965"/>
    <w:rsid w:val="006024D8"/>
    <w:rsid w:val="00602655"/>
    <w:rsid w:val="006027FC"/>
    <w:rsid w:val="00602A49"/>
    <w:rsid w:val="00602D10"/>
    <w:rsid w:val="00604095"/>
    <w:rsid w:val="006041C9"/>
    <w:rsid w:val="0060540B"/>
    <w:rsid w:val="00605CFB"/>
    <w:rsid w:val="00605EBB"/>
    <w:rsid w:val="00606314"/>
    <w:rsid w:val="0060661A"/>
    <w:rsid w:val="00607378"/>
    <w:rsid w:val="00610920"/>
    <w:rsid w:val="00611145"/>
    <w:rsid w:val="0061195A"/>
    <w:rsid w:val="00612425"/>
    <w:rsid w:val="006143AB"/>
    <w:rsid w:val="0061484C"/>
    <w:rsid w:val="00614C88"/>
    <w:rsid w:val="0061512D"/>
    <w:rsid w:val="00615857"/>
    <w:rsid w:val="0061646C"/>
    <w:rsid w:val="00617448"/>
    <w:rsid w:val="00617D13"/>
    <w:rsid w:val="006214C6"/>
    <w:rsid w:val="006215FD"/>
    <w:rsid w:val="006221A6"/>
    <w:rsid w:val="0062254E"/>
    <w:rsid w:val="0062287E"/>
    <w:rsid w:val="00622C3A"/>
    <w:rsid w:val="00623234"/>
    <w:rsid w:val="006233DE"/>
    <w:rsid w:val="00623EC4"/>
    <w:rsid w:val="00623F2F"/>
    <w:rsid w:val="006240FF"/>
    <w:rsid w:val="0062481F"/>
    <w:rsid w:val="006254B5"/>
    <w:rsid w:val="00625AB8"/>
    <w:rsid w:val="00625AFA"/>
    <w:rsid w:val="0062601F"/>
    <w:rsid w:val="00626731"/>
    <w:rsid w:val="00627754"/>
    <w:rsid w:val="00630516"/>
    <w:rsid w:val="00630B42"/>
    <w:rsid w:val="00630C2E"/>
    <w:rsid w:val="00630ECF"/>
    <w:rsid w:val="006312D6"/>
    <w:rsid w:val="006316EC"/>
    <w:rsid w:val="00632520"/>
    <w:rsid w:val="0063289C"/>
    <w:rsid w:val="00632960"/>
    <w:rsid w:val="00632A99"/>
    <w:rsid w:val="00632C75"/>
    <w:rsid w:val="0063310C"/>
    <w:rsid w:val="00633265"/>
    <w:rsid w:val="00633351"/>
    <w:rsid w:val="006335AB"/>
    <w:rsid w:val="00633753"/>
    <w:rsid w:val="00634509"/>
    <w:rsid w:val="00636A68"/>
    <w:rsid w:val="00636F2F"/>
    <w:rsid w:val="00637281"/>
    <w:rsid w:val="0063749A"/>
    <w:rsid w:val="00637931"/>
    <w:rsid w:val="006408EF"/>
    <w:rsid w:val="00641F17"/>
    <w:rsid w:val="006429B9"/>
    <w:rsid w:val="006434A3"/>
    <w:rsid w:val="0064438D"/>
    <w:rsid w:val="006452B0"/>
    <w:rsid w:val="00645BFC"/>
    <w:rsid w:val="006461A4"/>
    <w:rsid w:val="00647570"/>
    <w:rsid w:val="00647981"/>
    <w:rsid w:val="00647B90"/>
    <w:rsid w:val="00647D5A"/>
    <w:rsid w:val="00650215"/>
    <w:rsid w:val="00650725"/>
    <w:rsid w:val="00651F21"/>
    <w:rsid w:val="006529F1"/>
    <w:rsid w:val="006534A5"/>
    <w:rsid w:val="00653BE6"/>
    <w:rsid w:val="00654A62"/>
    <w:rsid w:val="00654FBB"/>
    <w:rsid w:val="00655506"/>
    <w:rsid w:val="00657386"/>
    <w:rsid w:val="00657AA3"/>
    <w:rsid w:val="00657B70"/>
    <w:rsid w:val="00657E98"/>
    <w:rsid w:val="00660A9A"/>
    <w:rsid w:val="0066130A"/>
    <w:rsid w:val="00661DB6"/>
    <w:rsid w:val="00662CE5"/>
    <w:rsid w:val="006633EE"/>
    <w:rsid w:val="0066348A"/>
    <w:rsid w:val="00665187"/>
    <w:rsid w:val="006653B7"/>
    <w:rsid w:val="00666432"/>
    <w:rsid w:val="00666DAC"/>
    <w:rsid w:val="006673CD"/>
    <w:rsid w:val="006679DE"/>
    <w:rsid w:val="00667EA4"/>
    <w:rsid w:val="0067074B"/>
    <w:rsid w:val="00670AD5"/>
    <w:rsid w:val="00670B4D"/>
    <w:rsid w:val="00670B85"/>
    <w:rsid w:val="006710C8"/>
    <w:rsid w:val="006719F9"/>
    <w:rsid w:val="006725CD"/>
    <w:rsid w:val="00672A1A"/>
    <w:rsid w:val="00672F4B"/>
    <w:rsid w:val="00673202"/>
    <w:rsid w:val="00673A28"/>
    <w:rsid w:val="00673DE1"/>
    <w:rsid w:val="0067486F"/>
    <w:rsid w:val="00675EF9"/>
    <w:rsid w:val="006765F7"/>
    <w:rsid w:val="0067661F"/>
    <w:rsid w:val="00676CC1"/>
    <w:rsid w:val="00677283"/>
    <w:rsid w:val="00677C77"/>
    <w:rsid w:val="00677FE0"/>
    <w:rsid w:val="00680638"/>
    <w:rsid w:val="006808EF"/>
    <w:rsid w:val="006809FC"/>
    <w:rsid w:val="006812BC"/>
    <w:rsid w:val="00682EA1"/>
    <w:rsid w:val="006830BD"/>
    <w:rsid w:val="0068347D"/>
    <w:rsid w:val="00683B0B"/>
    <w:rsid w:val="00683DD4"/>
    <w:rsid w:val="006851ED"/>
    <w:rsid w:val="00685659"/>
    <w:rsid w:val="006856D6"/>
    <w:rsid w:val="006858F5"/>
    <w:rsid w:val="00685986"/>
    <w:rsid w:val="006860D9"/>
    <w:rsid w:val="0068677C"/>
    <w:rsid w:val="00686D1F"/>
    <w:rsid w:val="00686FEE"/>
    <w:rsid w:val="006875CF"/>
    <w:rsid w:val="00687C54"/>
    <w:rsid w:val="00687DD5"/>
    <w:rsid w:val="0069074D"/>
    <w:rsid w:val="006912E1"/>
    <w:rsid w:val="00691A85"/>
    <w:rsid w:val="00692E93"/>
    <w:rsid w:val="0069317A"/>
    <w:rsid w:val="006933F2"/>
    <w:rsid w:val="006937F0"/>
    <w:rsid w:val="006939F4"/>
    <w:rsid w:val="00693FF2"/>
    <w:rsid w:val="0069462B"/>
    <w:rsid w:val="00694A46"/>
    <w:rsid w:val="00696CD5"/>
    <w:rsid w:val="00697A5D"/>
    <w:rsid w:val="006A07E5"/>
    <w:rsid w:val="006A0895"/>
    <w:rsid w:val="006A1597"/>
    <w:rsid w:val="006A1FD7"/>
    <w:rsid w:val="006A216B"/>
    <w:rsid w:val="006A2547"/>
    <w:rsid w:val="006A2974"/>
    <w:rsid w:val="006A2A29"/>
    <w:rsid w:val="006A2AD3"/>
    <w:rsid w:val="006A338C"/>
    <w:rsid w:val="006A338D"/>
    <w:rsid w:val="006A4470"/>
    <w:rsid w:val="006A4D26"/>
    <w:rsid w:val="006A4DEA"/>
    <w:rsid w:val="006A591E"/>
    <w:rsid w:val="006A59A7"/>
    <w:rsid w:val="006A5B0E"/>
    <w:rsid w:val="006A716B"/>
    <w:rsid w:val="006A7B65"/>
    <w:rsid w:val="006B07F8"/>
    <w:rsid w:val="006B0F9E"/>
    <w:rsid w:val="006B1A0F"/>
    <w:rsid w:val="006B20D0"/>
    <w:rsid w:val="006B26C0"/>
    <w:rsid w:val="006B2861"/>
    <w:rsid w:val="006B414D"/>
    <w:rsid w:val="006B6A2C"/>
    <w:rsid w:val="006B70F1"/>
    <w:rsid w:val="006B7897"/>
    <w:rsid w:val="006B79B3"/>
    <w:rsid w:val="006C08AD"/>
    <w:rsid w:val="006C1225"/>
    <w:rsid w:val="006C15E3"/>
    <w:rsid w:val="006C297C"/>
    <w:rsid w:val="006C2C43"/>
    <w:rsid w:val="006C2D3D"/>
    <w:rsid w:val="006C2EA3"/>
    <w:rsid w:val="006C3441"/>
    <w:rsid w:val="006C359F"/>
    <w:rsid w:val="006C4AA3"/>
    <w:rsid w:val="006C4C28"/>
    <w:rsid w:val="006C4C87"/>
    <w:rsid w:val="006C5679"/>
    <w:rsid w:val="006C5AA4"/>
    <w:rsid w:val="006C6797"/>
    <w:rsid w:val="006C6B4A"/>
    <w:rsid w:val="006C7CFF"/>
    <w:rsid w:val="006D0B7E"/>
    <w:rsid w:val="006D0BF8"/>
    <w:rsid w:val="006D0F72"/>
    <w:rsid w:val="006D13E9"/>
    <w:rsid w:val="006D15E5"/>
    <w:rsid w:val="006D2127"/>
    <w:rsid w:val="006D2519"/>
    <w:rsid w:val="006D2532"/>
    <w:rsid w:val="006D26B3"/>
    <w:rsid w:val="006D2B54"/>
    <w:rsid w:val="006D3605"/>
    <w:rsid w:val="006D4731"/>
    <w:rsid w:val="006D4C1A"/>
    <w:rsid w:val="006D53A2"/>
    <w:rsid w:val="006D5C37"/>
    <w:rsid w:val="006D5C8E"/>
    <w:rsid w:val="006D5E2E"/>
    <w:rsid w:val="006D6924"/>
    <w:rsid w:val="006D723E"/>
    <w:rsid w:val="006E10AB"/>
    <w:rsid w:val="006E18C4"/>
    <w:rsid w:val="006E1D60"/>
    <w:rsid w:val="006E1EE4"/>
    <w:rsid w:val="006E26DD"/>
    <w:rsid w:val="006E280D"/>
    <w:rsid w:val="006E3610"/>
    <w:rsid w:val="006E6717"/>
    <w:rsid w:val="006E6C4A"/>
    <w:rsid w:val="006E7611"/>
    <w:rsid w:val="006F1C19"/>
    <w:rsid w:val="006F1E2C"/>
    <w:rsid w:val="006F1EC4"/>
    <w:rsid w:val="006F26C4"/>
    <w:rsid w:val="006F31BE"/>
    <w:rsid w:val="006F3CA3"/>
    <w:rsid w:val="006F3F05"/>
    <w:rsid w:val="006F4193"/>
    <w:rsid w:val="006F41F6"/>
    <w:rsid w:val="006F4219"/>
    <w:rsid w:val="006F42B6"/>
    <w:rsid w:val="006F45B3"/>
    <w:rsid w:val="006F5824"/>
    <w:rsid w:val="006F58CB"/>
    <w:rsid w:val="006F5E67"/>
    <w:rsid w:val="006F6151"/>
    <w:rsid w:val="006F640D"/>
    <w:rsid w:val="006F70A9"/>
    <w:rsid w:val="006F7597"/>
    <w:rsid w:val="007003A6"/>
    <w:rsid w:val="00700404"/>
    <w:rsid w:val="00701007"/>
    <w:rsid w:val="007011E6"/>
    <w:rsid w:val="0070249E"/>
    <w:rsid w:val="0070307C"/>
    <w:rsid w:val="00703285"/>
    <w:rsid w:val="00703849"/>
    <w:rsid w:val="0070393C"/>
    <w:rsid w:val="00706EC9"/>
    <w:rsid w:val="007074FE"/>
    <w:rsid w:val="007075F6"/>
    <w:rsid w:val="00710814"/>
    <w:rsid w:val="00711ACB"/>
    <w:rsid w:val="00711F75"/>
    <w:rsid w:val="007129D0"/>
    <w:rsid w:val="00712E99"/>
    <w:rsid w:val="007139A3"/>
    <w:rsid w:val="0071420B"/>
    <w:rsid w:val="00714E67"/>
    <w:rsid w:val="007156B1"/>
    <w:rsid w:val="00715CA7"/>
    <w:rsid w:val="00715CDA"/>
    <w:rsid w:val="00716592"/>
    <w:rsid w:val="00717D78"/>
    <w:rsid w:val="00717FCF"/>
    <w:rsid w:val="007201A6"/>
    <w:rsid w:val="007211B5"/>
    <w:rsid w:val="0072153A"/>
    <w:rsid w:val="007217C5"/>
    <w:rsid w:val="00721FA9"/>
    <w:rsid w:val="00722E42"/>
    <w:rsid w:val="0072305F"/>
    <w:rsid w:val="007231C3"/>
    <w:rsid w:val="007235D0"/>
    <w:rsid w:val="007249E0"/>
    <w:rsid w:val="00725F72"/>
    <w:rsid w:val="00726B0E"/>
    <w:rsid w:val="00726D39"/>
    <w:rsid w:val="00727E48"/>
    <w:rsid w:val="0073079B"/>
    <w:rsid w:val="00730D2A"/>
    <w:rsid w:val="00731862"/>
    <w:rsid w:val="00731A46"/>
    <w:rsid w:val="0073266F"/>
    <w:rsid w:val="007327C3"/>
    <w:rsid w:val="00734404"/>
    <w:rsid w:val="0073486D"/>
    <w:rsid w:val="00735202"/>
    <w:rsid w:val="00736392"/>
    <w:rsid w:val="00736FAE"/>
    <w:rsid w:val="007374E5"/>
    <w:rsid w:val="0073756C"/>
    <w:rsid w:val="0074054D"/>
    <w:rsid w:val="00741C8A"/>
    <w:rsid w:val="007420FA"/>
    <w:rsid w:val="00742BE8"/>
    <w:rsid w:val="00742BEB"/>
    <w:rsid w:val="00742CB7"/>
    <w:rsid w:val="00742F1A"/>
    <w:rsid w:val="007437A1"/>
    <w:rsid w:val="00744842"/>
    <w:rsid w:val="0074572E"/>
    <w:rsid w:val="007457D1"/>
    <w:rsid w:val="007463E2"/>
    <w:rsid w:val="00747B06"/>
    <w:rsid w:val="00747DCA"/>
    <w:rsid w:val="00750071"/>
    <w:rsid w:val="00750ECF"/>
    <w:rsid w:val="0075161B"/>
    <w:rsid w:val="00751DBC"/>
    <w:rsid w:val="00753C51"/>
    <w:rsid w:val="00753DAC"/>
    <w:rsid w:val="00754269"/>
    <w:rsid w:val="00754ED8"/>
    <w:rsid w:val="00755D60"/>
    <w:rsid w:val="00756112"/>
    <w:rsid w:val="007578BE"/>
    <w:rsid w:val="00757A31"/>
    <w:rsid w:val="00757BF9"/>
    <w:rsid w:val="007610A1"/>
    <w:rsid w:val="007628C4"/>
    <w:rsid w:val="00762A70"/>
    <w:rsid w:val="0076392F"/>
    <w:rsid w:val="0076449D"/>
    <w:rsid w:val="0076497C"/>
    <w:rsid w:val="00764E83"/>
    <w:rsid w:val="00765E19"/>
    <w:rsid w:val="00766218"/>
    <w:rsid w:val="00766FF6"/>
    <w:rsid w:val="00767A02"/>
    <w:rsid w:val="00767BA1"/>
    <w:rsid w:val="00770030"/>
    <w:rsid w:val="0077203E"/>
    <w:rsid w:val="00772A9E"/>
    <w:rsid w:val="007747FB"/>
    <w:rsid w:val="007758B0"/>
    <w:rsid w:val="00775CA0"/>
    <w:rsid w:val="007764E2"/>
    <w:rsid w:val="00776AEB"/>
    <w:rsid w:val="0077763E"/>
    <w:rsid w:val="007801D0"/>
    <w:rsid w:val="007803AE"/>
    <w:rsid w:val="007805E8"/>
    <w:rsid w:val="00780982"/>
    <w:rsid w:val="007810F8"/>
    <w:rsid w:val="00782C85"/>
    <w:rsid w:val="007834D3"/>
    <w:rsid w:val="007835B8"/>
    <w:rsid w:val="00783BAC"/>
    <w:rsid w:val="00783F30"/>
    <w:rsid w:val="00784DC4"/>
    <w:rsid w:val="00784F48"/>
    <w:rsid w:val="00785B39"/>
    <w:rsid w:val="00785C8A"/>
    <w:rsid w:val="00785FBA"/>
    <w:rsid w:val="00790486"/>
    <w:rsid w:val="00791217"/>
    <w:rsid w:val="0079126F"/>
    <w:rsid w:val="00792703"/>
    <w:rsid w:val="00792736"/>
    <w:rsid w:val="007927E3"/>
    <w:rsid w:val="0079287C"/>
    <w:rsid w:val="0079362E"/>
    <w:rsid w:val="0079388E"/>
    <w:rsid w:val="0079398A"/>
    <w:rsid w:val="00793AA0"/>
    <w:rsid w:val="00793AF8"/>
    <w:rsid w:val="00793F35"/>
    <w:rsid w:val="00793F7F"/>
    <w:rsid w:val="007944E2"/>
    <w:rsid w:val="00795074"/>
    <w:rsid w:val="007954DB"/>
    <w:rsid w:val="007955C4"/>
    <w:rsid w:val="00795926"/>
    <w:rsid w:val="00795F83"/>
    <w:rsid w:val="00796C50"/>
    <w:rsid w:val="007A03DD"/>
    <w:rsid w:val="007A1BA8"/>
    <w:rsid w:val="007A29FE"/>
    <w:rsid w:val="007A2A89"/>
    <w:rsid w:val="007A2A97"/>
    <w:rsid w:val="007A30E4"/>
    <w:rsid w:val="007A63BA"/>
    <w:rsid w:val="007B01AE"/>
    <w:rsid w:val="007B01D7"/>
    <w:rsid w:val="007B02EE"/>
    <w:rsid w:val="007B0C3B"/>
    <w:rsid w:val="007B101B"/>
    <w:rsid w:val="007B1216"/>
    <w:rsid w:val="007B24C1"/>
    <w:rsid w:val="007B2D3E"/>
    <w:rsid w:val="007B41EE"/>
    <w:rsid w:val="007B4F87"/>
    <w:rsid w:val="007B56D1"/>
    <w:rsid w:val="007B5F34"/>
    <w:rsid w:val="007B63E4"/>
    <w:rsid w:val="007B6C07"/>
    <w:rsid w:val="007B6DEF"/>
    <w:rsid w:val="007B73CE"/>
    <w:rsid w:val="007B7AB9"/>
    <w:rsid w:val="007B7BD9"/>
    <w:rsid w:val="007C0116"/>
    <w:rsid w:val="007C164F"/>
    <w:rsid w:val="007C22BC"/>
    <w:rsid w:val="007C31AA"/>
    <w:rsid w:val="007C3552"/>
    <w:rsid w:val="007C40A3"/>
    <w:rsid w:val="007C45BD"/>
    <w:rsid w:val="007C4828"/>
    <w:rsid w:val="007C4AAE"/>
    <w:rsid w:val="007C508A"/>
    <w:rsid w:val="007C5AE4"/>
    <w:rsid w:val="007C6575"/>
    <w:rsid w:val="007C6C42"/>
    <w:rsid w:val="007C794A"/>
    <w:rsid w:val="007D0009"/>
    <w:rsid w:val="007D2B05"/>
    <w:rsid w:val="007D3ACA"/>
    <w:rsid w:val="007D3FE8"/>
    <w:rsid w:val="007D46F6"/>
    <w:rsid w:val="007D4FA5"/>
    <w:rsid w:val="007D6A72"/>
    <w:rsid w:val="007E0651"/>
    <w:rsid w:val="007E15DA"/>
    <w:rsid w:val="007E1A09"/>
    <w:rsid w:val="007E22A7"/>
    <w:rsid w:val="007E2F6A"/>
    <w:rsid w:val="007E38E0"/>
    <w:rsid w:val="007E3BE2"/>
    <w:rsid w:val="007E4356"/>
    <w:rsid w:val="007E4591"/>
    <w:rsid w:val="007E50C3"/>
    <w:rsid w:val="007E6EBD"/>
    <w:rsid w:val="007E76A7"/>
    <w:rsid w:val="007F05FB"/>
    <w:rsid w:val="007F07A8"/>
    <w:rsid w:val="007F096D"/>
    <w:rsid w:val="007F247F"/>
    <w:rsid w:val="007F28C9"/>
    <w:rsid w:val="007F3443"/>
    <w:rsid w:val="007F412B"/>
    <w:rsid w:val="007F4260"/>
    <w:rsid w:val="007F5951"/>
    <w:rsid w:val="007F5AC2"/>
    <w:rsid w:val="007F5B86"/>
    <w:rsid w:val="007F6091"/>
    <w:rsid w:val="007F6102"/>
    <w:rsid w:val="007F648A"/>
    <w:rsid w:val="007F77AC"/>
    <w:rsid w:val="007F7C35"/>
    <w:rsid w:val="007F7DB5"/>
    <w:rsid w:val="00801338"/>
    <w:rsid w:val="008017D6"/>
    <w:rsid w:val="008019A0"/>
    <w:rsid w:val="00801D60"/>
    <w:rsid w:val="00801F63"/>
    <w:rsid w:val="00802528"/>
    <w:rsid w:val="00802ADF"/>
    <w:rsid w:val="00802EFF"/>
    <w:rsid w:val="00802F28"/>
    <w:rsid w:val="0080355D"/>
    <w:rsid w:val="00803A00"/>
    <w:rsid w:val="008052F4"/>
    <w:rsid w:val="00805FA4"/>
    <w:rsid w:val="00806551"/>
    <w:rsid w:val="00806F2F"/>
    <w:rsid w:val="00807189"/>
    <w:rsid w:val="00807F26"/>
    <w:rsid w:val="008103C5"/>
    <w:rsid w:val="00810535"/>
    <w:rsid w:val="008109DC"/>
    <w:rsid w:val="00810B0A"/>
    <w:rsid w:val="008118C6"/>
    <w:rsid w:val="00811B96"/>
    <w:rsid w:val="00812114"/>
    <w:rsid w:val="00812263"/>
    <w:rsid w:val="008123CD"/>
    <w:rsid w:val="008129C9"/>
    <w:rsid w:val="00813D1D"/>
    <w:rsid w:val="00814138"/>
    <w:rsid w:val="00814693"/>
    <w:rsid w:val="00814F60"/>
    <w:rsid w:val="00815A3F"/>
    <w:rsid w:val="00815C98"/>
    <w:rsid w:val="008164E7"/>
    <w:rsid w:val="00816598"/>
    <w:rsid w:val="00817099"/>
    <w:rsid w:val="00817382"/>
    <w:rsid w:val="00820029"/>
    <w:rsid w:val="00820FA9"/>
    <w:rsid w:val="008212FB"/>
    <w:rsid w:val="00821565"/>
    <w:rsid w:val="00821B7B"/>
    <w:rsid w:val="00822484"/>
    <w:rsid w:val="00822D5A"/>
    <w:rsid w:val="008235C4"/>
    <w:rsid w:val="00823932"/>
    <w:rsid w:val="0082396E"/>
    <w:rsid w:val="00824364"/>
    <w:rsid w:val="00824658"/>
    <w:rsid w:val="00824E0C"/>
    <w:rsid w:val="00824E44"/>
    <w:rsid w:val="0082607D"/>
    <w:rsid w:val="008268A7"/>
    <w:rsid w:val="00826C5B"/>
    <w:rsid w:val="0082714F"/>
    <w:rsid w:val="00827792"/>
    <w:rsid w:val="0082782D"/>
    <w:rsid w:val="008303E2"/>
    <w:rsid w:val="008309C1"/>
    <w:rsid w:val="00831147"/>
    <w:rsid w:val="00831323"/>
    <w:rsid w:val="00831702"/>
    <w:rsid w:val="00833016"/>
    <w:rsid w:val="00833066"/>
    <w:rsid w:val="00833322"/>
    <w:rsid w:val="00834095"/>
    <w:rsid w:val="00834958"/>
    <w:rsid w:val="00835AAD"/>
    <w:rsid w:val="00835ED8"/>
    <w:rsid w:val="00836068"/>
    <w:rsid w:val="0083684B"/>
    <w:rsid w:val="008371C1"/>
    <w:rsid w:val="00840641"/>
    <w:rsid w:val="00840652"/>
    <w:rsid w:val="008406AC"/>
    <w:rsid w:val="00843160"/>
    <w:rsid w:val="00843734"/>
    <w:rsid w:val="008441D6"/>
    <w:rsid w:val="00844B34"/>
    <w:rsid w:val="00844C67"/>
    <w:rsid w:val="00845BA1"/>
    <w:rsid w:val="00846A4E"/>
    <w:rsid w:val="008470EF"/>
    <w:rsid w:val="00847666"/>
    <w:rsid w:val="00847FF8"/>
    <w:rsid w:val="008516D3"/>
    <w:rsid w:val="0085179D"/>
    <w:rsid w:val="00851A53"/>
    <w:rsid w:val="00851C33"/>
    <w:rsid w:val="00851C7A"/>
    <w:rsid w:val="00852233"/>
    <w:rsid w:val="0085224A"/>
    <w:rsid w:val="00852268"/>
    <w:rsid w:val="00852314"/>
    <w:rsid w:val="00852539"/>
    <w:rsid w:val="00852943"/>
    <w:rsid w:val="00852B84"/>
    <w:rsid w:val="00853716"/>
    <w:rsid w:val="00853F48"/>
    <w:rsid w:val="008553C9"/>
    <w:rsid w:val="0085546A"/>
    <w:rsid w:val="00855537"/>
    <w:rsid w:val="00855C24"/>
    <w:rsid w:val="00857679"/>
    <w:rsid w:val="00857855"/>
    <w:rsid w:val="00857932"/>
    <w:rsid w:val="008579EF"/>
    <w:rsid w:val="00857B25"/>
    <w:rsid w:val="00857B7F"/>
    <w:rsid w:val="00857DAA"/>
    <w:rsid w:val="008600A6"/>
    <w:rsid w:val="008612AA"/>
    <w:rsid w:val="00861572"/>
    <w:rsid w:val="00862A72"/>
    <w:rsid w:val="00862F50"/>
    <w:rsid w:val="0086319A"/>
    <w:rsid w:val="008632EF"/>
    <w:rsid w:val="008634B1"/>
    <w:rsid w:val="0086540B"/>
    <w:rsid w:val="0086588C"/>
    <w:rsid w:val="00865D51"/>
    <w:rsid w:val="0086662F"/>
    <w:rsid w:val="008669A6"/>
    <w:rsid w:val="00870039"/>
    <w:rsid w:val="00871927"/>
    <w:rsid w:val="00873EE3"/>
    <w:rsid w:val="008744D6"/>
    <w:rsid w:val="008750F5"/>
    <w:rsid w:val="00876721"/>
    <w:rsid w:val="00877FF4"/>
    <w:rsid w:val="00880105"/>
    <w:rsid w:val="0088024D"/>
    <w:rsid w:val="00880CED"/>
    <w:rsid w:val="0088113A"/>
    <w:rsid w:val="00881ADA"/>
    <w:rsid w:val="00881EF0"/>
    <w:rsid w:val="00882B1E"/>
    <w:rsid w:val="00882EDE"/>
    <w:rsid w:val="008832AD"/>
    <w:rsid w:val="008836F2"/>
    <w:rsid w:val="00883B0F"/>
    <w:rsid w:val="00884B11"/>
    <w:rsid w:val="008854BB"/>
    <w:rsid w:val="00885CC4"/>
    <w:rsid w:val="00885DAF"/>
    <w:rsid w:val="00886465"/>
    <w:rsid w:val="0088665D"/>
    <w:rsid w:val="0088679B"/>
    <w:rsid w:val="00887BB9"/>
    <w:rsid w:val="00887D3C"/>
    <w:rsid w:val="008909EA"/>
    <w:rsid w:val="0089169E"/>
    <w:rsid w:val="00891866"/>
    <w:rsid w:val="00891A39"/>
    <w:rsid w:val="0089242D"/>
    <w:rsid w:val="00892FAD"/>
    <w:rsid w:val="00893125"/>
    <w:rsid w:val="0089316E"/>
    <w:rsid w:val="00894A83"/>
    <w:rsid w:val="00894C58"/>
    <w:rsid w:val="008957F7"/>
    <w:rsid w:val="008962E4"/>
    <w:rsid w:val="00896774"/>
    <w:rsid w:val="00897426"/>
    <w:rsid w:val="00897916"/>
    <w:rsid w:val="008A06E2"/>
    <w:rsid w:val="008A07CC"/>
    <w:rsid w:val="008A0AC1"/>
    <w:rsid w:val="008A10A4"/>
    <w:rsid w:val="008A1721"/>
    <w:rsid w:val="008A17A1"/>
    <w:rsid w:val="008A24B8"/>
    <w:rsid w:val="008A359C"/>
    <w:rsid w:val="008A412D"/>
    <w:rsid w:val="008A4310"/>
    <w:rsid w:val="008A4579"/>
    <w:rsid w:val="008A4D0D"/>
    <w:rsid w:val="008A54F7"/>
    <w:rsid w:val="008A5D87"/>
    <w:rsid w:val="008A6F17"/>
    <w:rsid w:val="008A78E2"/>
    <w:rsid w:val="008A79A2"/>
    <w:rsid w:val="008A7E4D"/>
    <w:rsid w:val="008B0075"/>
    <w:rsid w:val="008B02EA"/>
    <w:rsid w:val="008B0BA0"/>
    <w:rsid w:val="008B2086"/>
    <w:rsid w:val="008B3E63"/>
    <w:rsid w:val="008B4960"/>
    <w:rsid w:val="008C0435"/>
    <w:rsid w:val="008C0D3A"/>
    <w:rsid w:val="008C1AA4"/>
    <w:rsid w:val="008C2643"/>
    <w:rsid w:val="008C2AC3"/>
    <w:rsid w:val="008C3918"/>
    <w:rsid w:val="008C3EFB"/>
    <w:rsid w:val="008C5CC9"/>
    <w:rsid w:val="008C6DD8"/>
    <w:rsid w:val="008C7B52"/>
    <w:rsid w:val="008D0489"/>
    <w:rsid w:val="008D0A4C"/>
    <w:rsid w:val="008D1E35"/>
    <w:rsid w:val="008D1F0B"/>
    <w:rsid w:val="008D2036"/>
    <w:rsid w:val="008D265F"/>
    <w:rsid w:val="008D345F"/>
    <w:rsid w:val="008D350F"/>
    <w:rsid w:val="008D40F1"/>
    <w:rsid w:val="008D538F"/>
    <w:rsid w:val="008D55B1"/>
    <w:rsid w:val="008D56C7"/>
    <w:rsid w:val="008D57F6"/>
    <w:rsid w:val="008D5AD8"/>
    <w:rsid w:val="008D5B0D"/>
    <w:rsid w:val="008D5BAD"/>
    <w:rsid w:val="008D5BE3"/>
    <w:rsid w:val="008D6B75"/>
    <w:rsid w:val="008D70C0"/>
    <w:rsid w:val="008D7225"/>
    <w:rsid w:val="008D724B"/>
    <w:rsid w:val="008E06A9"/>
    <w:rsid w:val="008E1B33"/>
    <w:rsid w:val="008E2102"/>
    <w:rsid w:val="008E230A"/>
    <w:rsid w:val="008E3FA8"/>
    <w:rsid w:val="008E4367"/>
    <w:rsid w:val="008E4DA2"/>
    <w:rsid w:val="008E4EBB"/>
    <w:rsid w:val="008E5A46"/>
    <w:rsid w:val="008E5EA6"/>
    <w:rsid w:val="008E5EEE"/>
    <w:rsid w:val="008E5FD0"/>
    <w:rsid w:val="008E6D06"/>
    <w:rsid w:val="008E6EA4"/>
    <w:rsid w:val="008E6EAA"/>
    <w:rsid w:val="008F04B5"/>
    <w:rsid w:val="008F1407"/>
    <w:rsid w:val="008F21AD"/>
    <w:rsid w:val="008F2503"/>
    <w:rsid w:val="008F2A9E"/>
    <w:rsid w:val="008F2C8F"/>
    <w:rsid w:val="008F4410"/>
    <w:rsid w:val="008F461E"/>
    <w:rsid w:val="008F5D3E"/>
    <w:rsid w:val="008F7E56"/>
    <w:rsid w:val="00900A5F"/>
    <w:rsid w:val="00900ED4"/>
    <w:rsid w:val="00901B90"/>
    <w:rsid w:val="009033EF"/>
    <w:rsid w:val="00903537"/>
    <w:rsid w:val="0090368E"/>
    <w:rsid w:val="00903865"/>
    <w:rsid w:val="009038AE"/>
    <w:rsid w:val="0090465E"/>
    <w:rsid w:val="0090488C"/>
    <w:rsid w:val="0090617B"/>
    <w:rsid w:val="0090617F"/>
    <w:rsid w:val="00906402"/>
    <w:rsid w:val="00906487"/>
    <w:rsid w:val="009106D4"/>
    <w:rsid w:val="0091110E"/>
    <w:rsid w:val="009111ED"/>
    <w:rsid w:val="00911AF4"/>
    <w:rsid w:val="009153CF"/>
    <w:rsid w:val="0091551B"/>
    <w:rsid w:val="00915772"/>
    <w:rsid w:val="009159D4"/>
    <w:rsid w:val="00915E90"/>
    <w:rsid w:val="00922A78"/>
    <w:rsid w:val="0092390D"/>
    <w:rsid w:val="00923FD2"/>
    <w:rsid w:val="00924581"/>
    <w:rsid w:val="00924A9B"/>
    <w:rsid w:val="00924D2D"/>
    <w:rsid w:val="00925228"/>
    <w:rsid w:val="00925469"/>
    <w:rsid w:val="00925ADB"/>
    <w:rsid w:val="00925AFD"/>
    <w:rsid w:val="00925BB3"/>
    <w:rsid w:val="00925E6D"/>
    <w:rsid w:val="00926665"/>
    <w:rsid w:val="00926C7F"/>
    <w:rsid w:val="00927118"/>
    <w:rsid w:val="00927789"/>
    <w:rsid w:val="0092799B"/>
    <w:rsid w:val="009313EB"/>
    <w:rsid w:val="00931839"/>
    <w:rsid w:val="00931E3B"/>
    <w:rsid w:val="0093311B"/>
    <w:rsid w:val="00933318"/>
    <w:rsid w:val="009336F8"/>
    <w:rsid w:val="009337BA"/>
    <w:rsid w:val="00933A15"/>
    <w:rsid w:val="009340A2"/>
    <w:rsid w:val="00934387"/>
    <w:rsid w:val="00934495"/>
    <w:rsid w:val="00934BF8"/>
    <w:rsid w:val="00936F54"/>
    <w:rsid w:val="009375C0"/>
    <w:rsid w:val="00940442"/>
    <w:rsid w:val="0094063F"/>
    <w:rsid w:val="00940935"/>
    <w:rsid w:val="009419B8"/>
    <w:rsid w:val="00941E07"/>
    <w:rsid w:val="00943463"/>
    <w:rsid w:val="0094361C"/>
    <w:rsid w:val="00943A2F"/>
    <w:rsid w:val="00943C1F"/>
    <w:rsid w:val="009469ED"/>
    <w:rsid w:val="00946ED4"/>
    <w:rsid w:val="00946F52"/>
    <w:rsid w:val="009473DB"/>
    <w:rsid w:val="0094746B"/>
    <w:rsid w:val="00947894"/>
    <w:rsid w:val="00947D82"/>
    <w:rsid w:val="00951122"/>
    <w:rsid w:val="009520EC"/>
    <w:rsid w:val="00952922"/>
    <w:rsid w:val="009532B3"/>
    <w:rsid w:val="009536F2"/>
    <w:rsid w:val="00954F69"/>
    <w:rsid w:val="00956E12"/>
    <w:rsid w:val="009601D4"/>
    <w:rsid w:val="00960599"/>
    <w:rsid w:val="009609AB"/>
    <w:rsid w:val="00960A00"/>
    <w:rsid w:val="00960B3A"/>
    <w:rsid w:val="009618BF"/>
    <w:rsid w:val="00961FFB"/>
    <w:rsid w:val="009621E7"/>
    <w:rsid w:val="00962579"/>
    <w:rsid w:val="00963768"/>
    <w:rsid w:val="00964292"/>
    <w:rsid w:val="009654DA"/>
    <w:rsid w:val="0096570A"/>
    <w:rsid w:val="00965849"/>
    <w:rsid w:val="00965F06"/>
    <w:rsid w:val="009662F3"/>
    <w:rsid w:val="0096649A"/>
    <w:rsid w:val="0096693F"/>
    <w:rsid w:val="00967C25"/>
    <w:rsid w:val="009705E1"/>
    <w:rsid w:val="0097146C"/>
    <w:rsid w:val="00972035"/>
    <w:rsid w:val="00972D3A"/>
    <w:rsid w:val="009731C7"/>
    <w:rsid w:val="00973738"/>
    <w:rsid w:val="00973895"/>
    <w:rsid w:val="00973D88"/>
    <w:rsid w:val="00975527"/>
    <w:rsid w:val="00975CE6"/>
    <w:rsid w:val="00977024"/>
    <w:rsid w:val="009776B2"/>
    <w:rsid w:val="00977786"/>
    <w:rsid w:val="00980508"/>
    <w:rsid w:val="00980CF5"/>
    <w:rsid w:val="00980EF8"/>
    <w:rsid w:val="00982345"/>
    <w:rsid w:val="009832B1"/>
    <w:rsid w:val="0098558C"/>
    <w:rsid w:val="009859EF"/>
    <w:rsid w:val="00986BAD"/>
    <w:rsid w:val="00986DC8"/>
    <w:rsid w:val="00987CC1"/>
    <w:rsid w:val="009910D0"/>
    <w:rsid w:val="009910E9"/>
    <w:rsid w:val="00991DE2"/>
    <w:rsid w:val="009920B0"/>
    <w:rsid w:val="00992B9F"/>
    <w:rsid w:val="009932ED"/>
    <w:rsid w:val="00993AED"/>
    <w:rsid w:val="00994294"/>
    <w:rsid w:val="00994445"/>
    <w:rsid w:val="0099471E"/>
    <w:rsid w:val="00995ACB"/>
    <w:rsid w:val="00996525"/>
    <w:rsid w:val="009968ED"/>
    <w:rsid w:val="00997478"/>
    <w:rsid w:val="009A03C9"/>
    <w:rsid w:val="009A21C7"/>
    <w:rsid w:val="009A2A1F"/>
    <w:rsid w:val="009A2F3F"/>
    <w:rsid w:val="009A34A9"/>
    <w:rsid w:val="009A569C"/>
    <w:rsid w:val="009A628E"/>
    <w:rsid w:val="009A62B6"/>
    <w:rsid w:val="009A66CD"/>
    <w:rsid w:val="009A6733"/>
    <w:rsid w:val="009A71C9"/>
    <w:rsid w:val="009B08FF"/>
    <w:rsid w:val="009B10C3"/>
    <w:rsid w:val="009B12C9"/>
    <w:rsid w:val="009B1AD2"/>
    <w:rsid w:val="009B266A"/>
    <w:rsid w:val="009B3067"/>
    <w:rsid w:val="009B3387"/>
    <w:rsid w:val="009B3C38"/>
    <w:rsid w:val="009B3F1D"/>
    <w:rsid w:val="009B44EC"/>
    <w:rsid w:val="009B4906"/>
    <w:rsid w:val="009B503E"/>
    <w:rsid w:val="009B56A3"/>
    <w:rsid w:val="009B650C"/>
    <w:rsid w:val="009B77EA"/>
    <w:rsid w:val="009B7D56"/>
    <w:rsid w:val="009C08DE"/>
    <w:rsid w:val="009C0B8F"/>
    <w:rsid w:val="009C1585"/>
    <w:rsid w:val="009C262F"/>
    <w:rsid w:val="009C2CD1"/>
    <w:rsid w:val="009C39A4"/>
    <w:rsid w:val="009C3D2B"/>
    <w:rsid w:val="009C4A7A"/>
    <w:rsid w:val="009C5746"/>
    <w:rsid w:val="009C5A73"/>
    <w:rsid w:val="009C60A1"/>
    <w:rsid w:val="009C64B5"/>
    <w:rsid w:val="009C64D8"/>
    <w:rsid w:val="009C6732"/>
    <w:rsid w:val="009C6B5F"/>
    <w:rsid w:val="009C6D9B"/>
    <w:rsid w:val="009C6F84"/>
    <w:rsid w:val="009C71B7"/>
    <w:rsid w:val="009C72E0"/>
    <w:rsid w:val="009C76BF"/>
    <w:rsid w:val="009C79D3"/>
    <w:rsid w:val="009C7C53"/>
    <w:rsid w:val="009D0228"/>
    <w:rsid w:val="009D03DD"/>
    <w:rsid w:val="009D0E66"/>
    <w:rsid w:val="009D186A"/>
    <w:rsid w:val="009D1ED7"/>
    <w:rsid w:val="009D23DF"/>
    <w:rsid w:val="009D45A5"/>
    <w:rsid w:val="009D4CCD"/>
    <w:rsid w:val="009D6AD2"/>
    <w:rsid w:val="009D79D3"/>
    <w:rsid w:val="009D7DF5"/>
    <w:rsid w:val="009D7FDF"/>
    <w:rsid w:val="009E0BF1"/>
    <w:rsid w:val="009E18AA"/>
    <w:rsid w:val="009E1E41"/>
    <w:rsid w:val="009E1ED9"/>
    <w:rsid w:val="009E1F44"/>
    <w:rsid w:val="009E2152"/>
    <w:rsid w:val="009E2F7A"/>
    <w:rsid w:val="009E433A"/>
    <w:rsid w:val="009E5880"/>
    <w:rsid w:val="009E64F3"/>
    <w:rsid w:val="009F154E"/>
    <w:rsid w:val="009F206F"/>
    <w:rsid w:val="009F27A1"/>
    <w:rsid w:val="009F288E"/>
    <w:rsid w:val="009F31E9"/>
    <w:rsid w:val="009F3437"/>
    <w:rsid w:val="009F3D19"/>
    <w:rsid w:val="009F41EA"/>
    <w:rsid w:val="009F488C"/>
    <w:rsid w:val="009F4D81"/>
    <w:rsid w:val="009F54CD"/>
    <w:rsid w:val="009F5A7C"/>
    <w:rsid w:val="009F5CB2"/>
    <w:rsid w:val="009F5CC4"/>
    <w:rsid w:val="009F64D3"/>
    <w:rsid w:val="009F6598"/>
    <w:rsid w:val="00A00E12"/>
    <w:rsid w:val="00A010E4"/>
    <w:rsid w:val="00A0313F"/>
    <w:rsid w:val="00A0343D"/>
    <w:rsid w:val="00A045BF"/>
    <w:rsid w:val="00A04BF0"/>
    <w:rsid w:val="00A04CD0"/>
    <w:rsid w:val="00A04FF4"/>
    <w:rsid w:val="00A05145"/>
    <w:rsid w:val="00A0583B"/>
    <w:rsid w:val="00A061D6"/>
    <w:rsid w:val="00A065CD"/>
    <w:rsid w:val="00A06FAD"/>
    <w:rsid w:val="00A07053"/>
    <w:rsid w:val="00A07A9C"/>
    <w:rsid w:val="00A07B70"/>
    <w:rsid w:val="00A10FCB"/>
    <w:rsid w:val="00A111E1"/>
    <w:rsid w:val="00A116B8"/>
    <w:rsid w:val="00A1238C"/>
    <w:rsid w:val="00A12B68"/>
    <w:rsid w:val="00A13001"/>
    <w:rsid w:val="00A132EA"/>
    <w:rsid w:val="00A149A0"/>
    <w:rsid w:val="00A154FB"/>
    <w:rsid w:val="00A15708"/>
    <w:rsid w:val="00A15C1A"/>
    <w:rsid w:val="00A16030"/>
    <w:rsid w:val="00A16F9F"/>
    <w:rsid w:val="00A17443"/>
    <w:rsid w:val="00A17BFA"/>
    <w:rsid w:val="00A17DAC"/>
    <w:rsid w:val="00A21F64"/>
    <w:rsid w:val="00A227B8"/>
    <w:rsid w:val="00A237A6"/>
    <w:rsid w:val="00A23A2D"/>
    <w:rsid w:val="00A23C3E"/>
    <w:rsid w:val="00A242B3"/>
    <w:rsid w:val="00A24598"/>
    <w:rsid w:val="00A245D9"/>
    <w:rsid w:val="00A246E1"/>
    <w:rsid w:val="00A24CF0"/>
    <w:rsid w:val="00A2572C"/>
    <w:rsid w:val="00A257C2"/>
    <w:rsid w:val="00A26286"/>
    <w:rsid w:val="00A271AB"/>
    <w:rsid w:val="00A27359"/>
    <w:rsid w:val="00A27D24"/>
    <w:rsid w:val="00A305CB"/>
    <w:rsid w:val="00A32C8A"/>
    <w:rsid w:val="00A34DD3"/>
    <w:rsid w:val="00A35A26"/>
    <w:rsid w:val="00A35FAA"/>
    <w:rsid w:val="00A36A8B"/>
    <w:rsid w:val="00A3734D"/>
    <w:rsid w:val="00A37581"/>
    <w:rsid w:val="00A37B1E"/>
    <w:rsid w:val="00A37D32"/>
    <w:rsid w:val="00A40A33"/>
    <w:rsid w:val="00A423F1"/>
    <w:rsid w:val="00A42746"/>
    <w:rsid w:val="00A43712"/>
    <w:rsid w:val="00A445C4"/>
    <w:rsid w:val="00A44D8B"/>
    <w:rsid w:val="00A45FB2"/>
    <w:rsid w:val="00A47833"/>
    <w:rsid w:val="00A47B43"/>
    <w:rsid w:val="00A50E81"/>
    <w:rsid w:val="00A50EA5"/>
    <w:rsid w:val="00A51259"/>
    <w:rsid w:val="00A515C3"/>
    <w:rsid w:val="00A51DCD"/>
    <w:rsid w:val="00A524EC"/>
    <w:rsid w:val="00A5443B"/>
    <w:rsid w:val="00A54B51"/>
    <w:rsid w:val="00A54F6D"/>
    <w:rsid w:val="00A56437"/>
    <w:rsid w:val="00A56769"/>
    <w:rsid w:val="00A568E0"/>
    <w:rsid w:val="00A56AC7"/>
    <w:rsid w:val="00A57835"/>
    <w:rsid w:val="00A579C1"/>
    <w:rsid w:val="00A57C35"/>
    <w:rsid w:val="00A600B2"/>
    <w:rsid w:val="00A60C1F"/>
    <w:rsid w:val="00A61482"/>
    <w:rsid w:val="00A62229"/>
    <w:rsid w:val="00A625F9"/>
    <w:rsid w:val="00A633BB"/>
    <w:rsid w:val="00A637C8"/>
    <w:rsid w:val="00A64317"/>
    <w:rsid w:val="00A645FB"/>
    <w:rsid w:val="00A649C5"/>
    <w:rsid w:val="00A64D4D"/>
    <w:rsid w:val="00A65BCD"/>
    <w:rsid w:val="00A66012"/>
    <w:rsid w:val="00A6662B"/>
    <w:rsid w:val="00A66837"/>
    <w:rsid w:val="00A676AE"/>
    <w:rsid w:val="00A6771F"/>
    <w:rsid w:val="00A67770"/>
    <w:rsid w:val="00A67DA9"/>
    <w:rsid w:val="00A70EE9"/>
    <w:rsid w:val="00A712D5"/>
    <w:rsid w:val="00A7178D"/>
    <w:rsid w:val="00A73291"/>
    <w:rsid w:val="00A735DF"/>
    <w:rsid w:val="00A7586E"/>
    <w:rsid w:val="00A762D0"/>
    <w:rsid w:val="00A76864"/>
    <w:rsid w:val="00A76E00"/>
    <w:rsid w:val="00A77883"/>
    <w:rsid w:val="00A8075E"/>
    <w:rsid w:val="00A80AAF"/>
    <w:rsid w:val="00A812DE"/>
    <w:rsid w:val="00A82110"/>
    <w:rsid w:val="00A826A1"/>
    <w:rsid w:val="00A82BF5"/>
    <w:rsid w:val="00A82E99"/>
    <w:rsid w:val="00A84123"/>
    <w:rsid w:val="00A842E4"/>
    <w:rsid w:val="00A84577"/>
    <w:rsid w:val="00A845A8"/>
    <w:rsid w:val="00A849E7"/>
    <w:rsid w:val="00A85AAB"/>
    <w:rsid w:val="00A85AC9"/>
    <w:rsid w:val="00A866D3"/>
    <w:rsid w:val="00A8680D"/>
    <w:rsid w:val="00A868A4"/>
    <w:rsid w:val="00A86FAD"/>
    <w:rsid w:val="00A900E0"/>
    <w:rsid w:val="00A90514"/>
    <w:rsid w:val="00A90BFC"/>
    <w:rsid w:val="00A90C10"/>
    <w:rsid w:val="00A90DF8"/>
    <w:rsid w:val="00A91451"/>
    <w:rsid w:val="00A9232E"/>
    <w:rsid w:val="00A93B84"/>
    <w:rsid w:val="00A946FD"/>
    <w:rsid w:val="00A948C2"/>
    <w:rsid w:val="00A94E58"/>
    <w:rsid w:val="00A95582"/>
    <w:rsid w:val="00A957A1"/>
    <w:rsid w:val="00A962F9"/>
    <w:rsid w:val="00A972D6"/>
    <w:rsid w:val="00A976A7"/>
    <w:rsid w:val="00A976AD"/>
    <w:rsid w:val="00AA0340"/>
    <w:rsid w:val="00AA050E"/>
    <w:rsid w:val="00AA1DF4"/>
    <w:rsid w:val="00AA1FA3"/>
    <w:rsid w:val="00AA2CF8"/>
    <w:rsid w:val="00AA3992"/>
    <w:rsid w:val="00AA3FBE"/>
    <w:rsid w:val="00AA51FE"/>
    <w:rsid w:val="00AA6A50"/>
    <w:rsid w:val="00AA71FF"/>
    <w:rsid w:val="00AA7463"/>
    <w:rsid w:val="00AA7B08"/>
    <w:rsid w:val="00AB0178"/>
    <w:rsid w:val="00AB04F7"/>
    <w:rsid w:val="00AB13C2"/>
    <w:rsid w:val="00AB1843"/>
    <w:rsid w:val="00AB2213"/>
    <w:rsid w:val="00AB3B07"/>
    <w:rsid w:val="00AB3B56"/>
    <w:rsid w:val="00AB4502"/>
    <w:rsid w:val="00AB518C"/>
    <w:rsid w:val="00AB5BF4"/>
    <w:rsid w:val="00AB6EE0"/>
    <w:rsid w:val="00AB70AC"/>
    <w:rsid w:val="00AB76F6"/>
    <w:rsid w:val="00AB78DE"/>
    <w:rsid w:val="00AC0829"/>
    <w:rsid w:val="00AC0ED2"/>
    <w:rsid w:val="00AC10D2"/>
    <w:rsid w:val="00AC1ADF"/>
    <w:rsid w:val="00AC246C"/>
    <w:rsid w:val="00AC3F77"/>
    <w:rsid w:val="00AC469E"/>
    <w:rsid w:val="00AC47AC"/>
    <w:rsid w:val="00AC4A15"/>
    <w:rsid w:val="00AC7551"/>
    <w:rsid w:val="00AC7C77"/>
    <w:rsid w:val="00AD1B25"/>
    <w:rsid w:val="00AD1BC7"/>
    <w:rsid w:val="00AD1C32"/>
    <w:rsid w:val="00AD20B1"/>
    <w:rsid w:val="00AD37BD"/>
    <w:rsid w:val="00AD3947"/>
    <w:rsid w:val="00AD543C"/>
    <w:rsid w:val="00AD6FAC"/>
    <w:rsid w:val="00AD735B"/>
    <w:rsid w:val="00AE001F"/>
    <w:rsid w:val="00AE04B6"/>
    <w:rsid w:val="00AE091C"/>
    <w:rsid w:val="00AE0AA7"/>
    <w:rsid w:val="00AE1C54"/>
    <w:rsid w:val="00AE3317"/>
    <w:rsid w:val="00AE38F9"/>
    <w:rsid w:val="00AE3EBE"/>
    <w:rsid w:val="00AE3F52"/>
    <w:rsid w:val="00AE47B2"/>
    <w:rsid w:val="00AE4976"/>
    <w:rsid w:val="00AE53EE"/>
    <w:rsid w:val="00AE55FF"/>
    <w:rsid w:val="00AE7431"/>
    <w:rsid w:val="00AE762F"/>
    <w:rsid w:val="00AE78C2"/>
    <w:rsid w:val="00AE794E"/>
    <w:rsid w:val="00AF0992"/>
    <w:rsid w:val="00AF09C5"/>
    <w:rsid w:val="00AF1A45"/>
    <w:rsid w:val="00AF1DB6"/>
    <w:rsid w:val="00AF2303"/>
    <w:rsid w:val="00AF27C4"/>
    <w:rsid w:val="00AF3190"/>
    <w:rsid w:val="00AF33C0"/>
    <w:rsid w:val="00AF3526"/>
    <w:rsid w:val="00AF3716"/>
    <w:rsid w:val="00AF4709"/>
    <w:rsid w:val="00AF5478"/>
    <w:rsid w:val="00AF5BFF"/>
    <w:rsid w:val="00AF76BF"/>
    <w:rsid w:val="00AF7B82"/>
    <w:rsid w:val="00AF7C98"/>
    <w:rsid w:val="00B008DB"/>
    <w:rsid w:val="00B0185F"/>
    <w:rsid w:val="00B01C67"/>
    <w:rsid w:val="00B027B9"/>
    <w:rsid w:val="00B04094"/>
    <w:rsid w:val="00B04EA3"/>
    <w:rsid w:val="00B05B10"/>
    <w:rsid w:val="00B05F21"/>
    <w:rsid w:val="00B05F4C"/>
    <w:rsid w:val="00B06114"/>
    <w:rsid w:val="00B06336"/>
    <w:rsid w:val="00B073B1"/>
    <w:rsid w:val="00B076EC"/>
    <w:rsid w:val="00B10DA3"/>
    <w:rsid w:val="00B10E4E"/>
    <w:rsid w:val="00B11275"/>
    <w:rsid w:val="00B12E27"/>
    <w:rsid w:val="00B131E5"/>
    <w:rsid w:val="00B13432"/>
    <w:rsid w:val="00B13D44"/>
    <w:rsid w:val="00B14647"/>
    <w:rsid w:val="00B15423"/>
    <w:rsid w:val="00B15660"/>
    <w:rsid w:val="00B15B5E"/>
    <w:rsid w:val="00B164B1"/>
    <w:rsid w:val="00B16D31"/>
    <w:rsid w:val="00B16F55"/>
    <w:rsid w:val="00B17696"/>
    <w:rsid w:val="00B17BCB"/>
    <w:rsid w:val="00B17E6E"/>
    <w:rsid w:val="00B17F77"/>
    <w:rsid w:val="00B17FA6"/>
    <w:rsid w:val="00B200E8"/>
    <w:rsid w:val="00B211A3"/>
    <w:rsid w:val="00B21253"/>
    <w:rsid w:val="00B21363"/>
    <w:rsid w:val="00B2181D"/>
    <w:rsid w:val="00B2195D"/>
    <w:rsid w:val="00B21D77"/>
    <w:rsid w:val="00B22562"/>
    <w:rsid w:val="00B23667"/>
    <w:rsid w:val="00B23C91"/>
    <w:rsid w:val="00B24373"/>
    <w:rsid w:val="00B246F7"/>
    <w:rsid w:val="00B255F3"/>
    <w:rsid w:val="00B25759"/>
    <w:rsid w:val="00B27030"/>
    <w:rsid w:val="00B27C32"/>
    <w:rsid w:val="00B27DC0"/>
    <w:rsid w:val="00B31C53"/>
    <w:rsid w:val="00B31EF8"/>
    <w:rsid w:val="00B324F7"/>
    <w:rsid w:val="00B33FAA"/>
    <w:rsid w:val="00B34FBA"/>
    <w:rsid w:val="00B353E6"/>
    <w:rsid w:val="00B35426"/>
    <w:rsid w:val="00B35BDD"/>
    <w:rsid w:val="00B367F6"/>
    <w:rsid w:val="00B37939"/>
    <w:rsid w:val="00B40375"/>
    <w:rsid w:val="00B40B86"/>
    <w:rsid w:val="00B411B7"/>
    <w:rsid w:val="00B4124B"/>
    <w:rsid w:val="00B41616"/>
    <w:rsid w:val="00B41DD5"/>
    <w:rsid w:val="00B41DFE"/>
    <w:rsid w:val="00B42105"/>
    <w:rsid w:val="00B4212B"/>
    <w:rsid w:val="00B428DB"/>
    <w:rsid w:val="00B4350D"/>
    <w:rsid w:val="00B44284"/>
    <w:rsid w:val="00B44C85"/>
    <w:rsid w:val="00B456C0"/>
    <w:rsid w:val="00B50364"/>
    <w:rsid w:val="00B507D9"/>
    <w:rsid w:val="00B50996"/>
    <w:rsid w:val="00B51311"/>
    <w:rsid w:val="00B515D8"/>
    <w:rsid w:val="00B5254E"/>
    <w:rsid w:val="00B525DD"/>
    <w:rsid w:val="00B52C3A"/>
    <w:rsid w:val="00B52F64"/>
    <w:rsid w:val="00B5416B"/>
    <w:rsid w:val="00B55AF3"/>
    <w:rsid w:val="00B5732E"/>
    <w:rsid w:val="00B575EF"/>
    <w:rsid w:val="00B605DD"/>
    <w:rsid w:val="00B60794"/>
    <w:rsid w:val="00B609B8"/>
    <w:rsid w:val="00B60AD2"/>
    <w:rsid w:val="00B6173E"/>
    <w:rsid w:val="00B61C3C"/>
    <w:rsid w:val="00B61CFF"/>
    <w:rsid w:val="00B639EA"/>
    <w:rsid w:val="00B64A17"/>
    <w:rsid w:val="00B66003"/>
    <w:rsid w:val="00B66738"/>
    <w:rsid w:val="00B701DF"/>
    <w:rsid w:val="00B71422"/>
    <w:rsid w:val="00B72855"/>
    <w:rsid w:val="00B73B3C"/>
    <w:rsid w:val="00B748A7"/>
    <w:rsid w:val="00B74DE3"/>
    <w:rsid w:val="00B775E5"/>
    <w:rsid w:val="00B805AB"/>
    <w:rsid w:val="00B809AC"/>
    <w:rsid w:val="00B81443"/>
    <w:rsid w:val="00B81529"/>
    <w:rsid w:val="00B81F7F"/>
    <w:rsid w:val="00B81FE7"/>
    <w:rsid w:val="00B82774"/>
    <w:rsid w:val="00B84B99"/>
    <w:rsid w:val="00B85369"/>
    <w:rsid w:val="00B855FE"/>
    <w:rsid w:val="00B86563"/>
    <w:rsid w:val="00B866BD"/>
    <w:rsid w:val="00B87A03"/>
    <w:rsid w:val="00B90F4A"/>
    <w:rsid w:val="00B91225"/>
    <w:rsid w:val="00B916B2"/>
    <w:rsid w:val="00B9257E"/>
    <w:rsid w:val="00B92D89"/>
    <w:rsid w:val="00B92DF0"/>
    <w:rsid w:val="00B9448D"/>
    <w:rsid w:val="00B948B7"/>
    <w:rsid w:val="00B95528"/>
    <w:rsid w:val="00B9580D"/>
    <w:rsid w:val="00B95CBC"/>
    <w:rsid w:val="00B95CC6"/>
    <w:rsid w:val="00B96143"/>
    <w:rsid w:val="00B96920"/>
    <w:rsid w:val="00B96B1C"/>
    <w:rsid w:val="00B96B66"/>
    <w:rsid w:val="00B972D1"/>
    <w:rsid w:val="00BA0B13"/>
    <w:rsid w:val="00BA0B2E"/>
    <w:rsid w:val="00BA0D3B"/>
    <w:rsid w:val="00BA1018"/>
    <w:rsid w:val="00BA18B4"/>
    <w:rsid w:val="00BA23A6"/>
    <w:rsid w:val="00BA253D"/>
    <w:rsid w:val="00BA2608"/>
    <w:rsid w:val="00BA2B98"/>
    <w:rsid w:val="00BA3212"/>
    <w:rsid w:val="00BA3238"/>
    <w:rsid w:val="00BA4352"/>
    <w:rsid w:val="00BA4425"/>
    <w:rsid w:val="00BA49BF"/>
    <w:rsid w:val="00BA788C"/>
    <w:rsid w:val="00BA7D47"/>
    <w:rsid w:val="00BB134C"/>
    <w:rsid w:val="00BB290F"/>
    <w:rsid w:val="00BB2BBF"/>
    <w:rsid w:val="00BB3F7E"/>
    <w:rsid w:val="00BB5402"/>
    <w:rsid w:val="00BB5924"/>
    <w:rsid w:val="00BB6939"/>
    <w:rsid w:val="00BB71EC"/>
    <w:rsid w:val="00BB7D6E"/>
    <w:rsid w:val="00BC00B3"/>
    <w:rsid w:val="00BC0912"/>
    <w:rsid w:val="00BC0BED"/>
    <w:rsid w:val="00BC0D7E"/>
    <w:rsid w:val="00BC1F9D"/>
    <w:rsid w:val="00BC21CB"/>
    <w:rsid w:val="00BC2EEA"/>
    <w:rsid w:val="00BC2F89"/>
    <w:rsid w:val="00BC3469"/>
    <w:rsid w:val="00BC358E"/>
    <w:rsid w:val="00BC416B"/>
    <w:rsid w:val="00BC4176"/>
    <w:rsid w:val="00BC4672"/>
    <w:rsid w:val="00BC48E9"/>
    <w:rsid w:val="00BC495D"/>
    <w:rsid w:val="00BC5F4F"/>
    <w:rsid w:val="00BC6369"/>
    <w:rsid w:val="00BC63F9"/>
    <w:rsid w:val="00BC64D7"/>
    <w:rsid w:val="00BC720A"/>
    <w:rsid w:val="00BC7B25"/>
    <w:rsid w:val="00BC7DB3"/>
    <w:rsid w:val="00BC7EC4"/>
    <w:rsid w:val="00BC7FF4"/>
    <w:rsid w:val="00BD0A27"/>
    <w:rsid w:val="00BD18B7"/>
    <w:rsid w:val="00BD2B41"/>
    <w:rsid w:val="00BD3B80"/>
    <w:rsid w:val="00BD441E"/>
    <w:rsid w:val="00BD5ACD"/>
    <w:rsid w:val="00BD6AD7"/>
    <w:rsid w:val="00BD6F41"/>
    <w:rsid w:val="00BD7079"/>
    <w:rsid w:val="00BD720A"/>
    <w:rsid w:val="00BE0D3F"/>
    <w:rsid w:val="00BE0FC1"/>
    <w:rsid w:val="00BE15BF"/>
    <w:rsid w:val="00BE1F5C"/>
    <w:rsid w:val="00BE2ED7"/>
    <w:rsid w:val="00BE4713"/>
    <w:rsid w:val="00BE4810"/>
    <w:rsid w:val="00BE4DFB"/>
    <w:rsid w:val="00BE5A9A"/>
    <w:rsid w:val="00BE5AEF"/>
    <w:rsid w:val="00BE6FBC"/>
    <w:rsid w:val="00BE7449"/>
    <w:rsid w:val="00BE74E4"/>
    <w:rsid w:val="00BE75BF"/>
    <w:rsid w:val="00BE7792"/>
    <w:rsid w:val="00BF06A0"/>
    <w:rsid w:val="00BF0D17"/>
    <w:rsid w:val="00BF0D7A"/>
    <w:rsid w:val="00BF100A"/>
    <w:rsid w:val="00BF10BE"/>
    <w:rsid w:val="00BF19ED"/>
    <w:rsid w:val="00BF23A8"/>
    <w:rsid w:val="00BF2A05"/>
    <w:rsid w:val="00BF2D03"/>
    <w:rsid w:val="00BF3025"/>
    <w:rsid w:val="00BF39EB"/>
    <w:rsid w:val="00BF3CDF"/>
    <w:rsid w:val="00BF4082"/>
    <w:rsid w:val="00BF4806"/>
    <w:rsid w:val="00BF55D7"/>
    <w:rsid w:val="00BF5C48"/>
    <w:rsid w:val="00BF60DA"/>
    <w:rsid w:val="00BF6D52"/>
    <w:rsid w:val="00BF7254"/>
    <w:rsid w:val="00BF756F"/>
    <w:rsid w:val="00BF7A30"/>
    <w:rsid w:val="00C006CC"/>
    <w:rsid w:val="00C009C9"/>
    <w:rsid w:val="00C00FA8"/>
    <w:rsid w:val="00C01157"/>
    <w:rsid w:val="00C01709"/>
    <w:rsid w:val="00C02344"/>
    <w:rsid w:val="00C02D30"/>
    <w:rsid w:val="00C03002"/>
    <w:rsid w:val="00C03572"/>
    <w:rsid w:val="00C066D0"/>
    <w:rsid w:val="00C06F5C"/>
    <w:rsid w:val="00C06FC9"/>
    <w:rsid w:val="00C07072"/>
    <w:rsid w:val="00C077C3"/>
    <w:rsid w:val="00C079C7"/>
    <w:rsid w:val="00C10AAF"/>
    <w:rsid w:val="00C11F00"/>
    <w:rsid w:val="00C1330D"/>
    <w:rsid w:val="00C13AAD"/>
    <w:rsid w:val="00C140A5"/>
    <w:rsid w:val="00C1458D"/>
    <w:rsid w:val="00C147B2"/>
    <w:rsid w:val="00C15637"/>
    <w:rsid w:val="00C173B5"/>
    <w:rsid w:val="00C174A8"/>
    <w:rsid w:val="00C1798D"/>
    <w:rsid w:val="00C208B2"/>
    <w:rsid w:val="00C208D5"/>
    <w:rsid w:val="00C210AC"/>
    <w:rsid w:val="00C21919"/>
    <w:rsid w:val="00C21B54"/>
    <w:rsid w:val="00C21CFB"/>
    <w:rsid w:val="00C21DDE"/>
    <w:rsid w:val="00C22CB1"/>
    <w:rsid w:val="00C23A93"/>
    <w:rsid w:val="00C2666E"/>
    <w:rsid w:val="00C26B51"/>
    <w:rsid w:val="00C26C6D"/>
    <w:rsid w:val="00C26F9A"/>
    <w:rsid w:val="00C303F8"/>
    <w:rsid w:val="00C313AB"/>
    <w:rsid w:val="00C31DB6"/>
    <w:rsid w:val="00C323FA"/>
    <w:rsid w:val="00C33125"/>
    <w:rsid w:val="00C33271"/>
    <w:rsid w:val="00C332EE"/>
    <w:rsid w:val="00C3434B"/>
    <w:rsid w:val="00C3452B"/>
    <w:rsid w:val="00C34600"/>
    <w:rsid w:val="00C347A2"/>
    <w:rsid w:val="00C36251"/>
    <w:rsid w:val="00C369BE"/>
    <w:rsid w:val="00C36D80"/>
    <w:rsid w:val="00C371CA"/>
    <w:rsid w:val="00C374EC"/>
    <w:rsid w:val="00C403D3"/>
    <w:rsid w:val="00C408E9"/>
    <w:rsid w:val="00C4095D"/>
    <w:rsid w:val="00C41A55"/>
    <w:rsid w:val="00C41DB7"/>
    <w:rsid w:val="00C41DE2"/>
    <w:rsid w:val="00C4239A"/>
    <w:rsid w:val="00C42548"/>
    <w:rsid w:val="00C427A2"/>
    <w:rsid w:val="00C42992"/>
    <w:rsid w:val="00C4449C"/>
    <w:rsid w:val="00C44FE6"/>
    <w:rsid w:val="00C450C0"/>
    <w:rsid w:val="00C45511"/>
    <w:rsid w:val="00C45AA1"/>
    <w:rsid w:val="00C46355"/>
    <w:rsid w:val="00C47097"/>
    <w:rsid w:val="00C47409"/>
    <w:rsid w:val="00C50365"/>
    <w:rsid w:val="00C50BFC"/>
    <w:rsid w:val="00C50D7C"/>
    <w:rsid w:val="00C50FE9"/>
    <w:rsid w:val="00C52535"/>
    <w:rsid w:val="00C542BB"/>
    <w:rsid w:val="00C55915"/>
    <w:rsid w:val="00C55FB4"/>
    <w:rsid w:val="00C5699D"/>
    <w:rsid w:val="00C56B67"/>
    <w:rsid w:val="00C570F5"/>
    <w:rsid w:val="00C57661"/>
    <w:rsid w:val="00C577DE"/>
    <w:rsid w:val="00C57CB7"/>
    <w:rsid w:val="00C61D13"/>
    <w:rsid w:val="00C61E3B"/>
    <w:rsid w:val="00C6285D"/>
    <w:rsid w:val="00C62EC7"/>
    <w:rsid w:val="00C64162"/>
    <w:rsid w:val="00C64A90"/>
    <w:rsid w:val="00C65384"/>
    <w:rsid w:val="00C655D0"/>
    <w:rsid w:val="00C6597B"/>
    <w:rsid w:val="00C66288"/>
    <w:rsid w:val="00C66AA7"/>
    <w:rsid w:val="00C66F55"/>
    <w:rsid w:val="00C70156"/>
    <w:rsid w:val="00C7035E"/>
    <w:rsid w:val="00C70467"/>
    <w:rsid w:val="00C70877"/>
    <w:rsid w:val="00C72695"/>
    <w:rsid w:val="00C739FA"/>
    <w:rsid w:val="00C73EEC"/>
    <w:rsid w:val="00C74300"/>
    <w:rsid w:val="00C74370"/>
    <w:rsid w:val="00C7440C"/>
    <w:rsid w:val="00C74EF0"/>
    <w:rsid w:val="00C757F2"/>
    <w:rsid w:val="00C7590C"/>
    <w:rsid w:val="00C75CD6"/>
    <w:rsid w:val="00C809F2"/>
    <w:rsid w:val="00C80E89"/>
    <w:rsid w:val="00C80FDB"/>
    <w:rsid w:val="00C810EB"/>
    <w:rsid w:val="00C8239C"/>
    <w:rsid w:val="00C82AF9"/>
    <w:rsid w:val="00C82CD6"/>
    <w:rsid w:val="00C838E1"/>
    <w:rsid w:val="00C8403A"/>
    <w:rsid w:val="00C8502B"/>
    <w:rsid w:val="00C85798"/>
    <w:rsid w:val="00C85AF5"/>
    <w:rsid w:val="00C86410"/>
    <w:rsid w:val="00C86D5D"/>
    <w:rsid w:val="00C904A6"/>
    <w:rsid w:val="00C90B66"/>
    <w:rsid w:val="00C90D09"/>
    <w:rsid w:val="00C91E2F"/>
    <w:rsid w:val="00C9209D"/>
    <w:rsid w:val="00C92EB6"/>
    <w:rsid w:val="00C931A8"/>
    <w:rsid w:val="00C93E95"/>
    <w:rsid w:val="00C943B5"/>
    <w:rsid w:val="00C9500F"/>
    <w:rsid w:val="00C952C0"/>
    <w:rsid w:val="00C95572"/>
    <w:rsid w:val="00C962E1"/>
    <w:rsid w:val="00C963B0"/>
    <w:rsid w:val="00C9640F"/>
    <w:rsid w:val="00C965D2"/>
    <w:rsid w:val="00C96B12"/>
    <w:rsid w:val="00C97F7F"/>
    <w:rsid w:val="00CA03BB"/>
    <w:rsid w:val="00CA04AD"/>
    <w:rsid w:val="00CA19B2"/>
    <w:rsid w:val="00CA326D"/>
    <w:rsid w:val="00CA33A5"/>
    <w:rsid w:val="00CA3B91"/>
    <w:rsid w:val="00CA4232"/>
    <w:rsid w:val="00CA5C77"/>
    <w:rsid w:val="00CA64C6"/>
    <w:rsid w:val="00CA67B6"/>
    <w:rsid w:val="00CA6910"/>
    <w:rsid w:val="00CA75BC"/>
    <w:rsid w:val="00CB0482"/>
    <w:rsid w:val="00CB1605"/>
    <w:rsid w:val="00CB1A69"/>
    <w:rsid w:val="00CB20AB"/>
    <w:rsid w:val="00CB45F0"/>
    <w:rsid w:val="00CB53FF"/>
    <w:rsid w:val="00CB5505"/>
    <w:rsid w:val="00CB5A15"/>
    <w:rsid w:val="00CB5CDD"/>
    <w:rsid w:val="00CB5DB7"/>
    <w:rsid w:val="00CB61FF"/>
    <w:rsid w:val="00CB6544"/>
    <w:rsid w:val="00CB677C"/>
    <w:rsid w:val="00CB6A13"/>
    <w:rsid w:val="00CB7D5B"/>
    <w:rsid w:val="00CC0A2E"/>
    <w:rsid w:val="00CC27B9"/>
    <w:rsid w:val="00CC3582"/>
    <w:rsid w:val="00CC3B46"/>
    <w:rsid w:val="00CC4073"/>
    <w:rsid w:val="00CC4722"/>
    <w:rsid w:val="00CC488E"/>
    <w:rsid w:val="00CC495E"/>
    <w:rsid w:val="00CC521E"/>
    <w:rsid w:val="00CC6952"/>
    <w:rsid w:val="00CC6E1F"/>
    <w:rsid w:val="00CC6F56"/>
    <w:rsid w:val="00CC7D61"/>
    <w:rsid w:val="00CC7F84"/>
    <w:rsid w:val="00CD0305"/>
    <w:rsid w:val="00CD1447"/>
    <w:rsid w:val="00CD16EE"/>
    <w:rsid w:val="00CD1B44"/>
    <w:rsid w:val="00CD2393"/>
    <w:rsid w:val="00CD28B9"/>
    <w:rsid w:val="00CD3C33"/>
    <w:rsid w:val="00CD45C1"/>
    <w:rsid w:val="00CD4938"/>
    <w:rsid w:val="00CD4942"/>
    <w:rsid w:val="00CD49BF"/>
    <w:rsid w:val="00CD5C38"/>
    <w:rsid w:val="00CD5CB9"/>
    <w:rsid w:val="00CD609B"/>
    <w:rsid w:val="00CD6C01"/>
    <w:rsid w:val="00CD7410"/>
    <w:rsid w:val="00CD756F"/>
    <w:rsid w:val="00CE066F"/>
    <w:rsid w:val="00CE0749"/>
    <w:rsid w:val="00CE1025"/>
    <w:rsid w:val="00CE19A8"/>
    <w:rsid w:val="00CE268C"/>
    <w:rsid w:val="00CE40F5"/>
    <w:rsid w:val="00CE4745"/>
    <w:rsid w:val="00CE5046"/>
    <w:rsid w:val="00CE657B"/>
    <w:rsid w:val="00CE6BB1"/>
    <w:rsid w:val="00CE6CA6"/>
    <w:rsid w:val="00CF28D4"/>
    <w:rsid w:val="00CF3CDB"/>
    <w:rsid w:val="00CF43DE"/>
    <w:rsid w:val="00CF4471"/>
    <w:rsid w:val="00CF4861"/>
    <w:rsid w:val="00CF5101"/>
    <w:rsid w:val="00CF689D"/>
    <w:rsid w:val="00CF7595"/>
    <w:rsid w:val="00D00C6F"/>
    <w:rsid w:val="00D0254A"/>
    <w:rsid w:val="00D02661"/>
    <w:rsid w:val="00D02DAE"/>
    <w:rsid w:val="00D034A0"/>
    <w:rsid w:val="00D03628"/>
    <w:rsid w:val="00D04658"/>
    <w:rsid w:val="00D0563B"/>
    <w:rsid w:val="00D06447"/>
    <w:rsid w:val="00D06791"/>
    <w:rsid w:val="00D075FB"/>
    <w:rsid w:val="00D07638"/>
    <w:rsid w:val="00D1128D"/>
    <w:rsid w:val="00D1132B"/>
    <w:rsid w:val="00D11914"/>
    <w:rsid w:val="00D133E4"/>
    <w:rsid w:val="00D14B30"/>
    <w:rsid w:val="00D14BAC"/>
    <w:rsid w:val="00D15103"/>
    <w:rsid w:val="00D151C1"/>
    <w:rsid w:val="00D15425"/>
    <w:rsid w:val="00D154C5"/>
    <w:rsid w:val="00D15B1A"/>
    <w:rsid w:val="00D16506"/>
    <w:rsid w:val="00D16E39"/>
    <w:rsid w:val="00D173F7"/>
    <w:rsid w:val="00D17835"/>
    <w:rsid w:val="00D20404"/>
    <w:rsid w:val="00D20E5A"/>
    <w:rsid w:val="00D21407"/>
    <w:rsid w:val="00D218BD"/>
    <w:rsid w:val="00D227F6"/>
    <w:rsid w:val="00D232DF"/>
    <w:rsid w:val="00D23317"/>
    <w:rsid w:val="00D249E8"/>
    <w:rsid w:val="00D25138"/>
    <w:rsid w:val="00D2573E"/>
    <w:rsid w:val="00D25E3B"/>
    <w:rsid w:val="00D26B24"/>
    <w:rsid w:val="00D26FB9"/>
    <w:rsid w:val="00D27A40"/>
    <w:rsid w:val="00D30652"/>
    <w:rsid w:val="00D307CE"/>
    <w:rsid w:val="00D310DF"/>
    <w:rsid w:val="00D3177D"/>
    <w:rsid w:val="00D31EFF"/>
    <w:rsid w:val="00D323EE"/>
    <w:rsid w:val="00D324A1"/>
    <w:rsid w:val="00D33DB8"/>
    <w:rsid w:val="00D36025"/>
    <w:rsid w:val="00D3704C"/>
    <w:rsid w:val="00D4018F"/>
    <w:rsid w:val="00D40DB3"/>
    <w:rsid w:val="00D40F69"/>
    <w:rsid w:val="00D41109"/>
    <w:rsid w:val="00D41471"/>
    <w:rsid w:val="00D42404"/>
    <w:rsid w:val="00D42C24"/>
    <w:rsid w:val="00D43DAC"/>
    <w:rsid w:val="00D44EDE"/>
    <w:rsid w:val="00D4513D"/>
    <w:rsid w:val="00D4541B"/>
    <w:rsid w:val="00D46DCC"/>
    <w:rsid w:val="00D47419"/>
    <w:rsid w:val="00D47A94"/>
    <w:rsid w:val="00D47AE1"/>
    <w:rsid w:val="00D47B11"/>
    <w:rsid w:val="00D504B1"/>
    <w:rsid w:val="00D504FA"/>
    <w:rsid w:val="00D51487"/>
    <w:rsid w:val="00D5307F"/>
    <w:rsid w:val="00D5327B"/>
    <w:rsid w:val="00D53630"/>
    <w:rsid w:val="00D53701"/>
    <w:rsid w:val="00D53723"/>
    <w:rsid w:val="00D5402A"/>
    <w:rsid w:val="00D54C47"/>
    <w:rsid w:val="00D54D4F"/>
    <w:rsid w:val="00D54F62"/>
    <w:rsid w:val="00D55F3A"/>
    <w:rsid w:val="00D5606B"/>
    <w:rsid w:val="00D567B7"/>
    <w:rsid w:val="00D57166"/>
    <w:rsid w:val="00D57382"/>
    <w:rsid w:val="00D57A12"/>
    <w:rsid w:val="00D57B82"/>
    <w:rsid w:val="00D57CE1"/>
    <w:rsid w:val="00D60201"/>
    <w:rsid w:val="00D602EF"/>
    <w:rsid w:val="00D60574"/>
    <w:rsid w:val="00D61239"/>
    <w:rsid w:val="00D61B4B"/>
    <w:rsid w:val="00D61C93"/>
    <w:rsid w:val="00D6205F"/>
    <w:rsid w:val="00D6216B"/>
    <w:rsid w:val="00D6246B"/>
    <w:rsid w:val="00D630A3"/>
    <w:rsid w:val="00D63B5A"/>
    <w:rsid w:val="00D64565"/>
    <w:rsid w:val="00D645F2"/>
    <w:rsid w:val="00D658B1"/>
    <w:rsid w:val="00D65E35"/>
    <w:rsid w:val="00D6708F"/>
    <w:rsid w:val="00D67507"/>
    <w:rsid w:val="00D707F4"/>
    <w:rsid w:val="00D70A4C"/>
    <w:rsid w:val="00D7156F"/>
    <w:rsid w:val="00D7238B"/>
    <w:rsid w:val="00D7262D"/>
    <w:rsid w:val="00D727EB"/>
    <w:rsid w:val="00D72826"/>
    <w:rsid w:val="00D728F1"/>
    <w:rsid w:val="00D730A6"/>
    <w:rsid w:val="00D75252"/>
    <w:rsid w:val="00D7543E"/>
    <w:rsid w:val="00D75BE2"/>
    <w:rsid w:val="00D76382"/>
    <w:rsid w:val="00D766E8"/>
    <w:rsid w:val="00D76935"/>
    <w:rsid w:val="00D77BC7"/>
    <w:rsid w:val="00D80BB7"/>
    <w:rsid w:val="00D80CBE"/>
    <w:rsid w:val="00D81421"/>
    <w:rsid w:val="00D8224D"/>
    <w:rsid w:val="00D82894"/>
    <w:rsid w:val="00D83316"/>
    <w:rsid w:val="00D83970"/>
    <w:rsid w:val="00D83C94"/>
    <w:rsid w:val="00D84678"/>
    <w:rsid w:val="00D84AC1"/>
    <w:rsid w:val="00D855DF"/>
    <w:rsid w:val="00D8630E"/>
    <w:rsid w:val="00D86B0F"/>
    <w:rsid w:val="00D873D0"/>
    <w:rsid w:val="00D8758F"/>
    <w:rsid w:val="00D90114"/>
    <w:rsid w:val="00D91F8E"/>
    <w:rsid w:val="00D9244F"/>
    <w:rsid w:val="00D92CE6"/>
    <w:rsid w:val="00D93388"/>
    <w:rsid w:val="00D939A2"/>
    <w:rsid w:val="00D94098"/>
    <w:rsid w:val="00D94203"/>
    <w:rsid w:val="00D9433E"/>
    <w:rsid w:val="00D95337"/>
    <w:rsid w:val="00D95402"/>
    <w:rsid w:val="00D955AD"/>
    <w:rsid w:val="00D968F8"/>
    <w:rsid w:val="00DA00E2"/>
    <w:rsid w:val="00DA0331"/>
    <w:rsid w:val="00DA0B57"/>
    <w:rsid w:val="00DA0E17"/>
    <w:rsid w:val="00DA2BCE"/>
    <w:rsid w:val="00DA2C2E"/>
    <w:rsid w:val="00DA2E62"/>
    <w:rsid w:val="00DA3594"/>
    <w:rsid w:val="00DA5916"/>
    <w:rsid w:val="00DA6326"/>
    <w:rsid w:val="00DA6695"/>
    <w:rsid w:val="00DA754C"/>
    <w:rsid w:val="00DB1850"/>
    <w:rsid w:val="00DB19FE"/>
    <w:rsid w:val="00DB1A32"/>
    <w:rsid w:val="00DB1FAF"/>
    <w:rsid w:val="00DB2739"/>
    <w:rsid w:val="00DB2EBD"/>
    <w:rsid w:val="00DB2F43"/>
    <w:rsid w:val="00DB3DEA"/>
    <w:rsid w:val="00DB427E"/>
    <w:rsid w:val="00DB4538"/>
    <w:rsid w:val="00DB7125"/>
    <w:rsid w:val="00DB75D2"/>
    <w:rsid w:val="00DB7C84"/>
    <w:rsid w:val="00DB7E06"/>
    <w:rsid w:val="00DC039E"/>
    <w:rsid w:val="00DC08E0"/>
    <w:rsid w:val="00DC0C5E"/>
    <w:rsid w:val="00DC0FD7"/>
    <w:rsid w:val="00DC2662"/>
    <w:rsid w:val="00DC26C4"/>
    <w:rsid w:val="00DC2726"/>
    <w:rsid w:val="00DC2AE4"/>
    <w:rsid w:val="00DC2E85"/>
    <w:rsid w:val="00DC2FDD"/>
    <w:rsid w:val="00DC3003"/>
    <w:rsid w:val="00DC4DDF"/>
    <w:rsid w:val="00DC5758"/>
    <w:rsid w:val="00DC5A44"/>
    <w:rsid w:val="00DC5B94"/>
    <w:rsid w:val="00DC6361"/>
    <w:rsid w:val="00DC6445"/>
    <w:rsid w:val="00DC6778"/>
    <w:rsid w:val="00DC6959"/>
    <w:rsid w:val="00DC7EA8"/>
    <w:rsid w:val="00DD00B5"/>
    <w:rsid w:val="00DD08D2"/>
    <w:rsid w:val="00DD0A9E"/>
    <w:rsid w:val="00DD18F2"/>
    <w:rsid w:val="00DD1FEC"/>
    <w:rsid w:val="00DD2ABA"/>
    <w:rsid w:val="00DD2BAF"/>
    <w:rsid w:val="00DD3C0A"/>
    <w:rsid w:val="00DD3C66"/>
    <w:rsid w:val="00DD40AE"/>
    <w:rsid w:val="00DD433E"/>
    <w:rsid w:val="00DD57C8"/>
    <w:rsid w:val="00DD5923"/>
    <w:rsid w:val="00DD6AF6"/>
    <w:rsid w:val="00DD6CA1"/>
    <w:rsid w:val="00DD7341"/>
    <w:rsid w:val="00DE00CA"/>
    <w:rsid w:val="00DE0388"/>
    <w:rsid w:val="00DE0D95"/>
    <w:rsid w:val="00DE1548"/>
    <w:rsid w:val="00DE1911"/>
    <w:rsid w:val="00DE28E9"/>
    <w:rsid w:val="00DE2A20"/>
    <w:rsid w:val="00DE49E0"/>
    <w:rsid w:val="00DE567F"/>
    <w:rsid w:val="00DE590B"/>
    <w:rsid w:val="00DE61DD"/>
    <w:rsid w:val="00DE7795"/>
    <w:rsid w:val="00DF1553"/>
    <w:rsid w:val="00DF264A"/>
    <w:rsid w:val="00DF2E4E"/>
    <w:rsid w:val="00DF3041"/>
    <w:rsid w:val="00DF322C"/>
    <w:rsid w:val="00DF4819"/>
    <w:rsid w:val="00DF59A0"/>
    <w:rsid w:val="00DF67BD"/>
    <w:rsid w:val="00E008F2"/>
    <w:rsid w:val="00E00A42"/>
    <w:rsid w:val="00E010C7"/>
    <w:rsid w:val="00E01314"/>
    <w:rsid w:val="00E01C55"/>
    <w:rsid w:val="00E026B7"/>
    <w:rsid w:val="00E03708"/>
    <w:rsid w:val="00E03F22"/>
    <w:rsid w:val="00E05674"/>
    <w:rsid w:val="00E067D9"/>
    <w:rsid w:val="00E06A1B"/>
    <w:rsid w:val="00E072A3"/>
    <w:rsid w:val="00E10605"/>
    <w:rsid w:val="00E11080"/>
    <w:rsid w:val="00E124FA"/>
    <w:rsid w:val="00E14E0B"/>
    <w:rsid w:val="00E151FF"/>
    <w:rsid w:val="00E1545F"/>
    <w:rsid w:val="00E15AAE"/>
    <w:rsid w:val="00E15EFE"/>
    <w:rsid w:val="00E16046"/>
    <w:rsid w:val="00E16185"/>
    <w:rsid w:val="00E16426"/>
    <w:rsid w:val="00E1720F"/>
    <w:rsid w:val="00E172FB"/>
    <w:rsid w:val="00E20F7D"/>
    <w:rsid w:val="00E2144A"/>
    <w:rsid w:val="00E21A09"/>
    <w:rsid w:val="00E22E98"/>
    <w:rsid w:val="00E2337A"/>
    <w:rsid w:val="00E24A1A"/>
    <w:rsid w:val="00E24B2D"/>
    <w:rsid w:val="00E24EFB"/>
    <w:rsid w:val="00E24F79"/>
    <w:rsid w:val="00E250C1"/>
    <w:rsid w:val="00E255F2"/>
    <w:rsid w:val="00E25885"/>
    <w:rsid w:val="00E26621"/>
    <w:rsid w:val="00E27705"/>
    <w:rsid w:val="00E27FF9"/>
    <w:rsid w:val="00E30FC5"/>
    <w:rsid w:val="00E311F1"/>
    <w:rsid w:val="00E31487"/>
    <w:rsid w:val="00E32537"/>
    <w:rsid w:val="00E32AD3"/>
    <w:rsid w:val="00E338CB"/>
    <w:rsid w:val="00E33963"/>
    <w:rsid w:val="00E34874"/>
    <w:rsid w:val="00E34B27"/>
    <w:rsid w:val="00E34E4E"/>
    <w:rsid w:val="00E354CC"/>
    <w:rsid w:val="00E35AC7"/>
    <w:rsid w:val="00E35CF8"/>
    <w:rsid w:val="00E36D1A"/>
    <w:rsid w:val="00E3783E"/>
    <w:rsid w:val="00E37877"/>
    <w:rsid w:val="00E37B82"/>
    <w:rsid w:val="00E401F7"/>
    <w:rsid w:val="00E4035D"/>
    <w:rsid w:val="00E40620"/>
    <w:rsid w:val="00E40E9F"/>
    <w:rsid w:val="00E413B2"/>
    <w:rsid w:val="00E41688"/>
    <w:rsid w:val="00E417B4"/>
    <w:rsid w:val="00E41D48"/>
    <w:rsid w:val="00E43BA4"/>
    <w:rsid w:val="00E43E47"/>
    <w:rsid w:val="00E4565C"/>
    <w:rsid w:val="00E46428"/>
    <w:rsid w:val="00E46572"/>
    <w:rsid w:val="00E4746F"/>
    <w:rsid w:val="00E50341"/>
    <w:rsid w:val="00E513DF"/>
    <w:rsid w:val="00E51AE9"/>
    <w:rsid w:val="00E51BE9"/>
    <w:rsid w:val="00E51C04"/>
    <w:rsid w:val="00E51C3B"/>
    <w:rsid w:val="00E529F9"/>
    <w:rsid w:val="00E52A30"/>
    <w:rsid w:val="00E55107"/>
    <w:rsid w:val="00E55C58"/>
    <w:rsid w:val="00E56000"/>
    <w:rsid w:val="00E566E8"/>
    <w:rsid w:val="00E574B7"/>
    <w:rsid w:val="00E57B2D"/>
    <w:rsid w:val="00E6019B"/>
    <w:rsid w:val="00E61314"/>
    <w:rsid w:val="00E6177A"/>
    <w:rsid w:val="00E61BC2"/>
    <w:rsid w:val="00E62635"/>
    <w:rsid w:val="00E62A87"/>
    <w:rsid w:val="00E62FCD"/>
    <w:rsid w:val="00E65086"/>
    <w:rsid w:val="00E65118"/>
    <w:rsid w:val="00E651DA"/>
    <w:rsid w:val="00E65396"/>
    <w:rsid w:val="00E65F63"/>
    <w:rsid w:val="00E664DB"/>
    <w:rsid w:val="00E6666F"/>
    <w:rsid w:val="00E66A4D"/>
    <w:rsid w:val="00E66F48"/>
    <w:rsid w:val="00E67D3E"/>
    <w:rsid w:val="00E67E51"/>
    <w:rsid w:val="00E70571"/>
    <w:rsid w:val="00E71460"/>
    <w:rsid w:val="00E714DE"/>
    <w:rsid w:val="00E71639"/>
    <w:rsid w:val="00E71C6B"/>
    <w:rsid w:val="00E72082"/>
    <w:rsid w:val="00E72BB7"/>
    <w:rsid w:val="00E72CF2"/>
    <w:rsid w:val="00E72D8A"/>
    <w:rsid w:val="00E738C7"/>
    <w:rsid w:val="00E73A87"/>
    <w:rsid w:val="00E740D7"/>
    <w:rsid w:val="00E7434F"/>
    <w:rsid w:val="00E74D67"/>
    <w:rsid w:val="00E77561"/>
    <w:rsid w:val="00E77A8B"/>
    <w:rsid w:val="00E805C1"/>
    <w:rsid w:val="00E80710"/>
    <w:rsid w:val="00E8100D"/>
    <w:rsid w:val="00E818C0"/>
    <w:rsid w:val="00E81C5D"/>
    <w:rsid w:val="00E8337C"/>
    <w:rsid w:val="00E8347D"/>
    <w:rsid w:val="00E83A09"/>
    <w:rsid w:val="00E84554"/>
    <w:rsid w:val="00E8487C"/>
    <w:rsid w:val="00E861D9"/>
    <w:rsid w:val="00E862D1"/>
    <w:rsid w:val="00E86FAA"/>
    <w:rsid w:val="00E8703A"/>
    <w:rsid w:val="00E874AD"/>
    <w:rsid w:val="00E87BB9"/>
    <w:rsid w:val="00E87CA8"/>
    <w:rsid w:val="00E91109"/>
    <w:rsid w:val="00E91B8C"/>
    <w:rsid w:val="00E92F8B"/>
    <w:rsid w:val="00E931EC"/>
    <w:rsid w:val="00E93A7F"/>
    <w:rsid w:val="00E93B43"/>
    <w:rsid w:val="00E9425C"/>
    <w:rsid w:val="00E9449D"/>
    <w:rsid w:val="00E94888"/>
    <w:rsid w:val="00E94899"/>
    <w:rsid w:val="00E960D3"/>
    <w:rsid w:val="00E96AEB"/>
    <w:rsid w:val="00E96F9A"/>
    <w:rsid w:val="00E970D8"/>
    <w:rsid w:val="00E97650"/>
    <w:rsid w:val="00EA232B"/>
    <w:rsid w:val="00EA28A6"/>
    <w:rsid w:val="00EA33F5"/>
    <w:rsid w:val="00EA35E4"/>
    <w:rsid w:val="00EA3DEC"/>
    <w:rsid w:val="00EA4F49"/>
    <w:rsid w:val="00EA52BC"/>
    <w:rsid w:val="00EA5678"/>
    <w:rsid w:val="00EA602F"/>
    <w:rsid w:val="00EA6588"/>
    <w:rsid w:val="00EA668A"/>
    <w:rsid w:val="00EA7270"/>
    <w:rsid w:val="00EA7B64"/>
    <w:rsid w:val="00EB0208"/>
    <w:rsid w:val="00EB0851"/>
    <w:rsid w:val="00EB08EE"/>
    <w:rsid w:val="00EB10CC"/>
    <w:rsid w:val="00EB26DD"/>
    <w:rsid w:val="00EB2B15"/>
    <w:rsid w:val="00EB3A00"/>
    <w:rsid w:val="00EB3F39"/>
    <w:rsid w:val="00EB55E2"/>
    <w:rsid w:val="00EB55FC"/>
    <w:rsid w:val="00EB5C91"/>
    <w:rsid w:val="00EB66C7"/>
    <w:rsid w:val="00EB723F"/>
    <w:rsid w:val="00EB78C7"/>
    <w:rsid w:val="00EB7966"/>
    <w:rsid w:val="00EC0EF2"/>
    <w:rsid w:val="00EC15BE"/>
    <w:rsid w:val="00EC15E6"/>
    <w:rsid w:val="00EC1B5F"/>
    <w:rsid w:val="00EC1BBA"/>
    <w:rsid w:val="00EC1E95"/>
    <w:rsid w:val="00EC28F4"/>
    <w:rsid w:val="00EC295B"/>
    <w:rsid w:val="00EC3381"/>
    <w:rsid w:val="00EC353D"/>
    <w:rsid w:val="00EC4950"/>
    <w:rsid w:val="00EC4C9A"/>
    <w:rsid w:val="00EC5445"/>
    <w:rsid w:val="00EC57A9"/>
    <w:rsid w:val="00EC5A3C"/>
    <w:rsid w:val="00EC66AF"/>
    <w:rsid w:val="00EC7293"/>
    <w:rsid w:val="00EC7411"/>
    <w:rsid w:val="00EC7529"/>
    <w:rsid w:val="00EC7D1F"/>
    <w:rsid w:val="00ED0410"/>
    <w:rsid w:val="00ED0F2D"/>
    <w:rsid w:val="00ED16A7"/>
    <w:rsid w:val="00ED19F1"/>
    <w:rsid w:val="00ED1D71"/>
    <w:rsid w:val="00ED255D"/>
    <w:rsid w:val="00ED2CF1"/>
    <w:rsid w:val="00ED32EB"/>
    <w:rsid w:val="00ED3CF4"/>
    <w:rsid w:val="00ED4E61"/>
    <w:rsid w:val="00ED595D"/>
    <w:rsid w:val="00ED5B30"/>
    <w:rsid w:val="00ED5F37"/>
    <w:rsid w:val="00ED68B0"/>
    <w:rsid w:val="00ED731C"/>
    <w:rsid w:val="00ED7EFA"/>
    <w:rsid w:val="00EE0152"/>
    <w:rsid w:val="00EE0C01"/>
    <w:rsid w:val="00EE17F2"/>
    <w:rsid w:val="00EE1C05"/>
    <w:rsid w:val="00EE1EB2"/>
    <w:rsid w:val="00EE2CF2"/>
    <w:rsid w:val="00EE2F86"/>
    <w:rsid w:val="00EE30F5"/>
    <w:rsid w:val="00EE3123"/>
    <w:rsid w:val="00EE3FAD"/>
    <w:rsid w:val="00EE42FE"/>
    <w:rsid w:val="00EE4568"/>
    <w:rsid w:val="00EE5DDE"/>
    <w:rsid w:val="00EE65F8"/>
    <w:rsid w:val="00EE68B0"/>
    <w:rsid w:val="00EE7DF0"/>
    <w:rsid w:val="00EF1095"/>
    <w:rsid w:val="00EF14BB"/>
    <w:rsid w:val="00EF176F"/>
    <w:rsid w:val="00EF329E"/>
    <w:rsid w:val="00EF34EB"/>
    <w:rsid w:val="00EF3588"/>
    <w:rsid w:val="00EF448B"/>
    <w:rsid w:val="00EF49DC"/>
    <w:rsid w:val="00EF4C67"/>
    <w:rsid w:val="00EF4E65"/>
    <w:rsid w:val="00EF5438"/>
    <w:rsid w:val="00EF56A5"/>
    <w:rsid w:val="00EF56FB"/>
    <w:rsid w:val="00EF5750"/>
    <w:rsid w:val="00EF60FF"/>
    <w:rsid w:val="00EF6B86"/>
    <w:rsid w:val="00EF744D"/>
    <w:rsid w:val="00EF7E36"/>
    <w:rsid w:val="00F00196"/>
    <w:rsid w:val="00F00CAF"/>
    <w:rsid w:val="00F032FD"/>
    <w:rsid w:val="00F034E5"/>
    <w:rsid w:val="00F038B5"/>
    <w:rsid w:val="00F03F18"/>
    <w:rsid w:val="00F04015"/>
    <w:rsid w:val="00F04B34"/>
    <w:rsid w:val="00F057ED"/>
    <w:rsid w:val="00F05BAA"/>
    <w:rsid w:val="00F0607A"/>
    <w:rsid w:val="00F10618"/>
    <w:rsid w:val="00F11452"/>
    <w:rsid w:val="00F11613"/>
    <w:rsid w:val="00F12F89"/>
    <w:rsid w:val="00F1321C"/>
    <w:rsid w:val="00F13441"/>
    <w:rsid w:val="00F13C08"/>
    <w:rsid w:val="00F14460"/>
    <w:rsid w:val="00F14785"/>
    <w:rsid w:val="00F15136"/>
    <w:rsid w:val="00F15545"/>
    <w:rsid w:val="00F158C4"/>
    <w:rsid w:val="00F1615A"/>
    <w:rsid w:val="00F16B51"/>
    <w:rsid w:val="00F16F05"/>
    <w:rsid w:val="00F175AC"/>
    <w:rsid w:val="00F17921"/>
    <w:rsid w:val="00F201B3"/>
    <w:rsid w:val="00F2026A"/>
    <w:rsid w:val="00F223D5"/>
    <w:rsid w:val="00F23357"/>
    <w:rsid w:val="00F239DF"/>
    <w:rsid w:val="00F23C4D"/>
    <w:rsid w:val="00F23F78"/>
    <w:rsid w:val="00F24467"/>
    <w:rsid w:val="00F24FB1"/>
    <w:rsid w:val="00F25415"/>
    <w:rsid w:val="00F25896"/>
    <w:rsid w:val="00F265B5"/>
    <w:rsid w:val="00F27335"/>
    <w:rsid w:val="00F3261F"/>
    <w:rsid w:val="00F32AF6"/>
    <w:rsid w:val="00F33978"/>
    <w:rsid w:val="00F33EDF"/>
    <w:rsid w:val="00F3448C"/>
    <w:rsid w:val="00F34B13"/>
    <w:rsid w:val="00F34B92"/>
    <w:rsid w:val="00F3509C"/>
    <w:rsid w:val="00F35614"/>
    <w:rsid w:val="00F35B1B"/>
    <w:rsid w:val="00F36320"/>
    <w:rsid w:val="00F36C4B"/>
    <w:rsid w:val="00F373AE"/>
    <w:rsid w:val="00F403A0"/>
    <w:rsid w:val="00F4078B"/>
    <w:rsid w:val="00F41063"/>
    <w:rsid w:val="00F4132C"/>
    <w:rsid w:val="00F4190C"/>
    <w:rsid w:val="00F42454"/>
    <w:rsid w:val="00F42EE4"/>
    <w:rsid w:val="00F4310F"/>
    <w:rsid w:val="00F440E7"/>
    <w:rsid w:val="00F442C4"/>
    <w:rsid w:val="00F44807"/>
    <w:rsid w:val="00F45F0D"/>
    <w:rsid w:val="00F469D1"/>
    <w:rsid w:val="00F473C7"/>
    <w:rsid w:val="00F50269"/>
    <w:rsid w:val="00F50945"/>
    <w:rsid w:val="00F51465"/>
    <w:rsid w:val="00F51B3E"/>
    <w:rsid w:val="00F526CA"/>
    <w:rsid w:val="00F532E5"/>
    <w:rsid w:val="00F53C14"/>
    <w:rsid w:val="00F54112"/>
    <w:rsid w:val="00F55833"/>
    <w:rsid w:val="00F558ED"/>
    <w:rsid w:val="00F55A56"/>
    <w:rsid w:val="00F569D9"/>
    <w:rsid w:val="00F56A78"/>
    <w:rsid w:val="00F5780B"/>
    <w:rsid w:val="00F57D32"/>
    <w:rsid w:val="00F60DF6"/>
    <w:rsid w:val="00F60F1A"/>
    <w:rsid w:val="00F611BB"/>
    <w:rsid w:val="00F612E8"/>
    <w:rsid w:val="00F61330"/>
    <w:rsid w:val="00F61DD0"/>
    <w:rsid w:val="00F62419"/>
    <w:rsid w:val="00F63382"/>
    <w:rsid w:val="00F645E6"/>
    <w:rsid w:val="00F64D42"/>
    <w:rsid w:val="00F652C1"/>
    <w:rsid w:val="00F65337"/>
    <w:rsid w:val="00F65695"/>
    <w:rsid w:val="00F65793"/>
    <w:rsid w:val="00F65D08"/>
    <w:rsid w:val="00F65D50"/>
    <w:rsid w:val="00F66BD8"/>
    <w:rsid w:val="00F66F96"/>
    <w:rsid w:val="00F671ED"/>
    <w:rsid w:val="00F67329"/>
    <w:rsid w:val="00F677B2"/>
    <w:rsid w:val="00F70513"/>
    <w:rsid w:val="00F71DB9"/>
    <w:rsid w:val="00F71E1D"/>
    <w:rsid w:val="00F72B34"/>
    <w:rsid w:val="00F74179"/>
    <w:rsid w:val="00F74BD2"/>
    <w:rsid w:val="00F74C3E"/>
    <w:rsid w:val="00F7521C"/>
    <w:rsid w:val="00F7522D"/>
    <w:rsid w:val="00F753DE"/>
    <w:rsid w:val="00F764E2"/>
    <w:rsid w:val="00F77671"/>
    <w:rsid w:val="00F77F27"/>
    <w:rsid w:val="00F80E68"/>
    <w:rsid w:val="00F80EDB"/>
    <w:rsid w:val="00F810D5"/>
    <w:rsid w:val="00F8263B"/>
    <w:rsid w:val="00F82A5D"/>
    <w:rsid w:val="00F8347D"/>
    <w:rsid w:val="00F834A5"/>
    <w:rsid w:val="00F836B6"/>
    <w:rsid w:val="00F8384D"/>
    <w:rsid w:val="00F841F7"/>
    <w:rsid w:val="00F845A1"/>
    <w:rsid w:val="00F859E3"/>
    <w:rsid w:val="00F86214"/>
    <w:rsid w:val="00F863CA"/>
    <w:rsid w:val="00F8693F"/>
    <w:rsid w:val="00F86E67"/>
    <w:rsid w:val="00F87590"/>
    <w:rsid w:val="00F87851"/>
    <w:rsid w:val="00F903CA"/>
    <w:rsid w:val="00F9062A"/>
    <w:rsid w:val="00F90763"/>
    <w:rsid w:val="00F90792"/>
    <w:rsid w:val="00F9105E"/>
    <w:rsid w:val="00F912FD"/>
    <w:rsid w:val="00F91FB8"/>
    <w:rsid w:val="00F920A3"/>
    <w:rsid w:val="00F934E5"/>
    <w:rsid w:val="00F9429C"/>
    <w:rsid w:val="00F9439E"/>
    <w:rsid w:val="00F94AB4"/>
    <w:rsid w:val="00F94E6C"/>
    <w:rsid w:val="00F9541E"/>
    <w:rsid w:val="00F95831"/>
    <w:rsid w:val="00F95CB1"/>
    <w:rsid w:val="00F96DC6"/>
    <w:rsid w:val="00F9727C"/>
    <w:rsid w:val="00F97E9B"/>
    <w:rsid w:val="00F97FD3"/>
    <w:rsid w:val="00FA0241"/>
    <w:rsid w:val="00FA07AC"/>
    <w:rsid w:val="00FA08CB"/>
    <w:rsid w:val="00FA0D7B"/>
    <w:rsid w:val="00FA1082"/>
    <w:rsid w:val="00FA24FE"/>
    <w:rsid w:val="00FA270C"/>
    <w:rsid w:val="00FA437D"/>
    <w:rsid w:val="00FA4843"/>
    <w:rsid w:val="00FA55E9"/>
    <w:rsid w:val="00FA57C9"/>
    <w:rsid w:val="00FA58E7"/>
    <w:rsid w:val="00FA5BBE"/>
    <w:rsid w:val="00FA6B02"/>
    <w:rsid w:val="00FA71A1"/>
    <w:rsid w:val="00FA75B1"/>
    <w:rsid w:val="00FA7AE0"/>
    <w:rsid w:val="00FB0F6A"/>
    <w:rsid w:val="00FB129F"/>
    <w:rsid w:val="00FB13B6"/>
    <w:rsid w:val="00FB1952"/>
    <w:rsid w:val="00FB19E8"/>
    <w:rsid w:val="00FB2359"/>
    <w:rsid w:val="00FB2566"/>
    <w:rsid w:val="00FB2818"/>
    <w:rsid w:val="00FB2BCC"/>
    <w:rsid w:val="00FB2C21"/>
    <w:rsid w:val="00FB2CB6"/>
    <w:rsid w:val="00FB358F"/>
    <w:rsid w:val="00FB3C8A"/>
    <w:rsid w:val="00FB4546"/>
    <w:rsid w:val="00FB46B2"/>
    <w:rsid w:val="00FB5206"/>
    <w:rsid w:val="00FB5764"/>
    <w:rsid w:val="00FB5BEE"/>
    <w:rsid w:val="00FB5DA4"/>
    <w:rsid w:val="00FB696C"/>
    <w:rsid w:val="00FB7234"/>
    <w:rsid w:val="00FB7851"/>
    <w:rsid w:val="00FB7E53"/>
    <w:rsid w:val="00FC0883"/>
    <w:rsid w:val="00FC11C9"/>
    <w:rsid w:val="00FC1FD0"/>
    <w:rsid w:val="00FC2194"/>
    <w:rsid w:val="00FC259A"/>
    <w:rsid w:val="00FC378F"/>
    <w:rsid w:val="00FC3CE7"/>
    <w:rsid w:val="00FC40A3"/>
    <w:rsid w:val="00FC51A0"/>
    <w:rsid w:val="00FC56A4"/>
    <w:rsid w:val="00FC5766"/>
    <w:rsid w:val="00FC591B"/>
    <w:rsid w:val="00FC6467"/>
    <w:rsid w:val="00FC73E8"/>
    <w:rsid w:val="00FC78B8"/>
    <w:rsid w:val="00FC7A3D"/>
    <w:rsid w:val="00FC7E57"/>
    <w:rsid w:val="00FD1038"/>
    <w:rsid w:val="00FD11D3"/>
    <w:rsid w:val="00FD1797"/>
    <w:rsid w:val="00FD2547"/>
    <w:rsid w:val="00FD2970"/>
    <w:rsid w:val="00FD2C56"/>
    <w:rsid w:val="00FD34CA"/>
    <w:rsid w:val="00FD40F5"/>
    <w:rsid w:val="00FD539A"/>
    <w:rsid w:val="00FD579D"/>
    <w:rsid w:val="00FD72B6"/>
    <w:rsid w:val="00FD735C"/>
    <w:rsid w:val="00FD780A"/>
    <w:rsid w:val="00FD7F0F"/>
    <w:rsid w:val="00FE0716"/>
    <w:rsid w:val="00FE0F20"/>
    <w:rsid w:val="00FE1045"/>
    <w:rsid w:val="00FE18C8"/>
    <w:rsid w:val="00FE19F4"/>
    <w:rsid w:val="00FE1D92"/>
    <w:rsid w:val="00FE269F"/>
    <w:rsid w:val="00FE291C"/>
    <w:rsid w:val="00FE34C0"/>
    <w:rsid w:val="00FE3E58"/>
    <w:rsid w:val="00FE3FC6"/>
    <w:rsid w:val="00FE4C50"/>
    <w:rsid w:val="00FE557E"/>
    <w:rsid w:val="00FE55C9"/>
    <w:rsid w:val="00FE601A"/>
    <w:rsid w:val="00FE6298"/>
    <w:rsid w:val="00FE638C"/>
    <w:rsid w:val="00FE6B43"/>
    <w:rsid w:val="00FE6C55"/>
    <w:rsid w:val="00FE72C9"/>
    <w:rsid w:val="00FE7CDF"/>
    <w:rsid w:val="00FF0509"/>
    <w:rsid w:val="00FF07CC"/>
    <w:rsid w:val="00FF0CDC"/>
    <w:rsid w:val="00FF1C70"/>
    <w:rsid w:val="00FF269F"/>
    <w:rsid w:val="00FF29AC"/>
    <w:rsid w:val="00FF3279"/>
    <w:rsid w:val="00FF4258"/>
    <w:rsid w:val="00FF42E9"/>
    <w:rsid w:val="00FF5F86"/>
    <w:rsid w:val="00FF6D34"/>
    <w:rsid w:val="00FF7041"/>
    <w:rsid w:val="00FF76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C5D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2"/>
      </w:numPr>
    </w:pPr>
  </w:style>
  <w:style w:type="numbering" w:styleId="ArticleSection">
    <w:name w:val="Outline List 3"/>
    <w:basedOn w:val="NoList"/>
    <w:semiHidden/>
    <w:rsid w:val="00C3452B"/>
    <w:pPr>
      <w:numPr>
        <w:numId w:val="3"/>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20"/>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5"/>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5"/>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5"/>
      </w:numPr>
      <w:spacing w:before="0" w:after="0"/>
    </w:pPr>
    <w:rPr>
      <w:b/>
    </w:rPr>
  </w:style>
  <w:style w:type="paragraph" w:customStyle="1" w:styleId="dotpoint">
    <w:name w:val="dot point"/>
    <w:basedOn w:val="Normal"/>
    <w:rsid w:val="00C3452B"/>
    <w:pPr>
      <w:numPr>
        <w:numId w:val="6"/>
      </w:numPr>
    </w:pPr>
  </w:style>
  <w:style w:type="paragraph" w:customStyle="1" w:styleId="dotpoint2">
    <w:name w:val="dot point 2"/>
    <w:basedOn w:val="Normal"/>
    <w:rsid w:val="00C3452B"/>
    <w:pPr>
      <w:numPr>
        <w:ilvl w:val="1"/>
        <w:numId w:val="7"/>
      </w:numPr>
    </w:pPr>
  </w:style>
  <w:style w:type="numbering" w:customStyle="1" w:styleId="DotPointList">
    <w:name w:val="Dot Point List"/>
    <w:uiPriority w:val="99"/>
    <w:rsid w:val="00C3452B"/>
    <w:pPr>
      <w:numPr>
        <w:numId w:val="7"/>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8"/>
      </w:numPr>
      <w:spacing w:before="200" w:after="200"/>
      <w:ind w:left="2269" w:hanging="284"/>
    </w:pPr>
  </w:style>
  <w:style w:type="paragraph" w:customStyle="1" w:styleId="exampledotpoint2">
    <w:name w:val="example dot point 2"/>
    <w:basedOn w:val="exampletext"/>
    <w:rsid w:val="00C3452B"/>
    <w:pPr>
      <w:numPr>
        <w:ilvl w:val="1"/>
        <w:numId w:val="8"/>
      </w:numPr>
      <w:spacing w:before="200" w:after="200"/>
    </w:pPr>
  </w:style>
  <w:style w:type="numbering" w:customStyle="1" w:styleId="ExampleDotPointList">
    <w:name w:val="Example Dot Point List"/>
    <w:uiPriority w:val="99"/>
    <w:rsid w:val="00C3452B"/>
    <w:pPr>
      <w:numPr>
        <w:numId w:val="8"/>
      </w:numPr>
    </w:pPr>
  </w:style>
  <w:style w:type="paragraph" w:customStyle="1" w:styleId="ExampleHeading">
    <w:name w:val="Example Heading"/>
    <w:basedOn w:val="Normal"/>
    <w:next w:val="exampletext"/>
    <w:rsid w:val="00C3452B"/>
    <w:pPr>
      <w:keepNext/>
      <w:numPr>
        <w:ilvl w:val="3"/>
        <w:numId w:val="5"/>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9"/>
      </w:numPr>
    </w:pPr>
  </w:style>
  <w:style w:type="paragraph" w:styleId="ListBullet2">
    <w:name w:val="List Bullet 2"/>
    <w:basedOn w:val="Normal"/>
    <w:semiHidden/>
    <w:rsid w:val="00C3452B"/>
    <w:pPr>
      <w:numPr>
        <w:numId w:val="10"/>
      </w:numPr>
    </w:pPr>
  </w:style>
  <w:style w:type="paragraph" w:styleId="ListBullet3">
    <w:name w:val="List Bullet 3"/>
    <w:basedOn w:val="Normal"/>
    <w:semiHidden/>
    <w:rsid w:val="00C3452B"/>
    <w:pPr>
      <w:numPr>
        <w:numId w:val="11"/>
      </w:numPr>
    </w:pPr>
  </w:style>
  <w:style w:type="paragraph" w:styleId="ListBullet4">
    <w:name w:val="List Bullet 4"/>
    <w:basedOn w:val="Normal"/>
    <w:semiHidden/>
    <w:rsid w:val="00C3452B"/>
    <w:pPr>
      <w:numPr>
        <w:numId w:val="12"/>
      </w:numPr>
    </w:pPr>
  </w:style>
  <w:style w:type="paragraph" w:styleId="ListBullet5">
    <w:name w:val="List Bullet 5"/>
    <w:basedOn w:val="Normal"/>
    <w:semiHidden/>
    <w:rsid w:val="00C3452B"/>
    <w:pPr>
      <w:numPr>
        <w:numId w:val="13"/>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14"/>
      </w:numPr>
    </w:pPr>
  </w:style>
  <w:style w:type="paragraph" w:styleId="ListNumber2">
    <w:name w:val="List Number 2"/>
    <w:basedOn w:val="Normal"/>
    <w:semiHidden/>
    <w:rsid w:val="00C3452B"/>
    <w:pPr>
      <w:numPr>
        <w:numId w:val="15"/>
      </w:numPr>
    </w:pPr>
  </w:style>
  <w:style w:type="paragraph" w:styleId="ListNumber3">
    <w:name w:val="List Number 3"/>
    <w:basedOn w:val="Normal"/>
    <w:semiHidden/>
    <w:rsid w:val="00C3452B"/>
    <w:pPr>
      <w:numPr>
        <w:numId w:val="16"/>
      </w:numPr>
    </w:pPr>
  </w:style>
  <w:style w:type="paragraph" w:styleId="ListNumber4">
    <w:name w:val="List Number 4"/>
    <w:basedOn w:val="Normal"/>
    <w:semiHidden/>
    <w:rsid w:val="00C3452B"/>
    <w:pPr>
      <w:numPr>
        <w:numId w:val="17"/>
      </w:numPr>
    </w:pPr>
  </w:style>
  <w:style w:type="paragraph" w:styleId="ListNumber5">
    <w:name w:val="List Number 5"/>
    <w:basedOn w:val="Normal"/>
    <w:semiHidden/>
    <w:rsid w:val="00C3452B"/>
    <w:pPr>
      <w:numPr>
        <w:numId w:val="18"/>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19"/>
      </w:numPr>
    </w:pPr>
  </w:style>
  <w:style w:type="paragraph" w:customStyle="1" w:styleId="tabledotpoint2">
    <w:name w:val="table dot point 2"/>
    <w:basedOn w:val="tabletext"/>
    <w:rsid w:val="00C3452B"/>
    <w:pPr>
      <w:numPr>
        <w:ilvl w:val="1"/>
        <w:numId w:val="19"/>
      </w:numPr>
    </w:pPr>
  </w:style>
  <w:style w:type="numbering" w:customStyle="1" w:styleId="TableDotPointList">
    <w:name w:val="Table Dot Point List"/>
    <w:uiPriority w:val="99"/>
    <w:rsid w:val="00C3452B"/>
    <w:pPr>
      <w:numPr>
        <w:numId w:val="19"/>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5"/>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B367F6"/>
    <w:pPr>
      <w:numPr>
        <w:numId w:val="21"/>
      </w:numPr>
    </w:pPr>
  </w:style>
  <w:style w:type="character" w:customStyle="1" w:styleId="BulletChar">
    <w:name w:val="Bullet Char"/>
    <w:basedOn w:val="base-text-paragraphChar"/>
    <w:link w:val="Bullet"/>
    <w:rsid w:val="00B367F6"/>
    <w:rPr>
      <w:rFonts w:ascii="Times New Roman" w:eastAsia="Times New Roman" w:hAnsi="Times New Roman" w:cs="Times New Roman"/>
      <w:szCs w:val="20"/>
      <w:lang w:eastAsia="en-AU"/>
    </w:rPr>
  </w:style>
  <w:style w:type="paragraph" w:customStyle="1" w:styleId="Dash">
    <w:name w:val="Dash"/>
    <w:basedOn w:val="Normal"/>
    <w:link w:val="DashChar"/>
    <w:rsid w:val="00B367F6"/>
    <w:pPr>
      <w:numPr>
        <w:ilvl w:val="1"/>
        <w:numId w:val="21"/>
      </w:numPr>
    </w:pPr>
  </w:style>
  <w:style w:type="character" w:customStyle="1" w:styleId="DashChar">
    <w:name w:val="Dash Char"/>
    <w:basedOn w:val="base-text-paragraphChar"/>
    <w:link w:val="Dash"/>
    <w:rsid w:val="00B367F6"/>
    <w:rPr>
      <w:rFonts w:ascii="Times New Roman" w:eastAsia="Times New Roman" w:hAnsi="Times New Roman" w:cs="Times New Roman"/>
      <w:szCs w:val="20"/>
      <w:lang w:eastAsia="en-AU"/>
    </w:rPr>
  </w:style>
  <w:style w:type="paragraph" w:customStyle="1" w:styleId="DoubleDot">
    <w:name w:val="Double Dot"/>
    <w:basedOn w:val="Normal"/>
    <w:link w:val="DoubleDotChar"/>
    <w:rsid w:val="00B367F6"/>
    <w:pPr>
      <w:numPr>
        <w:ilvl w:val="2"/>
        <w:numId w:val="21"/>
      </w:numPr>
    </w:pPr>
  </w:style>
  <w:style w:type="character" w:customStyle="1" w:styleId="DoubleDotChar">
    <w:name w:val="Double Dot Char"/>
    <w:basedOn w:val="base-text-paragraphChar"/>
    <w:link w:val="DoubleDot"/>
    <w:rsid w:val="00B367F6"/>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B367F6"/>
    <w:rPr>
      <w:sz w:val="16"/>
      <w:szCs w:val="16"/>
    </w:rPr>
  </w:style>
  <w:style w:type="paragraph" w:styleId="CommentText">
    <w:name w:val="annotation text"/>
    <w:basedOn w:val="Normal"/>
    <w:link w:val="CommentTextChar"/>
    <w:uiPriority w:val="99"/>
    <w:unhideWhenUsed/>
    <w:rsid w:val="00B367F6"/>
    <w:rPr>
      <w:sz w:val="20"/>
    </w:rPr>
  </w:style>
  <w:style w:type="character" w:customStyle="1" w:styleId="CommentTextChar">
    <w:name w:val="Comment Text Char"/>
    <w:basedOn w:val="DefaultParagraphFont"/>
    <w:link w:val="CommentText"/>
    <w:uiPriority w:val="99"/>
    <w:rsid w:val="00B367F6"/>
    <w:rPr>
      <w:rFonts w:ascii="Times New Roman" w:eastAsia="Times New Roman" w:hAnsi="Times New Roman" w:cs="Times New Roman"/>
      <w:sz w:val="20"/>
      <w:szCs w:val="20"/>
      <w:lang w:eastAsia="en-AU"/>
    </w:rPr>
  </w:style>
  <w:style w:type="numbering" w:customStyle="1" w:styleId="ChapterList1">
    <w:name w:val="ChapterList1"/>
    <w:uiPriority w:val="99"/>
    <w:rsid w:val="0079398A"/>
  </w:style>
  <w:style w:type="paragraph" w:styleId="CommentSubject">
    <w:name w:val="annotation subject"/>
    <w:basedOn w:val="CommentText"/>
    <w:next w:val="CommentText"/>
    <w:link w:val="CommentSubjectChar"/>
    <w:uiPriority w:val="99"/>
    <w:semiHidden/>
    <w:unhideWhenUsed/>
    <w:rsid w:val="00975CE6"/>
    <w:rPr>
      <w:b/>
      <w:bCs/>
    </w:rPr>
  </w:style>
  <w:style w:type="character" w:customStyle="1" w:styleId="CommentSubjectChar">
    <w:name w:val="Comment Subject Char"/>
    <w:basedOn w:val="CommentTextChar"/>
    <w:link w:val="CommentSubject"/>
    <w:uiPriority w:val="99"/>
    <w:semiHidden/>
    <w:rsid w:val="00975CE6"/>
    <w:rPr>
      <w:rFonts w:ascii="Times New Roman" w:eastAsia="Times New Roman" w:hAnsi="Times New Roman" w:cs="Times New Roman"/>
      <w:b/>
      <w:bCs/>
      <w:sz w:val="20"/>
      <w:szCs w:val="20"/>
      <w:lang w:eastAsia="en-AU"/>
    </w:rPr>
  </w:style>
  <w:style w:type="paragraph" w:customStyle="1" w:styleId="OutlineNumbered1">
    <w:name w:val="Outline Numbered 1"/>
    <w:basedOn w:val="Normal"/>
    <w:link w:val="OutlineNumbered1Char"/>
    <w:rsid w:val="003B3969"/>
    <w:pPr>
      <w:numPr>
        <w:numId w:val="23"/>
      </w:numPr>
    </w:pPr>
  </w:style>
  <w:style w:type="character" w:customStyle="1" w:styleId="OutlineNumbered1Char">
    <w:name w:val="Outline Numbered 1 Char"/>
    <w:basedOn w:val="base-text-paragraphChar"/>
    <w:link w:val="OutlineNumbered1"/>
    <w:rsid w:val="003B3969"/>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3B3969"/>
    <w:pPr>
      <w:numPr>
        <w:ilvl w:val="1"/>
        <w:numId w:val="23"/>
      </w:numPr>
    </w:pPr>
  </w:style>
  <w:style w:type="character" w:customStyle="1" w:styleId="OutlineNumbered2Char">
    <w:name w:val="Outline Numbered 2 Char"/>
    <w:basedOn w:val="base-text-paragraphChar"/>
    <w:link w:val="OutlineNumbered2"/>
    <w:rsid w:val="003B3969"/>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3B3969"/>
    <w:pPr>
      <w:numPr>
        <w:ilvl w:val="2"/>
        <w:numId w:val="23"/>
      </w:numPr>
    </w:pPr>
  </w:style>
  <w:style w:type="character" w:customStyle="1" w:styleId="OutlineNumbered3Char">
    <w:name w:val="Outline Numbered 3 Char"/>
    <w:basedOn w:val="base-text-paragraphChar"/>
    <w:link w:val="OutlineNumbered3"/>
    <w:rsid w:val="003B3969"/>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FE72C9"/>
    <w:rPr>
      <w:color w:val="605E5C"/>
      <w:shd w:val="clear" w:color="auto" w:fill="E1DFDD"/>
    </w:rPr>
  </w:style>
  <w:style w:type="paragraph" w:styleId="Revision">
    <w:name w:val="Revision"/>
    <w:hidden/>
    <w:uiPriority w:val="99"/>
    <w:semiHidden/>
    <w:rsid w:val="00E43BA4"/>
    <w:pPr>
      <w:spacing w:after="0" w:line="240" w:lineRule="auto"/>
    </w:pPr>
    <w:rPr>
      <w:rFonts w:ascii="Times New Roman" w:eastAsia="Times New Roman" w:hAnsi="Times New Roman" w:cs="Times New Roman"/>
      <w:szCs w:val="20"/>
      <w:lang w:eastAsia="en-AU"/>
    </w:rPr>
  </w:style>
  <w:style w:type="numbering" w:customStyle="1" w:styleId="ChapterList2">
    <w:name w:val="ChapterList2"/>
    <w:uiPriority w:val="99"/>
    <w:rsid w:val="0098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2919">
      <w:bodyDiv w:val="1"/>
      <w:marLeft w:val="0"/>
      <w:marRight w:val="0"/>
      <w:marTop w:val="0"/>
      <w:marBottom w:val="0"/>
      <w:divBdr>
        <w:top w:val="none" w:sz="0" w:space="0" w:color="auto"/>
        <w:left w:val="none" w:sz="0" w:space="0" w:color="auto"/>
        <w:bottom w:val="none" w:sz="0" w:space="0" w:color="auto"/>
        <w:right w:val="none" w:sz="0" w:space="0" w:color="auto"/>
      </w:divBdr>
    </w:div>
    <w:div w:id="141584263">
      <w:bodyDiv w:val="1"/>
      <w:marLeft w:val="0"/>
      <w:marRight w:val="0"/>
      <w:marTop w:val="0"/>
      <w:marBottom w:val="0"/>
      <w:divBdr>
        <w:top w:val="none" w:sz="0" w:space="0" w:color="auto"/>
        <w:left w:val="none" w:sz="0" w:space="0" w:color="auto"/>
        <w:bottom w:val="none" w:sz="0" w:space="0" w:color="auto"/>
        <w:right w:val="none" w:sz="0" w:space="0" w:color="auto"/>
      </w:divBdr>
    </w:div>
    <w:div w:id="413556337">
      <w:bodyDiv w:val="1"/>
      <w:marLeft w:val="0"/>
      <w:marRight w:val="0"/>
      <w:marTop w:val="0"/>
      <w:marBottom w:val="0"/>
      <w:divBdr>
        <w:top w:val="none" w:sz="0" w:space="0" w:color="auto"/>
        <w:left w:val="none" w:sz="0" w:space="0" w:color="auto"/>
        <w:bottom w:val="none" w:sz="0" w:space="0" w:color="auto"/>
        <w:right w:val="none" w:sz="0" w:space="0" w:color="auto"/>
      </w:divBdr>
    </w:div>
    <w:div w:id="418330335">
      <w:bodyDiv w:val="1"/>
      <w:marLeft w:val="0"/>
      <w:marRight w:val="0"/>
      <w:marTop w:val="0"/>
      <w:marBottom w:val="0"/>
      <w:divBdr>
        <w:top w:val="none" w:sz="0" w:space="0" w:color="auto"/>
        <w:left w:val="none" w:sz="0" w:space="0" w:color="auto"/>
        <w:bottom w:val="none" w:sz="0" w:space="0" w:color="auto"/>
        <w:right w:val="none" w:sz="0" w:space="0" w:color="auto"/>
      </w:divBdr>
    </w:div>
    <w:div w:id="800273808">
      <w:bodyDiv w:val="1"/>
      <w:marLeft w:val="0"/>
      <w:marRight w:val="0"/>
      <w:marTop w:val="0"/>
      <w:marBottom w:val="0"/>
      <w:divBdr>
        <w:top w:val="none" w:sz="0" w:space="0" w:color="auto"/>
        <w:left w:val="none" w:sz="0" w:space="0" w:color="auto"/>
        <w:bottom w:val="none" w:sz="0" w:space="0" w:color="auto"/>
        <w:right w:val="none" w:sz="0" w:space="0" w:color="auto"/>
      </w:divBdr>
    </w:div>
    <w:div w:id="873156127">
      <w:bodyDiv w:val="1"/>
      <w:marLeft w:val="0"/>
      <w:marRight w:val="0"/>
      <w:marTop w:val="0"/>
      <w:marBottom w:val="0"/>
      <w:divBdr>
        <w:top w:val="none" w:sz="0" w:space="0" w:color="auto"/>
        <w:left w:val="none" w:sz="0" w:space="0" w:color="auto"/>
        <w:bottom w:val="none" w:sz="0" w:space="0" w:color="auto"/>
        <w:right w:val="none" w:sz="0" w:space="0" w:color="auto"/>
      </w:divBdr>
      <w:divsChild>
        <w:div w:id="477117948">
          <w:marLeft w:val="0"/>
          <w:marRight w:val="0"/>
          <w:marTop w:val="0"/>
          <w:marBottom w:val="0"/>
          <w:divBdr>
            <w:top w:val="none" w:sz="0" w:space="0" w:color="auto"/>
            <w:left w:val="none" w:sz="0" w:space="0" w:color="auto"/>
            <w:bottom w:val="none" w:sz="0" w:space="0" w:color="auto"/>
            <w:right w:val="none" w:sz="0" w:space="0" w:color="auto"/>
          </w:divBdr>
        </w:div>
        <w:div w:id="781462018">
          <w:marLeft w:val="0"/>
          <w:marRight w:val="0"/>
          <w:marTop w:val="0"/>
          <w:marBottom w:val="0"/>
          <w:divBdr>
            <w:top w:val="none" w:sz="0" w:space="0" w:color="auto"/>
            <w:left w:val="none" w:sz="0" w:space="0" w:color="auto"/>
            <w:bottom w:val="none" w:sz="0" w:space="0" w:color="auto"/>
            <w:right w:val="none" w:sz="0" w:space="0" w:color="auto"/>
          </w:divBdr>
        </w:div>
      </w:divsChild>
    </w:div>
    <w:div w:id="951326838">
      <w:bodyDiv w:val="1"/>
      <w:marLeft w:val="0"/>
      <w:marRight w:val="0"/>
      <w:marTop w:val="0"/>
      <w:marBottom w:val="0"/>
      <w:divBdr>
        <w:top w:val="none" w:sz="0" w:space="0" w:color="auto"/>
        <w:left w:val="none" w:sz="0" w:space="0" w:color="auto"/>
        <w:bottom w:val="none" w:sz="0" w:space="0" w:color="auto"/>
        <w:right w:val="none" w:sz="0" w:space="0" w:color="auto"/>
      </w:divBdr>
    </w:div>
    <w:div w:id="1483616373">
      <w:bodyDiv w:val="1"/>
      <w:marLeft w:val="0"/>
      <w:marRight w:val="0"/>
      <w:marTop w:val="0"/>
      <w:marBottom w:val="0"/>
      <w:divBdr>
        <w:top w:val="none" w:sz="0" w:space="0" w:color="auto"/>
        <w:left w:val="none" w:sz="0" w:space="0" w:color="auto"/>
        <w:bottom w:val="none" w:sz="0" w:space="0" w:color="auto"/>
        <w:right w:val="none" w:sz="0" w:space="0" w:color="auto"/>
      </w:divBdr>
    </w:div>
    <w:div w:id="1689402097">
      <w:bodyDiv w:val="1"/>
      <w:marLeft w:val="0"/>
      <w:marRight w:val="0"/>
      <w:marTop w:val="0"/>
      <w:marBottom w:val="0"/>
      <w:divBdr>
        <w:top w:val="none" w:sz="0" w:space="0" w:color="auto"/>
        <w:left w:val="none" w:sz="0" w:space="0" w:color="auto"/>
        <w:bottom w:val="none" w:sz="0" w:space="0" w:color="auto"/>
        <w:right w:val="none" w:sz="0" w:space="0" w:color="auto"/>
      </w:divBdr>
      <w:divsChild>
        <w:div w:id="698625336">
          <w:marLeft w:val="0"/>
          <w:marRight w:val="0"/>
          <w:marTop w:val="0"/>
          <w:marBottom w:val="0"/>
          <w:divBdr>
            <w:top w:val="none" w:sz="0" w:space="0" w:color="auto"/>
            <w:left w:val="none" w:sz="0" w:space="0" w:color="auto"/>
            <w:bottom w:val="none" w:sz="0" w:space="0" w:color="auto"/>
            <w:right w:val="none" w:sz="0" w:space="0" w:color="auto"/>
          </w:divBdr>
          <w:divsChild>
            <w:div w:id="2058121221">
              <w:marLeft w:val="0"/>
              <w:marRight w:val="0"/>
              <w:marTop w:val="0"/>
              <w:marBottom w:val="0"/>
              <w:divBdr>
                <w:top w:val="none" w:sz="0" w:space="0" w:color="auto"/>
                <w:left w:val="none" w:sz="0" w:space="0" w:color="auto"/>
                <w:bottom w:val="none" w:sz="0" w:space="0" w:color="auto"/>
                <w:right w:val="none" w:sz="0" w:space="0" w:color="auto"/>
              </w:divBdr>
              <w:divsChild>
                <w:div w:id="1074623920">
                  <w:marLeft w:val="0"/>
                  <w:marRight w:val="0"/>
                  <w:marTop w:val="0"/>
                  <w:marBottom w:val="0"/>
                  <w:divBdr>
                    <w:top w:val="none" w:sz="0" w:space="0" w:color="auto"/>
                    <w:left w:val="none" w:sz="0" w:space="0" w:color="auto"/>
                    <w:bottom w:val="none" w:sz="0" w:space="0" w:color="auto"/>
                    <w:right w:val="none" w:sz="0" w:space="0" w:color="auto"/>
                  </w:divBdr>
                  <w:divsChild>
                    <w:div w:id="1860579386">
                      <w:marLeft w:val="0"/>
                      <w:marRight w:val="0"/>
                      <w:marTop w:val="0"/>
                      <w:marBottom w:val="0"/>
                      <w:divBdr>
                        <w:top w:val="none" w:sz="0" w:space="0" w:color="auto"/>
                        <w:left w:val="none" w:sz="0" w:space="0" w:color="auto"/>
                        <w:bottom w:val="none" w:sz="0" w:space="0" w:color="auto"/>
                        <w:right w:val="none" w:sz="0" w:space="0" w:color="auto"/>
                      </w:divBdr>
                      <w:divsChild>
                        <w:div w:id="1698038817">
                          <w:marLeft w:val="0"/>
                          <w:marRight w:val="0"/>
                          <w:marTop w:val="0"/>
                          <w:marBottom w:val="0"/>
                          <w:divBdr>
                            <w:top w:val="none" w:sz="0" w:space="0" w:color="auto"/>
                            <w:left w:val="none" w:sz="0" w:space="0" w:color="auto"/>
                            <w:bottom w:val="none" w:sz="0" w:space="0" w:color="auto"/>
                            <w:right w:val="none" w:sz="0" w:space="0" w:color="auto"/>
                          </w:divBdr>
                          <w:divsChild>
                            <w:div w:id="2139762674">
                              <w:marLeft w:val="0"/>
                              <w:marRight w:val="0"/>
                              <w:marTop w:val="0"/>
                              <w:marBottom w:val="0"/>
                              <w:divBdr>
                                <w:top w:val="none" w:sz="0" w:space="0" w:color="auto"/>
                                <w:left w:val="none" w:sz="0" w:space="0" w:color="auto"/>
                                <w:bottom w:val="none" w:sz="0" w:space="0" w:color="auto"/>
                                <w:right w:val="none" w:sz="0" w:space="0" w:color="auto"/>
                              </w:divBdr>
                              <w:divsChild>
                                <w:div w:id="251859319">
                                  <w:marLeft w:val="0"/>
                                  <w:marRight w:val="0"/>
                                  <w:marTop w:val="0"/>
                                  <w:marBottom w:val="0"/>
                                  <w:divBdr>
                                    <w:top w:val="none" w:sz="0" w:space="0" w:color="auto"/>
                                    <w:left w:val="none" w:sz="0" w:space="0" w:color="auto"/>
                                    <w:bottom w:val="none" w:sz="0" w:space="0" w:color="auto"/>
                                    <w:right w:val="none" w:sz="0" w:space="0" w:color="auto"/>
                                  </w:divBdr>
                                  <w:divsChild>
                                    <w:div w:id="1104113996">
                                      <w:marLeft w:val="0"/>
                                      <w:marRight w:val="0"/>
                                      <w:marTop w:val="0"/>
                                      <w:marBottom w:val="0"/>
                                      <w:divBdr>
                                        <w:top w:val="none" w:sz="0" w:space="0" w:color="auto"/>
                                        <w:left w:val="none" w:sz="0" w:space="0" w:color="auto"/>
                                        <w:bottom w:val="none" w:sz="0" w:space="0" w:color="auto"/>
                                        <w:right w:val="none" w:sz="0" w:space="0" w:color="auto"/>
                                      </w:divBdr>
                                      <w:divsChild>
                                        <w:div w:id="2020228629">
                                          <w:marLeft w:val="0"/>
                                          <w:marRight w:val="0"/>
                                          <w:marTop w:val="0"/>
                                          <w:marBottom w:val="0"/>
                                          <w:divBdr>
                                            <w:top w:val="none" w:sz="0" w:space="0" w:color="auto"/>
                                            <w:left w:val="none" w:sz="0" w:space="0" w:color="auto"/>
                                            <w:bottom w:val="none" w:sz="0" w:space="0" w:color="auto"/>
                                            <w:right w:val="none" w:sz="0" w:space="0" w:color="auto"/>
                                          </w:divBdr>
                                          <w:divsChild>
                                            <w:div w:id="256520816">
                                              <w:marLeft w:val="0"/>
                                              <w:marRight w:val="0"/>
                                              <w:marTop w:val="0"/>
                                              <w:marBottom w:val="0"/>
                                              <w:divBdr>
                                                <w:top w:val="none" w:sz="0" w:space="0" w:color="auto"/>
                                                <w:left w:val="none" w:sz="0" w:space="0" w:color="auto"/>
                                                <w:bottom w:val="none" w:sz="0" w:space="0" w:color="auto"/>
                                                <w:right w:val="none" w:sz="0" w:space="0" w:color="auto"/>
                                              </w:divBdr>
                                              <w:divsChild>
                                                <w:div w:id="106894928">
                                                  <w:marLeft w:val="0"/>
                                                  <w:marRight w:val="0"/>
                                                  <w:marTop w:val="0"/>
                                                  <w:marBottom w:val="0"/>
                                                  <w:divBdr>
                                                    <w:top w:val="none" w:sz="0" w:space="0" w:color="auto"/>
                                                    <w:left w:val="none" w:sz="0" w:space="0" w:color="auto"/>
                                                    <w:bottom w:val="none" w:sz="0" w:space="0" w:color="auto"/>
                                                    <w:right w:val="none" w:sz="0" w:space="0" w:color="auto"/>
                                                  </w:divBdr>
                                                  <w:divsChild>
                                                    <w:div w:id="331953312">
                                                      <w:marLeft w:val="0"/>
                                                      <w:marRight w:val="0"/>
                                                      <w:marTop w:val="0"/>
                                                      <w:marBottom w:val="0"/>
                                                      <w:divBdr>
                                                        <w:top w:val="none" w:sz="0" w:space="0" w:color="auto"/>
                                                        <w:left w:val="none" w:sz="0" w:space="0" w:color="auto"/>
                                                        <w:bottom w:val="none" w:sz="0" w:space="0" w:color="auto"/>
                                                        <w:right w:val="none" w:sz="0" w:space="0" w:color="auto"/>
                                                      </w:divBdr>
                                                      <w:divsChild>
                                                        <w:div w:id="13843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f563589-9cf9-4143-b1eb-fb0534803d38">2021MG-133-61010</_dlc_DocId>
    <TaxCatchAll xmlns="0f563589-9cf9-4143-b1eb-fb0534803d38">
      <Value>14</Value>
    </TaxCatchAll>
    <_dlc_DocIdUrl xmlns="0f563589-9cf9-4143-b1eb-fb0534803d38">
      <Url>http://tweb/sites/mg/sbccpd/_layouts/15/DocIdRedir.aspx?ID=2021MG-133-61010</Url>
      <Description>2021MG-133-61010</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SecurityClassification xmlns="d4dd4adf-ddb3-46a3-8d7c-fab3fb2a6bc7" xsi:nil="true"/>
    <TaxKeywordTaxHTField xmlns="0f563589-9cf9-4143-b1eb-fb0534803d38">
      <Terms xmlns="http://schemas.microsoft.com/office/infopath/2007/PartnerControls"/>
    </TaxKeywordTaxHTField>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2410" ma:contentTypeDescription="" ma:contentTypeScope="" ma:versionID="22172cd57f780d7669b74b693d567f2f">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8186ca62135d0617e18e5c71277486f5"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20"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F4EA7-0055-4434-A9C7-A77F29275092}">
  <ds:schemaRefs>
    <ds:schemaRef ds:uri="http://schemas.microsoft.com/office/2006/metadata/properties"/>
    <ds:schemaRef ds:uri="http://schemas.microsoft.com/office/infopath/2007/PartnerControls"/>
    <ds:schemaRef ds:uri="http://schemas.microsoft.com/sharepoint/v4"/>
    <ds:schemaRef ds:uri="0f563589-9cf9-4143-b1eb-fb0534803d38"/>
    <ds:schemaRef ds:uri="d4dd4adf-ddb3-46a3-8d7c-fab3fb2a6bc7"/>
  </ds:schemaRefs>
</ds:datastoreItem>
</file>

<file path=customXml/itemProps2.xml><?xml version="1.0" encoding="utf-8"?>
<ds:datastoreItem xmlns:ds="http://schemas.openxmlformats.org/officeDocument/2006/customXml" ds:itemID="{8546536C-3C9F-4750-83BE-9BED7CE377FE}">
  <ds:schemaRefs>
    <ds:schemaRef ds:uri="office.server.policy"/>
  </ds:schemaRefs>
</ds:datastoreItem>
</file>

<file path=customXml/itemProps3.xml><?xml version="1.0" encoding="utf-8"?>
<ds:datastoreItem xmlns:ds="http://schemas.openxmlformats.org/officeDocument/2006/customXml" ds:itemID="{3AA3A230-4C6A-44F9-96D8-707CD88F9DBB}">
  <ds:schemaRefs>
    <ds:schemaRef ds:uri="http://schemas.microsoft.com/sharepoint/events"/>
  </ds:schemaRefs>
</ds:datastoreItem>
</file>

<file path=customXml/itemProps4.xml><?xml version="1.0" encoding="utf-8"?>
<ds:datastoreItem xmlns:ds="http://schemas.openxmlformats.org/officeDocument/2006/customXml" ds:itemID="{0073DAE6-58B6-454C-A465-0BDC609CD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B2445D-7FA8-43FA-985A-F886698ABEE9}">
  <ds:schemaRefs>
    <ds:schemaRef ds:uri="http://schemas.openxmlformats.org/officeDocument/2006/bibliography"/>
  </ds:schemaRefs>
</ds:datastoreItem>
</file>

<file path=customXml/itemProps6.xml><?xml version="1.0" encoding="utf-8"?>
<ds:datastoreItem xmlns:ds="http://schemas.openxmlformats.org/officeDocument/2006/customXml" ds:itemID="{1D630272-F146-4156-A9BA-463CDCEB5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5410</Words>
  <Characters>29372</Characters>
  <Application>Microsoft Office Word</Application>
  <DocSecurity>0</DocSecurity>
  <Lines>666</Lines>
  <Paragraphs>160</Paragraphs>
  <ScaleCrop>false</ScaleCrop>
  <HeadingPairs>
    <vt:vector size="2" baseType="variant">
      <vt:variant>
        <vt:lpstr>Title</vt:lpstr>
      </vt:variant>
      <vt:variant>
        <vt:i4>1</vt:i4>
      </vt:variant>
    </vt:vector>
  </HeadingPairs>
  <TitlesOfParts>
    <vt:vector size="1" baseType="lpstr">
      <vt:lpstr>Exposure Draft Explanatory Materials: Competition and Consumer Amendment (National Access Regime) Bill 2021</vt:lpstr>
    </vt:vector>
  </TitlesOfParts>
  <Company/>
  <LinksUpToDate>false</LinksUpToDate>
  <CharactersWithSpaces>34716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Competition and Consumer Amendment (National Access Regime) Bill 2021</dc:title>
  <dc:subject/>
  <dc:creator/>
  <cp:keywords/>
  <dc:description/>
  <cp:lastModifiedBy/>
  <cp:revision>1</cp:revision>
  <dcterms:created xsi:type="dcterms:W3CDTF">2021-11-18T01:06:00Z</dcterms:created>
  <dcterms:modified xsi:type="dcterms:W3CDTF">2021-11-18T01:37:00Z</dcterms:modified>
</cp:coreProperties>
</file>