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8E40C" w14:textId="77777777" w:rsidR="000E0B74" w:rsidRPr="006D0240" w:rsidRDefault="000E0B74" w:rsidP="008E6292"/>
    <w:p w14:paraId="53715B7A" w14:textId="77777777" w:rsidR="000E0B74" w:rsidRPr="006D0240" w:rsidRDefault="000E0B74" w:rsidP="001D4EAA">
      <w:pPr>
        <w:pStyle w:val="Crest"/>
        <w:spacing w:after="1320"/>
        <w:jc w:val="left"/>
      </w:pPr>
    </w:p>
    <w:p w14:paraId="11907273" w14:textId="56BD1AB9" w:rsidR="00AA1C26" w:rsidRPr="00AA1C26" w:rsidRDefault="00AA1C26" w:rsidP="000D3BD7">
      <w:pPr>
        <w:pStyle w:val="Title"/>
        <w:rPr>
          <w:sz w:val="44"/>
          <w:szCs w:val="44"/>
        </w:rPr>
      </w:pPr>
      <w:r w:rsidRPr="00AA1C26">
        <w:rPr>
          <w:sz w:val="44"/>
          <w:szCs w:val="44"/>
        </w:rPr>
        <w:t>Consultation Regulation Impact Statement</w:t>
      </w:r>
    </w:p>
    <w:p w14:paraId="1603686D" w14:textId="77777777" w:rsidR="00AA1C26" w:rsidRDefault="00AA1C26" w:rsidP="00AA1C26">
      <w:pPr>
        <w:pStyle w:val="Subtitle"/>
        <w:spacing w:line="240" w:lineRule="auto"/>
      </w:pPr>
    </w:p>
    <w:p w14:paraId="3ECF3D39" w14:textId="1820D91A" w:rsidR="000E0B74" w:rsidRPr="001D4EAA" w:rsidRDefault="000D3BD7" w:rsidP="00AA1C26">
      <w:pPr>
        <w:pStyle w:val="Title"/>
        <w:spacing w:after="120" w:line="300" w:lineRule="auto"/>
      </w:pPr>
      <w:r>
        <w:t xml:space="preserve">Improving the effectiveness of </w:t>
      </w:r>
      <w:r w:rsidR="000A6C9A">
        <w:t xml:space="preserve">the </w:t>
      </w:r>
      <w:r>
        <w:t>consumer guarantee and supplier indemnification provisions under the Australian Consumer Law</w:t>
      </w:r>
    </w:p>
    <w:p w14:paraId="3BFFEC24" w14:textId="30A98726" w:rsidR="000D3BD7" w:rsidRDefault="000D3BD7" w:rsidP="00AA1C26">
      <w:pPr>
        <w:pStyle w:val="Subtitle"/>
        <w:spacing w:line="240" w:lineRule="auto"/>
      </w:pPr>
    </w:p>
    <w:p w14:paraId="72B2967E" w14:textId="77777777" w:rsidR="00855956" w:rsidRPr="00855956" w:rsidRDefault="00855956" w:rsidP="00855956"/>
    <w:p w14:paraId="6E98F4DF" w14:textId="77777777" w:rsidR="000D3BD7" w:rsidRDefault="000D3BD7" w:rsidP="000D3BD7">
      <w:pPr>
        <w:pStyle w:val="Subtitle"/>
        <w:rPr>
          <w:sz w:val="24"/>
          <w:szCs w:val="24"/>
        </w:rPr>
      </w:pPr>
      <w:r w:rsidRPr="000D3BD7">
        <w:rPr>
          <w:sz w:val="24"/>
          <w:szCs w:val="24"/>
        </w:rPr>
        <w:t xml:space="preserve">Department of the Treasury on behalf of </w:t>
      </w:r>
    </w:p>
    <w:p w14:paraId="2F6C8EBF" w14:textId="05EBF9CE" w:rsidR="000E0B74" w:rsidRPr="000D3BD7" w:rsidRDefault="000D3BD7" w:rsidP="000D3BD7">
      <w:pPr>
        <w:pStyle w:val="Subtitle"/>
        <w:rPr>
          <w:sz w:val="24"/>
          <w:szCs w:val="24"/>
        </w:rPr>
      </w:pPr>
      <w:r w:rsidRPr="000D3BD7">
        <w:rPr>
          <w:sz w:val="24"/>
          <w:szCs w:val="24"/>
        </w:rPr>
        <w:t>Consumer Senior Officials</w:t>
      </w:r>
    </w:p>
    <w:p w14:paraId="72AD0376" w14:textId="7EC3673D" w:rsidR="00056880" w:rsidRDefault="004E3AA0" w:rsidP="001D4EAA">
      <w:pPr>
        <w:pStyle w:val="ReportDate"/>
        <w:rPr>
          <w:rFonts w:ascii="Rockwell" w:hAnsi="Rockwell"/>
          <w:sz w:val="24"/>
        </w:rPr>
      </w:pPr>
      <w:r>
        <w:rPr>
          <w:rStyle w:val="ReportDateChar"/>
        </w:rPr>
        <w:t>December</w:t>
      </w:r>
      <w:r w:rsidR="00261197">
        <w:rPr>
          <w:rStyle w:val="ReportDateChar"/>
        </w:rPr>
        <w:t xml:space="preserve"> </w:t>
      </w:r>
      <w:r w:rsidR="000D3BD7">
        <w:rPr>
          <w:rStyle w:val="ReportDateChar"/>
        </w:rPr>
        <w:t>2021</w:t>
      </w:r>
    </w:p>
    <w:p w14:paraId="6F92EE18" w14:textId="77777777" w:rsidR="000E0B74" w:rsidRDefault="000E0B74" w:rsidP="000E0B74">
      <w:pPr>
        <w:sectPr w:rsidR="000E0B74" w:rsidSect="00F62A32">
          <w:headerReference w:type="default" r:id="rId13"/>
          <w:pgSz w:w="11906" w:h="16838"/>
          <w:pgMar w:top="1418" w:right="1418" w:bottom="1418" w:left="1418" w:header="709" w:footer="709" w:gutter="0"/>
          <w:pgNumType w:fmt="lowerRoman" w:start="1"/>
          <w:cols w:space="720"/>
        </w:sectPr>
      </w:pPr>
    </w:p>
    <w:p w14:paraId="72C50B06" w14:textId="30684D2A" w:rsidR="000E0B74" w:rsidRDefault="000E0B74" w:rsidP="000E0B74">
      <w:pPr>
        <w:spacing w:before="240"/>
      </w:pPr>
      <w:r w:rsidRPr="00661BF0">
        <w:lastRenderedPageBreak/>
        <w:t xml:space="preserve">© Commonwealth of </w:t>
      </w:r>
      <w:r w:rsidRPr="00AA1C26">
        <w:t>Australia 20</w:t>
      </w:r>
      <w:r w:rsidR="00EF2FBF" w:rsidRPr="00AA1C26">
        <w:t>2</w:t>
      </w:r>
      <w:r w:rsidR="00AA1C26" w:rsidRPr="00AA1C26">
        <w:t>1</w:t>
      </w:r>
    </w:p>
    <w:p w14:paraId="0C44CC36" w14:textId="5BADB22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 xml:space="preserve">licence, </w:t>
      </w:r>
      <w:r w:rsidR="00207CE9" w:rsidRPr="002F1BC2">
        <w:t>except for</w:t>
      </w:r>
      <w:r w:rsidRPr="002F1BC2">
        <w:t xml:space="preserve">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465ADDCD" w14:textId="77777777" w:rsidR="000E0B74" w:rsidRDefault="000E0B74" w:rsidP="000E0B74">
      <w:pPr>
        <w:pStyle w:val="ChartGraphic"/>
        <w:jc w:val="left"/>
      </w:pPr>
      <w:r w:rsidRPr="00E56DFB">
        <w:rPr>
          <w:noProof/>
        </w:rPr>
        <w:drawing>
          <wp:inline distT="0" distB="0" distL="0" distR="0" wp14:anchorId="3C3E4BB9" wp14:editId="3CEBB9B2">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6FBE56E"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89D6C47"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3A4FA5ED"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1C9D4F8A" w14:textId="09AFE688" w:rsidR="000E0B74" w:rsidRPr="00A13A11" w:rsidRDefault="000E0B74" w:rsidP="000E0B74">
      <w:pPr>
        <w:ind w:firstLine="720"/>
      </w:pPr>
      <w:r w:rsidRPr="002F1BC2">
        <w:rPr>
          <w:i/>
        </w:rPr>
        <w:t xml:space="preserve">Source: The </w:t>
      </w:r>
      <w:r w:rsidRPr="002F1BC2">
        <w:rPr>
          <w:i/>
          <w:iCs/>
        </w:rPr>
        <w:t>Australian Government the Treasury</w:t>
      </w:r>
      <w:r w:rsidR="00AA1C26">
        <w:rPr>
          <w:i/>
          <w:iCs/>
        </w:rPr>
        <w:t>.</w:t>
      </w:r>
    </w:p>
    <w:p w14:paraId="5A011DD3" w14:textId="77777777" w:rsidR="000E0B74" w:rsidRPr="006627B4" w:rsidRDefault="000E0B74" w:rsidP="000E0B74">
      <w:pPr>
        <w:spacing w:before="240"/>
      </w:pPr>
      <w:r w:rsidRPr="00CC63CC">
        <w:rPr>
          <w:b/>
        </w:rPr>
        <w:t>Derivative</w:t>
      </w:r>
      <w:r w:rsidRPr="006627B4">
        <w:t xml:space="preserve"> </w:t>
      </w:r>
      <w:r w:rsidRPr="00CC63CC">
        <w:rPr>
          <w:b/>
        </w:rPr>
        <w:t>material</w:t>
      </w:r>
    </w:p>
    <w:p w14:paraId="77E2066F"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351DC7E9" w14:textId="03063E22" w:rsidR="000E0B74" w:rsidRPr="006627B4" w:rsidRDefault="000E0B74" w:rsidP="000E0B74">
      <w:pPr>
        <w:ind w:firstLine="720"/>
      </w:pPr>
      <w:r w:rsidRPr="002F1BC2">
        <w:rPr>
          <w:i/>
        </w:rPr>
        <w:t>Based on The Australian Government the Treasury data</w:t>
      </w:r>
      <w:r>
        <w:t>.</w:t>
      </w:r>
    </w:p>
    <w:p w14:paraId="528B0B96" w14:textId="77777777" w:rsidR="000E0B74" w:rsidRPr="006627B4" w:rsidRDefault="000E0B74" w:rsidP="000E0B74">
      <w:pPr>
        <w:spacing w:before="240"/>
        <w:rPr>
          <w:b/>
        </w:rPr>
      </w:pPr>
      <w:r w:rsidRPr="006627B4">
        <w:rPr>
          <w:b/>
        </w:rPr>
        <w:t>Use of the Coat of Arms</w:t>
      </w:r>
    </w:p>
    <w:p w14:paraId="3B486072"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62A8BEEB" w14:textId="77777777" w:rsidR="000E0B74" w:rsidRPr="006627B4" w:rsidRDefault="000E0B74" w:rsidP="000E0B74">
      <w:pPr>
        <w:spacing w:before="240"/>
        <w:rPr>
          <w:b/>
        </w:rPr>
      </w:pPr>
      <w:r>
        <w:rPr>
          <w:b/>
        </w:rPr>
        <w:t>Other u</w:t>
      </w:r>
      <w:r w:rsidRPr="006627B4">
        <w:rPr>
          <w:b/>
        </w:rPr>
        <w:t>ses</w:t>
      </w:r>
    </w:p>
    <w:p w14:paraId="7EB11E7A" w14:textId="77777777" w:rsidR="000E0B74" w:rsidRPr="006627B4" w:rsidRDefault="000E0B74" w:rsidP="000E0B74">
      <w:r>
        <w:t>E</w:t>
      </w:r>
      <w:r w:rsidRPr="006627B4">
        <w:t>nquiries regarding this licence and any other use of this document are welcome at:</w:t>
      </w:r>
    </w:p>
    <w:p w14:paraId="6BEB17BE" w14:textId="42009AE6" w:rsidR="000E0B74" w:rsidRPr="002F1BC2" w:rsidRDefault="000E0B74" w:rsidP="00AA1C26">
      <w:pPr>
        <w:spacing w:line="240" w:lineRule="auto"/>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00207CE9" w:rsidRPr="006627B4">
        <w:t xml:space="preserve">Parkes </w:t>
      </w:r>
      <w:r w:rsidR="00207CE9">
        <w:t>ACT</w:t>
      </w:r>
      <w:r w:rsidRPr="006627B4">
        <w:t xml:space="preserve"> </w:t>
      </w:r>
      <w:r>
        <w:t xml:space="preserve"> </w:t>
      </w:r>
      <w:r w:rsidRPr="006627B4">
        <w:t>2600</w:t>
      </w:r>
      <w:r>
        <w:br/>
      </w:r>
      <w:r w:rsidRPr="006627B4">
        <w:t xml:space="preserve">Email: </w:t>
      </w:r>
      <w:hyperlink r:id="rId19" w:history="1">
        <w:r w:rsidR="004A077D" w:rsidRPr="000951A5">
          <w:rPr>
            <w:rStyle w:val="Hyperlink"/>
          </w:rPr>
          <w:t>media@treasury.gov.au</w:t>
        </w:r>
      </w:hyperlink>
      <w:r w:rsidR="004A077D">
        <w:t xml:space="preserve"> </w:t>
      </w:r>
    </w:p>
    <w:p w14:paraId="34FAC3BE" w14:textId="77777777" w:rsidR="000E0B74" w:rsidRDefault="000E0B74" w:rsidP="000E0B74">
      <w:pPr>
        <w:pStyle w:val="SingleParagraph"/>
        <w:sectPr w:rsidR="000E0B74" w:rsidSect="00F62A32">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14:paraId="13342346" w14:textId="77777777" w:rsidR="000E0B74" w:rsidRPr="00354FBB" w:rsidRDefault="000E0B74" w:rsidP="00354FBB">
      <w:pPr>
        <w:pStyle w:val="Heading1"/>
      </w:pPr>
      <w:bookmarkStart w:id="0" w:name="_Toc69381033"/>
      <w:bookmarkStart w:id="1" w:name="_Toc69395053"/>
      <w:bookmarkStart w:id="2" w:name="_Toc89700895"/>
      <w:r w:rsidRPr="00354FBB">
        <w:lastRenderedPageBreak/>
        <w:t>Contents</w:t>
      </w:r>
      <w:bookmarkEnd w:id="0"/>
      <w:bookmarkEnd w:id="1"/>
      <w:bookmarkEnd w:id="2"/>
    </w:p>
    <w:p w14:paraId="2498856D" w14:textId="171FFF92" w:rsidR="00ED4D59" w:rsidRDefault="003C3067">
      <w:pPr>
        <w:pStyle w:val="TOC1"/>
        <w:rPr>
          <w:rFonts w:asciiTheme="minorHAnsi" w:eastAsiaTheme="minorEastAsia" w:hAnsiTheme="minorHAnsi" w:cstheme="minorBidi"/>
          <w:b w:val="0"/>
          <w:color w:val="auto"/>
        </w:rPr>
      </w:pPr>
      <w:r>
        <w:rPr>
          <w:b w:val="0"/>
        </w:rPr>
        <w:fldChar w:fldCharType="begin"/>
      </w:r>
      <w:r>
        <w:rPr>
          <w:b w:val="0"/>
        </w:rPr>
        <w:instrText xml:space="preserve"> TOC \o "1-2" \h \z \t "Heading 3,3,Chart Main Heading,3,Heading 3 Numbered,3,Heading 3 no TOC,3" </w:instrText>
      </w:r>
      <w:r>
        <w:rPr>
          <w:b w:val="0"/>
        </w:rPr>
        <w:fldChar w:fldCharType="separate"/>
      </w:r>
      <w:hyperlink w:anchor="_Toc89700895" w:history="1">
        <w:r w:rsidR="00ED4D59" w:rsidRPr="00631F73">
          <w:rPr>
            <w:rStyle w:val="Hyperlink"/>
          </w:rPr>
          <w:t>Contents</w:t>
        </w:r>
        <w:r w:rsidR="00ED4D59">
          <w:rPr>
            <w:webHidden/>
          </w:rPr>
          <w:tab/>
        </w:r>
        <w:r w:rsidR="00ED4D59">
          <w:rPr>
            <w:webHidden/>
          </w:rPr>
          <w:fldChar w:fldCharType="begin"/>
        </w:r>
        <w:r w:rsidR="00ED4D59">
          <w:rPr>
            <w:webHidden/>
          </w:rPr>
          <w:instrText xml:space="preserve"> PAGEREF _Toc89700895 \h </w:instrText>
        </w:r>
        <w:r w:rsidR="00ED4D59">
          <w:rPr>
            <w:webHidden/>
          </w:rPr>
        </w:r>
        <w:r w:rsidR="00ED4D59">
          <w:rPr>
            <w:webHidden/>
          </w:rPr>
          <w:fldChar w:fldCharType="separate"/>
        </w:r>
        <w:r w:rsidR="00001633">
          <w:rPr>
            <w:webHidden/>
          </w:rPr>
          <w:t>iii</w:t>
        </w:r>
        <w:r w:rsidR="00ED4D59">
          <w:rPr>
            <w:webHidden/>
          </w:rPr>
          <w:fldChar w:fldCharType="end"/>
        </w:r>
      </w:hyperlink>
    </w:p>
    <w:p w14:paraId="0A437593" w14:textId="1DE0A198" w:rsidR="00ED4D59" w:rsidRDefault="006C7D5F">
      <w:pPr>
        <w:pStyle w:val="TOC1"/>
        <w:rPr>
          <w:rFonts w:asciiTheme="minorHAnsi" w:eastAsiaTheme="minorEastAsia" w:hAnsiTheme="minorHAnsi" w:cstheme="minorBidi"/>
          <w:b w:val="0"/>
          <w:color w:val="auto"/>
        </w:rPr>
      </w:pPr>
      <w:hyperlink w:anchor="_Toc89700896" w:history="1">
        <w:r w:rsidR="00ED4D59" w:rsidRPr="00631F73">
          <w:rPr>
            <w:rStyle w:val="Hyperlink"/>
          </w:rPr>
          <w:t>Consultation Process</w:t>
        </w:r>
        <w:r w:rsidR="00ED4D59">
          <w:rPr>
            <w:webHidden/>
          </w:rPr>
          <w:tab/>
        </w:r>
        <w:r w:rsidR="00ED4D59">
          <w:rPr>
            <w:webHidden/>
          </w:rPr>
          <w:fldChar w:fldCharType="begin"/>
        </w:r>
        <w:r w:rsidR="00ED4D59">
          <w:rPr>
            <w:webHidden/>
          </w:rPr>
          <w:instrText xml:space="preserve"> PAGEREF _Toc89700896 \h </w:instrText>
        </w:r>
        <w:r w:rsidR="00ED4D59">
          <w:rPr>
            <w:webHidden/>
          </w:rPr>
        </w:r>
        <w:r w:rsidR="00ED4D59">
          <w:rPr>
            <w:webHidden/>
          </w:rPr>
          <w:fldChar w:fldCharType="separate"/>
        </w:r>
        <w:r w:rsidR="00001633">
          <w:rPr>
            <w:webHidden/>
          </w:rPr>
          <w:t>1</w:t>
        </w:r>
        <w:r w:rsidR="00ED4D59">
          <w:rPr>
            <w:webHidden/>
          </w:rPr>
          <w:fldChar w:fldCharType="end"/>
        </w:r>
      </w:hyperlink>
    </w:p>
    <w:p w14:paraId="59024D1C" w14:textId="2A4D6C34" w:rsidR="00ED4D59" w:rsidRDefault="006C7D5F">
      <w:pPr>
        <w:pStyle w:val="TOC2"/>
        <w:rPr>
          <w:rFonts w:asciiTheme="minorHAnsi" w:eastAsiaTheme="minorEastAsia" w:hAnsiTheme="minorHAnsi" w:cstheme="minorBidi"/>
          <w:color w:val="auto"/>
          <w:szCs w:val="22"/>
        </w:rPr>
      </w:pPr>
      <w:hyperlink w:anchor="_Toc89700897" w:history="1">
        <w:r w:rsidR="00ED4D59" w:rsidRPr="00631F73">
          <w:rPr>
            <w:rStyle w:val="Hyperlink"/>
          </w:rPr>
          <w:t>Request for submissions</w:t>
        </w:r>
        <w:r w:rsidR="00ED4D59">
          <w:rPr>
            <w:webHidden/>
          </w:rPr>
          <w:tab/>
        </w:r>
        <w:r w:rsidR="00ED4D59">
          <w:rPr>
            <w:webHidden/>
          </w:rPr>
          <w:fldChar w:fldCharType="begin"/>
        </w:r>
        <w:r w:rsidR="00ED4D59">
          <w:rPr>
            <w:webHidden/>
          </w:rPr>
          <w:instrText xml:space="preserve"> PAGEREF _Toc89700897 \h </w:instrText>
        </w:r>
        <w:r w:rsidR="00ED4D59">
          <w:rPr>
            <w:webHidden/>
          </w:rPr>
        </w:r>
        <w:r w:rsidR="00ED4D59">
          <w:rPr>
            <w:webHidden/>
          </w:rPr>
          <w:fldChar w:fldCharType="separate"/>
        </w:r>
        <w:r w:rsidR="00001633">
          <w:rPr>
            <w:webHidden/>
          </w:rPr>
          <w:t>1</w:t>
        </w:r>
        <w:r w:rsidR="00ED4D59">
          <w:rPr>
            <w:webHidden/>
          </w:rPr>
          <w:fldChar w:fldCharType="end"/>
        </w:r>
      </w:hyperlink>
    </w:p>
    <w:p w14:paraId="48551AAA" w14:textId="72A378D7" w:rsidR="00ED4D59" w:rsidRDefault="006C7D5F">
      <w:pPr>
        <w:pStyle w:val="TOC1"/>
        <w:rPr>
          <w:rFonts w:asciiTheme="minorHAnsi" w:eastAsiaTheme="minorEastAsia" w:hAnsiTheme="minorHAnsi" w:cstheme="minorBidi"/>
          <w:b w:val="0"/>
          <w:color w:val="auto"/>
        </w:rPr>
      </w:pPr>
      <w:hyperlink w:anchor="_Toc89700898" w:history="1">
        <w:r w:rsidR="00ED4D59" w:rsidRPr="00631F73">
          <w:rPr>
            <w:rStyle w:val="Hyperlink"/>
          </w:rPr>
          <w:t>Glossary of terms</w:t>
        </w:r>
        <w:r w:rsidR="00ED4D59">
          <w:rPr>
            <w:webHidden/>
          </w:rPr>
          <w:tab/>
        </w:r>
        <w:r w:rsidR="00ED4D59">
          <w:rPr>
            <w:webHidden/>
          </w:rPr>
          <w:fldChar w:fldCharType="begin"/>
        </w:r>
        <w:r w:rsidR="00ED4D59">
          <w:rPr>
            <w:webHidden/>
          </w:rPr>
          <w:instrText xml:space="preserve"> PAGEREF _Toc89700898 \h </w:instrText>
        </w:r>
        <w:r w:rsidR="00ED4D59">
          <w:rPr>
            <w:webHidden/>
          </w:rPr>
        </w:r>
        <w:r w:rsidR="00ED4D59">
          <w:rPr>
            <w:webHidden/>
          </w:rPr>
          <w:fldChar w:fldCharType="separate"/>
        </w:r>
        <w:r w:rsidR="00001633">
          <w:rPr>
            <w:webHidden/>
          </w:rPr>
          <w:t>3</w:t>
        </w:r>
        <w:r w:rsidR="00ED4D59">
          <w:rPr>
            <w:webHidden/>
          </w:rPr>
          <w:fldChar w:fldCharType="end"/>
        </w:r>
      </w:hyperlink>
    </w:p>
    <w:p w14:paraId="03ECD064" w14:textId="68771316" w:rsidR="00ED4D59" w:rsidRDefault="006C7D5F">
      <w:pPr>
        <w:pStyle w:val="TOC1"/>
        <w:rPr>
          <w:rFonts w:asciiTheme="minorHAnsi" w:eastAsiaTheme="minorEastAsia" w:hAnsiTheme="minorHAnsi" w:cstheme="minorBidi"/>
          <w:b w:val="0"/>
          <w:color w:val="auto"/>
        </w:rPr>
      </w:pPr>
      <w:hyperlink w:anchor="_Toc89700899" w:history="1">
        <w:r w:rsidR="00ED4D59" w:rsidRPr="00631F73">
          <w:rPr>
            <w:rStyle w:val="Hyperlink"/>
          </w:rPr>
          <w:t>Introduction</w:t>
        </w:r>
        <w:r w:rsidR="00ED4D59">
          <w:rPr>
            <w:webHidden/>
          </w:rPr>
          <w:tab/>
        </w:r>
        <w:r w:rsidR="00ED4D59">
          <w:rPr>
            <w:webHidden/>
          </w:rPr>
          <w:fldChar w:fldCharType="begin"/>
        </w:r>
        <w:r w:rsidR="00ED4D59">
          <w:rPr>
            <w:webHidden/>
          </w:rPr>
          <w:instrText xml:space="preserve"> PAGEREF _Toc89700899 \h </w:instrText>
        </w:r>
        <w:r w:rsidR="00ED4D59">
          <w:rPr>
            <w:webHidden/>
          </w:rPr>
        </w:r>
        <w:r w:rsidR="00ED4D59">
          <w:rPr>
            <w:webHidden/>
          </w:rPr>
          <w:fldChar w:fldCharType="separate"/>
        </w:r>
        <w:r w:rsidR="00001633">
          <w:rPr>
            <w:webHidden/>
          </w:rPr>
          <w:t>4</w:t>
        </w:r>
        <w:r w:rsidR="00ED4D59">
          <w:rPr>
            <w:webHidden/>
          </w:rPr>
          <w:fldChar w:fldCharType="end"/>
        </w:r>
      </w:hyperlink>
    </w:p>
    <w:p w14:paraId="2F033DA2" w14:textId="72C4E543" w:rsidR="00ED4D59" w:rsidRDefault="006C7D5F">
      <w:pPr>
        <w:pStyle w:val="TOC2"/>
        <w:rPr>
          <w:rFonts w:asciiTheme="minorHAnsi" w:eastAsiaTheme="minorEastAsia" w:hAnsiTheme="minorHAnsi" w:cstheme="minorBidi"/>
          <w:color w:val="auto"/>
          <w:szCs w:val="22"/>
        </w:rPr>
      </w:pPr>
      <w:hyperlink w:anchor="_Toc89700900" w:history="1">
        <w:r w:rsidR="00ED4D59" w:rsidRPr="00631F73">
          <w:rPr>
            <w:rStyle w:val="Hyperlink"/>
          </w:rPr>
          <w:t>Purpose</w:t>
        </w:r>
        <w:r w:rsidR="00ED4D59">
          <w:rPr>
            <w:webHidden/>
          </w:rPr>
          <w:tab/>
        </w:r>
        <w:r w:rsidR="00ED4D59">
          <w:rPr>
            <w:webHidden/>
          </w:rPr>
          <w:fldChar w:fldCharType="begin"/>
        </w:r>
        <w:r w:rsidR="00ED4D59">
          <w:rPr>
            <w:webHidden/>
          </w:rPr>
          <w:instrText xml:space="preserve"> PAGEREF _Toc89700900 \h </w:instrText>
        </w:r>
        <w:r w:rsidR="00ED4D59">
          <w:rPr>
            <w:webHidden/>
          </w:rPr>
        </w:r>
        <w:r w:rsidR="00ED4D59">
          <w:rPr>
            <w:webHidden/>
          </w:rPr>
          <w:fldChar w:fldCharType="separate"/>
        </w:r>
        <w:r w:rsidR="00001633">
          <w:rPr>
            <w:webHidden/>
          </w:rPr>
          <w:t>4</w:t>
        </w:r>
        <w:r w:rsidR="00ED4D59">
          <w:rPr>
            <w:webHidden/>
          </w:rPr>
          <w:fldChar w:fldCharType="end"/>
        </w:r>
      </w:hyperlink>
    </w:p>
    <w:p w14:paraId="2A603743" w14:textId="3012D2EF" w:rsidR="00ED4D59" w:rsidRDefault="006C7D5F">
      <w:pPr>
        <w:pStyle w:val="TOC1"/>
        <w:rPr>
          <w:rFonts w:asciiTheme="minorHAnsi" w:eastAsiaTheme="minorEastAsia" w:hAnsiTheme="minorHAnsi" w:cstheme="minorBidi"/>
          <w:b w:val="0"/>
          <w:color w:val="auto"/>
        </w:rPr>
      </w:pPr>
      <w:hyperlink w:anchor="_Toc89700901" w:history="1">
        <w:r w:rsidR="00ED4D59" w:rsidRPr="00631F73">
          <w:rPr>
            <w:rStyle w:val="Hyperlink"/>
          </w:rPr>
          <w:t>Key questions</w:t>
        </w:r>
        <w:r w:rsidR="00ED4D59">
          <w:rPr>
            <w:webHidden/>
          </w:rPr>
          <w:tab/>
        </w:r>
        <w:r w:rsidR="00ED4D59">
          <w:rPr>
            <w:webHidden/>
          </w:rPr>
          <w:fldChar w:fldCharType="begin"/>
        </w:r>
        <w:r w:rsidR="00ED4D59">
          <w:rPr>
            <w:webHidden/>
          </w:rPr>
          <w:instrText xml:space="preserve"> PAGEREF _Toc89700901 \h </w:instrText>
        </w:r>
        <w:r w:rsidR="00ED4D59">
          <w:rPr>
            <w:webHidden/>
          </w:rPr>
        </w:r>
        <w:r w:rsidR="00ED4D59">
          <w:rPr>
            <w:webHidden/>
          </w:rPr>
          <w:fldChar w:fldCharType="separate"/>
        </w:r>
        <w:r w:rsidR="00001633">
          <w:rPr>
            <w:webHidden/>
          </w:rPr>
          <w:t>6</w:t>
        </w:r>
        <w:r w:rsidR="00ED4D59">
          <w:rPr>
            <w:webHidden/>
          </w:rPr>
          <w:fldChar w:fldCharType="end"/>
        </w:r>
      </w:hyperlink>
    </w:p>
    <w:p w14:paraId="4834BCC9" w14:textId="069912AB" w:rsidR="00ED4D59" w:rsidRDefault="006C7D5F">
      <w:pPr>
        <w:pStyle w:val="TOC3"/>
        <w:rPr>
          <w:rFonts w:asciiTheme="minorHAnsi" w:eastAsiaTheme="minorEastAsia" w:hAnsiTheme="minorHAnsi" w:cstheme="minorBidi"/>
          <w:color w:val="auto"/>
          <w:szCs w:val="22"/>
        </w:rPr>
      </w:pPr>
      <w:hyperlink w:anchor="_Toc89700902" w:history="1">
        <w:r w:rsidR="00ED4D59" w:rsidRPr="00631F73">
          <w:rPr>
            <w:rStyle w:val="Hyperlink"/>
          </w:rPr>
          <w:t>PART A: Receiving remedies</w:t>
        </w:r>
        <w:r w:rsidR="00ED4D59">
          <w:rPr>
            <w:webHidden/>
          </w:rPr>
          <w:tab/>
        </w:r>
        <w:r w:rsidR="00ED4D59">
          <w:rPr>
            <w:webHidden/>
          </w:rPr>
          <w:fldChar w:fldCharType="begin"/>
        </w:r>
        <w:r w:rsidR="00ED4D59">
          <w:rPr>
            <w:webHidden/>
          </w:rPr>
          <w:instrText xml:space="preserve"> PAGEREF _Toc89700902 \h </w:instrText>
        </w:r>
        <w:r w:rsidR="00ED4D59">
          <w:rPr>
            <w:webHidden/>
          </w:rPr>
        </w:r>
        <w:r w:rsidR="00ED4D59">
          <w:rPr>
            <w:webHidden/>
          </w:rPr>
          <w:fldChar w:fldCharType="separate"/>
        </w:r>
        <w:r w:rsidR="00001633">
          <w:rPr>
            <w:webHidden/>
          </w:rPr>
          <w:t>6</w:t>
        </w:r>
        <w:r w:rsidR="00ED4D59">
          <w:rPr>
            <w:webHidden/>
          </w:rPr>
          <w:fldChar w:fldCharType="end"/>
        </w:r>
      </w:hyperlink>
    </w:p>
    <w:p w14:paraId="2A3B54BF" w14:textId="44FAFDDA" w:rsidR="00ED4D59" w:rsidRDefault="006C7D5F">
      <w:pPr>
        <w:pStyle w:val="TOC3"/>
        <w:rPr>
          <w:rFonts w:asciiTheme="minorHAnsi" w:eastAsiaTheme="minorEastAsia" w:hAnsiTheme="minorHAnsi" w:cstheme="minorBidi"/>
          <w:color w:val="auto"/>
          <w:szCs w:val="22"/>
        </w:rPr>
      </w:pPr>
      <w:hyperlink w:anchor="_Toc89700903" w:history="1">
        <w:r w:rsidR="00ED4D59" w:rsidRPr="00631F73">
          <w:rPr>
            <w:rStyle w:val="Hyperlink"/>
          </w:rPr>
          <w:t>PART B: Supplier indemnification</w:t>
        </w:r>
        <w:r w:rsidR="00ED4D59">
          <w:rPr>
            <w:webHidden/>
          </w:rPr>
          <w:tab/>
        </w:r>
        <w:r w:rsidR="00ED4D59">
          <w:rPr>
            <w:webHidden/>
          </w:rPr>
          <w:fldChar w:fldCharType="begin"/>
        </w:r>
        <w:r w:rsidR="00ED4D59">
          <w:rPr>
            <w:webHidden/>
          </w:rPr>
          <w:instrText xml:space="preserve"> PAGEREF _Toc89700903 \h </w:instrText>
        </w:r>
        <w:r w:rsidR="00ED4D59">
          <w:rPr>
            <w:webHidden/>
          </w:rPr>
        </w:r>
        <w:r w:rsidR="00ED4D59">
          <w:rPr>
            <w:webHidden/>
          </w:rPr>
          <w:fldChar w:fldCharType="separate"/>
        </w:r>
        <w:r w:rsidR="00001633">
          <w:rPr>
            <w:webHidden/>
          </w:rPr>
          <w:t>8</w:t>
        </w:r>
        <w:r w:rsidR="00ED4D59">
          <w:rPr>
            <w:webHidden/>
          </w:rPr>
          <w:fldChar w:fldCharType="end"/>
        </w:r>
      </w:hyperlink>
    </w:p>
    <w:p w14:paraId="412EE22D" w14:textId="74C4C5B9" w:rsidR="00ED4D59" w:rsidRDefault="006C7D5F">
      <w:pPr>
        <w:pStyle w:val="TOC1"/>
        <w:rPr>
          <w:rFonts w:asciiTheme="minorHAnsi" w:eastAsiaTheme="minorEastAsia" w:hAnsiTheme="minorHAnsi" w:cstheme="minorBidi"/>
          <w:b w:val="0"/>
          <w:color w:val="auto"/>
        </w:rPr>
      </w:pPr>
      <w:hyperlink w:anchor="_Toc89700904" w:history="1">
        <w:r w:rsidR="00ED4D59" w:rsidRPr="00631F73">
          <w:rPr>
            <w:rStyle w:val="Hyperlink"/>
          </w:rPr>
          <w:t>Background</w:t>
        </w:r>
        <w:r w:rsidR="00ED4D59">
          <w:rPr>
            <w:webHidden/>
          </w:rPr>
          <w:tab/>
        </w:r>
        <w:r w:rsidR="00ED4D59">
          <w:rPr>
            <w:webHidden/>
          </w:rPr>
          <w:fldChar w:fldCharType="begin"/>
        </w:r>
        <w:r w:rsidR="00ED4D59">
          <w:rPr>
            <w:webHidden/>
          </w:rPr>
          <w:instrText xml:space="preserve"> PAGEREF _Toc89700904 \h </w:instrText>
        </w:r>
        <w:r w:rsidR="00ED4D59">
          <w:rPr>
            <w:webHidden/>
          </w:rPr>
        </w:r>
        <w:r w:rsidR="00ED4D59">
          <w:rPr>
            <w:webHidden/>
          </w:rPr>
          <w:fldChar w:fldCharType="separate"/>
        </w:r>
        <w:r w:rsidR="00001633">
          <w:rPr>
            <w:webHidden/>
          </w:rPr>
          <w:t>10</w:t>
        </w:r>
        <w:r w:rsidR="00ED4D59">
          <w:rPr>
            <w:webHidden/>
          </w:rPr>
          <w:fldChar w:fldCharType="end"/>
        </w:r>
      </w:hyperlink>
    </w:p>
    <w:p w14:paraId="3EA7BA6E" w14:textId="7319B237" w:rsidR="00ED4D59" w:rsidRDefault="006C7D5F">
      <w:pPr>
        <w:pStyle w:val="TOC2"/>
        <w:rPr>
          <w:rFonts w:asciiTheme="minorHAnsi" w:eastAsiaTheme="minorEastAsia" w:hAnsiTheme="minorHAnsi" w:cstheme="minorBidi"/>
          <w:color w:val="auto"/>
          <w:szCs w:val="22"/>
        </w:rPr>
      </w:pPr>
      <w:hyperlink w:anchor="_Toc89700905" w:history="1">
        <w:r w:rsidR="00ED4D59" w:rsidRPr="00631F73">
          <w:rPr>
            <w:rStyle w:val="Hyperlink"/>
          </w:rPr>
          <w:t>The Consumer Guarantees</w:t>
        </w:r>
        <w:r w:rsidR="00ED4D59">
          <w:rPr>
            <w:webHidden/>
          </w:rPr>
          <w:tab/>
        </w:r>
        <w:r w:rsidR="00ED4D59">
          <w:rPr>
            <w:webHidden/>
          </w:rPr>
          <w:fldChar w:fldCharType="begin"/>
        </w:r>
        <w:r w:rsidR="00ED4D59">
          <w:rPr>
            <w:webHidden/>
          </w:rPr>
          <w:instrText xml:space="preserve"> PAGEREF _Toc89700905 \h </w:instrText>
        </w:r>
        <w:r w:rsidR="00ED4D59">
          <w:rPr>
            <w:webHidden/>
          </w:rPr>
        </w:r>
        <w:r w:rsidR="00ED4D59">
          <w:rPr>
            <w:webHidden/>
          </w:rPr>
          <w:fldChar w:fldCharType="separate"/>
        </w:r>
        <w:r w:rsidR="00001633">
          <w:rPr>
            <w:webHidden/>
          </w:rPr>
          <w:t>10</w:t>
        </w:r>
        <w:r w:rsidR="00ED4D59">
          <w:rPr>
            <w:webHidden/>
          </w:rPr>
          <w:fldChar w:fldCharType="end"/>
        </w:r>
      </w:hyperlink>
    </w:p>
    <w:p w14:paraId="43A7DEE2" w14:textId="3F2E7DE4" w:rsidR="00ED4D59" w:rsidRDefault="006C7D5F">
      <w:pPr>
        <w:pStyle w:val="TOC3"/>
        <w:rPr>
          <w:rFonts w:asciiTheme="minorHAnsi" w:eastAsiaTheme="minorEastAsia" w:hAnsiTheme="minorHAnsi" w:cstheme="minorBidi"/>
          <w:color w:val="auto"/>
          <w:szCs w:val="22"/>
        </w:rPr>
      </w:pPr>
      <w:hyperlink w:anchor="_Toc89700906" w:history="1">
        <w:r w:rsidR="00ED4D59" w:rsidRPr="00631F73">
          <w:rPr>
            <w:rStyle w:val="Hyperlink"/>
          </w:rPr>
          <w:t>Goods and services must meet certain standards</w:t>
        </w:r>
        <w:r w:rsidR="00ED4D59">
          <w:rPr>
            <w:webHidden/>
          </w:rPr>
          <w:tab/>
        </w:r>
        <w:r w:rsidR="00ED4D59">
          <w:rPr>
            <w:webHidden/>
          </w:rPr>
          <w:fldChar w:fldCharType="begin"/>
        </w:r>
        <w:r w:rsidR="00ED4D59">
          <w:rPr>
            <w:webHidden/>
          </w:rPr>
          <w:instrText xml:space="preserve"> PAGEREF _Toc89700906 \h </w:instrText>
        </w:r>
        <w:r w:rsidR="00ED4D59">
          <w:rPr>
            <w:webHidden/>
          </w:rPr>
        </w:r>
        <w:r w:rsidR="00ED4D59">
          <w:rPr>
            <w:webHidden/>
          </w:rPr>
          <w:fldChar w:fldCharType="separate"/>
        </w:r>
        <w:r w:rsidR="00001633">
          <w:rPr>
            <w:webHidden/>
          </w:rPr>
          <w:t>10</w:t>
        </w:r>
        <w:r w:rsidR="00ED4D59">
          <w:rPr>
            <w:webHidden/>
          </w:rPr>
          <w:fldChar w:fldCharType="end"/>
        </w:r>
      </w:hyperlink>
    </w:p>
    <w:p w14:paraId="1A1E6489" w14:textId="284E1744" w:rsidR="00ED4D59" w:rsidRDefault="006C7D5F">
      <w:pPr>
        <w:pStyle w:val="TOC3"/>
        <w:rPr>
          <w:rFonts w:asciiTheme="minorHAnsi" w:eastAsiaTheme="minorEastAsia" w:hAnsiTheme="minorHAnsi" w:cstheme="minorBidi"/>
          <w:color w:val="auto"/>
          <w:szCs w:val="22"/>
        </w:rPr>
      </w:pPr>
      <w:hyperlink w:anchor="_Toc89700907" w:history="1">
        <w:r w:rsidR="00ED4D59" w:rsidRPr="00631F73">
          <w:rPr>
            <w:rStyle w:val="Hyperlink"/>
          </w:rPr>
          <w:t>When a good or service fails to comply with a consumer guarantee, consumers have the right to a remedy</w:t>
        </w:r>
        <w:r w:rsidR="00ED4D59">
          <w:rPr>
            <w:webHidden/>
          </w:rPr>
          <w:tab/>
        </w:r>
        <w:r w:rsidR="00ED4D59">
          <w:rPr>
            <w:webHidden/>
          </w:rPr>
          <w:fldChar w:fldCharType="begin"/>
        </w:r>
        <w:r w:rsidR="00ED4D59">
          <w:rPr>
            <w:webHidden/>
          </w:rPr>
          <w:instrText xml:space="preserve"> PAGEREF _Toc89700907 \h </w:instrText>
        </w:r>
        <w:r w:rsidR="00ED4D59">
          <w:rPr>
            <w:webHidden/>
          </w:rPr>
        </w:r>
        <w:r w:rsidR="00ED4D59">
          <w:rPr>
            <w:webHidden/>
          </w:rPr>
          <w:fldChar w:fldCharType="separate"/>
        </w:r>
        <w:r w:rsidR="00001633">
          <w:rPr>
            <w:webHidden/>
          </w:rPr>
          <w:t>11</w:t>
        </w:r>
        <w:r w:rsidR="00ED4D59">
          <w:rPr>
            <w:webHidden/>
          </w:rPr>
          <w:fldChar w:fldCharType="end"/>
        </w:r>
      </w:hyperlink>
    </w:p>
    <w:p w14:paraId="1B03ACD8" w14:textId="51F4266D" w:rsidR="00ED4D59" w:rsidRDefault="006C7D5F">
      <w:pPr>
        <w:pStyle w:val="TOC3"/>
        <w:rPr>
          <w:rFonts w:asciiTheme="minorHAnsi" w:eastAsiaTheme="minorEastAsia" w:hAnsiTheme="minorHAnsi" w:cstheme="minorBidi"/>
          <w:color w:val="auto"/>
          <w:szCs w:val="22"/>
        </w:rPr>
      </w:pPr>
      <w:hyperlink w:anchor="_Toc89700908" w:history="1">
        <w:r w:rsidR="00ED4D59" w:rsidRPr="00631F73">
          <w:rPr>
            <w:rStyle w:val="Hyperlink"/>
          </w:rPr>
          <w:t>The types of remedies available depend on the nature of the failure</w:t>
        </w:r>
        <w:r w:rsidR="00ED4D59">
          <w:rPr>
            <w:webHidden/>
          </w:rPr>
          <w:tab/>
        </w:r>
        <w:r w:rsidR="00ED4D59">
          <w:rPr>
            <w:webHidden/>
          </w:rPr>
          <w:fldChar w:fldCharType="begin"/>
        </w:r>
        <w:r w:rsidR="00ED4D59">
          <w:rPr>
            <w:webHidden/>
          </w:rPr>
          <w:instrText xml:space="preserve"> PAGEREF _Toc89700908 \h </w:instrText>
        </w:r>
        <w:r w:rsidR="00ED4D59">
          <w:rPr>
            <w:webHidden/>
          </w:rPr>
        </w:r>
        <w:r w:rsidR="00ED4D59">
          <w:rPr>
            <w:webHidden/>
          </w:rPr>
          <w:fldChar w:fldCharType="separate"/>
        </w:r>
        <w:r w:rsidR="00001633">
          <w:rPr>
            <w:webHidden/>
          </w:rPr>
          <w:t>12</w:t>
        </w:r>
        <w:r w:rsidR="00ED4D59">
          <w:rPr>
            <w:webHidden/>
          </w:rPr>
          <w:fldChar w:fldCharType="end"/>
        </w:r>
      </w:hyperlink>
    </w:p>
    <w:p w14:paraId="770AA279" w14:textId="4042D764" w:rsidR="00ED4D59" w:rsidRDefault="006C7D5F">
      <w:pPr>
        <w:pStyle w:val="TOC3"/>
        <w:rPr>
          <w:rFonts w:asciiTheme="minorHAnsi" w:eastAsiaTheme="minorEastAsia" w:hAnsiTheme="minorHAnsi" w:cstheme="minorBidi"/>
          <w:color w:val="auto"/>
          <w:szCs w:val="22"/>
        </w:rPr>
      </w:pPr>
      <w:hyperlink w:anchor="_Toc89700909" w:history="1">
        <w:r w:rsidR="00ED4D59" w:rsidRPr="00631F73">
          <w:rPr>
            <w:rStyle w:val="Hyperlink"/>
          </w:rPr>
          <w:t>Who is responsible for providing a remedy?</w:t>
        </w:r>
        <w:r w:rsidR="00ED4D59">
          <w:rPr>
            <w:webHidden/>
          </w:rPr>
          <w:tab/>
        </w:r>
        <w:r w:rsidR="00ED4D59">
          <w:rPr>
            <w:webHidden/>
          </w:rPr>
          <w:fldChar w:fldCharType="begin"/>
        </w:r>
        <w:r w:rsidR="00ED4D59">
          <w:rPr>
            <w:webHidden/>
          </w:rPr>
          <w:instrText xml:space="preserve"> PAGEREF _Toc89700909 \h </w:instrText>
        </w:r>
        <w:r w:rsidR="00ED4D59">
          <w:rPr>
            <w:webHidden/>
          </w:rPr>
        </w:r>
        <w:r w:rsidR="00ED4D59">
          <w:rPr>
            <w:webHidden/>
          </w:rPr>
          <w:fldChar w:fldCharType="separate"/>
        </w:r>
        <w:r w:rsidR="00001633">
          <w:rPr>
            <w:webHidden/>
          </w:rPr>
          <w:t>13</w:t>
        </w:r>
        <w:r w:rsidR="00ED4D59">
          <w:rPr>
            <w:webHidden/>
          </w:rPr>
          <w:fldChar w:fldCharType="end"/>
        </w:r>
      </w:hyperlink>
    </w:p>
    <w:p w14:paraId="6E07EB26" w14:textId="491633BA" w:rsidR="00ED4D59" w:rsidRDefault="006C7D5F">
      <w:pPr>
        <w:pStyle w:val="TOC3"/>
        <w:rPr>
          <w:rFonts w:asciiTheme="minorHAnsi" w:eastAsiaTheme="minorEastAsia" w:hAnsiTheme="minorHAnsi" w:cstheme="minorBidi"/>
          <w:color w:val="auto"/>
          <w:szCs w:val="22"/>
        </w:rPr>
      </w:pPr>
      <w:hyperlink w:anchor="_Toc89700910" w:history="1">
        <w:r w:rsidR="00ED4D59" w:rsidRPr="00631F73">
          <w:rPr>
            <w:rStyle w:val="Hyperlink"/>
          </w:rPr>
          <w:t>Other relevant protections</w:t>
        </w:r>
        <w:r w:rsidR="00ED4D59">
          <w:rPr>
            <w:webHidden/>
          </w:rPr>
          <w:tab/>
        </w:r>
        <w:r w:rsidR="00ED4D59">
          <w:rPr>
            <w:webHidden/>
          </w:rPr>
          <w:fldChar w:fldCharType="begin"/>
        </w:r>
        <w:r w:rsidR="00ED4D59">
          <w:rPr>
            <w:webHidden/>
          </w:rPr>
          <w:instrText xml:space="preserve"> PAGEREF _Toc89700910 \h </w:instrText>
        </w:r>
        <w:r w:rsidR="00ED4D59">
          <w:rPr>
            <w:webHidden/>
          </w:rPr>
        </w:r>
        <w:r w:rsidR="00ED4D59">
          <w:rPr>
            <w:webHidden/>
          </w:rPr>
          <w:fldChar w:fldCharType="separate"/>
        </w:r>
        <w:r w:rsidR="00001633">
          <w:rPr>
            <w:webHidden/>
          </w:rPr>
          <w:t>13</w:t>
        </w:r>
        <w:r w:rsidR="00ED4D59">
          <w:rPr>
            <w:webHidden/>
          </w:rPr>
          <w:fldChar w:fldCharType="end"/>
        </w:r>
      </w:hyperlink>
    </w:p>
    <w:p w14:paraId="40D4FFEC" w14:textId="59DFB1E1" w:rsidR="00ED4D59" w:rsidRDefault="006C7D5F">
      <w:pPr>
        <w:pStyle w:val="TOC3"/>
        <w:rPr>
          <w:rFonts w:asciiTheme="minorHAnsi" w:eastAsiaTheme="minorEastAsia" w:hAnsiTheme="minorHAnsi" w:cstheme="minorBidi"/>
          <w:color w:val="auto"/>
          <w:szCs w:val="22"/>
        </w:rPr>
      </w:pPr>
      <w:hyperlink w:anchor="_Toc89700911" w:history="1">
        <w:r w:rsidR="00ED4D59" w:rsidRPr="00631F73">
          <w:rPr>
            <w:rStyle w:val="Hyperlink"/>
          </w:rPr>
          <w:t>Measures which have already been considered</w:t>
        </w:r>
        <w:r w:rsidR="00ED4D59">
          <w:rPr>
            <w:webHidden/>
          </w:rPr>
          <w:tab/>
        </w:r>
        <w:r w:rsidR="00ED4D59">
          <w:rPr>
            <w:webHidden/>
          </w:rPr>
          <w:fldChar w:fldCharType="begin"/>
        </w:r>
        <w:r w:rsidR="00ED4D59">
          <w:rPr>
            <w:webHidden/>
          </w:rPr>
          <w:instrText xml:space="preserve"> PAGEREF _Toc89700911 \h </w:instrText>
        </w:r>
        <w:r w:rsidR="00ED4D59">
          <w:rPr>
            <w:webHidden/>
          </w:rPr>
        </w:r>
        <w:r w:rsidR="00ED4D59">
          <w:rPr>
            <w:webHidden/>
          </w:rPr>
          <w:fldChar w:fldCharType="separate"/>
        </w:r>
        <w:r w:rsidR="00001633">
          <w:rPr>
            <w:webHidden/>
          </w:rPr>
          <w:t>13</w:t>
        </w:r>
        <w:r w:rsidR="00ED4D59">
          <w:rPr>
            <w:webHidden/>
          </w:rPr>
          <w:fldChar w:fldCharType="end"/>
        </w:r>
      </w:hyperlink>
    </w:p>
    <w:p w14:paraId="466AE8F6" w14:textId="2E6BF131" w:rsidR="00ED4D59" w:rsidRDefault="006C7D5F">
      <w:pPr>
        <w:pStyle w:val="TOC3"/>
        <w:rPr>
          <w:rFonts w:asciiTheme="minorHAnsi" w:eastAsiaTheme="minorEastAsia" w:hAnsiTheme="minorHAnsi" w:cstheme="minorBidi"/>
          <w:color w:val="auto"/>
          <w:szCs w:val="22"/>
        </w:rPr>
      </w:pPr>
      <w:hyperlink w:anchor="_Toc89700912" w:history="1">
        <w:r w:rsidR="00ED4D59" w:rsidRPr="00631F73">
          <w:rPr>
            <w:rStyle w:val="Hyperlink"/>
          </w:rPr>
          <w:t>Other relevant government reforms underway</w:t>
        </w:r>
        <w:r w:rsidR="00ED4D59">
          <w:rPr>
            <w:webHidden/>
          </w:rPr>
          <w:tab/>
        </w:r>
        <w:r w:rsidR="00ED4D59">
          <w:rPr>
            <w:webHidden/>
          </w:rPr>
          <w:fldChar w:fldCharType="begin"/>
        </w:r>
        <w:r w:rsidR="00ED4D59">
          <w:rPr>
            <w:webHidden/>
          </w:rPr>
          <w:instrText xml:space="preserve"> PAGEREF _Toc89700912 \h </w:instrText>
        </w:r>
        <w:r w:rsidR="00ED4D59">
          <w:rPr>
            <w:webHidden/>
          </w:rPr>
        </w:r>
        <w:r w:rsidR="00ED4D59">
          <w:rPr>
            <w:webHidden/>
          </w:rPr>
          <w:fldChar w:fldCharType="separate"/>
        </w:r>
        <w:r w:rsidR="00001633">
          <w:rPr>
            <w:webHidden/>
          </w:rPr>
          <w:t>14</w:t>
        </w:r>
        <w:r w:rsidR="00ED4D59">
          <w:rPr>
            <w:webHidden/>
          </w:rPr>
          <w:fldChar w:fldCharType="end"/>
        </w:r>
      </w:hyperlink>
    </w:p>
    <w:p w14:paraId="0E77F23F" w14:textId="61188626" w:rsidR="00ED4D59" w:rsidRDefault="006C7D5F">
      <w:pPr>
        <w:pStyle w:val="TOC2"/>
        <w:rPr>
          <w:rFonts w:asciiTheme="minorHAnsi" w:eastAsiaTheme="minorEastAsia" w:hAnsiTheme="minorHAnsi" w:cstheme="minorBidi"/>
          <w:color w:val="auto"/>
          <w:szCs w:val="22"/>
        </w:rPr>
      </w:pPr>
      <w:hyperlink w:anchor="_Toc89700913" w:history="1">
        <w:r w:rsidR="00ED4D59" w:rsidRPr="00631F73">
          <w:rPr>
            <w:rStyle w:val="Hyperlink"/>
          </w:rPr>
          <w:t>Supplier Indemnification</w:t>
        </w:r>
        <w:r w:rsidR="00ED4D59">
          <w:rPr>
            <w:webHidden/>
          </w:rPr>
          <w:tab/>
        </w:r>
        <w:r w:rsidR="00ED4D59">
          <w:rPr>
            <w:webHidden/>
          </w:rPr>
          <w:fldChar w:fldCharType="begin"/>
        </w:r>
        <w:r w:rsidR="00ED4D59">
          <w:rPr>
            <w:webHidden/>
          </w:rPr>
          <w:instrText xml:space="preserve"> PAGEREF _Toc89700913 \h </w:instrText>
        </w:r>
        <w:r w:rsidR="00ED4D59">
          <w:rPr>
            <w:webHidden/>
          </w:rPr>
        </w:r>
        <w:r w:rsidR="00ED4D59">
          <w:rPr>
            <w:webHidden/>
          </w:rPr>
          <w:fldChar w:fldCharType="separate"/>
        </w:r>
        <w:r w:rsidR="00001633">
          <w:rPr>
            <w:webHidden/>
          </w:rPr>
          <w:t>15</w:t>
        </w:r>
        <w:r w:rsidR="00ED4D59">
          <w:rPr>
            <w:webHidden/>
          </w:rPr>
          <w:fldChar w:fldCharType="end"/>
        </w:r>
      </w:hyperlink>
    </w:p>
    <w:p w14:paraId="2A951C4D" w14:textId="04A1AA60" w:rsidR="00ED4D59" w:rsidRDefault="006C7D5F">
      <w:pPr>
        <w:pStyle w:val="TOC1"/>
        <w:rPr>
          <w:rFonts w:asciiTheme="minorHAnsi" w:eastAsiaTheme="minorEastAsia" w:hAnsiTheme="minorHAnsi" w:cstheme="minorBidi"/>
          <w:b w:val="0"/>
          <w:color w:val="auto"/>
        </w:rPr>
      </w:pPr>
      <w:hyperlink w:anchor="_Toc89700914" w:history="1">
        <w:r w:rsidR="00ED4D59" w:rsidRPr="00631F73">
          <w:rPr>
            <w:rStyle w:val="Hyperlink"/>
          </w:rPr>
          <w:t>Part A: Receiving remedies</w:t>
        </w:r>
        <w:r w:rsidR="00ED4D59">
          <w:rPr>
            <w:webHidden/>
          </w:rPr>
          <w:tab/>
        </w:r>
        <w:r w:rsidR="00ED4D59">
          <w:rPr>
            <w:webHidden/>
          </w:rPr>
          <w:fldChar w:fldCharType="begin"/>
        </w:r>
        <w:r w:rsidR="00ED4D59">
          <w:rPr>
            <w:webHidden/>
          </w:rPr>
          <w:instrText xml:space="preserve"> PAGEREF _Toc89700914 \h </w:instrText>
        </w:r>
        <w:r w:rsidR="00ED4D59">
          <w:rPr>
            <w:webHidden/>
          </w:rPr>
        </w:r>
        <w:r w:rsidR="00ED4D59">
          <w:rPr>
            <w:webHidden/>
          </w:rPr>
          <w:fldChar w:fldCharType="separate"/>
        </w:r>
        <w:r w:rsidR="00001633">
          <w:rPr>
            <w:webHidden/>
          </w:rPr>
          <w:t>17</w:t>
        </w:r>
        <w:r w:rsidR="00ED4D59">
          <w:rPr>
            <w:webHidden/>
          </w:rPr>
          <w:fldChar w:fldCharType="end"/>
        </w:r>
      </w:hyperlink>
    </w:p>
    <w:p w14:paraId="356B7F67" w14:textId="49D726B3" w:rsidR="00ED4D59" w:rsidRDefault="006C7D5F">
      <w:pPr>
        <w:pStyle w:val="TOC2"/>
        <w:rPr>
          <w:rFonts w:asciiTheme="minorHAnsi" w:eastAsiaTheme="minorEastAsia" w:hAnsiTheme="minorHAnsi" w:cstheme="minorBidi"/>
          <w:color w:val="auto"/>
          <w:szCs w:val="22"/>
        </w:rPr>
      </w:pPr>
      <w:hyperlink w:anchor="_Toc89700915" w:history="1">
        <w:r w:rsidR="00ED4D59" w:rsidRPr="00631F73">
          <w:rPr>
            <w:rStyle w:val="Hyperlink"/>
          </w:rPr>
          <w:t>The problem: consumers are not always given the remedies they are entitled to</w:t>
        </w:r>
        <w:r w:rsidR="00ED4D59">
          <w:rPr>
            <w:webHidden/>
          </w:rPr>
          <w:tab/>
        </w:r>
        <w:r w:rsidR="00ED4D59">
          <w:rPr>
            <w:webHidden/>
          </w:rPr>
          <w:fldChar w:fldCharType="begin"/>
        </w:r>
        <w:r w:rsidR="00ED4D59">
          <w:rPr>
            <w:webHidden/>
          </w:rPr>
          <w:instrText xml:space="preserve"> PAGEREF _Toc89700915 \h </w:instrText>
        </w:r>
        <w:r w:rsidR="00ED4D59">
          <w:rPr>
            <w:webHidden/>
          </w:rPr>
        </w:r>
        <w:r w:rsidR="00ED4D59">
          <w:rPr>
            <w:webHidden/>
          </w:rPr>
          <w:fldChar w:fldCharType="separate"/>
        </w:r>
        <w:r w:rsidR="00001633">
          <w:rPr>
            <w:webHidden/>
          </w:rPr>
          <w:t>18</w:t>
        </w:r>
        <w:r w:rsidR="00ED4D59">
          <w:rPr>
            <w:webHidden/>
          </w:rPr>
          <w:fldChar w:fldCharType="end"/>
        </w:r>
      </w:hyperlink>
    </w:p>
    <w:p w14:paraId="78036C8E" w14:textId="063472AC" w:rsidR="00ED4D59" w:rsidRDefault="006C7D5F">
      <w:pPr>
        <w:pStyle w:val="TOC3"/>
        <w:rPr>
          <w:rFonts w:asciiTheme="minorHAnsi" w:eastAsiaTheme="minorEastAsia" w:hAnsiTheme="minorHAnsi" w:cstheme="minorBidi"/>
          <w:color w:val="auto"/>
          <w:szCs w:val="22"/>
        </w:rPr>
      </w:pPr>
      <w:hyperlink w:anchor="_Toc89700916" w:history="1">
        <w:r w:rsidR="00ED4D59" w:rsidRPr="00631F73">
          <w:rPr>
            <w:rStyle w:val="Hyperlink"/>
          </w:rPr>
          <w:t>Why is this a problem?</w:t>
        </w:r>
        <w:r w:rsidR="00ED4D59">
          <w:rPr>
            <w:webHidden/>
          </w:rPr>
          <w:tab/>
        </w:r>
        <w:r w:rsidR="00ED4D59">
          <w:rPr>
            <w:webHidden/>
          </w:rPr>
          <w:fldChar w:fldCharType="begin"/>
        </w:r>
        <w:r w:rsidR="00ED4D59">
          <w:rPr>
            <w:webHidden/>
          </w:rPr>
          <w:instrText xml:space="preserve"> PAGEREF _Toc89700916 \h </w:instrText>
        </w:r>
        <w:r w:rsidR="00ED4D59">
          <w:rPr>
            <w:webHidden/>
          </w:rPr>
        </w:r>
        <w:r w:rsidR="00ED4D59">
          <w:rPr>
            <w:webHidden/>
          </w:rPr>
          <w:fldChar w:fldCharType="separate"/>
        </w:r>
        <w:r w:rsidR="00001633">
          <w:rPr>
            <w:webHidden/>
          </w:rPr>
          <w:t>18</w:t>
        </w:r>
        <w:r w:rsidR="00ED4D59">
          <w:rPr>
            <w:webHidden/>
          </w:rPr>
          <w:fldChar w:fldCharType="end"/>
        </w:r>
      </w:hyperlink>
    </w:p>
    <w:p w14:paraId="36687122" w14:textId="511201B7" w:rsidR="00ED4D59" w:rsidRDefault="006C7D5F">
      <w:pPr>
        <w:pStyle w:val="TOC3"/>
        <w:rPr>
          <w:rFonts w:asciiTheme="minorHAnsi" w:eastAsiaTheme="minorEastAsia" w:hAnsiTheme="minorHAnsi" w:cstheme="minorBidi"/>
          <w:color w:val="auto"/>
          <w:szCs w:val="22"/>
        </w:rPr>
      </w:pPr>
      <w:hyperlink w:anchor="_Toc89700917" w:history="1">
        <w:r w:rsidR="00ED4D59" w:rsidRPr="00631F73">
          <w:rPr>
            <w:rStyle w:val="Hyperlink"/>
          </w:rPr>
          <w:t>What is the extent of the problem?</w:t>
        </w:r>
        <w:r w:rsidR="00ED4D59">
          <w:rPr>
            <w:webHidden/>
          </w:rPr>
          <w:tab/>
        </w:r>
        <w:r w:rsidR="00ED4D59">
          <w:rPr>
            <w:webHidden/>
          </w:rPr>
          <w:fldChar w:fldCharType="begin"/>
        </w:r>
        <w:r w:rsidR="00ED4D59">
          <w:rPr>
            <w:webHidden/>
          </w:rPr>
          <w:instrText xml:space="preserve"> PAGEREF _Toc89700917 \h </w:instrText>
        </w:r>
        <w:r w:rsidR="00ED4D59">
          <w:rPr>
            <w:webHidden/>
          </w:rPr>
        </w:r>
        <w:r w:rsidR="00ED4D59">
          <w:rPr>
            <w:webHidden/>
          </w:rPr>
          <w:fldChar w:fldCharType="separate"/>
        </w:r>
        <w:r w:rsidR="00001633">
          <w:rPr>
            <w:webHidden/>
          </w:rPr>
          <w:t>18</w:t>
        </w:r>
        <w:r w:rsidR="00ED4D59">
          <w:rPr>
            <w:webHidden/>
          </w:rPr>
          <w:fldChar w:fldCharType="end"/>
        </w:r>
      </w:hyperlink>
    </w:p>
    <w:p w14:paraId="5FC8EE68" w14:textId="23DBD404" w:rsidR="00ED4D59" w:rsidRDefault="006C7D5F">
      <w:pPr>
        <w:pStyle w:val="TOC3"/>
        <w:rPr>
          <w:rFonts w:asciiTheme="minorHAnsi" w:eastAsiaTheme="minorEastAsia" w:hAnsiTheme="minorHAnsi" w:cstheme="minorBidi"/>
          <w:color w:val="auto"/>
          <w:szCs w:val="22"/>
        </w:rPr>
      </w:pPr>
      <w:hyperlink w:anchor="_Toc89700918" w:history="1">
        <w:r w:rsidR="00ED4D59" w:rsidRPr="00631F73">
          <w:rPr>
            <w:rStyle w:val="Hyperlink"/>
          </w:rPr>
          <w:t>2018 consultation on the consumer guarantee framework</w:t>
        </w:r>
        <w:r w:rsidR="00ED4D59">
          <w:rPr>
            <w:webHidden/>
          </w:rPr>
          <w:tab/>
        </w:r>
        <w:r w:rsidR="00ED4D59">
          <w:rPr>
            <w:webHidden/>
          </w:rPr>
          <w:fldChar w:fldCharType="begin"/>
        </w:r>
        <w:r w:rsidR="00ED4D59">
          <w:rPr>
            <w:webHidden/>
          </w:rPr>
          <w:instrText xml:space="preserve"> PAGEREF _Toc89700918 \h </w:instrText>
        </w:r>
        <w:r w:rsidR="00ED4D59">
          <w:rPr>
            <w:webHidden/>
          </w:rPr>
        </w:r>
        <w:r w:rsidR="00ED4D59">
          <w:rPr>
            <w:webHidden/>
          </w:rPr>
          <w:fldChar w:fldCharType="separate"/>
        </w:r>
        <w:r w:rsidR="00001633">
          <w:rPr>
            <w:webHidden/>
          </w:rPr>
          <w:t>20</w:t>
        </w:r>
        <w:r w:rsidR="00ED4D59">
          <w:rPr>
            <w:webHidden/>
          </w:rPr>
          <w:fldChar w:fldCharType="end"/>
        </w:r>
      </w:hyperlink>
    </w:p>
    <w:p w14:paraId="3A6EE971" w14:textId="0902B9C6" w:rsidR="00ED4D59" w:rsidRDefault="006C7D5F">
      <w:pPr>
        <w:pStyle w:val="TOC3"/>
        <w:rPr>
          <w:rFonts w:asciiTheme="minorHAnsi" w:eastAsiaTheme="minorEastAsia" w:hAnsiTheme="minorHAnsi" w:cstheme="minorBidi"/>
          <w:color w:val="auto"/>
          <w:szCs w:val="22"/>
        </w:rPr>
      </w:pPr>
      <w:hyperlink w:anchor="_Toc89700919" w:history="1">
        <w:r w:rsidR="00ED4D59" w:rsidRPr="00631F73">
          <w:rPr>
            <w:rStyle w:val="Hyperlink"/>
          </w:rPr>
          <w:t>Are consumers approaching regulators with concerns and what can they do?</w:t>
        </w:r>
        <w:r w:rsidR="00ED4D59">
          <w:rPr>
            <w:webHidden/>
          </w:rPr>
          <w:tab/>
        </w:r>
        <w:r w:rsidR="00ED4D59">
          <w:rPr>
            <w:webHidden/>
          </w:rPr>
          <w:fldChar w:fldCharType="begin"/>
        </w:r>
        <w:r w:rsidR="00ED4D59">
          <w:rPr>
            <w:webHidden/>
          </w:rPr>
          <w:instrText xml:space="preserve"> PAGEREF _Toc89700919 \h </w:instrText>
        </w:r>
        <w:r w:rsidR="00ED4D59">
          <w:rPr>
            <w:webHidden/>
          </w:rPr>
        </w:r>
        <w:r w:rsidR="00ED4D59">
          <w:rPr>
            <w:webHidden/>
          </w:rPr>
          <w:fldChar w:fldCharType="separate"/>
        </w:r>
        <w:r w:rsidR="00001633">
          <w:rPr>
            <w:webHidden/>
          </w:rPr>
          <w:t>22</w:t>
        </w:r>
        <w:r w:rsidR="00ED4D59">
          <w:rPr>
            <w:webHidden/>
          </w:rPr>
          <w:fldChar w:fldCharType="end"/>
        </w:r>
      </w:hyperlink>
    </w:p>
    <w:p w14:paraId="4BFE6FD6" w14:textId="5ECC3D0A" w:rsidR="00ED4D59" w:rsidRDefault="006C7D5F">
      <w:pPr>
        <w:pStyle w:val="TOC3"/>
        <w:rPr>
          <w:rFonts w:asciiTheme="minorHAnsi" w:eastAsiaTheme="minorEastAsia" w:hAnsiTheme="minorHAnsi" w:cstheme="minorBidi"/>
          <w:color w:val="auto"/>
          <w:szCs w:val="22"/>
        </w:rPr>
      </w:pPr>
      <w:hyperlink w:anchor="_Toc89700920" w:history="1">
        <w:r w:rsidR="00ED4D59" w:rsidRPr="00631F73">
          <w:rPr>
            <w:rStyle w:val="Hyperlink"/>
          </w:rPr>
          <w:t>Existing education and guidance</w:t>
        </w:r>
        <w:r w:rsidR="00ED4D59">
          <w:rPr>
            <w:webHidden/>
          </w:rPr>
          <w:tab/>
        </w:r>
        <w:r w:rsidR="00ED4D59">
          <w:rPr>
            <w:webHidden/>
          </w:rPr>
          <w:fldChar w:fldCharType="begin"/>
        </w:r>
        <w:r w:rsidR="00ED4D59">
          <w:rPr>
            <w:webHidden/>
          </w:rPr>
          <w:instrText xml:space="preserve"> PAGEREF _Toc89700920 \h </w:instrText>
        </w:r>
        <w:r w:rsidR="00ED4D59">
          <w:rPr>
            <w:webHidden/>
          </w:rPr>
        </w:r>
        <w:r w:rsidR="00ED4D59">
          <w:rPr>
            <w:webHidden/>
          </w:rPr>
          <w:fldChar w:fldCharType="separate"/>
        </w:r>
        <w:r w:rsidR="00001633">
          <w:rPr>
            <w:webHidden/>
          </w:rPr>
          <w:t>25</w:t>
        </w:r>
        <w:r w:rsidR="00ED4D59">
          <w:rPr>
            <w:webHidden/>
          </w:rPr>
          <w:fldChar w:fldCharType="end"/>
        </w:r>
      </w:hyperlink>
    </w:p>
    <w:p w14:paraId="7B155222" w14:textId="4E5FC60E" w:rsidR="00ED4D59" w:rsidRDefault="006C7D5F">
      <w:pPr>
        <w:pStyle w:val="TOC3"/>
        <w:rPr>
          <w:rFonts w:asciiTheme="minorHAnsi" w:eastAsiaTheme="minorEastAsia" w:hAnsiTheme="minorHAnsi" w:cstheme="minorBidi"/>
          <w:color w:val="auto"/>
          <w:szCs w:val="22"/>
        </w:rPr>
      </w:pPr>
      <w:hyperlink w:anchor="_Toc89700921" w:history="1">
        <w:r w:rsidR="00ED4D59" w:rsidRPr="00631F73">
          <w:rPr>
            <w:rStyle w:val="Hyperlink"/>
          </w:rPr>
          <w:t>What drives suppliers to provide remedies?</w:t>
        </w:r>
        <w:r w:rsidR="00ED4D59">
          <w:rPr>
            <w:webHidden/>
          </w:rPr>
          <w:tab/>
        </w:r>
        <w:r w:rsidR="00ED4D59">
          <w:rPr>
            <w:webHidden/>
          </w:rPr>
          <w:fldChar w:fldCharType="begin"/>
        </w:r>
        <w:r w:rsidR="00ED4D59">
          <w:rPr>
            <w:webHidden/>
          </w:rPr>
          <w:instrText xml:space="preserve"> PAGEREF _Toc89700921 \h </w:instrText>
        </w:r>
        <w:r w:rsidR="00ED4D59">
          <w:rPr>
            <w:webHidden/>
          </w:rPr>
        </w:r>
        <w:r w:rsidR="00ED4D59">
          <w:rPr>
            <w:webHidden/>
          </w:rPr>
          <w:fldChar w:fldCharType="separate"/>
        </w:r>
        <w:r w:rsidR="00001633">
          <w:rPr>
            <w:webHidden/>
          </w:rPr>
          <w:t>26</w:t>
        </w:r>
        <w:r w:rsidR="00ED4D59">
          <w:rPr>
            <w:webHidden/>
          </w:rPr>
          <w:fldChar w:fldCharType="end"/>
        </w:r>
      </w:hyperlink>
    </w:p>
    <w:p w14:paraId="7BFCEA0B" w14:textId="20972E03" w:rsidR="00ED4D59" w:rsidRDefault="006C7D5F">
      <w:pPr>
        <w:pStyle w:val="TOC3"/>
        <w:rPr>
          <w:rFonts w:asciiTheme="minorHAnsi" w:eastAsiaTheme="minorEastAsia" w:hAnsiTheme="minorHAnsi" w:cstheme="minorBidi"/>
          <w:color w:val="auto"/>
          <w:szCs w:val="22"/>
        </w:rPr>
      </w:pPr>
      <w:hyperlink w:anchor="_Toc89700922" w:history="1">
        <w:r w:rsidR="00ED4D59" w:rsidRPr="00631F73">
          <w:rPr>
            <w:rStyle w:val="Hyperlink"/>
          </w:rPr>
          <w:t>Obtaining remedies relating to new motor vehicles</w:t>
        </w:r>
        <w:r w:rsidR="00ED4D59">
          <w:rPr>
            <w:webHidden/>
          </w:rPr>
          <w:tab/>
        </w:r>
        <w:r w:rsidR="00ED4D59">
          <w:rPr>
            <w:webHidden/>
          </w:rPr>
          <w:fldChar w:fldCharType="begin"/>
        </w:r>
        <w:r w:rsidR="00ED4D59">
          <w:rPr>
            <w:webHidden/>
          </w:rPr>
          <w:instrText xml:space="preserve"> PAGEREF _Toc89700922 \h </w:instrText>
        </w:r>
        <w:r w:rsidR="00ED4D59">
          <w:rPr>
            <w:webHidden/>
          </w:rPr>
        </w:r>
        <w:r w:rsidR="00ED4D59">
          <w:rPr>
            <w:webHidden/>
          </w:rPr>
          <w:fldChar w:fldCharType="separate"/>
        </w:r>
        <w:r w:rsidR="00001633">
          <w:rPr>
            <w:webHidden/>
          </w:rPr>
          <w:t>26</w:t>
        </w:r>
        <w:r w:rsidR="00ED4D59">
          <w:rPr>
            <w:webHidden/>
          </w:rPr>
          <w:fldChar w:fldCharType="end"/>
        </w:r>
      </w:hyperlink>
    </w:p>
    <w:p w14:paraId="30ABA667" w14:textId="6B559465" w:rsidR="00ED4D59" w:rsidRDefault="006C7D5F">
      <w:pPr>
        <w:pStyle w:val="TOC2"/>
        <w:rPr>
          <w:rFonts w:asciiTheme="minorHAnsi" w:eastAsiaTheme="minorEastAsia" w:hAnsiTheme="minorHAnsi" w:cstheme="minorBidi"/>
          <w:color w:val="auto"/>
          <w:szCs w:val="22"/>
        </w:rPr>
      </w:pPr>
      <w:hyperlink w:anchor="_Toc89700923" w:history="1">
        <w:r w:rsidR="00ED4D59" w:rsidRPr="00631F73">
          <w:rPr>
            <w:rStyle w:val="Hyperlink"/>
          </w:rPr>
          <w:t>Policy options for Part A</w:t>
        </w:r>
        <w:r w:rsidR="00ED4D59">
          <w:rPr>
            <w:webHidden/>
          </w:rPr>
          <w:tab/>
        </w:r>
        <w:r w:rsidR="00ED4D59">
          <w:rPr>
            <w:webHidden/>
          </w:rPr>
          <w:fldChar w:fldCharType="begin"/>
        </w:r>
        <w:r w:rsidR="00ED4D59">
          <w:rPr>
            <w:webHidden/>
          </w:rPr>
          <w:instrText xml:space="preserve"> PAGEREF _Toc89700923 \h </w:instrText>
        </w:r>
        <w:r w:rsidR="00ED4D59">
          <w:rPr>
            <w:webHidden/>
          </w:rPr>
        </w:r>
        <w:r w:rsidR="00ED4D59">
          <w:rPr>
            <w:webHidden/>
          </w:rPr>
          <w:fldChar w:fldCharType="separate"/>
        </w:r>
        <w:r w:rsidR="00001633">
          <w:rPr>
            <w:webHidden/>
          </w:rPr>
          <w:t>35</w:t>
        </w:r>
        <w:r w:rsidR="00ED4D59">
          <w:rPr>
            <w:webHidden/>
          </w:rPr>
          <w:fldChar w:fldCharType="end"/>
        </w:r>
      </w:hyperlink>
    </w:p>
    <w:p w14:paraId="441B8161" w14:textId="7CE0EADF" w:rsidR="00ED4D59" w:rsidRDefault="006C7D5F">
      <w:pPr>
        <w:pStyle w:val="TOC3"/>
        <w:rPr>
          <w:rFonts w:asciiTheme="minorHAnsi" w:eastAsiaTheme="minorEastAsia" w:hAnsiTheme="minorHAnsi" w:cstheme="minorBidi"/>
          <w:color w:val="auto"/>
          <w:szCs w:val="22"/>
        </w:rPr>
      </w:pPr>
      <w:hyperlink w:anchor="_Toc89700924" w:history="1">
        <w:r w:rsidR="00ED4D59" w:rsidRPr="00631F73">
          <w:rPr>
            <w:rStyle w:val="Hyperlink"/>
          </w:rPr>
          <w:t>Part A, Option 1 – status quo</w:t>
        </w:r>
        <w:r w:rsidR="00ED4D59">
          <w:rPr>
            <w:webHidden/>
          </w:rPr>
          <w:tab/>
        </w:r>
        <w:r w:rsidR="00ED4D59">
          <w:rPr>
            <w:webHidden/>
          </w:rPr>
          <w:fldChar w:fldCharType="begin"/>
        </w:r>
        <w:r w:rsidR="00ED4D59">
          <w:rPr>
            <w:webHidden/>
          </w:rPr>
          <w:instrText xml:space="preserve"> PAGEREF _Toc89700924 \h </w:instrText>
        </w:r>
        <w:r w:rsidR="00ED4D59">
          <w:rPr>
            <w:webHidden/>
          </w:rPr>
        </w:r>
        <w:r w:rsidR="00ED4D59">
          <w:rPr>
            <w:webHidden/>
          </w:rPr>
          <w:fldChar w:fldCharType="separate"/>
        </w:r>
        <w:r w:rsidR="00001633">
          <w:rPr>
            <w:webHidden/>
          </w:rPr>
          <w:t>35</w:t>
        </w:r>
        <w:r w:rsidR="00ED4D59">
          <w:rPr>
            <w:webHidden/>
          </w:rPr>
          <w:fldChar w:fldCharType="end"/>
        </w:r>
      </w:hyperlink>
    </w:p>
    <w:p w14:paraId="6E3F3669" w14:textId="0FDFB547" w:rsidR="00ED4D59" w:rsidRDefault="006C7D5F">
      <w:pPr>
        <w:pStyle w:val="TOC3"/>
        <w:rPr>
          <w:rFonts w:asciiTheme="minorHAnsi" w:eastAsiaTheme="minorEastAsia" w:hAnsiTheme="minorHAnsi" w:cstheme="minorBidi"/>
          <w:color w:val="auto"/>
          <w:szCs w:val="22"/>
        </w:rPr>
      </w:pPr>
      <w:hyperlink w:anchor="_Toc89700925" w:history="1">
        <w:r w:rsidR="00ED4D59" w:rsidRPr="00631F73">
          <w:rPr>
            <w:rStyle w:val="Hyperlink"/>
          </w:rPr>
          <w:t>Part A, Option 2 – an education and guidance campaign</w:t>
        </w:r>
        <w:r w:rsidR="00ED4D59">
          <w:rPr>
            <w:webHidden/>
          </w:rPr>
          <w:tab/>
        </w:r>
        <w:r w:rsidR="00ED4D59">
          <w:rPr>
            <w:webHidden/>
          </w:rPr>
          <w:fldChar w:fldCharType="begin"/>
        </w:r>
        <w:r w:rsidR="00ED4D59">
          <w:rPr>
            <w:webHidden/>
          </w:rPr>
          <w:instrText xml:space="preserve"> PAGEREF _Toc89700925 \h </w:instrText>
        </w:r>
        <w:r w:rsidR="00ED4D59">
          <w:rPr>
            <w:webHidden/>
          </w:rPr>
        </w:r>
        <w:r w:rsidR="00ED4D59">
          <w:rPr>
            <w:webHidden/>
          </w:rPr>
          <w:fldChar w:fldCharType="separate"/>
        </w:r>
        <w:r w:rsidR="00001633">
          <w:rPr>
            <w:webHidden/>
          </w:rPr>
          <w:t>35</w:t>
        </w:r>
        <w:r w:rsidR="00ED4D59">
          <w:rPr>
            <w:webHidden/>
          </w:rPr>
          <w:fldChar w:fldCharType="end"/>
        </w:r>
      </w:hyperlink>
    </w:p>
    <w:p w14:paraId="0A1741A0" w14:textId="14827814" w:rsidR="00ED4D59" w:rsidRDefault="006C7D5F">
      <w:pPr>
        <w:pStyle w:val="TOC3"/>
        <w:rPr>
          <w:rFonts w:asciiTheme="minorHAnsi" w:eastAsiaTheme="minorEastAsia" w:hAnsiTheme="minorHAnsi" w:cstheme="minorBidi"/>
          <w:color w:val="auto"/>
          <w:szCs w:val="22"/>
        </w:rPr>
      </w:pPr>
      <w:hyperlink w:anchor="_Toc89700926" w:history="1">
        <w:r w:rsidR="00ED4D59" w:rsidRPr="00631F73">
          <w:rPr>
            <w:rStyle w:val="Hyperlink"/>
          </w:rPr>
          <w:t>Part A, Option 3 – a prohibition against not providing a remedy for consumer guarantee failures, supported by penalties and other enforcement mechanisms</w:t>
        </w:r>
        <w:r w:rsidR="00ED4D59">
          <w:rPr>
            <w:webHidden/>
          </w:rPr>
          <w:tab/>
        </w:r>
        <w:r w:rsidR="00ED4D59">
          <w:rPr>
            <w:webHidden/>
          </w:rPr>
          <w:fldChar w:fldCharType="begin"/>
        </w:r>
        <w:r w:rsidR="00ED4D59">
          <w:rPr>
            <w:webHidden/>
          </w:rPr>
          <w:instrText xml:space="preserve"> PAGEREF _Toc89700926 \h </w:instrText>
        </w:r>
        <w:r w:rsidR="00ED4D59">
          <w:rPr>
            <w:webHidden/>
          </w:rPr>
        </w:r>
        <w:r w:rsidR="00ED4D59">
          <w:rPr>
            <w:webHidden/>
          </w:rPr>
          <w:fldChar w:fldCharType="separate"/>
        </w:r>
        <w:r w:rsidR="00001633">
          <w:rPr>
            <w:webHidden/>
          </w:rPr>
          <w:t>35</w:t>
        </w:r>
        <w:r w:rsidR="00ED4D59">
          <w:rPr>
            <w:webHidden/>
          </w:rPr>
          <w:fldChar w:fldCharType="end"/>
        </w:r>
      </w:hyperlink>
    </w:p>
    <w:p w14:paraId="393D44C2" w14:textId="381D9A89" w:rsidR="00ED4D59" w:rsidRDefault="006C7D5F">
      <w:pPr>
        <w:pStyle w:val="TOC2"/>
        <w:rPr>
          <w:rFonts w:asciiTheme="minorHAnsi" w:eastAsiaTheme="minorEastAsia" w:hAnsiTheme="minorHAnsi" w:cstheme="minorBidi"/>
          <w:color w:val="auto"/>
          <w:szCs w:val="22"/>
        </w:rPr>
      </w:pPr>
      <w:hyperlink w:anchor="_Toc89700927" w:history="1">
        <w:r w:rsidR="00ED4D59" w:rsidRPr="00631F73">
          <w:rPr>
            <w:rStyle w:val="Hyperlink"/>
          </w:rPr>
          <w:t>Impact analysis for Part A</w:t>
        </w:r>
        <w:r w:rsidR="00ED4D59">
          <w:rPr>
            <w:webHidden/>
          </w:rPr>
          <w:tab/>
        </w:r>
        <w:r w:rsidR="00ED4D59">
          <w:rPr>
            <w:webHidden/>
          </w:rPr>
          <w:fldChar w:fldCharType="begin"/>
        </w:r>
        <w:r w:rsidR="00ED4D59">
          <w:rPr>
            <w:webHidden/>
          </w:rPr>
          <w:instrText xml:space="preserve"> PAGEREF _Toc89700927 \h </w:instrText>
        </w:r>
        <w:r w:rsidR="00ED4D59">
          <w:rPr>
            <w:webHidden/>
          </w:rPr>
        </w:r>
        <w:r w:rsidR="00ED4D59">
          <w:rPr>
            <w:webHidden/>
          </w:rPr>
          <w:fldChar w:fldCharType="separate"/>
        </w:r>
        <w:r w:rsidR="00001633">
          <w:rPr>
            <w:webHidden/>
          </w:rPr>
          <w:t>37</w:t>
        </w:r>
        <w:r w:rsidR="00ED4D59">
          <w:rPr>
            <w:webHidden/>
          </w:rPr>
          <w:fldChar w:fldCharType="end"/>
        </w:r>
      </w:hyperlink>
    </w:p>
    <w:p w14:paraId="7E8391B3" w14:textId="37A37B7D" w:rsidR="00ED4D59" w:rsidRDefault="006C7D5F">
      <w:pPr>
        <w:pStyle w:val="TOC3"/>
        <w:rPr>
          <w:rFonts w:asciiTheme="minorHAnsi" w:eastAsiaTheme="minorEastAsia" w:hAnsiTheme="minorHAnsi" w:cstheme="minorBidi"/>
          <w:color w:val="auto"/>
          <w:szCs w:val="22"/>
        </w:rPr>
      </w:pPr>
      <w:hyperlink w:anchor="_Toc89700928" w:history="1">
        <w:r w:rsidR="00ED4D59" w:rsidRPr="00631F73">
          <w:rPr>
            <w:rStyle w:val="Hyperlink"/>
          </w:rPr>
          <w:t>Part A, Option 1 – status quo</w:t>
        </w:r>
        <w:r w:rsidR="00ED4D59">
          <w:rPr>
            <w:webHidden/>
          </w:rPr>
          <w:tab/>
        </w:r>
        <w:r w:rsidR="00ED4D59">
          <w:rPr>
            <w:webHidden/>
          </w:rPr>
          <w:fldChar w:fldCharType="begin"/>
        </w:r>
        <w:r w:rsidR="00ED4D59">
          <w:rPr>
            <w:webHidden/>
          </w:rPr>
          <w:instrText xml:space="preserve"> PAGEREF _Toc89700928 \h </w:instrText>
        </w:r>
        <w:r w:rsidR="00ED4D59">
          <w:rPr>
            <w:webHidden/>
          </w:rPr>
        </w:r>
        <w:r w:rsidR="00ED4D59">
          <w:rPr>
            <w:webHidden/>
          </w:rPr>
          <w:fldChar w:fldCharType="separate"/>
        </w:r>
        <w:r w:rsidR="00001633">
          <w:rPr>
            <w:webHidden/>
          </w:rPr>
          <w:t>37</w:t>
        </w:r>
        <w:r w:rsidR="00ED4D59">
          <w:rPr>
            <w:webHidden/>
          </w:rPr>
          <w:fldChar w:fldCharType="end"/>
        </w:r>
      </w:hyperlink>
    </w:p>
    <w:p w14:paraId="18798E52" w14:textId="4818081E" w:rsidR="00ED4D59" w:rsidRDefault="006C7D5F">
      <w:pPr>
        <w:pStyle w:val="TOC3"/>
        <w:rPr>
          <w:rFonts w:asciiTheme="minorHAnsi" w:eastAsiaTheme="minorEastAsia" w:hAnsiTheme="minorHAnsi" w:cstheme="minorBidi"/>
          <w:color w:val="auto"/>
          <w:szCs w:val="22"/>
        </w:rPr>
      </w:pPr>
      <w:hyperlink w:anchor="_Toc89700929" w:history="1">
        <w:r w:rsidR="00ED4D59" w:rsidRPr="00631F73">
          <w:rPr>
            <w:rStyle w:val="Hyperlink"/>
          </w:rPr>
          <w:t>Part A, Option 2 – an education and guidance campaign</w:t>
        </w:r>
        <w:r w:rsidR="00ED4D59">
          <w:rPr>
            <w:webHidden/>
          </w:rPr>
          <w:tab/>
        </w:r>
        <w:r w:rsidR="00ED4D59">
          <w:rPr>
            <w:webHidden/>
          </w:rPr>
          <w:fldChar w:fldCharType="begin"/>
        </w:r>
        <w:r w:rsidR="00ED4D59">
          <w:rPr>
            <w:webHidden/>
          </w:rPr>
          <w:instrText xml:space="preserve"> PAGEREF _Toc89700929 \h </w:instrText>
        </w:r>
        <w:r w:rsidR="00ED4D59">
          <w:rPr>
            <w:webHidden/>
          </w:rPr>
        </w:r>
        <w:r w:rsidR="00ED4D59">
          <w:rPr>
            <w:webHidden/>
          </w:rPr>
          <w:fldChar w:fldCharType="separate"/>
        </w:r>
        <w:r w:rsidR="00001633">
          <w:rPr>
            <w:webHidden/>
          </w:rPr>
          <w:t>38</w:t>
        </w:r>
        <w:r w:rsidR="00ED4D59">
          <w:rPr>
            <w:webHidden/>
          </w:rPr>
          <w:fldChar w:fldCharType="end"/>
        </w:r>
      </w:hyperlink>
    </w:p>
    <w:p w14:paraId="0A5590DF" w14:textId="5388ED20" w:rsidR="00ED4D59" w:rsidRDefault="006C7D5F">
      <w:pPr>
        <w:pStyle w:val="TOC3"/>
        <w:rPr>
          <w:rFonts w:asciiTheme="minorHAnsi" w:eastAsiaTheme="minorEastAsia" w:hAnsiTheme="minorHAnsi" w:cstheme="minorBidi"/>
          <w:color w:val="auto"/>
          <w:szCs w:val="22"/>
        </w:rPr>
      </w:pPr>
      <w:hyperlink w:anchor="_Toc89700930" w:history="1">
        <w:r w:rsidR="00ED4D59" w:rsidRPr="00631F73">
          <w:rPr>
            <w:rStyle w:val="Hyperlink"/>
          </w:rPr>
          <w:t>Part A, Option 3 – a prohibition against not providing a remedy for consumer guarantee failures, supported by penalties and other enforcement mechanisms</w:t>
        </w:r>
        <w:r w:rsidR="00ED4D59">
          <w:rPr>
            <w:webHidden/>
          </w:rPr>
          <w:tab/>
        </w:r>
        <w:r w:rsidR="00ED4D59">
          <w:rPr>
            <w:webHidden/>
          </w:rPr>
          <w:fldChar w:fldCharType="begin"/>
        </w:r>
        <w:r w:rsidR="00ED4D59">
          <w:rPr>
            <w:webHidden/>
          </w:rPr>
          <w:instrText xml:space="preserve"> PAGEREF _Toc89700930 \h </w:instrText>
        </w:r>
        <w:r w:rsidR="00ED4D59">
          <w:rPr>
            <w:webHidden/>
          </w:rPr>
        </w:r>
        <w:r w:rsidR="00ED4D59">
          <w:rPr>
            <w:webHidden/>
          </w:rPr>
          <w:fldChar w:fldCharType="separate"/>
        </w:r>
        <w:r w:rsidR="00001633">
          <w:rPr>
            <w:webHidden/>
          </w:rPr>
          <w:t>43</w:t>
        </w:r>
        <w:r w:rsidR="00ED4D59">
          <w:rPr>
            <w:webHidden/>
          </w:rPr>
          <w:fldChar w:fldCharType="end"/>
        </w:r>
      </w:hyperlink>
    </w:p>
    <w:p w14:paraId="0FA36D84" w14:textId="112FD982" w:rsidR="00ED4D59" w:rsidRDefault="006C7D5F">
      <w:pPr>
        <w:pStyle w:val="TOC1"/>
        <w:rPr>
          <w:rFonts w:asciiTheme="minorHAnsi" w:eastAsiaTheme="minorEastAsia" w:hAnsiTheme="minorHAnsi" w:cstheme="minorBidi"/>
          <w:b w:val="0"/>
          <w:color w:val="auto"/>
        </w:rPr>
      </w:pPr>
      <w:hyperlink w:anchor="_Toc89700931" w:history="1">
        <w:r w:rsidR="00ED4D59" w:rsidRPr="00631F73">
          <w:rPr>
            <w:rStyle w:val="Hyperlink"/>
          </w:rPr>
          <w:t>Part B: Supplier indemnification</w:t>
        </w:r>
        <w:r w:rsidR="00ED4D59">
          <w:rPr>
            <w:webHidden/>
          </w:rPr>
          <w:tab/>
        </w:r>
        <w:r w:rsidR="00ED4D59">
          <w:rPr>
            <w:webHidden/>
          </w:rPr>
          <w:fldChar w:fldCharType="begin"/>
        </w:r>
        <w:r w:rsidR="00ED4D59">
          <w:rPr>
            <w:webHidden/>
          </w:rPr>
          <w:instrText xml:space="preserve"> PAGEREF _Toc89700931 \h </w:instrText>
        </w:r>
        <w:r w:rsidR="00ED4D59">
          <w:rPr>
            <w:webHidden/>
          </w:rPr>
        </w:r>
        <w:r w:rsidR="00ED4D59">
          <w:rPr>
            <w:webHidden/>
          </w:rPr>
          <w:fldChar w:fldCharType="separate"/>
        </w:r>
        <w:r w:rsidR="00001633">
          <w:rPr>
            <w:webHidden/>
          </w:rPr>
          <w:t>50</w:t>
        </w:r>
        <w:r w:rsidR="00ED4D59">
          <w:rPr>
            <w:webHidden/>
          </w:rPr>
          <w:fldChar w:fldCharType="end"/>
        </w:r>
      </w:hyperlink>
    </w:p>
    <w:p w14:paraId="0BAD24C4" w14:textId="74BAEA56" w:rsidR="00ED4D59" w:rsidRDefault="006C7D5F">
      <w:pPr>
        <w:pStyle w:val="TOC2"/>
        <w:rPr>
          <w:rFonts w:asciiTheme="minorHAnsi" w:eastAsiaTheme="minorEastAsia" w:hAnsiTheme="minorHAnsi" w:cstheme="minorBidi"/>
          <w:color w:val="auto"/>
          <w:szCs w:val="22"/>
        </w:rPr>
      </w:pPr>
      <w:hyperlink w:anchor="_Toc89700932" w:history="1">
        <w:r w:rsidR="00ED4D59" w:rsidRPr="00631F73">
          <w:rPr>
            <w:rStyle w:val="Hyperlink"/>
          </w:rPr>
          <w:t>The problem: manufacturers often fail to indemnify suppliers</w:t>
        </w:r>
        <w:r w:rsidR="00ED4D59">
          <w:rPr>
            <w:webHidden/>
          </w:rPr>
          <w:tab/>
        </w:r>
        <w:r w:rsidR="00ED4D59">
          <w:rPr>
            <w:webHidden/>
          </w:rPr>
          <w:fldChar w:fldCharType="begin"/>
        </w:r>
        <w:r w:rsidR="00ED4D59">
          <w:rPr>
            <w:webHidden/>
          </w:rPr>
          <w:instrText xml:space="preserve"> PAGEREF _Toc89700932 \h </w:instrText>
        </w:r>
        <w:r w:rsidR="00ED4D59">
          <w:rPr>
            <w:webHidden/>
          </w:rPr>
        </w:r>
        <w:r w:rsidR="00ED4D59">
          <w:rPr>
            <w:webHidden/>
          </w:rPr>
          <w:fldChar w:fldCharType="separate"/>
        </w:r>
        <w:r w:rsidR="00001633">
          <w:rPr>
            <w:webHidden/>
          </w:rPr>
          <w:t>51</w:t>
        </w:r>
        <w:r w:rsidR="00ED4D59">
          <w:rPr>
            <w:webHidden/>
          </w:rPr>
          <w:fldChar w:fldCharType="end"/>
        </w:r>
      </w:hyperlink>
    </w:p>
    <w:p w14:paraId="0C683571" w14:textId="05F7A0F5" w:rsidR="00ED4D59" w:rsidRDefault="006C7D5F">
      <w:pPr>
        <w:pStyle w:val="TOC3"/>
        <w:rPr>
          <w:rFonts w:asciiTheme="minorHAnsi" w:eastAsiaTheme="minorEastAsia" w:hAnsiTheme="minorHAnsi" w:cstheme="minorBidi"/>
          <w:color w:val="auto"/>
          <w:szCs w:val="22"/>
        </w:rPr>
      </w:pPr>
      <w:hyperlink w:anchor="_Toc89700933" w:history="1">
        <w:r w:rsidR="00ED4D59" w:rsidRPr="00631F73">
          <w:rPr>
            <w:rStyle w:val="Hyperlink"/>
          </w:rPr>
          <w:t>Lack of incentives for manufacturers to provide indemnification</w:t>
        </w:r>
        <w:r w:rsidR="00ED4D59">
          <w:rPr>
            <w:webHidden/>
          </w:rPr>
          <w:tab/>
        </w:r>
        <w:r w:rsidR="00ED4D59">
          <w:rPr>
            <w:webHidden/>
          </w:rPr>
          <w:fldChar w:fldCharType="begin"/>
        </w:r>
        <w:r w:rsidR="00ED4D59">
          <w:rPr>
            <w:webHidden/>
          </w:rPr>
          <w:instrText xml:space="preserve"> PAGEREF _Toc89700933 \h </w:instrText>
        </w:r>
        <w:r w:rsidR="00ED4D59">
          <w:rPr>
            <w:webHidden/>
          </w:rPr>
        </w:r>
        <w:r w:rsidR="00ED4D59">
          <w:rPr>
            <w:webHidden/>
          </w:rPr>
          <w:fldChar w:fldCharType="separate"/>
        </w:r>
        <w:r w:rsidR="00001633">
          <w:rPr>
            <w:webHidden/>
          </w:rPr>
          <w:t>52</w:t>
        </w:r>
        <w:r w:rsidR="00ED4D59">
          <w:rPr>
            <w:webHidden/>
          </w:rPr>
          <w:fldChar w:fldCharType="end"/>
        </w:r>
      </w:hyperlink>
    </w:p>
    <w:p w14:paraId="14D6F969" w14:textId="3515E2EE" w:rsidR="00ED4D59" w:rsidRDefault="006C7D5F">
      <w:pPr>
        <w:pStyle w:val="TOC3"/>
        <w:rPr>
          <w:rFonts w:asciiTheme="minorHAnsi" w:eastAsiaTheme="minorEastAsia" w:hAnsiTheme="minorHAnsi" w:cstheme="minorBidi"/>
          <w:color w:val="auto"/>
          <w:szCs w:val="22"/>
        </w:rPr>
      </w:pPr>
      <w:hyperlink w:anchor="_Toc89700934" w:history="1">
        <w:r w:rsidR="00ED4D59" w:rsidRPr="00631F73">
          <w:rPr>
            <w:rStyle w:val="Hyperlink"/>
          </w:rPr>
          <w:t>Possible power imbalance between manufacturers and suppliers</w:t>
        </w:r>
        <w:r w:rsidR="00ED4D59">
          <w:rPr>
            <w:webHidden/>
          </w:rPr>
          <w:tab/>
        </w:r>
        <w:r w:rsidR="00ED4D59">
          <w:rPr>
            <w:webHidden/>
          </w:rPr>
          <w:fldChar w:fldCharType="begin"/>
        </w:r>
        <w:r w:rsidR="00ED4D59">
          <w:rPr>
            <w:webHidden/>
          </w:rPr>
          <w:instrText xml:space="preserve"> PAGEREF _Toc89700934 \h </w:instrText>
        </w:r>
        <w:r w:rsidR="00ED4D59">
          <w:rPr>
            <w:webHidden/>
          </w:rPr>
        </w:r>
        <w:r w:rsidR="00ED4D59">
          <w:rPr>
            <w:webHidden/>
          </w:rPr>
          <w:fldChar w:fldCharType="separate"/>
        </w:r>
        <w:r w:rsidR="00001633">
          <w:rPr>
            <w:webHidden/>
          </w:rPr>
          <w:t>52</w:t>
        </w:r>
        <w:r w:rsidR="00ED4D59">
          <w:rPr>
            <w:webHidden/>
          </w:rPr>
          <w:fldChar w:fldCharType="end"/>
        </w:r>
      </w:hyperlink>
    </w:p>
    <w:p w14:paraId="162ADDF4" w14:textId="22AF2947" w:rsidR="00ED4D59" w:rsidRDefault="006C7D5F">
      <w:pPr>
        <w:pStyle w:val="TOC3"/>
        <w:rPr>
          <w:rFonts w:asciiTheme="minorHAnsi" w:eastAsiaTheme="minorEastAsia" w:hAnsiTheme="minorHAnsi" w:cstheme="minorBidi"/>
          <w:color w:val="auto"/>
          <w:szCs w:val="22"/>
        </w:rPr>
      </w:pPr>
      <w:hyperlink w:anchor="_Toc89700935" w:history="1">
        <w:r w:rsidR="00ED4D59" w:rsidRPr="00631F73">
          <w:rPr>
            <w:rStyle w:val="Hyperlink"/>
          </w:rPr>
          <w:t>Disagreement on the existence and responsibility for the failure</w:t>
        </w:r>
        <w:r w:rsidR="00ED4D59">
          <w:rPr>
            <w:webHidden/>
          </w:rPr>
          <w:tab/>
        </w:r>
        <w:r w:rsidR="00ED4D59">
          <w:rPr>
            <w:webHidden/>
          </w:rPr>
          <w:fldChar w:fldCharType="begin"/>
        </w:r>
        <w:r w:rsidR="00ED4D59">
          <w:rPr>
            <w:webHidden/>
          </w:rPr>
          <w:instrText xml:space="preserve"> PAGEREF _Toc89700935 \h </w:instrText>
        </w:r>
        <w:r w:rsidR="00ED4D59">
          <w:rPr>
            <w:webHidden/>
          </w:rPr>
        </w:r>
        <w:r w:rsidR="00ED4D59">
          <w:rPr>
            <w:webHidden/>
          </w:rPr>
          <w:fldChar w:fldCharType="separate"/>
        </w:r>
        <w:r w:rsidR="00001633">
          <w:rPr>
            <w:webHidden/>
          </w:rPr>
          <w:t>53</w:t>
        </w:r>
        <w:r w:rsidR="00ED4D59">
          <w:rPr>
            <w:webHidden/>
          </w:rPr>
          <w:fldChar w:fldCharType="end"/>
        </w:r>
      </w:hyperlink>
    </w:p>
    <w:p w14:paraId="0591A4F3" w14:textId="0F27FF25" w:rsidR="00ED4D59" w:rsidRDefault="006C7D5F">
      <w:pPr>
        <w:pStyle w:val="TOC3"/>
        <w:rPr>
          <w:rFonts w:asciiTheme="minorHAnsi" w:eastAsiaTheme="minorEastAsia" w:hAnsiTheme="minorHAnsi" w:cstheme="minorBidi"/>
          <w:color w:val="auto"/>
          <w:szCs w:val="22"/>
        </w:rPr>
      </w:pPr>
      <w:hyperlink w:anchor="_Toc89700936" w:history="1">
        <w:r w:rsidR="00ED4D59" w:rsidRPr="00631F73">
          <w:rPr>
            <w:rStyle w:val="Hyperlink"/>
            <w:rFonts w:eastAsia="Calibri"/>
          </w:rPr>
          <w:t>What role can ACL regulators play?</w:t>
        </w:r>
        <w:r w:rsidR="00ED4D59">
          <w:rPr>
            <w:webHidden/>
          </w:rPr>
          <w:tab/>
        </w:r>
        <w:r w:rsidR="00ED4D59">
          <w:rPr>
            <w:webHidden/>
          </w:rPr>
          <w:fldChar w:fldCharType="begin"/>
        </w:r>
        <w:r w:rsidR="00ED4D59">
          <w:rPr>
            <w:webHidden/>
          </w:rPr>
          <w:instrText xml:space="preserve"> PAGEREF _Toc89700936 \h </w:instrText>
        </w:r>
        <w:r w:rsidR="00ED4D59">
          <w:rPr>
            <w:webHidden/>
          </w:rPr>
        </w:r>
        <w:r w:rsidR="00ED4D59">
          <w:rPr>
            <w:webHidden/>
          </w:rPr>
          <w:fldChar w:fldCharType="separate"/>
        </w:r>
        <w:r w:rsidR="00001633">
          <w:rPr>
            <w:webHidden/>
          </w:rPr>
          <w:t>55</w:t>
        </w:r>
        <w:r w:rsidR="00ED4D59">
          <w:rPr>
            <w:webHidden/>
          </w:rPr>
          <w:fldChar w:fldCharType="end"/>
        </w:r>
      </w:hyperlink>
    </w:p>
    <w:p w14:paraId="3F71A072" w14:textId="54F6A2CF" w:rsidR="00ED4D59" w:rsidRDefault="006C7D5F">
      <w:pPr>
        <w:pStyle w:val="TOC3"/>
        <w:rPr>
          <w:rFonts w:asciiTheme="minorHAnsi" w:eastAsiaTheme="minorEastAsia" w:hAnsiTheme="minorHAnsi" w:cstheme="minorBidi"/>
          <w:color w:val="auto"/>
          <w:szCs w:val="22"/>
        </w:rPr>
      </w:pPr>
      <w:hyperlink w:anchor="_Toc89700937" w:history="1">
        <w:r w:rsidR="00ED4D59" w:rsidRPr="00631F73">
          <w:rPr>
            <w:rStyle w:val="Hyperlink"/>
            <w:rFonts w:eastAsia="Calibri"/>
          </w:rPr>
          <w:t>Supplier indemnification in the motor vehicle sector</w:t>
        </w:r>
        <w:r w:rsidR="00ED4D59">
          <w:rPr>
            <w:webHidden/>
          </w:rPr>
          <w:tab/>
        </w:r>
        <w:r w:rsidR="00ED4D59">
          <w:rPr>
            <w:webHidden/>
          </w:rPr>
          <w:fldChar w:fldCharType="begin"/>
        </w:r>
        <w:r w:rsidR="00ED4D59">
          <w:rPr>
            <w:webHidden/>
          </w:rPr>
          <w:instrText xml:space="preserve"> PAGEREF _Toc89700937 \h </w:instrText>
        </w:r>
        <w:r w:rsidR="00ED4D59">
          <w:rPr>
            <w:webHidden/>
          </w:rPr>
        </w:r>
        <w:r w:rsidR="00ED4D59">
          <w:rPr>
            <w:webHidden/>
          </w:rPr>
          <w:fldChar w:fldCharType="separate"/>
        </w:r>
        <w:r w:rsidR="00001633">
          <w:rPr>
            <w:webHidden/>
          </w:rPr>
          <w:t>55</w:t>
        </w:r>
        <w:r w:rsidR="00ED4D59">
          <w:rPr>
            <w:webHidden/>
          </w:rPr>
          <w:fldChar w:fldCharType="end"/>
        </w:r>
      </w:hyperlink>
    </w:p>
    <w:p w14:paraId="052508AA" w14:textId="28151243" w:rsidR="00ED4D59" w:rsidRDefault="006C7D5F">
      <w:pPr>
        <w:pStyle w:val="TOC2"/>
        <w:rPr>
          <w:rFonts w:asciiTheme="minorHAnsi" w:eastAsiaTheme="minorEastAsia" w:hAnsiTheme="minorHAnsi" w:cstheme="minorBidi"/>
          <w:color w:val="auto"/>
          <w:szCs w:val="22"/>
        </w:rPr>
      </w:pPr>
      <w:hyperlink w:anchor="_Toc89700938" w:history="1">
        <w:r w:rsidR="00ED4D59" w:rsidRPr="00631F73">
          <w:rPr>
            <w:rStyle w:val="Hyperlink"/>
          </w:rPr>
          <w:t>Policy options for Part B</w:t>
        </w:r>
        <w:r w:rsidR="00ED4D59">
          <w:rPr>
            <w:webHidden/>
          </w:rPr>
          <w:tab/>
        </w:r>
        <w:r w:rsidR="00ED4D59">
          <w:rPr>
            <w:webHidden/>
          </w:rPr>
          <w:fldChar w:fldCharType="begin"/>
        </w:r>
        <w:r w:rsidR="00ED4D59">
          <w:rPr>
            <w:webHidden/>
          </w:rPr>
          <w:instrText xml:space="preserve"> PAGEREF _Toc89700938 \h </w:instrText>
        </w:r>
        <w:r w:rsidR="00ED4D59">
          <w:rPr>
            <w:webHidden/>
          </w:rPr>
        </w:r>
        <w:r w:rsidR="00ED4D59">
          <w:rPr>
            <w:webHidden/>
          </w:rPr>
          <w:fldChar w:fldCharType="separate"/>
        </w:r>
        <w:r w:rsidR="00001633">
          <w:rPr>
            <w:webHidden/>
          </w:rPr>
          <w:t>57</w:t>
        </w:r>
        <w:r w:rsidR="00ED4D59">
          <w:rPr>
            <w:webHidden/>
          </w:rPr>
          <w:fldChar w:fldCharType="end"/>
        </w:r>
      </w:hyperlink>
    </w:p>
    <w:p w14:paraId="78CA0DAA" w14:textId="49433839" w:rsidR="00ED4D59" w:rsidRDefault="006C7D5F">
      <w:pPr>
        <w:pStyle w:val="TOC3"/>
        <w:rPr>
          <w:rFonts w:asciiTheme="minorHAnsi" w:eastAsiaTheme="minorEastAsia" w:hAnsiTheme="minorHAnsi" w:cstheme="minorBidi"/>
          <w:color w:val="auto"/>
          <w:szCs w:val="22"/>
        </w:rPr>
      </w:pPr>
      <w:hyperlink w:anchor="_Toc89700939" w:history="1">
        <w:r w:rsidR="00ED4D59" w:rsidRPr="00631F73">
          <w:rPr>
            <w:rStyle w:val="Hyperlink"/>
          </w:rPr>
          <w:t>Part B, Option 1 – status quo</w:t>
        </w:r>
        <w:r w:rsidR="00ED4D59">
          <w:rPr>
            <w:webHidden/>
          </w:rPr>
          <w:tab/>
        </w:r>
        <w:r w:rsidR="00ED4D59">
          <w:rPr>
            <w:webHidden/>
          </w:rPr>
          <w:fldChar w:fldCharType="begin"/>
        </w:r>
        <w:r w:rsidR="00ED4D59">
          <w:rPr>
            <w:webHidden/>
          </w:rPr>
          <w:instrText xml:space="preserve"> PAGEREF _Toc89700939 \h </w:instrText>
        </w:r>
        <w:r w:rsidR="00ED4D59">
          <w:rPr>
            <w:webHidden/>
          </w:rPr>
        </w:r>
        <w:r w:rsidR="00ED4D59">
          <w:rPr>
            <w:webHidden/>
          </w:rPr>
          <w:fldChar w:fldCharType="separate"/>
        </w:r>
        <w:r w:rsidR="00001633">
          <w:rPr>
            <w:webHidden/>
          </w:rPr>
          <w:t>57</w:t>
        </w:r>
        <w:r w:rsidR="00ED4D59">
          <w:rPr>
            <w:webHidden/>
          </w:rPr>
          <w:fldChar w:fldCharType="end"/>
        </w:r>
      </w:hyperlink>
    </w:p>
    <w:p w14:paraId="7A7B1D87" w14:textId="0F311DC4" w:rsidR="00ED4D59" w:rsidRDefault="006C7D5F">
      <w:pPr>
        <w:pStyle w:val="TOC3"/>
        <w:rPr>
          <w:rFonts w:asciiTheme="minorHAnsi" w:eastAsiaTheme="minorEastAsia" w:hAnsiTheme="minorHAnsi" w:cstheme="minorBidi"/>
          <w:color w:val="auto"/>
          <w:szCs w:val="22"/>
        </w:rPr>
      </w:pPr>
      <w:hyperlink w:anchor="_Toc89700940" w:history="1">
        <w:r w:rsidR="00ED4D59" w:rsidRPr="00631F73">
          <w:rPr>
            <w:rStyle w:val="Hyperlink"/>
          </w:rPr>
          <w:t>Part B, Option 2 – education and guidance campaign</w:t>
        </w:r>
        <w:r w:rsidR="00ED4D59">
          <w:rPr>
            <w:webHidden/>
          </w:rPr>
          <w:tab/>
        </w:r>
        <w:r w:rsidR="00ED4D59">
          <w:rPr>
            <w:webHidden/>
          </w:rPr>
          <w:fldChar w:fldCharType="begin"/>
        </w:r>
        <w:r w:rsidR="00ED4D59">
          <w:rPr>
            <w:webHidden/>
          </w:rPr>
          <w:instrText xml:space="preserve"> PAGEREF _Toc89700940 \h </w:instrText>
        </w:r>
        <w:r w:rsidR="00ED4D59">
          <w:rPr>
            <w:webHidden/>
          </w:rPr>
        </w:r>
        <w:r w:rsidR="00ED4D59">
          <w:rPr>
            <w:webHidden/>
          </w:rPr>
          <w:fldChar w:fldCharType="separate"/>
        </w:r>
        <w:r w:rsidR="00001633">
          <w:rPr>
            <w:webHidden/>
          </w:rPr>
          <w:t>57</w:t>
        </w:r>
        <w:r w:rsidR="00ED4D59">
          <w:rPr>
            <w:webHidden/>
          </w:rPr>
          <w:fldChar w:fldCharType="end"/>
        </w:r>
      </w:hyperlink>
    </w:p>
    <w:p w14:paraId="6028BE19" w14:textId="09A72450" w:rsidR="00ED4D59" w:rsidRDefault="006C7D5F">
      <w:pPr>
        <w:pStyle w:val="TOC3"/>
        <w:rPr>
          <w:rFonts w:asciiTheme="minorHAnsi" w:eastAsiaTheme="minorEastAsia" w:hAnsiTheme="minorHAnsi" w:cstheme="minorBidi"/>
          <w:color w:val="auto"/>
          <w:szCs w:val="22"/>
        </w:rPr>
      </w:pPr>
      <w:hyperlink w:anchor="_Toc89700941" w:history="1">
        <w:r w:rsidR="00ED4D59" w:rsidRPr="00631F73">
          <w:rPr>
            <w:rStyle w:val="Hyperlink"/>
          </w:rPr>
          <w:t>Part B, Option 3 – a prohibition against not indemnifying suppliers supported by penalties and other enforcement mechanisms</w:t>
        </w:r>
        <w:r w:rsidR="00ED4D59">
          <w:rPr>
            <w:webHidden/>
          </w:rPr>
          <w:tab/>
        </w:r>
        <w:r w:rsidR="00ED4D59">
          <w:rPr>
            <w:webHidden/>
          </w:rPr>
          <w:fldChar w:fldCharType="begin"/>
        </w:r>
        <w:r w:rsidR="00ED4D59">
          <w:rPr>
            <w:webHidden/>
          </w:rPr>
          <w:instrText xml:space="preserve"> PAGEREF _Toc89700941 \h </w:instrText>
        </w:r>
        <w:r w:rsidR="00ED4D59">
          <w:rPr>
            <w:webHidden/>
          </w:rPr>
        </w:r>
        <w:r w:rsidR="00ED4D59">
          <w:rPr>
            <w:webHidden/>
          </w:rPr>
          <w:fldChar w:fldCharType="separate"/>
        </w:r>
        <w:r w:rsidR="00001633">
          <w:rPr>
            <w:webHidden/>
          </w:rPr>
          <w:t>57</w:t>
        </w:r>
        <w:r w:rsidR="00ED4D59">
          <w:rPr>
            <w:webHidden/>
          </w:rPr>
          <w:fldChar w:fldCharType="end"/>
        </w:r>
      </w:hyperlink>
    </w:p>
    <w:p w14:paraId="1611C13E" w14:textId="70E96C3F" w:rsidR="00ED4D59" w:rsidRDefault="006C7D5F">
      <w:pPr>
        <w:pStyle w:val="TOC3"/>
        <w:rPr>
          <w:rFonts w:asciiTheme="minorHAnsi" w:eastAsiaTheme="minorEastAsia" w:hAnsiTheme="minorHAnsi" w:cstheme="minorBidi"/>
          <w:color w:val="auto"/>
          <w:szCs w:val="22"/>
        </w:rPr>
      </w:pPr>
      <w:hyperlink w:anchor="_Toc89700942" w:history="1">
        <w:r w:rsidR="00ED4D59" w:rsidRPr="00631F73">
          <w:rPr>
            <w:rStyle w:val="Hyperlink"/>
          </w:rPr>
          <w:t>Part B, Option 4 – a prohibition against manufacturers retaliating against suppliers who request indemnification</w:t>
        </w:r>
        <w:r w:rsidR="00ED4D59">
          <w:rPr>
            <w:webHidden/>
          </w:rPr>
          <w:tab/>
        </w:r>
        <w:r w:rsidR="00ED4D59">
          <w:rPr>
            <w:webHidden/>
          </w:rPr>
          <w:fldChar w:fldCharType="begin"/>
        </w:r>
        <w:r w:rsidR="00ED4D59">
          <w:rPr>
            <w:webHidden/>
          </w:rPr>
          <w:instrText xml:space="preserve"> PAGEREF _Toc89700942 \h </w:instrText>
        </w:r>
        <w:r w:rsidR="00ED4D59">
          <w:rPr>
            <w:webHidden/>
          </w:rPr>
        </w:r>
        <w:r w:rsidR="00ED4D59">
          <w:rPr>
            <w:webHidden/>
          </w:rPr>
          <w:fldChar w:fldCharType="separate"/>
        </w:r>
        <w:r w:rsidR="00001633">
          <w:rPr>
            <w:webHidden/>
          </w:rPr>
          <w:t>58</w:t>
        </w:r>
        <w:r w:rsidR="00ED4D59">
          <w:rPr>
            <w:webHidden/>
          </w:rPr>
          <w:fldChar w:fldCharType="end"/>
        </w:r>
      </w:hyperlink>
    </w:p>
    <w:p w14:paraId="422F1A2D" w14:textId="52EE8BEB" w:rsidR="00ED4D59" w:rsidRDefault="006C7D5F">
      <w:pPr>
        <w:pStyle w:val="TOC2"/>
        <w:rPr>
          <w:rFonts w:asciiTheme="minorHAnsi" w:eastAsiaTheme="minorEastAsia" w:hAnsiTheme="minorHAnsi" w:cstheme="minorBidi"/>
          <w:color w:val="auto"/>
          <w:szCs w:val="22"/>
        </w:rPr>
      </w:pPr>
      <w:hyperlink w:anchor="_Toc89700943" w:history="1">
        <w:r w:rsidR="00ED4D59" w:rsidRPr="00631F73">
          <w:rPr>
            <w:rStyle w:val="Hyperlink"/>
          </w:rPr>
          <w:t>Impact analysis for Part B</w:t>
        </w:r>
        <w:r w:rsidR="00ED4D59">
          <w:rPr>
            <w:webHidden/>
          </w:rPr>
          <w:tab/>
        </w:r>
        <w:r w:rsidR="00ED4D59">
          <w:rPr>
            <w:webHidden/>
          </w:rPr>
          <w:fldChar w:fldCharType="begin"/>
        </w:r>
        <w:r w:rsidR="00ED4D59">
          <w:rPr>
            <w:webHidden/>
          </w:rPr>
          <w:instrText xml:space="preserve"> PAGEREF _Toc89700943 \h </w:instrText>
        </w:r>
        <w:r w:rsidR="00ED4D59">
          <w:rPr>
            <w:webHidden/>
          </w:rPr>
        </w:r>
        <w:r w:rsidR="00ED4D59">
          <w:rPr>
            <w:webHidden/>
          </w:rPr>
          <w:fldChar w:fldCharType="separate"/>
        </w:r>
        <w:r w:rsidR="00001633">
          <w:rPr>
            <w:webHidden/>
          </w:rPr>
          <w:t>59</w:t>
        </w:r>
        <w:r w:rsidR="00ED4D59">
          <w:rPr>
            <w:webHidden/>
          </w:rPr>
          <w:fldChar w:fldCharType="end"/>
        </w:r>
      </w:hyperlink>
    </w:p>
    <w:p w14:paraId="240C0219" w14:textId="0D4E958B" w:rsidR="00ED4D59" w:rsidRDefault="006C7D5F">
      <w:pPr>
        <w:pStyle w:val="TOC3"/>
        <w:rPr>
          <w:rFonts w:asciiTheme="minorHAnsi" w:eastAsiaTheme="minorEastAsia" w:hAnsiTheme="minorHAnsi" w:cstheme="minorBidi"/>
          <w:color w:val="auto"/>
          <w:szCs w:val="22"/>
        </w:rPr>
      </w:pPr>
      <w:hyperlink w:anchor="_Toc89700944" w:history="1">
        <w:r w:rsidR="00ED4D59" w:rsidRPr="00631F73">
          <w:rPr>
            <w:rStyle w:val="Hyperlink"/>
          </w:rPr>
          <w:t>Part B, Option 1 – status quo</w:t>
        </w:r>
        <w:r w:rsidR="00ED4D59">
          <w:rPr>
            <w:webHidden/>
          </w:rPr>
          <w:tab/>
        </w:r>
        <w:r w:rsidR="00ED4D59">
          <w:rPr>
            <w:webHidden/>
          </w:rPr>
          <w:fldChar w:fldCharType="begin"/>
        </w:r>
        <w:r w:rsidR="00ED4D59">
          <w:rPr>
            <w:webHidden/>
          </w:rPr>
          <w:instrText xml:space="preserve"> PAGEREF _Toc89700944 \h </w:instrText>
        </w:r>
        <w:r w:rsidR="00ED4D59">
          <w:rPr>
            <w:webHidden/>
          </w:rPr>
        </w:r>
        <w:r w:rsidR="00ED4D59">
          <w:rPr>
            <w:webHidden/>
          </w:rPr>
          <w:fldChar w:fldCharType="separate"/>
        </w:r>
        <w:r w:rsidR="00001633">
          <w:rPr>
            <w:webHidden/>
          </w:rPr>
          <w:t>59</w:t>
        </w:r>
        <w:r w:rsidR="00ED4D59">
          <w:rPr>
            <w:webHidden/>
          </w:rPr>
          <w:fldChar w:fldCharType="end"/>
        </w:r>
      </w:hyperlink>
    </w:p>
    <w:p w14:paraId="7BB93313" w14:textId="1163528A" w:rsidR="00ED4D59" w:rsidRDefault="006C7D5F">
      <w:pPr>
        <w:pStyle w:val="TOC3"/>
        <w:rPr>
          <w:rFonts w:asciiTheme="minorHAnsi" w:eastAsiaTheme="minorEastAsia" w:hAnsiTheme="minorHAnsi" w:cstheme="minorBidi"/>
          <w:color w:val="auto"/>
          <w:szCs w:val="22"/>
        </w:rPr>
      </w:pPr>
      <w:hyperlink w:anchor="_Toc89700945" w:history="1">
        <w:r w:rsidR="00ED4D59" w:rsidRPr="00631F73">
          <w:rPr>
            <w:rStyle w:val="Hyperlink"/>
          </w:rPr>
          <w:t>Part B, Option 2 – education and guidance campaign</w:t>
        </w:r>
        <w:r w:rsidR="00ED4D59">
          <w:rPr>
            <w:webHidden/>
          </w:rPr>
          <w:tab/>
        </w:r>
        <w:r w:rsidR="00ED4D59">
          <w:rPr>
            <w:webHidden/>
          </w:rPr>
          <w:fldChar w:fldCharType="begin"/>
        </w:r>
        <w:r w:rsidR="00ED4D59">
          <w:rPr>
            <w:webHidden/>
          </w:rPr>
          <w:instrText xml:space="preserve"> PAGEREF _Toc89700945 \h </w:instrText>
        </w:r>
        <w:r w:rsidR="00ED4D59">
          <w:rPr>
            <w:webHidden/>
          </w:rPr>
        </w:r>
        <w:r w:rsidR="00ED4D59">
          <w:rPr>
            <w:webHidden/>
          </w:rPr>
          <w:fldChar w:fldCharType="separate"/>
        </w:r>
        <w:r w:rsidR="00001633">
          <w:rPr>
            <w:webHidden/>
          </w:rPr>
          <w:t>61</w:t>
        </w:r>
        <w:r w:rsidR="00ED4D59">
          <w:rPr>
            <w:webHidden/>
          </w:rPr>
          <w:fldChar w:fldCharType="end"/>
        </w:r>
      </w:hyperlink>
    </w:p>
    <w:p w14:paraId="0AE95060" w14:textId="1304B349" w:rsidR="00ED4D59" w:rsidRDefault="006C7D5F">
      <w:pPr>
        <w:pStyle w:val="TOC3"/>
        <w:rPr>
          <w:rFonts w:asciiTheme="minorHAnsi" w:eastAsiaTheme="minorEastAsia" w:hAnsiTheme="minorHAnsi" w:cstheme="minorBidi"/>
          <w:color w:val="auto"/>
          <w:szCs w:val="22"/>
        </w:rPr>
      </w:pPr>
      <w:hyperlink w:anchor="_Toc89700946" w:history="1">
        <w:r w:rsidR="00ED4D59" w:rsidRPr="00631F73">
          <w:rPr>
            <w:rStyle w:val="Hyperlink"/>
          </w:rPr>
          <w:t>Part B, Option 3 – a prohibition against not indemnifying suppliers, supported by penalties and other enforcement mechanisms</w:t>
        </w:r>
        <w:r w:rsidR="00ED4D59">
          <w:rPr>
            <w:webHidden/>
          </w:rPr>
          <w:tab/>
        </w:r>
        <w:r w:rsidR="00ED4D59">
          <w:rPr>
            <w:webHidden/>
          </w:rPr>
          <w:fldChar w:fldCharType="begin"/>
        </w:r>
        <w:r w:rsidR="00ED4D59">
          <w:rPr>
            <w:webHidden/>
          </w:rPr>
          <w:instrText xml:space="preserve"> PAGEREF _Toc89700946 \h </w:instrText>
        </w:r>
        <w:r w:rsidR="00ED4D59">
          <w:rPr>
            <w:webHidden/>
          </w:rPr>
        </w:r>
        <w:r w:rsidR="00ED4D59">
          <w:rPr>
            <w:webHidden/>
          </w:rPr>
          <w:fldChar w:fldCharType="separate"/>
        </w:r>
        <w:r w:rsidR="00001633">
          <w:rPr>
            <w:webHidden/>
          </w:rPr>
          <w:t>64</w:t>
        </w:r>
        <w:r w:rsidR="00ED4D59">
          <w:rPr>
            <w:webHidden/>
          </w:rPr>
          <w:fldChar w:fldCharType="end"/>
        </w:r>
      </w:hyperlink>
    </w:p>
    <w:p w14:paraId="33BD18B7" w14:textId="6C45429A" w:rsidR="00ED4D59" w:rsidRDefault="006C7D5F">
      <w:pPr>
        <w:pStyle w:val="TOC3"/>
        <w:rPr>
          <w:rFonts w:asciiTheme="minorHAnsi" w:eastAsiaTheme="minorEastAsia" w:hAnsiTheme="minorHAnsi" w:cstheme="minorBidi"/>
          <w:color w:val="auto"/>
          <w:szCs w:val="22"/>
        </w:rPr>
      </w:pPr>
      <w:hyperlink w:anchor="_Toc89700947" w:history="1">
        <w:r w:rsidR="00ED4D59" w:rsidRPr="00631F73">
          <w:rPr>
            <w:rStyle w:val="Hyperlink"/>
          </w:rPr>
          <w:t>Part B, Option 4 – a prohibition against manufacturers retaliating against suppliers who request indemnification</w:t>
        </w:r>
        <w:r w:rsidR="00ED4D59">
          <w:rPr>
            <w:webHidden/>
          </w:rPr>
          <w:tab/>
        </w:r>
        <w:r w:rsidR="00ED4D59">
          <w:rPr>
            <w:webHidden/>
          </w:rPr>
          <w:fldChar w:fldCharType="begin"/>
        </w:r>
        <w:r w:rsidR="00ED4D59">
          <w:rPr>
            <w:webHidden/>
          </w:rPr>
          <w:instrText xml:space="preserve"> PAGEREF _Toc89700947 \h </w:instrText>
        </w:r>
        <w:r w:rsidR="00ED4D59">
          <w:rPr>
            <w:webHidden/>
          </w:rPr>
        </w:r>
        <w:r w:rsidR="00ED4D59">
          <w:rPr>
            <w:webHidden/>
          </w:rPr>
          <w:fldChar w:fldCharType="separate"/>
        </w:r>
        <w:r w:rsidR="00001633">
          <w:rPr>
            <w:webHidden/>
          </w:rPr>
          <w:t>69</w:t>
        </w:r>
        <w:r w:rsidR="00ED4D59">
          <w:rPr>
            <w:webHidden/>
          </w:rPr>
          <w:fldChar w:fldCharType="end"/>
        </w:r>
      </w:hyperlink>
    </w:p>
    <w:p w14:paraId="7869F3E7" w14:textId="344EF8D5" w:rsidR="00ED4D59" w:rsidRDefault="006C7D5F">
      <w:pPr>
        <w:pStyle w:val="TOC1"/>
        <w:rPr>
          <w:rFonts w:asciiTheme="minorHAnsi" w:eastAsiaTheme="minorEastAsia" w:hAnsiTheme="minorHAnsi" w:cstheme="minorBidi"/>
          <w:b w:val="0"/>
          <w:color w:val="auto"/>
        </w:rPr>
      </w:pPr>
      <w:hyperlink w:anchor="_Toc89700948" w:history="1">
        <w:r w:rsidR="00ED4D59" w:rsidRPr="00631F73">
          <w:rPr>
            <w:rStyle w:val="Hyperlink"/>
          </w:rPr>
          <w:t>Appendix A – Assumptions</w:t>
        </w:r>
        <w:r w:rsidR="00ED4D59">
          <w:rPr>
            <w:webHidden/>
          </w:rPr>
          <w:tab/>
        </w:r>
        <w:r w:rsidR="00ED4D59">
          <w:rPr>
            <w:webHidden/>
          </w:rPr>
          <w:fldChar w:fldCharType="begin"/>
        </w:r>
        <w:r w:rsidR="00ED4D59">
          <w:rPr>
            <w:webHidden/>
          </w:rPr>
          <w:instrText xml:space="preserve"> PAGEREF _Toc89700948 \h </w:instrText>
        </w:r>
        <w:r w:rsidR="00ED4D59">
          <w:rPr>
            <w:webHidden/>
          </w:rPr>
        </w:r>
        <w:r w:rsidR="00ED4D59">
          <w:rPr>
            <w:webHidden/>
          </w:rPr>
          <w:fldChar w:fldCharType="separate"/>
        </w:r>
        <w:r w:rsidR="00001633">
          <w:rPr>
            <w:webHidden/>
          </w:rPr>
          <w:t>75</w:t>
        </w:r>
        <w:r w:rsidR="00ED4D59">
          <w:rPr>
            <w:webHidden/>
          </w:rPr>
          <w:fldChar w:fldCharType="end"/>
        </w:r>
      </w:hyperlink>
    </w:p>
    <w:p w14:paraId="13BED371" w14:textId="0387C35C" w:rsidR="00ED4D59" w:rsidRDefault="006C7D5F">
      <w:pPr>
        <w:pStyle w:val="TOC3"/>
        <w:rPr>
          <w:rFonts w:asciiTheme="minorHAnsi" w:eastAsiaTheme="minorEastAsia" w:hAnsiTheme="minorHAnsi" w:cstheme="minorBidi"/>
          <w:color w:val="auto"/>
          <w:szCs w:val="22"/>
        </w:rPr>
      </w:pPr>
      <w:hyperlink w:anchor="_Toc89700949" w:history="1">
        <w:r w:rsidR="00ED4D59" w:rsidRPr="00631F73">
          <w:rPr>
            <w:rStyle w:val="Hyperlink"/>
          </w:rPr>
          <w:t>Framework for the analysis</w:t>
        </w:r>
        <w:r w:rsidR="00ED4D59">
          <w:rPr>
            <w:webHidden/>
          </w:rPr>
          <w:tab/>
        </w:r>
        <w:r w:rsidR="00ED4D59">
          <w:rPr>
            <w:webHidden/>
          </w:rPr>
          <w:fldChar w:fldCharType="begin"/>
        </w:r>
        <w:r w:rsidR="00ED4D59">
          <w:rPr>
            <w:webHidden/>
          </w:rPr>
          <w:instrText xml:space="preserve"> PAGEREF _Toc89700949 \h </w:instrText>
        </w:r>
        <w:r w:rsidR="00ED4D59">
          <w:rPr>
            <w:webHidden/>
          </w:rPr>
        </w:r>
        <w:r w:rsidR="00ED4D59">
          <w:rPr>
            <w:webHidden/>
          </w:rPr>
          <w:fldChar w:fldCharType="separate"/>
        </w:r>
        <w:r w:rsidR="00001633">
          <w:rPr>
            <w:webHidden/>
          </w:rPr>
          <w:t>75</w:t>
        </w:r>
        <w:r w:rsidR="00ED4D59">
          <w:rPr>
            <w:webHidden/>
          </w:rPr>
          <w:fldChar w:fldCharType="end"/>
        </w:r>
      </w:hyperlink>
    </w:p>
    <w:p w14:paraId="1AC24688" w14:textId="60C544B7" w:rsidR="00ED4D59" w:rsidRDefault="006C7D5F">
      <w:pPr>
        <w:pStyle w:val="TOC3"/>
        <w:rPr>
          <w:rFonts w:asciiTheme="minorHAnsi" w:eastAsiaTheme="minorEastAsia" w:hAnsiTheme="minorHAnsi" w:cstheme="minorBidi"/>
          <w:color w:val="auto"/>
          <w:szCs w:val="22"/>
        </w:rPr>
      </w:pPr>
      <w:hyperlink w:anchor="_Toc89700950" w:history="1">
        <w:r w:rsidR="00ED4D59" w:rsidRPr="00631F73">
          <w:rPr>
            <w:rStyle w:val="Hyperlink"/>
          </w:rPr>
          <w:t>Assumptions and sources</w:t>
        </w:r>
        <w:r w:rsidR="00ED4D59">
          <w:rPr>
            <w:webHidden/>
          </w:rPr>
          <w:tab/>
        </w:r>
        <w:r w:rsidR="00ED4D59">
          <w:rPr>
            <w:webHidden/>
          </w:rPr>
          <w:fldChar w:fldCharType="begin"/>
        </w:r>
        <w:r w:rsidR="00ED4D59">
          <w:rPr>
            <w:webHidden/>
          </w:rPr>
          <w:instrText xml:space="preserve"> PAGEREF _Toc89700950 \h </w:instrText>
        </w:r>
        <w:r w:rsidR="00ED4D59">
          <w:rPr>
            <w:webHidden/>
          </w:rPr>
        </w:r>
        <w:r w:rsidR="00ED4D59">
          <w:rPr>
            <w:webHidden/>
          </w:rPr>
          <w:fldChar w:fldCharType="separate"/>
        </w:r>
        <w:r w:rsidR="00001633">
          <w:rPr>
            <w:webHidden/>
          </w:rPr>
          <w:t>75</w:t>
        </w:r>
        <w:r w:rsidR="00ED4D59">
          <w:rPr>
            <w:webHidden/>
          </w:rPr>
          <w:fldChar w:fldCharType="end"/>
        </w:r>
      </w:hyperlink>
    </w:p>
    <w:p w14:paraId="2A1896E4" w14:textId="4FAA7123" w:rsidR="00ED4D59" w:rsidRDefault="006C7D5F">
      <w:pPr>
        <w:pStyle w:val="TOC3"/>
        <w:rPr>
          <w:rFonts w:asciiTheme="minorHAnsi" w:eastAsiaTheme="minorEastAsia" w:hAnsiTheme="minorHAnsi" w:cstheme="minorBidi"/>
          <w:color w:val="auto"/>
          <w:szCs w:val="22"/>
        </w:rPr>
      </w:pPr>
      <w:hyperlink w:anchor="_Toc89700951" w:history="1">
        <w:r w:rsidR="00ED4D59" w:rsidRPr="00631F73">
          <w:rPr>
            <w:rStyle w:val="Hyperlink"/>
          </w:rPr>
          <w:t>Methodology and assumptions of the regulatory cost</w:t>
        </w:r>
        <w:r w:rsidR="00ED4D59">
          <w:rPr>
            <w:webHidden/>
          </w:rPr>
          <w:tab/>
        </w:r>
        <w:r w:rsidR="00ED4D59">
          <w:rPr>
            <w:webHidden/>
          </w:rPr>
          <w:fldChar w:fldCharType="begin"/>
        </w:r>
        <w:r w:rsidR="00ED4D59">
          <w:rPr>
            <w:webHidden/>
          </w:rPr>
          <w:instrText xml:space="preserve"> PAGEREF _Toc89700951 \h </w:instrText>
        </w:r>
        <w:r w:rsidR="00ED4D59">
          <w:rPr>
            <w:webHidden/>
          </w:rPr>
        </w:r>
        <w:r w:rsidR="00ED4D59">
          <w:rPr>
            <w:webHidden/>
          </w:rPr>
          <w:fldChar w:fldCharType="separate"/>
        </w:r>
        <w:r w:rsidR="00001633">
          <w:rPr>
            <w:webHidden/>
          </w:rPr>
          <w:t>78</w:t>
        </w:r>
        <w:r w:rsidR="00ED4D59">
          <w:rPr>
            <w:webHidden/>
          </w:rPr>
          <w:fldChar w:fldCharType="end"/>
        </w:r>
      </w:hyperlink>
    </w:p>
    <w:p w14:paraId="0C61673F" w14:textId="542DCB9B" w:rsidR="00ED4D59" w:rsidRDefault="006C7D5F">
      <w:pPr>
        <w:pStyle w:val="TOC1"/>
        <w:rPr>
          <w:rFonts w:asciiTheme="minorHAnsi" w:eastAsiaTheme="minorEastAsia" w:hAnsiTheme="minorHAnsi" w:cstheme="minorBidi"/>
          <w:b w:val="0"/>
          <w:color w:val="auto"/>
        </w:rPr>
      </w:pPr>
      <w:hyperlink w:anchor="_Toc89700952" w:history="1">
        <w:r w:rsidR="00ED4D59" w:rsidRPr="00631F73">
          <w:rPr>
            <w:rStyle w:val="Hyperlink"/>
          </w:rPr>
          <w:t>Appendix B – Figures and tables</w:t>
        </w:r>
        <w:r w:rsidR="00ED4D59">
          <w:rPr>
            <w:webHidden/>
          </w:rPr>
          <w:tab/>
        </w:r>
        <w:r w:rsidR="00ED4D59">
          <w:rPr>
            <w:webHidden/>
          </w:rPr>
          <w:fldChar w:fldCharType="begin"/>
        </w:r>
        <w:r w:rsidR="00ED4D59">
          <w:rPr>
            <w:webHidden/>
          </w:rPr>
          <w:instrText xml:space="preserve"> PAGEREF _Toc89700952 \h </w:instrText>
        </w:r>
        <w:r w:rsidR="00ED4D59">
          <w:rPr>
            <w:webHidden/>
          </w:rPr>
        </w:r>
        <w:r w:rsidR="00ED4D59">
          <w:rPr>
            <w:webHidden/>
          </w:rPr>
          <w:fldChar w:fldCharType="separate"/>
        </w:r>
        <w:r w:rsidR="00001633">
          <w:rPr>
            <w:webHidden/>
          </w:rPr>
          <w:t>79</w:t>
        </w:r>
        <w:r w:rsidR="00ED4D59">
          <w:rPr>
            <w:webHidden/>
          </w:rPr>
          <w:fldChar w:fldCharType="end"/>
        </w:r>
      </w:hyperlink>
    </w:p>
    <w:p w14:paraId="0FC29B21" w14:textId="3104276E" w:rsidR="00ED4D59" w:rsidRDefault="006C7D5F">
      <w:pPr>
        <w:pStyle w:val="TOC3"/>
        <w:rPr>
          <w:rFonts w:asciiTheme="minorHAnsi" w:eastAsiaTheme="minorEastAsia" w:hAnsiTheme="minorHAnsi" w:cstheme="minorBidi"/>
          <w:color w:val="auto"/>
          <w:szCs w:val="22"/>
        </w:rPr>
      </w:pPr>
      <w:hyperlink w:anchor="_Toc89700953" w:history="1">
        <w:r w:rsidR="00ED4D59" w:rsidRPr="00631F73">
          <w:rPr>
            <w:rStyle w:val="Hyperlink"/>
          </w:rPr>
          <w:t>Figures</w:t>
        </w:r>
        <w:r w:rsidR="00ED4D59">
          <w:rPr>
            <w:webHidden/>
          </w:rPr>
          <w:tab/>
        </w:r>
        <w:r w:rsidR="00ED4D59">
          <w:rPr>
            <w:webHidden/>
          </w:rPr>
          <w:fldChar w:fldCharType="begin"/>
        </w:r>
        <w:r w:rsidR="00ED4D59">
          <w:rPr>
            <w:webHidden/>
          </w:rPr>
          <w:instrText xml:space="preserve"> PAGEREF _Toc89700953 \h </w:instrText>
        </w:r>
        <w:r w:rsidR="00ED4D59">
          <w:rPr>
            <w:webHidden/>
          </w:rPr>
        </w:r>
        <w:r w:rsidR="00ED4D59">
          <w:rPr>
            <w:webHidden/>
          </w:rPr>
          <w:fldChar w:fldCharType="separate"/>
        </w:r>
        <w:r w:rsidR="00001633">
          <w:rPr>
            <w:webHidden/>
          </w:rPr>
          <w:t>79</w:t>
        </w:r>
        <w:r w:rsidR="00ED4D59">
          <w:rPr>
            <w:webHidden/>
          </w:rPr>
          <w:fldChar w:fldCharType="end"/>
        </w:r>
      </w:hyperlink>
    </w:p>
    <w:p w14:paraId="37C60027" w14:textId="74CCD229" w:rsidR="00ED4D59" w:rsidRDefault="006C7D5F">
      <w:pPr>
        <w:pStyle w:val="TOC3"/>
        <w:rPr>
          <w:rFonts w:asciiTheme="minorHAnsi" w:eastAsiaTheme="minorEastAsia" w:hAnsiTheme="minorHAnsi" w:cstheme="minorBidi"/>
          <w:color w:val="auto"/>
          <w:szCs w:val="22"/>
        </w:rPr>
      </w:pPr>
      <w:hyperlink w:anchor="_Toc89700954" w:history="1">
        <w:r w:rsidR="00ED4D59" w:rsidRPr="00631F73">
          <w:rPr>
            <w:rStyle w:val="Hyperlink"/>
          </w:rPr>
          <w:t>Tables</w:t>
        </w:r>
        <w:r w:rsidR="00ED4D59">
          <w:rPr>
            <w:webHidden/>
          </w:rPr>
          <w:tab/>
        </w:r>
        <w:r w:rsidR="00ED4D59">
          <w:rPr>
            <w:webHidden/>
          </w:rPr>
          <w:fldChar w:fldCharType="begin"/>
        </w:r>
        <w:r w:rsidR="00ED4D59">
          <w:rPr>
            <w:webHidden/>
          </w:rPr>
          <w:instrText xml:space="preserve"> PAGEREF _Toc89700954 \h </w:instrText>
        </w:r>
        <w:r w:rsidR="00ED4D59">
          <w:rPr>
            <w:webHidden/>
          </w:rPr>
        </w:r>
        <w:r w:rsidR="00ED4D59">
          <w:rPr>
            <w:webHidden/>
          </w:rPr>
          <w:fldChar w:fldCharType="separate"/>
        </w:r>
        <w:r w:rsidR="00001633">
          <w:rPr>
            <w:webHidden/>
          </w:rPr>
          <w:t>79</w:t>
        </w:r>
        <w:r w:rsidR="00ED4D59">
          <w:rPr>
            <w:webHidden/>
          </w:rPr>
          <w:fldChar w:fldCharType="end"/>
        </w:r>
      </w:hyperlink>
    </w:p>
    <w:p w14:paraId="1705C9B9" w14:textId="4200B6BA" w:rsidR="000E0B74" w:rsidRDefault="003C3067" w:rsidP="00656356">
      <w:pPr>
        <w:pStyle w:val="SingleParagraph"/>
        <w:tabs>
          <w:tab w:val="right" w:leader="dot" w:pos="9072"/>
        </w:tabs>
        <w:ind w:right="-2"/>
        <w:sectPr w:rsidR="000E0B74" w:rsidSect="00F62A32">
          <w:pgSz w:w="11906" w:h="16838" w:code="9"/>
          <w:pgMar w:top="1418" w:right="1418" w:bottom="1418" w:left="1418" w:header="709" w:footer="709" w:gutter="0"/>
          <w:pgNumType w:fmt="lowerRoman"/>
          <w:cols w:space="708"/>
          <w:titlePg/>
          <w:docGrid w:linePitch="360"/>
        </w:sectPr>
      </w:pPr>
      <w:r>
        <w:rPr>
          <w:b/>
          <w:noProof/>
          <w:color w:val="002C47" w:themeColor="accent1"/>
          <w:szCs w:val="22"/>
        </w:rPr>
        <w:fldChar w:fldCharType="end"/>
      </w:r>
    </w:p>
    <w:p w14:paraId="1CED446B" w14:textId="17CE3DC0" w:rsidR="00911557" w:rsidRDefault="00911557" w:rsidP="00911557">
      <w:pPr>
        <w:pStyle w:val="Heading1"/>
      </w:pPr>
      <w:bookmarkStart w:id="3" w:name="_Toc89700896"/>
      <w:bookmarkStart w:id="4" w:name="_Toc69381039"/>
      <w:bookmarkStart w:id="5" w:name="_Toc69395059"/>
      <w:bookmarkStart w:id="6" w:name="_Toc69381037"/>
      <w:bookmarkStart w:id="7" w:name="_Toc69395057"/>
      <w:bookmarkStart w:id="8" w:name="_Toc69381034"/>
      <w:bookmarkStart w:id="9" w:name="_Toc69395054"/>
      <w:bookmarkStart w:id="10" w:name="_Toc432067103"/>
      <w:r>
        <w:lastRenderedPageBreak/>
        <w:t>Consultation Process</w:t>
      </w:r>
      <w:bookmarkEnd w:id="3"/>
    </w:p>
    <w:bookmarkEnd w:id="4"/>
    <w:bookmarkEnd w:id="5"/>
    <w:p w14:paraId="5566809B" w14:textId="5521BC9C" w:rsidR="00911557" w:rsidRPr="00772E55" w:rsidRDefault="00D14821" w:rsidP="00911557">
      <w:r>
        <w:t>A</w:t>
      </w:r>
      <w:r w:rsidR="00911557" w:rsidRPr="00772E55">
        <w:t xml:space="preserve"> public consultation process</w:t>
      </w:r>
      <w:r w:rsidR="00911557">
        <w:t xml:space="preserve"> is being undertaken </w:t>
      </w:r>
      <w:r w:rsidR="00911557" w:rsidRPr="00772E55">
        <w:t xml:space="preserve">to reach a </w:t>
      </w:r>
      <w:r w:rsidR="0078723A">
        <w:t>range</w:t>
      </w:r>
      <w:r w:rsidR="00911557" w:rsidRPr="00772E55">
        <w:t xml:space="preserve"> of stakeholders. It will be important to assess </w:t>
      </w:r>
      <w:r w:rsidR="00911557">
        <w:t xml:space="preserve">whether any changes </w:t>
      </w:r>
      <w:r w:rsidR="0071121A">
        <w:t xml:space="preserve">to the law </w:t>
      </w:r>
      <w:r w:rsidR="00911557">
        <w:t xml:space="preserve">would </w:t>
      </w:r>
      <w:r w:rsidR="00434F3F">
        <w:t>improve</w:t>
      </w:r>
      <w:r w:rsidR="00911557">
        <w:t xml:space="preserve"> outcomes in practice </w:t>
      </w:r>
      <w:r w:rsidR="00911557" w:rsidRPr="00772E55">
        <w:t xml:space="preserve">and </w:t>
      </w:r>
      <w:r w:rsidR="00911557">
        <w:t xml:space="preserve">the </w:t>
      </w:r>
      <w:r w:rsidR="00434F3F">
        <w:t>extent of any</w:t>
      </w:r>
      <w:r w:rsidR="00911557">
        <w:t xml:space="preserve"> compliance obligations</w:t>
      </w:r>
      <w:r w:rsidR="00911557" w:rsidRPr="00772E55">
        <w:t>.</w:t>
      </w:r>
    </w:p>
    <w:p w14:paraId="58609BF0" w14:textId="07C5817A" w:rsidR="00911557" w:rsidRDefault="00911557" w:rsidP="00911557">
      <w:r w:rsidRPr="00772E55">
        <w:t xml:space="preserve">Once the consultation process has concluded, a final </w:t>
      </w:r>
      <w:r>
        <w:t>(</w:t>
      </w:r>
      <w:r w:rsidRPr="00772E55">
        <w:t>or decision-making</w:t>
      </w:r>
      <w:r>
        <w:t>)</w:t>
      </w:r>
      <w:r w:rsidRPr="00772E55">
        <w:t xml:space="preserve"> </w:t>
      </w:r>
      <w:r w:rsidR="00905DD2">
        <w:t>Regulatory Impact Statement (</w:t>
      </w:r>
      <w:r w:rsidRPr="00772E55">
        <w:t>RIS</w:t>
      </w:r>
      <w:r w:rsidR="00905DD2">
        <w:t>)</w:t>
      </w:r>
      <w:r w:rsidRPr="00772E55">
        <w:t xml:space="preserve"> will be </w:t>
      </w:r>
      <w:r>
        <w:t>developed</w:t>
      </w:r>
      <w:r w:rsidRPr="00772E55">
        <w:t xml:space="preserve"> to </w:t>
      </w:r>
      <w:r w:rsidR="00434F3F">
        <w:t>outline</w:t>
      </w:r>
      <w:r w:rsidR="00434F3F" w:rsidRPr="00772E55">
        <w:t xml:space="preserve"> </w:t>
      </w:r>
      <w:r w:rsidRPr="00772E55">
        <w:t>the evidence gathered and the preferred policy option for each of</w:t>
      </w:r>
      <w:r>
        <w:t xml:space="preserve"> the problems</w:t>
      </w:r>
      <w:r w:rsidRPr="00772E55">
        <w:t xml:space="preserve">. Both this </w:t>
      </w:r>
      <w:r>
        <w:t>C</w:t>
      </w:r>
      <w:r w:rsidRPr="00772E55">
        <w:t xml:space="preserve">onsultation RIS and the </w:t>
      </w:r>
      <w:r>
        <w:t xml:space="preserve">subsequent </w:t>
      </w:r>
      <w:r w:rsidRPr="00772E55">
        <w:t xml:space="preserve">decision-making RIS will be published </w:t>
      </w:r>
      <w:r>
        <w:t>by</w:t>
      </w:r>
      <w:r w:rsidRPr="00772E55">
        <w:t xml:space="preserve"> the Office of Best Practice Regulation </w:t>
      </w:r>
      <w:r>
        <w:t xml:space="preserve">on the Department of </w:t>
      </w:r>
      <w:r w:rsidR="000534ED">
        <w:t xml:space="preserve">the </w:t>
      </w:r>
      <w:r>
        <w:t xml:space="preserve">Prime Minister and Cabinet </w:t>
      </w:r>
      <w:r w:rsidRPr="00772E55">
        <w:t>website.</w:t>
      </w:r>
    </w:p>
    <w:p w14:paraId="0D4B3A08" w14:textId="77777777" w:rsidR="00911557" w:rsidRDefault="00911557" w:rsidP="00911557">
      <w:pPr>
        <w:pStyle w:val="Heading2"/>
      </w:pPr>
      <w:bookmarkStart w:id="11" w:name="_Toc69381038"/>
      <w:bookmarkStart w:id="12" w:name="_Toc69395058"/>
      <w:bookmarkStart w:id="13" w:name="_Toc89700897"/>
      <w:bookmarkEnd w:id="6"/>
      <w:bookmarkEnd w:id="7"/>
      <w:r>
        <w:t>Request for submissions</w:t>
      </w:r>
      <w:bookmarkEnd w:id="11"/>
      <w:bookmarkEnd w:id="12"/>
      <w:bookmarkEnd w:id="13"/>
    </w:p>
    <w:p w14:paraId="19FDF157" w14:textId="03CFB0D6" w:rsidR="00911557" w:rsidRDefault="00911557" w:rsidP="00911557">
      <w:r>
        <w:t>Commonwealth</w:t>
      </w:r>
      <w:r w:rsidR="000534ED">
        <w:t xml:space="preserve"> and</w:t>
      </w:r>
      <w:r>
        <w:t xml:space="preserve"> State and Territory Consumer Senior Officials </w:t>
      </w:r>
      <w:r w:rsidR="000534ED">
        <w:t xml:space="preserve">(Consumer Senior Officials) </w:t>
      </w:r>
      <w:r>
        <w:t xml:space="preserve">welcome formal written submissions on this Consultation RIS. </w:t>
      </w:r>
    </w:p>
    <w:p w14:paraId="3E20656E" w14:textId="42137F04" w:rsidR="00911557" w:rsidRDefault="00911557" w:rsidP="00911557">
      <w:r>
        <w:t>Views</w:t>
      </w:r>
      <w:r w:rsidRPr="00595806">
        <w:t xml:space="preserve"> </w:t>
      </w:r>
      <w:r>
        <w:t>are</w:t>
      </w:r>
      <w:r w:rsidRPr="00595806">
        <w:t xml:space="preserve"> sought on </w:t>
      </w:r>
      <w:r>
        <w:t xml:space="preserve">the problems identified, </w:t>
      </w:r>
      <w:r w:rsidRPr="00595806">
        <w:t xml:space="preserve">further data </w:t>
      </w:r>
      <w:r>
        <w:t xml:space="preserve">that can support more accurate modelling, </w:t>
      </w:r>
      <w:r w:rsidRPr="00595806">
        <w:t xml:space="preserve">and </w:t>
      </w:r>
      <w:r>
        <w:t xml:space="preserve">the robustness of </w:t>
      </w:r>
      <w:r w:rsidRPr="00595806">
        <w:t>assumptions made.</w:t>
      </w:r>
      <w:r>
        <w:t xml:space="preserve"> Views are also sought on the costs and benefits of each policy option and any other options that could address </w:t>
      </w:r>
      <w:r w:rsidR="00EB0F3B">
        <w:t xml:space="preserve">the </w:t>
      </w:r>
      <w:r>
        <w:t>identified problems. In writing your submission, several focus questions have been included in this Consultation RIS as a guide</w:t>
      </w:r>
      <w:r w:rsidRPr="00784D29">
        <w:t xml:space="preserve">. There is no obligation to answer any or </w:t>
      </w:r>
      <w:r w:rsidR="009E749E" w:rsidRPr="00784D29">
        <w:t>all</w:t>
      </w:r>
      <w:r w:rsidRPr="00784D29">
        <w:t xml:space="preserve"> the questions. There is no limit to the length of submissions. For accessibility reasons, please upload submissions in a Word, </w:t>
      </w:r>
      <w:r w:rsidR="009E749E" w:rsidRPr="00784D29">
        <w:t>RTF,</w:t>
      </w:r>
      <w:r w:rsidRPr="00784D29">
        <w:t xml:space="preserve"> or PDF format.</w:t>
      </w:r>
    </w:p>
    <w:p w14:paraId="7BE00A18" w14:textId="77777777" w:rsidR="00911557" w:rsidRDefault="00911557" w:rsidP="00911557">
      <w:bookmarkStart w:id="14" w:name="_Toc377731441"/>
      <w:bookmarkStart w:id="15" w:name="_Toc378083664"/>
      <w:bookmarkStart w:id="16" w:name="_Toc378085618"/>
      <w:bookmarkEnd w:id="14"/>
      <w:bookmarkEnd w:id="15"/>
      <w:bookmarkEnd w:id="16"/>
      <w:r w:rsidRPr="00772E55">
        <w:t xml:space="preserve">All submissions to the consultation process will be published, unless authors have indicated they would like all or part of their submission to remain </w:t>
      </w:r>
      <w:r>
        <w:t>confidential</w:t>
      </w:r>
      <w:r w:rsidRPr="00772E55">
        <w:t>.</w:t>
      </w:r>
      <w:r>
        <w:t xml:space="preserve"> Specifically, all information (including name and address details) contained in submissions will be made available to the public on the Treasury website, unless it is indicated that you would like all, or part of your submission to remain confidential. Automatically generated confidentiality statements in emails do not suffice for this purpose. Anyone who would like part of their submission to remain confidential should provide this information marked as such in a separate document.</w:t>
      </w:r>
    </w:p>
    <w:p w14:paraId="5CF03274" w14:textId="77777777" w:rsidR="00911557" w:rsidRDefault="00911557" w:rsidP="00911557">
      <w:r>
        <w:t xml:space="preserve">A request made under the </w:t>
      </w:r>
      <w:r w:rsidRPr="002F6546">
        <w:rPr>
          <w:i/>
        </w:rPr>
        <w:t>Freedom of Information Act 1982</w:t>
      </w:r>
      <w:r>
        <w:t xml:space="preserve"> (Commonwealth) for a submission marked ‘confidential’ to be made available will be determined in accordance with that Act.</w:t>
      </w:r>
    </w:p>
    <w:p w14:paraId="05CC702C" w14:textId="6B17B4C1" w:rsidR="00911557" w:rsidRDefault="00E52EFF" w:rsidP="00911557">
      <w:r>
        <w:lastRenderedPageBreak/>
        <w:t xml:space="preserve">This </w:t>
      </w:r>
      <w:r w:rsidR="009E2C75">
        <w:t xml:space="preserve">Consultation </w:t>
      </w:r>
      <w:r>
        <w:t>RIS has been developed with reference to consultation on similar matters</w:t>
      </w:r>
      <w:r w:rsidR="00316984">
        <w:rPr>
          <w:rStyle w:val="FootnoteReference"/>
        </w:rPr>
        <w:footnoteReference w:id="2"/>
      </w:r>
      <w:r>
        <w:t xml:space="preserve"> in 2018 for the Decision RIS: </w:t>
      </w:r>
      <w:hyperlink r:id="rId23" w:history="1">
        <w:r w:rsidRPr="005B39C3">
          <w:rPr>
            <w:rStyle w:val="Hyperlink"/>
            <w:i/>
          </w:rPr>
          <w:t xml:space="preserve">Australian Consumer Law Review: Clarification, </w:t>
        </w:r>
        <w:r w:rsidR="009E749E" w:rsidRPr="005B39C3">
          <w:rPr>
            <w:rStyle w:val="Hyperlink"/>
            <w:i/>
          </w:rPr>
          <w:t>simplification,</w:t>
        </w:r>
        <w:r w:rsidRPr="005B39C3">
          <w:rPr>
            <w:rStyle w:val="Hyperlink"/>
            <w:i/>
          </w:rPr>
          <w:t xml:space="preserve"> and modernisation of the consumer guarantee framework</w:t>
        </w:r>
        <w:r w:rsidR="00316984" w:rsidRPr="005B39C3">
          <w:rPr>
            <w:rStyle w:val="Hyperlink"/>
            <w:i/>
          </w:rPr>
          <w:t>.</w:t>
        </w:r>
      </w:hyperlink>
      <w:r w:rsidR="00316984" w:rsidRPr="00316984">
        <w:rPr>
          <w:rStyle w:val="Hyperlink"/>
          <w:i/>
        </w:rPr>
        <w:t xml:space="preserve"> </w:t>
      </w:r>
      <w:r w:rsidR="00911557">
        <w:t>However, s</w:t>
      </w:r>
      <w:r w:rsidR="00911557" w:rsidRPr="00772E55">
        <w:t xml:space="preserve">pecific questions are likely to arise from this </w:t>
      </w:r>
      <w:r w:rsidR="00911557">
        <w:t xml:space="preserve">document </w:t>
      </w:r>
      <w:r w:rsidR="00911557" w:rsidRPr="00772E55">
        <w:t xml:space="preserve">which may not </w:t>
      </w:r>
      <w:r w:rsidR="00911557">
        <w:t xml:space="preserve">have </w:t>
      </w:r>
      <w:r w:rsidR="00911557" w:rsidRPr="00772E55">
        <w:t xml:space="preserve">been considered at the time of drafting and </w:t>
      </w:r>
      <w:r w:rsidR="00911557">
        <w:t>the Commonwealth Treasury on behalf of Consumer Senior Officials</w:t>
      </w:r>
      <w:r w:rsidR="00911557" w:rsidRPr="00772E55">
        <w:t xml:space="preserve"> may undertake further targeted consultation with key stakeholders if necessary.</w:t>
      </w:r>
    </w:p>
    <w:p w14:paraId="13892512" w14:textId="6F39EC27" w:rsidR="00BB0C51" w:rsidRDefault="00BB0C51" w:rsidP="00911557">
      <w:r>
        <w:t xml:space="preserve">This RIS does not consider </w:t>
      </w:r>
      <w:r w:rsidR="00EB0F3B">
        <w:t>issues related to</w:t>
      </w:r>
      <w:r>
        <w:t xml:space="preserve"> COVID-19 </w:t>
      </w:r>
      <w:r w:rsidR="00301C2D">
        <w:t>cancellations</w:t>
      </w:r>
      <w:r w:rsidR="00EB0F3B">
        <w:t xml:space="preserve"> and the role of the consumer guarantees in these circumstances</w:t>
      </w:r>
      <w:r w:rsidR="00301C2D">
        <w:t xml:space="preserve">. </w:t>
      </w:r>
      <w:r w:rsidR="00EB0F3B">
        <w:t xml:space="preserve">Consumer Senior Officials are separately considering </w:t>
      </w:r>
      <w:r w:rsidR="00E364D1">
        <w:t xml:space="preserve">how the </w:t>
      </w:r>
      <w:r>
        <w:t xml:space="preserve">Australian Consumer Law </w:t>
      </w:r>
      <w:r w:rsidR="00DC78B6">
        <w:t xml:space="preserve">(ACL) </w:t>
      </w:r>
      <w:r w:rsidR="00E364D1">
        <w:t>has operated in response to consumer issues that have arisen during the COVID-19 pandemic.</w:t>
      </w:r>
    </w:p>
    <w:p w14:paraId="1C258DDB" w14:textId="67BFBD6F" w:rsidR="00526937" w:rsidRDefault="00526937" w:rsidP="00526937">
      <w:pPr>
        <w:pStyle w:val="Heading4"/>
      </w:pPr>
      <w:r>
        <w:t>Closing date for submissions</w:t>
      </w:r>
    </w:p>
    <w:tbl>
      <w:tblPr>
        <w:tblStyle w:val="TableGrid"/>
        <w:tblW w:w="0" w:type="auto"/>
        <w:tblLook w:val="04A0" w:firstRow="1" w:lastRow="0" w:firstColumn="1" w:lastColumn="0" w:noHBand="0" w:noVBand="1"/>
      </w:tblPr>
      <w:tblGrid>
        <w:gridCol w:w="1516"/>
        <w:gridCol w:w="7554"/>
      </w:tblGrid>
      <w:tr w:rsidR="00526937" w:rsidRPr="003C3067" w14:paraId="2BE9A04F" w14:textId="77777777" w:rsidTr="003C3067">
        <w:tc>
          <w:tcPr>
            <w:tcW w:w="1516" w:type="dxa"/>
            <w:shd w:val="clear" w:color="auto" w:fill="auto"/>
          </w:tcPr>
          <w:p w14:paraId="2E8A630C" w14:textId="79F89E96" w:rsidR="00526937" w:rsidRDefault="00526937" w:rsidP="002173DD">
            <w:r>
              <w:rPr>
                <w:sz w:val="22"/>
                <w:szCs w:val="22"/>
              </w:rPr>
              <w:t>Closing date</w:t>
            </w:r>
          </w:p>
        </w:tc>
        <w:tc>
          <w:tcPr>
            <w:tcW w:w="7554" w:type="dxa"/>
            <w:shd w:val="clear" w:color="auto" w:fill="auto"/>
          </w:tcPr>
          <w:p w14:paraId="0E068A05" w14:textId="4EFB25BC" w:rsidR="00526937" w:rsidRPr="002C45FE" w:rsidRDefault="001968BE" w:rsidP="002173DD">
            <w:pPr>
              <w:rPr>
                <w:rFonts w:cs="Arial"/>
                <w:b/>
                <w:bCs/>
                <w:szCs w:val="22"/>
              </w:rPr>
            </w:pPr>
            <w:r>
              <w:rPr>
                <w:rFonts w:cs="Arial"/>
                <w:b/>
                <w:bCs/>
                <w:sz w:val="22"/>
                <w:szCs w:val="22"/>
              </w:rPr>
              <w:t xml:space="preserve">Close of Business: </w:t>
            </w:r>
            <w:r w:rsidR="002C45FE" w:rsidRPr="001968BE">
              <w:rPr>
                <w:rFonts w:cs="Arial"/>
                <w:b/>
                <w:bCs/>
                <w:sz w:val="22"/>
                <w:szCs w:val="22"/>
              </w:rPr>
              <w:t xml:space="preserve">Friday, </w:t>
            </w:r>
            <w:r w:rsidR="00320FAF">
              <w:rPr>
                <w:rFonts w:cs="Arial"/>
                <w:b/>
                <w:bCs/>
                <w:sz w:val="22"/>
                <w:szCs w:val="22"/>
              </w:rPr>
              <w:t>11</w:t>
            </w:r>
            <w:r w:rsidR="0078482D">
              <w:rPr>
                <w:rFonts w:cs="Arial"/>
                <w:b/>
                <w:bCs/>
                <w:sz w:val="22"/>
                <w:szCs w:val="22"/>
              </w:rPr>
              <w:t xml:space="preserve"> February </w:t>
            </w:r>
            <w:r w:rsidR="002C45FE" w:rsidRPr="001968BE">
              <w:rPr>
                <w:rFonts w:cs="Arial"/>
                <w:b/>
                <w:bCs/>
                <w:sz w:val="22"/>
                <w:szCs w:val="22"/>
              </w:rPr>
              <w:t>2022</w:t>
            </w:r>
            <w:r w:rsidR="00150561" w:rsidRPr="001968BE">
              <w:rPr>
                <w:rFonts w:cs="Arial"/>
                <w:b/>
                <w:bCs/>
                <w:sz w:val="22"/>
                <w:szCs w:val="22"/>
              </w:rPr>
              <w:t xml:space="preserve"> </w:t>
            </w:r>
          </w:p>
        </w:tc>
      </w:tr>
      <w:tr w:rsidR="00911557" w:rsidRPr="00B85F47" w14:paraId="58683DA7" w14:textId="77777777" w:rsidTr="003C3067">
        <w:tc>
          <w:tcPr>
            <w:tcW w:w="1516" w:type="dxa"/>
            <w:shd w:val="clear" w:color="auto" w:fill="auto"/>
          </w:tcPr>
          <w:p w14:paraId="3542ED14" w14:textId="77777777" w:rsidR="00911557" w:rsidRPr="00B85F47" w:rsidRDefault="00911557" w:rsidP="00911557">
            <w:pPr>
              <w:rPr>
                <w:sz w:val="22"/>
                <w:szCs w:val="22"/>
              </w:rPr>
            </w:pPr>
            <w:r w:rsidRPr="00B85F47">
              <w:rPr>
                <w:sz w:val="22"/>
                <w:szCs w:val="22"/>
              </w:rPr>
              <w:t>Email</w:t>
            </w:r>
          </w:p>
        </w:tc>
        <w:tc>
          <w:tcPr>
            <w:tcW w:w="7554" w:type="dxa"/>
            <w:shd w:val="clear" w:color="auto" w:fill="auto"/>
          </w:tcPr>
          <w:p w14:paraId="638DF7CC" w14:textId="5CD70794" w:rsidR="00911557" w:rsidRPr="000534ED" w:rsidRDefault="00911557" w:rsidP="00911557">
            <w:pPr>
              <w:rPr>
                <w:sz w:val="22"/>
                <w:szCs w:val="22"/>
              </w:rPr>
            </w:pPr>
            <w:r w:rsidRPr="000534ED">
              <w:rPr>
                <w:sz w:val="22"/>
                <w:szCs w:val="22"/>
              </w:rPr>
              <w:t xml:space="preserve"> </w:t>
            </w:r>
            <w:hyperlink r:id="rId24" w:history="1">
              <w:r w:rsidR="000534ED" w:rsidRPr="000534ED">
                <w:rPr>
                  <w:rStyle w:val="Hyperlink"/>
                  <w:rFonts w:cs="Arial"/>
                  <w:sz w:val="22"/>
                  <w:szCs w:val="22"/>
                </w:rPr>
                <w:t>consumerlaw@treasury.gov.au</w:t>
              </w:r>
            </w:hyperlink>
            <w:r w:rsidR="000534ED" w:rsidRPr="000534ED">
              <w:rPr>
                <w:rFonts w:cs="Arial"/>
                <w:sz w:val="22"/>
                <w:szCs w:val="22"/>
              </w:rPr>
              <w:t xml:space="preserve"> </w:t>
            </w:r>
          </w:p>
        </w:tc>
      </w:tr>
      <w:tr w:rsidR="00911557" w:rsidRPr="00B85F47" w14:paraId="6757E85B" w14:textId="77777777" w:rsidTr="003C3067">
        <w:tc>
          <w:tcPr>
            <w:tcW w:w="1516" w:type="dxa"/>
            <w:shd w:val="clear" w:color="auto" w:fill="auto"/>
          </w:tcPr>
          <w:p w14:paraId="321202C4" w14:textId="77777777" w:rsidR="00911557" w:rsidRPr="00B85F47" w:rsidRDefault="00911557" w:rsidP="00911557">
            <w:pPr>
              <w:rPr>
                <w:sz w:val="22"/>
                <w:szCs w:val="22"/>
              </w:rPr>
            </w:pPr>
            <w:r w:rsidRPr="00B85F47">
              <w:rPr>
                <w:sz w:val="22"/>
                <w:szCs w:val="22"/>
              </w:rPr>
              <w:t>Mail</w:t>
            </w:r>
          </w:p>
          <w:p w14:paraId="7800DD89" w14:textId="77777777" w:rsidR="00911557" w:rsidRPr="00B85F47" w:rsidRDefault="00911557" w:rsidP="00911557">
            <w:pPr>
              <w:rPr>
                <w:sz w:val="22"/>
                <w:szCs w:val="22"/>
              </w:rPr>
            </w:pPr>
          </w:p>
          <w:p w14:paraId="543FC3C9" w14:textId="77777777" w:rsidR="00911557" w:rsidRPr="00B85F47" w:rsidRDefault="00911557" w:rsidP="00911557">
            <w:pPr>
              <w:rPr>
                <w:sz w:val="22"/>
                <w:szCs w:val="22"/>
              </w:rPr>
            </w:pPr>
          </w:p>
        </w:tc>
        <w:tc>
          <w:tcPr>
            <w:tcW w:w="7554" w:type="dxa"/>
            <w:shd w:val="clear" w:color="auto" w:fill="auto"/>
          </w:tcPr>
          <w:p w14:paraId="2D46C8F7" w14:textId="3A758559" w:rsidR="00911557" w:rsidRPr="00B85F47" w:rsidRDefault="00911557" w:rsidP="00911557">
            <w:pPr>
              <w:pStyle w:val="SingleParagraph"/>
              <w:spacing w:before="120"/>
              <w:rPr>
                <w:rFonts w:cs="Arial"/>
                <w:sz w:val="22"/>
                <w:szCs w:val="22"/>
              </w:rPr>
            </w:pPr>
            <w:r w:rsidRPr="00C31DB1">
              <w:rPr>
                <w:rFonts w:cs="Arial"/>
                <w:sz w:val="22"/>
                <w:szCs w:val="22"/>
              </w:rPr>
              <w:t>Consumer Policy Unit</w:t>
            </w:r>
          </w:p>
          <w:p w14:paraId="0F98887F" w14:textId="77777777" w:rsidR="00911557" w:rsidRPr="00B85F47" w:rsidRDefault="00911557" w:rsidP="00911557">
            <w:pPr>
              <w:pStyle w:val="SingleParagraph"/>
              <w:rPr>
                <w:rFonts w:cs="Arial"/>
                <w:sz w:val="22"/>
                <w:szCs w:val="22"/>
              </w:rPr>
            </w:pPr>
            <w:r w:rsidRPr="00C31DB1">
              <w:rPr>
                <w:rFonts w:cs="Arial"/>
                <w:sz w:val="22"/>
                <w:szCs w:val="22"/>
              </w:rPr>
              <w:t>Market Conduct Division</w:t>
            </w:r>
          </w:p>
          <w:p w14:paraId="69B91EAA" w14:textId="77777777" w:rsidR="00911557" w:rsidRPr="00B85F47" w:rsidRDefault="00911557" w:rsidP="00911557">
            <w:pPr>
              <w:pStyle w:val="SingleParagraph"/>
              <w:rPr>
                <w:rFonts w:cs="Arial"/>
                <w:sz w:val="22"/>
                <w:szCs w:val="22"/>
              </w:rPr>
            </w:pPr>
            <w:r w:rsidRPr="00B85F47">
              <w:rPr>
                <w:rFonts w:cs="Arial"/>
                <w:sz w:val="22"/>
                <w:szCs w:val="22"/>
              </w:rPr>
              <w:t>The Treasury</w:t>
            </w:r>
          </w:p>
          <w:p w14:paraId="7DDA583D" w14:textId="77777777" w:rsidR="00911557" w:rsidRPr="00B85F47" w:rsidRDefault="00911557" w:rsidP="00911557">
            <w:pPr>
              <w:pStyle w:val="SingleParagraph"/>
              <w:rPr>
                <w:rFonts w:cs="Arial"/>
                <w:sz w:val="22"/>
                <w:szCs w:val="22"/>
              </w:rPr>
            </w:pPr>
            <w:r w:rsidRPr="00B85F47">
              <w:rPr>
                <w:rFonts w:cs="Arial"/>
                <w:sz w:val="22"/>
                <w:szCs w:val="22"/>
              </w:rPr>
              <w:t>Langton Crescent</w:t>
            </w:r>
          </w:p>
          <w:p w14:paraId="3C781F5C" w14:textId="77777777" w:rsidR="00911557" w:rsidRPr="00B85F47" w:rsidRDefault="00911557" w:rsidP="00911557">
            <w:pPr>
              <w:pStyle w:val="SingleParagraph"/>
              <w:rPr>
                <w:sz w:val="22"/>
                <w:szCs w:val="22"/>
              </w:rPr>
            </w:pPr>
            <w:r w:rsidRPr="00B85F47">
              <w:rPr>
                <w:sz w:val="22"/>
                <w:szCs w:val="22"/>
              </w:rPr>
              <w:t>PARKES ACT 2600</w:t>
            </w:r>
          </w:p>
        </w:tc>
      </w:tr>
      <w:tr w:rsidR="00911557" w:rsidRPr="00B85F47" w14:paraId="505AD896" w14:textId="77777777" w:rsidTr="003C3067">
        <w:tc>
          <w:tcPr>
            <w:tcW w:w="1516" w:type="dxa"/>
            <w:shd w:val="clear" w:color="auto" w:fill="auto"/>
          </w:tcPr>
          <w:p w14:paraId="3279E664" w14:textId="77777777" w:rsidR="00911557" w:rsidRPr="00B85F47" w:rsidRDefault="00911557" w:rsidP="00911557">
            <w:pPr>
              <w:rPr>
                <w:sz w:val="22"/>
                <w:szCs w:val="22"/>
              </w:rPr>
            </w:pPr>
            <w:r w:rsidRPr="00B85F47">
              <w:rPr>
                <w:sz w:val="22"/>
                <w:szCs w:val="22"/>
              </w:rPr>
              <w:t>Enquiries</w:t>
            </w:r>
          </w:p>
        </w:tc>
        <w:tc>
          <w:tcPr>
            <w:tcW w:w="7554" w:type="dxa"/>
            <w:shd w:val="clear" w:color="auto" w:fill="auto"/>
          </w:tcPr>
          <w:p w14:paraId="0988636C" w14:textId="60C9254B" w:rsidR="00911557" w:rsidRPr="00B85F47" w:rsidRDefault="00911557" w:rsidP="00911557">
            <w:pPr>
              <w:rPr>
                <w:sz w:val="22"/>
                <w:szCs w:val="22"/>
              </w:rPr>
            </w:pPr>
            <w:r w:rsidRPr="00B85F47">
              <w:rPr>
                <w:rFonts w:cs="Arial"/>
                <w:sz w:val="22"/>
                <w:szCs w:val="22"/>
              </w:rPr>
              <w:t xml:space="preserve">Enquiries can be directed to </w:t>
            </w:r>
            <w:hyperlink r:id="rId25" w:history="1">
              <w:r w:rsidRPr="00DF6749">
                <w:rPr>
                  <w:rStyle w:val="Hyperlink"/>
                  <w:rFonts w:cs="Arial"/>
                  <w:sz w:val="22"/>
                  <w:szCs w:val="22"/>
                </w:rPr>
                <w:t>consumerlaw@treasury.gov.au</w:t>
              </w:r>
            </w:hyperlink>
            <w:r w:rsidRPr="00DF6749">
              <w:rPr>
                <w:rFonts w:cs="Arial"/>
                <w:sz w:val="22"/>
                <w:szCs w:val="22"/>
              </w:rPr>
              <w:t xml:space="preserve"> </w:t>
            </w:r>
          </w:p>
        </w:tc>
      </w:tr>
    </w:tbl>
    <w:p w14:paraId="066BA7C1" w14:textId="36C1CF43" w:rsidR="00911557" w:rsidRPr="008D7F38" w:rsidRDefault="0071121A" w:rsidP="00911557">
      <w:r>
        <w:t xml:space="preserve">Note: </w:t>
      </w:r>
      <w:r w:rsidR="00911557">
        <w:t xml:space="preserve">The </w:t>
      </w:r>
      <w:r>
        <w:t xml:space="preserve">options </w:t>
      </w:r>
      <w:r w:rsidR="00911557">
        <w:t xml:space="preserve">outlined in this paper have not received Government approval and are not yet law. </w:t>
      </w:r>
      <w:r>
        <w:t>T</w:t>
      </w:r>
      <w:r w:rsidR="00911557">
        <w:t xml:space="preserve">his paper is merely a guide as to how the </w:t>
      </w:r>
      <w:r>
        <w:t xml:space="preserve">options </w:t>
      </w:r>
      <w:r w:rsidR="00911557">
        <w:t>might operate.</w:t>
      </w:r>
    </w:p>
    <w:p w14:paraId="2362B603" w14:textId="77777777" w:rsidR="00911557" w:rsidRDefault="00911557">
      <w:pPr>
        <w:spacing w:before="0" w:after="160" w:line="259" w:lineRule="auto"/>
        <w:rPr>
          <w:rFonts w:cs="Arial"/>
          <w:color w:val="002C47" w:themeColor="accent1"/>
          <w:kern w:val="32"/>
          <w:sz w:val="48"/>
          <w:szCs w:val="36"/>
        </w:rPr>
      </w:pPr>
      <w:r>
        <w:br w:type="page"/>
      </w:r>
    </w:p>
    <w:p w14:paraId="0B2EE4EC" w14:textId="3E8F880A" w:rsidR="00B47E8E" w:rsidRDefault="00B47E8E" w:rsidP="00B47E8E">
      <w:pPr>
        <w:pStyle w:val="Heading1"/>
      </w:pPr>
      <w:bookmarkStart w:id="17" w:name="_Toc89700898"/>
      <w:r>
        <w:lastRenderedPageBreak/>
        <w:t>Glossary of terms</w:t>
      </w:r>
      <w:bookmarkEnd w:id="8"/>
      <w:bookmarkEnd w:id="9"/>
      <w:bookmarkEnd w:id="17"/>
    </w:p>
    <w:tbl>
      <w:tblPr>
        <w:tblStyle w:val="ListTable1Light-Accent6"/>
        <w:tblW w:w="0" w:type="auto"/>
        <w:tblLook w:val="04A0" w:firstRow="1" w:lastRow="0" w:firstColumn="1" w:lastColumn="0" w:noHBand="0" w:noVBand="1"/>
      </w:tblPr>
      <w:tblGrid>
        <w:gridCol w:w="1643"/>
        <w:gridCol w:w="7427"/>
      </w:tblGrid>
      <w:tr w:rsidR="009E0818" w14:paraId="1B2E22CC" w14:textId="77777777" w:rsidTr="00144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785C5698" w14:textId="34AB9CC0" w:rsidR="009E0818" w:rsidRDefault="009E0818" w:rsidP="00261197">
            <w:pPr>
              <w:rPr>
                <w:b w:val="0"/>
                <w:lang w:eastAsia="en-US"/>
              </w:rPr>
            </w:pPr>
            <w:r>
              <w:rPr>
                <w:b w:val="0"/>
                <w:lang w:eastAsia="en-US"/>
              </w:rPr>
              <w:t>AAA</w:t>
            </w:r>
          </w:p>
        </w:tc>
        <w:tc>
          <w:tcPr>
            <w:tcW w:w="7427" w:type="dxa"/>
          </w:tcPr>
          <w:p w14:paraId="0972FBAF" w14:textId="13C65F92" w:rsidR="009E0818" w:rsidRPr="009E0818" w:rsidRDefault="009E0818" w:rsidP="00261197">
            <w:pPr>
              <w:cnfStyle w:val="100000000000" w:firstRow="1" w:lastRow="0" w:firstColumn="0" w:lastColumn="0" w:oddVBand="0" w:evenVBand="0" w:oddHBand="0" w:evenHBand="0" w:firstRowFirstColumn="0" w:firstRowLastColumn="0" w:lastRowFirstColumn="0" w:lastRowLastColumn="0"/>
              <w:rPr>
                <w:b w:val="0"/>
                <w:bCs w:val="0"/>
                <w:lang w:eastAsia="en-US"/>
              </w:rPr>
            </w:pPr>
            <w:r w:rsidRPr="009E0818">
              <w:rPr>
                <w:rFonts w:cs="Calibri"/>
                <w:b w:val="0"/>
                <w:bCs w:val="0"/>
                <w:szCs w:val="24"/>
              </w:rPr>
              <w:t>Australian Automobile Association</w:t>
            </w:r>
          </w:p>
        </w:tc>
      </w:tr>
      <w:tr w:rsidR="00884094" w14:paraId="593B7000"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6A5FA18" w14:textId="2A6DC2C6" w:rsidR="00884094" w:rsidRDefault="00884094" w:rsidP="00261197">
            <w:pPr>
              <w:rPr>
                <w:b w:val="0"/>
                <w:lang w:eastAsia="en-US"/>
              </w:rPr>
            </w:pPr>
            <w:r>
              <w:rPr>
                <w:b w:val="0"/>
                <w:lang w:eastAsia="en-US"/>
              </w:rPr>
              <w:t>ARA</w:t>
            </w:r>
          </w:p>
        </w:tc>
        <w:tc>
          <w:tcPr>
            <w:tcW w:w="7427" w:type="dxa"/>
          </w:tcPr>
          <w:p w14:paraId="187846A9" w14:textId="58448917" w:rsidR="00884094" w:rsidRPr="009E0818" w:rsidRDefault="00884094" w:rsidP="00261197">
            <w:pPr>
              <w:cnfStyle w:val="000000100000" w:firstRow="0" w:lastRow="0" w:firstColumn="0" w:lastColumn="0" w:oddVBand="0" w:evenVBand="0" w:oddHBand="1" w:evenHBand="0" w:firstRowFirstColumn="0" w:firstRowLastColumn="0" w:lastRowFirstColumn="0" w:lastRowLastColumn="0"/>
              <w:rPr>
                <w:bCs/>
                <w:lang w:eastAsia="en-US"/>
              </w:rPr>
            </w:pPr>
            <w:r w:rsidRPr="00924673">
              <w:t>Australian Retailers Association</w:t>
            </w:r>
          </w:p>
        </w:tc>
      </w:tr>
      <w:tr w:rsidR="00261197" w14:paraId="1A2C67E7" w14:textId="77777777" w:rsidTr="00144C4E">
        <w:tc>
          <w:tcPr>
            <w:cnfStyle w:val="001000000000" w:firstRow="0" w:lastRow="0" w:firstColumn="1" w:lastColumn="0" w:oddVBand="0" w:evenVBand="0" w:oddHBand="0" w:evenHBand="0" w:firstRowFirstColumn="0" w:firstRowLastColumn="0" w:lastRowFirstColumn="0" w:lastRowLastColumn="0"/>
            <w:tcW w:w="1643" w:type="dxa"/>
            <w:hideMark/>
          </w:tcPr>
          <w:p w14:paraId="1ED1FBA8" w14:textId="77777777" w:rsidR="00261197" w:rsidRDefault="00261197" w:rsidP="00261197">
            <w:pPr>
              <w:rPr>
                <w:b w:val="0"/>
                <w:lang w:eastAsia="en-US"/>
              </w:rPr>
            </w:pPr>
            <w:r>
              <w:rPr>
                <w:b w:val="0"/>
                <w:lang w:eastAsia="en-US"/>
              </w:rPr>
              <w:t>ACCC</w:t>
            </w:r>
          </w:p>
        </w:tc>
        <w:tc>
          <w:tcPr>
            <w:tcW w:w="7427" w:type="dxa"/>
            <w:hideMark/>
          </w:tcPr>
          <w:p w14:paraId="78B02FF3" w14:textId="77777777" w:rsidR="00261197" w:rsidRPr="009E0818" w:rsidRDefault="00261197" w:rsidP="00261197">
            <w:pPr>
              <w:cnfStyle w:val="000000000000" w:firstRow="0" w:lastRow="0" w:firstColumn="0" w:lastColumn="0" w:oddVBand="0" w:evenVBand="0" w:oddHBand="0" w:evenHBand="0" w:firstRowFirstColumn="0" w:firstRowLastColumn="0" w:lastRowFirstColumn="0" w:lastRowLastColumn="0"/>
              <w:rPr>
                <w:bCs/>
                <w:lang w:eastAsia="en-US"/>
              </w:rPr>
            </w:pPr>
            <w:r w:rsidRPr="009E0818">
              <w:rPr>
                <w:bCs/>
                <w:lang w:eastAsia="en-US"/>
              </w:rPr>
              <w:t xml:space="preserve">Australian Competition and Consumer Commission </w:t>
            </w:r>
          </w:p>
        </w:tc>
      </w:tr>
      <w:tr w:rsidR="00261197" w14:paraId="03E0F680"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hideMark/>
          </w:tcPr>
          <w:p w14:paraId="349ACEAD" w14:textId="77777777" w:rsidR="00261197" w:rsidRDefault="00261197" w:rsidP="00261197">
            <w:pPr>
              <w:rPr>
                <w:b w:val="0"/>
                <w:lang w:eastAsia="en-US"/>
              </w:rPr>
            </w:pPr>
            <w:r>
              <w:rPr>
                <w:b w:val="0"/>
                <w:lang w:eastAsia="en-US"/>
              </w:rPr>
              <w:t xml:space="preserve">ACL </w:t>
            </w:r>
          </w:p>
        </w:tc>
        <w:tc>
          <w:tcPr>
            <w:tcW w:w="7427" w:type="dxa"/>
            <w:hideMark/>
          </w:tcPr>
          <w:p w14:paraId="31F7A0CF" w14:textId="77777777" w:rsidR="00261197" w:rsidRDefault="00261197"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Australian Consumer Law </w:t>
            </w:r>
          </w:p>
        </w:tc>
      </w:tr>
      <w:tr w:rsidR="006011BD" w14:paraId="6BD1D306" w14:textId="77777777" w:rsidTr="00144C4E">
        <w:tc>
          <w:tcPr>
            <w:cnfStyle w:val="001000000000" w:firstRow="0" w:lastRow="0" w:firstColumn="1" w:lastColumn="0" w:oddVBand="0" w:evenVBand="0" w:oddHBand="0" w:evenHBand="0" w:firstRowFirstColumn="0" w:firstRowLastColumn="0" w:lastRowFirstColumn="0" w:lastRowLastColumn="0"/>
            <w:tcW w:w="1643" w:type="dxa"/>
          </w:tcPr>
          <w:p w14:paraId="57E68906" w14:textId="22C8967F" w:rsidR="006011BD" w:rsidRDefault="006011BD" w:rsidP="00261197">
            <w:pPr>
              <w:rPr>
                <w:b w:val="0"/>
                <w:lang w:eastAsia="en-US"/>
              </w:rPr>
            </w:pPr>
            <w:r>
              <w:rPr>
                <w:b w:val="0"/>
                <w:lang w:eastAsia="en-US"/>
              </w:rPr>
              <w:t>Ai Group</w:t>
            </w:r>
          </w:p>
        </w:tc>
        <w:tc>
          <w:tcPr>
            <w:tcW w:w="7427" w:type="dxa"/>
          </w:tcPr>
          <w:p w14:paraId="4223A085" w14:textId="0B13AB23" w:rsidR="006011BD" w:rsidRDefault="006011BD" w:rsidP="00261197">
            <w:pPr>
              <w:cnfStyle w:val="000000000000" w:firstRow="0" w:lastRow="0" w:firstColumn="0" w:lastColumn="0" w:oddVBand="0" w:evenVBand="0" w:oddHBand="0" w:evenHBand="0" w:firstRowFirstColumn="0" w:firstRowLastColumn="0" w:lastRowFirstColumn="0" w:lastRowLastColumn="0"/>
              <w:rPr>
                <w:lang w:eastAsia="en-US"/>
              </w:rPr>
            </w:pPr>
            <w:r>
              <w:rPr>
                <w:rFonts w:eastAsiaTheme="majorEastAsia" w:cstheme="majorBidi"/>
                <w:bCs/>
              </w:rPr>
              <w:t xml:space="preserve">Australian Industry Group </w:t>
            </w:r>
          </w:p>
        </w:tc>
      </w:tr>
      <w:tr w:rsidR="008B1D3A" w14:paraId="7A15CAD1"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06CC2159" w14:textId="343B5398" w:rsidR="008B1D3A" w:rsidRDefault="008B1D3A" w:rsidP="00261197">
            <w:pPr>
              <w:rPr>
                <w:b w:val="0"/>
                <w:lang w:eastAsia="en-US"/>
              </w:rPr>
            </w:pPr>
            <w:r>
              <w:rPr>
                <w:b w:val="0"/>
                <w:lang w:eastAsia="en-US"/>
              </w:rPr>
              <w:t>ARA</w:t>
            </w:r>
          </w:p>
        </w:tc>
        <w:tc>
          <w:tcPr>
            <w:tcW w:w="7427" w:type="dxa"/>
          </w:tcPr>
          <w:p w14:paraId="6028035C" w14:textId="7D7F774A" w:rsidR="008B1D3A" w:rsidRDefault="008B1D3A"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Australian Retailers Association</w:t>
            </w:r>
          </w:p>
        </w:tc>
      </w:tr>
      <w:tr w:rsidR="00206198" w14:paraId="13584027" w14:textId="77777777" w:rsidTr="00144C4E">
        <w:tc>
          <w:tcPr>
            <w:cnfStyle w:val="001000000000" w:firstRow="0" w:lastRow="0" w:firstColumn="1" w:lastColumn="0" w:oddVBand="0" w:evenVBand="0" w:oddHBand="0" w:evenHBand="0" w:firstRowFirstColumn="0" w:firstRowLastColumn="0" w:lastRowFirstColumn="0" w:lastRowLastColumn="0"/>
            <w:tcW w:w="1643" w:type="dxa"/>
          </w:tcPr>
          <w:p w14:paraId="677497A7" w14:textId="5B47C321" w:rsidR="00206198" w:rsidRDefault="00206198" w:rsidP="00261197">
            <w:pPr>
              <w:rPr>
                <w:b w:val="0"/>
                <w:lang w:eastAsia="en-US"/>
              </w:rPr>
            </w:pPr>
            <w:r>
              <w:rPr>
                <w:b w:val="0"/>
                <w:lang w:eastAsia="en-US"/>
              </w:rPr>
              <w:t>ASIC</w:t>
            </w:r>
          </w:p>
        </w:tc>
        <w:tc>
          <w:tcPr>
            <w:tcW w:w="7427" w:type="dxa"/>
          </w:tcPr>
          <w:p w14:paraId="7EEADE1F" w14:textId="4D12D90C" w:rsidR="00206198" w:rsidRDefault="00206198" w:rsidP="0026119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Australian Securities and Investment</w:t>
            </w:r>
            <w:r w:rsidR="000534ED">
              <w:rPr>
                <w:lang w:eastAsia="en-US"/>
              </w:rPr>
              <w:t>s</w:t>
            </w:r>
            <w:r>
              <w:rPr>
                <w:lang w:eastAsia="en-US"/>
              </w:rPr>
              <w:t xml:space="preserve"> Commission </w:t>
            </w:r>
          </w:p>
        </w:tc>
      </w:tr>
      <w:tr w:rsidR="00261197" w14:paraId="66144FAE"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685D430C" w14:textId="70693D32" w:rsidR="00261197" w:rsidRDefault="008B1D3A" w:rsidP="00261197">
            <w:pPr>
              <w:rPr>
                <w:b w:val="0"/>
                <w:lang w:eastAsia="en-US"/>
              </w:rPr>
            </w:pPr>
            <w:r>
              <w:rPr>
                <w:b w:val="0"/>
                <w:lang w:eastAsia="en-US"/>
              </w:rPr>
              <w:t>BCR</w:t>
            </w:r>
          </w:p>
        </w:tc>
        <w:tc>
          <w:tcPr>
            <w:tcW w:w="7427" w:type="dxa"/>
          </w:tcPr>
          <w:p w14:paraId="5CE20630" w14:textId="10898DD9" w:rsidR="00261197" w:rsidRDefault="008B1D3A"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Benefit-cost ratio</w:t>
            </w:r>
          </w:p>
        </w:tc>
      </w:tr>
      <w:tr w:rsidR="00261197" w14:paraId="04F87E9E" w14:textId="77777777" w:rsidTr="00144C4E">
        <w:tc>
          <w:tcPr>
            <w:cnfStyle w:val="001000000000" w:firstRow="0" w:lastRow="0" w:firstColumn="1" w:lastColumn="0" w:oddVBand="0" w:evenVBand="0" w:oddHBand="0" w:evenHBand="0" w:firstRowFirstColumn="0" w:firstRowLastColumn="0" w:lastRowFirstColumn="0" w:lastRowLastColumn="0"/>
            <w:tcW w:w="1643" w:type="dxa"/>
          </w:tcPr>
          <w:p w14:paraId="3441A3CC" w14:textId="4CDE023A" w:rsidR="00261197" w:rsidRDefault="008B1D3A" w:rsidP="00261197">
            <w:pPr>
              <w:rPr>
                <w:b w:val="0"/>
                <w:lang w:eastAsia="en-US"/>
              </w:rPr>
            </w:pPr>
            <w:r>
              <w:rPr>
                <w:b w:val="0"/>
                <w:lang w:eastAsia="en-US"/>
              </w:rPr>
              <w:t>CAANZ</w:t>
            </w:r>
          </w:p>
        </w:tc>
        <w:tc>
          <w:tcPr>
            <w:tcW w:w="7427" w:type="dxa"/>
          </w:tcPr>
          <w:p w14:paraId="55359DED" w14:textId="7830DAAD" w:rsidR="00261197" w:rsidRDefault="008B1D3A" w:rsidP="0026119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Consumer Affairs Australia and New Zealand</w:t>
            </w:r>
          </w:p>
        </w:tc>
      </w:tr>
      <w:tr w:rsidR="00261197" w14:paraId="2975BE5D"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4C1E2DFE" w14:textId="55452307" w:rsidR="00261197" w:rsidRDefault="008B1D3A" w:rsidP="00261197">
            <w:pPr>
              <w:rPr>
                <w:b w:val="0"/>
                <w:lang w:eastAsia="en-US"/>
              </w:rPr>
            </w:pPr>
            <w:r>
              <w:rPr>
                <w:b w:val="0"/>
                <w:lang w:eastAsia="en-US"/>
              </w:rPr>
              <w:t>MTAA</w:t>
            </w:r>
          </w:p>
        </w:tc>
        <w:tc>
          <w:tcPr>
            <w:tcW w:w="7427" w:type="dxa"/>
          </w:tcPr>
          <w:p w14:paraId="3CD744C3" w14:textId="3CB3A6F2" w:rsidR="00261197" w:rsidRDefault="008B1D3A"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Motor Trades Association of Australia</w:t>
            </w:r>
          </w:p>
        </w:tc>
      </w:tr>
      <w:tr w:rsidR="00261197" w14:paraId="2405467E" w14:textId="77777777" w:rsidTr="00144C4E">
        <w:tc>
          <w:tcPr>
            <w:cnfStyle w:val="001000000000" w:firstRow="0" w:lastRow="0" w:firstColumn="1" w:lastColumn="0" w:oddVBand="0" w:evenVBand="0" w:oddHBand="0" w:evenHBand="0" w:firstRowFirstColumn="0" w:firstRowLastColumn="0" w:lastRowFirstColumn="0" w:lastRowLastColumn="0"/>
            <w:tcW w:w="1643" w:type="dxa"/>
          </w:tcPr>
          <w:p w14:paraId="2514C13D" w14:textId="20EE6063" w:rsidR="00261197" w:rsidRDefault="00DF6749" w:rsidP="00261197">
            <w:pPr>
              <w:rPr>
                <w:b w:val="0"/>
                <w:lang w:eastAsia="en-US"/>
              </w:rPr>
            </w:pPr>
            <w:r>
              <w:rPr>
                <w:b w:val="0"/>
                <w:lang w:eastAsia="en-US"/>
              </w:rPr>
              <w:t>NPV</w:t>
            </w:r>
          </w:p>
        </w:tc>
        <w:tc>
          <w:tcPr>
            <w:tcW w:w="7427" w:type="dxa"/>
          </w:tcPr>
          <w:p w14:paraId="284617A1" w14:textId="6F80B055" w:rsidR="00261197" w:rsidRPr="00DF6749" w:rsidRDefault="00DF6749" w:rsidP="00261197">
            <w:pPr>
              <w:cnfStyle w:val="000000000000" w:firstRow="0" w:lastRow="0" w:firstColumn="0" w:lastColumn="0" w:oddVBand="0" w:evenVBand="0" w:oddHBand="0" w:evenHBand="0" w:firstRowFirstColumn="0" w:firstRowLastColumn="0" w:lastRowFirstColumn="0" w:lastRowLastColumn="0"/>
              <w:rPr>
                <w:i/>
                <w:lang w:eastAsia="en-US"/>
              </w:rPr>
            </w:pPr>
            <w:r>
              <w:rPr>
                <w:iCs/>
                <w:lang w:eastAsia="en-US"/>
              </w:rPr>
              <w:t>Net present value</w:t>
            </w:r>
          </w:p>
        </w:tc>
      </w:tr>
      <w:tr w:rsidR="00261197" w14:paraId="19552775"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hideMark/>
          </w:tcPr>
          <w:p w14:paraId="66C305AC" w14:textId="77777777" w:rsidR="00261197" w:rsidRDefault="00261197" w:rsidP="00261197">
            <w:pPr>
              <w:rPr>
                <w:b w:val="0"/>
                <w:lang w:eastAsia="en-US"/>
              </w:rPr>
            </w:pPr>
            <w:r>
              <w:rPr>
                <w:b w:val="0"/>
                <w:lang w:eastAsia="en-US"/>
              </w:rPr>
              <w:t xml:space="preserve">RIS </w:t>
            </w:r>
          </w:p>
        </w:tc>
        <w:tc>
          <w:tcPr>
            <w:tcW w:w="7427" w:type="dxa"/>
            <w:hideMark/>
          </w:tcPr>
          <w:p w14:paraId="62BD7598" w14:textId="77777777" w:rsidR="00261197" w:rsidRDefault="00261197"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Regulation Impact Statement </w:t>
            </w:r>
          </w:p>
        </w:tc>
      </w:tr>
    </w:tbl>
    <w:p w14:paraId="3FC9B348" w14:textId="77777777" w:rsidR="00B47E8E" w:rsidRDefault="00B47E8E">
      <w:pPr>
        <w:spacing w:before="0" w:after="160" w:line="259" w:lineRule="auto"/>
        <w:rPr>
          <w:rFonts w:cs="Arial"/>
          <w:color w:val="002C47" w:themeColor="accent1"/>
          <w:kern w:val="32"/>
          <w:sz w:val="48"/>
          <w:szCs w:val="36"/>
        </w:rPr>
      </w:pPr>
      <w:r>
        <w:br w:type="page"/>
      </w:r>
    </w:p>
    <w:p w14:paraId="72C58CED" w14:textId="45530966" w:rsidR="00B47E8E" w:rsidRDefault="00B47E8E" w:rsidP="00160496">
      <w:pPr>
        <w:pStyle w:val="ChapterHeading"/>
      </w:pPr>
      <w:bookmarkStart w:id="18" w:name="_Toc69381035"/>
      <w:bookmarkStart w:id="19" w:name="_Toc69395055"/>
      <w:bookmarkStart w:id="20" w:name="_Toc89700899"/>
      <w:r>
        <w:lastRenderedPageBreak/>
        <w:t>Introduction</w:t>
      </w:r>
      <w:bookmarkEnd w:id="18"/>
      <w:bookmarkEnd w:id="19"/>
      <w:bookmarkEnd w:id="20"/>
    </w:p>
    <w:p w14:paraId="79EA8C8F" w14:textId="771FEF79" w:rsidR="00B47E8E" w:rsidRDefault="00B47E8E" w:rsidP="00160496">
      <w:pPr>
        <w:pStyle w:val="Heading2"/>
      </w:pPr>
      <w:bookmarkStart w:id="21" w:name="_Toc69381036"/>
      <w:bookmarkStart w:id="22" w:name="_Toc69395056"/>
      <w:bookmarkStart w:id="23" w:name="_Toc89700900"/>
      <w:r>
        <w:t>Purpose</w:t>
      </w:r>
      <w:bookmarkEnd w:id="21"/>
      <w:bookmarkEnd w:id="22"/>
      <w:bookmarkEnd w:id="23"/>
    </w:p>
    <w:p w14:paraId="35EEC6FD" w14:textId="72BB51CC" w:rsidR="00160496" w:rsidRDefault="00160496" w:rsidP="00160496">
      <w:pPr>
        <w:spacing w:before="200"/>
      </w:pPr>
      <w:r>
        <w:t>This Consultation RIS has been prepared by Consumer Senior Officials (formerly Consumer Affairs Australia and New Zealand</w:t>
      </w:r>
      <w:r w:rsidR="00DF6749">
        <w:t xml:space="preserve"> (CAANZ)</w:t>
      </w:r>
      <w:r>
        <w:t xml:space="preserve">) </w:t>
      </w:r>
      <w:r w:rsidR="00913A8E">
        <w:t xml:space="preserve">following </w:t>
      </w:r>
      <w:r>
        <w:t>a request of Australia’s Consumer Affairs Ministers at their meeting in August 2019. Ministers noted there were ongoing difficulties for consumers seeking remedies for goods that fail to meet the consumer guarantees and requested a regulatory impact assessment be undertaken on:</w:t>
      </w:r>
    </w:p>
    <w:p w14:paraId="2454A563" w14:textId="03FC1515" w:rsidR="00160496" w:rsidRDefault="00913A8E" w:rsidP="00B20812">
      <w:pPr>
        <w:pStyle w:val="Bullet"/>
        <w:widowControl w:val="0"/>
        <w:numPr>
          <w:ilvl w:val="0"/>
          <w:numId w:val="12"/>
        </w:numPr>
        <w:jc w:val="both"/>
      </w:pPr>
      <w:r>
        <w:t xml:space="preserve">options </w:t>
      </w:r>
      <w:r w:rsidR="00160496">
        <w:t>to ensure businesses comply with the consumer guarantees and consumers can access the remedies to which they are entitled. This includes consideration of a proposed civil prohibition for failure to provide a consumer guarantees remedy</w:t>
      </w:r>
      <w:r>
        <w:t xml:space="preserve"> and</w:t>
      </w:r>
    </w:p>
    <w:p w14:paraId="5E5999C2" w14:textId="78C16798" w:rsidR="00160496" w:rsidRDefault="00913A8E" w:rsidP="00B20812">
      <w:pPr>
        <w:pStyle w:val="Bullet"/>
        <w:widowControl w:val="0"/>
        <w:numPr>
          <w:ilvl w:val="0"/>
          <w:numId w:val="12"/>
        </w:numPr>
        <w:jc w:val="both"/>
      </w:pPr>
      <w:r>
        <w:t xml:space="preserve">options </w:t>
      </w:r>
      <w:r w:rsidR="00160496">
        <w:t>to prohibit manufacturers from failing to indemnify suppliers and prohibit retribution by manufacturers against suppliers who seek indemnification.</w:t>
      </w:r>
    </w:p>
    <w:p w14:paraId="17C302E5" w14:textId="49637755" w:rsidR="00160496" w:rsidRDefault="00160496" w:rsidP="00160496">
      <w:r>
        <w:t xml:space="preserve">Ministers agreed to consider the costs and benefits of applying those options in two ways: </w:t>
      </w:r>
    </w:p>
    <w:p w14:paraId="2F52DC91" w14:textId="5618798E" w:rsidR="00160496" w:rsidRDefault="00160496" w:rsidP="00160496">
      <w:pPr>
        <w:pStyle w:val="Bullet"/>
      </w:pPr>
      <w:r>
        <w:t>across all sectors of the economy and</w:t>
      </w:r>
    </w:p>
    <w:p w14:paraId="18E46432" w14:textId="0480F2A1" w:rsidR="00160496" w:rsidRDefault="00160496" w:rsidP="00160496">
      <w:pPr>
        <w:pStyle w:val="Bullet"/>
      </w:pPr>
      <w:r>
        <w:t xml:space="preserve">to new motor vehicles only. </w:t>
      </w:r>
    </w:p>
    <w:p w14:paraId="0CE48A83" w14:textId="12FC33EB" w:rsidR="00160496" w:rsidRPr="00230AC1" w:rsidRDefault="00160496" w:rsidP="00160496">
      <w:pPr>
        <w:rPr>
          <w:rFonts w:ascii="Times New Roman" w:eastAsiaTheme="minorHAnsi" w:hAnsi="Times New Roman"/>
          <w:sz w:val="24"/>
          <w:szCs w:val="24"/>
        </w:rPr>
      </w:pPr>
      <w:r>
        <w:t xml:space="preserve">While the 2017 ACL Review expressed a preference for amendments to apply economy-wide to maintain clearer standards and more consistent messages about rights and responsibilities, </w:t>
      </w:r>
      <w:r>
        <w:rPr>
          <w:rStyle w:val="FootnoteReference"/>
        </w:rPr>
        <w:footnoteReference w:id="3"/>
      </w:r>
      <w:r>
        <w:t xml:space="preserve"> the decision to assess new motor vehicle-specific options was informed by </w:t>
      </w:r>
      <w:r w:rsidRPr="00A701E1">
        <w:t xml:space="preserve">the high instance of unresolved problems with </w:t>
      </w:r>
      <w:r>
        <w:t xml:space="preserve">new </w:t>
      </w:r>
      <w:r w:rsidRPr="00A701E1">
        <w:t xml:space="preserve">motor vehicles found by the 2016 Australian Consumer Survey </w:t>
      </w:r>
      <w:r>
        <w:rPr>
          <w:rStyle w:val="FootnoteReference"/>
        </w:rPr>
        <w:footnoteReference w:id="4"/>
      </w:r>
      <w:r>
        <w:t xml:space="preserve"> </w:t>
      </w:r>
      <w:r w:rsidRPr="00A701E1">
        <w:t xml:space="preserve">and </w:t>
      </w:r>
      <w:r>
        <w:t xml:space="preserve">by an ongoing high </w:t>
      </w:r>
      <w:r w:rsidRPr="00A701E1">
        <w:t>number of complaints received by the</w:t>
      </w:r>
      <w:r w:rsidR="00E52EFF">
        <w:t xml:space="preserve"> state and territory ACL regulators and the</w:t>
      </w:r>
      <w:r w:rsidR="00261197">
        <w:t xml:space="preserve"> Australian Competition and Consumer Commission</w:t>
      </w:r>
      <w:r>
        <w:t xml:space="preserve"> </w:t>
      </w:r>
      <w:r w:rsidR="00261197">
        <w:t>(</w:t>
      </w:r>
      <w:r>
        <w:t>ACCC</w:t>
      </w:r>
      <w:r w:rsidR="00261197">
        <w:t>)</w:t>
      </w:r>
      <w:r>
        <w:t>.</w:t>
      </w:r>
    </w:p>
    <w:p w14:paraId="36A28DD8" w14:textId="60E74B4F" w:rsidR="00160496" w:rsidRDefault="00160496" w:rsidP="00160496">
      <w:r>
        <w:t xml:space="preserve">A Consultation RIS presumes there </w:t>
      </w:r>
      <w:r w:rsidRPr="00D169F7">
        <w:rPr>
          <w:i/>
        </w:rPr>
        <w:t>may</w:t>
      </w:r>
      <w:r>
        <w:t xml:space="preserve"> be scope for the Government to take action to address identified problems. The purpose of this Consultation RIS, therefore, is </w:t>
      </w:r>
      <w:r w:rsidRPr="00951EAF">
        <w:t>to canvass the regulatory options under consideration, to determine the relative costs and benefits of those options.</w:t>
      </w:r>
      <w:r>
        <w:t xml:space="preserve"> The costs and benefits of each option set out in this Consultation RIS are assessed individually.</w:t>
      </w:r>
    </w:p>
    <w:p w14:paraId="7B092321" w14:textId="7F9D67D1" w:rsidR="00F210E8" w:rsidRDefault="00F210E8" w:rsidP="00160496">
      <w:r>
        <w:lastRenderedPageBreak/>
        <w:t xml:space="preserve">In assessing the </w:t>
      </w:r>
      <w:r w:rsidR="0023089A">
        <w:t xml:space="preserve">potential </w:t>
      </w:r>
      <w:r>
        <w:t xml:space="preserve">costs and benefits of each option, this Consultation RIS includes </w:t>
      </w:r>
      <w:r w:rsidR="00A5313F">
        <w:t xml:space="preserve">indicative </w:t>
      </w:r>
      <w:r w:rsidR="0071121A">
        <w:t>costings</w:t>
      </w:r>
      <w:r>
        <w:t>.</w:t>
      </w:r>
      <w:r w:rsidR="00962692">
        <w:t xml:space="preserve"> This analysis is provided to </w:t>
      </w:r>
      <w:r w:rsidR="00691F5D">
        <w:t xml:space="preserve">inform the consultation process and to </w:t>
      </w:r>
      <w:r w:rsidR="00962692">
        <w:t xml:space="preserve">help compare </w:t>
      </w:r>
      <w:r w:rsidR="004506D6">
        <w:t xml:space="preserve">the possible </w:t>
      </w:r>
      <w:r w:rsidR="00962692">
        <w:t>net benefit to the economy</w:t>
      </w:r>
      <w:r w:rsidR="00691F5D">
        <w:t xml:space="preserve"> </w:t>
      </w:r>
      <w:r w:rsidR="00962692">
        <w:t>of each option</w:t>
      </w:r>
      <w:r w:rsidR="00691F5D">
        <w:t xml:space="preserve"> in quantitative terms</w:t>
      </w:r>
      <w:r w:rsidR="00962692">
        <w:t xml:space="preserve">. However, </w:t>
      </w:r>
      <w:r w:rsidR="00962692" w:rsidRPr="00962692">
        <w:t xml:space="preserve">costs and benefits will fall unevenly across suppliers, </w:t>
      </w:r>
      <w:r w:rsidR="00D14821" w:rsidRPr="00962692">
        <w:t>manufacturers,</w:t>
      </w:r>
      <w:r w:rsidR="00962692" w:rsidRPr="00962692">
        <w:t xml:space="preserve"> and consumers. </w:t>
      </w:r>
      <w:r w:rsidR="006437A4">
        <w:t xml:space="preserve">The assumptions </w:t>
      </w:r>
      <w:r w:rsidR="001540B5">
        <w:t xml:space="preserve">used </w:t>
      </w:r>
      <w:r w:rsidR="006437A4">
        <w:t xml:space="preserve">to calculate the </w:t>
      </w:r>
      <w:r w:rsidR="001540B5">
        <w:t xml:space="preserve">indicative cost benefit analysis </w:t>
      </w:r>
      <w:r w:rsidR="006437A4">
        <w:t>are at</w:t>
      </w:r>
      <w:r w:rsidR="00E3157F">
        <w:t xml:space="preserve"> </w:t>
      </w:r>
      <w:r w:rsidR="00E3157F" w:rsidRPr="00E3157F">
        <w:rPr>
          <w:b/>
          <w:bCs/>
        </w:rPr>
        <w:fldChar w:fldCharType="begin"/>
      </w:r>
      <w:r w:rsidR="00E3157F" w:rsidRPr="00E3157F">
        <w:rPr>
          <w:b/>
          <w:bCs/>
        </w:rPr>
        <w:instrText xml:space="preserve"> REF _Ref88140564 \h </w:instrText>
      </w:r>
      <w:r w:rsidR="00E3157F">
        <w:rPr>
          <w:b/>
          <w:bCs/>
        </w:rPr>
        <w:instrText xml:space="preserve"> \* MERGEFORMAT </w:instrText>
      </w:r>
      <w:r w:rsidR="00E3157F" w:rsidRPr="00E3157F">
        <w:rPr>
          <w:b/>
          <w:bCs/>
        </w:rPr>
      </w:r>
      <w:r w:rsidR="00E3157F" w:rsidRPr="00E3157F">
        <w:rPr>
          <w:b/>
          <w:bCs/>
        </w:rPr>
        <w:fldChar w:fldCharType="separate"/>
      </w:r>
      <w:r w:rsidR="00001633" w:rsidRPr="00001633">
        <w:rPr>
          <w:b/>
          <w:bCs/>
        </w:rPr>
        <w:t>Appendix A – Assumptions</w:t>
      </w:r>
      <w:r w:rsidR="00E3157F" w:rsidRPr="00E3157F">
        <w:rPr>
          <w:b/>
          <w:bCs/>
        </w:rPr>
        <w:fldChar w:fldCharType="end"/>
      </w:r>
      <w:r w:rsidR="006437A4" w:rsidRPr="00E3157F">
        <w:rPr>
          <w:b/>
          <w:bCs/>
        </w:rPr>
        <w:t>.</w:t>
      </w:r>
      <w:r w:rsidR="006437A4">
        <w:t xml:space="preserve">  </w:t>
      </w:r>
      <w:r w:rsidR="00691F5D">
        <w:t xml:space="preserve">Feedback received through </w:t>
      </w:r>
      <w:r w:rsidR="004506D6">
        <w:t>c</w:t>
      </w:r>
      <w:r w:rsidR="00962692">
        <w:t>onsultation on th</w:t>
      </w:r>
      <w:r w:rsidR="00691F5D">
        <w:t>is</w:t>
      </w:r>
      <w:r w:rsidR="00514977">
        <w:t xml:space="preserve"> Consultation </w:t>
      </w:r>
      <w:r w:rsidR="00962692">
        <w:t>RIS</w:t>
      </w:r>
      <w:r w:rsidR="00691F5D">
        <w:t xml:space="preserve"> will help to refine this analysis and </w:t>
      </w:r>
      <w:r w:rsidR="00B866CB">
        <w:t>inform the Decision RIS.</w:t>
      </w:r>
      <w:r w:rsidR="006437A4">
        <w:t xml:space="preserve"> </w:t>
      </w:r>
    </w:p>
    <w:p w14:paraId="15287189" w14:textId="46369281" w:rsidR="00160496" w:rsidRPr="006437A4" w:rsidRDefault="00160496" w:rsidP="006437A4">
      <w:pPr>
        <w:pStyle w:val="Heading4"/>
      </w:pPr>
      <w:bookmarkStart w:id="24" w:name="_Toc65665771"/>
      <w:bookmarkStart w:id="25" w:name="_Toc65665999"/>
      <w:bookmarkStart w:id="26" w:name="_Toc65829383"/>
      <w:r w:rsidRPr="006437A4">
        <w:t xml:space="preserve">Summary of identified problems </w:t>
      </w:r>
      <w:r w:rsidR="006437A4">
        <w:t xml:space="preserve">&amp; </w:t>
      </w:r>
      <w:r w:rsidRPr="006437A4">
        <w:t>policy options</w:t>
      </w:r>
      <w:bookmarkEnd w:id="24"/>
      <w:bookmarkEnd w:id="25"/>
      <w:bookmarkEnd w:id="26"/>
      <w:r w:rsidRPr="006437A4">
        <w:t xml:space="preserve"> presented in the Consultation RIS</w:t>
      </w:r>
    </w:p>
    <w:tbl>
      <w:tblPr>
        <w:tblStyle w:val="GridTable4-Accent6"/>
        <w:tblW w:w="9072" w:type="dxa"/>
        <w:tblLook w:val="04A0" w:firstRow="1" w:lastRow="0" w:firstColumn="1" w:lastColumn="0" w:noHBand="0" w:noVBand="1"/>
      </w:tblPr>
      <w:tblGrid>
        <w:gridCol w:w="748"/>
        <w:gridCol w:w="4161"/>
        <w:gridCol w:w="4163"/>
      </w:tblGrid>
      <w:tr w:rsidR="005646A5" w:rsidRPr="005646A5" w14:paraId="5C25493D" w14:textId="77777777" w:rsidTr="0056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4B9854FC" w14:textId="77777777" w:rsidR="00160496" w:rsidRPr="005646A5" w:rsidRDefault="00160496" w:rsidP="00160496">
            <w:pPr>
              <w:pStyle w:val="boxNumbering"/>
              <w:numPr>
                <w:ilvl w:val="0"/>
                <w:numId w:val="0"/>
              </w:numPr>
              <w:jc w:val="center"/>
              <w:rPr>
                <w:rFonts w:ascii="Calibri" w:hAnsi="Calibri"/>
                <w:b w:val="0"/>
                <w:color w:val="auto"/>
              </w:rPr>
            </w:pPr>
          </w:p>
        </w:tc>
        <w:tc>
          <w:tcPr>
            <w:tcW w:w="4168" w:type="dxa"/>
          </w:tcPr>
          <w:p w14:paraId="2E011493" w14:textId="77777777" w:rsidR="00160496" w:rsidRPr="005646A5" w:rsidRDefault="00160496" w:rsidP="00160496">
            <w:pPr>
              <w:pStyle w:val="boxNumbering"/>
              <w:numPr>
                <w:ilvl w:val="0"/>
                <w:numId w:val="0"/>
              </w:num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5646A5">
              <w:rPr>
                <w:rFonts w:ascii="Calibri" w:hAnsi="Calibri"/>
                <w:color w:val="auto"/>
                <w:sz w:val="28"/>
                <w:szCs w:val="28"/>
              </w:rPr>
              <w:t>Part A</w:t>
            </w:r>
          </w:p>
          <w:p w14:paraId="7A7F1AC0" w14:textId="77777777" w:rsidR="00160496" w:rsidRPr="005646A5" w:rsidRDefault="00160496" w:rsidP="00160496">
            <w:pPr>
              <w:pStyle w:val="boxNumbering"/>
              <w:numPr>
                <w:ilvl w:val="0"/>
                <w:numId w:val="0"/>
              </w:num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8"/>
                <w:szCs w:val="28"/>
              </w:rPr>
            </w:pPr>
            <w:r w:rsidRPr="005646A5">
              <w:rPr>
                <w:rFonts w:ascii="Calibri" w:hAnsi="Calibri"/>
                <w:color w:val="auto"/>
                <w:sz w:val="24"/>
                <w:szCs w:val="28"/>
              </w:rPr>
              <w:t>Receiving remedies</w:t>
            </w:r>
          </w:p>
        </w:tc>
        <w:tc>
          <w:tcPr>
            <w:tcW w:w="4169" w:type="dxa"/>
          </w:tcPr>
          <w:p w14:paraId="79321F4C" w14:textId="77777777" w:rsidR="00160496" w:rsidRPr="005646A5" w:rsidRDefault="00160496" w:rsidP="00160496">
            <w:pPr>
              <w:pStyle w:val="boxNumbering"/>
              <w:numPr>
                <w:ilvl w:val="0"/>
                <w:numId w:val="0"/>
              </w:num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5646A5">
              <w:rPr>
                <w:rFonts w:ascii="Calibri" w:hAnsi="Calibri"/>
                <w:color w:val="auto"/>
                <w:sz w:val="28"/>
                <w:szCs w:val="28"/>
              </w:rPr>
              <w:t>Part B</w:t>
            </w:r>
          </w:p>
          <w:p w14:paraId="12E7A803" w14:textId="77777777" w:rsidR="00160496" w:rsidRPr="005646A5" w:rsidRDefault="00160496" w:rsidP="00160496">
            <w:pPr>
              <w:pStyle w:val="boxNumbering"/>
              <w:numPr>
                <w:ilvl w:val="0"/>
                <w:numId w:val="0"/>
              </w:num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8"/>
                <w:szCs w:val="28"/>
              </w:rPr>
            </w:pPr>
            <w:r w:rsidRPr="005646A5">
              <w:rPr>
                <w:rFonts w:ascii="Calibri" w:hAnsi="Calibri"/>
                <w:color w:val="auto"/>
                <w:sz w:val="24"/>
                <w:szCs w:val="28"/>
              </w:rPr>
              <w:t>Supplier indemnification</w:t>
            </w:r>
          </w:p>
        </w:tc>
      </w:tr>
      <w:tr w:rsidR="005646A5" w:rsidRPr="005646A5" w14:paraId="3AB72971" w14:textId="77777777" w:rsidTr="005646A5">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35" w:type="dxa"/>
            <w:textDirection w:val="btLr"/>
          </w:tcPr>
          <w:p w14:paraId="1D77944F" w14:textId="77777777" w:rsidR="00160496" w:rsidRPr="005646A5" w:rsidRDefault="00160496" w:rsidP="00160496">
            <w:pPr>
              <w:pStyle w:val="boxNumbering"/>
              <w:numPr>
                <w:ilvl w:val="0"/>
                <w:numId w:val="0"/>
              </w:numPr>
              <w:spacing w:before="0" w:after="0" w:line="360" w:lineRule="auto"/>
              <w:ind w:left="113" w:right="113"/>
              <w:jc w:val="center"/>
              <w:rPr>
                <w:rFonts w:ascii="Calibri" w:hAnsi="Calibri"/>
                <w:b w:val="0"/>
                <w:color w:val="auto"/>
                <w:sz w:val="28"/>
                <w:szCs w:val="28"/>
              </w:rPr>
            </w:pPr>
            <w:r w:rsidRPr="005646A5">
              <w:rPr>
                <w:rFonts w:ascii="Calibri" w:hAnsi="Calibri"/>
                <w:color w:val="auto"/>
                <w:sz w:val="28"/>
                <w:szCs w:val="28"/>
              </w:rPr>
              <w:t>Problem</w:t>
            </w:r>
          </w:p>
        </w:tc>
        <w:tc>
          <w:tcPr>
            <w:tcW w:w="4168" w:type="dxa"/>
          </w:tcPr>
          <w:p w14:paraId="0F816ACD" w14:textId="5DD512F9" w:rsidR="00160496" w:rsidRPr="005646A5" w:rsidRDefault="00160496" w:rsidP="00160496">
            <w:pPr>
              <w:pStyle w:val="boxNumbering"/>
              <w:numPr>
                <w:ilvl w:val="0"/>
                <w:numId w:val="0"/>
              </w:numPr>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5646A5">
              <w:rPr>
                <w:rFonts w:ascii="Calibri" w:hAnsi="Calibri"/>
                <w:color w:val="auto"/>
              </w:rPr>
              <w:t xml:space="preserve">Consumers </w:t>
            </w:r>
            <w:r w:rsidR="00685759" w:rsidRPr="005646A5">
              <w:rPr>
                <w:rFonts w:ascii="Calibri" w:hAnsi="Calibri"/>
                <w:color w:val="auto"/>
              </w:rPr>
              <w:t xml:space="preserve">are </w:t>
            </w:r>
            <w:r w:rsidRPr="005646A5">
              <w:rPr>
                <w:rFonts w:ascii="Calibri" w:hAnsi="Calibri"/>
                <w:color w:val="auto"/>
              </w:rPr>
              <w:t>not always given the remedies they are entitled to</w:t>
            </w:r>
          </w:p>
        </w:tc>
        <w:tc>
          <w:tcPr>
            <w:tcW w:w="4169" w:type="dxa"/>
          </w:tcPr>
          <w:p w14:paraId="72EAF49D" w14:textId="77777777" w:rsidR="00160496" w:rsidRPr="005646A5" w:rsidRDefault="00160496" w:rsidP="00160496">
            <w:pPr>
              <w:pStyle w:val="boxNumbering"/>
              <w:numPr>
                <w:ilvl w:val="0"/>
                <w:numId w:val="0"/>
              </w:numPr>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5646A5">
              <w:rPr>
                <w:rFonts w:ascii="Calibri" w:hAnsi="Calibri"/>
                <w:color w:val="auto"/>
              </w:rPr>
              <w:t>Manufacturers often fail to indemnify suppliers</w:t>
            </w:r>
          </w:p>
        </w:tc>
      </w:tr>
      <w:tr w:rsidR="005646A5" w:rsidRPr="005646A5" w14:paraId="649C45D8" w14:textId="77777777" w:rsidTr="005646A5">
        <w:tc>
          <w:tcPr>
            <w:cnfStyle w:val="001000000000" w:firstRow="0" w:lastRow="0" w:firstColumn="1" w:lastColumn="0" w:oddVBand="0" w:evenVBand="0" w:oddHBand="0" w:evenHBand="0" w:firstRowFirstColumn="0" w:firstRowLastColumn="0" w:lastRowFirstColumn="0" w:lastRowLastColumn="0"/>
            <w:tcW w:w="735" w:type="dxa"/>
            <w:vMerge w:val="restart"/>
            <w:textDirection w:val="btLr"/>
          </w:tcPr>
          <w:p w14:paraId="1FBD9803" w14:textId="77777777" w:rsidR="00160496" w:rsidRPr="005646A5" w:rsidRDefault="00160496" w:rsidP="00160496">
            <w:pPr>
              <w:pStyle w:val="boxNumbering"/>
              <w:numPr>
                <w:ilvl w:val="0"/>
                <w:numId w:val="0"/>
              </w:numPr>
              <w:spacing w:before="0" w:after="0" w:line="360" w:lineRule="auto"/>
              <w:ind w:right="113"/>
              <w:jc w:val="center"/>
              <w:rPr>
                <w:rFonts w:ascii="Calibri" w:hAnsi="Calibri"/>
                <w:b w:val="0"/>
                <w:color w:val="auto"/>
                <w:sz w:val="28"/>
                <w:szCs w:val="28"/>
              </w:rPr>
            </w:pPr>
            <w:r w:rsidRPr="005646A5">
              <w:rPr>
                <w:rFonts w:ascii="Calibri" w:hAnsi="Calibri"/>
                <w:color w:val="auto"/>
                <w:sz w:val="28"/>
                <w:szCs w:val="28"/>
              </w:rPr>
              <w:t>Options</w:t>
            </w:r>
          </w:p>
        </w:tc>
        <w:tc>
          <w:tcPr>
            <w:tcW w:w="4168" w:type="dxa"/>
          </w:tcPr>
          <w:p w14:paraId="477D7B43" w14:textId="77777777" w:rsidR="00160496" w:rsidRPr="005646A5" w:rsidRDefault="00160496" w:rsidP="004A3FDA">
            <w:pPr>
              <w:pStyle w:val="OutlineNumbered1"/>
              <w:numPr>
                <w:ilvl w:val="0"/>
                <w:numId w:val="21"/>
              </w:numPr>
              <w:spacing w:after="0"/>
              <w:cnfStyle w:val="000000000000" w:firstRow="0" w:lastRow="0" w:firstColumn="0" w:lastColumn="0" w:oddVBand="0" w:evenVBand="0" w:oddHBand="0" w:evenHBand="0" w:firstRowFirstColumn="0" w:firstRowLastColumn="0" w:lastRowFirstColumn="0" w:lastRowLastColumn="0"/>
            </w:pPr>
            <w:r w:rsidRPr="005646A5">
              <w:rPr>
                <w:sz w:val="20"/>
              </w:rPr>
              <w:t>Status quo</w:t>
            </w:r>
          </w:p>
        </w:tc>
        <w:tc>
          <w:tcPr>
            <w:tcW w:w="4169" w:type="dxa"/>
          </w:tcPr>
          <w:p w14:paraId="33EEA0D1" w14:textId="77777777" w:rsidR="00160496" w:rsidRPr="005646A5" w:rsidRDefault="00160496" w:rsidP="004A3FDA">
            <w:pPr>
              <w:pStyle w:val="OutlineNumbered1"/>
              <w:numPr>
                <w:ilvl w:val="0"/>
                <w:numId w:val="26"/>
              </w:numPr>
              <w:spacing w:after="0"/>
              <w:cnfStyle w:val="000000000000" w:firstRow="0" w:lastRow="0" w:firstColumn="0" w:lastColumn="0" w:oddVBand="0" w:evenVBand="0" w:oddHBand="0" w:evenHBand="0" w:firstRowFirstColumn="0" w:firstRowLastColumn="0" w:lastRowFirstColumn="0" w:lastRowLastColumn="0"/>
            </w:pPr>
            <w:r w:rsidRPr="005646A5">
              <w:rPr>
                <w:sz w:val="20"/>
              </w:rPr>
              <w:t>Status quo</w:t>
            </w:r>
          </w:p>
        </w:tc>
      </w:tr>
      <w:tr w:rsidR="005646A5" w:rsidRPr="005646A5" w14:paraId="22BCE0AA" w14:textId="77777777" w:rsidTr="0056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vMerge/>
          </w:tcPr>
          <w:p w14:paraId="5A305A17" w14:textId="77777777" w:rsidR="00160496" w:rsidRPr="005646A5" w:rsidRDefault="00160496" w:rsidP="00160496">
            <w:pPr>
              <w:pStyle w:val="boxNumbering"/>
              <w:spacing w:before="0" w:after="0" w:line="360" w:lineRule="auto"/>
              <w:ind w:left="0"/>
              <w:jc w:val="left"/>
              <w:rPr>
                <w:rFonts w:ascii="Calibri" w:hAnsi="Calibri"/>
                <w:color w:val="auto"/>
              </w:rPr>
            </w:pPr>
          </w:p>
        </w:tc>
        <w:tc>
          <w:tcPr>
            <w:tcW w:w="4168" w:type="dxa"/>
          </w:tcPr>
          <w:p w14:paraId="0BFD1068" w14:textId="4BDF987F" w:rsidR="00160496" w:rsidRPr="005646A5" w:rsidRDefault="00160496" w:rsidP="004A3FDA">
            <w:pPr>
              <w:pStyle w:val="OutlineNumbered1"/>
              <w:numPr>
                <w:ilvl w:val="0"/>
                <w:numId w:val="26"/>
              </w:numPr>
              <w:spacing w:after="0"/>
              <w:cnfStyle w:val="000000100000" w:firstRow="0" w:lastRow="0" w:firstColumn="0" w:lastColumn="0" w:oddVBand="0" w:evenVBand="0" w:oddHBand="1" w:evenHBand="0" w:firstRowFirstColumn="0" w:firstRowLastColumn="0" w:lastRowFirstColumn="0" w:lastRowLastColumn="0"/>
            </w:pPr>
            <w:r w:rsidRPr="005646A5">
              <w:rPr>
                <w:sz w:val="20"/>
              </w:rPr>
              <w:t>Consumer, supplier and manufacturer education</w:t>
            </w:r>
            <w:r w:rsidR="00453012" w:rsidRPr="005646A5">
              <w:rPr>
                <w:sz w:val="20"/>
              </w:rPr>
              <w:t xml:space="preserve"> and </w:t>
            </w:r>
            <w:r w:rsidR="00265147">
              <w:rPr>
                <w:sz w:val="20"/>
              </w:rPr>
              <w:t>guidance</w:t>
            </w:r>
            <w:r w:rsidR="00453012" w:rsidRPr="005646A5">
              <w:rPr>
                <w:sz w:val="20"/>
              </w:rPr>
              <w:t xml:space="preserve"> campaign</w:t>
            </w:r>
          </w:p>
          <w:p w14:paraId="066B166A" w14:textId="77777777" w:rsidR="00160496" w:rsidRPr="005646A5" w:rsidRDefault="00160496" w:rsidP="004A3FDA">
            <w:pPr>
              <w:pStyle w:val="OutlineNumbered2"/>
              <w:numPr>
                <w:ilvl w:val="1"/>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whole of economy</w:t>
            </w:r>
          </w:p>
          <w:p w14:paraId="55478F90" w14:textId="77777777" w:rsidR="00160496" w:rsidRPr="005646A5" w:rsidRDefault="00160496" w:rsidP="004A3FDA">
            <w:pPr>
              <w:pStyle w:val="OutlineNumbered2"/>
              <w:numPr>
                <w:ilvl w:val="1"/>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new motor vehicles only</w:t>
            </w:r>
          </w:p>
        </w:tc>
        <w:tc>
          <w:tcPr>
            <w:tcW w:w="4169" w:type="dxa"/>
          </w:tcPr>
          <w:p w14:paraId="355B63DA" w14:textId="3AA82732" w:rsidR="00160496" w:rsidRPr="005646A5" w:rsidRDefault="00160496" w:rsidP="004A3FDA">
            <w:pPr>
              <w:pStyle w:val="OutlineNumbered1"/>
              <w:numPr>
                <w:ilvl w:val="0"/>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Supplier and manufacturer education</w:t>
            </w:r>
            <w:r w:rsidR="005900EC" w:rsidRPr="005646A5">
              <w:rPr>
                <w:sz w:val="20"/>
              </w:rPr>
              <w:t xml:space="preserve"> </w:t>
            </w:r>
            <w:r w:rsidR="00453012" w:rsidRPr="005646A5">
              <w:rPr>
                <w:sz w:val="20"/>
              </w:rPr>
              <w:t xml:space="preserve">and </w:t>
            </w:r>
            <w:r w:rsidR="00265147">
              <w:rPr>
                <w:sz w:val="20"/>
              </w:rPr>
              <w:t xml:space="preserve">guidance </w:t>
            </w:r>
            <w:r w:rsidR="005900EC" w:rsidRPr="005646A5">
              <w:rPr>
                <w:sz w:val="20"/>
              </w:rPr>
              <w:t>campaign</w:t>
            </w:r>
          </w:p>
          <w:p w14:paraId="0E126230" w14:textId="77777777" w:rsidR="00160496" w:rsidRPr="005646A5" w:rsidRDefault="00160496" w:rsidP="004A3FDA">
            <w:pPr>
              <w:pStyle w:val="OutlineNumbered2"/>
              <w:numPr>
                <w:ilvl w:val="1"/>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whole of economy</w:t>
            </w:r>
          </w:p>
          <w:p w14:paraId="724D838E" w14:textId="77777777" w:rsidR="00160496" w:rsidRPr="005646A5" w:rsidRDefault="00160496" w:rsidP="004A3FDA">
            <w:pPr>
              <w:pStyle w:val="OutlineNumbered2"/>
              <w:numPr>
                <w:ilvl w:val="1"/>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new motor vehicles only</w:t>
            </w:r>
          </w:p>
        </w:tc>
      </w:tr>
      <w:tr w:rsidR="005646A5" w:rsidRPr="005646A5" w14:paraId="780700FB" w14:textId="77777777" w:rsidTr="005646A5">
        <w:tc>
          <w:tcPr>
            <w:cnfStyle w:val="001000000000" w:firstRow="0" w:lastRow="0" w:firstColumn="1" w:lastColumn="0" w:oddVBand="0" w:evenVBand="0" w:oddHBand="0" w:evenHBand="0" w:firstRowFirstColumn="0" w:firstRowLastColumn="0" w:lastRowFirstColumn="0" w:lastRowLastColumn="0"/>
            <w:tcW w:w="735" w:type="dxa"/>
            <w:vMerge/>
          </w:tcPr>
          <w:p w14:paraId="430399D2" w14:textId="77777777" w:rsidR="00160496" w:rsidRPr="005646A5" w:rsidRDefault="00160496" w:rsidP="00160496">
            <w:pPr>
              <w:pStyle w:val="boxNumbering"/>
              <w:spacing w:before="0" w:after="0" w:line="360" w:lineRule="auto"/>
              <w:ind w:left="0"/>
              <w:jc w:val="left"/>
              <w:rPr>
                <w:rFonts w:ascii="Calibri" w:hAnsi="Calibri"/>
                <w:color w:val="auto"/>
              </w:rPr>
            </w:pPr>
          </w:p>
        </w:tc>
        <w:tc>
          <w:tcPr>
            <w:tcW w:w="4168" w:type="dxa"/>
            <w:vMerge w:val="restart"/>
          </w:tcPr>
          <w:p w14:paraId="7C30F2BD" w14:textId="77777777" w:rsidR="00160496" w:rsidRPr="005646A5" w:rsidRDefault="00160496" w:rsidP="004A3FDA">
            <w:pPr>
              <w:pStyle w:val="OutlineNumbered1"/>
              <w:numPr>
                <w:ilvl w:val="0"/>
                <w:numId w:val="27"/>
              </w:numPr>
              <w:spacing w:after="0"/>
              <w:cnfStyle w:val="000000000000" w:firstRow="0" w:lastRow="0" w:firstColumn="0" w:lastColumn="0" w:oddVBand="0" w:evenVBand="0" w:oddHBand="0" w:evenHBand="0" w:firstRowFirstColumn="0" w:firstRowLastColumn="0" w:lastRowFirstColumn="0" w:lastRowLastColumn="0"/>
            </w:pPr>
            <w:r w:rsidRPr="005646A5">
              <w:rPr>
                <w:sz w:val="20"/>
              </w:rPr>
              <w:t>Civil prohibition for failing to provide a consumer guarantee remedy:</w:t>
            </w:r>
          </w:p>
          <w:p w14:paraId="7CDD3A9C" w14:textId="77777777" w:rsidR="00160496" w:rsidRPr="005646A5" w:rsidRDefault="00160496" w:rsidP="004A3FDA">
            <w:pPr>
              <w:pStyle w:val="OutlineNumbered2"/>
              <w:numPr>
                <w:ilvl w:val="1"/>
                <w:numId w:val="23"/>
              </w:numPr>
              <w:spacing w:after="0"/>
              <w:cnfStyle w:val="000000000000" w:firstRow="0" w:lastRow="0" w:firstColumn="0" w:lastColumn="0" w:oddVBand="0" w:evenVBand="0" w:oddHBand="0" w:evenHBand="0" w:firstRowFirstColumn="0" w:firstRowLastColumn="0" w:lastRowFirstColumn="0" w:lastRowLastColumn="0"/>
            </w:pPr>
            <w:r w:rsidRPr="005646A5">
              <w:rPr>
                <w:sz w:val="20"/>
              </w:rPr>
              <w:t>whole of economy</w:t>
            </w:r>
          </w:p>
          <w:p w14:paraId="4E1E7FE9" w14:textId="77777777" w:rsidR="00160496" w:rsidRPr="005646A5" w:rsidRDefault="00160496" w:rsidP="004A3FDA">
            <w:pPr>
              <w:pStyle w:val="OutlineNumbered2"/>
              <w:numPr>
                <w:ilvl w:val="1"/>
                <w:numId w:val="23"/>
              </w:numPr>
              <w:spacing w:after="0"/>
              <w:cnfStyle w:val="000000000000" w:firstRow="0" w:lastRow="0" w:firstColumn="0" w:lastColumn="0" w:oddVBand="0" w:evenVBand="0" w:oddHBand="0" w:evenHBand="0" w:firstRowFirstColumn="0" w:firstRowLastColumn="0" w:lastRowFirstColumn="0" w:lastRowLastColumn="0"/>
            </w:pPr>
            <w:r w:rsidRPr="005646A5">
              <w:rPr>
                <w:sz w:val="20"/>
              </w:rPr>
              <w:t>new motor vehicles only</w:t>
            </w:r>
          </w:p>
        </w:tc>
        <w:tc>
          <w:tcPr>
            <w:tcW w:w="4169" w:type="dxa"/>
          </w:tcPr>
          <w:p w14:paraId="031DF6A0" w14:textId="03EF4A86" w:rsidR="00160496" w:rsidRPr="005646A5" w:rsidRDefault="00160496" w:rsidP="004A3FDA">
            <w:pPr>
              <w:pStyle w:val="OutlineNumbered1"/>
              <w:numPr>
                <w:ilvl w:val="0"/>
                <w:numId w:val="22"/>
              </w:numPr>
              <w:spacing w:after="0"/>
              <w:cnfStyle w:val="000000000000" w:firstRow="0" w:lastRow="0" w:firstColumn="0" w:lastColumn="0" w:oddVBand="0" w:evenVBand="0" w:oddHBand="0" w:evenHBand="0" w:firstRowFirstColumn="0" w:firstRowLastColumn="0" w:lastRowFirstColumn="0" w:lastRowLastColumn="0"/>
            </w:pPr>
            <w:r w:rsidRPr="005646A5">
              <w:rPr>
                <w:sz w:val="20"/>
              </w:rPr>
              <w:t>Civil prohibition for failing to indemnify suppliers where a consumer guarantee failure falls within the responsibility of a manufacturer or importer:</w:t>
            </w:r>
          </w:p>
          <w:p w14:paraId="2F8AF799" w14:textId="77777777" w:rsidR="00160496" w:rsidRPr="005646A5" w:rsidRDefault="00160496" w:rsidP="004A3FDA">
            <w:pPr>
              <w:pStyle w:val="OutlineNumbered2"/>
              <w:numPr>
                <w:ilvl w:val="1"/>
                <w:numId w:val="24"/>
              </w:numPr>
              <w:spacing w:after="0"/>
              <w:cnfStyle w:val="000000000000" w:firstRow="0" w:lastRow="0" w:firstColumn="0" w:lastColumn="0" w:oddVBand="0" w:evenVBand="0" w:oddHBand="0" w:evenHBand="0" w:firstRowFirstColumn="0" w:firstRowLastColumn="0" w:lastRowFirstColumn="0" w:lastRowLastColumn="0"/>
            </w:pPr>
            <w:r w:rsidRPr="005646A5">
              <w:rPr>
                <w:sz w:val="20"/>
              </w:rPr>
              <w:t>whole of economy</w:t>
            </w:r>
          </w:p>
          <w:p w14:paraId="01496727" w14:textId="77777777" w:rsidR="00160496" w:rsidRPr="005646A5" w:rsidRDefault="00160496" w:rsidP="004A3FDA">
            <w:pPr>
              <w:pStyle w:val="OutlineNumbered2"/>
              <w:numPr>
                <w:ilvl w:val="1"/>
                <w:numId w:val="24"/>
              </w:numPr>
              <w:spacing w:after="0"/>
              <w:cnfStyle w:val="000000000000" w:firstRow="0" w:lastRow="0" w:firstColumn="0" w:lastColumn="0" w:oddVBand="0" w:evenVBand="0" w:oddHBand="0" w:evenHBand="0" w:firstRowFirstColumn="0" w:firstRowLastColumn="0" w:lastRowFirstColumn="0" w:lastRowLastColumn="0"/>
            </w:pPr>
            <w:r w:rsidRPr="005646A5">
              <w:rPr>
                <w:sz w:val="20"/>
              </w:rPr>
              <w:t>new motor vehicles only</w:t>
            </w:r>
          </w:p>
        </w:tc>
      </w:tr>
      <w:tr w:rsidR="005646A5" w:rsidRPr="005646A5" w14:paraId="02943273" w14:textId="77777777" w:rsidTr="0056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vMerge/>
          </w:tcPr>
          <w:p w14:paraId="3FBD97C5" w14:textId="77777777" w:rsidR="00160496" w:rsidRPr="005646A5" w:rsidRDefault="00160496" w:rsidP="00160496">
            <w:pPr>
              <w:pStyle w:val="boxNumbering"/>
              <w:spacing w:before="0" w:after="0" w:line="360" w:lineRule="auto"/>
              <w:ind w:left="0"/>
              <w:jc w:val="left"/>
              <w:rPr>
                <w:rFonts w:ascii="Calibri" w:hAnsi="Calibri"/>
                <w:color w:val="auto"/>
              </w:rPr>
            </w:pPr>
          </w:p>
        </w:tc>
        <w:tc>
          <w:tcPr>
            <w:tcW w:w="4168" w:type="dxa"/>
            <w:vMerge/>
          </w:tcPr>
          <w:p w14:paraId="677425DF" w14:textId="77777777" w:rsidR="00160496" w:rsidRPr="005646A5" w:rsidRDefault="00160496" w:rsidP="00160496">
            <w:pPr>
              <w:pStyle w:val="boxNumbering"/>
              <w:numPr>
                <w:ilvl w:val="0"/>
                <w:numId w:val="0"/>
              </w:numPr>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4169" w:type="dxa"/>
          </w:tcPr>
          <w:p w14:paraId="6DDDDCE3" w14:textId="77777777" w:rsidR="00160496" w:rsidRPr="005646A5" w:rsidRDefault="00160496" w:rsidP="004A3FDA">
            <w:pPr>
              <w:pStyle w:val="OutlineNumbered1"/>
              <w:numPr>
                <w:ilvl w:val="0"/>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Civil prohibition on manufacturers or importers retaliating against suppliers for seeking to enforce their indemnification rights:</w:t>
            </w:r>
          </w:p>
          <w:p w14:paraId="736FDA7C" w14:textId="77777777" w:rsidR="00160496" w:rsidRPr="005646A5" w:rsidRDefault="00160496" w:rsidP="004A3FDA">
            <w:pPr>
              <w:pStyle w:val="OutlineNumbered2"/>
              <w:numPr>
                <w:ilvl w:val="1"/>
                <w:numId w:val="25"/>
              </w:numPr>
              <w:spacing w:after="0"/>
              <w:cnfStyle w:val="000000100000" w:firstRow="0" w:lastRow="0" w:firstColumn="0" w:lastColumn="0" w:oddVBand="0" w:evenVBand="0" w:oddHBand="1" w:evenHBand="0" w:firstRowFirstColumn="0" w:firstRowLastColumn="0" w:lastRowFirstColumn="0" w:lastRowLastColumn="0"/>
            </w:pPr>
            <w:r w:rsidRPr="005646A5">
              <w:rPr>
                <w:sz w:val="20"/>
              </w:rPr>
              <w:t>whole of economy</w:t>
            </w:r>
          </w:p>
          <w:p w14:paraId="251DC826" w14:textId="77777777" w:rsidR="00160496" w:rsidRPr="005646A5" w:rsidRDefault="00160496" w:rsidP="004A3FDA">
            <w:pPr>
              <w:pStyle w:val="OutlineNumbered2"/>
              <w:numPr>
                <w:ilvl w:val="1"/>
                <w:numId w:val="25"/>
              </w:numPr>
              <w:spacing w:after="0"/>
              <w:cnfStyle w:val="000000100000" w:firstRow="0" w:lastRow="0" w:firstColumn="0" w:lastColumn="0" w:oddVBand="0" w:evenVBand="0" w:oddHBand="1" w:evenHBand="0" w:firstRowFirstColumn="0" w:firstRowLastColumn="0" w:lastRowFirstColumn="0" w:lastRowLastColumn="0"/>
            </w:pPr>
            <w:r w:rsidRPr="005646A5">
              <w:rPr>
                <w:sz w:val="20"/>
              </w:rPr>
              <w:t>new motor vehicles only</w:t>
            </w:r>
          </w:p>
        </w:tc>
      </w:tr>
    </w:tbl>
    <w:p w14:paraId="77D72B5C" w14:textId="77777777" w:rsidR="00911557" w:rsidRDefault="00911557">
      <w:pPr>
        <w:spacing w:before="0" w:after="160" w:line="259" w:lineRule="auto"/>
      </w:pPr>
      <w:r>
        <w:br w:type="page"/>
      </w:r>
    </w:p>
    <w:p w14:paraId="4E6B031A" w14:textId="7239CA64" w:rsidR="00911557" w:rsidRDefault="00F56C77" w:rsidP="00911557">
      <w:pPr>
        <w:pStyle w:val="ChapterHeading"/>
      </w:pPr>
      <w:bookmarkStart w:id="27" w:name="_Toc89700901"/>
      <w:r>
        <w:lastRenderedPageBreak/>
        <w:t>Key questions</w:t>
      </w:r>
      <w:bookmarkEnd w:id="27"/>
    </w:p>
    <w:p w14:paraId="0D137771" w14:textId="77777777" w:rsidR="00F70877" w:rsidRPr="00BB15AF" w:rsidRDefault="00F70877" w:rsidP="0092013E">
      <w:pPr>
        <w:pStyle w:val="Heading3noTOC"/>
      </w:pPr>
      <w:bookmarkStart w:id="28" w:name="_Toc84406211"/>
      <w:bookmarkStart w:id="29" w:name="_Toc89700902"/>
      <w:r w:rsidRPr="00BB15AF">
        <w:t>PART A: Receiving remedies</w:t>
      </w:r>
      <w:bookmarkEnd w:id="28"/>
      <w:bookmarkEnd w:id="29"/>
      <w:r w:rsidRPr="00BB15AF">
        <w:t xml:space="preserve"> </w:t>
      </w:r>
    </w:p>
    <w:p w14:paraId="3FB3DF08" w14:textId="46118FE0" w:rsidR="0092013E" w:rsidRPr="002216DC" w:rsidRDefault="0092013E" w:rsidP="0092013E">
      <w:pPr>
        <w:pStyle w:val="OutlineNumbered1"/>
        <w:rPr>
          <w:szCs w:val="22"/>
        </w:rPr>
      </w:pPr>
      <w:r w:rsidRPr="002216DC">
        <w:rPr>
          <w:rFonts w:eastAsiaTheme="minorHAnsi"/>
          <w:szCs w:val="22"/>
        </w:rPr>
        <w:t xml:space="preserve">Please provide any relevant information or data you have </w:t>
      </w:r>
      <w:r w:rsidRPr="002216DC">
        <w:rPr>
          <w:szCs w:val="22"/>
        </w:rPr>
        <w:t xml:space="preserve">to help estimate the extent </w:t>
      </w:r>
      <w:r w:rsidRPr="002216DC">
        <w:rPr>
          <w:rFonts w:eastAsiaTheme="minorHAnsi"/>
          <w:szCs w:val="22"/>
        </w:rPr>
        <w:t>to which consumers are unable to access consumer guarantee remedies when entitled?</w:t>
      </w:r>
      <w:r w:rsidRPr="002216DC">
        <w:rPr>
          <w:szCs w:val="22"/>
        </w:rPr>
        <w:t xml:space="preserve"> </w:t>
      </w:r>
    </w:p>
    <w:p w14:paraId="728003FB" w14:textId="2AC94EA1" w:rsidR="0092013E" w:rsidRPr="002216DC" w:rsidRDefault="0092013E" w:rsidP="0092013E">
      <w:pPr>
        <w:pStyle w:val="OutlineNumbered1"/>
        <w:rPr>
          <w:szCs w:val="22"/>
        </w:rPr>
      </w:pPr>
      <w:r w:rsidRPr="002216DC">
        <w:rPr>
          <w:szCs w:val="22"/>
        </w:rPr>
        <w:t>Do you have any information on consumers claiming refunds for new motor vehicles? If so, please provide details on how long after purchase refunds are requested, and the prevalence of such requests.</w:t>
      </w:r>
    </w:p>
    <w:p w14:paraId="3425985D" w14:textId="07DA508E" w:rsidR="0092013E" w:rsidRPr="002216DC" w:rsidRDefault="0092013E" w:rsidP="0092013E">
      <w:pPr>
        <w:pStyle w:val="OutlineNumbered1"/>
        <w:rPr>
          <w:szCs w:val="22"/>
        </w:rPr>
      </w:pPr>
      <w:r w:rsidRPr="002216DC">
        <w:rPr>
          <w:szCs w:val="22"/>
        </w:rPr>
        <w:t>Do you have any information or data to support the view consumers are ‘gaming’ the system to obtain replacement new motor vehicles or refunds?</w:t>
      </w:r>
    </w:p>
    <w:p w14:paraId="2152FC15" w14:textId="4C7EE1F3" w:rsidR="0092013E" w:rsidRPr="002216DC" w:rsidRDefault="0092013E" w:rsidP="0092013E">
      <w:pPr>
        <w:pStyle w:val="OutlineNumbered1"/>
        <w:rPr>
          <w:szCs w:val="22"/>
        </w:rPr>
      </w:pPr>
      <w:r w:rsidRPr="002216DC">
        <w:rPr>
          <w:szCs w:val="22"/>
        </w:rPr>
        <w:t xml:space="preserve">Do you consider it appropriate for factors such as a depreciation deduction (a reduction in the value of a refund for usage) to be considered relevant in determining a refund amount? In what circumstances do you consider this would be appropriate? How would a reduction work? How should post-purchase </w:t>
      </w:r>
      <w:r w:rsidRPr="002216DC">
        <w:rPr>
          <w:i/>
          <w:iCs/>
          <w:szCs w:val="22"/>
        </w:rPr>
        <w:t>increases</w:t>
      </w:r>
      <w:r w:rsidRPr="002216DC">
        <w:rPr>
          <w:szCs w:val="22"/>
        </w:rPr>
        <w:t xml:space="preserve"> in value be factored in? Please detail reasons for your position. </w:t>
      </w:r>
    </w:p>
    <w:p w14:paraId="079D725F" w14:textId="3AAF08E9" w:rsidR="0092013E" w:rsidRPr="002216DC" w:rsidRDefault="0092013E" w:rsidP="0092013E">
      <w:pPr>
        <w:pStyle w:val="OutlineNumbered1"/>
        <w:rPr>
          <w:szCs w:val="22"/>
        </w:rPr>
      </w:pPr>
      <w:r w:rsidRPr="002216DC">
        <w:rPr>
          <w:szCs w:val="22"/>
        </w:rPr>
        <w:t xml:space="preserve">For new motor dealer representatives, please provide any relevant information or data on how providing remedies has impacted your business. </w:t>
      </w:r>
    </w:p>
    <w:p w14:paraId="3E395797" w14:textId="6277F0F8" w:rsidR="0092013E" w:rsidRPr="002216DC" w:rsidRDefault="0092013E" w:rsidP="0092013E">
      <w:pPr>
        <w:pStyle w:val="OutlineNumbered1"/>
        <w:rPr>
          <w:rFonts w:asciiTheme="minorHAnsi" w:eastAsiaTheme="minorHAnsi" w:hAnsiTheme="minorHAnsi" w:cstheme="minorBidi"/>
          <w:color w:val="000000" w:themeColor="text1"/>
          <w:szCs w:val="22"/>
          <w:lang w:eastAsia="en-US"/>
        </w:rPr>
      </w:pPr>
      <w:r w:rsidRPr="002216DC">
        <w:rPr>
          <w:rFonts w:eastAsiaTheme="minorHAnsi"/>
          <w:szCs w:val="22"/>
        </w:rPr>
        <w:t xml:space="preserve">Are there any other benefits associated with maintaining the status quo? </w:t>
      </w:r>
    </w:p>
    <w:p w14:paraId="38E214B9" w14:textId="2E643356" w:rsidR="0092013E" w:rsidRPr="002216DC" w:rsidRDefault="0092013E" w:rsidP="0092013E">
      <w:pPr>
        <w:pStyle w:val="OutlineNumbered1"/>
        <w:rPr>
          <w:szCs w:val="22"/>
        </w:rPr>
      </w:pPr>
      <w:r w:rsidRPr="002216DC">
        <w:rPr>
          <w:rFonts w:eastAsiaTheme="minorHAnsi"/>
          <w:szCs w:val="22"/>
        </w:rPr>
        <w:t xml:space="preserve">If the status quo was maintained, what other potential costs could there be to industry, consumers and businesses? </w:t>
      </w:r>
    </w:p>
    <w:p w14:paraId="5441C104" w14:textId="71E2114B" w:rsidR="0092013E" w:rsidRPr="002216DC" w:rsidRDefault="0092013E" w:rsidP="0092013E">
      <w:pPr>
        <w:pStyle w:val="OutlineNumbered1"/>
        <w:rPr>
          <w:rFonts w:asciiTheme="minorHAnsi" w:eastAsiaTheme="minorHAnsi" w:hAnsiTheme="minorHAnsi" w:cstheme="minorBidi"/>
          <w:color w:val="000000" w:themeColor="text1"/>
          <w:szCs w:val="22"/>
          <w:lang w:eastAsia="en-US"/>
        </w:rPr>
      </w:pPr>
      <w:r w:rsidRPr="002216DC">
        <w:rPr>
          <w:szCs w:val="22"/>
        </w:rPr>
        <w:t>What do you consider would be an appropriate maximum penalty for a supplier or manufacturer failing to provide a remedy for a failure to comply with a consumer guarantee when required under the ACL? Please detail reasons for your position.</w:t>
      </w:r>
      <w:r w:rsidRPr="002216DC">
        <w:rPr>
          <w:rFonts w:eastAsiaTheme="minorHAnsi"/>
          <w:szCs w:val="22"/>
        </w:rPr>
        <w:t xml:space="preserve"> </w:t>
      </w:r>
    </w:p>
    <w:p w14:paraId="79969F0D" w14:textId="08BE51A7" w:rsidR="0092013E" w:rsidRPr="002216DC" w:rsidRDefault="0092013E" w:rsidP="0092013E">
      <w:pPr>
        <w:pStyle w:val="OutlineNumbered1"/>
        <w:rPr>
          <w:szCs w:val="22"/>
        </w:rPr>
      </w:pPr>
      <w:r w:rsidRPr="002216DC">
        <w:rPr>
          <w:szCs w:val="22"/>
        </w:rPr>
        <w:t>What do you consider would be an appropriate infringement notice amount for an alleged contravention of a requirement to provide a remedy for a failure to comply with a consumer guarantee? Please detail reasons for your position.</w:t>
      </w:r>
      <w:r w:rsidRPr="002216DC">
        <w:rPr>
          <w:rFonts w:eastAsiaTheme="minorHAnsi"/>
          <w:szCs w:val="22"/>
        </w:rPr>
        <w:t xml:space="preserve"> </w:t>
      </w:r>
    </w:p>
    <w:p w14:paraId="2260A571" w14:textId="084F1A43" w:rsidR="0092013E" w:rsidRPr="002216DC" w:rsidRDefault="0092013E" w:rsidP="0092013E">
      <w:pPr>
        <w:pStyle w:val="OutlineNumbered1"/>
        <w:rPr>
          <w:rFonts w:asciiTheme="minorHAnsi" w:eastAsiaTheme="minorHAnsi" w:hAnsiTheme="minorHAnsi" w:cstheme="minorBidi"/>
          <w:szCs w:val="22"/>
          <w:lang w:eastAsia="en-US"/>
        </w:rPr>
      </w:pPr>
      <w:r w:rsidRPr="002216DC">
        <w:rPr>
          <w:szCs w:val="22"/>
        </w:rPr>
        <w:t>What would be the most effective way of implementing a civil prohibition for a failure to provide a consumer guarantee remedy?</w:t>
      </w:r>
      <w:r w:rsidR="00FE4A20">
        <w:rPr>
          <w:szCs w:val="22"/>
        </w:rPr>
        <w:t xml:space="preserve"> Should the circumstances </w:t>
      </w:r>
      <w:r w:rsidR="008F28DA">
        <w:rPr>
          <w:szCs w:val="22"/>
        </w:rPr>
        <w:t xml:space="preserve">in which a penalty applies </w:t>
      </w:r>
      <w:r w:rsidR="00FE4A20">
        <w:rPr>
          <w:szCs w:val="22"/>
        </w:rPr>
        <w:t xml:space="preserve">be limited in any way?  </w:t>
      </w:r>
    </w:p>
    <w:p w14:paraId="52663CE1" w14:textId="77777777" w:rsidR="0092013E" w:rsidRPr="002216DC" w:rsidRDefault="0092013E" w:rsidP="0092013E">
      <w:pPr>
        <w:rPr>
          <w:szCs w:val="22"/>
        </w:rPr>
      </w:pPr>
      <w:r w:rsidRPr="002216DC">
        <w:rPr>
          <w:szCs w:val="22"/>
        </w:rPr>
        <w:br w:type="page"/>
      </w:r>
    </w:p>
    <w:p w14:paraId="373A6EA9" w14:textId="77777777" w:rsidR="0092013E" w:rsidRPr="002216DC" w:rsidRDefault="0092013E" w:rsidP="0092013E">
      <w:pPr>
        <w:pStyle w:val="OutlineNumbered1"/>
        <w:numPr>
          <w:ilvl w:val="0"/>
          <w:numId w:val="0"/>
        </w:numPr>
        <w:rPr>
          <w:rFonts w:asciiTheme="minorHAnsi" w:eastAsiaTheme="minorHAnsi" w:hAnsiTheme="minorHAnsi" w:cstheme="minorBidi"/>
          <w:szCs w:val="22"/>
          <w:lang w:eastAsia="en-US"/>
        </w:rPr>
      </w:pPr>
      <w:r w:rsidRPr="002216DC">
        <w:rPr>
          <w:szCs w:val="22"/>
        </w:rPr>
        <w:lastRenderedPageBreak/>
        <w:t xml:space="preserve">For consumers: </w:t>
      </w:r>
    </w:p>
    <w:p w14:paraId="57B42AF3" w14:textId="15365B72" w:rsidR="0092013E" w:rsidRPr="002216DC" w:rsidRDefault="0092013E" w:rsidP="0092013E">
      <w:pPr>
        <w:pStyle w:val="OutlineNumbered1"/>
        <w:rPr>
          <w:szCs w:val="22"/>
        </w:rPr>
      </w:pPr>
      <w:r w:rsidRPr="002216DC">
        <w:rPr>
          <w:szCs w:val="22"/>
        </w:rPr>
        <w:t xml:space="preserve">Have you experienced issues with a trader not agreeing to provide your requested remedy for a major failure? If yes, please provide details. For example, what were the circumstances, including the types of goods or services involved, the nature of the problems experienced with the goods or services, and how the trader dealt with your issue? </w:t>
      </w:r>
    </w:p>
    <w:p w14:paraId="35E09926" w14:textId="77777777" w:rsidR="0092013E" w:rsidRPr="002216DC" w:rsidRDefault="0092013E" w:rsidP="0092013E">
      <w:pPr>
        <w:pStyle w:val="OutlineNumbered1"/>
        <w:rPr>
          <w:szCs w:val="22"/>
        </w:rPr>
      </w:pPr>
      <w:r w:rsidRPr="002216DC">
        <w:rPr>
          <w:szCs w:val="22"/>
        </w:rPr>
        <w:t xml:space="preserve">If you have experienced issues where a trader has offered to repair, rather than refund or replace a good with a major failure: </w:t>
      </w:r>
    </w:p>
    <w:p w14:paraId="04601DBA" w14:textId="615EE36D" w:rsidR="0092013E" w:rsidRPr="002216DC" w:rsidRDefault="0092013E" w:rsidP="004A3FDA">
      <w:pPr>
        <w:pStyle w:val="Bullet"/>
        <w:widowControl w:val="0"/>
        <w:numPr>
          <w:ilvl w:val="0"/>
          <w:numId w:val="16"/>
        </w:numPr>
        <w:spacing w:before="120" w:after="240" w:line="280" w:lineRule="exact"/>
        <w:rPr>
          <w:szCs w:val="22"/>
        </w:rPr>
      </w:pPr>
      <w:r w:rsidRPr="002216DC">
        <w:rPr>
          <w:szCs w:val="22"/>
        </w:rPr>
        <w:t xml:space="preserve">What direct financial costs did you incur during the period the good was being repaired (for example, visiting the retailer, taking the matter to a court or tribunal, or hiring a replacement for the good)? </w:t>
      </w:r>
    </w:p>
    <w:p w14:paraId="766110A7" w14:textId="1047C396" w:rsidR="0092013E" w:rsidRPr="002216DC" w:rsidRDefault="0092013E" w:rsidP="004A3FDA">
      <w:pPr>
        <w:pStyle w:val="Bullet"/>
        <w:widowControl w:val="0"/>
        <w:numPr>
          <w:ilvl w:val="0"/>
          <w:numId w:val="16"/>
        </w:numPr>
        <w:spacing w:before="120" w:after="240" w:line="280" w:lineRule="exact"/>
        <w:rPr>
          <w:szCs w:val="22"/>
        </w:rPr>
      </w:pPr>
      <w:r w:rsidRPr="002216DC">
        <w:rPr>
          <w:szCs w:val="22"/>
        </w:rPr>
        <w:t xml:space="preserve">How much time did you spend dropping off the good for repair, collecting the repaired good and/or negotiating with the trader? </w:t>
      </w:r>
    </w:p>
    <w:p w14:paraId="04C8DDB1" w14:textId="2C27160E" w:rsidR="0092013E" w:rsidRPr="002216DC" w:rsidRDefault="0092013E" w:rsidP="004A3FDA">
      <w:pPr>
        <w:pStyle w:val="Bullet"/>
        <w:widowControl w:val="0"/>
        <w:numPr>
          <w:ilvl w:val="0"/>
          <w:numId w:val="16"/>
        </w:numPr>
        <w:spacing w:before="120" w:after="240" w:line="280" w:lineRule="exact"/>
        <w:rPr>
          <w:szCs w:val="22"/>
        </w:rPr>
      </w:pPr>
      <w:r w:rsidRPr="002216DC">
        <w:rPr>
          <w:szCs w:val="22"/>
        </w:rPr>
        <w:t xml:space="preserve">Have you had different experiences with lower value goods (for example, toaster, kettle) than with higher value goods (for example, a white good or motor vehicles)? </w:t>
      </w:r>
    </w:p>
    <w:p w14:paraId="28ED8F11" w14:textId="77777777" w:rsidR="0092013E" w:rsidRPr="002216DC" w:rsidRDefault="0092013E" w:rsidP="0092013E">
      <w:pPr>
        <w:pStyle w:val="Bullet"/>
        <w:widowControl w:val="0"/>
        <w:numPr>
          <w:ilvl w:val="0"/>
          <w:numId w:val="0"/>
        </w:numPr>
        <w:spacing w:before="120" w:after="240" w:line="280" w:lineRule="exact"/>
        <w:ind w:left="520" w:hanging="520"/>
        <w:rPr>
          <w:szCs w:val="22"/>
        </w:rPr>
      </w:pPr>
      <w:r w:rsidRPr="002216DC">
        <w:rPr>
          <w:szCs w:val="22"/>
        </w:rPr>
        <w:t xml:space="preserve">For businesses: </w:t>
      </w:r>
    </w:p>
    <w:p w14:paraId="3C9648C2" w14:textId="7285D247" w:rsidR="0092013E" w:rsidRPr="002216DC" w:rsidRDefault="0092013E" w:rsidP="0092013E">
      <w:pPr>
        <w:pStyle w:val="OutlineNumbered1"/>
        <w:rPr>
          <w:szCs w:val="22"/>
        </w:rPr>
      </w:pPr>
      <w:r w:rsidRPr="002216DC">
        <w:rPr>
          <w:szCs w:val="22"/>
        </w:rPr>
        <w:t>Are there any unintended consequences, risks or challenges that need to be considered with creating such civil prohibitions?</w:t>
      </w:r>
    </w:p>
    <w:p w14:paraId="6C71FC30" w14:textId="77777777" w:rsidR="0092013E" w:rsidRPr="002216DC" w:rsidRDefault="0092013E" w:rsidP="0092013E">
      <w:pPr>
        <w:pStyle w:val="Bullet"/>
        <w:numPr>
          <w:ilvl w:val="0"/>
          <w:numId w:val="0"/>
        </w:numPr>
        <w:ind w:left="425" w:hanging="425"/>
        <w:rPr>
          <w:szCs w:val="22"/>
        </w:rPr>
      </w:pPr>
      <w:r w:rsidRPr="002216DC">
        <w:rPr>
          <w:szCs w:val="22"/>
        </w:rPr>
        <w:t>For everyone:</w:t>
      </w:r>
    </w:p>
    <w:p w14:paraId="6BE4A2BD" w14:textId="12E0DAAB" w:rsidR="0092013E" w:rsidRPr="002216DC" w:rsidRDefault="0092013E" w:rsidP="0092013E">
      <w:pPr>
        <w:pStyle w:val="OutlineNumbered1"/>
        <w:rPr>
          <w:szCs w:val="22"/>
        </w:rPr>
      </w:pPr>
      <w:r w:rsidRPr="002216DC">
        <w:rPr>
          <w:szCs w:val="22"/>
        </w:rPr>
        <w:t>Do you think introducing a civil prohibition would deter businesses from failing to provide the applicable consumer guarantee remedy to consumers who are entitled to one?</w:t>
      </w:r>
      <w:r w:rsidRPr="002216DC">
        <w:rPr>
          <w:rFonts w:asciiTheme="minorHAnsi" w:eastAsiaTheme="minorHAnsi" w:hAnsiTheme="minorHAnsi" w:cstheme="minorBidi"/>
          <w:szCs w:val="22"/>
          <w:lang w:eastAsia="en-US"/>
        </w:rPr>
        <w:t xml:space="preserve"> </w:t>
      </w:r>
    </w:p>
    <w:p w14:paraId="3D441CAE" w14:textId="19AD0781" w:rsidR="0092013E" w:rsidRDefault="0092013E" w:rsidP="0092013E">
      <w:pPr>
        <w:pStyle w:val="OutlineNumbered1"/>
        <w:rPr>
          <w:sz w:val="21"/>
          <w:szCs w:val="21"/>
        </w:rPr>
      </w:pPr>
      <w:r w:rsidRPr="002216DC">
        <w:rPr>
          <w:rFonts w:eastAsiaTheme="minorHAnsi"/>
          <w:szCs w:val="22"/>
        </w:rPr>
        <w:t>Please provide any relevant information or data on whether non-compliance with the consumer</w:t>
      </w:r>
      <w:r w:rsidRPr="005E28B3">
        <w:rPr>
          <w:rFonts w:eastAsiaTheme="minorHAnsi"/>
          <w:sz w:val="21"/>
          <w:szCs w:val="21"/>
        </w:rPr>
        <w:t xml:space="preserve"> guarantees is a significant problem in the </w:t>
      </w:r>
      <w:r>
        <w:rPr>
          <w:rFonts w:eastAsiaTheme="minorHAnsi"/>
          <w:sz w:val="21"/>
          <w:szCs w:val="21"/>
        </w:rPr>
        <w:t xml:space="preserve">new </w:t>
      </w:r>
      <w:r w:rsidRPr="005E28B3">
        <w:rPr>
          <w:rFonts w:eastAsiaTheme="minorHAnsi"/>
          <w:sz w:val="21"/>
          <w:szCs w:val="21"/>
        </w:rPr>
        <w:t>motor</w:t>
      </w:r>
      <w:r>
        <w:rPr>
          <w:rFonts w:eastAsiaTheme="minorHAnsi"/>
          <w:sz w:val="21"/>
          <w:szCs w:val="21"/>
        </w:rPr>
        <w:t xml:space="preserve"> </w:t>
      </w:r>
      <w:r w:rsidRPr="005E28B3">
        <w:rPr>
          <w:rFonts w:eastAsiaTheme="minorHAnsi"/>
          <w:sz w:val="21"/>
          <w:szCs w:val="21"/>
        </w:rPr>
        <w:t xml:space="preserve">vehicle sector </w:t>
      </w:r>
      <w:r>
        <w:rPr>
          <w:rFonts w:eastAsiaTheme="minorHAnsi"/>
          <w:sz w:val="21"/>
          <w:szCs w:val="21"/>
        </w:rPr>
        <w:t xml:space="preserve">compared to </w:t>
      </w:r>
      <w:r w:rsidRPr="005E28B3">
        <w:rPr>
          <w:rFonts w:eastAsiaTheme="minorHAnsi"/>
          <w:sz w:val="21"/>
          <w:szCs w:val="21"/>
        </w:rPr>
        <w:t>other sectors?</w:t>
      </w:r>
      <w:r w:rsidRPr="005E28B3">
        <w:rPr>
          <w:sz w:val="21"/>
          <w:szCs w:val="21"/>
        </w:rPr>
        <w:t xml:space="preserve"> </w:t>
      </w:r>
    </w:p>
    <w:p w14:paraId="3763E15D" w14:textId="77777777" w:rsidR="002216DC" w:rsidRDefault="002216DC">
      <w:pPr>
        <w:spacing w:before="0" w:after="160" w:line="259" w:lineRule="auto"/>
        <w:rPr>
          <w:rFonts w:cs="Arial"/>
          <w:color w:val="00818F" w:themeColor="accent5"/>
          <w:kern w:val="32"/>
          <w:sz w:val="28"/>
          <w:szCs w:val="26"/>
        </w:rPr>
      </w:pPr>
      <w:r>
        <w:br w:type="page"/>
      </w:r>
    </w:p>
    <w:p w14:paraId="4E970962" w14:textId="4E33E1A2" w:rsidR="0092013E" w:rsidRPr="00BB15AF" w:rsidRDefault="0092013E" w:rsidP="0092013E">
      <w:pPr>
        <w:pStyle w:val="Heading3"/>
      </w:pPr>
      <w:bookmarkStart w:id="30" w:name="_Toc89700903"/>
      <w:r w:rsidRPr="00BB15AF">
        <w:lastRenderedPageBreak/>
        <w:t>PAR</w:t>
      </w:r>
      <w:r>
        <w:t>T</w:t>
      </w:r>
      <w:r w:rsidRPr="00BB15AF">
        <w:t xml:space="preserve"> </w:t>
      </w:r>
      <w:r>
        <w:t>B</w:t>
      </w:r>
      <w:r w:rsidRPr="00BB15AF">
        <w:t xml:space="preserve">: </w:t>
      </w:r>
      <w:r>
        <w:t>Supplier indemnification</w:t>
      </w:r>
      <w:bookmarkEnd w:id="30"/>
      <w:r>
        <w:t xml:space="preserve"> </w:t>
      </w:r>
      <w:r w:rsidRPr="00BB15AF">
        <w:t xml:space="preserve"> </w:t>
      </w:r>
    </w:p>
    <w:p w14:paraId="03F776E3" w14:textId="1E058D7F" w:rsidR="0092013E" w:rsidRPr="002216DC" w:rsidRDefault="0092013E" w:rsidP="0092013E">
      <w:pPr>
        <w:pStyle w:val="OutlineNumbered1"/>
        <w:rPr>
          <w:szCs w:val="22"/>
        </w:rPr>
      </w:pPr>
      <w:r w:rsidRPr="002216DC">
        <w:rPr>
          <w:szCs w:val="22"/>
        </w:rPr>
        <w:t xml:space="preserve">Suppliers: to what extent are you able to enforce your indemnification rights? </w:t>
      </w:r>
    </w:p>
    <w:p w14:paraId="47988229" w14:textId="56120C5D" w:rsidR="0092013E" w:rsidRPr="002216DC" w:rsidRDefault="0092013E" w:rsidP="0092013E">
      <w:pPr>
        <w:pStyle w:val="OutlineNumbered1"/>
        <w:rPr>
          <w:szCs w:val="22"/>
        </w:rPr>
      </w:pPr>
      <w:r w:rsidRPr="002216DC">
        <w:rPr>
          <w:szCs w:val="22"/>
        </w:rPr>
        <w:t>What are the barriers to seeking indemnification?</w:t>
      </w:r>
    </w:p>
    <w:p w14:paraId="40C6325D" w14:textId="0D7133B7" w:rsidR="0092013E" w:rsidRPr="002216DC" w:rsidRDefault="0092013E" w:rsidP="0092013E">
      <w:pPr>
        <w:pStyle w:val="OutlineNumbered1"/>
        <w:rPr>
          <w:szCs w:val="22"/>
        </w:rPr>
      </w:pPr>
      <w:r w:rsidRPr="002216DC">
        <w:rPr>
          <w:szCs w:val="22"/>
        </w:rPr>
        <w:t>Has your business been subject to retribution when you have sought indemnification? If yes, what form did it take?</w:t>
      </w:r>
    </w:p>
    <w:p w14:paraId="0E8700F7" w14:textId="7D10B0FA" w:rsidR="0092013E" w:rsidRPr="002216DC" w:rsidRDefault="0092013E" w:rsidP="0092013E">
      <w:pPr>
        <w:pStyle w:val="OutlineNumbered1"/>
        <w:rPr>
          <w:szCs w:val="22"/>
        </w:rPr>
      </w:pPr>
      <w:r w:rsidRPr="002216DC">
        <w:rPr>
          <w:rFonts w:eastAsiaTheme="minorHAnsi"/>
          <w:szCs w:val="22"/>
        </w:rPr>
        <w:t xml:space="preserve">Please provide any relevant information or data </w:t>
      </w:r>
      <w:r w:rsidRPr="002216DC">
        <w:rPr>
          <w:szCs w:val="22"/>
        </w:rPr>
        <w:t xml:space="preserve">you have that quantifies the extent of manufacturers not indemnifying suppliers, or making it difficult for suppliers to obtain indemnification? </w:t>
      </w:r>
    </w:p>
    <w:p w14:paraId="6C3CBBC6" w14:textId="046267C7" w:rsidR="0092013E" w:rsidRPr="002216DC" w:rsidRDefault="0092013E" w:rsidP="0092013E">
      <w:pPr>
        <w:pStyle w:val="OutlineNumbered1"/>
        <w:rPr>
          <w:szCs w:val="22"/>
        </w:rPr>
      </w:pPr>
      <w:r w:rsidRPr="002216DC">
        <w:rPr>
          <w:szCs w:val="22"/>
        </w:rPr>
        <w:t xml:space="preserve">Please provide any relevant information or data you have that quantifies the proportion of suppliers that do not seek indemnification? </w:t>
      </w:r>
    </w:p>
    <w:p w14:paraId="70FC9609" w14:textId="37ECEFEB" w:rsidR="0092013E" w:rsidRPr="002216DC" w:rsidRDefault="0092013E" w:rsidP="0092013E">
      <w:pPr>
        <w:pStyle w:val="OutlineNumbered1"/>
        <w:rPr>
          <w:szCs w:val="22"/>
        </w:rPr>
      </w:pPr>
      <w:r w:rsidRPr="002216DC">
        <w:rPr>
          <w:szCs w:val="22"/>
        </w:rPr>
        <w:t xml:space="preserve">Please provide any relevant information or data you have that quantifies the proportion of consumer claims that suppliers refuse or do not consider due to the inability or difficulty in obtaining indemnification, or due to fear of retribution? </w:t>
      </w:r>
    </w:p>
    <w:p w14:paraId="2514C1E5" w14:textId="77777777" w:rsidR="0092013E" w:rsidRPr="002216DC" w:rsidRDefault="0092013E" w:rsidP="0092013E">
      <w:pPr>
        <w:pStyle w:val="OutlineNumbered1"/>
        <w:numPr>
          <w:ilvl w:val="0"/>
          <w:numId w:val="0"/>
        </w:numPr>
        <w:rPr>
          <w:szCs w:val="22"/>
        </w:rPr>
      </w:pPr>
      <w:r w:rsidRPr="002216DC">
        <w:rPr>
          <w:szCs w:val="22"/>
        </w:rPr>
        <w:t>For suppliers:</w:t>
      </w:r>
    </w:p>
    <w:p w14:paraId="285F33F4" w14:textId="0DC97AA4" w:rsidR="0092013E" w:rsidRPr="002216DC" w:rsidRDefault="0092013E" w:rsidP="0092013E">
      <w:pPr>
        <w:pStyle w:val="OutlineNumbered1"/>
        <w:rPr>
          <w:szCs w:val="22"/>
        </w:rPr>
      </w:pPr>
      <w:r w:rsidRPr="002216DC">
        <w:rPr>
          <w:szCs w:val="22"/>
        </w:rPr>
        <w:t xml:space="preserve">Have you sought indemnification from manufacturers under the existing law? If not, please provide details. </w:t>
      </w:r>
    </w:p>
    <w:p w14:paraId="6758CF3C" w14:textId="05728E7E" w:rsidR="0092013E" w:rsidRPr="002216DC" w:rsidRDefault="0092013E" w:rsidP="0092013E">
      <w:pPr>
        <w:pStyle w:val="OutlineNumbered1"/>
        <w:rPr>
          <w:szCs w:val="22"/>
        </w:rPr>
      </w:pPr>
      <w:r w:rsidRPr="002216DC">
        <w:rPr>
          <w:szCs w:val="22"/>
        </w:rPr>
        <w:t xml:space="preserve">Have you experienced difficulties getting indemnified from manufacturers? If so, please provide details. </w:t>
      </w:r>
    </w:p>
    <w:p w14:paraId="55132875" w14:textId="7277BC48" w:rsidR="0092013E" w:rsidRPr="002216DC" w:rsidRDefault="0092013E" w:rsidP="0092013E">
      <w:pPr>
        <w:pStyle w:val="OutlineNumbered1"/>
        <w:rPr>
          <w:szCs w:val="22"/>
        </w:rPr>
      </w:pPr>
      <w:r w:rsidRPr="002216DC">
        <w:rPr>
          <w:szCs w:val="22"/>
        </w:rPr>
        <w:t xml:space="preserve">Would your inclination to seek an indemnification change if a civil prohibition was introduced? </w:t>
      </w:r>
    </w:p>
    <w:p w14:paraId="5B03ED6A" w14:textId="71489378" w:rsidR="0092013E" w:rsidRPr="002216DC" w:rsidRDefault="0092013E" w:rsidP="0092013E">
      <w:pPr>
        <w:pStyle w:val="OutlineNumbered1"/>
        <w:rPr>
          <w:szCs w:val="22"/>
        </w:rPr>
      </w:pPr>
      <w:r w:rsidRPr="002216DC">
        <w:rPr>
          <w:szCs w:val="22"/>
        </w:rPr>
        <w:t>Would your approach to providing consumer guarantee</w:t>
      </w:r>
      <w:r w:rsidR="003E140F">
        <w:rPr>
          <w:szCs w:val="22"/>
        </w:rPr>
        <w:t xml:space="preserve"> </w:t>
      </w:r>
      <w:r w:rsidRPr="002216DC">
        <w:rPr>
          <w:szCs w:val="22"/>
        </w:rPr>
        <w:t xml:space="preserve">remedies to consumers change if a civil prohibition was introduced? If so, how? </w:t>
      </w:r>
    </w:p>
    <w:p w14:paraId="40B7DE57" w14:textId="77777777" w:rsidR="0092013E" w:rsidRPr="002216DC" w:rsidRDefault="0092013E" w:rsidP="0092013E">
      <w:pPr>
        <w:pStyle w:val="Bullet"/>
        <w:numPr>
          <w:ilvl w:val="0"/>
          <w:numId w:val="0"/>
        </w:numPr>
        <w:rPr>
          <w:szCs w:val="22"/>
        </w:rPr>
      </w:pPr>
      <w:r w:rsidRPr="002216DC">
        <w:rPr>
          <w:szCs w:val="22"/>
        </w:rPr>
        <w:t>For manufacturers:</w:t>
      </w:r>
    </w:p>
    <w:p w14:paraId="68D9797C" w14:textId="20277990" w:rsidR="0092013E" w:rsidRPr="002216DC" w:rsidRDefault="0092013E" w:rsidP="0092013E">
      <w:pPr>
        <w:pStyle w:val="OutlineNumbered1"/>
        <w:rPr>
          <w:szCs w:val="22"/>
        </w:rPr>
      </w:pPr>
      <w:r w:rsidRPr="002216DC">
        <w:rPr>
          <w:szCs w:val="22"/>
        </w:rPr>
        <w:t xml:space="preserve">How (if at all) would a civil prohibition change your response to requests for indemnification? </w:t>
      </w:r>
    </w:p>
    <w:p w14:paraId="7A1667A1" w14:textId="256F5657" w:rsidR="0092013E" w:rsidRPr="002216DC" w:rsidRDefault="0092013E" w:rsidP="0092013E">
      <w:pPr>
        <w:pStyle w:val="OutlineNumbered1"/>
        <w:rPr>
          <w:szCs w:val="22"/>
        </w:rPr>
      </w:pPr>
      <w:r w:rsidRPr="002216DC">
        <w:rPr>
          <w:szCs w:val="22"/>
        </w:rPr>
        <w:t xml:space="preserve">What other issues might a civil prohibition create? </w:t>
      </w:r>
    </w:p>
    <w:p w14:paraId="489286AC" w14:textId="77777777" w:rsidR="0092013E" w:rsidRPr="002216DC" w:rsidRDefault="0092013E" w:rsidP="0092013E">
      <w:pPr>
        <w:rPr>
          <w:rFonts w:eastAsia="Calibri"/>
          <w:szCs w:val="22"/>
        </w:rPr>
      </w:pPr>
      <w:r w:rsidRPr="002216DC">
        <w:rPr>
          <w:rFonts w:eastAsia="Calibri"/>
          <w:szCs w:val="22"/>
        </w:rPr>
        <w:t>For retailers:</w:t>
      </w:r>
    </w:p>
    <w:p w14:paraId="38453FA3" w14:textId="3B5016F5" w:rsidR="0092013E" w:rsidRPr="002216DC" w:rsidRDefault="0092013E" w:rsidP="0092013E">
      <w:pPr>
        <w:pStyle w:val="OutlineNumbered1"/>
        <w:rPr>
          <w:szCs w:val="22"/>
        </w:rPr>
      </w:pPr>
      <w:r w:rsidRPr="002216DC">
        <w:rPr>
          <w:szCs w:val="22"/>
        </w:rPr>
        <w:t xml:space="preserve">Have you experienced retribution from a manufacturer after seeking indemnification? If so, please provide details. </w:t>
      </w:r>
    </w:p>
    <w:p w14:paraId="53A7312C" w14:textId="0A8D7632" w:rsidR="0092013E" w:rsidRPr="002216DC" w:rsidRDefault="0092013E" w:rsidP="0092013E">
      <w:pPr>
        <w:pStyle w:val="OutlineNumbered1"/>
        <w:rPr>
          <w:szCs w:val="22"/>
        </w:rPr>
      </w:pPr>
      <w:r w:rsidRPr="002216DC">
        <w:rPr>
          <w:szCs w:val="22"/>
        </w:rPr>
        <w:t>Would your inclination to seek indemnification change if a civil prohibition on retaliation was introduced?</w:t>
      </w:r>
    </w:p>
    <w:p w14:paraId="50164079" w14:textId="6FFC10B0" w:rsidR="0092013E" w:rsidRPr="002216DC" w:rsidRDefault="0092013E" w:rsidP="0092013E">
      <w:pPr>
        <w:pStyle w:val="OutlineNumbered1"/>
        <w:rPr>
          <w:szCs w:val="22"/>
        </w:rPr>
      </w:pPr>
      <w:r w:rsidRPr="002216DC">
        <w:rPr>
          <w:szCs w:val="22"/>
        </w:rPr>
        <w:lastRenderedPageBreak/>
        <w:t xml:space="preserve">Would your approach to providing consumer guarantees remedies to consumers change if a civil prohibition on retribution was introduced? If so, how? </w:t>
      </w:r>
    </w:p>
    <w:p w14:paraId="00B4337C" w14:textId="77777777" w:rsidR="0092013E" w:rsidRPr="002216DC" w:rsidRDefault="0092013E" w:rsidP="0092013E">
      <w:pPr>
        <w:pStyle w:val="Bullet"/>
        <w:numPr>
          <w:ilvl w:val="0"/>
          <w:numId w:val="0"/>
        </w:numPr>
        <w:rPr>
          <w:szCs w:val="22"/>
        </w:rPr>
      </w:pPr>
      <w:r w:rsidRPr="002216DC">
        <w:rPr>
          <w:szCs w:val="22"/>
        </w:rPr>
        <w:t>For manufacturers:</w:t>
      </w:r>
    </w:p>
    <w:p w14:paraId="1C27C124" w14:textId="34191671" w:rsidR="0092013E" w:rsidRPr="002216DC" w:rsidRDefault="0092013E" w:rsidP="0092013E">
      <w:pPr>
        <w:pStyle w:val="OutlineNumbered1"/>
        <w:rPr>
          <w:szCs w:val="22"/>
        </w:rPr>
      </w:pPr>
      <w:r w:rsidRPr="002216DC">
        <w:rPr>
          <w:szCs w:val="22"/>
        </w:rPr>
        <w:t xml:space="preserve">How (if at all) would a civil prohibition on retribution change your response to requests for indemnification? </w:t>
      </w:r>
    </w:p>
    <w:p w14:paraId="3C29322F" w14:textId="77777777" w:rsidR="0092013E" w:rsidRPr="002216DC" w:rsidRDefault="0092013E" w:rsidP="0092013E">
      <w:pPr>
        <w:pStyle w:val="OutlineNumbered1"/>
        <w:numPr>
          <w:ilvl w:val="0"/>
          <w:numId w:val="0"/>
        </w:numPr>
        <w:rPr>
          <w:szCs w:val="22"/>
        </w:rPr>
      </w:pPr>
      <w:r w:rsidRPr="002216DC">
        <w:rPr>
          <w:szCs w:val="22"/>
        </w:rPr>
        <w:t xml:space="preserve">For everyone: </w:t>
      </w:r>
    </w:p>
    <w:p w14:paraId="13770B95" w14:textId="77777777" w:rsidR="0092013E" w:rsidRPr="002216DC" w:rsidRDefault="0092013E" w:rsidP="0092013E">
      <w:pPr>
        <w:pStyle w:val="OutlineNumbered1"/>
        <w:rPr>
          <w:szCs w:val="22"/>
        </w:rPr>
      </w:pPr>
      <w:r w:rsidRPr="002216DC">
        <w:rPr>
          <w:szCs w:val="22"/>
        </w:rPr>
        <w:t>If a civil prohibition was created to address manufacturer retribution:</w:t>
      </w:r>
    </w:p>
    <w:p w14:paraId="59040E79" w14:textId="2B9428E3" w:rsidR="0092013E" w:rsidRPr="002216DC" w:rsidRDefault="0092013E" w:rsidP="004A3FDA">
      <w:pPr>
        <w:pStyle w:val="Bullet"/>
        <w:widowControl w:val="0"/>
        <w:numPr>
          <w:ilvl w:val="0"/>
          <w:numId w:val="19"/>
        </w:numPr>
        <w:spacing w:before="120" w:after="240" w:line="280" w:lineRule="exact"/>
        <w:rPr>
          <w:szCs w:val="22"/>
        </w:rPr>
      </w:pPr>
      <w:r w:rsidRPr="002216DC">
        <w:rPr>
          <w:szCs w:val="22"/>
        </w:rPr>
        <w:t>what form should it take? (</w:t>
      </w:r>
      <w:r w:rsidR="00FA71BB" w:rsidRPr="002216DC">
        <w:rPr>
          <w:szCs w:val="22"/>
        </w:rPr>
        <w:t>e.g.</w:t>
      </w:r>
      <w:r w:rsidR="003E140F">
        <w:rPr>
          <w:szCs w:val="22"/>
        </w:rPr>
        <w:t xml:space="preserve"> </w:t>
      </w:r>
      <w:r w:rsidRPr="002216DC">
        <w:rPr>
          <w:szCs w:val="22"/>
        </w:rPr>
        <w:t xml:space="preserve">effective models in other laws) </w:t>
      </w:r>
    </w:p>
    <w:p w14:paraId="0BAC0C68" w14:textId="34AA0CA5" w:rsidR="0092013E" w:rsidRPr="002216DC" w:rsidRDefault="0092013E" w:rsidP="004A3FDA">
      <w:pPr>
        <w:pStyle w:val="Bullet"/>
        <w:widowControl w:val="0"/>
        <w:numPr>
          <w:ilvl w:val="0"/>
          <w:numId w:val="19"/>
        </w:numPr>
        <w:spacing w:before="120" w:after="240" w:line="280" w:lineRule="exact"/>
        <w:rPr>
          <w:szCs w:val="22"/>
        </w:rPr>
      </w:pPr>
      <w:r w:rsidRPr="002216DC">
        <w:rPr>
          <w:szCs w:val="22"/>
        </w:rPr>
        <w:t xml:space="preserve">should presumptive tests apply? If so, what presumptions should be included? </w:t>
      </w:r>
    </w:p>
    <w:p w14:paraId="62649A17" w14:textId="7AB3D6C0" w:rsidR="0092013E" w:rsidRPr="002216DC" w:rsidRDefault="0092013E" w:rsidP="0092013E">
      <w:pPr>
        <w:pStyle w:val="OutlineNumbered1"/>
        <w:rPr>
          <w:szCs w:val="22"/>
        </w:rPr>
      </w:pPr>
      <w:r w:rsidRPr="002216DC">
        <w:rPr>
          <w:szCs w:val="22"/>
        </w:rPr>
        <w:t xml:space="preserve">What penalties or sanctions should be available to deter or compensate for retribution? </w:t>
      </w:r>
    </w:p>
    <w:p w14:paraId="01524AE5" w14:textId="2E6294C2" w:rsidR="00160496" w:rsidRPr="00B47E8E" w:rsidRDefault="00160496" w:rsidP="00160496"/>
    <w:bookmarkEnd w:id="10"/>
    <w:p w14:paraId="1BF09858" w14:textId="4EA85A6E" w:rsidR="000E0B74" w:rsidRDefault="00E10D39">
      <w:pPr>
        <w:spacing w:before="0" w:after="160" w:line="259" w:lineRule="auto"/>
      </w:pPr>
      <w:r>
        <w:br w:type="page"/>
      </w:r>
    </w:p>
    <w:p w14:paraId="78113B36" w14:textId="4AAD4098" w:rsidR="000E0B74" w:rsidRDefault="000E0B74" w:rsidP="002616A3">
      <w:pPr>
        <w:pStyle w:val="ChapterHeading"/>
      </w:pPr>
      <w:bookmarkStart w:id="31" w:name="_Toc306887371"/>
      <w:bookmarkStart w:id="32" w:name="_Toc432064635"/>
      <w:bookmarkStart w:id="33" w:name="_Toc69381040"/>
      <w:bookmarkStart w:id="34" w:name="_Toc69395060"/>
      <w:bookmarkStart w:id="35" w:name="_Toc89700904"/>
      <w:r>
        <w:lastRenderedPageBreak/>
        <w:t>Background</w:t>
      </w:r>
      <w:bookmarkEnd w:id="31"/>
      <w:bookmarkEnd w:id="32"/>
      <w:bookmarkEnd w:id="33"/>
      <w:bookmarkEnd w:id="34"/>
      <w:bookmarkEnd w:id="35"/>
    </w:p>
    <w:p w14:paraId="2FDBAD97" w14:textId="77777777" w:rsidR="00D27ABC" w:rsidRPr="00532548" w:rsidRDefault="00D27ABC" w:rsidP="002616A3">
      <w:pPr>
        <w:pStyle w:val="Heading2"/>
      </w:pPr>
      <w:bookmarkStart w:id="36" w:name="_Toc65665773"/>
      <w:bookmarkStart w:id="37" w:name="_Toc65666001"/>
      <w:bookmarkStart w:id="38" w:name="_Toc65829385"/>
      <w:bookmarkStart w:id="39" w:name="_Toc69381041"/>
      <w:bookmarkStart w:id="40" w:name="_Toc69395061"/>
      <w:bookmarkStart w:id="41" w:name="_Toc89700905"/>
      <w:r w:rsidRPr="00532548">
        <w:t>The Consumer Guarantees</w:t>
      </w:r>
      <w:bookmarkEnd w:id="36"/>
      <w:bookmarkEnd w:id="37"/>
      <w:bookmarkEnd w:id="38"/>
      <w:bookmarkEnd w:id="39"/>
      <w:bookmarkEnd w:id="40"/>
      <w:bookmarkEnd w:id="41"/>
    </w:p>
    <w:p w14:paraId="6BA88293" w14:textId="46391B71" w:rsidR="00154634" w:rsidRDefault="00D27ABC" w:rsidP="00D27ABC">
      <w:r w:rsidRPr="008E3882">
        <w:t xml:space="preserve">The </w:t>
      </w:r>
      <w:r>
        <w:t>ACL</w:t>
      </w:r>
      <w:r w:rsidR="006172BE">
        <w:t xml:space="preserve"> </w:t>
      </w:r>
      <w:r>
        <w:rPr>
          <w:rStyle w:val="FootnoteReference"/>
        </w:rPr>
        <w:footnoteReference w:id="5"/>
      </w:r>
      <w:r>
        <w:t xml:space="preserve"> aims to</w:t>
      </w:r>
      <w:r w:rsidR="00154634">
        <w:t xml:space="preserve">: </w:t>
      </w:r>
    </w:p>
    <w:p w14:paraId="2DC6D018" w14:textId="5A968FA7" w:rsidR="00154634" w:rsidRDefault="00D27ABC" w:rsidP="004A3FDA">
      <w:pPr>
        <w:pStyle w:val="ListParagraph"/>
        <w:numPr>
          <w:ilvl w:val="0"/>
          <w:numId w:val="36"/>
        </w:numPr>
      </w:pPr>
      <w:r w:rsidRPr="008E3882">
        <w:t>improve consumer wellbeing through empowerment and protection</w:t>
      </w:r>
    </w:p>
    <w:p w14:paraId="53F49286" w14:textId="17DE9964" w:rsidR="00154634" w:rsidRDefault="00D27ABC" w:rsidP="004A3FDA">
      <w:pPr>
        <w:pStyle w:val="ListParagraph"/>
        <w:numPr>
          <w:ilvl w:val="0"/>
          <w:numId w:val="36"/>
        </w:numPr>
      </w:pPr>
      <w:r w:rsidRPr="008E3882">
        <w:t xml:space="preserve">foster effective competition </w:t>
      </w:r>
    </w:p>
    <w:p w14:paraId="199F3F64" w14:textId="1FA339FE" w:rsidR="00D27ABC" w:rsidRDefault="00D27ABC" w:rsidP="004A3FDA">
      <w:pPr>
        <w:pStyle w:val="ListParagraph"/>
        <w:numPr>
          <w:ilvl w:val="0"/>
          <w:numId w:val="36"/>
        </w:numPr>
      </w:pPr>
      <w:r w:rsidRPr="008E3882">
        <w:t>enable the confident participation of consumers in markets in which both consumers and suppliers trade fairly.</w:t>
      </w:r>
    </w:p>
    <w:p w14:paraId="0D5591B1" w14:textId="3D8E9B57" w:rsidR="007661B0" w:rsidRDefault="00D27ABC" w:rsidP="007661B0">
      <w:r>
        <w:t xml:space="preserve">Consistent with these objectives, the ACL includes automatic legal rights relating to certain goods and services to </w:t>
      </w:r>
      <w:r w:rsidR="0048366F">
        <w:t>ensure</w:t>
      </w:r>
      <w:r>
        <w:t xml:space="preserve"> consumers get what they pay for. These rights are called consumer guarantees.</w:t>
      </w:r>
      <w:r w:rsidR="004720CA">
        <w:t xml:space="preserve"> </w:t>
      </w:r>
      <w:r>
        <w:rPr>
          <w:rStyle w:val="FootnoteReference"/>
        </w:rPr>
        <w:footnoteReference w:id="6"/>
      </w:r>
      <w:r>
        <w:t xml:space="preserve"> Where consumers have confidence in what they buy and any problems they encounter will be efficiently addressed, this can increase overall demand for goods and services.</w:t>
      </w:r>
      <w:r w:rsidR="007661B0" w:rsidRPr="007661B0">
        <w:t xml:space="preserve"> </w:t>
      </w:r>
    </w:p>
    <w:p w14:paraId="16F33236" w14:textId="58E50EAB" w:rsidR="007661B0" w:rsidRPr="00673E08" w:rsidRDefault="007661B0" w:rsidP="007661B0">
      <w:pPr>
        <w:rPr>
          <w:rFonts w:ascii="Times New Roman" w:eastAsiaTheme="minorHAnsi" w:hAnsi="Times New Roman"/>
          <w:sz w:val="24"/>
          <w:szCs w:val="24"/>
        </w:rPr>
      </w:pPr>
      <w:r>
        <w:t>The protections provided by the consumer guarantees are available to ‘</w:t>
      </w:r>
      <w:r w:rsidR="00316984">
        <w:t>consumers</w:t>
      </w:r>
      <w:r>
        <w:t>.</w:t>
      </w:r>
      <w:r w:rsidR="00316984">
        <w:t>’</w:t>
      </w:r>
      <w:r>
        <w:t xml:space="preserve"> </w:t>
      </w:r>
      <w:r>
        <w:rPr>
          <w:rStyle w:val="FootnoteReference"/>
        </w:rPr>
        <w:footnoteReference w:id="7"/>
      </w:r>
      <w:r>
        <w:t xml:space="preserve"> A purchaser will be a consumer for the purpose of the transaction if they purchase goods and services for personal, </w:t>
      </w:r>
      <w:r w:rsidR="00FA71BB">
        <w:t>domestic,</w:t>
      </w:r>
      <w:r>
        <w:t xml:space="preserve"> or household use.</w:t>
      </w:r>
      <w:r>
        <w:rPr>
          <w:rStyle w:val="FootnoteReference"/>
        </w:rPr>
        <w:footnoteReference w:id="8"/>
      </w:r>
      <w:r>
        <w:rPr>
          <w:rFonts w:ascii="Times New Roman" w:eastAsiaTheme="minorHAnsi" w:hAnsi="Times New Roman"/>
          <w:sz w:val="24"/>
          <w:szCs w:val="24"/>
        </w:rPr>
        <w:t xml:space="preserve"> </w:t>
      </w:r>
      <w:r>
        <w:t>In other instances, individuals or businesses will be considered a consumer for the purposes of the transaction because their purchases do not exceed a threshold of $100,000 (subject to other requirements).</w:t>
      </w:r>
      <w:r>
        <w:rPr>
          <w:rStyle w:val="FootnoteReference"/>
        </w:rPr>
        <w:footnoteReference w:id="9"/>
      </w:r>
    </w:p>
    <w:p w14:paraId="43FB9543" w14:textId="77777777" w:rsidR="00D27ABC" w:rsidRDefault="00D27ABC" w:rsidP="002616A3">
      <w:pPr>
        <w:pStyle w:val="Heading3"/>
      </w:pPr>
      <w:bookmarkStart w:id="42" w:name="_Toc65665774"/>
      <w:bookmarkStart w:id="43" w:name="_Toc65666002"/>
      <w:bookmarkStart w:id="44" w:name="_Toc65829386"/>
      <w:bookmarkStart w:id="45" w:name="_Toc69381042"/>
      <w:bookmarkStart w:id="46" w:name="_Toc69395062"/>
      <w:bookmarkStart w:id="47" w:name="_Toc89700906"/>
      <w:r>
        <w:t>Goods and services must meet certain standards</w:t>
      </w:r>
      <w:bookmarkEnd w:id="42"/>
      <w:bookmarkEnd w:id="43"/>
      <w:bookmarkEnd w:id="44"/>
      <w:bookmarkEnd w:id="45"/>
      <w:bookmarkEnd w:id="46"/>
      <w:bookmarkEnd w:id="47"/>
    </w:p>
    <w:p w14:paraId="259A0721" w14:textId="2BAEF216" w:rsidR="00D27ABC" w:rsidRDefault="00D27ABC" w:rsidP="004720CA">
      <w:r>
        <w:t xml:space="preserve">For goods, </w:t>
      </w:r>
      <w:r w:rsidR="0048366F">
        <w:t xml:space="preserve">the consumer guarantees </w:t>
      </w:r>
      <w:r w:rsidR="00EF7206">
        <w:t xml:space="preserve">require </w:t>
      </w:r>
      <w:r>
        <w:t>that products:</w:t>
      </w:r>
    </w:p>
    <w:p w14:paraId="21104406" w14:textId="51AF54EA" w:rsidR="00D27ABC" w:rsidRPr="004720CA" w:rsidRDefault="00D27ABC" w:rsidP="002616A3">
      <w:pPr>
        <w:pStyle w:val="Bullet"/>
      </w:pPr>
      <w:r w:rsidRPr="004720CA">
        <w:t>are of acceptable quality, which includes they are fit for all the purposes for which that kind of good is commonly supplied; acceptable in appearance and finish; free from defect; safe; and durable (allowing for normal wear and tear over time)</w:t>
      </w:r>
    </w:p>
    <w:p w14:paraId="080E5527" w14:textId="4E5968B4" w:rsidR="00D27ABC" w:rsidRPr="00BF4D96" w:rsidRDefault="00D27ABC" w:rsidP="002616A3">
      <w:pPr>
        <w:pStyle w:val="Bullet"/>
      </w:pPr>
      <w:r w:rsidRPr="00BF4D96">
        <w:t>match descriptions made by the salesperson, on packaging and labels, and in promotions or advertising</w:t>
      </w:r>
    </w:p>
    <w:p w14:paraId="28E56AC6" w14:textId="5712971C" w:rsidR="00D27ABC" w:rsidRPr="00D20EF2" w:rsidRDefault="00D27ABC" w:rsidP="002616A3">
      <w:pPr>
        <w:pStyle w:val="Bullet"/>
      </w:pPr>
      <w:r w:rsidRPr="00D20EF2">
        <w:t>match any demonstration model or sample on which the consumer made their decision</w:t>
      </w:r>
    </w:p>
    <w:p w14:paraId="043DEADA" w14:textId="7F3BDF37" w:rsidR="00D27ABC" w:rsidRPr="00D20EF2" w:rsidRDefault="00D27ABC" w:rsidP="002616A3">
      <w:pPr>
        <w:pStyle w:val="Bullet"/>
      </w:pPr>
      <w:r w:rsidRPr="00D20EF2">
        <w:lastRenderedPageBreak/>
        <w:t>are fit for the purpose the supplier told the consumer it would be fit for</w:t>
      </w:r>
      <w:r w:rsidR="0048366F" w:rsidRPr="00D20EF2">
        <w:t>,</w:t>
      </w:r>
      <w:r w:rsidRPr="00D20EF2">
        <w:t xml:space="preserve"> and for any purpose that the consumer made known to the supplier before purchasing</w:t>
      </w:r>
    </w:p>
    <w:p w14:paraId="56675428" w14:textId="36EF3D36" w:rsidR="00D27ABC" w:rsidRPr="00D20EF2" w:rsidRDefault="00D27ABC" w:rsidP="002616A3">
      <w:pPr>
        <w:pStyle w:val="Bullet"/>
      </w:pPr>
      <w:r w:rsidRPr="00D20EF2">
        <w:t>come with full title and ownership</w:t>
      </w:r>
    </w:p>
    <w:p w14:paraId="55146DC1" w14:textId="130C20C1" w:rsidR="00D27ABC" w:rsidRPr="009515FC" w:rsidRDefault="00D27ABC" w:rsidP="002616A3">
      <w:pPr>
        <w:pStyle w:val="Bullet"/>
      </w:pPr>
      <w:r w:rsidRPr="009515FC">
        <w:t>not carry any hidden debts or extra charges</w:t>
      </w:r>
    </w:p>
    <w:p w14:paraId="0BC35C2F" w14:textId="53514150" w:rsidR="00D27ABC" w:rsidRPr="009515FC" w:rsidRDefault="00D27ABC" w:rsidP="002616A3">
      <w:pPr>
        <w:pStyle w:val="Bullet"/>
      </w:pPr>
      <w:r w:rsidRPr="009515FC">
        <w:t>come with undisturbed possession, so no one has a right to take the goods away or prevent the consumer from using them</w:t>
      </w:r>
    </w:p>
    <w:p w14:paraId="60B42D19" w14:textId="6F43728D" w:rsidR="00D27ABC" w:rsidRPr="009515FC" w:rsidRDefault="00D27ABC" w:rsidP="002616A3">
      <w:pPr>
        <w:pStyle w:val="Bullet"/>
      </w:pPr>
      <w:r w:rsidRPr="009515FC">
        <w:t xml:space="preserve">meet any extra promises (warranties) made about performance, condition and quality, like </w:t>
      </w:r>
      <w:r w:rsidR="00E02497" w:rsidRPr="009515FC">
        <w:t>lifetime</w:t>
      </w:r>
      <w:r w:rsidRPr="009515FC">
        <w:t xml:space="preserve"> </w:t>
      </w:r>
      <w:r w:rsidR="00E02497" w:rsidRPr="009515FC">
        <w:t>guarantees,</w:t>
      </w:r>
      <w:r w:rsidRPr="009515FC">
        <w:t xml:space="preserve"> and money back offers</w:t>
      </w:r>
    </w:p>
    <w:p w14:paraId="7B32F07E" w14:textId="77777777" w:rsidR="00D27ABC" w:rsidRPr="009515FC" w:rsidRDefault="00D27ABC" w:rsidP="002616A3">
      <w:pPr>
        <w:pStyle w:val="Bullet"/>
      </w:pPr>
      <w:r w:rsidRPr="009515FC">
        <w:t>have spare parts and repair facilities available for a reasonable time after purchase (unless the consumer is told otherwise prior to purchase).</w:t>
      </w:r>
    </w:p>
    <w:p w14:paraId="6C411EDC" w14:textId="57381F70" w:rsidR="00D27ABC" w:rsidRDefault="00D27ABC" w:rsidP="00D27ABC">
      <w:pPr>
        <w:pStyle w:val="Bullet"/>
        <w:numPr>
          <w:ilvl w:val="0"/>
          <w:numId w:val="0"/>
        </w:numPr>
      </w:pPr>
      <w:r>
        <w:t>For services, the consumer guarantees require the service:</w:t>
      </w:r>
    </w:p>
    <w:p w14:paraId="1949DF53" w14:textId="55125376" w:rsidR="00D27ABC" w:rsidRPr="00D20EF2" w:rsidRDefault="00D27ABC" w:rsidP="002616A3">
      <w:pPr>
        <w:pStyle w:val="Bullet"/>
      </w:pPr>
      <w:r w:rsidRPr="00D20EF2">
        <w:t>is provided with due care and skill</w:t>
      </w:r>
    </w:p>
    <w:p w14:paraId="4209414E" w14:textId="39C1A637" w:rsidR="00D27ABC" w:rsidRPr="00D20EF2" w:rsidRDefault="00D27ABC" w:rsidP="002616A3">
      <w:pPr>
        <w:pStyle w:val="Bullet"/>
      </w:pPr>
      <w:r w:rsidRPr="00D20EF2">
        <w:t>is fit for its purpose (or any purpose the consumer and supplier had agreed to) and</w:t>
      </w:r>
    </w:p>
    <w:p w14:paraId="781B121E" w14:textId="77777777" w:rsidR="00D27ABC" w:rsidRPr="009515FC" w:rsidRDefault="00D27ABC" w:rsidP="002616A3">
      <w:pPr>
        <w:pStyle w:val="Bullet"/>
      </w:pPr>
      <w:r w:rsidRPr="009515FC">
        <w:t>is delivered within a reasonable time (when there is no agreed time or method for determining when the service will be delivered).</w:t>
      </w:r>
    </w:p>
    <w:p w14:paraId="13DD7F1A" w14:textId="77777777" w:rsidR="00D27ABC" w:rsidRDefault="00D27ABC" w:rsidP="002616A3">
      <w:pPr>
        <w:pStyle w:val="Heading3"/>
      </w:pPr>
      <w:bookmarkStart w:id="48" w:name="_Toc65665775"/>
      <w:bookmarkStart w:id="49" w:name="_Toc65666003"/>
      <w:bookmarkStart w:id="50" w:name="_Toc65829387"/>
      <w:bookmarkStart w:id="51" w:name="_Toc69381043"/>
      <w:bookmarkStart w:id="52" w:name="_Toc69395063"/>
      <w:bookmarkStart w:id="53" w:name="_Toc89700907"/>
      <w:r>
        <w:t>When a good or service fails to comply with a consumer guarantee, consumers have the right to a remedy</w:t>
      </w:r>
      <w:bookmarkEnd w:id="48"/>
      <w:bookmarkEnd w:id="49"/>
      <w:bookmarkEnd w:id="50"/>
      <w:bookmarkEnd w:id="51"/>
      <w:bookmarkEnd w:id="52"/>
      <w:bookmarkEnd w:id="53"/>
    </w:p>
    <w:p w14:paraId="687B3C3E" w14:textId="77777777" w:rsidR="00E87EE4" w:rsidRDefault="00D27ABC" w:rsidP="0079292C">
      <w:r w:rsidRPr="008F227B">
        <w:t xml:space="preserve">If a good </w:t>
      </w:r>
      <w:r>
        <w:t xml:space="preserve">or service </w:t>
      </w:r>
      <w:r w:rsidRPr="008F227B">
        <w:t xml:space="preserve">does not </w:t>
      </w:r>
      <w:r>
        <w:t xml:space="preserve">comply with one of </w:t>
      </w:r>
      <w:r w:rsidRPr="008F227B">
        <w:t>these standards</w:t>
      </w:r>
      <w:r>
        <w:t xml:space="preserve"> (</w:t>
      </w:r>
      <w:r w:rsidR="004720CA">
        <w:t xml:space="preserve">which is known as </w:t>
      </w:r>
      <w:r>
        <w:t xml:space="preserve">a ‘failure’) </w:t>
      </w:r>
      <w:r w:rsidR="00193DC3">
        <w:t xml:space="preserve">then </w:t>
      </w:r>
      <w:r w:rsidR="00CB2842">
        <w:t>the</w:t>
      </w:r>
      <w:r w:rsidR="00193DC3">
        <w:t xml:space="preserve"> consumer </w:t>
      </w:r>
      <w:r w:rsidR="00276167">
        <w:t>may take action against the supplier of the goods or services to remedy the failure.</w:t>
      </w:r>
      <w:r w:rsidR="0079292C">
        <w:rPr>
          <w:rStyle w:val="FootnoteReference"/>
        </w:rPr>
        <w:footnoteReference w:id="10"/>
      </w:r>
      <w:r w:rsidR="00276167">
        <w:t xml:space="preserve"> </w:t>
      </w:r>
      <w:r w:rsidR="00193DC3">
        <w:t xml:space="preserve">While the </w:t>
      </w:r>
      <w:r w:rsidR="005A13B9">
        <w:t xml:space="preserve">obligation is on the </w:t>
      </w:r>
      <w:r w:rsidR="005F5A02">
        <w:t xml:space="preserve">trader </w:t>
      </w:r>
      <w:r w:rsidR="005A13B9">
        <w:t xml:space="preserve">to provide the remedy, the </w:t>
      </w:r>
      <w:r w:rsidR="00193DC3">
        <w:t xml:space="preserve">ACL </w:t>
      </w:r>
      <w:r w:rsidR="005A13B9">
        <w:t xml:space="preserve">does not </w:t>
      </w:r>
      <w:r w:rsidR="00380519">
        <w:t xml:space="preserve">currently </w:t>
      </w:r>
      <w:r w:rsidR="005A13B9">
        <w:t>provide any disincentive if they fail to do so.</w:t>
      </w:r>
      <w:r w:rsidR="00CB2842">
        <w:t xml:space="preserve"> </w:t>
      </w:r>
      <w:r w:rsidR="00193DC3">
        <w:rPr>
          <w:rStyle w:val="FootnoteReference"/>
        </w:rPr>
        <w:footnoteReference w:id="11"/>
      </w:r>
      <w:r w:rsidR="005A13B9">
        <w:t xml:space="preserve"> </w:t>
      </w:r>
      <w:r w:rsidR="00CB2842">
        <w:t>The ACL does</w:t>
      </w:r>
      <w:r w:rsidR="0079292C">
        <w:t>,</w:t>
      </w:r>
      <w:r w:rsidR="00CB2842">
        <w:t xml:space="preserve"> however</w:t>
      </w:r>
      <w:r w:rsidR="0079292C">
        <w:t>,</w:t>
      </w:r>
      <w:r w:rsidR="00CB2842">
        <w:t xml:space="preserve"> provide that </w:t>
      </w:r>
      <w:r>
        <w:t xml:space="preserve">a consumer </w:t>
      </w:r>
      <w:r w:rsidR="00CB2842">
        <w:t xml:space="preserve">can seek to enforce their right for a remedy through </w:t>
      </w:r>
      <w:r>
        <w:t>a court or tribunal.</w:t>
      </w:r>
      <w:r w:rsidR="0079292C" w:rsidRPr="0079292C">
        <w:t xml:space="preserve"> </w:t>
      </w:r>
    </w:p>
    <w:p w14:paraId="7F3A8FE9" w14:textId="2AC0B939" w:rsidR="0079292C" w:rsidRDefault="00E87EE4" w:rsidP="0079292C">
      <w:r>
        <w:t xml:space="preserve">The ACL </w:t>
      </w:r>
      <w:r w:rsidR="0079292C">
        <w:t>also currently provides that a consumer may</w:t>
      </w:r>
      <w:r>
        <w:t xml:space="preserve"> </w:t>
      </w:r>
      <w:r w:rsidR="0079292C">
        <w:t xml:space="preserve">recover damages for any loss or damage suffered because of </w:t>
      </w:r>
      <w:r>
        <w:t>a</w:t>
      </w:r>
      <w:r w:rsidR="0079292C">
        <w:t xml:space="preserve"> failure to comply with </w:t>
      </w:r>
      <w:r>
        <w:t>a</w:t>
      </w:r>
      <w:r w:rsidR="0079292C">
        <w:t xml:space="preserve"> guarantee. It must have been reasonably foreseeable that the consumer would suffer such loss or damage as a result of the failure.</w:t>
      </w:r>
      <w:r w:rsidR="0079292C">
        <w:rPr>
          <w:rStyle w:val="FootnoteReference"/>
        </w:rPr>
        <w:footnoteReference w:id="12"/>
      </w:r>
    </w:p>
    <w:p w14:paraId="3361C896" w14:textId="04AFE844" w:rsidR="00D27ABC" w:rsidRDefault="00D27ABC" w:rsidP="00880369"/>
    <w:p w14:paraId="0CAB8602" w14:textId="77777777" w:rsidR="00D27ABC" w:rsidRDefault="00D27ABC" w:rsidP="002616A3">
      <w:pPr>
        <w:pStyle w:val="Heading3"/>
      </w:pPr>
      <w:bookmarkStart w:id="54" w:name="_Toc65665776"/>
      <w:bookmarkStart w:id="55" w:name="_Toc65666004"/>
      <w:bookmarkStart w:id="56" w:name="_Toc65829388"/>
      <w:bookmarkStart w:id="57" w:name="_Toc69381044"/>
      <w:bookmarkStart w:id="58" w:name="_Toc69395064"/>
      <w:bookmarkStart w:id="59" w:name="_Toc89700908"/>
      <w:r>
        <w:lastRenderedPageBreak/>
        <w:t>The types of remedies available depend on the nature of the failure</w:t>
      </w:r>
      <w:bookmarkEnd w:id="54"/>
      <w:bookmarkEnd w:id="55"/>
      <w:bookmarkEnd w:id="56"/>
      <w:bookmarkEnd w:id="57"/>
      <w:bookmarkEnd w:id="58"/>
      <w:bookmarkEnd w:id="59"/>
    </w:p>
    <w:p w14:paraId="2B40A7E9" w14:textId="503D8E4A" w:rsidR="00D27ABC" w:rsidRDefault="00D27ABC" w:rsidP="00880369">
      <w:r>
        <w:t>The type of remedy a consumer is entitled to will depend on whether the failure is a ‘major failure’</w:t>
      </w:r>
      <w:r w:rsidR="00CB2842">
        <w:t xml:space="preserve">. </w:t>
      </w:r>
      <w:r w:rsidR="0091141A">
        <w:rPr>
          <w:highlight w:val="yellow"/>
        </w:rPr>
        <w:fldChar w:fldCharType="begin"/>
      </w:r>
      <w:r w:rsidR="0091141A">
        <w:rPr>
          <w:highlight w:val="yellow"/>
        </w:rPr>
        <w:instrText xml:space="preserve"> REF _Ref87350607 \h </w:instrText>
      </w:r>
      <w:r w:rsidR="0091141A">
        <w:rPr>
          <w:highlight w:val="yellow"/>
        </w:rPr>
      </w:r>
      <w:r w:rsidR="0091141A">
        <w:rPr>
          <w:highlight w:val="yellow"/>
        </w:rPr>
        <w:fldChar w:fldCharType="separate"/>
      </w:r>
      <w:r w:rsidR="00001633" w:rsidRPr="00E97D56">
        <w:rPr>
          <w:b/>
          <w:bCs/>
          <w:szCs w:val="22"/>
        </w:rPr>
        <w:t xml:space="preserve">Table </w:t>
      </w:r>
      <w:r w:rsidR="00001633">
        <w:rPr>
          <w:b/>
          <w:bCs/>
          <w:i/>
          <w:iCs/>
          <w:noProof/>
          <w:szCs w:val="22"/>
        </w:rPr>
        <w:t>1</w:t>
      </w:r>
      <w:r w:rsidR="0091141A">
        <w:rPr>
          <w:highlight w:val="yellow"/>
        </w:rPr>
        <w:fldChar w:fldCharType="end"/>
      </w:r>
      <w:r w:rsidR="00C2738C">
        <w:t xml:space="preserve"> </w:t>
      </w:r>
      <w:r w:rsidR="00CB2842">
        <w:t xml:space="preserve">sets out the </w:t>
      </w:r>
      <w:r>
        <w:t xml:space="preserve">criteria </w:t>
      </w:r>
      <w:r w:rsidR="00CB2842">
        <w:t>used to determine whether a failure is a ‘major failure’.</w:t>
      </w:r>
      <w:r w:rsidRPr="00847D75">
        <w:t xml:space="preserve"> If</w:t>
      </w:r>
      <w:r w:rsidR="001802F2">
        <w:t xml:space="preserve"> the failure</w:t>
      </w:r>
      <w:r w:rsidRPr="00847D75">
        <w:t xml:space="preserve"> is major, consumers have the right to reject the goods within a reasonable time</w:t>
      </w:r>
      <w:r w:rsidR="00462073">
        <w:t>frame</w:t>
      </w:r>
      <w:r w:rsidRPr="00847D75">
        <w:t xml:space="preserve"> and choose a remedy, </w:t>
      </w:r>
      <w:r w:rsidR="009404CD">
        <w:t>either</w:t>
      </w:r>
      <w:r w:rsidR="009404CD" w:rsidRPr="00847D75">
        <w:t xml:space="preserve"> </w:t>
      </w:r>
      <w:r w:rsidRPr="00847D75">
        <w:t xml:space="preserve">a </w:t>
      </w:r>
      <w:r>
        <w:t xml:space="preserve">replacement </w:t>
      </w:r>
      <w:r>
        <w:rPr>
          <w:i/>
        </w:rPr>
        <w:t xml:space="preserve">or </w:t>
      </w:r>
      <w:r>
        <w:t xml:space="preserve">a </w:t>
      </w:r>
      <w:r w:rsidRPr="00847D75">
        <w:t xml:space="preserve">refund. If the failure is </w:t>
      </w:r>
      <w:r>
        <w:t xml:space="preserve">not </w:t>
      </w:r>
      <w:r w:rsidRPr="00847D75">
        <w:t xml:space="preserve">major, the supplier </w:t>
      </w:r>
      <w:r>
        <w:t xml:space="preserve">has the right to </w:t>
      </w:r>
      <w:r w:rsidRPr="00847D75">
        <w:t xml:space="preserve">choose the remedy, which can be a repair, </w:t>
      </w:r>
      <w:r w:rsidR="00FA71BB" w:rsidRPr="00847D75">
        <w:t>replacement,</w:t>
      </w:r>
      <w:r w:rsidRPr="00847D75">
        <w:t xml:space="preserve"> or refund.</w:t>
      </w:r>
    </w:p>
    <w:p w14:paraId="311A7E4D" w14:textId="0C95D438" w:rsidR="00CB2842" w:rsidRDefault="00060CDE" w:rsidP="00D27ABC">
      <w:bookmarkStart w:id="60" w:name="_Hlk82116137"/>
      <w:r>
        <w:t>On</w:t>
      </w:r>
      <w:r w:rsidR="00C31DB1">
        <w:t xml:space="preserve"> 17 December 2020, </w:t>
      </w:r>
      <w:r>
        <w:t xml:space="preserve">the ACL was updated to clarify that </w:t>
      </w:r>
      <w:r w:rsidR="00C31DB1">
        <w:t>a</w:t>
      </w:r>
      <w:r w:rsidR="00380519">
        <w:t xml:space="preserve"> series of non-major failures can amount to a major failure</w:t>
      </w:r>
      <w:r w:rsidR="00A477DA">
        <w:t>. The consumer guarantees now provide that</w:t>
      </w:r>
      <w:r w:rsidR="00380519">
        <w:t xml:space="preserve"> </w:t>
      </w:r>
      <w:r w:rsidR="008526E4">
        <w:t xml:space="preserve">there is a major failure </w:t>
      </w:r>
      <w:r w:rsidR="00380519">
        <w:t>if</w:t>
      </w:r>
      <w:r w:rsidR="00877C60" w:rsidRPr="00877C60">
        <w:t xml:space="preserve"> </w:t>
      </w:r>
      <w:r w:rsidR="00877C60">
        <w:t xml:space="preserve">the </w:t>
      </w:r>
      <w:r w:rsidR="009404CD">
        <w:t>good has multiple guarantee failures that are not major failures individually but, when taken as a whole, would have stopped a reasonable consumer fully acquainted with the nature and extent of the problems from buying the good</w:t>
      </w:r>
      <w:r w:rsidR="00380519">
        <w:t>.</w:t>
      </w:r>
      <w:bookmarkEnd w:id="60"/>
      <w:r w:rsidR="001802F2">
        <w:t xml:space="preserve"> </w:t>
      </w:r>
      <w:r w:rsidR="00877C60">
        <w:rPr>
          <w:rStyle w:val="FootnoteReference"/>
        </w:rPr>
        <w:footnoteReference w:id="13"/>
      </w:r>
    </w:p>
    <w:p w14:paraId="6A765D6C" w14:textId="582DC958" w:rsidR="00D27ABC" w:rsidRPr="00E97D56" w:rsidRDefault="0091141A" w:rsidP="0091141A">
      <w:pPr>
        <w:pStyle w:val="Caption"/>
        <w:rPr>
          <w:b/>
          <w:bCs/>
          <w:i w:val="0"/>
          <w:iCs w:val="0"/>
          <w:sz w:val="22"/>
          <w:szCs w:val="22"/>
        </w:rPr>
      </w:pPr>
      <w:bookmarkStart w:id="61" w:name="_Ref87350607"/>
      <w:bookmarkStart w:id="62" w:name="_Ref87350593"/>
      <w:bookmarkStart w:id="63" w:name="_Toc87529821"/>
      <w:bookmarkStart w:id="64" w:name="_Toc89700873"/>
      <w:r w:rsidRPr="00E97D56">
        <w:rPr>
          <w:b/>
          <w:bCs/>
          <w:i w:val="0"/>
          <w:iCs w:val="0"/>
          <w:sz w:val="22"/>
          <w:szCs w:val="22"/>
        </w:rPr>
        <w:t xml:space="preserve">Table </w:t>
      </w:r>
      <w:r w:rsidRPr="00E97D56">
        <w:rPr>
          <w:b/>
          <w:bCs/>
          <w:i w:val="0"/>
          <w:iCs w:val="0"/>
          <w:sz w:val="22"/>
          <w:szCs w:val="22"/>
        </w:rPr>
        <w:fldChar w:fldCharType="begin"/>
      </w:r>
      <w:r w:rsidRPr="00E97D56">
        <w:rPr>
          <w:b/>
          <w:bCs/>
          <w:i w:val="0"/>
          <w:iCs w:val="0"/>
          <w:sz w:val="22"/>
          <w:szCs w:val="22"/>
        </w:rPr>
        <w:instrText xml:space="preserve"> SEQ Table \* ARABIC </w:instrText>
      </w:r>
      <w:r w:rsidRPr="00E97D56">
        <w:rPr>
          <w:b/>
          <w:bCs/>
          <w:i w:val="0"/>
          <w:iCs w:val="0"/>
          <w:sz w:val="22"/>
          <w:szCs w:val="22"/>
        </w:rPr>
        <w:fldChar w:fldCharType="separate"/>
      </w:r>
      <w:r w:rsidR="00001633">
        <w:rPr>
          <w:b/>
          <w:bCs/>
          <w:i w:val="0"/>
          <w:iCs w:val="0"/>
          <w:noProof/>
          <w:sz w:val="22"/>
          <w:szCs w:val="22"/>
        </w:rPr>
        <w:t>1</w:t>
      </w:r>
      <w:r w:rsidRPr="00E97D56">
        <w:rPr>
          <w:b/>
          <w:bCs/>
          <w:i w:val="0"/>
          <w:iCs w:val="0"/>
          <w:sz w:val="22"/>
          <w:szCs w:val="22"/>
        </w:rPr>
        <w:fldChar w:fldCharType="end"/>
      </w:r>
      <w:bookmarkEnd w:id="61"/>
      <w:r w:rsidR="00D27ABC" w:rsidRPr="00E97D56">
        <w:rPr>
          <w:b/>
          <w:bCs/>
          <w:i w:val="0"/>
          <w:iCs w:val="0"/>
          <w:sz w:val="22"/>
          <w:szCs w:val="22"/>
        </w:rPr>
        <w:t>:</w:t>
      </w:r>
      <w:r w:rsidR="00462073" w:rsidRPr="00E97D56">
        <w:rPr>
          <w:b/>
          <w:bCs/>
          <w:i w:val="0"/>
          <w:iCs w:val="0"/>
          <w:sz w:val="22"/>
          <w:szCs w:val="22"/>
        </w:rPr>
        <w:t xml:space="preserve"> </w:t>
      </w:r>
      <w:r w:rsidR="00D27ABC" w:rsidRPr="00E97D56">
        <w:rPr>
          <w:b/>
          <w:bCs/>
          <w:i w:val="0"/>
          <w:iCs w:val="0"/>
          <w:sz w:val="22"/>
          <w:szCs w:val="22"/>
        </w:rPr>
        <w:t>Major failure criteria</w:t>
      </w:r>
      <w:bookmarkEnd w:id="62"/>
      <w:bookmarkEnd w:id="63"/>
      <w:bookmarkEnd w:id="64"/>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Major Failure criteria"/>
        <w:tblDescription w:val="Details major failure criteria for Goods and Services. "/>
      </w:tblPr>
      <w:tblGrid>
        <w:gridCol w:w="4508"/>
        <w:gridCol w:w="4508"/>
      </w:tblGrid>
      <w:tr w:rsidR="00D27ABC" w:rsidRPr="00EC7C4D" w14:paraId="09F2C829" w14:textId="77777777" w:rsidTr="00871E62">
        <w:tc>
          <w:tcPr>
            <w:tcW w:w="4508" w:type="dxa"/>
            <w:shd w:val="clear" w:color="auto" w:fill="B690C9" w:themeFill="accent6" w:themeFillTint="99"/>
          </w:tcPr>
          <w:p w14:paraId="59EAF8E3" w14:textId="77777777" w:rsidR="00D27ABC" w:rsidRPr="00EC7C4D" w:rsidRDefault="00D27ABC" w:rsidP="00D27ABC">
            <w:pPr>
              <w:pStyle w:val="boxNumbering"/>
              <w:numPr>
                <w:ilvl w:val="0"/>
                <w:numId w:val="0"/>
              </w:numPr>
              <w:jc w:val="left"/>
              <w:rPr>
                <w:rFonts w:asciiTheme="minorHAnsi" w:hAnsiTheme="minorHAnsi" w:cstheme="minorHAnsi"/>
                <w:b/>
              </w:rPr>
            </w:pPr>
            <w:r w:rsidRPr="00EC7C4D">
              <w:rPr>
                <w:rFonts w:asciiTheme="minorHAnsi" w:hAnsiTheme="minorHAnsi" w:cstheme="minorHAnsi"/>
                <w:b/>
              </w:rPr>
              <w:t>Goods</w:t>
            </w:r>
          </w:p>
        </w:tc>
        <w:tc>
          <w:tcPr>
            <w:tcW w:w="4508" w:type="dxa"/>
            <w:shd w:val="clear" w:color="auto" w:fill="B690C9" w:themeFill="accent6" w:themeFillTint="99"/>
          </w:tcPr>
          <w:p w14:paraId="265AF196" w14:textId="77777777" w:rsidR="00D27ABC" w:rsidRPr="00EC7C4D" w:rsidRDefault="00D27ABC" w:rsidP="00D27ABC">
            <w:pPr>
              <w:pStyle w:val="boxNumbering"/>
              <w:numPr>
                <w:ilvl w:val="0"/>
                <w:numId w:val="0"/>
              </w:numPr>
              <w:jc w:val="left"/>
              <w:rPr>
                <w:rFonts w:asciiTheme="minorHAnsi" w:hAnsiTheme="minorHAnsi" w:cstheme="minorHAnsi"/>
                <w:b/>
              </w:rPr>
            </w:pPr>
            <w:r w:rsidRPr="00EC7C4D">
              <w:rPr>
                <w:rFonts w:asciiTheme="minorHAnsi" w:hAnsiTheme="minorHAnsi" w:cstheme="minorHAnsi"/>
                <w:b/>
              </w:rPr>
              <w:t>Services</w:t>
            </w:r>
          </w:p>
        </w:tc>
      </w:tr>
      <w:tr w:rsidR="00D27ABC" w:rsidRPr="00EC7C4D" w14:paraId="77769540" w14:textId="77777777" w:rsidTr="00871E62">
        <w:tc>
          <w:tcPr>
            <w:tcW w:w="4508" w:type="dxa"/>
          </w:tcPr>
          <w:p w14:paraId="41F57701" w14:textId="11B8E603" w:rsidR="00D27ABC" w:rsidRPr="00EC7C4D" w:rsidRDefault="00D27ABC" w:rsidP="00D27ABC">
            <w:pPr>
              <w:pStyle w:val="boxNumbering"/>
              <w:numPr>
                <w:ilvl w:val="0"/>
                <w:numId w:val="0"/>
              </w:numPr>
              <w:jc w:val="left"/>
              <w:rPr>
                <w:rFonts w:asciiTheme="minorHAnsi" w:hAnsiTheme="minorHAnsi" w:cstheme="minorHAnsi"/>
              </w:rPr>
            </w:pPr>
            <w:r w:rsidRPr="00EC7C4D">
              <w:rPr>
                <w:rFonts w:asciiTheme="minorHAnsi" w:hAnsiTheme="minorHAnsi" w:cstheme="minorHAnsi"/>
              </w:rPr>
              <w:t>A major failure occurs if</w:t>
            </w:r>
            <w:r w:rsidR="009404CD" w:rsidRPr="00EC7C4D">
              <w:rPr>
                <w:rFonts w:asciiTheme="minorHAnsi" w:hAnsiTheme="minorHAnsi" w:cstheme="minorHAnsi"/>
              </w:rPr>
              <w:t xml:space="preserve"> one or more of the follow</w:t>
            </w:r>
            <w:r w:rsidR="00294798" w:rsidRPr="00EC7C4D">
              <w:rPr>
                <w:rFonts w:asciiTheme="minorHAnsi" w:hAnsiTheme="minorHAnsi" w:cstheme="minorHAnsi"/>
              </w:rPr>
              <w:t>ing</w:t>
            </w:r>
            <w:r w:rsidR="009404CD" w:rsidRPr="00EC7C4D">
              <w:rPr>
                <w:rFonts w:asciiTheme="minorHAnsi" w:hAnsiTheme="minorHAnsi" w:cstheme="minorHAnsi"/>
              </w:rPr>
              <w:t xml:space="preserve"> apply</w:t>
            </w:r>
            <w:r w:rsidRPr="00EC7C4D">
              <w:rPr>
                <w:rFonts w:asciiTheme="minorHAnsi" w:hAnsiTheme="minorHAnsi" w:cstheme="minorHAnsi"/>
              </w:rPr>
              <w:t>:</w:t>
            </w:r>
          </w:p>
          <w:p w14:paraId="00E33E5A" w14:textId="77777777" w:rsidR="00D27ABC" w:rsidRPr="00EC7C4D" w:rsidRDefault="00D27ABC" w:rsidP="00B20812">
            <w:pPr>
              <w:pStyle w:val="Bullet"/>
              <w:widowControl w:val="0"/>
              <w:numPr>
                <w:ilvl w:val="0"/>
                <w:numId w:val="12"/>
              </w:numPr>
              <w:spacing w:before="120" w:line="280" w:lineRule="exact"/>
              <w:jc w:val="left"/>
            </w:pPr>
            <w:r w:rsidRPr="00EC7C4D">
              <w:t>a reasonable consumer fully acquainted with the nature and extent of the failure would not have bought the good</w:t>
            </w:r>
          </w:p>
          <w:p w14:paraId="28DBC622" w14:textId="65C5AD5A" w:rsidR="00D27ABC" w:rsidRPr="00EC7C4D" w:rsidRDefault="00D27ABC" w:rsidP="00B20812">
            <w:pPr>
              <w:pStyle w:val="Bullet"/>
              <w:widowControl w:val="0"/>
              <w:numPr>
                <w:ilvl w:val="0"/>
                <w:numId w:val="12"/>
              </w:numPr>
              <w:spacing w:before="120" w:line="280" w:lineRule="exact"/>
              <w:jc w:val="left"/>
            </w:pPr>
            <w:r w:rsidRPr="00EC7C4D">
              <w:t>the good has multiple guarantee failures that are not major failures individually but, when taken as a whole, would have stopped a reasonable consumer fully acquainted with the nature and extent of the problems from buying the good</w:t>
            </w:r>
          </w:p>
          <w:p w14:paraId="124CCC1D" w14:textId="77777777" w:rsidR="00D27ABC" w:rsidRPr="00EC7C4D" w:rsidRDefault="00D27ABC" w:rsidP="00B20812">
            <w:pPr>
              <w:pStyle w:val="Bullet"/>
              <w:widowControl w:val="0"/>
              <w:numPr>
                <w:ilvl w:val="0"/>
                <w:numId w:val="12"/>
              </w:numPr>
              <w:spacing w:before="120" w:line="280" w:lineRule="exact"/>
              <w:jc w:val="left"/>
            </w:pPr>
            <w:r w:rsidRPr="00EC7C4D">
              <w:t>the good is significantly different from the sample or description</w:t>
            </w:r>
          </w:p>
          <w:p w14:paraId="273F37A3" w14:textId="77777777" w:rsidR="00D27ABC" w:rsidRPr="00EC7C4D" w:rsidRDefault="00D27ABC" w:rsidP="00B20812">
            <w:pPr>
              <w:pStyle w:val="Bullet"/>
              <w:widowControl w:val="0"/>
              <w:numPr>
                <w:ilvl w:val="0"/>
                <w:numId w:val="12"/>
              </w:numPr>
              <w:spacing w:before="120" w:line="280" w:lineRule="exact"/>
              <w:jc w:val="left"/>
            </w:pPr>
            <w:r w:rsidRPr="00EC7C4D">
              <w:t>the good is substantially unfit for its common purpose and can’t easily be fixed to make it fit for its purpose within a reasonable time</w:t>
            </w:r>
          </w:p>
          <w:p w14:paraId="3F4621CC" w14:textId="7AA2FB1C" w:rsidR="00D27ABC" w:rsidRPr="00EC7C4D" w:rsidRDefault="00D27ABC" w:rsidP="00B20812">
            <w:pPr>
              <w:pStyle w:val="Bullet"/>
              <w:widowControl w:val="0"/>
              <w:numPr>
                <w:ilvl w:val="0"/>
                <w:numId w:val="12"/>
              </w:numPr>
              <w:spacing w:before="120" w:line="280" w:lineRule="exact"/>
              <w:jc w:val="left"/>
            </w:pPr>
            <w:r w:rsidRPr="00EC7C4D">
              <w:t xml:space="preserve">the good doesn’t do what the consumer asked for and can’t easily be fixed to meet that purpose within a reasonable time </w:t>
            </w:r>
          </w:p>
          <w:p w14:paraId="008B6C70" w14:textId="77777777" w:rsidR="00D27ABC" w:rsidRPr="00EC7C4D" w:rsidRDefault="00D27ABC" w:rsidP="00B20812">
            <w:pPr>
              <w:pStyle w:val="Bullet"/>
              <w:widowControl w:val="0"/>
              <w:numPr>
                <w:ilvl w:val="0"/>
                <w:numId w:val="12"/>
              </w:numPr>
              <w:spacing w:before="120" w:line="280" w:lineRule="exact"/>
              <w:jc w:val="left"/>
            </w:pPr>
            <w:r w:rsidRPr="00EC7C4D">
              <w:t>the good is unsafe</w:t>
            </w:r>
          </w:p>
        </w:tc>
        <w:tc>
          <w:tcPr>
            <w:tcW w:w="4508" w:type="dxa"/>
          </w:tcPr>
          <w:p w14:paraId="7FCBADE5" w14:textId="1EE76DDE" w:rsidR="00D27ABC" w:rsidRPr="00EC7C4D" w:rsidRDefault="00D27ABC" w:rsidP="00D27ABC">
            <w:pPr>
              <w:pStyle w:val="boxNumbering"/>
              <w:numPr>
                <w:ilvl w:val="0"/>
                <w:numId w:val="0"/>
              </w:numPr>
              <w:jc w:val="left"/>
              <w:rPr>
                <w:rFonts w:asciiTheme="minorHAnsi" w:hAnsiTheme="minorHAnsi" w:cstheme="minorHAnsi"/>
              </w:rPr>
            </w:pPr>
            <w:r w:rsidRPr="00EC7C4D">
              <w:rPr>
                <w:rFonts w:asciiTheme="minorHAnsi" w:hAnsiTheme="minorHAnsi" w:cstheme="minorHAnsi"/>
              </w:rPr>
              <w:t>A major failure occurs if</w:t>
            </w:r>
            <w:r w:rsidR="009404CD" w:rsidRPr="00EC7C4D">
              <w:rPr>
                <w:rFonts w:asciiTheme="minorHAnsi" w:hAnsiTheme="minorHAnsi" w:cstheme="minorHAnsi"/>
              </w:rPr>
              <w:t xml:space="preserve"> one or more of the follow</w:t>
            </w:r>
            <w:r w:rsidR="00294798" w:rsidRPr="00EC7C4D">
              <w:rPr>
                <w:rFonts w:asciiTheme="minorHAnsi" w:hAnsiTheme="minorHAnsi" w:cstheme="minorHAnsi"/>
              </w:rPr>
              <w:t>ing</w:t>
            </w:r>
            <w:r w:rsidR="009404CD" w:rsidRPr="00EC7C4D">
              <w:rPr>
                <w:rFonts w:asciiTheme="minorHAnsi" w:hAnsiTheme="minorHAnsi" w:cstheme="minorHAnsi"/>
              </w:rPr>
              <w:t xml:space="preserve"> apply</w:t>
            </w:r>
            <w:r w:rsidRPr="00EC7C4D">
              <w:rPr>
                <w:rFonts w:asciiTheme="minorHAnsi" w:hAnsiTheme="minorHAnsi" w:cstheme="minorHAnsi"/>
              </w:rPr>
              <w:t>:</w:t>
            </w:r>
          </w:p>
          <w:p w14:paraId="43DB26A6" w14:textId="77777777" w:rsidR="00D27ABC" w:rsidRPr="00EC7C4D" w:rsidRDefault="00D27ABC" w:rsidP="00B20812">
            <w:pPr>
              <w:pStyle w:val="Bullet"/>
              <w:widowControl w:val="0"/>
              <w:numPr>
                <w:ilvl w:val="0"/>
                <w:numId w:val="12"/>
              </w:numPr>
              <w:spacing w:before="120" w:line="280" w:lineRule="exact"/>
              <w:jc w:val="left"/>
            </w:pPr>
            <w:r w:rsidRPr="00EC7C4D">
              <w:t>a reasonable consumer fully acquainted with the nature and extent of the failure would not have bought the service</w:t>
            </w:r>
          </w:p>
          <w:p w14:paraId="49668871" w14:textId="212D4DC5" w:rsidR="00D27ABC" w:rsidRPr="00EC7C4D" w:rsidRDefault="00D27ABC" w:rsidP="00B20812">
            <w:pPr>
              <w:pStyle w:val="Bullet"/>
              <w:widowControl w:val="0"/>
              <w:numPr>
                <w:ilvl w:val="0"/>
                <w:numId w:val="12"/>
              </w:numPr>
              <w:spacing w:before="120" w:line="280" w:lineRule="exact"/>
              <w:jc w:val="left"/>
            </w:pPr>
            <w:r w:rsidRPr="00EC7C4D">
              <w:t xml:space="preserve">the service has multiple guarantee failures that are not major failures individually </w:t>
            </w:r>
            <w:r w:rsidR="00294798" w:rsidRPr="00EC7C4D">
              <w:t>but</w:t>
            </w:r>
            <w:r w:rsidR="00294798" w:rsidRPr="00EC7C4D" w:rsidDel="002C3686">
              <w:t>,</w:t>
            </w:r>
            <w:r w:rsidRPr="00EC7C4D">
              <w:t xml:space="preserve"> when taken as a whole, would have stopped a reasonable consumer fully acquainted with the nature and extent of the problems from buying the service</w:t>
            </w:r>
          </w:p>
          <w:p w14:paraId="7D8D4498" w14:textId="77777777" w:rsidR="00D27ABC" w:rsidRPr="00EC7C4D" w:rsidRDefault="00D27ABC" w:rsidP="00B20812">
            <w:pPr>
              <w:pStyle w:val="Bullet"/>
              <w:widowControl w:val="0"/>
              <w:numPr>
                <w:ilvl w:val="0"/>
                <w:numId w:val="12"/>
              </w:numPr>
              <w:spacing w:before="120" w:line="280" w:lineRule="exact"/>
              <w:jc w:val="left"/>
            </w:pPr>
            <w:r w:rsidRPr="00EC7C4D">
              <w:t>the service is substantially unfit for its common purpose and can’t easily be changed to make it fit for its purpose within a reasonable time</w:t>
            </w:r>
          </w:p>
          <w:p w14:paraId="2F8D6A7D" w14:textId="59884E57" w:rsidR="00D27ABC" w:rsidRPr="00EC7C4D" w:rsidRDefault="00D27ABC" w:rsidP="00B20812">
            <w:pPr>
              <w:pStyle w:val="Bullet"/>
              <w:widowControl w:val="0"/>
              <w:numPr>
                <w:ilvl w:val="0"/>
                <w:numId w:val="12"/>
              </w:numPr>
              <w:spacing w:before="120" w:line="280" w:lineRule="exact"/>
              <w:jc w:val="left"/>
            </w:pPr>
            <w:r w:rsidRPr="00EC7C4D">
              <w:t xml:space="preserve">the service does not meet the specific purpose the consumer asked for and cannot easily be changed to meet that purpose within a reasonable time </w:t>
            </w:r>
          </w:p>
          <w:p w14:paraId="5F3B0D35" w14:textId="77777777" w:rsidR="00D27ABC" w:rsidRPr="00EC7C4D" w:rsidRDefault="00D27ABC" w:rsidP="00B20812">
            <w:pPr>
              <w:pStyle w:val="Bullet"/>
              <w:widowControl w:val="0"/>
              <w:numPr>
                <w:ilvl w:val="0"/>
                <w:numId w:val="12"/>
              </w:numPr>
              <w:spacing w:before="120" w:line="280" w:lineRule="exact"/>
              <w:jc w:val="left"/>
            </w:pPr>
            <w:r w:rsidRPr="00EC7C4D">
              <w:t>the service creates an unsafe situation</w:t>
            </w:r>
          </w:p>
        </w:tc>
      </w:tr>
    </w:tbl>
    <w:p w14:paraId="6AD75A7D" w14:textId="65E91C87" w:rsidR="00D27ABC" w:rsidRDefault="00F54F99" w:rsidP="002616A3">
      <w:pPr>
        <w:pStyle w:val="Heading3"/>
      </w:pPr>
      <w:bookmarkStart w:id="65" w:name="_Toc65665777"/>
      <w:bookmarkStart w:id="66" w:name="_Toc65666005"/>
      <w:bookmarkStart w:id="67" w:name="_Toc65829389"/>
      <w:bookmarkStart w:id="68" w:name="_Toc69381045"/>
      <w:bookmarkStart w:id="69" w:name="_Toc69395065"/>
      <w:bookmarkStart w:id="70" w:name="_Toc89700909"/>
      <w:r>
        <w:lastRenderedPageBreak/>
        <w:t>W</w:t>
      </w:r>
      <w:r w:rsidR="00D27ABC">
        <w:t xml:space="preserve">ho is </w:t>
      </w:r>
      <w:r>
        <w:t>responsible for providing</w:t>
      </w:r>
      <w:r w:rsidR="00D27ABC">
        <w:t xml:space="preserve"> a remedy</w:t>
      </w:r>
      <w:r>
        <w:t>?</w:t>
      </w:r>
      <w:bookmarkEnd w:id="65"/>
      <w:bookmarkEnd w:id="66"/>
      <w:bookmarkEnd w:id="67"/>
      <w:bookmarkEnd w:id="68"/>
      <w:bookmarkEnd w:id="69"/>
      <w:bookmarkEnd w:id="70"/>
    </w:p>
    <w:p w14:paraId="7E6A1498" w14:textId="5D325278" w:rsidR="00D76C67" w:rsidRDefault="00D20EF2" w:rsidP="00D27ABC">
      <w:r>
        <w:rPr>
          <w:rFonts w:eastAsia="Calibri"/>
        </w:rPr>
        <w:t xml:space="preserve">The ACL </w:t>
      </w:r>
      <w:r w:rsidR="00462073">
        <w:rPr>
          <w:rFonts w:eastAsia="Calibri"/>
        </w:rPr>
        <w:t xml:space="preserve">details </w:t>
      </w:r>
      <w:r>
        <w:rPr>
          <w:rFonts w:eastAsia="Calibri"/>
        </w:rPr>
        <w:t>that s</w:t>
      </w:r>
      <w:r w:rsidR="00D27ABC" w:rsidRPr="00D6091D">
        <w:rPr>
          <w:rFonts w:eastAsia="Calibri"/>
        </w:rPr>
        <w:t xml:space="preserve">uppliers </w:t>
      </w:r>
      <w:r w:rsidR="00D27ABC">
        <w:rPr>
          <w:rFonts w:eastAsia="Calibri"/>
        </w:rPr>
        <w:t xml:space="preserve">are </w:t>
      </w:r>
      <w:r w:rsidR="00E52EFF">
        <w:rPr>
          <w:rFonts w:eastAsia="Calibri"/>
        </w:rPr>
        <w:t xml:space="preserve">primarily </w:t>
      </w:r>
      <w:r w:rsidR="00D27ABC">
        <w:rPr>
          <w:rFonts w:eastAsia="Calibri"/>
        </w:rPr>
        <w:t>responsible for</w:t>
      </w:r>
      <w:r w:rsidR="00D27ABC" w:rsidRPr="00D6091D">
        <w:rPr>
          <w:rFonts w:eastAsia="Calibri"/>
        </w:rPr>
        <w:t xml:space="preserve"> providing remedies to</w:t>
      </w:r>
      <w:r w:rsidR="00D27ABC">
        <w:rPr>
          <w:rFonts w:eastAsia="Calibri"/>
        </w:rPr>
        <w:t xml:space="preserve"> </w:t>
      </w:r>
      <w:r w:rsidR="00D27ABC" w:rsidRPr="00D6091D">
        <w:rPr>
          <w:rFonts w:eastAsia="Calibri"/>
        </w:rPr>
        <w:t xml:space="preserve">consumers </w:t>
      </w:r>
      <w:r w:rsidR="00D27ABC">
        <w:rPr>
          <w:rFonts w:eastAsia="Calibri"/>
        </w:rPr>
        <w:t xml:space="preserve">for </w:t>
      </w:r>
      <w:r w:rsidR="00D27ABC" w:rsidRPr="00D6091D">
        <w:rPr>
          <w:rFonts w:eastAsia="Calibri"/>
        </w:rPr>
        <w:t xml:space="preserve">failures to comply with </w:t>
      </w:r>
      <w:r w:rsidR="00E63425">
        <w:rPr>
          <w:rFonts w:eastAsia="Calibri"/>
        </w:rPr>
        <w:t xml:space="preserve">consumer </w:t>
      </w:r>
      <w:r w:rsidR="00D27ABC" w:rsidRPr="00D6091D">
        <w:rPr>
          <w:rFonts w:eastAsia="Calibri"/>
        </w:rPr>
        <w:t xml:space="preserve">guarantees, </w:t>
      </w:r>
      <w:r w:rsidR="00570F36">
        <w:rPr>
          <w:rFonts w:eastAsia="Calibri"/>
        </w:rPr>
        <w:t>even</w:t>
      </w:r>
      <w:r w:rsidR="00570F36" w:rsidRPr="00D6091D">
        <w:rPr>
          <w:rFonts w:eastAsia="Calibri"/>
        </w:rPr>
        <w:t xml:space="preserve"> where fault more</w:t>
      </w:r>
      <w:r w:rsidR="00570F36">
        <w:rPr>
          <w:rFonts w:eastAsia="Calibri"/>
        </w:rPr>
        <w:t xml:space="preserve"> </w:t>
      </w:r>
      <w:r w:rsidR="00570F36" w:rsidRPr="00D6091D">
        <w:rPr>
          <w:rFonts w:eastAsia="Calibri"/>
        </w:rPr>
        <w:t xml:space="preserve">properly lies with a manufacturer </w:t>
      </w:r>
      <w:r w:rsidR="00570F36">
        <w:rPr>
          <w:rFonts w:eastAsia="Calibri"/>
        </w:rPr>
        <w:t>(</w:t>
      </w:r>
      <w:r w:rsidR="00570F36" w:rsidRPr="00D6091D">
        <w:rPr>
          <w:rFonts w:eastAsia="Calibri"/>
        </w:rPr>
        <w:t>or importer</w:t>
      </w:r>
      <w:r w:rsidR="00570F36">
        <w:rPr>
          <w:rFonts w:eastAsia="Calibri"/>
        </w:rPr>
        <w:t>).</w:t>
      </w:r>
      <w:r w:rsidR="00570F36">
        <w:rPr>
          <w:rStyle w:val="FootnoteReference"/>
          <w:rFonts w:eastAsia="Calibri"/>
        </w:rPr>
        <w:footnoteReference w:id="14"/>
      </w:r>
      <w:r w:rsidR="00570F36">
        <w:rPr>
          <w:rFonts w:eastAsia="Calibri"/>
        </w:rPr>
        <w:t xml:space="preserve"> </w:t>
      </w:r>
      <w:r w:rsidR="00E52EFF">
        <w:rPr>
          <w:rFonts w:eastAsia="Calibri"/>
        </w:rPr>
        <w:t xml:space="preserve">An exception </w:t>
      </w:r>
      <w:r w:rsidR="00570F36">
        <w:rPr>
          <w:rFonts w:eastAsia="Calibri"/>
        </w:rPr>
        <w:t xml:space="preserve">is where the failure </w:t>
      </w:r>
      <w:r w:rsidR="00D27ABC" w:rsidRPr="00D6091D">
        <w:rPr>
          <w:rFonts w:eastAsia="Calibri"/>
        </w:rPr>
        <w:t>relate</w:t>
      </w:r>
      <w:r w:rsidR="00570F36">
        <w:rPr>
          <w:rFonts w:eastAsia="Calibri"/>
        </w:rPr>
        <w:t>s</w:t>
      </w:r>
      <w:r w:rsidR="00D27ABC" w:rsidRPr="00D6091D">
        <w:rPr>
          <w:rFonts w:eastAsia="Calibri"/>
        </w:rPr>
        <w:t xml:space="preserve"> to spare parts </w:t>
      </w:r>
      <w:r w:rsidR="00570F36">
        <w:rPr>
          <w:rFonts w:eastAsia="Calibri"/>
        </w:rPr>
        <w:t>or</w:t>
      </w:r>
      <w:r w:rsidR="00D27ABC" w:rsidRPr="00D6091D">
        <w:rPr>
          <w:rFonts w:eastAsia="Calibri"/>
        </w:rPr>
        <w:t xml:space="preserve"> repair facilities</w:t>
      </w:r>
      <w:r w:rsidR="00462073">
        <w:rPr>
          <w:rFonts w:eastAsia="Calibri"/>
        </w:rPr>
        <w:t>,</w:t>
      </w:r>
      <w:r w:rsidR="00570F36">
        <w:rPr>
          <w:rFonts w:eastAsia="Calibri"/>
        </w:rPr>
        <w:t xml:space="preserve"> or where a remedy relates to </w:t>
      </w:r>
      <w:r w:rsidR="00D27ABC" w:rsidRPr="00D6091D">
        <w:rPr>
          <w:rFonts w:eastAsia="Calibri"/>
        </w:rPr>
        <w:t>an express warrant</w:t>
      </w:r>
      <w:r w:rsidR="008526E4">
        <w:rPr>
          <w:rFonts w:eastAsia="Calibri"/>
        </w:rPr>
        <w:t xml:space="preserve">y </w:t>
      </w:r>
      <w:r w:rsidR="00D27ABC" w:rsidRPr="00D6091D">
        <w:rPr>
          <w:rFonts w:eastAsia="Calibri"/>
        </w:rPr>
        <w:t>offered by</w:t>
      </w:r>
      <w:r w:rsidR="00570F36">
        <w:rPr>
          <w:rFonts w:eastAsia="Calibri"/>
        </w:rPr>
        <w:t xml:space="preserve"> a</w:t>
      </w:r>
      <w:r w:rsidR="00D27ABC" w:rsidRPr="00D6091D">
        <w:rPr>
          <w:rFonts w:eastAsia="Calibri"/>
        </w:rPr>
        <w:t xml:space="preserve"> manufacturer.</w:t>
      </w:r>
      <w:r w:rsidR="002616A3">
        <w:rPr>
          <w:rFonts w:eastAsia="Calibri"/>
        </w:rPr>
        <w:t xml:space="preserve"> </w:t>
      </w:r>
      <w:r w:rsidR="00D27ABC">
        <w:t xml:space="preserve">Suppliers are not able to exclude, restrict or modify the application of the consumer guarantees by any agreement, </w:t>
      </w:r>
      <w:r w:rsidR="00FA71BB">
        <w:t>contract,</w:t>
      </w:r>
      <w:r w:rsidR="00D27ABC">
        <w:t xml:space="preserve"> or warranty (</w:t>
      </w:r>
      <w:r w:rsidR="00FA71BB">
        <w:t>e.g.</w:t>
      </w:r>
      <w:r w:rsidR="00D27ABC">
        <w:t xml:space="preserve"> a new motor vehicle warranty).</w:t>
      </w:r>
      <w:r w:rsidR="00D76C67">
        <w:t xml:space="preserve"> </w:t>
      </w:r>
      <w:r w:rsidR="00D27ABC">
        <w:rPr>
          <w:rStyle w:val="FootnoteReference"/>
        </w:rPr>
        <w:footnoteReference w:id="15"/>
      </w:r>
    </w:p>
    <w:p w14:paraId="3059E434" w14:textId="5D1CD6F9" w:rsidR="00D27ABC" w:rsidRDefault="00D27ABC" w:rsidP="00D27ABC">
      <w:r>
        <w:t xml:space="preserve">The consumer guarantees apply regardless of whether a good is covered by a manufacturer’s warranty, an express </w:t>
      </w:r>
      <w:r w:rsidR="00FA71BB">
        <w:t>warranty,</w:t>
      </w:r>
      <w:r>
        <w:t xml:space="preserve"> or an extended warranty, and may continue to provide protections after warranties have expired. </w:t>
      </w:r>
      <w:r w:rsidR="00276167">
        <w:t>This means where a supplier or manufacturer offer a warranty on their goods or services, that warranty will provide rights alongside, and in addition to, the consumer guarantee protections provided by the ACL.</w:t>
      </w:r>
    </w:p>
    <w:p w14:paraId="48D1B6A4" w14:textId="315E79B8" w:rsidR="00C601C1" w:rsidRDefault="00C601C1">
      <w:pPr>
        <w:pStyle w:val="Heading3"/>
      </w:pPr>
      <w:bookmarkStart w:id="71" w:name="_Toc69395066"/>
      <w:bookmarkStart w:id="72" w:name="_Toc89700910"/>
      <w:r>
        <w:t>Other relevant protections</w:t>
      </w:r>
      <w:bookmarkEnd w:id="71"/>
      <w:bookmarkEnd w:id="72"/>
    </w:p>
    <w:p w14:paraId="03945FC8" w14:textId="4B975DC1" w:rsidR="00D27ABC" w:rsidRDefault="00B46B26" w:rsidP="00D27ABC">
      <w:r>
        <w:t>T</w:t>
      </w:r>
      <w:r w:rsidR="00D27ABC">
        <w:t>he ACL also prohibits traders from making false or misleading representations concerning:</w:t>
      </w:r>
    </w:p>
    <w:p w14:paraId="6E2B3AAB" w14:textId="6E92B0E3" w:rsidR="00D27ABC" w:rsidRPr="00D20EF2" w:rsidRDefault="00D27ABC" w:rsidP="00687D67">
      <w:pPr>
        <w:pStyle w:val="Bullet"/>
      </w:pPr>
      <w:r w:rsidRPr="00D20EF2">
        <w:t>the existence, exclusion or effect of any consumer guarantees or remedy or</w:t>
      </w:r>
    </w:p>
    <w:p w14:paraId="0B76A91C" w14:textId="5FBF8FA6" w:rsidR="00D27ABC" w:rsidRPr="00D20EF2" w:rsidRDefault="00D27ABC" w:rsidP="00EF38D0">
      <w:pPr>
        <w:pStyle w:val="Bullet"/>
      </w:pPr>
      <w:r w:rsidRPr="00D20EF2">
        <w:t xml:space="preserve">a requirement to pay for a contractual right wholly or partly equivalent to a </w:t>
      </w:r>
      <w:r w:rsidR="00D20EF2">
        <w:t xml:space="preserve">consumer </w:t>
      </w:r>
      <w:r w:rsidRPr="00D20EF2">
        <w:t>guarantee.</w:t>
      </w:r>
      <w:r w:rsidRPr="00D20EF2">
        <w:rPr>
          <w:rStyle w:val="FootnoteReference"/>
        </w:rPr>
        <w:footnoteReference w:id="16"/>
      </w:r>
    </w:p>
    <w:p w14:paraId="62425BBB" w14:textId="33338DBF" w:rsidR="00D27ABC" w:rsidRDefault="00D27ABC" w:rsidP="00D27ABC">
      <w:r>
        <w:t>The ACL also prohibits traders from engaging in unconscionable conduct.</w:t>
      </w:r>
    </w:p>
    <w:p w14:paraId="2D9D808F" w14:textId="352A0C96" w:rsidR="00BB4528" w:rsidRDefault="00BB4528" w:rsidP="00BB4528">
      <w:pPr>
        <w:pStyle w:val="Heading3"/>
      </w:pPr>
      <w:bookmarkStart w:id="73" w:name="_Toc69381057"/>
      <w:bookmarkStart w:id="74" w:name="_Toc69395078"/>
      <w:bookmarkStart w:id="75" w:name="_Toc89700911"/>
      <w:r>
        <w:t xml:space="preserve">Measures </w:t>
      </w:r>
      <w:r w:rsidR="00294798">
        <w:t xml:space="preserve">which </w:t>
      </w:r>
      <w:r>
        <w:t>have already been considered</w:t>
      </w:r>
      <w:bookmarkEnd w:id="73"/>
      <w:bookmarkEnd w:id="74"/>
      <w:bookmarkEnd w:id="75"/>
    </w:p>
    <w:p w14:paraId="0E59AF24" w14:textId="33B5778E" w:rsidR="00BB4528" w:rsidRDefault="0099561A" w:rsidP="00BB4528">
      <w:r>
        <w:t xml:space="preserve">CAANZ </w:t>
      </w:r>
      <w:r w:rsidR="00BB4528">
        <w:t xml:space="preserve">(now </w:t>
      </w:r>
      <w:r w:rsidR="00BB4528" w:rsidRPr="00C13411">
        <w:t>Consumer Senior Officials</w:t>
      </w:r>
      <w:r w:rsidR="00BB4528">
        <w:t>)</w:t>
      </w:r>
      <w:r w:rsidR="00BB4528" w:rsidRPr="00C13411">
        <w:t xml:space="preserve"> </w:t>
      </w:r>
      <w:r w:rsidR="00BB4528">
        <w:t xml:space="preserve">previously considered options for reform in the Decision RIS </w:t>
      </w:r>
      <w:r w:rsidR="00BB4528" w:rsidRPr="00F5544B">
        <w:rPr>
          <w:i/>
        </w:rPr>
        <w:t xml:space="preserve">Australian Consumer Law Review: Clarification, </w:t>
      </w:r>
      <w:r w:rsidR="00FA71BB" w:rsidRPr="00F5544B">
        <w:rPr>
          <w:i/>
        </w:rPr>
        <w:t>simplification,</w:t>
      </w:r>
      <w:r w:rsidR="00BB4528" w:rsidRPr="00F5544B">
        <w:rPr>
          <w:i/>
        </w:rPr>
        <w:t xml:space="preserve"> and modernisation of the consumer guarantee framework</w:t>
      </w:r>
      <w:r w:rsidR="00BB4528">
        <w:t xml:space="preserve"> (2018 Decision RIS). These included:</w:t>
      </w:r>
    </w:p>
    <w:p w14:paraId="21A0AC9B" w14:textId="77777777" w:rsidR="00BB4528" w:rsidRDefault="00BB4528" w:rsidP="00BB4528">
      <w:pPr>
        <w:pStyle w:val="Bullet"/>
      </w:pPr>
      <w:r w:rsidRPr="00F5544B">
        <w:t>Specify</w:t>
      </w:r>
      <w:r>
        <w:t>ing</w:t>
      </w:r>
      <w:r w:rsidRPr="00F5544B">
        <w:t xml:space="preserve"> a short period of time during which a consumer is entitled to a refund or replacement without needing to prove a major failure</w:t>
      </w:r>
      <w:r>
        <w:t xml:space="preserve"> of the consumer guarantees – applying across the economy or limited to high-value goods (such as motor vehicles). </w:t>
      </w:r>
    </w:p>
    <w:p w14:paraId="2C0A7673" w14:textId="63900EA0" w:rsidR="00BB4528" w:rsidRDefault="00BB4528" w:rsidP="00000877">
      <w:pPr>
        <w:pStyle w:val="Dash"/>
      </w:pPr>
      <w:r>
        <w:lastRenderedPageBreak/>
        <w:t>The</w:t>
      </w:r>
      <w:r w:rsidR="00AA4AFB">
        <w:t xml:space="preserve"> consumer</w:t>
      </w:r>
      <w:r>
        <w:t xml:space="preserve"> benefits of such reforms were assessed to be significantly outweighed by the costs to businesses. Some concerns were also raised that separate arrangements for high-value goods would add complexity to the law. In the latter regard, the 2017 ACL Review Final Report expressed a preference for economy-wide application of consumer guarantee reforms to maintain consistency and avoid bespoke or industry-specific variations, noting this had helped to provide clearer standards for traders and consistent messaging about rights and responsibilities </w:t>
      </w:r>
      <w:r w:rsidRPr="00000877">
        <w:rPr>
          <w:vertAlign w:val="superscript"/>
        </w:rPr>
        <w:footnoteReference w:id="17"/>
      </w:r>
      <w:r w:rsidRPr="00000877">
        <w:rPr>
          <w:vertAlign w:val="superscript"/>
        </w:rPr>
        <w:t xml:space="preserve"> </w:t>
      </w:r>
    </w:p>
    <w:p w14:paraId="286EDFD6" w14:textId="288DEFE3" w:rsidR="00BB4528" w:rsidRDefault="00BB4528" w:rsidP="00BB4528">
      <w:pPr>
        <w:pStyle w:val="Bullet"/>
      </w:pPr>
      <w:r>
        <w:t>C</w:t>
      </w:r>
      <w:r w:rsidRPr="00D444CD">
        <w:t>larify</w:t>
      </w:r>
      <w:r>
        <w:t>ing</w:t>
      </w:r>
      <w:r w:rsidRPr="00D444CD">
        <w:t xml:space="preserve"> multiple non-major failures </w:t>
      </w:r>
      <w:r>
        <w:t>of the consumer guarantees (</w:t>
      </w:r>
      <w:r w:rsidR="00FA71BB">
        <w:t>e.g.</w:t>
      </w:r>
      <w:r>
        <w:t xml:space="preserve"> a collection of smaller problems) </w:t>
      </w:r>
      <w:r w:rsidRPr="00D444CD">
        <w:t>can amount to a major failure, entitling the consumer to a refund or replacement.</w:t>
      </w:r>
      <w:r>
        <w:t xml:space="preserve"> </w:t>
      </w:r>
      <w:r>
        <w:rPr>
          <w:rStyle w:val="FootnoteReference"/>
        </w:rPr>
        <w:footnoteReference w:id="18"/>
      </w:r>
      <w:r w:rsidRPr="00D444CD">
        <w:t xml:space="preserve"> </w:t>
      </w:r>
    </w:p>
    <w:p w14:paraId="5BD199CC" w14:textId="50619CF2" w:rsidR="00BB4528" w:rsidRDefault="00BB4528" w:rsidP="00BB4528">
      <w:r w:rsidRPr="00D444CD">
        <w:t xml:space="preserve">This </w:t>
      </w:r>
      <w:r>
        <w:t xml:space="preserve">clarification </w:t>
      </w:r>
      <w:r w:rsidRPr="00D444CD">
        <w:t xml:space="preserve">option </w:t>
      </w:r>
      <w:r>
        <w:t>was assessed to have the greatest net benefit and was implemented on 17 December 2020.</w:t>
      </w:r>
    </w:p>
    <w:p w14:paraId="3750C691" w14:textId="77777777" w:rsidR="0072145C" w:rsidRPr="002A43BD" w:rsidRDefault="0072145C" w:rsidP="0072145C">
      <w:pPr>
        <w:pStyle w:val="Heading3"/>
      </w:pPr>
      <w:bookmarkStart w:id="76" w:name="_Toc89700912"/>
      <w:r>
        <w:t>Other relevant government reforms underway</w:t>
      </w:r>
      <w:bookmarkEnd w:id="76"/>
    </w:p>
    <w:p w14:paraId="30DE6DB0" w14:textId="77777777" w:rsidR="0072145C" w:rsidRDefault="0072145C" w:rsidP="0072145C">
      <w:pPr>
        <w:pStyle w:val="Bullet"/>
        <w:numPr>
          <w:ilvl w:val="0"/>
          <w:numId w:val="0"/>
        </w:numPr>
      </w:pPr>
      <w:r>
        <w:t xml:space="preserve">Other reforms are underway to improve consumer and small business outcomes, including: </w:t>
      </w:r>
    </w:p>
    <w:p w14:paraId="6022B793" w14:textId="70C51AD8" w:rsidR="0072145C" w:rsidRDefault="003D2ADD" w:rsidP="00FA71BB">
      <w:pPr>
        <w:pStyle w:val="Bullet"/>
      </w:pPr>
      <w:r>
        <w:t>E</w:t>
      </w:r>
      <w:r w:rsidR="0072145C">
        <w:t>nhancements to the unfair contract terms protections in the ACL</w:t>
      </w:r>
      <w:r>
        <w:t>.</w:t>
      </w:r>
    </w:p>
    <w:p w14:paraId="2EE97CE9" w14:textId="64BC0741" w:rsidR="0072145C" w:rsidRDefault="003D2ADD" w:rsidP="00FA71BB">
      <w:pPr>
        <w:pStyle w:val="Bullet"/>
      </w:pPr>
      <w:r>
        <w:t>T</w:t>
      </w:r>
      <w:r w:rsidR="0072145C">
        <w:t>he Motor Vehicle Service and Repair Information Sharing Scheme, which will allow consumers to have greater choice of repairers who are able to repair their vehicles safely and effectively</w:t>
      </w:r>
      <w:r>
        <w:t>.</w:t>
      </w:r>
    </w:p>
    <w:p w14:paraId="4E69CFCF" w14:textId="736ED56C" w:rsidR="0072145C" w:rsidRDefault="003D2ADD" w:rsidP="00FA71BB">
      <w:pPr>
        <w:pStyle w:val="Bullet"/>
      </w:pPr>
      <w:r>
        <w:t>C</w:t>
      </w:r>
      <w:r w:rsidR="0072145C">
        <w:t>hanges to the Franchising Code of Conduct and a range of other reforms to benefit new car retailers.</w:t>
      </w:r>
    </w:p>
    <w:p w14:paraId="4C5617E2" w14:textId="5B866C77" w:rsidR="0072145C" w:rsidRDefault="0072145C" w:rsidP="00770B7B">
      <w:pPr>
        <w:pStyle w:val="DoubleDot"/>
      </w:pPr>
      <w:r>
        <w:t>On 1 June 2021, the Government amended the Franchising Code</w:t>
      </w:r>
      <w:r w:rsidR="00E87EE4">
        <w:t>,</w:t>
      </w:r>
      <w:r>
        <w:t xml:space="preserve"> including mandating the automotive best practice principles and explicitly recognising dealers operating as a manufacturer’s agent in relation to new vehicle sales. These reforms took effect from </w:t>
      </w:r>
      <w:r w:rsidR="003615C9">
        <w:br/>
      </w:r>
      <w:r>
        <w:t xml:space="preserve">1 July 2021. </w:t>
      </w:r>
    </w:p>
    <w:p w14:paraId="1DDF1138" w14:textId="4EFC0538" w:rsidR="0072145C" w:rsidRDefault="00AA743A" w:rsidP="00770B7B">
      <w:pPr>
        <w:pStyle w:val="Bullet"/>
        <w:numPr>
          <w:ilvl w:val="0"/>
          <w:numId w:val="0"/>
        </w:numPr>
        <w:ind w:left="360" w:hanging="360"/>
      </w:pPr>
      <w:r>
        <w:t>O</w:t>
      </w:r>
      <w:r w:rsidR="0072145C">
        <w:t>ther reforms will also benefit new car retailers and include:</w:t>
      </w:r>
    </w:p>
    <w:p w14:paraId="11A45C33" w14:textId="68D7475D" w:rsidR="0072145C" w:rsidRDefault="0072145C" w:rsidP="00770B7B">
      <w:pPr>
        <w:pStyle w:val="Bullet"/>
      </w:pPr>
      <w:r>
        <w:t xml:space="preserve">Code amendments in response to the Fairness in Franchising report, which was released on </w:t>
      </w:r>
      <w:r w:rsidR="00E87EE4">
        <w:t>20 </w:t>
      </w:r>
      <w:r>
        <w:t xml:space="preserve">August 2020. These include doubling the maximum financial </w:t>
      </w:r>
      <w:r w:rsidR="003D2ADD">
        <w:t>penalties and</w:t>
      </w:r>
      <w:r>
        <w:t xml:space="preserve"> introducing voluntary binding arbitration</w:t>
      </w:r>
      <w:r w:rsidR="003D2ADD">
        <w:t>.</w:t>
      </w:r>
    </w:p>
    <w:p w14:paraId="6971D59C" w14:textId="6AAA3355" w:rsidR="0072145C" w:rsidRDefault="0072145C" w:rsidP="00770B7B">
      <w:pPr>
        <w:pStyle w:val="Bullet"/>
      </w:pPr>
      <w:r>
        <w:lastRenderedPageBreak/>
        <w:t xml:space="preserve">Increasing available penalties under the Franchising Code to up to $10 million to strengthen penalties for wilful, </w:t>
      </w:r>
      <w:r w:rsidR="0094596F">
        <w:t>egregious,</w:t>
      </w:r>
      <w:r>
        <w:t xml:space="preserve"> and systemic breaches of the Franchising Code</w:t>
      </w:r>
      <w:r w:rsidR="003D2ADD">
        <w:t>.</w:t>
      </w:r>
    </w:p>
    <w:p w14:paraId="4F1CADA5" w14:textId="35905E7F" w:rsidR="0072145C" w:rsidRDefault="0072145C" w:rsidP="00770B7B">
      <w:pPr>
        <w:pStyle w:val="Bullet"/>
      </w:pPr>
      <w:r>
        <w:t xml:space="preserve">Changes to collective bargaining requirements, to allow franchisees to collectively negotiate with their franchisors without first having to seek </w:t>
      </w:r>
      <w:r w:rsidR="007C073B">
        <w:t xml:space="preserve">ACCC </w:t>
      </w:r>
      <w:r>
        <w:t>approval.</w:t>
      </w:r>
    </w:p>
    <w:p w14:paraId="2070DD64" w14:textId="77777777" w:rsidR="002B641A" w:rsidRPr="00532548" w:rsidRDefault="002B641A" w:rsidP="00A7148F">
      <w:pPr>
        <w:pStyle w:val="Heading2"/>
      </w:pPr>
      <w:bookmarkStart w:id="77" w:name="_Toc65665778"/>
      <w:bookmarkStart w:id="78" w:name="_Toc65666006"/>
      <w:bookmarkStart w:id="79" w:name="_Toc65829390"/>
      <w:bookmarkStart w:id="80" w:name="_Toc69381047"/>
      <w:bookmarkStart w:id="81" w:name="_Toc69395068"/>
      <w:bookmarkStart w:id="82" w:name="_Toc89700913"/>
      <w:r w:rsidRPr="00532548">
        <w:t>Supplier Indemnification</w:t>
      </w:r>
      <w:bookmarkEnd w:id="77"/>
      <w:bookmarkEnd w:id="78"/>
      <w:bookmarkEnd w:id="79"/>
      <w:bookmarkEnd w:id="80"/>
      <w:bookmarkEnd w:id="81"/>
      <w:bookmarkEnd w:id="82"/>
    </w:p>
    <w:p w14:paraId="24EA06D1" w14:textId="698D02F9" w:rsidR="002B641A" w:rsidRDefault="002B641A" w:rsidP="002B641A">
      <w:r>
        <w:rPr>
          <w:rFonts w:eastAsia="Calibri"/>
        </w:rPr>
        <w:t xml:space="preserve">While the ACL </w:t>
      </w:r>
      <w:r w:rsidR="009515FC">
        <w:rPr>
          <w:rFonts w:eastAsia="Calibri"/>
        </w:rPr>
        <w:t xml:space="preserve">provides </w:t>
      </w:r>
      <w:r>
        <w:rPr>
          <w:rFonts w:eastAsia="Calibri"/>
        </w:rPr>
        <w:t>suppliers</w:t>
      </w:r>
      <w:r w:rsidRPr="00AE7E3D">
        <w:rPr>
          <w:rFonts w:eastAsia="Calibri"/>
        </w:rPr>
        <w:t xml:space="preserve"> </w:t>
      </w:r>
      <w:r w:rsidR="00230AC1">
        <w:rPr>
          <w:rFonts w:eastAsia="Calibri"/>
        </w:rPr>
        <w:t xml:space="preserve">are </w:t>
      </w:r>
      <w:r w:rsidR="009515FC">
        <w:rPr>
          <w:rFonts w:eastAsia="Calibri"/>
        </w:rPr>
        <w:t>liable</w:t>
      </w:r>
      <w:r w:rsidRPr="00AE7E3D">
        <w:rPr>
          <w:rFonts w:eastAsia="Calibri"/>
        </w:rPr>
        <w:t xml:space="preserve"> for providing remedies to consumers</w:t>
      </w:r>
      <w:r w:rsidR="003E28D5">
        <w:rPr>
          <w:rFonts w:eastAsia="Calibri"/>
        </w:rPr>
        <w:t xml:space="preserve"> for consumer guarantee failures</w:t>
      </w:r>
      <w:r>
        <w:rPr>
          <w:rFonts w:eastAsia="Calibri"/>
        </w:rPr>
        <w:t xml:space="preserve">, it also </w:t>
      </w:r>
      <w:r w:rsidR="009515FC">
        <w:rPr>
          <w:rFonts w:eastAsia="Calibri"/>
        </w:rPr>
        <w:t>provides</w:t>
      </w:r>
      <w:r>
        <w:rPr>
          <w:rFonts w:eastAsia="Calibri"/>
        </w:rPr>
        <w:t xml:space="preserve"> </w:t>
      </w:r>
      <w:r w:rsidRPr="00E9234D">
        <w:rPr>
          <w:rFonts w:eastAsia="Calibri"/>
        </w:rPr>
        <w:t>manufacturer</w:t>
      </w:r>
      <w:r>
        <w:rPr>
          <w:rFonts w:eastAsia="Calibri"/>
        </w:rPr>
        <w:t xml:space="preserve">s </w:t>
      </w:r>
      <w:r w:rsidR="009515FC">
        <w:rPr>
          <w:rFonts w:eastAsia="Calibri"/>
        </w:rPr>
        <w:t xml:space="preserve">are liable for </w:t>
      </w:r>
      <w:r w:rsidR="0009287B" w:rsidRPr="0009287B">
        <w:rPr>
          <w:rFonts w:eastAsia="Calibri"/>
        </w:rPr>
        <w:t>indemnify</w:t>
      </w:r>
      <w:r w:rsidR="009515FC">
        <w:rPr>
          <w:rFonts w:eastAsia="Calibri"/>
        </w:rPr>
        <w:t>ing</w:t>
      </w:r>
      <w:r w:rsidR="0009287B" w:rsidRPr="0009287B">
        <w:rPr>
          <w:rFonts w:eastAsia="Calibri"/>
        </w:rPr>
        <w:t xml:space="preserve"> </w:t>
      </w:r>
      <w:r w:rsidR="003E28D5">
        <w:rPr>
          <w:rFonts w:eastAsia="Calibri"/>
        </w:rPr>
        <w:t>(reimburs</w:t>
      </w:r>
      <w:r w:rsidR="009515FC">
        <w:rPr>
          <w:rFonts w:eastAsia="Calibri"/>
        </w:rPr>
        <w:t>ing</w:t>
      </w:r>
      <w:r w:rsidR="003E28D5">
        <w:rPr>
          <w:rFonts w:eastAsia="Calibri"/>
        </w:rPr>
        <w:t xml:space="preserve">) </w:t>
      </w:r>
      <w:r w:rsidR="0009287B" w:rsidRPr="0009287B">
        <w:rPr>
          <w:rFonts w:eastAsia="Calibri"/>
        </w:rPr>
        <w:t>suppliers</w:t>
      </w:r>
      <w:r w:rsidR="003E28D5">
        <w:rPr>
          <w:rFonts w:eastAsia="Calibri"/>
        </w:rPr>
        <w:t xml:space="preserve"> </w:t>
      </w:r>
      <w:r w:rsidR="00230AC1">
        <w:rPr>
          <w:rFonts w:eastAsia="Calibri"/>
        </w:rPr>
        <w:t>for the cost of providing that remedy</w:t>
      </w:r>
      <w:r w:rsidR="002343CF">
        <w:rPr>
          <w:rFonts w:eastAsia="Calibri"/>
        </w:rPr>
        <w:t>,</w:t>
      </w:r>
      <w:r w:rsidR="00230AC1">
        <w:rPr>
          <w:rFonts w:eastAsia="Calibri"/>
        </w:rPr>
        <w:t xml:space="preserve"> </w:t>
      </w:r>
      <w:r w:rsidR="003E28D5">
        <w:rPr>
          <w:rFonts w:eastAsia="Calibri"/>
        </w:rPr>
        <w:t>where the manufacturer is at fault</w:t>
      </w:r>
      <w:r w:rsidR="00230AC1">
        <w:rPr>
          <w:rFonts w:eastAsia="Calibri"/>
        </w:rPr>
        <w:t xml:space="preserve"> for the consumer guarantee failure</w:t>
      </w:r>
      <w:r w:rsidR="0009287B">
        <w:rPr>
          <w:rFonts w:eastAsia="Calibri"/>
        </w:rPr>
        <w:t xml:space="preserve">. </w:t>
      </w:r>
      <w:r w:rsidR="0009287B">
        <w:rPr>
          <w:rStyle w:val="FootnoteReference"/>
        </w:rPr>
        <w:footnoteReference w:id="19"/>
      </w:r>
      <w:r w:rsidR="0009287B">
        <w:t xml:space="preserve"> </w:t>
      </w:r>
      <w:r w:rsidR="0009287B">
        <w:rPr>
          <w:rFonts w:eastAsia="Calibri"/>
        </w:rPr>
        <w:t xml:space="preserve">This </w:t>
      </w:r>
      <w:r w:rsidR="003E28D5">
        <w:rPr>
          <w:rFonts w:eastAsia="Calibri"/>
        </w:rPr>
        <w:t xml:space="preserve">applies to the consumer </w:t>
      </w:r>
      <w:r w:rsidR="003E28D5">
        <w:t>guarantees of</w:t>
      </w:r>
      <w:r>
        <w:t>:</w:t>
      </w:r>
    </w:p>
    <w:p w14:paraId="41145053" w14:textId="3A7B0684" w:rsidR="002B641A" w:rsidRPr="009515FC" w:rsidRDefault="002B641A" w:rsidP="00A7148F">
      <w:pPr>
        <w:pStyle w:val="Bullet"/>
        <w:rPr>
          <w:rFonts w:eastAsia="Calibri"/>
        </w:rPr>
      </w:pPr>
      <w:r w:rsidRPr="009515FC">
        <w:t>acceptable quality</w:t>
      </w:r>
      <w:r w:rsidR="009515FC">
        <w:t xml:space="preserve"> </w:t>
      </w:r>
      <w:r w:rsidRPr="009515FC">
        <w:rPr>
          <w:rStyle w:val="FootnoteReference"/>
        </w:rPr>
        <w:footnoteReference w:id="20"/>
      </w:r>
      <w:r w:rsidRPr="009515FC">
        <w:t xml:space="preserve"> (</w:t>
      </w:r>
      <w:r w:rsidR="003D2A31" w:rsidRPr="009515FC">
        <w:t>e.g.,</w:t>
      </w:r>
      <w:r w:rsidRPr="009515FC">
        <w:t xml:space="preserve"> </w:t>
      </w:r>
      <w:r w:rsidRPr="009515FC">
        <w:rPr>
          <w:rFonts w:eastAsia="Calibri"/>
        </w:rPr>
        <w:t>where a good contains a design flaw that makes it unsafe</w:t>
      </w:r>
      <w:r w:rsidRPr="009515FC">
        <w:t>)</w:t>
      </w:r>
    </w:p>
    <w:p w14:paraId="435A562C" w14:textId="3E04C20E" w:rsidR="002B641A" w:rsidRPr="009515FC" w:rsidRDefault="002B641A" w:rsidP="00A7148F">
      <w:pPr>
        <w:pStyle w:val="Bullet"/>
        <w:rPr>
          <w:rFonts w:eastAsia="Calibri"/>
        </w:rPr>
      </w:pPr>
      <w:r w:rsidRPr="009515FC">
        <w:t>descriptions applied to goods by, or with the consent of, manufacturers</w:t>
      </w:r>
      <w:r w:rsidR="009515FC">
        <w:t xml:space="preserve"> </w:t>
      </w:r>
      <w:r w:rsidRPr="009515FC">
        <w:rPr>
          <w:rStyle w:val="FootnoteReference"/>
        </w:rPr>
        <w:footnoteReference w:id="21"/>
      </w:r>
      <w:r w:rsidRPr="009515FC">
        <w:t xml:space="preserve"> </w:t>
      </w:r>
    </w:p>
    <w:p w14:paraId="7BA89D8A" w14:textId="39CD12F1" w:rsidR="002B641A" w:rsidRPr="009515FC" w:rsidRDefault="002B641A" w:rsidP="00A7148F">
      <w:pPr>
        <w:pStyle w:val="Bullet"/>
        <w:rPr>
          <w:rFonts w:eastAsia="Calibri"/>
        </w:rPr>
      </w:pPr>
      <w:r w:rsidRPr="009515FC">
        <w:t>fitness for a purpose that a consumer makes known to a manufacturer, either directly or through a supplier</w:t>
      </w:r>
      <w:r w:rsidR="009515FC">
        <w:t xml:space="preserve"> </w:t>
      </w:r>
      <w:r w:rsidRPr="009515FC">
        <w:rPr>
          <w:rStyle w:val="FootnoteReference"/>
        </w:rPr>
        <w:footnoteReference w:id="22"/>
      </w:r>
      <w:r w:rsidRPr="009515FC">
        <w:t xml:space="preserve"> (</w:t>
      </w:r>
      <w:r w:rsidR="003D2A31" w:rsidRPr="009515FC">
        <w:t>e.g.,</w:t>
      </w:r>
      <w:r w:rsidRPr="009515FC">
        <w:t xml:space="preserve"> where a good </w:t>
      </w:r>
      <w:r w:rsidRPr="009515FC">
        <w:rPr>
          <w:rFonts w:eastAsia="Calibri"/>
        </w:rPr>
        <w:t>doesn’t do what the manufacturer claims it does)</w:t>
      </w:r>
      <w:r w:rsidRPr="009515FC">
        <w:t>.</w:t>
      </w:r>
    </w:p>
    <w:p w14:paraId="0EB0A2E2" w14:textId="67866432" w:rsidR="002B641A" w:rsidRDefault="002B641A" w:rsidP="002B641A">
      <w:r w:rsidRPr="00E9234D">
        <w:rPr>
          <w:rFonts w:eastAsia="Calibri"/>
        </w:rPr>
        <w:t xml:space="preserve">The amount </w:t>
      </w:r>
      <w:r w:rsidR="009515FC">
        <w:rPr>
          <w:rFonts w:eastAsia="Calibri"/>
        </w:rPr>
        <w:t>a manufactur</w:t>
      </w:r>
      <w:r w:rsidR="009A26A0">
        <w:rPr>
          <w:rFonts w:eastAsia="Calibri"/>
        </w:rPr>
        <w:t>er</w:t>
      </w:r>
      <w:r w:rsidR="009515FC">
        <w:rPr>
          <w:rFonts w:eastAsia="Calibri"/>
        </w:rPr>
        <w:t xml:space="preserve"> is liable to pay </w:t>
      </w:r>
      <w:r w:rsidRPr="00E9234D">
        <w:rPr>
          <w:rFonts w:eastAsia="Calibri"/>
        </w:rPr>
        <w:t xml:space="preserve">can include any compensation </w:t>
      </w:r>
      <w:r w:rsidR="009515FC">
        <w:rPr>
          <w:rFonts w:eastAsia="Calibri"/>
        </w:rPr>
        <w:t xml:space="preserve">the supplier </w:t>
      </w:r>
      <w:r w:rsidRPr="00E9234D">
        <w:rPr>
          <w:rFonts w:eastAsia="Calibri"/>
        </w:rPr>
        <w:t>paid to the consumer for reasonably foreseeable consequential losses.</w:t>
      </w:r>
      <w:r w:rsidR="009515FC">
        <w:rPr>
          <w:rFonts w:eastAsia="Calibri"/>
        </w:rPr>
        <w:t xml:space="preserve"> </w:t>
      </w:r>
      <w:r w:rsidRPr="00E9234D">
        <w:rPr>
          <w:rFonts w:eastAsia="Calibri"/>
          <w:vertAlign w:val="superscript"/>
        </w:rPr>
        <w:footnoteReference w:id="23"/>
      </w:r>
      <w:r w:rsidRPr="00935C56">
        <w:t xml:space="preserve"> </w:t>
      </w:r>
    </w:p>
    <w:p w14:paraId="2965735F" w14:textId="3AE26E0A" w:rsidR="002B641A" w:rsidRPr="00E9234D" w:rsidRDefault="006923C9" w:rsidP="002B641A">
      <w:pPr>
        <w:rPr>
          <w:rFonts w:eastAsia="Calibri"/>
        </w:rPr>
      </w:pPr>
      <w:r>
        <w:rPr>
          <w:rFonts w:eastAsia="Calibri"/>
        </w:rPr>
        <w:t>The ACL prevents a</w:t>
      </w:r>
      <w:r w:rsidR="002B641A" w:rsidRPr="00E9234D">
        <w:rPr>
          <w:rFonts w:eastAsia="Calibri"/>
        </w:rPr>
        <w:t xml:space="preserve"> manufacturer </w:t>
      </w:r>
      <w:r>
        <w:rPr>
          <w:rFonts w:eastAsia="Calibri"/>
        </w:rPr>
        <w:t>from</w:t>
      </w:r>
      <w:r w:rsidRPr="00E9234D">
        <w:rPr>
          <w:rFonts w:eastAsia="Calibri"/>
        </w:rPr>
        <w:t xml:space="preserve"> </w:t>
      </w:r>
      <w:r w:rsidR="002B641A" w:rsidRPr="00E9234D">
        <w:rPr>
          <w:rFonts w:eastAsia="Calibri"/>
        </w:rPr>
        <w:t>contract</w:t>
      </w:r>
      <w:r>
        <w:rPr>
          <w:rFonts w:eastAsia="Calibri"/>
        </w:rPr>
        <w:t>ing</w:t>
      </w:r>
      <w:r w:rsidR="002B641A" w:rsidRPr="00E9234D">
        <w:rPr>
          <w:rFonts w:eastAsia="Calibri"/>
        </w:rPr>
        <w:t xml:space="preserve"> out of the indemnification provisions</w:t>
      </w:r>
      <w:r>
        <w:rPr>
          <w:rFonts w:eastAsia="Calibri"/>
        </w:rPr>
        <w:t xml:space="preserve"> by providing that a</w:t>
      </w:r>
      <w:r w:rsidR="002B641A">
        <w:rPr>
          <w:rFonts w:eastAsia="Calibri"/>
        </w:rPr>
        <w:t xml:space="preserve"> </w:t>
      </w:r>
      <w:r w:rsidR="002343CF">
        <w:rPr>
          <w:rFonts w:eastAsia="Calibri"/>
        </w:rPr>
        <w:t xml:space="preserve">contract </w:t>
      </w:r>
      <w:r w:rsidR="002B641A" w:rsidRPr="00E9234D">
        <w:rPr>
          <w:rFonts w:eastAsia="Calibri"/>
        </w:rPr>
        <w:t xml:space="preserve">term is void to the extent it purports to exclude, </w:t>
      </w:r>
      <w:r w:rsidR="003D2A31" w:rsidRPr="00E9234D">
        <w:rPr>
          <w:rFonts w:eastAsia="Calibri"/>
        </w:rPr>
        <w:t>restrict,</w:t>
      </w:r>
      <w:r w:rsidR="002B641A" w:rsidRPr="00E9234D">
        <w:rPr>
          <w:rFonts w:eastAsia="Calibri"/>
        </w:rPr>
        <w:t xml:space="preserve"> or modify </w:t>
      </w:r>
      <w:r w:rsidR="002B641A">
        <w:rPr>
          <w:rFonts w:eastAsia="Calibri"/>
        </w:rPr>
        <w:t xml:space="preserve">a </w:t>
      </w:r>
      <w:r w:rsidR="002B641A" w:rsidRPr="00E9234D">
        <w:rPr>
          <w:rFonts w:eastAsia="Calibri"/>
        </w:rPr>
        <w:t>supplier</w:t>
      </w:r>
      <w:r w:rsidR="002B641A">
        <w:rPr>
          <w:rFonts w:eastAsia="Calibri"/>
        </w:rPr>
        <w:t>’s</w:t>
      </w:r>
      <w:r w:rsidR="002B641A" w:rsidRPr="00E9234D">
        <w:rPr>
          <w:rFonts w:eastAsia="Calibri"/>
        </w:rPr>
        <w:t xml:space="preserve"> indemnification right.</w:t>
      </w:r>
      <w:r>
        <w:rPr>
          <w:rFonts w:eastAsia="Calibri"/>
        </w:rPr>
        <w:t xml:space="preserve"> </w:t>
      </w:r>
      <w:r w:rsidR="002B641A" w:rsidRPr="00E9234D">
        <w:rPr>
          <w:rFonts w:eastAsia="Calibri"/>
          <w:vertAlign w:val="superscript"/>
        </w:rPr>
        <w:footnoteReference w:id="24"/>
      </w:r>
      <w:r w:rsidR="002B641A">
        <w:rPr>
          <w:rFonts w:eastAsia="Calibri"/>
        </w:rPr>
        <w:t xml:space="preserve"> </w:t>
      </w:r>
      <w:r w:rsidR="00B933C6">
        <w:rPr>
          <w:rFonts w:eastAsia="Calibri"/>
        </w:rPr>
        <w:t>The ACL does h</w:t>
      </w:r>
      <w:r w:rsidR="002B641A">
        <w:rPr>
          <w:rFonts w:eastAsia="Calibri"/>
        </w:rPr>
        <w:t>owever</w:t>
      </w:r>
      <w:r w:rsidR="00B933C6">
        <w:rPr>
          <w:rFonts w:eastAsia="Calibri"/>
        </w:rPr>
        <w:t xml:space="preserve"> provide that</w:t>
      </w:r>
      <w:r w:rsidR="002B641A" w:rsidRPr="00E9234D">
        <w:rPr>
          <w:rFonts w:eastAsia="Calibri"/>
        </w:rPr>
        <w:t xml:space="preserve"> a manufacturer can limit their liability in the case of goods not ordinarily acquired for personal, </w:t>
      </w:r>
      <w:r w:rsidR="003D2A31" w:rsidRPr="00E9234D">
        <w:rPr>
          <w:rFonts w:eastAsia="Calibri"/>
        </w:rPr>
        <w:t>domestic,</w:t>
      </w:r>
      <w:r w:rsidR="002B641A" w:rsidRPr="00E9234D">
        <w:rPr>
          <w:rFonts w:eastAsia="Calibri"/>
        </w:rPr>
        <w:t xml:space="preserve"> or household use</w:t>
      </w:r>
      <w:r w:rsidR="002B641A">
        <w:rPr>
          <w:rFonts w:eastAsia="Calibri"/>
        </w:rPr>
        <w:t xml:space="preserve"> (</w:t>
      </w:r>
      <w:r w:rsidR="003D2A31">
        <w:rPr>
          <w:rFonts w:eastAsia="Calibri"/>
        </w:rPr>
        <w:t>i.e.,</w:t>
      </w:r>
      <w:r w:rsidR="002B641A">
        <w:rPr>
          <w:rFonts w:eastAsia="Calibri"/>
        </w:rPr>
        <w:t xml:space="preserve"> </w:t>
      </w:r>
      <w:r w:rsidR="00861FA6">
        <w:rPr>
          <w:rFonts w:eastAsia="Calibri"/>
        </w:rPr>
        <w:t xml:space="preserve">certain </w:t>
      </w:r>
      <w:r w:rsidR="002B641A">
        <w:rPr>
          <w:rFonts w:eastAsia="Calibri"/>
        </w:rPr>
        <w:t>commercial goods)</w:t>
      </w:r>
      <w:r w:rsidR="002B641A" w:rsidRPr="00E9234D">
        <w:rPr>
          <w:rFonts w:eastAsia="Calibri"/>
        </w:rPr>
        <w:t>, to the lowest cost out of the following:</w:t>
      </w:r>
      <w:r w:rsidR="002B641A" w:rsidDel="00575782">
        <w:rPr>
          <w:rStyle w:val="FootnoteReference"/>
          <w:rFonts w:eastAsia="Calibri"/>
        </w:rPr>
        <w:t xml:space="preserve"> </w:t>
      </w:r>
    </w:p>
    <w:p w14:paraId="3407D0FD" w14:textId="1BC2834A" w:rsidR="002B641A" w:rsidRPr="009515FC" w:rsidRDefault="002B641A" w:rsidP="00A7148F">
      <w:pPr>
        <w:pStyle w:val="Bullet"/>
      </w:pPr>
      <w:r w:rsidRPr="009515FC">
        <w:t>replacing the goods</w:t>
      </w:r>
    </w:p>
    <w:p w14:paraId="2AE94CB5" w14:textId="57957551" w:rsidR="002B641A" w:rsidRPr="009515FC" w:rsidRDefault="002B641A" w:rsidP="00A7148F">
      <w:pPr>
        <w:pStyle w:val="Bullet"/>
      </w:pPr>
      <w:r w:rsidRPr="009515FC">
        <w:t>obtaining equivalent goods</w:t>
      </w:r>
    </w:p>
    <w:p w14:paraId="53308A94" w14:textId="0D8A8900" w:rsidR="002B641A" w:rsidRPr="009515FC" w:rsidRDefault="002B641A" w:rsidP="00A7148F">
      <w:pPr>
        <w:pStyle w:val="Bullet"/>
      </w:pPr>
      <w:r w:rsidRPr="009515FC">
        <w:t>repairing the goods.</w:t>
      </w:r>
      <w:r w:rsidR="009515FC">
        <w:t xml:space="preserve"> </w:t>
      </w:r>
      <w:r w:rsidRPr="009515FC">
        <w:rPr>
          <w:rStyle w:val="FootnoteReference"/>
          <w:rFonts w:eastAsia="Calibri"/>
        </w:rPr>
        <w:footnoteReference w:id="25"/>
      </w:r>
    </w:p>
    <w:p w14:paraId="08412CE8" w14:textId="3B9D0B13" w:rsidR="002B641A" w:rsidRDefault="002B641A" w:rsidP="002B641A">
      <w:pPr>
        <w:rPr>
          <w:rFonts w:eastAsia="Calibri"/>
        </w:rPr>
      </w:pPr>
      <w:r>
        <w:rPr>
          <w:rFonts w:eastAsia="Calibri"/>
        </w:rPr>
        <w:lastRenderedPageBreak/>
        <w:t>T</w:t>
      </w:r>
      <w:r w:rsidRPr="00E9234D">
        <w:rPr>
          <w:rFonts w:eastAsia="Calibri"/>
        </w:rPr>
        <w:t>his limitation on liability does not apply if</w:t>
      </w:r>
      <w:r>
        <w:rPr>
          <w:rFonts w:eastAsia="Calibri"/>
        </w:rPr>
        <w:t xml:space="preserve"> a supplier establishes </w:t>
      </w:r>
      <w:r w:rsidRPr="00E9234D">
        <w:rPr>
          <w:rFonts w:eastAsia="Calibri"/>
        </w:rPr>
        <w:t>it would not be fair or reasonable to do so.</w:t>
      </w:r>
    </w:p>
    <w:p w14:paraId="0C800359" w14:textId="4CCBEE97" w:rsidR="0071703A" w:rsidRDefault="002B641A" w:rsidP="00160496">
      <w:pPr>
        <w:rPr>
          <w:rFonts w:eastAsia="Calibri"/>
        </w:rPr>
      </w:pPr>
      <w:r>
        <w:rPr>
          <w:rFonts w:eastAsia="Calibri"/>
        </w:rPr>
        <w:t>A manufacturer’s liability to a supplier remains for</w:t>
      </w:r>
      <w:r w:rsidRPr="000A2433">
        <w:rPr>
          <w:rFonts w:eastAsia="Calibri"/>
        </w:rPr>
        <w:t xml:space="preserve"> </w:t>
      </w:r>
      <w:r w:rsidR="00B933C6">
        <w:rPr>
          <w:rFonts w:eastAsia="Calibri"/>
        </w:rPr>
        <w:t>three</w:t>
      </w:r>
      <w:r>
        <w:rPr>
          <w:rFonts w:eastAsia="Calibri"/>
        </w:rPr>
        <w:t xml:space="preserve"> </w:t>
      </w:r>
      <w:r w:rsidRPr="000A2433">
        <w:rPr>
          <w:rFonts w:eastAsia="Calibri"/>
        </w:rPr>
        <w:t xml:space="preserve">years </w:t>
      </w:r>
      <w:r>
        <w:rPr>
          <w:rFonts w:eastAsia="Calibri"/>
        </w:rPr>
        <w:t>after the supplier</w:t>
      </w:r>
      <w:r w:rsidRPr="000A2433">
        <w:rPr>
          <w:rFonts w:eastAsia="Calibri"/>
        </w:rPr>
        <w:t xml:space="preserve"> </w:t>
      </w:r>
      <w:r w:rsidR="002343CF">
        <w:rPr>
          <w:rFonts w:eastAsia="Calibri"/>
        </w:rPr>
        <w:t xml:space="preserve">has </w:t>
      </w:r>
      <w:r w:rsidRPr="000A2433">
        <w:rPr>
          <w:rFonts w:eastAsia="Calibri"/>
        </w:rPr>
        <w:t>provid</w:t>
      </w:r>
      <w:r>
        <w:rPr>
          <w:rFonts w:eastAsia="Calibri"/>
        </w:rPr>
        <w:t>ed</w:t>
      </w:r>
      <w:r w:rsidRPr="000A2433">
        <w:rPr>
          <w:rFonts w:eastAsia="Calibri"/>
        </w:rPr>
        <w:t xml:space="preserve"> a consumer with a remedy</w:t>
      </w:r>
      <w:r>
        <w:rPr>
          <w:rFonts w:eastAsia="Calibri"/>
        </w:rPr>
        <w:t>,</w:t>
      </w:r>
      <w:r w:rsidRPr="000A2433">
        <w:rPr>
          <w:rFonts w:eastAsia="Calibri"/>
        </w:rPr>
        <w:t xml:space="preserve"> or </w:t>
      </w:r>
      <w:r w:rsidR="00B933C6">
        <w:rPr>
          <w:rFonts w:eastAsia="Calibri"/>
        </w:rPr>
        <w:t>three</w:t>
      </w:r>
      <w:r w:rsidRPr="000A2433">
        <w:rPr>
          <w:rFonts w:eastAsia="Calibri"/>
        </w:rPr>
        <w:t xml:space="preserve"> years </w:t>
      </w:r>
      <w:r>
        <w:rPr>
          <w:rFonts w:eastAsia="Calibri"/>
        </w:rPr>
        <w:t>after</w:t>
      </w:r>
      <w:r w:rsidRPr="000A2433">
        <w:rPr>
          <w:rFonts w:eastAsia="Calibri"/>
        </w:rPr>
        <w:t xml:space="preserve"> the day on</w:t>
      </w:r>
      <w:r>
        <w:rPr>
          <w:rFonts w:eastAsia="Calibri"/>
        </w:rPr>
        <w:t xml:space="preserve"> </w:t>
      </w:r>
      <w:r w:rsidRPr="000A2433">
        <w:rPr>
          <w:rFonts w:eastAsia="Calibri"/>
        </w:rPr>
        <w:t>which proceedings were first commenced by a consumer against the</w:t>
      </w:r>
      <w:r>
        <w:rPr>
          <w:rFonts w:eastAsia="Calibri"/>
        </w:rPr>
        <w:t xml:space="preserve"> </w:t>
      </w:r>
      <w:r w:rsidRPr="000A2433">
        <w:rPr>
          <w:rFonts w:eastAsia="Calibri"/>
        </w:rPr>
        <w:t>supplier</w:t>
      </w:r>
      <w:r>
        <w:rPr>
          <w:rFonts w:eastAsia="Calibri"/>
        </w:rPr>
        <w:t>, whichever is earliest</w:t>
      </w:r>
      <w:r w:rsidRPr="000A2433">
        <w:rPr>
          <w:rFonts w:eastAsia="Calibri"/>
        </w:rPr>
        <w:t>.</w:t>
      </w:r>
      <w:r w:rsidR="009515FC">
        <w:rPr>
          <w:rFonts w:eastAsia="Calibri"/>
        </w:rPr>
        <w:t xml:space="preserve"> </w:t>
      </w:r>
      <w:r>
        <w:rPr>
          <w:rStyle w:val="FootnoteReference"/>
          <w:rFonts w:eastAsia="Calibri"/>
        </w:rPr>
        <w:footnoteReference w:id="26"/>
      </w:r>
    </w:p>
    <w:p w14:paraId="08903BB4" w14:textId="2F356411" w:rsidR="00D60010" w:rsidRPr="0071703A" w:rsidRDefault="00D60010" w:rsidP="0071703A">
      <w:r>
        <w:br w:type="page"/>
      </w:r>
    </w:p>
    <w:p w14:paraId="05921E6A" w14:textId="77777777" w:rsidR="00673E08" w:rsidRDefault="00673E08" w:rsidP="00673E08">
      <w:bookmarkStart w:id="83" w:name="_Toc65665780"/>
      <w:bookmarkStart w:id="84" w:name="_Toc65666008"/>
      <w:bookmarkStart w:id="85" w:name="_Toc65829392"/>
    </w:p>
    <w:p w14:paraId="2F9C6D10" w14:textId="77777777" w:rsidR="00673E08" w:rsidRDefault="00673E08" w:rsidP="00673E08"/>
    <w:p w14:paraId="747A75DA" w14:textId="77777777" w:rsidR="00673E08" w:rsidRDefault="00673E08" w:rsidP="00673E08"/>
    <w:p w14:paraId="1FD569C6" w14:textId="77777777" w:rsidR="00673E08" w:rsidRDefault="00673E08" w:rsidP="00673E08"/>
    <w:p w14:paraId="2315A561" w14:textId="77777777" w:rsidR="00673E08" w:rsidRDefault="00673E08" w:rsidP="00673E08"/>
    <w:p w14:paraId="4E81E524" w14:textId="77777777" w:rsidR="00673E08" w:rsidRDefault="00673E08" w:rsidP="00673E08"/>
    <w:p w14:paraId="7D0BC48C" w14:textId="77777777" w:rsidR="00673E08" w:rsidRDefault="00673E08" w:rsidP="00673E08"/>
    <w:p w14:paraId="4D635C5B" w14:textId="77777777" w:rsidR="00673E08" w:rsidRDefault="00673E08" w:rsidP="00673E08"/>
    <w:p w14:paraId="2A34B424" w14:textId="77777777" w:rsidR="00673E08" w:rsidRDefault="00673E08" w:rsidP="00673E08"/>
    <w:p w14:paraId="0FF154C3" w14:textId="77777777" w:rsidR="00673E08" w:rsidRDefault="00673E08" w:rsidP="00673E08"/>
    <w:p w14:paraId="1617FDE7" w14:textId="77777777" w:rsidR="00673E08" w:rsidRDefault="00673E08" w:rsidP="00673E08"/>
    <w:p w14:paraId="2F684A23" w14:textId="739429E4" w:rsidR="00673E08" w:rsidRDefault="00673E08" w:rsidP="001661F3">
      <w:pPr>
        <w:pStyle w:val="ChapterHeading"/>
      </w:pPr>
      <w:bookmarkStart w:id="86" w:name="_Toc69381049"/>
      <w:bookmarkStart w:id="87" w:name="_Toc69395070"/>
      <w:bookmarkStart w:id="88" w:name="_Toc89700914"/>
      <w:r>
        <w:t>Part A</w:t>
      </w:r>
      <w:r w:rsidR="001661F3" w:rsidRPr="001661F3">
        <w:t>: Receiving remed</w:t>
      </w:r>
      <w:bookmarkEnd w:id="83"/>
      <w:bookmarkEnd w:id="84"/>
      <w:r w:rsidR="001661F3" w:rsidRPr="001661F3">
        <w:t>ies</w:t>
      </w:r>
      <w:bookmarkEnd w:id="85"/>
      <w:bookmarkEnd w:id="86"/>
      <w:bookmarkEnd w:id="87"/>
      <w:bookmarkEnd w:id="88"/>
    </w:p>
    <w:p w14:paraId="096ABD92" w14:textId="77777777" w:rsidR="00673E08" w:rsidRDefault="00673E08">
      <w:pPr>
        <w:spacing w:before="0" w:after="160" w:line="259" w:lineRule="auto"/>
        <w:rPr>
          <w:rFonts w:eastAsiaTheme="majorEastAsia" w:cstheme="majorBidi"/>
          <w:b/>
          <w:color w:val="5F5F5F" w:themeColor="text2"/>
          <w:kern w:val="32"/>
          <w:sz w:val="48"/>
          <w:szCs w:val="32"/>
        </w:rPr>
      </w:pPr>
      <w:r>
        <w:br w:type="page"/>
      </w:r>
    </w:p>
    <w:p w14:paraId="17CFCF99" w14:textId="5408646E" w:rsidR="001661F3" w:rsidRDefault="001661F3" w:rsidP="001A5A52">
      <w:pPr>
        <w:pStyle w:val="Heading2"/>
      </w:pPr>
      <w:bookmarkStart w:id="89" w:name="_Toc69381050"/>
      <w:bookmarkStart w:id="90" w:name="_Toc69395071"/>
      <w:bookmarkStart w:id="91" w:name="_Toc89700915"/>
      <w:r>
        <w:lastRenderedPageBreak/>
        <w:t>The problem:</w:t>
      </w:r>
      <w:r w:rsidR="001A5A52">
        <w:t xml:space="preserve"> </w:t>
      </w:r>
      <w:r w:rsidR="00A500CA">
        <w:t>c</w:t>
      </w:r>
      <w:r w:rsidR="001A5A52">
        <w:t xml:space="preserve">onsumers </w:t>
      </w:r>
      <w:r w:rsidR="00685759">
        <w:t xml:space="preserve">are </w:t>
      </w:r>
      <w:r w:rsidR="001A5A52">
        <w:t>not</w:t>
      </w:r>
      <w:r w:rsidR="00A500CA">
        <w:t xml:space="preserve"> always</w:t>
      </w:r>
      <w:r w:rsidR="001A5A52">
        <w:t xml:space="preserve"> given the remedies they are entitled to</w:t>
      </w:r>
      <w:bookmarkEnd w:id="89"/>
      <w:bookmarkEnd w:id="90"/>
      <w:bookmarkEnd w:id="91"/>
    </w:p>
    <w:p w14:paraId="1C1B7BF0" w14:textId="0A0EAE2C" w:rsidR="003F1537" w:rsidRDefault="003F1537" w:rsidP="00A7148F">
      <w:r>
        <w:t>T</w:t>
      </w:r>
      <w:r w:rsidRPr="0045505C">
        <w:t xml:space="preserve">he </w:t>
      </w:r>
      <w:r>
        <w:t xml:space="preserve">success of the </w:t>
      </w:r>
      <w:r w:rsidRPr="0045505C">
        <w:t xml:space="preserve">framework </w:t>
      </w:r>
      <w:r>
        <w:t>depends in part on parties being well informed and acting in good faith: with consumers understanding and asserting their rights and suppliers and manufacturers meeting their obligations.</w:t>
      </w:r>
      <w:r w:rsidRPr="00EB7F1C">
        <w:t xml:space="preserve"> </w:t>
      </w:r>
      <w:r>
        <w:t xml:space="preserve">Disagreement between the parties is not in and of itself an issue, as parties may reasonably disagree about the merits of </w:t>
      </w:r>
      <w:r w:rsidR="00B3197F">
        <w:t xml:space="preserve">a </w:t>
      </w:r>
      <w:r>
        <w:t>consumer</w:t>
      </w:r>
      <w:r w:rsidR="00B3197F">
        <w:t>’</w:t>
      </w:r>
      <w:r>
        <w:t xml:space="preserve">s claims. </w:t>
      </w:r>
      <w:r w:rsidRPr="003F2F32">
        <w:t>However, m</w:t>
      </w:r>
      <w:r w:rsidRPr="00C57FBC">
        <w:t>any consumers</w:t>
      </w:r>
      <w:r w:rsidR="00711181">
        <w:t xml:space="preserve"> claim they </w:t>
      </w:r>
      <w:r w:rsidRPr="00C57FBC">
        <w:t xml:space="preserve">are finding it difficult to obtain remedies from </w:t>
      </w:r>
      <w:r w:rsidR="00E66275">
        <w:t>suppliers</w:t>
      </w:r>
      <w:r w:rsidRPr="00C57FBC">
        <w:t xml:space="preserve"> for consumer guarantee failures</w:t>
      </w:r>
      <w:r w:rsidR="00AF1F05">
        <w:t xml:space="preserve">. </w:t>
      </w:r>
      <w:r w:rsidR="00AF1F05" w:rsidRPr="00AF1F05">
        <w:t>Where a business fails to provide a remedy, a consumer could seek to have the right enforced by a court or a tribunal. However, the business will not receive a penalty or other sanction for failing to provide the remedy</w:t>
      </w:r>
      <w:r w:rsidR="00AF1F05">
        <w:t xml:space="preserve">, meaning </w:t>
      </w:r>
      <w:r w:rsidR="00AF1F05" w:rsidRPr="00C57FBC">
        <w:t>there are limited incentives for suppliers and manufacturers to comply with their obligations</w:t>
      </w:r>
      <w:r w:rsidR="00AF1F05">
        <w:t xml:space="preserve">. </w:t>
      </w:r>
    </w:p>
    <w:p w14:paraId="26939136" w14:textId="77777777" w:rsidR="003F1537" w:rsidRDefault="003F1537" w:rsidP="003F1537">
      <w:pPr>
        <w:pStyle w:val="Heading3"/>
        <w:rPr>
          <w:sz w:val="22"/>
        </w:rPr>
      </w:pPr>
      <w:bookmarkStart w:id="92" w:name="_Toc69381051"/>
      <w:bookmarkStart w:id="93" w:name="_Toc69395072"/>
      <w:bookmarkStart w:id="94" w:name="_Toc89700916"/>
      <w:r w:rsidRPr="003F2F32">
        <w:t>Why is this a problem?</w:t>
      </w:r>
      <w:bookmarkEnd w:id="92"/>
      <w:bookmarkEnd w:id="93"/>
      <w:bookmarkEnd w:id="94"/>
    </w:p>
    <w:p w14:paraId="48F78DA7" w14:textId="1DEB9AF1" w:rsidR="00702D3C" w:rsidRPr="00BE12C4" w:rsidRDefault="00711181" w:rsidP="00BE12C4">
      <w:pPr>
        <w:pStyle w:val="Numbered"/>
        <w:tabs>
          <w:tab w:val="left" w:pos="425"/>
        </w:tabs>
        <w:spacing w:after="120" w:line="360" w:lineRule="auto"/>
        <w:rPr>
          <w:sz w:val="22"/>
        </w:rPr>
      </w:pPr>
      <w:r>
        <w:rPr>
          <w:sz w:val="22"/>
        </w:rPr>
        <w:t>C</w:t>
      </w:r>
      <w:r w:rsidR="00D92781">
        <w:rPr>
          <w:sz w:val="22"/>
        </w:rPr>
        <w:t xml:space="preserve">onsumers are likely to experience at least some level of </w:t>
      </w:r>
      <w:r w:rsidR="00323001">
        <w:rPr>
          <w:sz w:val="22"/>
        </w:rPr>
        <w:t>inconvenience</w:t>
      </w:r>
      <w:r w:rsidR="00D92781">
        <w:rPr>
          <w:sz w:val="22"/>
        </w:rPr>
        <w:t xml:space="preserve"> for a consumer guarantee </w:t>
      </w:r>
      <w:r w:rsidR="00E52EFF">
        <w:rPr>
          <w:sz w:val="22"/>
        </w:rPr>
        <w:t xml:space="preserve">failure. </w:t>
      </w:r>
      <w:r w:rsidR="00D92781">
        <w:rPr>
          <w:sz w:val="22"/>
        </w:rPr>
        <w:t xml:space="preserve">However, </w:t>
      </w:r>
      <w:r w:rsidR="00280E41">
        <w:rPr>
          <w:sz w:val="22"/>
        </w:rPr>
        <w:t>some consumers may suffer loss as a direct result of the failure (</w:t>
      </w:r>
      <w:r w:rsidR="003D2A31">
        <w:rPr>
          <w:sz w:val="22"/>
        </w:rPr>
        <w:t>e.g.</w:t>
      </w:r>
      <w:r w:rsidR="00280E41">
        <w:rPr>
          <w:sz w:val="22"/>
        </w:rPr>
        <w:t xml:space="preserve"> where a poorly installed toilet leaks and causes damage to carpets) or additional costs in pursuing a remedy.</w:t>
      </w:r>
      <w:r w:rsidR="002A75C3">
        <w:rPr>
          <w:sz w:val="22"/>
        </w:rPr>
        <w:t xml:space="preserve"> Some customers may also experience </w:t>
      </w:r>
      <w:r w:rsidR="000C6401">
        <w:rPr>
          <w:sz w:val="22"/>
        </w:rPr>
        <w:t xml:space="preserve">delays and </w:t>
      </w:r>
      <w:r w:rsidR="002A75C3">
        <w:rPr>
          <w:sz w:val="22"/>
        </w:rPr>
        <w:t>loss by purchas</w:t>
      </w:r>
      <w:r w:rsidR="000C6401">
        <w:rPr>
          <w:sz w:val="22"/>
        </w:rPr>
        <w:t>ing</w:t>
      </w:r>
      <w:r w:rsidR="002A75C3">
        <w:rPr>
          <w:sz w:val="22"/>
        </w:rPr>
        <w:t xml:space="preserve"> a product that doesn’t work as it</w:t>
      </w:r>
      <w:r w:rsidR="004032ED">
        <w:rPr>
          <w:sz w:val="22"/>
        </w:rPr>
        <w:t xml:space="preserve"> i</w:t>
      </w:r>
      <w:r w:rsidR="002A75C3">
        <w:rPr>
          <w:sz w:val="22"/>
        </w:rPr>
        <w:t xml:space="preserve">s supposed to, or needing to pay for additional services to rectify a service </w:t>
      </w:r>
      <w:r w:rsidR="004032ED">
        <w:rPr>
          <w:sz w:val="22"/>
        </w:rPr>
        <w:t>failure</w:t>
      </w:r>
      <w:r w:rsidR="002A75C3">
        <w:rPr>
          <w:sz w:val="22"/>
        </w:rPr>
        <w:t xml:space="preserve">. </w:t>
      </w:r>
      <w:r w:rsidR="000D2D1E">
        <w:rPr>
          <w:sz w:val="22"/>
        </w:rPr>
        <w:t>T</w:t>
      </w:r>
      <w:r w:rsidR="003F1537">
        <w:rPr>
          <w:sz w:val="22"/>
        </w:rPr>
        <w:t xml:space="preserve">his </w:t>
      </w:r>
      <w:r w:rsidR="00280E41">
        <w:rPr>
          <w:sz w:val="22"/>
        </w:rPr>
        <w:t xml:space="preserve">may lead to consumers having less confidence in purchasing goods and services, which </w:t>
      </w:r>
      <w:r w:rsidR="003F1537">
        <w:rPr>
          <w:sz w:val="22"/>
        </w:rPr>
        <w:t>may reduce aggregate demand</w:t>
      </w:r>
      <w:r w:rsidR="00702D3C">
        <w:rPr>
          <w:sz w:val="22"/>
        </w:rPr>
        <w:t xml:space="preserve"> </w:t>
      </w:r>
      <w:r w:rsidR="000D2D1E">
        <w:rPr>
          <w:sz w:val="22"/>
        </w:rPr>
        <w:t xml:space="preserve">and result </w:t>
      </w:r>
      <w:r w:rsidR="00702D3C">
        <w:rPr>
          <w:sz w:val="22"/>
        </w:rPr>
        <w:t>in a collective cost to the economy.</w:t>
      </w:r>
    </w:p>
    <w:p w14:paraId="79E7283D" w14:textId="413655BA" w:rsidR="00702D3C" w:rsidRDefault="00702D3C" w:rsidP="00BE12C4">
      <w:pPr>
        <w:pStyle w:val="Heading3"/>
      </w:pPr>
      <w:bookmarkStart w:id="95" w:name="_Toc69381052"/>
      <w:bookmarkStart w:id="96" w:name="_Toc69395073"/>
      <w:bookmarkStart w:id="97" w:name="_Toc89700917"/>
      <w:r>
        <w:t>What is the extent of the problem?</w:t>
      </w:r>
      <w:bookmarkEnd w:id="95"/>
      <w:bookmarkEnd w:id="96"/>
      <w:bookmarkEnd w:id="97"/>
    </w:p>
    <w:p w14:paraId="1E537F62" w14:textId="288D0A62" w:rsidR="003F1537" w:rsidRDefault="003F1537" w:rsidP="00BE12C4">
      <w:r>
        <w:t xml:space="preserve">The </w:t>
      </w:r>
      <w:r w:rsidR="00702D3C">
        <w:t xml:space="preserve">2016 </w:t>
      </w:r>
      <w:r>
        <w:t xml:space="preserve">Australian Consumer Survey </w:t>
      </w:r>
      <w:r w:rsidR="00702D3C">
        <w:t xml:space="preserve">(2016 Consumer Survey) </w:t>
      </w:r>
      <w:r>
        <w:t xml:space="preserve">indicates that most individuals seek to deal with </w:t>
      </w:r>
      <w:r w:rsidR="00044406">
        <w:t xml:space="preserve">consumer </w:t>
      </w:r>
      <w:r w:rsidR="00044406" w:rsidRPr="003041C7">
        <w:t xml:space="preserve">guarantee failures </w:t>
      </w:r>
      <w:r w:rsidRPr="003041C7">
        <w:t>themselves, but only 36</w:t>
      </w:r>
      <w:r w:rsidR="003A48A8" w:rsidRPr="003A48A8">
        <w:t xml:space="preserve"> </w:t>
      </w:r>
      <w:r w:rsidR="003A48A8">
        <w:t>per cent</w:t>
      </w:r>
      <w:r w:rsidR="003A48A8" w:rsidRPr="003041C7">
        <w:t xml:space="preserve"> </w:t>
      </w:r>
      <w:r w:rsidRPr="003041C7">
        <w:t xml:space="preserve">of consumers who reach a resolution </w:t>
      </w:r>
      <w:r w:rsidR="003D2A31">
        <w:t>can</w:t>
      </w:r>
      <w:r w:rsidRPr="003041C7">
        <w:t xml:space="preserve"> do so in the first contact.</w:t>
      </w:r>
      <w:r w:rsidR="00702D3C" w:rsidRPr="003041C7">
        <w:t xml:space="preserve"> </w:t>
      </w:r>
      <w:r w:rsidRPr="003041C7">
        <w:rPr>
          <w:rStyle w:val="FootnoteReference"/>
        </w:rPr>
        <w:footnoteReference w:id="27"/>
      </w:r>
      <w:r w:rsidRPr="003041C7">
        <w:t xml:space="preserve"> </w:t>
      </w:r>
      <w:r w:rsidR="000D2D1E">
        <w:t>O</w:t>
      </w:r>
      <w:r w:rsidRPr="003041C7">
        <w:t xml:space="preserve">n average, the </w:t>
      </w:r>
      <w:r w:rsidR="00702D3C" w:rsidRPr="003041C7">
        <w:t xml:space="preserve">2016 Consumer </w:t>
      </w:r>
      <w:r w:rsidRPr="003041C7">
        <w:t>Survey suggests Australian consumers spent 22.6 hours, equivalent to $655</w:t>
      </w:r>
      <w:r w:rsidR="00731AD4">
        <w:t xml:space="preserve"> </w:t>
      </w:r>
      <w:r w:rsidRPr="003041C7">
        <w:t xml:space="preserve">per year resolving their consumer guarantee problems. This </w:t>
      </w:r>
      <w:r w:rsidR="00943F86" w:rsidRPr="003041C7">
        <w:t xml:space="preserve">is in addition to </w:t>
      </w:r>
      <w:r w:rsidR="003D2A31" w:rsidRPr="003041C7">
        <w:t>out-of-pocket</w:t>
      </w:r>
      <w:r w:rsidR="00943F86" w:rsidRPr="003041C7">
        <w:t xml:space="preserve"> costs such as </w:t>
      </w:r>
      <w:r w:rsidRPr="003041C7">
        <w:t>travel</w:t>
      </w:r>
      <w:r w:rsidR="00943F86" w:rsidRPr="003041C7">
        <w:t xml:space="preserve">, legal or </w:t>
      </w:r>
      <w:r w:rsidRPr="003041C7">
        <w:t>technical advice</w:t>
      </w:r>
      <w:r w:rsidR="009D216D" w:rsidRPr="003041C7">
        <w:t xml:space="preserve"> which cost the average consumer around $299 per year</w:t>
      </w:r>
      <w:r w:rsidRPr="003041C7">
        <w:t>.</w:t>
      </w:r>
      <w:r w:rsidRPr="003041C7">
        <w:rPr>
          <w:rStyle w:val="FootnoteReference"/>
        </w:rPr>
        <w:footnoteReference w:id="28"/>
      </w:r>
      <w:r>
        <w:t xml:space="preserve"> </w:t>
      </w:r>
    </w:p>
    <w:p w14:paraId="044A99DD" w14:textId="703C7F82" w:rsidR="003F1537" w:rsidRDefault="003F1537" w:rsidP="00BE12C4">
      <w:r>
        <w:t xml:space="preserve">Where consumers are not satisfied with </w:t>
      </w:r>
      <w:r w:rsidR="009769D4">
        <w:t xml:space="preserve">a </w:t>
      </w:r>
      <w:r w:rsidR="00AC19D6">
        <w:t>supplier</w:t>
      </w:r>
      <w:r>
        <w:t xml:space="preserve"> response, they </w:t>
      </w:r>
      <w:r w:rsidR="009769D4">
        <w:t>can</w:t>
      </w:r>
      <w:r>
        <w:t xml:space="preserve"> decide whether to </w:t>
      </w:r>
      <w:r w:rsidR="009769D4">
        <w:t>pursue</w:t>
      </w:r>
      <w:r>
        <w:t xml:space="preserve"> the matter further</w:t>
      </w:r>
      <w:r w:rsidR="00BA039A">
        <w:t xml:space="preserve"> through </w:t>
      </w:r>
      <w:r w:rsidRPr="0045505C">
        <w:t xml:space="preserve">private action </w:t>
      </w:r>
      <w:r>
        <w:t>(</w:t>
      </w:r>
      <w:r w:rsidR="003D2A31">
        <w:t>i.e.,</w:t>
      </w:r>
      <w:r>
        <w:t xml:space="preserve"> seeking the intervention of a Tribunal or Court) </w:t>
      </w:r>
      <w:r w:rsidRPr="0045505C">
        <w:t xml:space="preserve">to </w:t>
      </w:r>
      <w:r>
        <w:t>compel</w:t>
      </w:r>
      <w:r w:rsidRPr="0045505C">
        <w:t xml:space="preserve"> </w:t>
      </w:r>
      <w:r>
        <w:t xml:space="preserve">suppliers to meet their obligations. </w:t>
      </w:r>
      <w:r w:rsidR="003D2A31">
        <w:t>However,</w:t>
      </w:r>
      <w:r w:rsidR="00BA039A">
        <w:t xml:space="preserve"> </w:t>
      </w:r>
      <w:r w:rsidR="003D2A31">
        <w:t>this process</w:t>
      </w:r>
      <w:r>
        <w:t xml:space="preserve"> </w:t>
      </w:r>
      <w:r w:rsidR="00BA039A">
        <w:t xml:space="preserve">can be costly and </w:t>
      </w:r>
      <w:r w:rsidR="00D85B41">
        <w:t xml:space="preserve">act as </w:t>
      </w:r>
      <w:r>
        <w:t xml:space="preserve">a barrier to </w:t>
      </w:r>
      <w:r>
        <w:lastRenderedPageBreak/>
        <w:t>consumers enforcing their ACL remedy rights. For example, Court/Tribunal application fees</w:t>
      </w:r>
      <w:r w:rsidR="009769D4">
        <w:t xml:space="preserve">, </w:t>
      </w:r>
      <w:r>
        <w:rPr>
          <w:rStyle w:val="FootnoteReference"/>
        </w:rPr>
        <w:footnoteReference w:id="29"/>
      </w:r>
      <w:r>
        <w:t xml:space="preserve"> private expert legal opinions</w:t>
      </w:r>
      <w:r w:rsidR="006D2179">
        <w:rPr>
          <w:rStyle w:val="FootnoteReference"/>
        </w:rPr>
        <w:footnoteReference w:id="30"/>
      </w:r>
      <w:r>
        <w:t xml:space="preserve"> (beyond the guidance and advice provided by ACL regulators) and expert technical reports about the condition of a good or the cause of a fault, </w:t>
      </w:r>
      <w:r w:rsidR="00D85B41">
        <w:t xml:space="preserve">may be required </w:t>
      </w:r>
      <w:r>
        <w:t xml:space="preserve">to </w:t>
      </w:r>
      <w:r w:rsidR="004032ED">
        <w:t>make</w:t>
      </w:r>
      <w:r>
        <w:t xml:space="preserve"> a compelling case. ACL regulators </w:t>
      </w:r>
      <w:r w:rsidR="00D23B5A">
        <w:t>note cases</w:t>
      </w:r>
      <w:r>
        <w:t xml:space="preserve"> where Courts/Tribunals required consumers to obtain expert reports for their case.</w:t>
      </w:r>
    </w:p>
    <w:p w14:paraId="3CFD5CCC" w14:textId="36AF8B14" w:rsidR="003F1537" w:rsidRDefault="003F1537" w:rsidP="00BE12C4">
      <w:r>
        <w:t xml:space="preserve">The value of the transaction is also relevant to how businesses and consumers approach consumer guarantee </w:t>
      </w:r>
      <w:r w:rsidR="00D23B5A">
        <w:t>claims.</w:t>
      </w:r>
      <w:r>
        <w:t xml:space="preserve"> </w:t>
      </w:r>
      <w:r w:rsidR="00BA039A">
        <w:t>For example, c</w:t>
      </w:r>
      <w:r>
        <w:t xml:space="preserve">onsumers are less likely to complain to a business, or take their claim to a </w:t>
      </w:r>
      <w:r w:rsidR="00731AD4">
        <w:t>C</w:t>
      </w:r>
      <w:r>
        <w:t>ourt/</w:t>
      </w:r>
      <w:r w:rsidR="00731AD4">
        <w:t>T</w:t>
      </w:r>
      <w:r>
        <w:t>ribunal, for low value goods</w:t>
      </w:r>
      <w:r w:rsidR="00DF3F37">
        <w:t xml:space="preserve"> (such as </w:t>
      </w:r>
      <w:r w:rsidR="00F578EE">
        <w:t xml:space="preserve">a </w:t>
      </w:r>
      <w:r w:rsidR="00DF3F37">
        <w:t>toaster)</w:t>
      </w:r>
      <w:r>
        <w:t xml:space="preserve"> or </w:t>
      </w:r>
      <w:r w:rsidR="00D23B5A">
        <w:t>services, and</w:t>
      </w:r>
      <w:r>
        <w:t xml:space="preserve"> are more likely to wear the costs of any failure by a supplier or manufacturer to comply with the consumer guarantees.</w:t>
      </w:r>
    </w:p>
    <w:p w14:paraId="5EDDC9B6" w14:textId="7DFA11CA" w:rsidR="003F1537" w:rsidRPr="00702D3C" w:rsidRDefault="003F1537" w:rsidP="003F1537">
      <w:pPr>
        <w:pStyle w:val="Bullet"/>
        <w:numPr>
          <w:ilvl w:val="0"/>
          <w:numId w:val="0"/>
        </w:numPr>
      </w:pPr>
      <w:r w:rsidRPr="00702D3C">
        <w:t xml:space="preserve">Conversely, where a consumer </w:t>
      </w:r>
      <w:r w:rsidRPr="00BE12C4">
        <w:t>does</w:t>
      </w:r>
      <w:r w:rsidRPr="00702D3C">
        <w:t xml:space="preserve"> make a claim about a low value good or service, the suppliers and manufacturers are more likely to wear those costs, as it may be more cost effective to provide a remedy up front without any closer examination. Suppliers and manufacturers have more incentive to closely </w:t>
      </w:r>
      <w:r w:rsidR="00D23B5A" w:rsidRPr="00702D3C">
        <w:t>examine,</w:t>
      </w:r>
      <w:r w:rsidRPr="00702D3C">
        <w:t xml:space="preserve"> and dispute consumer guarantee claims where high </w:t>
      </w:r>
      <w:r w:rsidR="00AF4F33" w:rsidRPr="00702D3C">
        <w:t xml:space="preserve">value </w:t>
      </w:r>
      <w:r w:rsidR="009E0370" w:rsidRPr="00702D3C">
        <w:t xml:space="preserve">goods </w:t>
      </w:r>
      <w:r w:rsidRPr="00702D3C">
        <w:t>or services are</w:t>
      </w:r>
      <w:r>
        <w:t xml:space="preserve"> </w:t>
      </w:r>
      <w:r w:rsidRPr="00702D3C">
        <w:t xml:space="preserve">involved. For example, Legal Aid Queensland has previously noted for goods that fail shortly after purchase: </w:t>
      </w:r>
    </w:p>
    <w:p w14:paraId="7D902F85" w14:textId="216237D3" w:rsidR="003F1537" w:rsidRDefault="003F1537" w:rsidP="003F1537">
      <w:pPr>
        <w:pStyle w:val="Numbered"/>
        <w:tabs>
          <w:tab w:val="left" w:pos="425"/>
        </w:tabs>
        <w:spacing w:after="120" w:line="360" w:lineRule="auto"/>
        <w:ind w:left="425"/>
        <w:rPr>
          <w:i/>
          <w:sz w:val="22"/>
        </w:rPr>
      </w:pPr>
      <w:r w:rsidRPr="008367D5">
        <w:rPr>
          <w:i/>
          <w:sz w:val="22"/>
        </w:rPr>
        <w:t>Traders are more likely to agree to a refund for small value goods such as small appliances (toasters</w:t>
      </w:r>
      <w:r w:rsidR="009E0370">
        <w:rPr>
          <w:i/>
          <w:sz w:val="22"/>
        </w:rPr>
        <w:t>,</w:t>
      </w:r>
      <w:r w:rsidRPr="008367D5">
        <w:rPr>
          <w:i/>
          <w:sz w:val="22"/>
        </w:rPr>
        <w:t xml:space="preserve"> microwaves) and other small consumer goods (phones, small value tools). However, with higher value goods such as cars and major appliances, traders will almost never agree to a refund and will insist on trying to repair the goods even when the failure is a significant one.</w:t>
      </w:r>
      <w:r>
        <w:rPr>
          <w:rStyle w:val="FootnoteReference"/>
          <w:sz w:val="22"/>
        </w:rPr>
        <w:footnoteReference w:id="31"/>
      </w:r>
    </w:p>
    <w:p w14:paraId="12697F7D" w14:textId="1CEF56F7" w:rsidR="003F1537" w:rsidRPr="003F1537" w:rsidRDefault="006B6F4D" w:rsidP="00BE12C4">
      <w:r>
        <w:t>D</w:t>
      </w:r>
      <w:r w:rsidR="003F1537">
        <w:t xml:space="preserve">ata from the 2016 </w:t>
      </w:r>
      <w:r w:rsidR="003F1537" w:rsidRPr="00DF1C48">
        <w:t>A</w:t>
      </w:r>
      <w:r w:rsidR="003F1537">
        <w:t xml:space="preserve">ustralian </w:t>
      </w:r>
      <w:r w:rsidR="003F1537" w:rsidRPr="00DF1C48">
        <w:t>Consumer Survey</w:t>
      </w:r>
      <w:r w:rsidR="003F1537">
        <w:t xml:space="preserve"> has been used as a basis for modelling</w:t>
      </w:r>
      <w:r>
        <w:t xml:space="preserve"> in this Consultation RIS</w:t>
      </w:r>
      <w:r w:rsidR="003F1537">
        <w:t xml:space="preserve">. </w:t>
      </w:r>
      <w:r w:rsidR="00D23B5A">
        <w:t>Consumers</w:t>
      </w:r>
      <w:r w:rsidR="003F1537">
        <w:t xml:space="preserve"> who experience a consumer guarantee failure are assumed to take </w:t>
      </w:r>
      <w:r w:rsidR="003F1537">
        <w:lastRenderedPageBreak/>
        <w:t>action 82</w:t>
      </w:r>
      <w:r w:rsidR="003A48A8">
        <w:t xml:space="preserve"> per cent </w:t>
      </w:r>
      <w:r w:rsidR="003F1537">
        <w:t>of the time.</w:t>
      </w:r>
      <w:r w:rsidR="00EF1D71">
        <w:t xml:space="preserve"> </w:t>
      </w:r>
      <w:r w:rsidR="003F1537">
        <w:rPr>
          <w:rStyle w:val="FootnoteReference"/>
          <w:sz w:val="22"/>
        </w:rPr>
        <w:footnoteReference w:id="32"/>
      </w:r>
      <w:r w:rsidR="003F1537">
        <w:rPr>
          <w:rStyle w:val="FootnoteReference"/>
          <w:sz w:val="22"/>
        </w:rPr>
        <w:t xml:space="preserve"> </w:t>
      </w:r>
      <w:r w:rsidR="003F1537">
        <w:t xml:space="preserve"> Similarly, for consumers </w:t>
      </w:r>
      <w:r>
        <w:t xml:space="preserve">who </w:t>
      </w:r>
      <w:r w:rsidR="003F1537">
        <w:t>seek a remedy, 55</w:t>
      </w:r>
      <w:r w:rsidR="003A48A8">
        <w:t xml:space="preserve"> per cent</w:t>
      </w:r>
      <w:r w:rsidR="003F1537">
        <w:t xml:space="preserve"> are assumed to obtain remedies to their satisfaction.</w:t>
      </w:r>
      <w:r w:rsidR="001D4008">
        <w:t xml:space="preserve"> </w:t>
      </w:r>
      <w:r w:rsidR="003F1537">
        <w:rPr>
          <w:rStyle w:val="FootnoteReference"/>
          <w:sz w:val="22"/>
        </w:rPr>
        <w:footnoteReference w:id="33"/>
      </w:r>
      <w:r w:rsidR="003F1537">
        <w:t xml:space="preserve"> </w:t>
      </w:r>
    </w:p>
    <w:p w14:paraId="744C8BF7" w14:textId="6E204CD6" w:rsidR="003F1537" w:rsidRDefault="003F1537" w:rsidP="00BE12C4">
      <w:r>
        <w:t>For the remaining 45</w:t>
      </w:r>
      <w:r w:rsidR="003A48A8">
        <w:t xml:space="preserve"> per cent</w:t>
      </w:r>
      <w:r>
        <w:t xml:space="preserve"> of consumers </w:t>
      </w:r>
      <w:r w:rsidR="006B6F4D">
        <w:t xml:space="preserve">who </w:t>
      </w:r>
      <w:r>
        <w:t xml:space="preserve">do not obtain remedies, the Survey </w:t>
      </w:r>
      <w:r w:rsidR="006D56F1">
        <w:t xml:space="preserve">data </w:t>
      </w:r>
      <w:r>
        <w:t xml:space="preserve">does not provide any further insights into how many of these consumers may be entitled to a remedy. </w:t>
      </w:r>
      <w:r w:rsidR="00665976">
        <w:rPr>
          <w:rStyle w:val="FootnoteReference"/>
        </w:rPr>
        <w:footnoteReference w:id="34"/>
      </w:r>
      <w:r w:rsidR="006B6F4D">
        <w:t>F</w:t>
      </w:r>
      <w:r>
        <w:t xml:space="preserve">or the purposes of </w:t>
      </w:r>
      <w:r w:rsidR="006B6F4D">
        <w:t xml:space="preserve">this Consultation RIS </w:t>
      </w:r>
      <w:r>
        <w:t>and in the absence of any further evidence, it is assumed half (22.5</w:t>
      </w:r>
      <w:r w:rsidR="003A48A8">
        <w:t xml:space="preserve"> per cent</w:t>
      </w:r>
      <w:r>
        <w:t>) are entitled to a remedy and the remainder (22.5</w:t>
      </w:r>
      <w:r w:rsidR="003A48A8">
        <w:t xml:space="preserve"> per cent</w:t>
      </w:r>
      <w:r>
        <w:t>) are not.</w:t>
      </w:r>
      <w:r w:rsidR="001D4008">
        <w:t xml:space="preserve"> </w:t>
      </w:r>
      <w:r>
        <w:rPr>
          <w:rStyle w:val="FootnoteReference"/>
          <w:sz w:val="22"/>
        </w:rPr>
        <w:footnoteReference w:id="35"/>
      </w:r>
      <w:r>
        <w:t xml:space="preserve"> </w:t>
      </w:r>
      <w:r w:rsidR="00982CB5">
        <w:t>Therefore,</w:t>
      </w:r>
      <w:r w:rsidR="00DB4207">
        <w:t xml:space="preserve"> </w:t>
      </w:r>
      <w:r>
        <w:t xml:space="preserve">the likelihood of a consumer </w:t>
      </w:r>
      <w:r w:rsidR="0006354A">
        <w:t xml:space="preserve">who requests a remedy </w:t>
      </w:r>
      <w:r w:rsidR="00B73CB9">
        <w:t xml:space="preserve">but does </w:t>
      </w:r>
      <w:r w:rsidR="00D23B5A">
        <w:t>not receive</w:t>
      </w:r>
      <w:r>
        <w:t xml:space="preserve"> a remedy when entitled is assumed to be 29</w:t>
      </w:r>
      <w:r w:rsidR="003615C9">
        <w:t xml:space="preserve"> </w:t>
      </w:r>
      <w:r w:rsidR="003A48A8">
        <w:t>per cent</w:t>
      </w:r>
      <w:r>
        <w:t>.</w:t>
      </w:r>
      <w:r w:rsidR="001D4008">
        <w:t xml:space="preserve"> </w:t>
      </w:r>
      <w:r>
        <w:rPr>
          <w:rStyle w:val="FootnoteReference"/>
          <w:sz w:val="22"/>
        </w:rPr>
        <w:footnoteReference w:id="36"/>
      </w:r>
      <w:r>
        <w:t xml:space="preserve">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3F1537" w14:paraId="3A0DB1EA" w14:textId="77777777" w:rsidTr="0006354A">
        <w:tc>
          <w:tcPr>
            <w:tcW w:w="9016" w:type="dxa"/>
            <w:shd w:val="clear" w:color="auto" w:fill="F2F2F2" w:themeFill="background1" w:themeFillShade="F2"/>
          </w:tcPr>
          <w:p w14:paraId="6D4A01D0" w14:textId="77777777" w:rsidR="003F1537" w:rsidRPr="00EC7C4D" w:rsidRDefault="003F1537" w:rsidP="00756876">
            <w:pPr>
              <w:rPr>
                <w:b/>
                <w:sz w:val="22"/>
                <w:szCs w:val="22"/>
              </w:rPr>
            </w:pPr>
            <w:r w:rsidRPr="00EC7C4D">
              <w:rPr>
                <w:b/>
                <w:sz w:val="22"/>
                <w:szCs w:val="22"/>
              </w:rPr>
              <w:t>Focus question:</w:t>
            </w:r>
          </w:p>
          <w:p w14:paraId="4B348CE3" w14:textId="619434F3" w:rsidR="003F1537" w:rsidRPr="00231B80" w:rsidRDefault="00CD7639" w:rsidP="004A3FDA">
            <w:pPr>
              <w:pStyle w:val="Bullet"/>
              <w:widowControl w:val="0"/>
              <w:numPr>
                <w:ilvl w:val="0"/>
                <w:numId w:val="37"/>
              </w:numPr>
              <w:spacing w:before="120" w:after="240" w:line="280" w:lineRule="exact"/>
              <w:rPr>
                <w:rFonts w:asciiTheme="minorHAnsi" w:eastAsiaTheme="minorHAnsi" w:hAnsiTheme="minorHAnsi" w:cstheme="minorBidi"/>
                <w:color w:val="000000" w:themeColor="text1"/>
                <w:szCs w:val="22"/>
                <w:lang w:eastAsia="en-US"/>
              </w:rPr>
            </w:pPr>
            <w:r w:rsidRPr="00EC7C4D">
              <w:rPr>
                <w:rFonts w:asciiTheme="minorHAnsi" w:eastAsiaTheme="minorHAnsi" w:hAnsiTheme="minorHAnsi" w:cstheme="minorBidi"/>
                <w:color w:val="000000" w:themeColor="text1"/>
                <w:sz w:val="22"/>
                <w:szCs w:val="24"/>
                <w:lang w:eastAsia="en-US"/>
              </w:rPr>
              <w:t xml:space="preserve">Please </w:t>
            </w:r>
            <w:r w:rsidR="009F6455" w:rsidRPr="00EC7C4D">
              <w:rPr>
                <w:rFonts w:asciiTheme="minorHAnsi" w:eastAsiaTheme="minorHAnsi" w:hAnsiTheme="minorHAnsi" w:cstheme="minorBidi"/>
                <w:color w:val="000000" w:themeColor="text1"/>
                <w:sz w:val="22"/>
                <w:szCs w:val="24"/>
                <w:lang w:eastAsia="en-US"/>
              </w:rPr>
              <w:t>provide any</w:t>
            </w:r>
            <w:r w:rsidRPr="00EC7C4D">
              <w:rPr>
                <w:rFonts w:asciiTheme="minorHAnsi" w:eastAsiaTheme="minorHAnsi" w:hAnsiTheme="minorHAnsi" w:cstheme="minorBidi"/>
                <w:color w:val="000000" w:themeColor="text1"/>
                <w:sz w:val="22"/>
                <w:szCs w:val="24"/>
                <w:lang w:eastAsia="en-US"/>
              </w:rPr>
              <w:t xml:space="preserve"> relevant information</w:t>
            </w:r>
            <w:r w:rsidR="009F6455" w:rsidRPr="00EC7C4D">
              <w:rPr>
                <w:rFonts w:asciiTheme="minorHAnsi" w:eastAsiaTheme="minorHAnsi" w:hAnsiTheme="minorHAnsi" w:cstheme="minorBidi"/>
                <w:color w:val="000000" w:themeColor="text1"/>
                <w:sz w:val="22"/>
                <w:szCs w:val="24"/>
                <w:lang w:eastAsia="en-US"/>
              </w:rPr>
              <w:t xml:space="preserve"> or data</w:t>
            </w:r>
            <w:r w:rsidR="003F1537" w:rsidRPr="00EC7C4D">
              <w:rPr>
                <w:rFonts w:asciiTheme="minorHAnsi" w:eastAsiaTheme="minorHAnsi" w:hAnsiTheme="minorHAnsi" w:cstheme="minorBidi"/>
                <w:color w:val="000000" w:themeColor="text1"/>
                <w:sz w:val="22"/>
                <w:szCs w:val="24"/>
                <w:lang w:eastAsia="en-US"/>
              </w:rPr>
              <w:t xml:space="preserve"> </w:t>
            </w:r>
            <w:r w:rsidR="00236710" w:rsidRPr="00EC7C4D">
              <w:rPr>
                <w:rFonts w:asciiTheme="minorHAnsi" w:eastAsiaTheme="minorHAnsi" w:hAnsiTheme="minorHAnsi" w:cstheme="minorBidi"/>
                <w:color w:val="000000" w:themeColor="text1"/>
                <w:sz w:val="22"/>
                <w:szCs w:val="24"/>
                <w:lang w:eastAsia="en-US"/>
              </w:rPr>
              <w:t>you have</w:t>
            </w:r>
            <w:r w:rsidR="00953317" w:rsidRPr="00EC7C4D">
              <w:rPr>
                <w:sz w:val="22"/>
                <w:szCs w:val="22"/>
              </w:rPr>
              <w:t xml:space="preserve"> to help estimate the extent </w:t>
            </w:r>
            <w:r w:rsidR="003F1537" w:rsidRPr="00EC7C4D">
              <w:rPr>
                <w:rFonts w:asciiTheme="minorHAnsi" w:eastAsiaTheme="minorHAnsi" w:hAnsiTheme="minorHAnsi" w:cstheme="minorBidi"/>
                <w:color w:val="000000" w:themeColor="text1"/>
                <w:sz w:val="22"/>
                <w:szCs w:val="24"/>
                <w:lang w:eastAsia="en-US"/>
              </w:rPr>
              <w:t>to which consumers are unable to access consumer guarantee remedies when entitled?</w:t>
            </w:r>
          </w:p>
        </w:tc>
      </w:tr>
    </w:tbl>
    <w:p w14:paraId="0188520B" w14:textId="7F4E53F4" w:rsidR="000C63AF" w:rsidRDefault="000C63AF" w:rsidP="000C63AF">
      <w:pPr>
        <w:pStyle w:val="Heading3"/>
      </w:pPr>
      <w:bookmarkStart w:id="98" w:name="_Toc89700918"/>
      <w:r>
        <w:t xml:space="preserve">2018 consultation on the </w:t>
      </w:r>
      <w:r w:rsidRPr="000C63AF">
        <w:t>consumer guarantee framework</w:t>
      </w:r>
      <w:bookmarkEnd w:id="98"/>
    </w:p>
    <w:p w14:paraId="187D5261" w14:textId="24066CCC" w:rsidR="0006354A" w:rsidRDefault="00DE59B5" w:rsidP="0006354A">
      <w:pPr>
        <w:pStyle w:val="Numbered"/>
        <w:tabs>
          <w:tab w:val="left" w:pos="425"/>
        </w:tabs>
        <w:spacing w:after="120" w:line="360" w:lineRule="auto"/>
        <w:rPr>
          <w:sz w:val="22"/>
        </w:rPr>
      </w:pPr>
      <w:r>
        <w:rPr>
          <w:sz w:val="22"/>
        </w:rPr>
        <w:t>P</w:t>
      </w:r>
      <w:r w:rsidR="0006354A">
        <w:rPr>
          <w:sz w:val="22"/>
        </w:rPr>
        <w:t>revious c</w:t>
      </w:r>
      <w:r w:rsidR="0006354A" w:rsidRPr="006A33B2">
        <w:rPr>
          <w:sz w:val="22"/>
        </w:rPr>
        <w:t xml:space="preserve">onsultation </w:t>
      </w:r>
      <w:r w:rsidR="0006354A">
        <w:rPr>
          <w:sz w:val="22"/>
        </w:rPr>
        <w:t xml:space="preserve">undertaken </w:t>
      </w:r>
      <w:r w:rsidR="0006354A" w:rsidRPr="006A33B2">
        <w:rPr>
          <w:sz w:val="22"/>
        </w:rPr>
        <w:t xml:space="preserve">by Treasury </w:t>
      </w:r>
      <w:r w:rsidR="0006354A">
        <w:rPr>
          <w:sz w:val="22"/>
        </w:rPr>
        <w:t xml:space="preserve">in 2018, </w:t>
      </w:r>
      <w:r w:rsidR="0006354A" w:rsidRPr="006A33B2">
        <w:rPr>
          <w:sz w:val="22"/>
        </w:rPr>
        <w:t xml:space="preserve">on behalf of </w:t>
      </w:r>
      <w:r w:rsidR="000F57B3">
        <w:rPr>
          <w:sz w:val="22"/>
        </w:rPr>
        <w:t xml:space="preserve">CAANZ </w:t>
      </w:r>
      <w:r w:rsidR="0006354A">
        <w:rPr>
          <w:sz w:val="22"/>
        </w:rPr>
        <w:t xml:space="preserve">(now </w:t>
      </w:r>
      <w:r w:rsidR="0006354A" w:rsidRPr="00C13411">
        <w:rPr>
          <w:sz w:val="22"/>
        </w:rPr>
        <w:t>Consumer Senior Officials)</w:t>
      </w:r>
      <w:r w:rsidR="0006354A" w:rsidRPr="00113975">
        <w:rPr>
          <w:sz w:val="22"/>
        </w:rPr>
        <w:t xml:space="preserve">, for the RIS: </w:t>
      </w:r>
      <w:hyperlink r:id="rId26" w:history="1">
        <w:r w:rsidR="0006354A" w:rsidRPr="00D23B5A">
          <w:rPr>
            <w:rStyle w:val="Hyperlink"/>
            <w:i/>
            <w:sz w:val="22"/>
          </w:rPr>
          <w:t>Australian Consumer Law Review: Clarification, simplification and modernisation of the consumer guarantee framework</w:t>
        </w:r>
      </w:hyperlink>
      <w:r w:rsidR="0006354A">
        <w:rPr>
          <w:sz w:val="22"/>
        </w:rPr>
        <w:t xml:space="preserve"> </w:t>
      </w:r>
      <w:r>
        <w:rPr>
          <w:sz w:val="22"/>
        </w:rPr>
        <w:t xml:space="preserve">suggested </w:t>
      </w:r>
      <w:r w:rsidR="0006354A" w:rsidRPr="006A33B2">
        <w:rPr>
          <w:sz w:val="22"/>
        </w:rPr>
        <w:t>consumers are experiencing widespread problems enforcing their existing entitlement to a refund or replacement</w:t>
      </w:r>
      <w:r w:rsidR="00522318">
        <w:rPr>
          <w:sz w:val="22"/>
        </w:rPr>
        <w:t xml:space="preserve">, particular for goods considered to have </w:t>
      </w:r>
      <w:r w:rsidR="0006354A">
        <w:rPr>
          <w:sz w:val="22"/>
        </w:rPr>
        <w:t>‘</w:t>
      </w:r>
      <w:r w:rsidR="0006354A" w:rsidRPr="006A33B2">
        <w:rPr>
          <w:sz w:val="22"/>
        </w:rPr>
        <w:t>major failure</w:t>
      </w:r>
      <w:r w:rsidR="00522318">
        <w:rPr>
          <w:sz w:val="22"/>
        </w:rPr>
        <w:t>s</w:t>
      </w:r>
      <w:r w:rsidR="0006354A">
        <w:rPr>
          <w:sz w:val="22"/>
        </w:rPr>
        <w:t>’</w:t>
      </w:r>
      <w:r w:rsidR="00A162B9">
        <w:rPr>
          <w:sz w:val="22"/>
        </w:rPr>
        <w:t>.</w:t>
      </w:r>
      <w:r w:rsidR="0006354A">
        <w:rPr>
          <w:sz w:val="22"/>
        </w:rPr>
        <w:t xml:space="preserve"> </w:t>
      </w:r>
    </w:p>
    <w:p w14:paraId="1ACE23B7" w14:textId="7F1A0A3D" w:rsidR="0006354A" w:rsidRDefault="0006354A" w:rsidP="0006354A">
      <w:pPr>
        <w:pStyle w:val="Numbered"/>
        <w:tabs>
          <w:tab w:val="left" w:pos="425"/>
        </w:tabs>
        <w:spacing w:after="120" w:line="360" w:lineRule="auto"/>
        <w:rPr>
          <w:sz w:val="22"/>
        </w:rPr>
      </w:pPr>
      <w:r w:rsidRPr="00F54639">
        <w:rPr>
          <w:sz w:val="22"/>
        </w:rPr>
        <w:t xml:space="preserve">For example, </w:t>
      </w:r>
      <w:r>
        <w:rPr>
          <w:sz w:val="22"/>
        </w:rPr>
        <w:t>the Caravan Council of Australia noted ‘</w:t>
      </w:r>
      <w:r w:rsidRPr="00DA63BC">
        <w:rPr>
          <w:sz w:val="22"/>
        </w:rPr>
        <w:t>many aggrieved caravan owners had major problems in having Suppliers</w:t>
      </w:r>
      <w:r>
        <w:rPr>
          <w:sz w:val="22"/>
        </w:rPr>
        <w:t xml:space="preserve"> </w:t>
      </w:r>
      <w:r w:rsidRPr="00DA63BC">
        <w:rPr>
          <w:sz w:val="22"/>
        </w:rPr>
        <w:t>and Manufacturers admit to, and rectify, defects…</w:t>
      </w:r>
      <w:r>
        <w:rPr>
          <w:sz w:val="22"/>
        </w:rPr>
        <w:t>’.</w:t>
      </w:r>
      <w:r>
        <w:rPr>
          <w:rStyle w:val="FootnoteReference"/>
          <w:sz w:val="22"/>
        </w:rPr>
        <w:footnoteReference w:id="37"/>
      </w:r>
      <w:r>
        <w:rPr>
          <w:sz w:val="22"/>
        </w:rPr>
        <w:t xml:space="preserve"> Similarly, a </w:t>
      </w:r>
      <w:r w:rsidRPr="00F54639">
        <w:rPr>
          <w:sz w:val="22"/>
        </w:rPr>
        <w:t>submission made by consumer representative orga</w:t>
      </w:r>
      <w:r>
        <w:rPr>
          <w:sz w:val="22"/>
        </w:rPr>
        <w:t xml:space="preserve">nisation </w:t>
      </w:r>
      <w:r w:rsidR="00DE0474">
        <w:rPr>
          <w:sz w:val="22"/>
        </w:rPr>
        <w:t>CHOICE</w:t>
      </w:r>
      <w:r>
        <w:rPr>
          <w:sz w:val="22"/>
        </w:rPr>
        <w:t xml:space="preserve"> noted:</w:t>
      </w:r>
    </w:p>
    <w:p w14:paraId="713CDA1A" w14:textId="3A64FB85" w:rsidR="0006354A" w:rsidRDefault="0006354A" w:rsidP="0006354A">
      <w:pPr>
        <w:pStyle w:val="Numbered"/>
        <w:tabs>
          <w:tab w:val="left" w:pos="425"/>
        </w:tabs>
        <w:spacing w:after="120" w:line="360" w:lineRule="auto"/>
        <w:ind w:left="425"/>
        <w:rPr>
          <w:sz w:val="22"/>
        </w:rPr>
      </w:pPr>
      <w:r w:rsidRPr="00376137">
        <w:rPr>
          <w:i/>
          <w:sz w:val="22"/>
        </w:rPr>
        <w:lastRenderedPageBreak/>
        <w:t xml:space="preserve">We have received hundreds of </w:t>
      </w:r>
      <w:r w:rsidRPr="000D17F9">
        <w:rPr>
          <w:i/>
          <w:sz w:val="22"/>
        </w:rPr>
        <w:t xml:space="preserve">contacts over the last month </w:t>
      </w:r>
      <w:r w:rsidRPr="00376137">
        <w:rPr>
          <w:i/>
          <w:sz w:val="22"/>
        </w:rPr>
        <w:t>from individuals who are frustrated with how much time and effort they needed to expend to convince businesses to provide them with remedies they are legally entitled to.</w:t>
      </w:r>
      <w:r>
        <w:rPr>
          <w:rStyle w:val="FootnoteReference"/>
          <w:sz w:val="22"/>
        </w:rPr>
        <w:footnoteReference w:id="38"/>
      </w:r>
    </w:p>
    <w:p w14:paraId="4688013E" w14:textId="12D4CAF9" w:rsidR="0006354A" w:rsidRDefault="0006354A" w:rsidP="0006354A">
      <w:pPr>
        <w:pStyle w:val="Numbered"/>
        <w:tabs>
          <w:tab w:val="left" w:pos="425"/>
        </w:tabs>
        <w:spacing w:after="120" w:line="360" w:lineRule="auto"/>
        <w:rPr>
          <w:sz w:val="22"/>
        </w:rPr>
      </w:pPr>
      <w:r>
        <w:rPr>
          <w:sz w:val="22"/>
        </w:rPr>
        <w:t xml:space="preserve">The 2018 submissions set out various situations </w:t>
      </w:r>
      <w:r w:rsidR="00522318">
        <w:rPr>
          <w:sz w:val="22"/>
        </w:rPr>
        <w:t xml:space="preserve">where </w:t>
      </w:r>
      <w:r>
        <w:rPr>
          <w:sz w:val="22"/>
        </w:rPr>
        <w:t>consumers have experienced problems obtaining remedies:</w:t>
      </w:r>
    </w:p>
    <w:p w14:paraId="6AA493A5" w14:textId="6830A6F9" w:rsidR="0006354A" w:rsidRPr="001042AB" w:rsidRDefault="0006354A" w:rsidP="00BE12C4">
      <w:pPr>
        <w:pStyle w:val="Bullet"/>
      </w:pPr>
      <w:r w:rsidRPr="001042AB">
        <w:t>suppliers referring consumers to manufacturers</w:t>
      </w:r>
    </w:p>
    <w:p w14:paraId="46C0FEE7" w14:textId="2D829AC4" w:rsidR="0006354A" w:rsidRPr="00AF1343" w:rsidRDefault="0006354A" w:rsidP="00BE12C4">
      <w:pPr>
        <w:pStyle w:val="Bullet"/>
      </w:pPr>
      <w:r w:rsidRPr="00AF1343">
        <w:t xml:space="preserve">suppliers being unwilling to provide any particular remedy unless and until the manufacturer directs them </w:t>
      </w:r>
      <w:r w:rsidR="00E21DB1">
        <w:t>on</w:t>
      </w:r>
      <w:r w:rsidR="00E21DB1" w:rsidRPr="00AF1343">
        <w:t xml:space="preserve"> </w:t>
      </w:r>
      <w:r w:rsidRPr="00AF1343">
        <w:t>what to do</w:t>
      </w:r>
    </w:p>
    <w:p w14:paraId="74FFB536" w14:textId="067811CC" w:rsidR="0006354A" w:rsidRPr="00AF1343" w:rsidRDefault="0006354A" w:rsidP="00BE12C4">
      <w:pPr>
        <w:pStyle w:val="Bullet"/>
      </w:pPr>
      <w:r w:rsidRPr="00AF1343">
        <w:t>suppliers extensively delaying or ignoring requests for a remedy and</w:t>
      </w:r>
    </w:p>
    <w:p w14:paraId="10D7DBE5" w14:textId="77777777" w:rsidR="0006354A" w:rsidRPr="00880369" w:rsidRDefault="0006354A" w:rsidP="00BE12C4">
      <w:pPr>
        <w:pStyle w:val="Bullet"/>
      </w:pPr>
      <w:r w:rsidRPr="00880369">
        <w:t xml:space="preserve">consumers having to obtain expert advice or other interventions to obtain remedies. </w:t>
      </w:r>
    </w:p>
    <w:p w14:paraId="441B9CA9" w14:textId="071EEC4D" w:rsidR="0006354A" w:rsidRDefault="0006354A" w:rsidP="0006354A">
      <w:pPr>
        <w:pStyle w:val="Bullet"/>
        <w:numPr>
          <w:ilvl w:val="0"/>
          <w:numId w:val="0"/>
        </w:numPr>
      </w:pPr>
      <w:r>
        <w:t>Some illustrative case studies from the 2018 consultation</w:t>
      </w:r>
      <w:r w:rsidR="00737BCE">
        <w:t xml:space="preserve"> and ACL regulators</w:t>
      </w:r>
      <w:r>
        <w:t xml:space="preserve"> are summarised below</w:t>
      </w:r>
      <w:r w:rsidR="005C5EE3">
        <w:t>.</w:t>
      </w:r>
      <w:r>
        <w:t xml:space="preserve"> </w:t>
      </w:r>
    </w:p>
    <w:tbl>
      <w:tblPr>
        <w:tblStyle w:val="TableGrid"/>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21"/>
      </w:tblGrid>
      <w:tr w:rsidR="0006354A" w14:paraId="7BCB4E58" w14:textId="77777777" w:rsidTr="00BE12C4">
        <w:trPr>
          <w:cantSplit/>
        </w:trPr>
        <w:tc>
          <w:tcPr>
            <w:tcW w:w="9021" w:type="dxa"/>
            <w:shd w:val="clear" w:color="auto" w:fill="E6DAED" w:themeFill="accent6" w:themeFillTint="33"/>
          </w:tcPr>
          <w:p w14:paraId="7255C945" w14:textId="29C7102D" w:rsidR="0006354A" w:rsidRPr="00FF2F6F" w:rsidRDefault="0006354A" w:rsidP="00756876">
            <w:pPr>
              <w:pStyle w:val="Bullet"/>
              <w:numPr>
                <w:ilvl w:val="0"/>
                <w:numId w:val="0"/>
              </w:numPr>
              <w:rPr>
                <w:b/>
              </w:rPr>
            </w:pPr>
            <w:r>
              <w:rPr>
                <w:b/>
              </w:rPr>
              <w:t xml:space="preserve">Case Study 1: </w:t>
            </w:r>
            <w:r w:rsidR="00105E5B">
              <w:rPr>
                <w:b/>
              </w:rPr>
              <w:t>Padma</w:t>
            </w:r>
          </w:p>
          <w:p w14:paraId="6CD52EF0" w14:textId="220F4D6E" w:rsidR="00105E5B" w:rsidRDefault="00105E5B" w:rsidP="00105E5B">
            <w:pPr>
              <w:pStyle w:val="Bullet"/>
              <w:numPr>
                <w:ilvl w:val="0"/>
                <w:numId w:val="0"/>
              </w:numPr>
            </w:pPr>
            <w:r>
              <w:t xml:space="preserve">Padma purchased a new </w:t>
            </w:r>
            <w:r w:rsidR="0060015F">
              <w:t xml:space="preserve">motor </w:t>
            </w:r>
            <w:r>
              <w:t xml:space="preserve">vehicle. A few years later, rough idle issues caused the vehicle to go into limp mode while she was driving it, on more than 40 occasions. </w:t>
            </w:r>
            <w:r w:rsidRPr="007C777F">
              <w:t>Dealers for the car’s</w:t>
            </w:r>
            <w:r>
              <w:t xml:space="preserve"> manufacturer attempted to repair the </w:t>
            </w:r>
            <w:r w:rsidR="0060015F">
              <w:t xml:space="preserve">motor </w:t>
            </w:r>
            <w:r>
              <w:t xml:space="preserve">vehicle but the rough idle issues persisted. Padma requested a replacement </w:t>
            </w:r>
            <w:r w:rsidR="0060015F">
              <w:t xml:space="preserve">motor </w:t>
            </w:r>
            <w:r w:rsidR="00E02497">
              <w:t>vehicle,</w:t>
            </w:r>
            <w:r>
              <w:t xml:space="preserve"> but this request was refused.</w:t>
            </w:r>
          </w:p>
          <w:p w14:paraId="60176003" w14:textId="4663C7BB" w:rsidR="0006354A" w:rsidRPr="000F0EC5" w:rsidRDefault="00105E5B" w:rsidP="00756876">
            <w:pPr>
              <w:pStyle w:val="Bullet"/>
              <w:numPr>
                <w:ilvl w:val="0"/>
                <w:numId w:val="0"/>
              </w:numPr>
            </w:pPr>
            <w:r>
              <w:t>Padma commenced action in a tribunal seeking a refund. The tribunal member told Padma it was unreasonable for her to ask for a full refund because she had received fair use of the vehicle for four years and the most she could receive would be the</w:t>
            </w:r>
            <w:r w:rsidR="0060015F">
              <w:t xml:space="preserve"> motor</w:t>
            </w:r>
            <w:r w:rsidR="00E21DB1">
              <w:t xml:space="preserve"> vehicle’s </w:t>
            </w:r>
            <w:r>
              <w:t xml:space="preserve">current market value. The </w:t>
            </w:r>
            <w:r w:rsidR="00044406">
              <w:t>tribunal</w:t>
            </w:r>
            <w:r>
              <w:t xml:space="preserve"> member also told Padma </w:t>
            </w:r>
            <w:r w:rsidR="00E21DB1">
              <w:t xml:space="preserve">the </w:t>
            </w:r>
            <w:r>
              <w:t>inspection report provided</w:t>
            </w:r>
            <w:r w:rsidR="00E21DB1">
              <w:t xml:space="preserve"> </w:t>
            </w:r>
            <w:r>
              <w:t xml:space="preserve">by a well-known and experienced independent national repair company </w:t>
            </w:r>
            <w:r w:rsidR="00E21DB1">
              <w:t>would not be accepted</w:t>
            </w:r>
            <w:r w:rsidR="00CB31E0">
              <w:t xml:space="preserve">, and rather a </w:t>
            </w:r>
            <w:r>
              <w:t>more comprehensive inspection report</w:t>
            </w:r>
            <w:r w:rsidR="00E21DB1">
              <w:t xml:space="preserve"> was required</w:t>
            </w:r>
            <w:r w:rsidR="00CB31E0">
              <w:t xml:space="preserve">. This </w:t>
            </w:r>
            <w:r w:rsidR="006061BA">
              <w:t>new report would cost around</w:t>
            </w:r>
            <w:r>
              <w:t xml:space="preserve"> $1500-2000.</w:t>
            </w:r>
          </w:p>
        </w:tc>
      </w:tr>
    </w:tbl>
    <w:p w14:paraId="41897E74" w14:textId="77777777" w:rsidR="0006354A" w:rsidRDefault="0006354A" w:rsidP="0006354A">
      <w:pPr>
        <w:spacing w:after="0"/>
      </w:pPr>
    </w:p>
    <w:tbl>
      <w:tblPr>
        <w:tblStyle w:val="TableGrid"/>
        <w:tblW w:w="0" w:type="auto"/>
        <w:tblInd w:w="-5" w:type="dxa"/>
        <w:tblBorders>
          <w:top w:val="single" w:sz="4" w:space="0" w:color="auto"/>
          <w:left w:val="single" w:sz="4" w:space="0" w:color="auto"/>
          <w:bottom w:val="single" w:sz="4" w:space="0" w:color="auto"/>
          <w:right w:val="single" w:sz="4" w:space="0" w:color="auto"/>
        </w:tblBorders>
        <w:shd w:val="clear" w:color="auto" w:fill="E6DAED" w:themeFill="accent6" w:themeFillTint="33"/>
        <w:tblLook w:val="04A0" w:firstRow="1" w:lastRow="0" w:firstColumn="1" w:lastColumn="0" w:noHBand="0" w:noVBand="1"/>
      </w:tblPr>
      <w:tblGrid>
        <w:gridCol w:w="9021"/>
      </w:tblGrid>
      <w:tr w:rsidR="0006354A" w14:paraId="613EF593" w14:textId="77777777" w:rsidTr="00BE12C4">
        <w:trPr>
          <w:cantSplit/>
        </w:trPr>
        <w:tc>
          <w:tcPr>
            <w:tcW w:w="9021" w:type="dxa"/>
            <w:shd w:val="clear" w:color="auto" w:fill="E6DAED" w:themeFill="accent6" w:themeFillTint="33"/>
          </w:tcPr>
          <w:p w14:paraId="52C504FA" w14:textId="77777777" w:rsidR="0006354A" w:rsidRPr="00217839" w:rsidRDefault="0006354A" w:rsidP="00756876">
            <w:pPr>
              <w:pStyle w:val="Bullet"/>
              <w:numPr>
                <w:ilvl w:val="0"/>
                <w:numId w:val="0"/>
              </w:numPr>
              <w:rPr>
                <w:b/>
              </w:rPr>
            </w:pPr>
            <w:r w:rsidRPr="00217839">
              <w:rPr>
                <w:b/>
              </w:rPr>
              <w:t>Case Study 2: Rod</w:t>
            </w:r>
            <w:r w:rsidRPr="00217839">
              <w:rPr>
                <w:rStyle w:val="FootnoteReference"/>
              </w:rPr>
              <w:footnoteReference w:id="39"/>
            </w:r>
          </w:p>
          <w:p w14:paraId="6B5CC6AE" w14:textId="29423A9A" w:rsidR="0006354A" w:rsidRDefault="0006354A" w:rsidP="00756876">
            <w:pPr>
              <w:pStyle w:val="Bullet"/>
              <w:numPr>
                <w:ilvl w:val="0"/>
                <w:numId w:val="0"/>
              </w:numPr>
            </w:pPr>
            <w:r>
              <w:t xml:space="preserve">Rod </w:t>
            </w:r>
            <w:r w:rsidRPr="00217839">
              <w:t>bought a pair of running glasses with prescription inserts</w:t>
            </w:r>
            <w:r>
              <w:t xml:space="preserve"> </w:t>
            </w:r>
            <w:r w:rsidRPr="00217839">
              <w:t>cost</w:t>
            </w:r>
            <w:r>
              <w:t>ing</w:t>
            </w:r>
            <w:r w:rsidRPr="00217839">
              <w:t xml:space="preserve"> over $600</w:t>
            </w:r>
            <w:r>
              <w:t>. T</w:t>
            </w:r>
            <w:r w:rsidRPr="00217839">
              <w:t xml:space="preserve">he inserts rubbed the </w:t>
            </w:r>
            <w:r w:rsidR="00ED4B78">
              <w:t xml:space="preserve">sunglasses </w:t>
            </w:r>
            <w:r w:rsidRPr="00217839">
              <w:t xml:space="preserve">film off within a month. Despite </w:t>
            </w:r>
            <w:r>
              <w:t xml:space="preserve">an </w:t>
            </w:r>
            <w:r w:rsidRPr="00217839">
              <w:t>optometrist writing a letter stating the product was faulty</w:t>
            </w:r>
            <w:r>
              <w:t xml:space="preserve">, </w:t>
            </w:r>
            <w:r w:rsidRPr="00217839">
              <w:t xml:space="preserve">the </w:t>
            </w:r>
            <w:r>
              <w:t>supplier did not provide a remedy.</w:t>
            </w:r>
          </w:p>
        </w:tc>
      </w:tr>
    </w:tbl>
    <w:p w14:paraId="475FE5B0" w14:textId="77777777" w:rsidR="0006354A" w:rsidRDefault="0006354A" w:rsidP="0006354A">
      <w:pPr>
        <w:spacing w:after="0"/>
      </w:pPr>
    </w:p>
    <w:tbl>
      <w:tblPr>
        <w:tblStyle w:val="TableGrid"/>
        <w:tblW w:w="0" w:type="auto"/>
        <w:shd w:val="clear" w:color="auto" w:fill="E6DAED" w:themeFill="accent6" w:themeFillTint="33"/>
        <w:tblLook w:val="04A0" w:firstRow="1" w:lastRow="0" w:firstColumn="1" w:lastColumn="0" w:noHBand="0" w:noVBand="1"/>
      </w:tblPr>
      <w:tblGrid>
        <w:gridCol w:w="9016"/>
      </w:tblGrid>
      <w:tr w:rsidR="0006354A" w14:paraId="1C9D8024" w14:textId="77777777" w:rsidTr="00BE12C4">
        <w:trPr>
          <w:cantSplit/>
        </w:trPr>
        <w:tc>
          <w:tcPr>
            <w:tcW w:w="9016" w:type="dxa"/>
            <w:tcBorders>
              <w:top w:val="single" w:sz="4" w:space="0" w:color="auto"/>
              <w:left w:val="single" w:sz="4" w:space="0" w:color="auto"/>
              <w:bottom w:val="single" w:sz="4" w:space="0" w:color="auto"/>
              <w:right w:val="single" w:sz="4" w:space="0" w:color="auto"/>
            </w:tcBorders>
            <w:shd w:val="clear" w:color="auto" w:fill="E6DAED" w:themeFill="accent6" w:themeFillTint="33"/>
          </w:tcPr>
          <w:p w14:paraId="44FB703F" w14:textId="77777777" w:rsidR="0006354A" w:rsidRPr="005B57D2" w:rsidRDefault="0006354A" w:rsidP="00756876">
            <w:pPr>
              <w:pStyle w:val="Numbered"/>
              <w:tabs>
                <w:tab w:val="left" w:pos="425"/>
              </w:tabs>
              <w:spacing w:before="120" w:after="120" w:line="276" w:lineRule="auto"/>
              <w:rPr>
                <w:sz w:val="20"/>
                <w:szCs w:val="20"/>
              </w:rPr>
            </w:pPr>
            <w:r w:rsidRPr="005B57D2">
              <w:rPr>
                <w:b/>
                <w:sz w:val="20"/>
                <w:szCs w:val="20"/>
              </w:rPr>
              <w:lastRenderedPageBreak/>
              <w:t xml:space="preserve">Case Study </w:t>
            </w:r>
            <w:r>
              <w:rPr>
                <w:b/>
                <w:sz w:val="20"/>
                <w:szCs w:val="20"/>
              </w:rPr>
              <w:t>3</w:t>
            </w:r>
            <w:r w:rsidRPr="005B57D2">
              <w:rPr>
                <w:b/>
                <w:sz w:val="20"/>
                <w:szCs w:val="20"/>
              </w:rPr>
              <w:t xml:space="preserve">: </w:t>
            </w:r>
            <w:r>
              <w:rPr>
                <w:b/>
                <w:sz w:val="20"/>
                <w:szCs w:val="20"/>
              </w:rPr>
              <w:t>Peter</w:t>
            </w:r>
            <w:r w:rsidRPr="00587DDA">
              <w:rPr>
                <w:rStyle w:val="FootnoteReference"/>
                <w:szCs w:val="20"/>
              </w:rPr>
              <w:footnoteReference w:id="40"/>
            </w:r>
          </w:p>
          <w:p w14:paraId="7D0DFC85" w14:textId="43406F48" w:rsidR="00BE12C4" w:rsidRPr="005B57D2" w:rsidRDefault="0006354A" w:rsidP="0006354A">
            <w:pPr>
              <w:pStyle w:val="Numbered"/>
              <w:tabs>
                <w:tab w:val="left" w:pos="425"/>
              </w:tabs>
              <w:spacing w:after="120" w:line="360" w:lineRule="auto"/>
              <w:rPr>
                <w:sz w:val="20"/>
                <w:szCs w:val="20"/>
              </w:rPr>
            </w:pPr>
            <w:r w:rsidRPr="001557F5">
              <w:rPr>
                <w:sz w:val="20"/>
                <w:szCs w:val="20"/>
              </w:rPr>
              <w:t>Peter bought a wooden outdoor lounge chair for $1,000. Peter had made</w:t>
            </w:r>
            <w:r w:rsidR="007B0EFB">
              <w:rPr>
                <w:sz w:val="20"/>
                <w:szCs w:val="20"/>
              </w:rPr>
              <w:t xml:space="preserve"> it</w:t>
            </w:r>
            <w:r w:rsidRPr="001557F5">
              <w:rPr>
                <w:sz w:val="20"/>
                <w:szCs w:val="20"/>
              </w:rPr>
              <w:t xml:space="preserve"> known to the retailer </w:t>
            </w:r>
            <w:r w:rsidR="00CF3BDA">
              <w:rPr>
                <w:sz w:val="20"/>
                <w:szCs w:val="20"/>
              </w:rPr>
              <w:t xml:space="preserve">he wanted a low maintenance product as </w:t>
            </w:r>
            <w:r w:rsidRPr="001557F5">
              <w:rPr>
                <w:sz w:val="20"/>
                <w:szCs w:val="20"/>
              </w:rPr>
              <w:t>the chair would be in full sun</w:t>
            </w:r>
            <w:r w:rsidR="00CF3BDA">
              <w:rPr>
                <w:sz w:val="20"/>
                <w:szCs w:val="20"/>
              </w:rPr>
              <w:t xml:space="preserve"> and</w:t>
            </w:r>
            <w:r w:rsidRPr="001557F5">
              <w:rPr>
                <w:sz w:val="20"/>
                <w:szCs w:val="20"/>
              </w:rPr>
              <w:t xml:space="preserve"> uncovered</w:t>
            </w:r>
            <w:r w:rsidR="00CF3BDA">
              <w:rPr>
                <w:sz w:val="20"/>
                <w:szCs w:val="20"/>
              </w:rPr>
              <w:t>.</w:t>
            </w:r>
            <w:r w:rsidRPr="001557F5">
              <w:rPr>
                <w:sz w:val="20"/>
                <w:szCs w:val="20"/>
              </w:rPr>
              <w:t xml:space="preserve"> Peter </w:t>
            </w:r>
            <w:r w:rsidR="007B0EFB">
              <w:rPr>
                <w:sz w:val="20"/>
                <w:szCs w:val="20"/>
              </w:rPr>
              <w:t xml:space="preserve">was assured, the chair recommended by the retailer </w:t>
            </w:r>
            <w:r w:rsidRPr="001557F5">
              <w:rPr>
                <w:sz w:val="20"/>
                <w:szCs w:val="20"/>
              </w:rPr>
              <w:t xml:space="preserve">was made with high quality materials, required no maintenance and would last in the conditions Peter had described. Within one month of purchase the chair had developed black marks, the wood had started to </w:t>
            </w:r>
            <w:r w:rsidR="00E02497" w:rsidRPr="001557F5">
              <w:rPr>
                <w:sz w:val="20"/>
                <w:szCs w:val="20"/>
              </w:rPr>
              <w:t>disintegrate,</w:t>
            </w:r>
            <w:r w:rsidRPr="001557F5">
              <w:rPr>
                <w:sz w:val="20"/>
                <w:szCs w:val="20"/>
              </w:rPr>
              <w:t xml:space="preserve"> and the appearance was so poor Peter put a cover over it. Peter spent 12 months attempting to resolve the matter</w:t>
            </w:r>
            <w:r w:rsidR="007B0EFB">
              <w:rPr>
                <w:sz w:val="20"/>
                <w:szCs w:val="20"/>
              </w:rPr>
              <w:t xml:space="preserve">, </w:t>
            </w:r>
            <w:r w:rsidRPr="001557F5">
              <w:rPr>
                <w:sz w:val="20"/>
                <w:szCs w:val="20"/>
              </w:rPr>
              <w:t>with the retailer confirm</w:t>
            </w:r>
            <w:r w:rsidR="007B0EFB">
              <w:rPr>
                <w:sz w:val="20"/>
                <w:szCs w:val="20"/>
              </w:rPr>
              <w:t>ing</w:t>
            </w:r>
            <w:r w:rsidRPr="001557F5">
              <w:rPr>
                <w:sz w:val="20"/>
                <w:szCs w:val="20"/>
              </w:rPr>
              <w:t xml:space="preserve"> the chair could not be repaired. </w:t>
            </w:r>
            <w:r w:rsidR="00AA3518">
              <w:rPr>
                <w:sz w:val="20"/>
                <w:szCs w:val="20"/>
              </w:rPr>
              <w:t>T</w:t>
            </w:r>
            <w:r w:rsidR="007B0EFB">
              <w:rPr>
                <w:sz w:val="20"/>
                <w:szCs w:val="20"/>
              </w:rPr>
              <w:t>he r</w:t>
            </w:r>
            <w:r w:rsidRPr="001557F5">
              <w:rPr>
                <w:sz w:val="20"/>
                <w:szCs w:val="20"/>
              </w:rPr>
              <w:t xml:space="preserve">efund </w:t>
            </w:r>
            <w:r w:rsidR="007B0EFB">
              <w:rPr>
                <w:sz w:val="20"/>
                <w:szCs w:val="20"/>
              </w:rPr>
              <w:t xml:space="preserve">sought </w:t>
            </w:r>
            <w:r w:rsidRPr="001557F5">
              <w:rPr>
                <w:sz w:val="20"/>
                <w:szCs w:val="20"/>
              </w:rPr>
              <w:t xml:space="preserve">from the retailer was refused, and eventually </w:t>
            </w:r>
            <w:r w:rsidR="007B0EFB">
              <w:rPr>
                <w:sz w:val="20"/>
                <w:szCs w:val="20"/>
              </w:rPr>
              <w:t>Peter</w:t>
            </w:r>
            <w:r w:rsidR="007B0EFB" w:rsidRPr="001557F5">
              <w:rPr>
                <w:sz w:val="20"/>
                <w:szCs w:val="20"/>
              </w:rPr>
              <w:t xml:space="preserve"> </w:t>
            </w:r>
            <w:r w:rsidRPr="001557F5">
              <w:rPr>
                <w:sz w:val="20"/>
                <w:szCs w:val="20"/>
              </w:rPr>
              <w:t>took the matter to the Tribunal.</w:t>
            </w:r>
          </w:p>
        </w:tc>
      </w:tr>
    </w:tbl>
    <w:p w14:paraId="2BAE0A89" w14:textId="77777777" w:rsidR="00BE12C4" w:rsidRDefault="00BE12C4"/>
    <w:tbl>
      <w:tblPr>
        <w:tblStyle w:val="TableGrid1"/>
        <w:tblW w:w="0" w:type="auto"/>
        <w:tblInd w:w="0" w:type="dxa"/>
        <w:shd w:val="clear" w:color="auto" w:fill="E6DAED" w:themeFill="accent6" w:themeFillTint="33"/>
        <w:tblLook w:val="04A0" w:firstRow="1" w:lastRow="0" w:firstColumn="1" w:lastColumn="0" w:noHBand="0" w:noVBand="1"/>
      </w:tblPr>
      <w:tblGrid>
        <w:gridCol w:w="9016"/>
      </w:tblGrid>
      <w:tr w:rsidR="00105E5B" w14:paraId="52A4879F" w14:textId="77777777" w:rsidTr="00BE12C4">
        <w:trPr>
          <w:cantSplit/>
        </w:trPr>
        <w:tc>
          <w:tcPr>
            <w:tcW w:w="9016" w:type="dxa"/>
            <w:tcBorders>
              <w:top w:val="single" w:sz="4" w:space="0" w:color="auto"/>
              <w:left w:val="single" w:sz="4" w:space="0" w:color="auto"/>
              <w:bottom w:val="single" w:sz="4" w:space="0" w:color="auto"/>
              <w:right w:val="single" w:sz="4" w:space="0" w:color="auto"/>
            </w:tcBorders>
            <w:shd w:val="clear" w:color="auto" w:fill="E6DAED" w:themeFill="accent6" w:themeFillTint="33"/>
            <w:hideMark/>
          </w:tcPr>
          <w:p w14:paraId="41593E32" w14:textId="77777777" w:rsidR="00E52EFF" w:rsidRDefault="00E52EFF" w:rsidP="00E52EFF">
            <w:pPr>
              <w:pStyle w:val="Numbered"/>
              <w:tabs>
                <w:tab w:val="left" w:pos="425"/>
              </w:tabs>
              <w:spacing w:before="120" w:after="120" w:line="276" w:lineRule="auto"/>
              <w:rPr>
                <w:sz w:val="20"/>
                <w:szCs w:val="20"/>
              </w:rPr>
            </w:pPr>
            <w:r>
              <w:rPr>
                <w:b/>
                <w:sz w:val="20"/>
                <w:szCs w:val="20"/>
              </w:rPr>
              <w:t>Case Study 4: Omar</w:t>
            </w:r>
          </w:p>
          <w:p w14:paraId="71DA7E29" w14:textId="5CBA7E7F" w:rsidR="000C6401" w:rsidRPr="000C6401" w:rsidRDefault="000C6401" w:rsidP="000C6401">
            <w:pPr>
              <w:pStyle w:val="Numbered"/>
              <w:tabs>
                <w:tab w:val="left" w:pos="425"/>
              </w:tabs>
              <w:spacing w:after="120" w:line="360" w:lineRule="auto"/>
              <w:rPr>
                <w:sz w:val="20"/>
                <w:szCs w:val="20"/>
              </w:rPr>
            </w:pPr>
            <w:r w:rsidRPr="000C6401">
              <w:rPr>
                <w:sz w:val="20"/>
                <w:szCs w:val="20"/>
              </w:rPr>
              <w:t xml:space="preserve">Omar purchased a new laptop costing around $1000. When he opened the packaging, he discovered the laptop had a cracked screen. He returned it to the retailer who advised him they would repair it. The retailer had the laptop for almost a month before deciding they would replace it instead. The retailer replaced it with a refurbished unit. The refurbished unit had a line running across the screen display. Omar decided not to raise this issue with the retailer to avoid the hassle experienced the first time. </w:t>
            </w:r>
          </w:p>
          <w:p w14:paraId="42BC736A" w14:textId="6111E62E" w:rsidR="000C6401" w:rsidRDefault="000C6401">
            <w:pPr>
              <w:pStyle w:val="Numbered"/>
              <w:tabs>
                <w:tab w:val="left" w:pos="425"/>
              </w:tabs>
              <w:spacing w:after="120" w:line="360" w:lineRule="auto"/>
              <w:rPr>
                <w:sz w:val="20"/>
                <w:szCs w:val="20"/>
              </w:rPr>
            </w:pPr>
          </w:p>
        </w:tc>
      </w:tr>
    </w:tbl>
    <w:p w14:paraId="24B85D2B" w14:textId="5B91A37A" w:rsidR="0006354A" w:rsidRDefault="0006354A" w:rsidP="0006354A">
      <w:pPr>
        <w:pStyle w:val="Heading3"/>
      </w:pPr>
      <w:bookmarkStart w:id="99" w:name="_Toc69381054"/>
      <w:bookmarkStart w:id="100" w:name="_Toc69395075"/>
      <w:bookmarkStart w:id="101" w:name="_Toc89700919"/>
      <w:r>
        <w:t>Are consumers approaching regulators with concerns and what can they do?</w:t>
      </w:r>
      <w:bookmarkEnd w:id="99"/>
      <w:bookmarkEnd w:id="100"/>
      <w:bookmarkEnd w:id="101"/>
    </w:p>
    <w:p w14:paraId="3AB771D2" w14:textId="733780F4" w:rsidR="0051029D" w:rsidRDefault="0006354A" w:rsidP="009D6988">
      <w:r>
        <w:t xml:space="preserve">The extent to which consumers contact regulators </w:t>
      </w:r>
      <w:r w:rsidR="00992C1C">
        <w:t xml:space="preserve">on </w:t>
      </w:r>
      <w:r>
        <w:t xml:space="preserve">the consumer guarantees </w:t>
      </w:r>
      <w:r w:rsidR="00031413">
        <w:t>may be</w:t>
      </w:r>
      <w:r>
        <w:t xml:space="preserve"> another indicator of non-compliance. </w:t>
      </w:r>
      <w:r w:rsidR="0051029D">
        <w:t>M</w:t>
      </w:r>
      <w:r w:rsidR="0051029D" w:rsidRPr="0045505C">
        <w:t xml:space="preserve">ore than </w:t>
      </w:r>
      <w:r w:rsidR="0051029D">
        <w:t>38,000</w:t>
      </w:r>
      <w:r w:rsidR="0051029D" w:rsidRPr="0045505C">
        <w:t xml:space="preserve"> people </w:t>
      </w:r>
      <w:r w:rsidR="0051029D">
        <w:t xml:space="preserve">contacted the ACCC </w:t>
      </w:r>
      <w:r w:rsidR="005E0C99">
        <w:t>on</w:t>
      </w:r>
      <w:r w:rsidR="0051029D">
        <w:t xml:space="preserve"> the </w:t>
      </w:r>
      <w:r w:rsidR="0051029D" w:rsidRPr="0045505C">
        <w:t>consumer guarantee</w:t>
      </w:r>
      <w:r w:rsidR="0051029D">
        <w:t>s</w:t>
      </w:r>
      <w:r w:rsidR="0051029D" w:rsidRPr="0045505C">
        <w:t xml:space="preserve"> </w:t>
      </w:r>
      <w:r w:rsidR="0051029D">
        <w:t>in 2019</w:t>
      </w:r>
      <w:r w:rsidR="00B46B35">
        <w:t xml:space="preserve"> </w:t>
      </w:r>
      <w:r w:rsidR="00B46B35" w:rsidRPr="003615C9">
        <w:t>(</w:t>
      </w:r>
      <w:r w:rsidR="00ED4D59">
        <w:fldChar w:fldCharType="begin"/>
      </w:r>
      <w:r w:rsidR="00ED4D59">
        <w:instrText xml:space="preserve"> REF _Ref89700861 \h </w:instrText>
      </w:r>
      <w:r w:rsidR="00ED4D59">
        <w:fldChar w:fldCharType="separate"/>
      </w:r>
      <w:r w:rsidR="00001633" w:rsidRPr="00E97D56">
        <w:rPr>
          <w:b/>
          <w:bCs/>
          <w:i/>
          <w:iCs/>
          <w:szCs w:val="22"/>
        </w:rPr>
        <w:t xml:space="preserve">Figure </w:t>
      </w:r>
      <w:r w:rsidR="00001633">
        <w:rPr>
          <w:b/>
          <w:bCs/>
          <w:i/>
          <w:iCs/>
          <w:noProof/>
          <w:szCs w:val="22"/>
        </w:rPr>
        <w:t>1</w:t>
      </w:r>
      <w:r w:rsidR="00ED4D59">
        <w:fldChar w:fldCharType="end"/>
      </w:r>
      <w:r w:rsidR="00B46B35" w:rsidRPr="003615C9">
        <w:t>)</w:t>
      </w:r>
      <w:r w:rsidR="0051029D" w:rsidRPr="003615C9">
        <w:t xml:space="preserve">, </w:t>
      </w:r>
      <w:r w:rsidR="0051029D">
        <w:t>an increase of 78</w:t>
      </w:r>
      <w:r w:rsidR="003A48A8">
        <w:t xml:space="preserve"> per cent</w:t>
      </w:r>
      <w:r w:rsidR="0051029D">
        <w:t xml:space="preserve"> over 2016.</w:t>
      </w:r>
      <w:r w:rsidR="00F44C39">
        <w:t xml:space="preserve"> </w:t>
      </w:r>
      <w:r w:rsidR="003D6C34">
        <w:t>ACCC c</w:t>
      </w:r>
      <w:r w:rsidR="00F44C39" w:rsidRPr="00F44C39">
        <w:t xml:space="preserve">onsumer </w:t>
      </w:r>
      <w:r w:rsidR="00F44C39">
        <w:t>g</w:t>
      </w:r>
      <w:r w:rsidR="00F44C39" w:rsidRPr="00F44C39">
        <w:t xml:space="preserve">uarantees data for 2020-21 have been affected by the COVID-19 pandemic and have therefore not been included. </w:t>
      </w:r>
      <w:r w:rsidR="003615C9">
        <w:br/>
      </w:r>
      <w:r w:rsidR="0051029D">
        <w:t xml:space="preserve">A large number of consumers </w:t>
      </w:r>
      <w:r w:rsidR="003D6C34">
        <w:t xml:space="preserve">have </w:t>
      </w:r>
      <w:r w:rsidR="0051029D">
        <w:t>also contacted state and territory ACL regulators (at least another 100,000)</w:t>
      </w:r>
      <w:r w:rsidR="0051029D">
        <w:rPr>
          <w:rStyle w:val="FootnoteReference"/>
          <w:sz w:val="22"/>
        </w:rPr>
        <w:footnoteReference w:id="41"/>
      </w:r>
      <w:r w:rsidR="0051029D">
        <w:t xml:space="preserve"> and consumer representative organisations</w:t>
      </w:r>
      <w:r w:rsidR="0051029D">
        <w:rPr>
          <w:rStyle w:val="FootnoteReference"/>
          <w:sz w:val="22"/>
        </w:rPr>
        <w:footnoteReference w:id="42"/>
      </w:r>
      <w:r w:rsidR="0051029D">
        <w:t xml:space="preserve">. </w:t>
      </w:r>
    </w:p>
    <w:p w14:paraId="1D02894E" w14:textId="77777777" w:rsidR="00B471C7" w:rsidRDefault="00B471C7">
      <w:pPr>
        <w:spacing w:before="0" w:after="160" w:line="259" w:lineRule="auto"/>
        <w:rPr>
          <w:b/>
          <w:bCs/>
          <w:i/>
          <w:iCs/>
          <w:szCs w:val="22"/>
        </w:rPr>
      </w:pPr>
      <w:bookmarkStart w:id="102" w:name="_Ref87435492"/>
      <w:r>
        <w:rPr>
          <w:b/>
          <w:bCs/>
          <w:i/>
          <w:iCs/>
          <w:szCs w:val="22"/>
        </w:rPr>
        <w:br w:type="page"/>
      </w:r>
    </w:p>
    <w:p w14:paraId="1E7F916D" w14:textId="406492F9" w:rsidR="00B471C7" w:rsidRPr="00B471C7" w:rsidRDefault="00B46B35" w:rsidP="00737BCE">
      <w:pPr>
        <w:rPr>
          <w:i/>
          <w:iCs/>
        </w:rPr>
      </w:pPr>
      <w:bookmarkStart w:id="103" w:name="_Ref89700861"/>
      <w:bookmarkStart w:id="104" w:name="_Toc88729414"/>
      <w:r w:rsidRPr="00E97D56">
        <w:rPr>
          <w:b/>
          <w:bCs/>
          <w:i/>
          <w:iCs/>
          <w:szCs w:val="22"/>
        </w:rPr>
        <w:lastRenderedPageBreak/>
        <w:t xml:space="preserve">Figure </w:t>
      </w:r>
      <w:r w:rsidRPr="00E97D56">
        <w:rPr>
          <w:b/>
          <w:bCs/>
          <w:i/>
          <w:iCs/>
          <w:szCs w:val="22"/>
        </w:rPr>
        <w:fldChar w:fldCharType="begin"/>
      </w:r>
      <w:r w:rsidRPr="00E97D56">
        <w:rPr>
          <w:b/>
          <w:bCs/>
          <w:i/>
          <w:iCs/>
          <w:szCs w:val="22"/>
        </w:rPr>
        <w:instrText xml:space="preserve"> SEQ Figure \* ARABIC </w:instrText>
      </w:r>
      <w:r w:rsidRPr="00E97D56">
        <w:rPr>
          <w:b/>
          <w:bCs/>
          <w:i/>
          <w:iCs/>
          <w:szCs w:val="22"/>
        </w:rPr>
        <w:fldChar w:fldCharType="separate"/>
      </w:r>
      <w:r w:rsidR="00001633">
        <w:rPr>
          <w:b/>
          <w:bCs/>
          <w:i/>
          <w:iCs/>
          <w:noProof/>
          <w:szCs w:val="22"/>
        </w:rPr>
        <w:t>1</w:t>
      </w:r>
      <w:r w:rsidRPr="00E97D56">
        <w:rPr>
          <w:b/>
          <w:bCs/>
          <w:i/>
          <w:iCs/>
          <w:szCs w:val="22"/>
        </w:rPr>
        <w:fldChar w:fldCharType="end"/>
      </w:r>
      <w:bookmarkEnd w:id="102"/>
      <w:bookmarkEnd w:id="103"/>
      <w:r w:rsidRPr="00E97D56">
        <w:rPr>
          <w:b/>
          <w:bCs/>
          <w:i/>
          <w:iCs/>
          <w:szCs w:val="22"/>
        </w:rPr>
        <w:t xml:space="preserve">: </w:t>
      </w:r>
      <w:r w:rsidRPr="00E97D56">
        <w:rPr>
          <w:b/>
          <w:bCs/>
          <w:i/>
          <w:iCs/>
          <w:szCs w:val="22"/>
          <w:lang w:val="en-US"/>
        </w:rPr>
        <w:t>Consumer guarantee issues reported to the ACCC</w:t>
      </w:r>
      <w:r w:rsidR="001924FA" w:rsidRPr="001924FA">
        <w:rPr>
          <w:b/>
          <w:bCs/>
          <w:szCs w:val="22"/>
          <w:lang w:val="en-US"/>
        </w:rPr>
        <w:br/>
      </w:r>
      <w:r w:rsidR="00B471C7" w:rsidRPr="00B471C7">
        <w:rPr>
          <w:i/>
          <w:iCs/>
          <w:noProof/>
        </w:rPr>
        <w:drawing>
          <wp:inline distT="0" distB="0" distL="0" distR="0" wp14:anchorId="1601E7BA" wp14:editId="62239905">
            <wp:extent cx="5753100" cy="2990850"/>
            <wp:effectExtent l="0" t="0" r="0" b="0"/>
            <wp:docPr id="1" name="Chart 1" descr="Shows a graph of the number of consumer guarantee issues report to the ACCC over a period from 2016 to 2019. In 2016 there were 21,413 reports. In 2017 there were 29,397 reports. In 2018 there were 34,515 reports. In 2019 there were 38,101 report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104"/>
    </w:p>
    <w:p w14:paraId="018DD307" w14:textId="0AF3F816" w:rsidR="0006354A" w:rsidRPr="003E30B3" w:rsidRDefault="00F515F9" w:rsidP="00737BCE">
      <w:r>
        <w:t>Stakeholder feedback suggests an</w:t>
      </w:r>
      <w:r w:rsidR="00D024FA">
        <w:t xml:space="preserve"> </w:t>
      </w:r>
      <w:r w:rsidR="0006354A">
        <w:t xml:space="preserve">increasing number of consumers are finding it difficult to resolve </w:t>
      </w:r>
      <w:r w:rsidR="00D024FA">
        <w:t xml:space="preserve">consumer guarantee </w:t>
      </w:r>
      <w:r w:rsidR="0006354A">
        <w:t>issue</w:t>
      </w:r>
      <w:r>
        <w:t xml:space="preserve">s. This </w:t>
      </w:r>
      <w:r w:rsidR="00464192">
        <w:t>could reflect</w:t>
      </w:r>
      <w:r>
        <w:t xml:space="preserve"> </w:t>
      </w:r>
      <w:r w:rsidR="00464192">
        <w:t>increasing non-compliance</w:t>
      </w:r>
      <w:r w:rsidR="003615C9">
        <w:t>,</w:t>
      </w:r>
      <w:r w:rsidR="00A87E4D">
        <w:t xml:space="preserve"> </w:t>
      </w:r>
      <w:r w:rsidR="00A5581D">
        <w:t xml:space="preserve">growth in </w:t>
      </w:r>
      <w:r w:rsidR="0006354A">
        <w:t xml:space="preserve">the </w:t>
      </w:r>
      <w:r w:rsidR="00A5581D">
        <w:t xml:space="preserve">supply of goods/services </w:t>
      </w:r>
      <w:r w:rsidR="00A87E4D">
        <w:t xml:space="preserve">generally (or of defective goods) </w:t>
      </w:r>
      <w:r w:rsidR="00A5581D">
        <w:t xml:space="preserve">or </w:t>
      </w:r>
      <w:r w:rsidR="00A87E4D">
        <w:t>other factors</w:t>
      </w:r>
      <w:r w:rsidR="0006354A">
        <w:t xml:space="preserve">. </w:t>
      </w:r>
      <w:r w:rsidR="00CB1F82">
        <w:t xml:space="preserve"> This increase could also reflect consumers attempting to pursue their rights but not being successful in resolving their consumer guarantee issues. </w:t>
      </w:r>
      <w:r w:rsidR="00C62B2E">
        <w:t xml:space="preserve"> </w:t>
      </w:r>
      <w:r w:rsidR="00CB1F82">
        <w:t>N</w:t>
      </w:r>
      <w:r w:rsidR="0006354A">
        <w:t xml:space="preserve">ot all consumers who experience issues obtaining remedies for legitimate </w:t>
      </w:r>
      <w:r w:rsidR="0025450F">
        <w:t xml:space="preserve">consumer guarantee </w:t>
      </w:r>
      <w:r w:rsidR="0006354A">
        <w:t>claims necessarily contact a regulator or a consumer representative organisation about their issue.</w:t>
      </w:r>
    </w:p>
    <w:p w14:paraId="4E6E0A86" w14:textId="125701ED" w:rsidR="00FC3722" w:rsidRDefault="0006354A" w:rsidP="00BE12C4">
      <w:r w:rsidRPr="005E0CDE">
        <w:t xml:space="preserve">The options available to regulators in responding to complaints are limited. </w:t>
      </w:r>
      <w:r>
        <w:t xml:space="preserve">While regulators have the power to undertake </w:t>
      </w:r>
      <w:r w:rsidRPr="0045505C">
        <w:t xml:space="preserve">representative </w:t>
      </w:r>
      <w:r>
        <w:t xml:space="preserve">legal </w:t>
      </w:r>
      <w:r w:rsidRPr="0045505C">
        <w:t xml:space="preserve">action on behalf of </w:t>
      </w:r>
      <w:r>
        <w:t xml:space="preserve">individual </w:t>
      </w:r>
      <w:r w:rsidRPr="0045505C">
        <w:t>consumer</w:t>
      </w:r>
      <w:r>
        <w:t>s in certain circumstances, this</w:t>
      </w:r>
      <w:r w:rsidR="00F515F9">
        <w:t xml:space="preserve"> can be </w:t>
      </w:r>
      <w:r>
        <w:t>costly</w:t>
      </w:r>
      <w:r w:rsidR="00F515F9">
        <w:t>.</w:t>
      </w:r>
      <w:r>
        <w:t xml:space="preserve"> Specifically, </w:t>
      </w:r>
      <w:r w:rsidR="00C62B2E">
        <w:t>i</w:t>
      </w:r>
      <w:r w:rsidR="00C62B2E" w:rsidRPr="005E0CDE">
        <w:t xml:space="preserve">f a trader refuses to provide the remedy required by the ACL, that refusal is not a </w:t>
      </w:r>
      <w:r w:rsidR="00C62B2E">
        <w:t>contravention of the ACL. A</w:t>
      </w:r>
      <w:r>
        <w:t xml:space="preserve"> </w:t>
      </w:r>
      <w:r w:rsidR="00FC3722">
        <w:t>key criterion</w:t>
      </w:r>
      <w:r>
        <w:t xml:space="preserve"> for regulators in assessing the merits of such actions is whether they will drive greater compliance by traders</w:t>
      </w:r>
      <w:r w:rsidRPr="006E2867">
        <w:t xml:space="preserve"> </w:t>
      </w:r>
      <w:r>
        <w:t xml:space="preserve">across the economy or at least a broader subset of the economy than just the individual trader </w:t>
      </w:r>
      <w:r w:rsidR="00B13E84">
        <w:t>who</w:t>
      </w:r>
      <w:r>
        <w:t xml:space="preserve"> is the subject of the action. </w:t>
      </w:r>
    </w:p>
    <w:p w14:paraId="0F2B20FB" w14:textId="2148B3C7" w:rsidR="00FC3722" w:rsidRDefault="00C62B2E" w:rsidP="00BE12C4">
      <w:r>
        <w:t xml:space="preserve">Given that refusing to provide a remedy for a consumer guarantee failure is not a contravention of the </w:t>
      </w:r>
      <w:r w:rsidR="005B03BD">
        <w:t>ACL, and</w:t>
      </w:r>
      <w:r w:rsidR="00D85D3A">
        <w:t xml:space="preserve"> does not attract a penalty</w:t>
      </w:r>
      <w:r w:rsidR="003615C9">
        <w:t>,</w:t>
      </w:r>
      <w:r w:rsidR="00D85D3A">
        <w:t xml:space="preserve"> regulators are </w:t>
      </w:r>
      <w:r w:rsidR="002F6C7B">
        <w:t>un</w:t>
      </w:r>
      <w:r w:rsidR="0006354A">
        <w:t xml:space="preserve">likely </w:t>
      </w:r>
      <w:r w:rsidR="00D85D3A">
        <w:t xml:space="preserve">to </w:t>
      </w:r>
      <w:r w:rsidR="002F6C7B">
        <w:t xml:space="preserve">take representative actions as they would not </w:t>
      </w:r>
      <w:r w:rsidR="00D85D3A">
        <w:t xml:space="preserve">achieve </w:t>
      </w:r>
      <w:r w:rsidR="00680131">
        <w:t>significant industry-wide change or benefits for a large group of consumers</w:t>
      </w:r>
      <w:r w:rsidR="002F6C7B">
        <w:t xml:space="preserve">. A </w:t>
      </w:r>
      <w:r w:rsidR="00FC3722">
        <w:t>representative action</w:t>
      </w:r>
      <w:r w:rsidR="0006354A">
        <w:t xml:space="preserve"> involving consumer guarantee failures can only reinforce the existing obligation for the trader to provide the applicable remedy to the consumer (</w:t>
      </w:r>
      <w:r w:rsidR="00982CB5">
        <w:t>i.e.</w:t>
      </w:r>
      <w:r w:rsidR="0006354A">
        <w:t xml:space="preserve"> </w:t>
      </w:r>
      <w:r w:rsidR="0006354A" w:rsidRPr="0045505C">
        <w:t xml:space="preserve">a refund, </w:t>
      </w:r>
      <w:r w:rsidR="00982CB5" w:rsidRPr="0045505C">
        <w:t>repair,</w:t>
      </w:r>
      <w:r w:rsidR="0006354A" w:rsidRPr="0045505C">
        <w:t xml:space="preserve"> or replacement</w:t>
      </w:r>
      <w:r w:rsidR="0006354A">
        <w:t>)</w:t>
      </w:r>
      <w:r w:rsidR="002619BF">
        <w:t xml:space="preserve"> and is highly </w:t>
      </w:r>
      <w:r w:rsidR="001F1195">
        <w:t xml:space="preserve">likely </w:t>
      </w:r>
      <w:r w:rsidR="002619BF">
        <w:t>to</w:t>
      </w:r>
      <w:r w:rsidR="001F1195">
        <w:t xml:space="preserve"> be settled after a </w:t>
      </w:r>
      <w:r w:rsidR="00175172">
        <w:t>time-</w:t>
      </w:r>
      <w:r w:rsidR="001F1195">
        <w:t>consuming and costly investigation without any outcome other than the</w:t>
      </w:r>
      <w:r w:rsidR="00B13E84">
        <w:t xml:space="preserve"> original</w:t>
      </w:r>
      <w:r w:rsidR="001F1195">
        <w:t xml:space="preserve"> remedy sought by the consumer.</w:t>
      </w:r>
      <w:r w:rsidR="005B03BD">
        <w:t xml:space="preserve"> </w:t>
      </w:r>
    </w:p>
    <w:p w14:paraId="2133D111" w14:textId="60FAC381" w:rsidR="001F1195" w:rsidRDefault="00B13E84" w:rsidP="00BE12C4">
      <w:r>
        <w:lastRenderedPageBreak/>
        <w:t>A</w:t>
      </w:r>
      <w:r w:rsidR="00680131">
        <w:t xml:space="preserve">s the court </w:t>
      </w:r>
      <w:r w:rsidR="001F1195">
        <w:t xml:space="preserve">decisions in such cases tend to </w:t>
      </w:r>
      <w:r w:rsidR="00680131">
        <w:t>relate to the</w:t>
      </w:r>
      <w:r w:rsidR="001F1195">
        <w:t xml:space="preserve"> specific circumstances of the case, </w:t>
      </w:r>
      <w:r w:rsidR="005538AA">
        <w:t xml:space="preserve">the outcome of court action is </w:t>
      </w:r>
      <w:r>
        <w:t xml:space="preserve">also </w:t>
      </w:r>
      <w:r w:rsidR="005538AA">
        <w:t>likely to have a limited impact on compliance with the consumer guarantee provisions more broadly.</w:t>
      </w:r>
      <w:r w:rsidR="001F1195">
        <w:t xml:space="preserve"> </w:t>
      </w:r>
    </w:p>
    <w:p w14:paraId="4C760B12" w14:textId="03AE0F0D" w:rsidR="001F1195" w:rsidRDefault="001F1195" w:rsidP="00AE3FC4">
      <w:r>
        <w:t xml:space="preserve">In limited circumstances, ACL regulators may take legal action </w:t>
      </w:r>
      <w:r w:rsidR="00F27A67">
        <w:t xml:space="preserve">where it suspects a trader may have breached one of the other </w:t>
      </w:r>
      <w:r>
        <w:t>protection</w:t>
      </w:r>
      <w:r w:rsidR="00F27A67">
        <w:t>s provided by the ACL</w:t>
      </w:r>
      <w:r w:rsidR="00F640DA">
        <w:t xml:space="preserve">. For </w:t>
      </w:r>
      <w:r w:rsidR="00F27A67">
        <w:t>example,</w:t>
      </w:r>
      <w:r>
        <w:t xml:space="preserve"> </w:t>
      </w:r>
      <w:r w:rsidR="00AE3FC4">
        <w:t xml:space="preserve">those relating to unconscionable conduct, </w:t>
      </w:r>
      <w:r w:rsidR="002619BF">
        <w:t>or</w:t>
      </w:r>
      <w:r>
        <w:t xml:space="preserve"> misleading conduct or </w:t>
      </w:r>
      <w:r w:rsidR="00737BCE">
        <w:t xml:space="preserve">false </w:t>
      </w:r>
      <w:r>
        <w:t>representation</w:t>
      </w:r>
      <w:r w:rsidR="002619BF">
        <w:t>s</w:t>
      </w:r>
      <w:r>
        <w:t>.</w:t>
      </w:r>
      <w:r w:rsidR="00F27A67">
        <w:t xml:space="preserve"> </w:t>
      </w:r>
      <w:r>
        <w:rPr>
          <w:rStyle w:val="FootnoteReference"/>
        </w:rPr>
        <w:footnoteReference w:id="43"/>
      </w:r>
      <w:r>
        <w:t xml:space="preserve"> </w:t>
      </w:r>
      <w:r w:rsidR="00AE3FC4">
        <w:t>W</w:t>
      </w:r>
      <w:r>
        <w:t xml:space="preserve">here a trader misleads consumers </w:t>
      </w:r>
      <w:r w:rsidR="005B03BD">
        <w:t>on their</w:t>
      </w:r>
      <w:r>
        <w:t xml:space="preserve"> consumer guarantee rights, the regulator could commence an action claiming misleading </w:t>
      </w:r>
      <w:r w:rsidR="00737BCE">
        <w:t>or</w:t>
      </w:r>
      <w:r>
        <w:t xml:space="preserve"> deceptive conduct and ask a court to impose penalties as a future disincentive</w:t>
      </w:r>
      <w:r w:rsidRPr="00464CE6">
        <w:t>.</w:t>
      </w:r>
      <w:r w:rsidR="00AE3FC4">
        <w:t xml:space="preserve"> </w:t>
      </w:r>
      <w:r>
        <w:rPr>
          <w:rStyle w:val="FootnoteReference"/>
        </w:rPr>
        <w:footnoteReference w:id="44"/>
      </w:r>
      <w:r>
        <w:t xml:space="preserve"> However, regulators’ enforcement actions cannot deal with consumer guarantee</w:t>
      </w:r>
      <w:r w:rsidR="00F640DA">
        <w:t xml:space="preserve"> non-</w:t>
      </w:r>
      <w:r w:rsidR="00FC3722">
        <w:t>compliance that</w:t>
      </w:r>
      <w:r>
        <w:t xml:space="preserve"> consumers commonly face. For example, regulators cannot take action under the misleading conduct or </w:t>
      </w:r>
      <w:r w:rsidR="00737BCE">
        <w:t>false representation</w:t>
      </w:r>
      <w:r>
        <w:t xml:space="preserve"> provisions where</w:t>
      </w:r>
      <w:r w:rsidR="00F640DA">
        <w:t xml:space="preserve"> </w:t>
      </w:r>
      <w:r>
        <w:t>a trader simply does not respond to</w:t>
      </w:r>
      <w:r w:rsidR="00F640DA">
        <w:t xml:space="preserve"> a customer’s </w:t>
      </w:r>
      <w:r>
        <w:t xml:space="preserve">consumer guarantee complaint. Further, a trader’s refusal to provide a particular consumer guarantee remedy will </w:t>
      </w:r>
      <w:r w:rsidR="00084983" w:rsidRPr="00084983">
        <w:t>rarely meet the legal requirements to constitute unconscionable conduct</w:t>
      </w:r>
      <w:r>
        <w:t>.</w:t>
      </w:r>
    </w:p>
    <w:p w14:paraId="1A845149" w14:textId="78D60587" w:rsidR="007C1171" w:rsidRDefault="00B43EA4" w:rsidP="007C1171">
      <w:pPr>
        <w:pStyle w:val="Heading4"/>
      </w:pPr>
      <w:r>
        <w:t>The additional roles of s</w:t>
      </w:r>
      <w:r w:rsidR="007C1171">
        <w:t xml:space="preserve">tate and territory </w:t>
      </w:r>
      <w:r>
        <w:t xml:space="preserve">ACL </w:t>
      </w:r>
      <w:r w:rsidR="007C1171">
        <w:t>regulators</w:t>
      </w:r>
    </w:p>
    <w:p w14:paraId="5BCA1B79" w14:textId="461F06E2" w:rsidR="00AD237B" w:rsidRDefault="001F1195" w:rsidP="00BE12C4">
      <w:r>
        <w:t xml:space="preserve">The roles of each </w:t>
      </w:r>
      <w:r w:rsidR="007C1171">
        <w:t xml:space="preserve">ACL </w:t>
      </w:r>
      <w:r>
        <w:t>regulator can differ. T</w:t>
      </w:r>
      <w:r w:rsidRPr="00C43F85">
        <w:t xml:space="preserve">he ACCC does not </w:t>
      </w:r>
      <w:r>
        <w:t xml:space="preserve">typically become involved in </w:t>
      </w:r>
      <w:r w:rsidRPr="00C43F85">
        <w:t>resolv</w:t>
      </w:r>
      <w:r>
        <w:t>ing</w:t>
      </w:r>
      <w:r w:rsidRPr="00C43F85">
        <w:t xml:space="preserve"> individual </w:t>
      </w:r>
      <w:r w:rsidR="00982CB5" w:rsidRPr="00C43F85">
        <w:t>complaints but</w:t>
      </w:r>
      <w:r>
        <w:t xml:space="preserve"> does provide extensive guidance. For their part, s</w:t>
      </w:r>
      <w:r w:rsidRPr="00C43F85">
        <w:t xml:space="preserve">tate and territory ACL regulators </w:t>
      </w:r>
      <w:r>
        <w:t xml:space="preserve">provide </w:t>
      </w:r>
      <w:r w:rsidRPr="00A33EBC">
        <w:t xml:space="preserve">information to consumers and small business about their rights and obligations and possible courses of action. </w:t>
      </w:r>
      <w:r w:rsidR="00AD237B">
        <w:t xml:space="preserve">They also </w:t>
      </w:r>
      <w:r w:rsidR="00AD237B" w:rsidRPr="00D20EEC">
        <w:t xml:space="preserve">publish guidance and engage with suppliers about their responsibilities and specific </w:t>
      </w:r>
      <w:r w:rsidR="00064AA4">
        <w:t xml:space="preserve">consumer </w:t>
      </w:r>
      <w:r w:rsidR="00AD237B" w:rsidRPr="00D20EEC">
        <w:t>concerns</w:t>
      </w:r>
      <w:r w:rsidR="00AD237B">
        <w:t xml:space="preserve"> raised.</w:t>
      </w:r>
      <w:r w:rsidR="001042AB">
        <w:t xml:space="preserve"> Despite this, </w:t>
      </w:r>
      <w:r w:rsidR="001042AB" w:rsidRPr="00D20EEC">
        <w:t xml:space="preserve">the growth in the volume of people contacting ACL regulators suggests </w:t>
      </w:r>
      <w:r w:rsidR="001042AB">
        <w:t>there is ongoing non-compliance with consumer guarantee provisions.</w:t>
      </w:r>
    </w:p>
    <w:p w14:paraId="318FCC2C" w14:textId="71A26340" w:rsidR="001F1195" w:rsidRDefault="00AD237B" w:rsidP="00BE12C4">
      <w:r>
        <w:t xml:space="preserve">Where a consumer has been unsuccessful in resolving a </w:t>
      </w:r>
      <w:r w:rsidR="006A577E">
        <w:t>complaint</w:t>
      </w:r>
      <w:r w:rsidR="00C0111B">
        <w:t>,</w:t>
      </w:r>
      <w:r w:rsidR="006A577E">
        <w:t xml:space="preserve"> state</w:t>
      </w:r>
      <w:r w:rsidR="002619BF">
        <w:t xml:space="preserve"> and territory ACL regulators </w:t>
      </w:r>
      <w:r>
        <w:t xml:space="preserve">can </w:t>
      </w:r>
      <w:r w:rsidR="001F1195">
        <w:t xml:space="preserve">also </w:t>
      </w:r>
      <w:r w:rsidR="001F1195" w:rsidRPr="00A33EBC">
        <w:t xml:space="preserve">play an important role in negotiating with business to resolve </w:t>
      </w:r>
      <w:r>
        <w:t>these</w:t>
      </w:r>
      <w:r w:rsidR="001F1195">
        <w:t xml:space="preserve">. </w:t>
      </w:r>
      <w:r w:rsidR="001B1973">
        <w:t xml:space="preserve">In </w:t>
      </w:r>
      <w:r w:rsidR="001F1195">
        <w:t>New South Wales</w:t>
      </w:r>
      <w:r w:rsidR="001B1973">
        <w:t xml:space="preserve">, </w:t>
      </w:r>
      <w:r w:rsidR="00B43EA4">
        <w:t>the ACL Regulator (NSW Fair Trading)</w:t>
      </w:r>
      <w:r w:rsidR="001F1195">
        <w:t xml:space="preserve"> has</w:t>
      </w:r>
      <w:r w:rsidR="00BE12C4">
        <w:t xml:space="preserve"> </w:t>
      </w:r>
      <w:r>
        <w:t>the</w:t>
      </w:r>
      <w:r w:rsidR="00BB34D6">
        <w:t xml:space="preserve"> </w:t>
      </w:r>
      <w:r w:rsidR="001F1195">
        <w:t>power to make ‘</w:t>
      </w:r>
      <w:r w:rsidR="00476F1C">
        <w:t>C</w:t>
      </w:r>
      <w:r w:rsidR="001F1195" w:rsidRPr="00EC35AD">
        <w:t xml:space="preserve">onsumer </w:t>
      </w:r>
      <w:r w:rsidR="00476F1C">
        <w:t>G</w:t>
      </w:r>
      <w:r w:rsidR="001F1195" w:rsidRPr="00EC35AD">
        <w:t xml:space="preserve">uarantee </w:t>
      </w:r>
      <w:r w:rsidR="00476F1C">
        <w:t>D</w:t>
      </w:r>
      <w:r w:rsidR="001F1195" w:rsidRPr="00EC35AD">
        <w:t>irection</w:t>
      </w:r>
      <w:r w:rsidR="001F1195">
        <w:t xml:space="preserve">s’ if a consumer and business are unable to resolve a dispute. This power can be used to </w:t>
      </w:r>
      <w:r w:rsidR="001F1195" w:rsidRPr="004532B0">
        <w:t xml:space="preserve">direct </w:t>
      </w:r>
      <w:r w:rsidR="001F1195">
        <w:t xml:space="preserve">a </w:t>
      </w:r>
      <w:r w:rsidR="001F1195" w:rsidRPr="004532B0">
        <w:t xml:space="preserve">business to </w:t>
      </w:r>
      <w:r w:rsidR="001F1195">
        <w:t xml:space="preserve">provide a </w:t>
      </w:r>
      <w:r w:rsidR="001F1195" w:rsidRPr="004532B0">
        <w:t>repair, replace</w:t>
      </w:r>
      <w:r w:rsidR="001F1195">
        <w:t xml:space="preserve">ment good </w:t>
      </w:r>
      <w:r w:rsidR="001F1195" w:rsidRPr="004532B0">
        <w:t xml:space="preserve">or refund </w:t>
      </w:r>
      <w:r w:rsidR="001F1195">
        <w:t xml:space="preserve">of </w:t>
      </w:r>
      <w:r w:rsidR="001F1195" w:rsidRPr="004532B0">
        <w:t>the purchase price</w:t>
      </w:r>
      <w:r w:rsidR="00606190">
        <w:t>. Where a business fails to comply with such a direction, the</w:t>
      </w:r>
      <w:r w:rsidR="001F1195">
        <w:t xml:space="preserve"> </w:t>
      </w:r>
      <w:r w:rsidR="001F1195" w:rsidRPr="004532B0">
        <w:t xml:space="preserve">consumer </w:t>
      </w:r>
      <w:r w:rsidR="001B1973">
        <w:t>may</w:t>
      </w:r>
      <w:r w:rsidR="001F1195" w:rsidRPr="004532B0">
        <w:t xml:space="preserve"> register the direction in </w:t>
      </w:r>
      <w:r w:rsidR="001F1195">
        <w:t xml:space="preserve">a </w:t>
      </w:r>
      <w:r w:rsidR="001F1195" w:rsidRPr="004532B0">
        <w:t xml:space="preserve">Local Court as a </w:t>
      </w:r>
      <w:r w:rsidR="001F1195" w:rsidRPr="004532B0">
        <w:lastRenderedPageBreak/>
        <w:t>judgement debt and apply to have it enforced.</w:t>
      </w:r>
      <w:r w:rsidR="00606190">
        <w:t xml:space="preserve"> </w:t>
      </w:r>
      <w:r w:rsidR="001F1195">
        <w:rPr>
          <w:rStyle w:val="FootnoteReference"/>
        </w:rPr>
        <w:footnoteReference w:id="45"/>
      </w:r>
      <w:r w:rsidR="001F1195">
        <w:t xml:space="preserve"> </w:t>
      </w:r>
      <w:r w:rsidR="00AE3FC4">
        <w:t xml:space="preserve">However, </w:t>
      </w:r>
      <w:r w:rsidR="00606190">
        <w:t xml:space="preserve">it is noted </w:t>
      </w:r>
      <w:r w:rsidR="001F1195">
        <w:t xml:space="preserve">this power </w:t>
      </w:r>
      <w:r w:rsidR="00606190">
        <w:t>to issue a direction is</w:t>
      </w:r>
      <w:r w:rsidR="001F1195">
        <w:t xml:space="preserve"> limited </w:t>
      </w:r>
      <w:r w:rsidR="00606190">
        <w:t xml:space="preserve">in </w:t>
      </w:r>
      <w:r w:rsidR="001F1195">
        <w:t>scope and is not replicated in other jurisdictions.</w:t>
      </w:r>
    </w:p>
    <w:p w14:paraId="74987206" w14:textId="1C4832D1" w:rsidR="001F1195" w:rsidRPr="002A43BD" w:rsidRDefault="00016B36" w:rsidP="000D71F8">
      <w:pPr>
        <w:pStyle w:val="Heading3"/>
      </w:pPr>
      <w:bookmarkStart w:id="105" w:name="_Toc69381055"/>
      <w:bookmarkStart w:id="106" w:name="_Toc69395076"/>
      <w:bookmarkStart w:id="107" w:name="_Toc89700920"/>
      <w:r>
        <w:t>Existing e</w:t>
      </w:r>
      <w:r w:rsidR="001F1195">
        <w:t xml:space="preserve">ducation </w:t>
      </w:r>
      <w:bookmarkEnd w:id="105"/>
      <w:r>
        <w:t>and guidance</w:t>
      </w:r>
      <w:bookmarkEnd w:id="106"/>
      <w:bookmarkEnd w:id="107"/>
    </w:p>
    <w:p w14:paraId="175B394F" w14:textId="010D3A9A" w:rsidR="001F1195" w:rsidRDefault="001F1195" w:rsidP="00785D89">
      <w:r>
        <w:t>ACL regulators provide education and guidance to businesses and consumers on the consumer guarantees, through their websites, telephone enquir</w:t>
      </w:r>
      <w:r w:rsidR="008D2A7F">
        <w:t>y</w:t>
      </w:r>
      <w:r>
        <w:t xml:space="preserve"> lines, social media and industry engagement. </w:t>
      </w:r>
      <w:r w:rsidR="002619BF">
        <w:t xml:space="preserve">For example, the ACCC’s </w:t>
      </w:r>
      <w:hyperlink r:id="rId28" w:history="1">
        <w:r w:rsidR="002619BF" w:rsidRPr="00FC3722">
          <w:rPr>
            <w:rStyle w:val="Hyperlink"/>
            <w:szCs w:val="24"/>
          </w:rPr>
          <w:t>Repair, replace, refund</w:t>
        </w:r>
      </w:hyperlink>
      <w:r w:rsidR="002619BF">
        <w:t xml:space="preserve"> website received 105,614</w:t>
      </w:r>
      <w:r w:rsidR="002619BF" w:rsidRPr="00A41C6B">
        <w:t xml:space="preserve"> page views</w:t>
      </w:r>
      <w:r w:rsidR="002619BF">
        <w:t xml:space="preserve"> in the June 2020 quarter. </w:t>
      </w:r>
      <w:r w:rsidR="002619BF">
        <w:rPr>
          <w:rStyle w:val="FootnoteReference"/>
          <w:szCs w:val="24"/>
        </w:rPr>
        <w:footnoteReference w:id="46"/>
      </w:r>
    </w:p>
    <w:p w14:paraId="21B2392F" w14:textId="252FAD78" w:rsidR="001F1195" w:rsidRDefault="001F1195" w:rsidP="00785D89">
      <w:r>
        <w:t xml:space="preserve">Similarly, joint education campaigns have been funded by all Australian jurisdictions since the adoption of a </w:t>
      </w:r>
      <w:r w:rsidR="00FC3722">
        <w:t>nationally consistent</w:t>
      </w:r>
      <w:r>
        <w:t xml:space="preserve"> set of consumer guarantee requirements in </w:t>
      </w:r>
      <w:r w:rsidR="008D2A7F">
        <w:t xml:space="preserve">the </w:t>
      </w:r>
      <w:r>
        <w:t>ACL in 2010. The most enduring of these initiatives has been the development of the Australian Consumer Law website (</w:t>
      </w:r>
      <w:hyperlink r:id="rId29" w:history="1">
        <w:r w:rsidRPr="00FC3722">
          <w:rPr>
            <w:rStyle w:val="Hyperlink"/>
            <w:szCs w:val="24"/>
          </w:rPr>
          <w:t>www.consumerlaw.gov.au</w:t>
        </w:r>
      </w:hyperlink>
      <w:r>
        <w:t xml:space="preserve">), which contains guides for businesses and legal practitioners on the </w:t>
      </w:r>
      <w:r w:rsidRPr="002A15C9">
        <w:t>consumer guarantees</w:t>
      </w:r>
      <w:r>
        <w:t>, including:</w:t>
      </w:r>
    </w:p>
    <w:p w14:paraId="4D487D5D" w14:textId="25E3A43D" w:rsidR="001F1195" w:rsidRDefault="001F1195" w:rsidP="00785D89">
      <w:pPr>
        <w:pStyle w:val="Bullet"/>
      </w:pPr>
      <w:r w:rsidRPr="00AF1343">
        <w:t>a</w:t>
      </w:r>
      <w:r>
        <w:t xml:space="preserve"> comprehensive </w:t>
      </w:r>
      <w:r w:rsidRPr="00B33C48">
        <w:t>guide</w:t>
      </w:r>
      <w:r>
        <w:t xml:space="preserve"> written in simple language covering the whole of </w:t>
      </w:r>
      <w:r w:rsidRPr="00FC3722">
        <w:t xml:space="preserve">the </w:t>
      </w:r>
      <w:hyperlink r:id="rId30" w:history="1">
        <w:r w:rsidRPr="00FC3722">
          <w:rPr>
            <w:rStyle w:val="Hyperlink"/>
          </w:rPr>
          <w:t>consumer guarantee framework</w:t>
        </w:r>
      </w:hyperlink>
      <w:r>
        <w:t xml:space="preserve"> and tailored towards supplier, manufacturer and importer responsibilities</w:t>
      </w:r>
      <w:r w:rsidR="00AF1343">
        <w:t> </w:t>
      </w:r>
      <w:r>
        <w:rPr>
          <w:rStyle w:val="FootnoteReference"/>
        </w:rPr>
        <w:footnoteReference w:id="47"/>
      </w:r>
      <w:r>
        <w:t xml:space="preserve"> </w:t>
      </w:r>
    </w:p>
    <w:p w14:paraId="70FE48F3" w14:textId="77777777" w:rsidR="001F1195" w:rsidRDefault="001F1195" w:rsidP="00785D89">
      <w:pPr>
        <w:pStyle w:val="Bullet"/>
      </w:pPr>
      <w:r>
        <w:t xml:space="preserve">more specific guides interpreting common issues with the acceptable quality guarantee relating to the </w:t>
      </w:r>
      <w:hyperlink r:id="rId31" w:history="1">
        <w:r w:rsidRPr="00FC3722">
          <w:rPr>
            <w:rStyle w:val="Hyperlink"/>
          </w:rPr>
          <w:t>durability</w:t>
        </w:r>
      </w:hyperlink>
      <w:r w:rsidRPr="00FC3722">
        <w:t xml:space="preserve"> </w:t>
      </w:r>
      <w:r>
        <w:t xml:space="preserve">of goods and whether they are </w:t>
      </w:r>
      <w:hyperlink r:id="rId32" w:history="1">
        <w:r w:rsidRPr="00FC3722">
          <w:rPr>
            <w:rStyle w:val="Hyperlink"/>
          </w:rPr>
          <w:t>safe</w:t>
        </w:r>
      </w:hyperlink>
      <w:r w:rsidRPr="00FC3722">
        <w:t>.</w:t>
      </w:r>
    </w:p>
    <w:p w14:paraId="66418F41" w14:textId="41E15184" w:rsidR="001F1195" w:rsidRDefault="001F1195" w:rsidP="00785D89">
      <w:r>
        <w:t>Education campaigns have also targeted specific</w:t>
      </w:r>
      <w:r w:rsidR="00B21837">
        <w:t xml:space="preserve"> consumer</w:t>
      </w:r>
      <w:r>
        <w:t xml:space="preserve"> groups or special interest</w:t>
      </w:r>
      <w:r w:rsidR="00B21837">
        <w:t xml:space="preserve"> areas</w:t>
      </w:r>
      <w:r>
        <w:t xml:space="preserve">. For example, campaigns have produced and disseminated information about rights and obligations to </w:t>
      </w:r>
      <w:r w:rsidRPr="008105DA">
        <w:t>culturally and linguistically diverse</w:t>
      </w:r>
      <w:r>
        <w:t xml:space="preserve"> groups;</w:t>
      </w:r>
      <w:r w:rsidR="00AF1343">
        <w:t xml:space="preserve"> </w:t>
      </w:r>
      <w:r>
        <w:rPr>
          <w:rStyle w:val="FootnoteReference"/>
          <w:szCs w:val="24"/>
        </w:rPr>
        <w:footnoteReference w:id="48"/>
      </w:r>
      <w:r>
        <w:t xml:space="preserve"> to the aged care services sector</w:t>
      </w:r>
      <w:r w:rsidR="00AF1343">
        <w:t xml:space="preserve">; </w:t>
      </w:r>
      <w:r>
        <w:rPr>
          <w:rStyle w:val="FootnoteReference"/>
          <w:szCs w:val="24"/>
        </w:rPr>
        <w:footnoteReference w:id="49"/>
      </w:r>
      <w:r>
        <w:t xml:space="preserve"> for consumers and businesses in the sharing economy</w:t>
      </w:r>
      <w:r w:rsidR="008D2A7F">
        <w:t>;</w:t>
      </w:r>
      <w:r w:rsidR="00AF1343">
        <w:t xml:space="preserve"> </w:t>
      </w:r>
      <w:r>
        <w:rPr>
          <w:rStyle w:val="FootnoteReference"/>
          <w:szCs w:val="24"/>
        </w:rPr>
        <w:footnoteReference w:id="50"/>
      </w:r>
      <w:r>
        <w:t xml:space="preserve"> and on other contemporary matters.</w:t>
      </w:r>
      <w:r w:rsidR="00AF1343">
        <w:t xml:space="preserve"> </w:t>
      </w:r>
      <w:r>
        <w:rPr>
          <w:rStyle w:val="FootnoteReference"/>
          <w:szCs w:val="24"/>
        </w:rPr>
        <w:footnoteReference w:id="51"/>
      </w:r>
    </w:p>
    <w:p w14:paraId="046D4390" w14:textId="0A622CD8" w:rsidR="003F1537" w:rsidRDefault="001F1195" w:rsidP="00AF73F4">
      <w:pPr>
        <w:rPr>
          <w:szCs w:val="24"/>
        </w:rPr>
      </w:pPr>
      <w:r>
        <w:rPr>
          <w:szCs w:val="24"/>
        </w:rPr>
        <w:lastRenderedPageBreak/>
        <w:t>The availability of regulator advice, educational resources and periodic campaigns helps to build a base of knowledge among consumers, suppliers and manufacturers, or at least provide an easy point of reference when issues arise.</w:t>
      </w:r>
      <w:r w:rsidR="003834A0">
        <w:rPr>
          <w:szCs w:val="24"/>
        </w:rPr>
        <w:t xml:space="preserve"> However, </w:t>
      </w:r>
      <w:r w:rsidR="00015CF1" w:rsidRPr="00015CF1">
        <w:rPr>
          <w:szCs w:val="24"/>
        </w:rPr>
        <w:t>there is little evidence to suggest they have significantly inc</w:t>
      </w:r>
      <w:r w:rsidR="00015CF1">
        <w:rPr>
          <w:szCs w:val="24"/>
        </w:rPr>
        <w:t>reased knowledge or compliance.</w:t>
      </w:r>
    </w:p>
    <w:p w14:paraId="64E027A4" w14:textId="3301CDA2" w:rsidR="001C4B84" w:rsidRDefault="001C4B84" w:rsidP="00A549AB">
      <w:pPr>
        <w:pStyle w:val="Heading3"/>
      </w:pPr>
      <w:bookmarkStart w:id="108" w:name="_Toc69381056"/>
      <w:bookmarkStart w:id="109" w:name="_Toc69395077"/>
      <w:bookmarkStart w:id="110" w:name="_Toc89700921"/>
      <w:r>
        <w:t xml:space="preserve">What </w:t>
      </w:r>
      <w:r w:rsidR="004B3A08">
        <w:t xml:space="preserve">drives </w:t>
      </w:r>
      <w:r>
        <w:t>supplier</w:t>
      </w:r>
      <w:r w:rsidR="004B3A08">
        <w:t>s</w:t>
      </w:r>
      <w:r>
        <w:t xml:space="preserve"> </w:t>
      </w:r>
      <w:r w:rsidR="004B3A08">
        <w:t>to provide remedies</w:t>
      </w:r>
      <w:r>
        <w:t>?</w:t>
      </w:r>
      <w:bookmarkEnd w:id="108"/>
      <w:bookmarkEnd w:id="109"/>
      <w:bookmarkEnd w:id="110"/>
    </w:p>
    <w:p w14:paraId="065DAB87" w14:textId="5EDBFAB5" w:rsidR="001C4B84" w:rsidRDefault="001C4B84" w:rsidP="00AF73F4">
      <w:r>
        <w:t xml:space="preserve">In general, traders have an incentive to meet the expectations of their customers </w:t>
      </w:r>
      <w:r w:rsidR="000D078E">
        <w:t xml:space="preserve">to </w:t>
      </w:r>
      <w:r>
        <w:t xml:space="preserve">maintain </w:t>
      </w:r>
      <w:r w:rsidR="008D2A7F">
        <w:t>long</w:t>
      </w:r>
      <w:r w:rsidR="003615C9">
        <w:t xml:space="preserve"> </w:t>
      </w:r>
      <w:r>
        <w:t xml:space="preserve">term good will and encourage repeat purchasing. In this regard, some retailers adopt policies such as </w:t>
      </w:r>
      <w:r w:rsidR="008D2A7F">
        <w:t>‘</w:t>
      </w:r>
      <w:r>
        <w:t>no questions asked</w:t>
      </w:r>
      <w:r w:rsidR="008D2A7F">
        <w:t>’</w:t>
      </w:r>
      <w:r>
        <w:t xml:space="preserve"> refunds. There are also disincentives for traders to choose to make it difficult for consumers to access a consumer guarantee remedy, including that future sales can be jeopardised if consumers </w:t>
      </w:r>
      <w:r w:rsidR="00E02497">
        <w:t>publicly</w:t>
      </w:r>
      <w:r>
        <w:t xml:space="preserve"> call out non-compliance, as sometimes occurs through </w:t>
      </w:r>
      <w:r w:rsidR="00F86C69">
        <w:t xml:space="preserve">online </w:t>
      </w:r>
      <w:r>
        <w:t xml:space="preserve">reviews and social media. </w:t>
      </w:r>
    </w:p>
    <w:p w14:paraId="528A1190" w14:textId="165D9988" w:rsidR="001C4B84" w:rsidRDefault="001C4B84" w:rsidP="00AF73F4">
      <w:r>
        <w:t xml:space="preserve">The time cost of dealing with individual complaints may also act as a disincentive for producing or stocking </w:t>
      </w:r>
      <w:r w:rsidR="008D2A7F">
        <w:t>poor-</w:t>
      </w:r>
      <w:r>
        <w:t xml:space="preserve">quality goods and making the remedy process difficult to navigate. In many instances, a trader may see providing a remedy as the most </w:t>
      </w:r>
      <w:r w:rsidR="008D2A7F">
        <w:t>cost-</w:t>
      </w:r>
      <w:r>
        <w:t xml:space="preserve">effective solution to the issue. </w:t>
      </w:r>
    </w:p>
    <w:p w14:paraId="3780BFB4" w14:textId="21F0BC71" w:rsidR="0006354A" w:rsidRDefault="001C4B84" w:rsidP="00AF73F4">
      <w:r>
        <w:t xml:space="preserve">However, there are also </w:t>
      </w:r>
      <w:r w:rsidR="008D2A7F">
        <w:t>shorter-</w:t>
      </w:r>
      <w:r>
        <w:t xml:space="preserve">term incentives. Some suppliers and manufacturers may avoid the time cost of dealing with individual complaints by simply refusing claims for particular remedies, or any remedies at all. There may be more incentive to refuse particular remedies in </w:t>
      </w:r>
      <w:r w:rsidR="008D2A7F">
        <w:t>high-</w:t>
      </w:r>
      <w:r>
        <w:t xml:space="preserve">value transactions or to insist upon one form of remedy, such as </w:t>
      </w:r>
      <w:r w:rsidR="00242168">
        <w:t xml:space="preserve">a </w:t>
      </w:r>
      <w:r>
        <w:t xml:space="preserve">repair, when that is the </w:t>
      </w:r>
      <w:r w:rsidR="008D2A7F">
        <w:t>least-</w:t>
      </w:r>
      <w:r>
        <w:t>cost option.</w:t>
      </w:r>
    </w:p>
    <w:p w14:paraId="1E6C3B95" w14:textId="483411BA" w:rsidR="00C304A1" w:rsidRPr="00160070" w:rsidRDefault="00C304A1" w:rsidP="001E67A4">
      <w:pPr>
        <w:pStyle w:val="Heading3"/>
      </w:pPr>
      <w:bookmarkStart w:id="111" w:name="_Toc69381058"/>
      <w:bookmarkStart w:id="112" w:name="_Toc69395079"/>
      <w:bookmarkStart w:id="113" w:name="_Toc89700922"/>
      <w:r>
        <w:t xml:space="preserve">Obtaining remedies relating to </w:t>
      </w:r>
      <w:r w:rsidR="00225082">
        <w:t xml:space="preserve">new </w:t>
      </w:r>
      <w:r w:rsidRPr="00160070">
        <w:t>motor vehicles</w:t>
      </w:r>
      <w:bookmarkEnd w:id="111"/>
      <w:bookmarkEnd w:id="112"/>
      <w:bookmarkEnd w:id="113"/>
    </w:p>
    <w:p w14:paraId="3936957A" w14:textId="382DE91E" w:rsidR="00C304A1" w:rsidRDefault="00C304A1" w:rsidP="0071703A">
      <w:r>
        <w:t xml:space="preserve">For many consumers, the purchase of a </w:t>
      </w:r>
      <w:r w:rsidR="00CB09E7">
        <w:t xml:space="preserve">new </w:t>
      </w:r>
      <w:r>
        <w:t xml:space="preserve">motor vehicle is </w:t>
      </w:r>
      <w:r w:rsidR="00CB09E7">
        <w:t xml:space="preserve">likely to be one of the largest purchases they will ever make (perhaps second only to a home) </w:t>
      </w:r>
      <w:r>
        <w:t xml:space="preserve">and </w:t>
      </w:r>
      <w:r w:rsidR="003243BD">
        <w:t xml:space="preserve">could be </w:t>
      </w:r>
      <w:r>
        <w:t>their primary me</w:t>
      </w:r>
      <w:r w:rsidR="0071703A">
        <w:t xml:space="preserve">ans of transportation each day. </w:t>
      </w:r>
      <w:r w:rsidR="008B0351">
        <w:t>P</w:t>
      </w:r>
      <w:r>
        <w:t xml:space="preserve">roblems with </w:t>
      </w:r>
      <w:r w:rsidR="00225082">
        <w:t xml:space="preserve">new </w:t>
      </w:r>
      <w:r>
        <w:t>motor vehicles</w:t>
      </w:r>
      <w:r w:rsidRPr="00A123E2">
        <w:t xml:space="preserve"> </w:t>
      </w:r>
      <w:r>
        <w:t xml:space="preserve">can create significant disruption, including potential </w:t>
      </w:r>
      <w:r w:rsidRPr="00A123E2">
        <w:t>safety risk</w:t>
      </w:r>
      <w:r>
        <w:t xml:space="preserve">s (to </w:t>
      </w:r>
      <w:r w:rsidR="008B0351">
        <w:t xml:space="preserve">the user, </w:t>
      </w:r>
      <w:r>
        <w:t>passengers and other road users) and additional costs (</w:t>
      </w:r>
      <w:r w:rsidR="00982CB5">
        <w:t>e.g.</w:t>
      </w:r>
      <w:r>
        <w:t xml:space="preserve"> costs associated with use of </w:t>
      </w:r>
      <w:r w:rsidR="008B0351">
        <w:t xml:space="preserve">alternative </w:t>
      </w:r>
      <w:r>
        <w:t xml:space="preserve">transport, hiring </w:t>
      </w:r>
      <w:r w:rsidRPr="00A123E2">
        <w:t>a replacement</w:t>
      </w:r>
      <w:r>
        <w:t xml:space="preserve"> </w:t>
      </w:r>
      <w:r w:rsidR="008B0351">
        <w:t xml:space="preserve">vehicle </w:t>
      </w:r>
      <w:r>
        <w:t>and organising a remedy)</w:t>
      </w:r>
      <w:r w:rsidRPr="00A123E2">
        <w:t>.</w:t>
      </w:r>
    </w:p>
    <w:p w14:paraId="7E1134B2" w14:textId="6F1E1BFD" w:rsidR="00C304A1" w:rsidRDefault="00C304A1" w:rsidP="0071703A">
      <w:r w:rsidRPr="006C4A7E">
        <w:t xml:space="preserve">The </w:t>
      </w:r>
      <w:r w:rsidRPr="002D25B6">
        <w:t>2016 Australian Consumer Survey</w:t>
      </w:r>
      <w:r w:rsidRPr="006C4A7E">
        <w:t xml:space="preserve"> </w:t>
      </w:r>
      <w:r w:rsidRPr="002D25B6">
        <w:t>revealed</w:t>
      </w:r>
      <w:r w:rsidRPr="006C4A7E">
        <w:t xml:space="preserve"> consumer</w:t>
      </w:r>
      <w:r w:rsidRPr="002D25B6">
        <w:t>s</w:t>
      </w:r>
      <w:r w:rsidRPr="006C4A7E">
        <w:t xml:space="preserve"> experience problems with new motor vehicles in approximately 8</w:t>
      </w:r>
      <w:r w:rsidR="003A48A8">
        <w:t xml:space="preserve"> per cent</w:t>
      </w:r>
      <w:r w:rsidRPr="006C4A7E">
        <w:t xml:space="preserve"> of new motor vehicle purchases</w:t>
      </w:r>
      <w:r w:rsidR="00AF1343">
        <w:t xml:space="preserve"> </w:t>
      </w:r>
      <w:r>
        <w:rPr>
          <w:rStyle w:val="FootnoteReference"/>
        </w:rPr>
        <w:footnoteReference w:id="52"/>
      </w:r>
      <w:r w:rsidRPr="002D25B6">
        <w:t xml:space="preserve"> </w:t>
      </w:r>
      <w:r w:rsidR="002664E5">
        <w:t>and,</w:t>
      </w:r>
      <w:r>
        <w:t xml:space="preserve"> in 45</w:t>
      </w:r>
      <w:r w:rsidR="003A48A8">
        <w:t xml:space="preserve"> per cent</w:t>
      </w:r>
      <w:r w:rsidRPr="001E6D9D">
        <w:t xml:space="preserve"> of </w:t>
      </w:r>
      <w:r>
        <w:t>these instances</w:t>
      </w:r>
      <w:r w:rsidRPr="001E6D9D">
        <w:t xml:space="preserve">, </w:t>
      </w:r>
      <w:r w:rsidR="002664E5">
        <w:t>the</w:t>
      </w:r>
      <w:r w:rsidRPr="001E6D9D">
        <w:t xml:space="preserve"> problem had either not been resolved or </w:t>
      </w:r>
      <w:r w:rsidR="002664E5">
        <w:t>was</w:t>
      </w:r>
      <w:r w:rsidRPr="001E6D9D">
        <w:t xml:space="preserve"> resolved but not to the</w:t>
      </w:r>
      <w:r w:rsidR="002664E5">
        <w:t xml:space="preserve"> consumer’s</w:t>
      </w:r>
      <w:r w:rsidRPr="001E6D9D">
        <w:t xml:space="preserve"> </w:t>
      </w:r>
      <w:r w:rsidRPr="001E6D9D">
        <w:lastRenderedPageBreak/>
        <w:t>satisfaction</w:t>
      </w:r>
      <w:r>
        <w:t>.</w:t>
      </w:r>
      <w:r w:rsidR="00AF1343">
        <w:t xml:space="preserve"> </w:t>
      </w:r>
      <w:r>
        <w:rPr>
          <w:rStyle w:val="FootnoteReference"/>
        </w:rPr>
        <w:footnoteReference w:id="53"/>
      </w:r>
      <w:r>
        <w:t xml:space="preserve"> Further indications of </w:t>
      </w:r>
      <w:r w:rsidR="00474A49">
        <w:t>consumers experiencing issues with obtaining a remedy for a failure relating to</w:t>
      </w:r>
      <w:r w:rsidR="00A118B4">
        <w:t xml:space="preserve"> new </w:t>
      </w:r>
      <w:r w:rsidR="00474A49">
        <w:t>motor vehicles</w:t>
      </w:r>
      <w:r>
        <w:t xml:space="preserve"> can be seen in the volume of consumers contacting the </w:t>
      </w:r>
      <w:r w:rsidRPr="006C4A7E">
        <w:t>ACCC</w:t>
      </w:r>
      <w:r>
        <w:t>. Contacts</w:t>
      </w:r>
      <w:r w:rsidRPr="006C4A7E">
        <w:t xml:space="preserve"> about the automotive industry </w:t>
      </w:r>
      <w:r>
        <w:t xml:space="preserve">have consistently been </w:t>
      </w:r>
      <w:r w:rsidR="002619BF">
        <w:t xml:space="preserve">one of </w:t>
      </w:r>
      <w:r w:rsidRPr="006C4A7E">
        <w:t>the largest</w:t>
      </w:r>
      <w:r>
        <w:t xml:space="preserve"> contact </w:t>
      </w:r>
      <w:r w:rsidRPr="006C4A7E">
        <w:t>categ</w:t>
      </w:r>
      <w:r w:rsidR="002619BF">
        <w:t>ories</w:t>
      </w:r>
      <w:r w:rsidRPr="006C4A7E">
        <w:t xml:space="preserve"> </w:t>
      </w:r>
      <w:r>
        <w:t>in recent years</w:t>
      </w:r>
      <w:r w:rsidRPr="006C4A7E">
        <w:t xml:space="preserve">, making up a quarter of all </w:t>
      </w:r>
      <w:r>
        <w:t xml:space="preserve">ACCC </w:t>
      </w:r>
      <w:r w:rsidRPr="006C4A7E">
        <w:t>contacts about consumer guarantees</w:t>
      </w:r>
      <w:r>
        <w:t xml:space="preserve"> in the year to </w:t>
      </w:r>
      <w:r w:rsidR="002619BF">
        <w:t>September 2021</w:t>
      </w:r>
      <w:r>
        <w:t xml:space="preserve"> (and approximately the same in the two preceding </w:t>
      </w:r>
      <w:r w:rsidR="002619BF">
        <w:t>years)</w:t>
      </w:r>
      <w:r w:rsidR="002619BF" w:rsidRPr="006C4A7E">
        <w:t>.</w:t>
      </w:r>
    </w:p>
    <w:p w14:paraId="751F8686" w14:textId="066A517F" w:rsidR="00C304A1" w:rsidRDefault="00C304A1" w:rsidP="0071703A">
      <w:pPr>
        <w:rPr>
          <w:rFonts w:cs="Calibri"/>
          <w:szCs w:val="24"/>
        </w:rPr>
      </w:pPr>
      <w:r>
        <w:rPr>
          <w:rFonts w:cs="Calibri"/>
          <w:szCs w:val="24"/>
        </w:rPr>
        <w:t>The C</w:t>
      </w:r>
      <w:r w:rsidR="00A50DDA">
        <w:rPr>
          <w:rFonts w:cs="Calibri"/>
          <w:szCs w:val="24"/>
        </w:rPr>
        <w:t>HOICE</w:t>
      </w:r>
      <w:r>
        <w:rPr>
          <w:rFonts w:cs="Calibri"/>
          <w:szCs w:val="24"/>
        </w:rPr>
        <w:t xml:space="preserve"> and Australian Automobile</w:t>
      </w:r>
      <w:r w:rsidR="009E0818">
        <w:rPr>
          <w:rFonts w:cs="Calibri"/>
          <w:szCs w:val="24"/>
        </w:rPr>
        <w:t xml:space="preserve"> </w:t>
      </w:r>
      <w:r>
        <w:rPr>
          <w:rFonts w:cs="Calibri"/>
          <w:szCs w:val="24"/>
        </w:rPr>
        <w:t xml:space="preserve">Association </w:t>
      </w:r>
      <w:r w:rsidR="00EF2D94">
        <w:rPr>
          <w:rFonts w:cs="Calibri"/>
          <w:szCs w:val="24"/>
        </w:rPr>
        <w:t>(</w:t>
      </w:r>
      <w:r w:rsidR="007E5300">
        <w:rPr>
          <w:rFonts w:cs="Calibri"/>
          <w:szCs w:val="24"/>
        </w:rPr>
        <w:t>AAA</w:t>
      </w:r>
      <w:r w:rsidR="00EF2D94">
        <w:rPr>
          <w:rFonts w:cs="Calibri"/>
          <w:szCs w:val="24"/>
        </w:rPr>
        <w:t xml:space="preserve">) </w:t>
      </w:r>
      <w:r>
        <w:rPr>
          <w:rFonts w:cs="Calibri"/>
          <w:szCs w:val="24"/>
        </w:rPr>
        <w:t xml:space="preserve">submissions to the 2018 consultation provided further data on this issue from surveys conducted in 2016. </w:t>
      </w:r>
      <w:r w:rsidR="00AF1343">
        <w:rPr>
          <w:rStyle w:val="FootnoteReference"/>
          <w:rFonts w:cs="Calibri"/>
          <w:szCs w:val="24"/>
        </w:rPr>
        <w:footnoteReference w:id="54"/>
      </w:r>
      <w:r w:rsidR="00AF1343">
        <w:rPr>
          <w:rFonts w:cs="Calibri"/>
          <w:szCs w:val="24"/>
        </w:rPr>
        <w:t xml:space="preserve"> </w:t>
      </w:r>
      <w:r>
        <w:rPr>
          <w:rFonts w:cs="Calibri"/>
          <w:szCs w:val="24"/>
        </w:rPr>
        <w:t xml:space="preserve">For example, </w:t>
      </w:r>
      <w:r w:rsidR="004F53EC">
        <w:rPr>
          <w:rFonts w:cs="Calibri"/>
          <w:szCs w:val="24"/>
        </w:rPr>
        <w:t>a</w:t>
      </w:r>
      <w:r>
        <w:rPr>
          <w:rFonts w:cs="Calibri"/>
          <w:szCs w:val="24"/>
        </w:rPr>
        <w:t xml:space="preserve"> C</w:t>
      </w:r>
      <w:r w:rsidR="0071703A">
        <w:rPr>
          <w:rFonts w:cs="Calibri"/>
          <w:szCs w:val="24"/>
        </w:rPr>
        <w:t>HOICE</w:t>
      </w:r>
      <w:r>
        <w:rPr>
          <w:rFonts w:cs="Calibri"/>
          <w:szCs w:val="24"/>
        </w:rPr>
        <w:t xml:space="preserve"> survey</w:t>
      </w:r>
      <w:r w:rsidR="0071703A">
        <w:rPr>
          <w:rFonts w:cs="Calibri"/>
          <w:szCs w:val="24"/>
        </w:rPr>
        <w:t> </w:t>
      </w:r>
      <w:r w:rsidR="004F53EC">
        <w:rPr>
          <w:rStyle w:val="FootnoteReference"/>
          <w:rFonts w:cs="Calibri"/>
          <w:szCs w:val="24"/>
        </w:rPr>
        <w:footnoteReference w:id="55"/>
      </w:r>
      <w:r>
        <w:rPr>
          <w:rFonts w:cs="Calibri"/>
          <w:szCs w:val="24"/>
        </w:rPr>
        <w:t xml:space="preserve"> found:</w:t>
      </w:r>
    </w:p>
    <w:p w14:paraId="5578B83E" w14:textId="036D8D64" w:rsidR="00C304A1" w:rsidRDefault="00C304A1" w:rsidP="00B20812">
      <w:pPr>
        <w:pStyle w:val="Bullet"/>
        <w:widowControl w:val="0"/>
        <w:numPr>
          <w:ilvl w:val="0"/>
          <w:numId w:val="12"/>
        </w:numPr>
        <w:jc w:val="both"/>
      </w:pPr>
      <w:r>
        <w:t>two thirds of all new car buyers experienced problems of some sort with their car in the first five years of ownership</w:t>
      </w:r>
    </w:p>
    <w:p w14:paraId="1340FC37" w14:textId="1CD5EAC1" w:rsidR="00C304A1" w:rsidRDefault="00C304A1" w:rsidP="00B20812">
      <w:pPr>
        <w:pStyle w:val="Bullet"/>
        <w:widowControl w:val="0"/>
        <w:numPr>
          <w:ilvl w:val="0"/>
          <w:numId w:val="12"/>
        </w:numPr>
        <w:jc w:val="both"/>
      </w:pPr>
      <w:r>
        <w:t>14</w:t>
      </w:r>
      <w:r w:rsidR="003A48A8">
        <w:t xml:space="preserve"> per cent</w:t>
      </w:r>
      <w:r>
        <w:t xml:space="preserve"> of all survey respondents experienced major problems, defined as ‘problems that seriously impaired the car’s operation or outright stopped it working’</w:t>
      </w:r>
      <w:r w:rsidR="00CB09E7">
        <w:t xml:space="preserve"> </w:t>
      </w:r>
    </w:p>
    <w:p w14:paraId="3F188DB7" w14:textId="57DF9823" w:rsidR="00C304A1" w:rsidRDefault="00C304A1" w:rsidP="00B20812">
      <w:pPr>
        <w:pStyle w:val="Bullet"/>
        <w:widowControl w:val="0"/>
        <w:numPr>
          <w:ilvl w:val="0"/>
          <w:numId w:val="12"/>
        </w:numPr>
        <w:jc w:val="both"/>
      </w:pPr>
      <w:r>
        <w:t>the total average cost of fixing a problem with a new car was $1</w:t>
      </w:r>
      <w:r w:rsidR="00CB09E7">
        <w:t>,</w:t>
      </w:r>
      <w:r>
        <w:t>295, comprised of $858 in direct costs and $437 in lost wages</w:t>
      </w:r>
      <w:r w:rsidR="004F53EC">
        <w:t xml:space="preserve"> </w:t>
      </w:r>
      <w:r>
        <w:rPr>
          <w:rStyle w:val="FootnoteReference"/>
        </w:rPr>
        <w:footnoteReference w:id="56"/>
      </w:r>
      <w:r w:rsidR="00CB09E7">
        <w:t xml:space="preserve"> </w:t>
      </w:r>
    </w:p>
    <w:p w14:paraId="2C01871D" w14:textId="77777777" w:rsidR="00C304A1" w:rsidRPr="00FB2C7D" w:rsidRDefault="00C304A1" w:rsidP="00B20812">
      <w:pPr>
        <w:pStyle w:val="Bullet"/>
        <w:widowControl w:val="0"/>
        <w:numPr>
          <w:ilvl w:val="0"/>
          <w:numId w:val="12"/>
        </w:numPr>
        <w:jc w:val="both"/>
      </w:pPr>
      <w:r>
        <w:t xml:space="preserve">on average, people spent 31 hours attempting to seek a resolution to the problem. </w:t>
      </w:r>
    </w:p>
    <w:p w14:paraId="51A93103" w14:textId="6EE52024" w:rsidR="00C304A1" w:rsidRDefault="00C304A1" w:rsidP="00C304A1">
      <w:pPr>
        <w:pStyle w:val="Bullet"/>
        <w:numPr>
          <w:ilvl w:val="0"/>
          <w:numId w:val="0"/>
        </w:numPr>
        <w:rPr>
          <w:rFonts w:cs="Calibri"/>
          <w:szCs w:val="24"/>
        </w:rPr>
      </w:pPr>
      <w:r>
        <w:t xml:space="preserve">Consumer advocate groups </w:t>
      </w:r>
      <w:r w:rsidR="00750F83">
        <w:t xml:space="preserve">argue there is </w:t>
      </w:r>
      <w:r>
        <w:t xml:space="preserve">significant non-compliance </w:t>
      </w:r>
      <w:r w:rsidR="008E17A0">
        <w:t xml:space="preserve">in the </w:t>
      </w:r>
      <w:r w:rsidR="00225082">
        <w:t xml:space="preserve">new </w:t>
      </w:r>
      <w:r w:rsidR="008E17A0">
        <w:t xml:space="preserve">motor vehicle sector </w:t>
      </w:r>
      <w:r>
        <w:t>and/or the existing law is not necessarily fit for purpose for the sector.</w:t>
      </w:r>
      <w:r w:rsidR="004F53EC">
        <w:t xml:space="preserve"> </w:t>
      </w:r>
      <w:r>
        <w:rPr>
          <w:rStyle w:val="FootnoteReference"/>
        </w:rPr>
        <w:footnoteReference w:id="57"/>
      </w:r>
      <w:r>
        <w:t xml:space="preserve"> In doing so, s</w:t>
      </w:r>
      <w:r>
        <w:rPr>
          <w:rFonts w:cs="Calibri"/>
          <w:szCs w:val="24"/>
        </w:rPr>
        <w:t xml:space="preserve">everal case studies of consumer problems with obtaining remedies were provided in submissions to Treasury’s 2018 consultations on consumer guarantees. Two </w:t>
      </w:r>
      <w:r w:rsidR="008E17A0">
        <w:rPr>
          <w:rFonts w:cs="Calibri"/>
          <w:szCs w:val="24"/>
        </w:rPr>
        <w:t xml:space="preserve">examples of these </w:t>
      </w:r>
      <w:r>
        <w:rPr>
          <w:rFonts w:cs="Calibri"/>
          <w:szCs w:val="24"/>
        </w:rPr>
        <w:t>are below.</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CEB5DB" w:themeFill="accent6" w:themeFillTint="66"/>
        <w:tblLook w:val="04A0" w:firstRow="1" w:lastRow="0" w:firstColumn="1" w:lastColumn="0" w:noHBand="0" w:noVBand="1"/>
      </w:tblPr>
      <w:tblGrid>
        <w:gridCol w:w="9016"/>
      </w:tblGrid>
      <w:tr w:rsidR="00C304A1" w14:paraId="79863A43" w14:textId="77777777" w:rsidTr="00657FD8">
        <w:trPr>
          <w:cantSplit/>
        </w:trPr>
        <w:tc>
          <w:tcPr>
            <w:tcW w:w="9016" w:type="dxa"/>
            <w:shd w:val="clear" w:color="auto" w:fill="E6DAED" w:themeFill="accent6" w:themeFillTint="33"/>
          </w:tcPr>
          <w:p w14:paraId="62CA12E2" w14:textId="10AAFF4D" w:rsidR="00C304A1" w:rsidRPr="00847D81" w:rsidRDefault="00C304A1" w:rsidP="00756876">
            <w:pPr>
              <w:rPr>
                <w:rFonts w:cs="Calibri"/>
                <w:b/>
              </w:rPr>
            </w:pPr>
            <w:r w:rsidRPr="00847D81">
              <w:rPr>
                <w:rFonts w:cs="Calibri"/>
                <w:b/>
              </w:rPr>
              <w:t>Case Study 1</w:t>
            </w:r>
            <w:r>
              <w:rPr>
                <w:rFonts w:cs="Calibri"/>
                <w:b/>
              </w:rPr>
              <w:t>: Joanne</w:t>
            </w:r>
            <w:r w:rsidR="004F53EC">
              <w:rPr>
                <w:rFonts w:cs="Calibri"/>
                <w:b/>
              </w:rPr>
              <w:t xml:space="preserve"> </w:t>
            </w:r>
            <w:r w:rsidRPr="00A95430">
              <w:rPr>
                <w:rStyle w:val="FootnoteReference"/>
                <w:rFonts w:cs="Calibri"/>
              </w:rPr>
              <w:footnoteReference w:id="58"/>
            </w:r>
          </w:p>
          <w:p w14:paraId="1C5EBD05" w14:textId="41E39F99" w:rsidR="00C304A1" w:rsidRPr="00E16929" w:rsidRDefault="00C304A1" w:rsidP="00756876">
            <w:pPr>
              <w:rPr>
                <w:rFonts w:cs="Calibri"/>
              </w:rPr>
            </w:pPr>
            <w:r w:rsidRPr="00B5661D">
              <w:rPr>
                <w:rFonts w:cs="Calibri"/>
              </w:rPr>
              <w:t xml:space="preserve">Joanne experienced a major fault with the transmission of her </w:t>
            </w:r>
            <w:r w:rsidR="00225082">
              <w:rPr>
                <w:rFonts w:cs="Calibri"/>
              </w:rPr>
              <w:t xml:space="preserve">new motor </w:t>
            </w:r>
            <w:r w:rsidRPr="00B5661D">
              <w:rPr>
                <w:rFonts w:cs="Calibri"/>
              </w:rPr>
              <w:t>vehicle less than 30 days after purchase. Instead of being offered a refund or replacement, Joanne was left $4,000 out of pocket and spent 30 hours away from work trying to seek a remedy through the court system. The matter was eventually resolved with the court ordering a refund after the car was deemed unsafe.</w:t>
            </w:r>
          </w:p>
        </w:tc>
      </w:tr>
    </w:tbl>
    <w:p w14:paraId="2D760730" w14:textId="77777777" w:rsidR="00C304A1" w:rsidRDefault="00C304A1" w:rsidP="00C304A1">
      <w:pPr>
        <w:rPr>
          <w:rFonts w:cs="Calibri"/>
          <w:szCs w:val="24"/>
        </w:rPr>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CEB5DB" w:themeFill="accent6" w:themeFillTint="66"/>
        <w:tblLook w:val="04A0" w:firstRow="1" w:lastRow="0" w:firstColumn="1" w:lastColumn="0" w:noHBand="0" w:noVBand="1"/>
      </w:tblPr>
      <w:tblGrid>
        <w:gridCol w:w="9016"/>
      </w:tblGrid>
      <w:tr w:rsidR="00C304A1" w14:paraId="47A6657F" w14:textId="77777777" w:rsidTr="00657FD8">
        <w:tc>
          <w:tcPr>
            <w:tcW w:w="9016" w:type="dxa"/>
            <w:shd w:val="clear" w:color="auto" w:fill="E6DAED" w:themeFill="accent6" w:themeFillTint="33"/>
          </w:tcPr>
          <w:p w14:paraId="23FE972D" w14:textId="013B19CB" w:rsidR="00C304A1" w:rsidRPr="00A95430" w:rsidRDefault="00C304A1" w:rsidP="00756876">
            <w:pPr>
              <w:rPr>
                <w:rFonts w:cs="Calibri"/>
                <w:b/>
              </w:rPr>
            </w:pPr>
            <w:r w:rsidRPr="00A95430">
              <w:rPr>
                <w:rFonts w:cs="Calibri"/>
                <w:b/>
              </w:rPr>
              <w:t>Case Study 2</w:t>
            </w:r>
            <w:r>
              <w:rPr>
                <w:rFonts w:cs="Calibri"/>
                <w:b/>
              </w:rPr>
              <w:t>: Shantell</w:t>
            </w:r>
            <w:r w:rsidR="004F53EC">
              <w:rPr>
                <w:rFonts w:cs="Calibri"/>
                <w:b/>
              </w:rPr>
              <w:t xml:space="preserve"> </w:t>
            </w:r>
            <w:r w:rsidRPr="00444FC4">
              <w:rPr>
                <w:rStyle w:val="FootnoteReference"/>
                <w:rFonts w:cs="Calibri"/>
              </w:rPr>
              <w:footnoteReference w:id="59"/>
            </w:r>
          </w:p>
          <w:p w14:paraId="3AF0EC4F" w14:textId="4B169EDD" w:rsidR="00C304A1" w:rsidRDefault="00C304A1" w:rsidP="00756876">
            <w:pPr>
              <w:rPr>
                <w:rFonts w:cs="Calibri"/>
                <w:szCs w:val="24"/>
              </w:rPr>
            </w:pPr>
            <w:r w:rsidRPr="00BE6FDF">
              <w:rPr>
                <w:rFonts w:cs="Calibri"/>
              </w:rPr>
              <w:t>Shantell experienced multiple failures within 60 days of purchasing a new demonstrator car. The first fault was discovered before the car was due for its 3</w:t>
            </w:r>
            <w:r w:rsidR="009E0818">
              <w:rPr>
                <w:rFonts w:cs="Calibri"/>
              </w:rPr>
              <w:t>,</w:t>
            </w:r>
            <w:r w:rsidRPr="00BE6FDF">
              <w:rPr>
                <w:rFonts w:cs="Calibri"/>
              </w:rPr>
              <w:t xml:space="preserve">000km service. According to Shantell, the dealership did not rectify the issue. Shantell </w:t>
            </w:r>
            <w:r w:rsidR="00225082">
              <w:rPr>
                <w:rFonts w:cs="Calibri"/>
              </w:rPr>
              <w:t xml:space="preserve">then </w:t>
            </w:r>
            <w:r w:rsidRPr="00BE6FDF">
              <w:rPr>
                <w:rFonts w:cs="Calibri"/>
              </w:rPr>
              <w:t xml:space="preserve">experienced eight </w:t>
            </w:r>
            <w:r w:rsidR="00225082" w:rsidRPr="00BE6FDF">
              <w:rPr>
                <w:rFonts w:cs="Calibri"/>
              </w:rPr>
              <w:t xml:space="preserve">additional </w:t>
            </w:r>
            <w:r w:rsidRPr="00BE6FDF">
              <w:rPr>
                <w:rFonts w:cs="Calibri"/>
              </w:rPr>
              <w:t xml:space="preserve">faults, which caused her on many occasions to be without a car. Shantell </w:t>
            </w:r>
            <w:r w:rsidR="009E0818">
              <w:rPr>
                <w:rFonts w:cs="Calibri"/>
              </w:rPr>
              <w:t xml:space="preserve">had to </w:t>
            </w:r>
            <w:r w:rsidRPr="00BE6FDF">
              <w:rPr>
                <w:rFonts w:cs="Calibri"/>
              </w:rPr>
              <w:t xml:space="preserve">hire a car for more than three months, experienced loss of business, fell behind on finance due to </w:t>
            </w:r>
            <w:r w:rsidR="00FC3722" w:rsidRPr="00BE6FDF">
              <w:rPr>
                <w:rFonts w:cs="Calibri"/>
              </w:rPr>
              <w:t>cost-of-living</w:t>
            </w:r>
            <w:r w:rsidR="00225082">
              <w:rPr>
                <w:rFonts w:cs="Calibri"/>
              </w:rPr>
              <w:t xml:space="preserve"> constraints</w:t>
            </w:r>
            <w:r w:rsidRPr="00BE6FDF">
              <w:rPr>
                <w:rFonts w:cs="Calibri"/>
              </w:rPr>
              <w:t xml:space="preserve">, loss of </w:t>
            </w:r>
            <w:r w:rsidR="00225082">
              <w:rPr>
                <w:rFonts w:cs="Calibri"/>
              </w:rPr>
              <w:t xml:space="preserve">car </w:t>
            </w:r>
            <w:r w:rsidRPr="00BE6FDF">
              <w:rPr>
                <w:rFonts w:cs="Calibri"/>
              </w:rPr>
              <w:t>registration, and required tow trucks on multiple occasions when her vehicle experienced faults on road. In addition, Shantell suffered emotionally from the stress. Unfortunately, the manufacturer failed to offer a satisfactory remedy, leaving Shantell out of pocket tens of thousands of dollars.</w:t>
            </w:r>
          </w:p>
        </w:tc>
      </w:tr>
    </w:tbl>
    <w:p w14:paraId="559087F6" w14:textId="77777777" w:rsidR="00C304A1" w:rsidRDefault="00C304A1" w:rsidP="00C304A1">
      <w:pPr>
        <w:spacing w:before="200"/>
      </w:pPr>
      <w:r>
        <w:t>Independent repairers also submitted observations on the difficulty consumers face when they try to enforce their warranty rights (noting that meeting warranty commitments is an ACL consumer guarantee):</w:t>
      </w:r>
    </w:p>
    <w:p w14:paraId="24BCC581" w14:textId="77777777" w:rsidR="00C304A1" w:rsidRDefault="00C304A1" w:rsidP="00C304A1">
      <w:pPr>
        <w:spacing w:before="200"/>
        <w:ind w:left="720"/>
        <w:rPr>
          <w:i/>
        </w:rPr>
      </w:pPr>
      <w:r>
        <w:rPr>
          <w:i/>
        </w:rPr>
        <w:t>…</w:t>
      </w:r>
      <w:r w:rsidRPr="004F264E">
        <w:rPr>
          <w:i/>
        </w:rPr>
        <w:t>we hear of many instances directly from consumers regarding their inability to enforce their statutory rights where a warrantable defect has been identified</w:t>
      </w:r>
      <w:r>
        <w:rPr>
          <w:i/>
        </w:rPr>
        <w:t>…</w:t>
      </w:r>
    </w:p>
    <w:p w14:paraId="78F1B73B" w14:textId="77777777" w:rsidR="00C304A1" w:rsidRPr="004F264E" w:rsidRDefault="00C304A1" w:rsidP="00C304A1">
      <w:pPr>
        <w:spacing w:before="200"/>
        <w:ind w:left="720"/>
        <w:rPr>
          <w:i/>
        </w:rPr>
      </w:pPr>
      <w:r w:rsidRPr="004F264E">
        <w:rPr>
          <w:i/>
        </w:rPr>
        <w:t>The volume of consumer complaints that we receive from our members’ customers regarding their dissatisfaction with a new car purchase would indicate that increased attention and scrutiny is required because there is a significant power imbalance between a consumer and the large global vehicle manufacturers that are reluctant to admit fault due to the commercial implications.</w:t>
      </w:r>
    </w:p>
    <w:p w14:paraId="6C0F5CAD" w14:textId="2373B6E8" w:rsidR="00C304A1" w:rsidRPr="004F264E" w:rsidRDefault="00C304A1" w:rsidP="00C304A1">
      <w:pPr>
        <w:spacing w:before="200"/>
        <w:ind w:left="720"/>
        <w:rPr>
          <w:i/>
        </w:rPr>
      </w:pPr>
      <w:r w:rsidRPr="004F264E">
        <w:rPr>
          <w:i/>
        </w:rPr>
        <w:t>The high volume of community concern should provide enough evidence there are sections of our law that are subject to ‘creative compliance’ rather than compliance with the letter and the spirit of the law. Our concern arises from systemic failures in aftersales service, because at some point in time, these consumers arrive at the door of the independent (non-dealer) aligned auto repair businesses.</w:t>
      </w:r>
      <w:r w:rsidR="00993893">
        <w:rPr>
          <w:i/>
        </w:rPr>
        <w:t xml:space="preserve"> </w:t>
      </w:r>
      <w:r>
        <w:rPr>
          <w:rStyle w:val="FootnoteReference"/>
          <w:i/>
        </w:rPr>
        <w:footnoteReference w:id="60"/>
      </w:r>
    </w:p>
    <w:p w14:paraId="246337A2" w14:textId="41A5EC94" w:rsidR="00C304A1" w:rsidRDefault="00C304A1" w:rsidP="00C304A1">
      <w:pPr>
        <w:spacing w:before="200"/>
      </w:pPr>
      <w:r>
        <w:t xml:space="preserve">The commercial arrangements between vehicle manufacturers and suppliers and how they approach problems with </w:t>
      </w:r>
      <w:r w:rsidR="00DC699E">
        <w:t xml:space="preserve">new </w:t>
      </w:r>
      <w:r>
        <w:t xml:space="preserve">motor vehicles appear to be contributing factors to consumer remedy outcomes. These issues are explained in a market study into the motor vehicle retail sector undertaken by the </w:t>
      </w:r>
      <w:r>
        <w:lastRenderedPageBreak/>
        <w:t>ACCC in 2017.</w:t>
      </w:r>
      <w:r w:rsidR="00EF2D94">
        <w:t xml:space="preserve"> </w:t>
      </w:r>
      <w:r>
        <w:rPr>
          <w:rStyle w:val="FootnoteReference"/>
        </w:rPr>
        <w:footnoteReference w:id="61"/>
      </w:r>
      <w:r>
        <w:t xml:space="preserve"> The market study highlights</w:t>
      </w:r>
      <w:r w:rsidR="003615C9">
        <w:t xml:space="preserve"> that</w:t>
      </w:r>
      <w:r>
        <w:t xml:space="preserve"> a ‘culture of repair’ exists in the motor vehicle industry which underpins how defects and failures are dealt with. </w:t>
      </w:r>
    </w:p>
    <w:p w14:paraId="66251925" w14:textId="1441658A" w:rsidR="00EF2D94" w:rsidRDefault="00C304A1" w:rsidP="00C304A1">
      <w:pPr>
        <w:spacing w:before="200"/>
      </w:pPr>
      <w:r>
        <w:t xml:space="preserve">This includes complex internal complaints handling procedures that have not accounted for consumer guarantee rights and instead focused on warranties provided by manufacturers. Examples of this were also noted by the </w:t>
      </w:r>
      <w:r w:rsidR="00EF2D94">
        <w:t>AADA</w:t>
      </w:r>
      <w:r>
        <w:t xml:space="preserve"> in 2018. This included agreements:</w:t>
      </w:r>
    </w:p>
    <w:p w14:paraId="7E47D305" w14:textId="559BB525" w:rsidR="00EF2D94" w:rsidRDefault="00C304A1" w:rsidP="0071703A">
      <w:pPr>
        <w:pStyle w:val="Bullet"/>
      </w:pPr>
      <w:r w:rsidRPr="005D6C45">
        <w:t xml:space="preserve">prohibit dealers from making admissions of liability without prior approval of </w:t>
      </w:r>
      <w:r>
        <w:t xml:space="preserve">a </w:t>
      </w:r>
      <w:r w:rsidRPr="005D6C45">
        <w:t>manufacturer</w:t>
      </w:r>
    </w:p>
    <w:p w14:paraId="08C4EA5A" w14:textId="472DB135" w:rsidR="00993893" w:rsidRDefault="00C304A1" w:rsidP="0071703A">
      <w:pPr>
        <w:pStyle w:val="Bullet"/>
      </w:pPr>
      <w:r>
        <w:t xml:space="preserve">require dealers to </w:t>
      </w:r>
      <w:r w:rsidRPr="005D6C45">
        <w:t xml:space="preserve">obey </w:t>
      </w:r>
      <w:r>
        <w:t xml:space="preserve">manufacturer </w:t>
      </w:r>
      <w:r w:rsidRPr="005D6C45">
        <w:t>instructions in relation to a consumer’s request, complaint, claim or legal proceeding</w:t>
      </w:r>
      <w:r>
        <w:t xml:space="preserve"> </w:t>
      </w:r>
    </w:p>
    <w:p w14:paraId="0DB9271E" w14:textId="2BE11E86" w:rsidR="00993893" w:rsidRDefault="00C304A1" w:rsidP="0071703A">
      <w:pPr>
        <w:pStyle w:val="Bullet"/>
      </w:pPr>
      <w:r w:rsidRPr="005D6C45">
        <w:t xml:space="preserve">state dealers will lose their right of indemnity </w:t>
      </w:r>
      <w:r>
        <w:t xml:space="preserve">if they did not </w:t>
      </w:r>
      <w:r w:rsidRPr="005D6C45">
        <w:t>adhere to</w:t>
      </w:r>
      <w:r>
        <w:t xml:space="preserve"> such manufacturer instructions</w:t>
      </w:r>
      <w:r w:rsidRPr="005D6C45">
        <w:t>.</w:t>
      </w:r>
      <w:r w:rsidR="00993893">
        <w:t xml:space="preserve"> </w:t>
      </w:r>
      <w:r>
        <w:rPr>
          <w:rStyle w:val="FootnoteReference"/>
        </w:rPr>
        <w:footnoteReference w:id="62"/>
      </w:r>
    </w:p>
    <w:p w14:paraId="0D5A1327" w14:textId="765CC7C7" w:rsidR="00C304A1" w:rsidRDefault="00C304A1" w:rsidP="002619BF">
      <w:pPr>
        <w:pStyle w:val="Bullet"/>
        <w:numPr>
          <w:ilvl w:val="0"/>
          <w:numId w:val="0"/>
        </w:numPr>
      </w:pPr>
      <w:r>
        <w:t>The resulting experience for consumers noted by the Consumer Law Centre of the ACT in its 2018 submission, was they had ‘</w:t>
      </w:r>
      <w:r w:rsidRPr="0049488A">
        <w:t xml:space="preserve">found it common for suppliers in the motor vehicle industry to purposely ignore or challenge the existence and application of their </w:t>
      </w:r>
      <w:r>
        <w:t xml:space="preserve">[clients’] </w:t>
      </w:r>
      <w:r w:rsidRPr="0049488A">
        <w:t>consumer rights under the ACL</w:t>
      </w:r>
      <w:r>
        <w:t>’</w:t>
      </w:r>
      <w:r w:rsidRPr="0049488A">
        <w:t>.</w:t>
      </w:r>
      <w:r w:rsidR="00A3481A">
        <w:t xml:space="preserve"> </w:t>
      </w:r>
      <w:r>
        <w:rPr>
          <w:rStyle w:val="FootnoteReference"/>
        </w:rPr>
        <w:footnoteReference w:id="63"/>
      </w:r>
    </w:p>
    <w:p w14:paraId="7C544B28" w14:textId="656844E6" w:rsidR="00FC3722" w:rsidRDefault="004A71A3" w:rsidP="00C304A1">
      <w:pPr>
        <w:spacing w:before="200"/>
      </w:pPr>
      <w:r>
        <w:t>In considering the known extent of the problem, t</w:t>
      </w:r>
      <w:r w:rsidR="00C304A1">
        <w:t xml:space="preserve">he ACCC’s market study </w:t>
      </w:r>
      <w:r>
        <w:t xml:space="preserve">suggests there </w:t>
      </w:r>
      <w:r w:rsidR="002619BF">
        <w:t xml:space="preserve">are </w:t>
      </w:r>
      <w:r w:rsidR="00A3481A">
        <w:t xml:space="preserve">certain practices and policies </w:t>
      </w:r>
      <w:r w:rsidR="00937A32">
        <w:t xml:space="preserve">that </w:t>
      </w:r>
      <w:r w:rsidR="00A3481A">
        <w:t>can create additional barriers</w:t>
      </w:r>
      <w:r w:rsidR="00053D40">
        <w:t xml:space="preserve"> </w:t>
      </w:r>
      <w:r w:rsidR="00A3481A">
        <w:t xml:space="preserve">for consumers to receive the remedy they are entitled to, leaving consumers in failed repair attempts, even where known significant and systemic mechanical failures would entitle a consumer to a replacement or refund remedy. </w:t>
      </w:r>
      <w:r w:rsidR="00053D40">
        <w:t>It also makes it challenging for policy makers and regulators to assess the full extent of problems in the sector. For example, the</w:t>
      </w:r>
      <w:r w:rsidR="00053D40" w:rsidRPr="00053D40">
        <w:t xml:space="preserve"> widespread use of non-disclosure agreements when resolving consumer complaints</w:t>
      </w:r>
      <w:r w:rsidR="002619BF">
        <w:t xml:space="preserve"> may indicate</w:t>
      </w:r>
      <w:r w:rsidR="00053D40" w:rsidRPr="00053D40">
        <w:t xml:space="preserve"> that </w:t>
      </w:r>
      <w:r w:rsidR="002619BF">
        <w:t xml:space="preserve">suppliers or manufacturers are telling </w:t>
      </w:r>
      <w:r w:rsidR="00053D40" w:rsidRPr="00053D40">
        <w:t xml:space="preserve">consumers </w:t>
      </w:r>
      <w:r w:rsidR="002619BF">
        <w:t xml:space="preserve">they </w:t>
      </w:r>
      <w:r w:rsidR="00053D40" w:rsidRPr="00053D40">
        <w:t>are not entitled to their consumer guarantee and warranty rights unless a non-disclosure agreement is signed when this is not the case.</w:t>
      </w:r>
      <w:r w:rsidR="00A3481A">
        <w:rPr>
          <w:rStyle w:val="FootnoteReference"/>
        </w:rPr>
        <w:footnoteReference w:id="64"/>
      </w:r>
      <w:r w:rsidR="00A3481A">
        <w:t xml:space="preserve"> </w:t>
      </w:r>
    </w:p>
    <w:p w14:paraId="6C281A4C" w14:textId="77777777" w:rsidR="00FC3722" w:rsidRDefault="00FC3722">
      <w:pPr>
        <w:spacing w:before="0" w:after="160" w:line="259" w:lineRule="auto"/>
      </w:pPr>
      <w: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6DAED" w:themeFill="accent6" w:themeFillTint="33"/>
        <w:tblLook w:val="04A0" w:firstRow="1" w:lastRow="0" w:firstColumn="1" w:lastColumn="0" w:noHBand="0" w:noVBand="1"/>
      </w:tblPr>
      <w:tblGrid>
        <w:gridCol w:w="9016"/>
      </w:tblGrid>
      <w:tr w:rsidR="00C304A1" w14:paraId="1B40F439" w14:textId="77777777" w:rsidTr="00E97D56">
        <w:tc>
          <w:tcPr>
            <w:tcW w:w="9016" w:type="dxa"/>
            <w:shd w:val="clear" w:color="auto" w:fill="E6DAED" w:themeFill="accent6" w:themeFillTint="33"/>
          </w:tcPr>
          <w:p w14:paraId="48D431F8" w14:textId="7835AFEE" w:rsidR="00C304A1" w:rsidRPr="00A95430" w:rsidRDefault="00C304A1" w:rsidP="00756876">
            <w:pPr>
              <w:rPr>
                <w:rFonts w:cs="Calibri"/>
                <w:b/>
              </w:rPr>
            </w:pPr>
            <w:r w:rsidRPr="00A95430">
              <w:rPr>
                <w:rFonts w:cs="Calibri"/>
                <w:b/>
              </w:rPr>
              <w:lastRenderedPageBreak/>
              <w:t xml:space="preserve">Case Study </w:t>
            </w:r>
            <w:r>
              <w:rPr>
                <w:rFonts w:cs="Calibri"/>
                <w:b/>
              </w:rPr>
              <w:t>3: Sonia</w:t>
            </w:r>
            <w:r w:rsidR="004F53EC">
              <w:rPr>
                <w:rFonts w:cs="Calibri"/>
                <w:b/>
              </w:rPr>
              <w:t xml:space="preserve"> </w:t>
            </w:r>
            <w:r w:rsidR="00A17A24">
              <w:rPr>
                <w:rStyle w:val="FootnoteReference"/>
                <w:rFonts w:cs="Calibri"/>
                <w:b/>
              </w:rPr>
              <w:footnoteReference w:id="65"/>
            </w:r>
          </w:p>
          <w:p w14:paraId="5027A064" w14:textId="37010EFE" w:rsidR="00C304A1" w:rsidRDefault="00C304A1" w:rsidP="006019F5">
            <w:pPr>
              <w:rPr>
                <w:rFonts w:cs="Calibri"/>
                <w:szCs w:val="24"/>
              </w:rPr>
            </w:pPr>
            <w:r w:rsidRPr="007A4BAF">
              <w:rPr>
                <w:rFonts w:cs="Calibri"/>
              </w:rPr>
              <w:t xml:space="preserve">Sonia purchased a new </w:t>
            </w:r>
            <w:r w:rsidR="00DC699E">
              <w:rPr>
                <w:rFonts w:cs="Calibri"/>
              </w:rPr>
              <w:t xml:space="preserve">motor </w:t>
            </w:r>
            <w:r w:rsidRPr="007A4BAF">
              <w:rPr>
                <w:rFonts w:cs="Calibri"/>
              </w:rPr>
              <w:t>vehicle that</w:t>
            </w:r>
            <w:r>
              <w:rPr>
                <w:rFonts w:cs="Calibri"/>
              </w:rPr>
              <w:t xml:space="preserve"> </w:t>
            </w:r>
            <w:r w:rsidRPr="007A4BAF">
              <w:rPr>
                <w:rFonts w:cs="Calibri"/>
              </w:rPr>
              <w:t>encountered a major mechanical failure. Rather than a refund</w:t>
            </w:r>
            <w:r>
              <w:rPr>
                <w:rFonts w:cs="Calibri"/>
              </w:rPr>
              <w:t xml:space="preserve"> </w:t>
            </w:r>
            <w:r w:rsidRPr="007A4BAF">
              <w:rPr>
                <w:rFonts w:cs="Calibri"/>
              </w:rPr>
              <w:t>or replacement the manufacturer offered a trade-in or</w:t>
            </w:r>
            <w:r>
              <w:rPr>
                <w:rFonts w:cs="Calibri"/>
              </w:rPr>
              <w:t xml:space="preserve"> </w:t>
            </w:r>
            <w:r w:rsidRPr="007A4BAF">
              <w:rPr>
                <w:rFonts w:cs="Calibri"/>
              </w:rPr>
              <w:t>buy-back. Sonia was asked to sign a confidentiality agreement</w:t>
            </w:r>
            <w:r>
              <w:rPr>
                <w:rFonts w:cs="Calibri"/>
              </w:rPr>
              <w:t xml:space="preserve"> </w:t>
            </w:r>
            <w:r w:rsidRPr="007A4BAF">
              <w:rPr>
                <w:rFonts w:cs="Calibri"/>
              </w:rPr>
              <w:t>after she had surrendered her old faulty vehicle and paid the trade-in difference</w:t>
            </w:r>
            <w:r w:rsidR="00DC699E">
              <w:rPr>
                <w:rFonts w:cs="Calibri"/>
              </w:rPr>
              <w:t>.</w:t>
            </w:r>
            <w:r w:rsidRPr="007A4BAF">
              <w:rPr>
                <w:rFonts w:cs="Calibri"/>
              </w:rPr>
              <w:t xml:space="preserve"> </w:t>
            </w:r>
            <w:r w:rsidR="00CB7631">
              <w:rPr>
                <w:rFonts w:cs="Calibri"/>
              </w:rPr>
              <w:t xml:space="preserve">Sonia </w:t>
            </w:r>
            <w:r w:rsidR="006019F5">
              <w:rPr>
                <w:rFonts w:cs="Calibri"/>
              </w:rPr>
              <w:t>would have preferred the</w:t>
            </w:r>
            <w:r>
              <w:rPr>
                <w:rFonts w:cs="Calibri"/>
              </w:rPr>
              <w:t xml:space="preserve"> manufacturer “</w:t>
            </w:r>
            <w:r w:rsidRPr="007A4BAF">
              <w:rPr>
                <w:rFonts w:cs="Calibri"/>
              </w:rPr>
              <w:t>offered immediate and total</w:t>
            </w:r>
            <w:r>
              <w:rPr>
                <w:rFonts w:cs="Calibri"/>
              </w:rPr>
              <w:t xml:space="preserve"> </w:t>
            </w:r>
            <w:r w:rsidRPr="007A4BAF">
              <w:rPr>
                <w:rFonts w:cs="Calibri"/>
              </w:rPr>
              <w:t>refunds to all its customers as well as compensation for the</w:t>
            </w:r>
            <w:r>
              <w:rPr>
                <w:rFonts w:cs="Calibri"/>
              </w:rPr>
              <w:t xml:space="preserve"> </w:t>
            </w:r>
            <w:r w:rsidRPr="007A4BAF">
              <w:rPr>
                <w:rFonts w:cs="Calibri"/>
              </w:rPr>
              <w:t>ongoing stress and inconvenience of having to negotiate their</w:t>
            </w:r>
            <w:r>
              <w:rPr>
                <w:rFonts w:cs="Calibri"/>
              </w:rPr>
              <w:t xml:space="preserve"> </w:t>
            </w:r>
            <w:r w:rsidRPr="007A4BAF">
              <w:rPr>
                <w:rFonts w:cs="Calibri"/>
              </w:rPr>
              <w:t>way out of driving a 100</w:t>
            </w:r>
            <w:r w:rsidR="003A48A8">
              <w:rPr>
                <w:rFonts w:cs="Calibri"/>
              </w:rPr>
              <w:t xml:space="preserve"> per cent</w:t>
            </w:r>
            <w:r w:rsidRPr="007A4BAF">
              <w:rPr>
                <w:rFonts w:cs="Calibri"/>
              </w:rPr>
              <w:t xml:space="preserve"> unsafe vehicle.”</w:t>
            </w:r>
          </w:p>
        </w:tc>
      </w:tr>
    </w:tbl>
    <w:p w14:paraId="25E5E4A8" w14:textId="4EF4D3B3" w:rsidR="00C304A1" w:rsidRPr="00993893" w:rsidRDefault="00301EB4" w:rsidP="00993893">
      <w:r>
        <w:br/>
      </w:r>
      <w:r w:rsidR="002619BF" w:rsidRPr="004A1DC9">
        <w:t>Under the broader ACL framework of protections, regulators can address some limited</w:t>
      </w:r>
      <w:r w:rsidR="009D78AD">
        <w:t xml:space="preserve"> breaches</w:t>
      </w:r>
      <w:r w:rsidR="002619BF" w:rsidRPr="004A1DC9">
        <w:t xml:space="preserve"> such as misleading or unconscionable conduct by motor vehicle suppliers. </w:t>
      </w:r>
      <w:r w:rsidR="002619BF" w:rsidRPr="007159CE">
        <w:t xml:space="preserve"> </w:t>
      </w:r>
      <w:r w:rsidR="007159CE" w:rsidRPr="007159CE">
        <w:t xml:space="preserve">The ACCC has sought to address </w:t>
      </w:r>
      <w:r w:rsidR="002619BF">
        <w:t xml:space="preserve">such </w:t>
      </w:r>
      <w:r w:rsidR="007159CE" w:rsidRPr="007159CE">
        <w:t xml:space="preserve">non-compliance in the sector with </w:t>
      </w:r>
      <w:r w:rsidR="00F038AA">
        <w:t xml:space="preserve">current </w:t>
      </w:r>
      <w:r w:rsidR="007159CE" w:rsidRPr="007159CE">
        <w:t xml:space="preserve">regulatory tools. One approach has been to </w:t>
      </w:r>
      <w:r w:rsidR="002619BF">
        <w:t>accept</w:t>
      </w:r>
      <w:r w:rsidR="002619BF" w:rsidRPr="007159CE">
        <w:t xml:space="preserve"> </w:t>
      </w:r>
      <w:r w:rsidR="007159CE" w:rsidRPr="007159CE">
        <w:t xml:space="preserve">enforceable undertakings </w:t>
      </w:r>
      <w:r w:rsidR="002619BF">
        <w:t xml:space="preserve">from </w:t>
      </w:r>
      <w:r w:rsidR="007159CE" w:rsidRPr="007159CE">
        <w:t>a range of motor vehicle manufacturers to strengthen their compliance with the ACL and consumer guarantees as set out below.</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27"/>
      </w:tblGrid>
      <w:tr w:rsidR="00C304A1" w:rsidRPr="00EC7C4D" w14:paraId="39F2B55C" w14:textId="77777777" w:rsidTr="00FC3722">
        <w:trPr>
          <w:cantSplit/>
          <w:tblHeader/>
        </w:trPr>
        <w:tc>
          <w:tcPr>
            <w:tcW w:w="2689" w:type="dxa"/>
            <w:shd w:val="clear" w:color="auto" w:fill="B690C9" w:themeFill="accent6" w:themeFillTint="99"/>
          </w:tcPr>
          <w:p w14:paraId="7F81D27A" w14:textId="77777777" w:rsidR="00C304A1" w:rsidRPr="00EC7C4D" w:rsidRDefault="00C304A1" w:rsidP="00993893">
            <w:pPr>
              <w:keepNext/>
              <w:spacing w:before="60" w:after="60" w:line="300" w:lineRule="auto"/>
              <w:jc w:val="left"/>
              <w:rPr>
                <w:b/>
              </w:rPr>
            </w:pPr>
            <w:r w:rsidRPr="00EC7C4D">
              <w:rPr>
                <w:b/>
              </w:rPr>
              <w:t>Manufacturer</w:t>
            </w:r>
          </w:p>
        </w:tc>
        <w:tc>
          <w:tcPr>
            <w:tcW w:w="6327" w:type="dxa"/>
            <w:shd w:val="clear" w:color="auto" w:fill="B690C9" w:themeFill="accent6" w:themeFillTint="99"/>
          </w:tcPr>
          <w:p w14:paraId="32747D2B" w14:textId="77777777" w:rsidR="00C304A1" w:rsidRPr="00EC7C4D" w:rsidRDefault="00C304A1" w:rsidP="00993893">
            <w:pPr>
              <w:keepNext/>
              <w:spacing w:before="60" w:after="60" w:line="300" w:lineRule="auto"/>
              <w:jc w:val="left"/>
              <w:rPr>
                <w:b/>
              </w:rPr>
            </w:pPr>
            <w:r w:rsidRPr="00EC7C4D">
              <w:rPr>
                <w:b/>
              </w:rPr>
              <w:t>Nature or the issues leading to an enforceable undertaking</w:t>
            </w:r>
          </w:p>
        </w:tc>
      </w:tr>
      <w:tr w:rsidR="00C304A1" w14:paraId="3F5F3576" w14:textId="77777777" w:rsidTr="00993893">
        <w:trPr>
          <w:cantSplit/>
        </w:trPr>
        <w:tc>
          <w:tcPr>
            <w:tcW w:w="2689" w:type="dxa"/>
          </w:tcPr>
          <w:p w14:paraId="2F2462FD" w14:textId="46121720" w:rsidR="00C304A1" w:rsidRDefault="00134162" w:rsidP="00993893">
            <w:pPr>
              <w:spacing w:before="60" w:after="60" w:line="300" w:lineRule="auto"/>
              <w:jc w:val="left"/>
            </w:pPr>
            <w:r>
              <w:t>11 September</w:t>
            </w:r>
            <w:r w:rsidR="00C304A1">
              <w:t xml:space="preserve"> 2015</w:t>
            </w:r>
          </w:p>
          <w:p w14:paraId="21F65236" w14:textId="77777777" w:rsidR="00C304A1" w:rsidRPr="00562442" w:rsidRDefault="006C7D5F" w:rsidP="00993893">
            <w:pPr>
              <w:spacing w:before="60" w:after="60" w:line="300" w:lineRule="auto"/>
              <w:jc w:val="left"/>
              <w:rPr>
                <w:u w:val="single"/>
              </w:rPr>
            </w:pPr>
            <w:hyperlink r:id="rId33" w:history="1">
              <w:r w:rsidR="00C304A1" w:rsidRPr="00562442">
                <w:rPr>
                  <w:rStyle w:val="Hyperlink"/>
                  <w:u w:val="single"/>
                </w:rPr>
                <w:t>Chrysler undertakes to remedy customer service complaints following ACCC investigation</w:t>
              </w:r>
            </w:hyperlink>
          </w:p>
        </w:tc>
        <w:tc>
          <w:tcPr>
            <w:tcW w:w="6327" w:type="dxa"/>
          </w:tcPr>
          <w:p w14:paraId="01BCB458" w14:textId="4ED31C50" w:rsidR="00C304A1" w:rsidRDefault="00C304A1" w:rsidP="00993893">
            <w:pPr>
              <w:pStyle w:val="Bullet"/>
              <w:numPr>
                <w:ilvl w:val="0"/>
                <w:numId w:val="0"/>
              </w:numPr>
              <w:spacing w:before="60" w:after="60" w:line="300" w:lineRule="auto"/>
              <w:jc w:val="left"/>
            </w:pPr>
            <w:r w:rsidRPr="00DD4A8B">
              <w:t xml:space="preserve">Fiat Chrysler Australia (Chrysler) provided an administrative undertaking </w:t>
            </w:r>
            <w:r>
              <w:t xml:space="preserve">to the ACCC to deal with concerns regarding vehicle faults and complaint handling by </w:t>
            </w:r>
            <w:r w:rsidRPr="000B5230">
              <w:t>Chrysler and its dealers</w:t>
            </w:r>
            <w:r>
              <w:t xml:space="preserve">, </w:t>
            </w:r>
            <w:r w:rsidRPr="00DD4A8B">
              <w:t xml:space="preserve">including delays in sourcing spare parts and failing to adequately deal with </w:t>
            </w:r>
            <w:r w:rsidR="00AC19D6">
              <w:t>consumer</w:t>
            </w:r>
            <w:r w:rsidRPr="00DD4A8B">
              <w:t xml:space="preserve"> complaints.</w:t>
            </w:r>
          </w:p>
        </w:tc>
      </w:tr>
      <w:tr w:rsidR="00C304A1" w14:paraId="4BD5C397" w14:textId="77777777" w:rsidTr="00993893">
        <w:trPr>
          <w:cantSplit/>
        </w:trPr>
        <w:tc>
          <w:tcPr>
            <w:tcW w:w="2689" w:type="dxa"/>
          </w:tcPr>
          <w:p w14:paraId="4292D120" w14:textId="3F0DEF9B" w:rsidR="00C304A1" w:rsidRDefault="00134162" w:rsidP="00993893">
            <w:pPr>
              <w:spacing w:before="60" w:after="60" w:line="300" w:lineRule="auto"/>
              <w:jc w:val="left"/>
            </w:pPr>
            <w:r>
              <w:t>2</w:t>
            </w:r>
            <w:r w:rsidRPr="000737C2">
              <w:t xml:space="preserve"> </w:t>
            </w:r>
            <w:r w:rsidR="00C304A1" w:rsidRPr="000737C2">
              <w:t>August 2017</w:t>
            </w:r>
          </w:p>
          <w:p w14:paraId="156DA0A1" w14:textId="77777777" w:rsidR="00C304A1" w:rsidRPr="00562442" w:rsidRDefault="006C7D5F" w:rsidP="00993893">
            <w:pPr>
              <w:spacing w:before="60" w:after="60" w:line="300" w:lineRule="auto"/>
              <w:jc w:val="left"/>
              <w:rPr>
                <w:u w:val="single"/>
              </w:rPr>
            </w:pPr>
            <w:hyperlink r:id="rId34" w:history="1">
              <w:r w:rsidR="00C304A1" w:rsidRPr="00562442">
                <w:rPr>
                  <w:rStyle w:val="Hyperlink"/>
                  <w:u w:val="single"/>
                </w:rPr>
                <w:t>GM Holden Ltd – s.87B undertaking</w:t>
              </w:r>
            </w:hyperlink>
          </w:p>
        </w:tc>
        <w:tc>
          <w:tcPr>
            <w:tcW w:w="6327" w:type="dxa"/>
          </w:tcPr>
          <w:p w14:paraId="29B7F876" w14:textId="77777777" w:rsidR="00C304A1" w:rsidRDefault="00C304A1" w:rsidP="00993893">
            <w:pPr>
              <w:pStyle w:val="Bullet"/>
              <w:numPr>
                <w:ilvl w:val="0"/>
                <w:numId w:val="0"/>
              </w:numPr>
              <w:spacing w:before="60" w:after="60" w:line="300" w:lineRule="auto"/>
              <w:jc w:val="left"/>
              <w:rPr>
                <w:lang w:eastAsia="en-US"/>
              </w:rPr>
            </w:pPr>
            <w:r>
              <w:rPr>
                <w:lang w:eastAsia="en-US"/>
              </w:rPr>
              <w:t>The ACCC accepted a court enforceable undertaking from Holden in relation to alleged misrepresentation to consumers and Holden dealers about their rights and obligations under the consumer guarantee provisions of the ACL.</w:t>
            </w:r>
          </w:p>
          <w:p w14:paraId="11C394A5" w14:textId="14ADE401" w:rsidR="00C304A1" w:rsidRDefault="00C304A1" w:rsidP="00993893">
            <w:pPr>
              <w:pStyle w:val="Bullet"/>
              <w:numPr>
                <w:ilvl w:val="0"/>
                <w:numId w:val="0"/>
              </w:numPr>
              <w:tabs>
                <w:tab w:val="left" w:pos="720"/>
              </w:tabs>
              <w:spacing w:before="60" w:after="60" w:line="300" w:lineRule="auto"/>
              <w:jc w:val="left"/>
              <w:rPr>
                <w:lang w:eastAsia="en-US"/>
              </w:rPr>
            </w:pPr>
            <w:r>
              <w:rPr>
                <w:lang w:eastAsia="en-US"/>
              </w:rPr>
              <w:t xml:space="preserve">This included representations to consumers that Holden had discretion to determine whether, and to what extent, a remedy should be provided, or would provide no or limited remedies in cases whether the vehicle had not been serviced by a Holden dealer or it was purchased second hand, as well as representations to dealers </w:t>
            </w:r>
            <w:r w:rsidR="00134162">
              <w:rPr>
                <w:lang w:eastAsia="en-US"/>
              </w:rPr>
              <w:t>they</w:t>
            </w:r>
            <w:r>
              <w:rPr>
                <w:lang w:eastAsia="en-US"/>
              </w:rPr>
              <w:t xml:space="preserve"> would only be indemnified by Holden if they obtained prior approval to provide an ACL remedy. </w:t>
            </w:r>
          </w:p>
          <w:p w14:paraId="172A4640" w14:textId="77777777" w:rsidR="00C304A1" w:rsidRPr="00DD4A8B" w:rsidRDefault="00C304A1" w:rsidP="00993893">
            <w:pPr>
              <w:pStyle w:val="Bullet"/>
              <w:numPr>
                <w:ilvl w:val="0"/>
                <w:numId w:val="0"/>
              </w:numPr>
              <w:spacing w:before="60" w:after="60" w:line="300" w:lineRule="auto"/>
              <w:jc w:val="left"/>
            </w:pPr>
            <w:r>
              <w:t>Holden undertook to refrain from making such representations, upgrade its consumer law compliance program and complaints handling systems, and implement policy to provide a remedy to consumers if they experience a defect in their new vehicle within 60 days which caused it to become immobile and no longer driveable.</w:t>
            </w:r>
          </w:p>
        </w:tc>
      </w:tr>
      <w:tr w:rsidR="00C304A1" w14:paraId="503876A2" w14:textId="77777777" w:rsidTr="00993893">
        <w:trPr>
          <w:cantSplit/>
          <w:trHeight w:val="1120"/>
        </w:trPr>
        <w:tc>
          <w:tcPr>
            <w:tcW w:w="2689" w:type="dxa"/>
          </w:tcPr>
          <w:p w14:paraId="62BD567D" w14:textId="77777777" w:rsidR="00C304A1" w:rsidRDefault="00C304A1" w:rsidP="00993893">
            <w:pPr>
              <w:spacing w:before="60" w:after="60" w:line="300" w:lineRule="auto"/>
              <w:jc w:val="left"/>
            </w:pPr>
            <w:r>
              <w:lastRenderedPageBreak/>
              <w:t>6 February 2018</w:t>
            </w:r>
          </w:p>
          <w:p w14:paraId="14ABE310" w14:textId="77777777" w:rsidR="00C304A1" w:rsidRPr="00562442" w:rsidRDefault="006C7D5F" w:rsidP="00993893">
            <w:pPr>
              <w:spacing w:before="60" w:after="60" w:line="300" w:lineRule="auto"/>
              <w:jc w:val="left"/>
              <w:rPr>
                <w:u w:val="single"/>
              </w:rPr>
            </w:pPr>
            <w:hyperlink r:id="rId35" w:history="1">
              <w:r w:rsidR="00C304A1" w:rsidRPr="00562442">
                <w:rPr>
                  <w:rStyle w:val="Hyperlink"/>
                  <w:u w:val="single"/>
                </w:rPr>
                <w:t>Hyundai Motor Company Australia Pty Ltd - s.87B undertaking</w:t>
              </w:r>
            </w:hyperlink>
          </w:p>
        </w:tc>
        <w:tc>
          <w:tcPr>
            <w:tcW w:w="6327" w:type="dxa"/>
          </w:tcPr>
          <w:p w14:paraId="213294A3" w14:textId="076E4B02" w:rsidR="00C304A1" w:rsidRDefault="00C304A1" w:rsidP="00993893">
            <w:pPr>
              <w:spacing w:before="60" w:after="60" w:line="300" w:lineRule="auto"/>
              <w:jc w:val="left"/>
            </w:pPr>
            <w:r w:rsidRPr="00DD4A8B">
              <w:t>The ACCC accepted a court</w:t>
            </w:r>
            <w:r w:rsidR="00052644">
              <w:t xml:space="preserve"> </w:t>
            </w:r>
            <w:r w:rsidRPr="00DD4A8B">
              <w:t xml:space="preserve">enforceable undertaking </w:t>
            </w:r>
            <w:r>
              <w:t xml:space="preserve">from Hyundai </w:t>
            </w:r>
            <w:r w:rsidRPr="00653883">
              <w:t xml:space="preserve">in response to the ACCC’s concerns </w:t>
            </w:r>
            <w:r>
              <w:t>their</w:t>
            </w:r>
            <w:r w:rsidRPr="00653883">
              <w:t xml:space="preserve"> policies and procedures, including complaint handling systems and compliance programs, may not </w:t>
            </w:r>
            <w:r>
              <w:t xml:space="preserve">have </w:t>
            </w:r>
            <w:r w:rsidRPr="00653883">
              <w:t>provide</w:t>
            </w:r>
            <w:r>
              <w:t>d</w:t>
            </w:r>
            <w:r w:rsidRPr="00653883">
              <w:t xml:space="preserve"> a balanced focus on consumers’ entitlements arising from the </w:t>
            </w:r>
            <w:r w:rsidR="00052644">
              <w:t>c</w:t>
            </w:r>
            <w:r w:rsidRPr="00653883">
              <w:t xml:space="preserve">onsumer </w:t>
            </w:r>
            <w:r w:rsidR="00052644">
              <w:t>g</w:t>
            </w:r>
            <w:r w:rsidRPr="00653883">
              <w:t xml:space="preserve">uarantees under the ACL, compared to entitlements arising from the Manufacturer’s Warranties. This may </w:t>
            </w:r>
            <w:r>
              <w:t xml:space="preserve">have </w:t>
            </w:r>
            <w:r w:rsidRPr="00653883">
              <w:t>result</w:t>
            </w:r>
            <w:r>
              <w:t>ed</w:t>
            </w:r>
            <w:r w:rsidRPr="00653883">
              <w:t xml:space="preserve"> in misleading representations made to consumers about their rights under the ACL</w:t>
            </w:r>
            <w:r>
              <w:t>,</w:t>
            </w:r>
            <w:r w:rsidRPr="00653883">
              <w:t xml:space="preserve"> mak</w:t>
            </w:r>
            <w:r>
              <w:t>ing</w:t>
            </w:r>
            <w:r w:rsidRPr="00653883">
              <w:t xml:space="preserve"> it difficult for consumers to enforce their rights if they experience problems with their vehicle.</w:t>
            </w:r>
          </w:p>
          <w:p w14:paraId="2C7CF10E" w14:textId="2D4044C0" w:rsidR="00C304A1" w:rsidRDefault="00C304A1" w:rsidP="00993893">
            <w:pPr>
              <w:spacing w:before="60" w:after="60" w:line="300" w:lineRule="auto"/>
              <w:jc w:val="left"/>
            </w:pPr>
            <w:r>
              <w:t>Hyundai undertook to engage an independent expert to review complaints from the previous 12 months as well as review its complaint handling system to ensure it complies with the ACL.</w:t>
            </w:r>
          </w:p>
        </w:tc>
      </w:tr>
      <w:tr w:rsidR="00C304A1" w14:paraId="2E2A0718" w14:textId="77777777" w:rsidTr="00993893">
        <w:trPr>
          <w:cantSplit/>
          <w:trHeight w:val="1560"/>
        </w:trPr>
        <w:tc>
          <w:tcPr>
            <w:tcW w:w="2689" w:type="dxa"/>
          </w:tcPr>
          <w:p w14:paraId="212C08CF" w14:textId="159A35FF" w:rsidR="00C304A1" w:rsidRDefault="00134162" w:rsidP="00993893">
            <w:pPr>
              <w:spacing w:before="60" w:after="60" w:line="300" w:lineRule="auto"/>
              <w:jc w:val="left"/>
            </w:pPr>
            <w:r>
              <w:t xml:space="preserve">6 </w:t>
            </w:r>
            <w:r w:rsidR="00C304A1">
              <w:t>September 2018</w:t>
            </w:r>
          </w:p>
          <w:p w14:paraId="315AAC84" w14:textId="77777777" w:rsidR="00C304A1" w:rsidRPr="00562442" w:rsidRDefault="006C7D5F" w:rsidP="00993893">
            <w:pPr>
              <w:spacing w:before="60" w:after="60" w:line="300" w:lineRule="auto"/>
              <w:jc w:val="left"/>
              <w:rPr>
                <w:u w:val="single"/>
              </w:rPr>
            </w:pPr>
            <w:hyperlink r:id="rId36" w:history="1">
              <w:r w:rsidR="00C304A1" w:rsidRPr="00562442">
                <w:rPr>
                  <w:rStyle w:val="Hyperlink"/>
                  <w:u w:val="single"/>
                </w:rPr>
                <w:t>Volkswagen Group Australia Pty Ltd</w:t>
              </w:r>
            </w:hyperlink>
          </w:p>
        </w:tc>
        <w:tc>
          <w:tcPr>
            <w:tcW w:w="6327" w:type="dxa"/>
          </w:tcPr>
          <w:p w14:paraId="7E990A15" w14:textId="58162C9C" w:rsidR="00C304A1" w:rsidRDefault="00C304A1" w:rsidP="00993893">
            <w:pPr>
              <w:spacing w:before="60" w:after="60" w:line="300" w:lineRule="auto"/>
              <w:jc w:val="left"/>
            </w:pPr>
            <w:r>
              <w:t xml:space="preserve">The ACCC accepted court enforceable undertaking from Volkswagen following similar concerns as the 2018 Hyundai matter (above). </w:t>
            </w:r>
          </w:p>
          <w:p w14:paraId="5024C86E" w14:textId="65BA469E" w:rsidR="00C304A1" w:rsidRPr="00DD4A8B" w:rsidRDefault="00C304A1" w:rsidP="00993893">
            <w:pPr>
              <w:spacing w:before="60" w:after="60" w:line="300" w:lineRule="auto"/>
              <w:jc w:val="left"/>
            </w:pPr>
            <w:r>
              <w:t>Volkswagen undertook to engage an independent expert to review complaints from the previous 12 months, its complaint handling system, its consumer law compliance program, its dealer training material and Dealer Warranty Handbook. Volkswagen also undertook to provide consumers with information on their consumer guarantee rights, implement policy to provide a remedy to consumers if they experience a defect in their new vehicle within 60 days which causes it to become immobile and no longer driveable, as well as various compliance monitoring activities.</w:t>
            </w:r>
          </w:p>
        </w:tc>
      </w:tr>
      <w:tr w:rsidR="00C304A1" w14:paraId="4428F97C" w14:textId="77777777" w:rsidTr="00993893">
        <w:trPr>
          <w:cantSplit/>
        </w:trPr>
        <w:tc>
          <w:tcPr>
            <w:tcW w:w="2689" w:type="dxa"/>
          </w:tcPr>
          <w:p w14:paraId="1D5EE31C" w14:textId="77777777" w:rsidR="00C304A1" w:rsidRDefault="00C304A1" w:rsidP="00993893">
            <w:pPr>
              <w:spacing w:before="60" w:after="60" w:line="300" w:lineRule="auto"/>
              <w:jc w:val="left"/>
            </w:pPr>
            <w:r>
              <w:t>2 December 2020</w:t>
            </w:r>
          </w:p>
          <w:p w14:paraId="5C3B7646" w14:textId="77777777" w:rsidR="00C304A1" w:rsidRPr="00562442" w:rsidRDefault="006C7D5F" w:rsidP="00993893">
            <w:pPr>
              <w:spacing w:before="60" w:after="60" w:line="300" w:lineRule="auto"/>
              <w:jc w:val="left"/>
              <w:rPr>
                <w:sz w:val="24"/>
                <w:u w:val="single"/>
              </w:rPr>
            </w:pPr>
            <w:hyperlink r:id="rId37" w:history="1">
              <w:r w:rsidR="00C304A1" w:rsidRPr="00562442">
                <w:rPr>
                  <w:rStyle w:val="Hyperlink"/>
                  <w:u w:val="single"/>
                </w:rPr>
                <w:t>Toyota Motor Corporation Australia Limited – s.87B undertaking</w:t>
              </w:r>
            </w:hyperlink>
          </w:p>
          <w:p w14:paraId="703531BF" w14:textId="77777777" w:rsidR="00C304A1" w:rsidRDefault="00C304A1" w:rsidP="00993893">
            <w:pPr>
              <w:spacing w:before="60" w:after="60" w:line="300" w:lineRule="auto"/>
              <w:jc w:val="left"/>
            </w:pPr>
          </w:p>
        </w:tc>
        <w:tc>
          <w:tcPr>
            <w:tcW w:w="6327" w:type="dxa"/>
          </w:tcPr>
          <w:p w14:paraId="43C24FD1" w14:textId="0110C9ED" w:rsidR="00C304A1" w:rsidRDefault="00C304A1" w:rsidP="00993893">
            <w:pPr>
              <w:spacing w:before="60" w:after="60" w:line="300" w:lineRule="auto"/>
              <w:jc w:val="left"/>
            </w:pPr>
            <w:r>
              <w:t>Between 2016 and 2018, many consumers experienced issues with the</w:t>
            </w:r>
            <w:r w:rsidR="00CB7631">
              <w:t xml:space="preserve"> </w:t>
            </w:r>
            <w:r w:rsidR="00CB7631" w:rsidRPr="00CB7631">
              <w:t>Diesel Particulate Filt</w:t>
            </w:r>
            <w:r w:rsidR="00CB7631">
              <w:t>er</w:t>
            </w:r>
            <w:r>
              <w:t xml:space="preserve"> </w:t>
            </w:r>
            <w:r w:rsidR="00CB7631">
              <w:t>(</w:t>
            </w:r>
            <w:r>
              <w:t>DPF</w:t>
            </w:r>
            <w:r w:rsidR="00CB7631">
              <w:t>)</w:t>
            </w:r>
            <w:r>
              <w:t xml:space="preserve"> in their vehicles. This included the emission of white smoke from the vehicle and soot accumulation in the DPF resulting in the display of warning messages and some vehicles entering ‘limp mode’ to encourage the driver to seek assistance. </w:t>
            </w:r>
          </w:p>
          <w:p w14:paraId="107CE044" w14:textId="77777777" w:rsidR="00C304A1" w:rsidRDefault="00C304A1" w:rsidP="00993893">
            <w:pPr>
              <w:spacing w:before="60" w:after="60" w:line="300" w:lineRule="auto"/>
              <w:jc w:val="left"/>
            </w:pPr>
            <w:r>
              <w:t>Consumers were instructed to take their vehicles to a Toyota dealer for repair under warranty but the ACCC received complaints about vehicles being repaired on multiple occasions without remedying the DPF issues.</w:t>
            </w:r>
          </w:p>
          <w:p w14:paraId="21B4544A" w14:textId="77777777" w:rsidR="00C304A1" w:rsidRDefault="00C304A1" w:rsidP="00993893">
            <w:pPr>
              <w:spacing w:before="60" w:after="60" w:line="300" w:lineRule="auto"/>
              <w:jc w:val="left"/>
            </w:pPr>
            <w:r>
              <w:t xml:space="preserve">Toyota acknowledged the ACCC’s concerns that failure to inform consumers regarding mechanical issues with their vehicles (or issues with repairs) may be misleading. </w:t>
            </w:r>
          </w:p>
          <w:p w14:paraId="1E126E95" w14:textId="13F1F831" w:rsidR="00C304A1" w:rsidRDefault="00C304A1" w:rsidP="00993893">
            <w:pPr>
              <w:spacing w:before="60" w:after="60" w:line="300" w:lineRule="auto"/>
              <w:jc w:val="left"/>
            </w:pPr>
            <w:r>
              <w:t xml:space="preserve">Toyota undertook to review and improve its systems and procedures for dealing with </w:t>
            </w:r>
            <w:r w:rsidR="00AC19D6">
              <w:t>consumer</w:t>
            </w:r>
            <w:r>
              <w:t xml:space="preserve"> complaints in relation to the ACL consumer guarantees to ensure consumers </w:t>
            </w:r>
            <w:r w:rsidR="00052644">
              <w:t>can</w:t>
            </w:r>
            <w:r>
              <w:t xml:space="preserve"> access remedies. Toyota also undertook to engage an independent expert to review its systems and procedures, as well as various compliance monitoring activities.</w:t>
            </w:r>
          </w:p>
        </w:tc>
      </w:tr>
    </w:tbl>
    <w:p w14:paraId="728453CD" w14:textId="77777777" w:rsidR="00301EB4" w:rsidRDefault="00301EB4" w:rsidP="00C304A1">
      <w:pPr>
        <w:spacing w:before="200"/>
      </w:pPr>
    </w:p>
    <w:p w14:paraId="7E2BD11C" w14:textId="77777777" w:rsidR="00301EB4" w:rsidRDefault="00301EB4">
      <w:pPr>
        <w:spacing w:before="0" w:after="160" w:line="259" w:lineRule="auto"/>
      </w:pPr>
      <w:r>
        <w:br w:type="page"/>
      </w:r>
    </w:p>
    <w:p w14:paraId="72F7DC17" w14:textId="598FD6AF" w:rsidR="00C304A1" w:rsidRDefault="00346C7C" w:rsidP="00C304A1">
      <w:pPr>
        <w:spacing w:before="200"/>
      </w:pPr>
      <w:r>
        <w:lastRenderedPageBreak/>
        <w:t>T</w:t>
      </w:r>
      <w:r w:rsidR="00C304A1">
        <w:t xml:space="preserve">here is presently little evidence </w:t>
      </w:r>
      <w:r w:rsidRPr="00346C7C">
        <w:t>on whether</w:t>
      </w:r>
      <w:r>
        <w:t>,</w:t>
      </w:r>
      <w:r w:rsidRPr="00346C7C">
        <w:t xml:space="preserve"> or the extent to which</w:t>
      </w:r>
      <w:r>
        <w:t>,</w:t>
      </w:r>
      <w:r w:rsidRPr="00346C7C">
        <w:t xml:space="preserve"> </w:t>
      </w:r>
      <w:r w:rsidR="00C304A1">
        <w:t>the changes these manufacturers undertook are improving access to remedies across the broader motor vehicle sector.</w:t>
      </w:r>
      <w:r w:rsidRPr="00346C7C">
        <w:t xml:space="preserve"> Despite the </w:t>
      </w:r>
      <w:r w:rsidR="00664615">
        <w:t xml:space="preserve">COVID-19 </w:t>
      </w:r>
      <w:r w:rsidRPr="00346C7C">
        <w:t xml:space="preserve">pandemic, the ACCC </w:t>
      </w:r>
      <w:r w:rsidR="00FF1176">
        <w:t xml:space="preserve">continued to </w:t>
      </w:r>
      <w:r w:rsidRPr="00346C7C">
        <w:t>receive a high volume of complaints about motor vehicle con</w:t>
      </w:r>
      <w:r>
        <w:t>sumer guarantee issues in 2020</w:t>
      </w:r>
      <w:r w:rsidR="00FF1176">
        <w:t>.</w:t>
      </w:r>
    </w:p>
    <w:p w14:paraId="29C35A97" w14:textId="2D094D3F" w:rsidR="00C304A1" w:rsidRDefault="002619BF" w:rsidP="007159CE">
      <w:pPr>
        <w:spacing w:before="200"/>
      </w:pPr>
      <w:r>
        <w:t xml:space="preserve">The ACCC has also taken court proceedings against </w:t>
      </w:r>
      <w:r w:rsidRPr="007159CE">
        <w:t>motor vehicle manufacturers</w:t>
      </w:r>
      <w:r w:rsidR="00C22456">
        <w:t>.</w:t>
      </w:r>
      <w:r>
        <w:t xml:space="preserve"> </w:t>
      </w:r>
      <w:r w:rsidR="007159CE">
        <w:t>For example, in April 2018, t</w:t>
      </w:r>
      <w:r w:rsidR="007159CE" w:rsidRPr="001019C2">
        <w:t>he Federal Court declared, by consent, Ford Motor Company of Australia Limited (Ford) engaged in unconscionable conduct in the way it dealt with complaints about PowerShift transmission</w:t>
      </w:r>
      <w:r w:rsidR="007159CE">
        <w:t xml:space="preserve"> </w:t>
      </w:r>
      <w:r w:rsidR="00982CB5" w:rsidRPr="001019C2">
        <w:t>cars and</w:t>
      </w:r>
      <w:r w:rsidR="007159CE" w:rsidRPr="001019C2">
        <w:t xml:space="preserve"> ordered Ford to pay $10 million in penalties.</w:t>
      </w:r>
      <w:r w:rsidR="007159CE">
        <w:t xml:space="preserve"> In that instance, the ACCC noted </w:t>
      </w:r>
      <w:r w:rsidR="00C22456">
        <w:t>Ford</w:t>
      </w:r>
      <w:r w:rsidR="007159CE">
        <w:t xml:space="preserve"> was aware of quality issues with its motor vehicles but </w:t>
      </w:r>
      <w:r w:rsidR="007159CE" w:rsidRPr="0075618D">
        <w:t>frequently told customers shuddering was the result of the customer’s driving style</w:t>
      </w:r>
      <w:r w:rsidR="007159CE">
        <w:t xml:space="preserve"> and refused to provide </w:t>
      </w:r>
      <w:r w:rsidR="007159CE" w:rsidRPr="0075618D">
        <w:t xml:space="preserve">a refund or no-cost replacement vehicle </w:t>
      </w:r>
      <w:r w:rsidR="007159CE">
        <w:t>even after multiple unsuccessful repairs.</w:t>
      </w:r>
      <w:r w:rsidR="00626711">
        <w:t xml:space="preserve"> </w:t>
      </w:r>
      <w:r w:rsidR="007159CE">
        <w:rPr>
          <w:rStyle w:val="FootnoteReference"/>
        </w:rPr>
        <w:footnoteReference w:id="66"/>
      </w:r>
      <w:r w:rsidR="005E56DE">
        <w:t xml:space="preserve"> A similar case involving Mazda Australia Pty Ltd</w:t>
      </w:r>
      <w:r w:rsidR="00AE5B38">
        <w:t xml:space="preserve"> was</w:t>
      </w:r>
      <w:r w:rsidR="005E56DE">
        <w:t xml:space="preserve"> </w:t>
      </w:r>
      <w:r w:rsidR="00E115AB">
        <w:t xml:space="preserve">decided </w:t>
      </w:r>
      <w:r w:rsidR="005E56DE">
        <w:t>by the Federal Court</w:t>
      </w:r>
      <w:r w:rsidR="00AE5B38">
        <w:t xml:space="preserve"> in November 2021</w:t>
      </w:r>
      <w:r w:rsidR="005E56DE">
        <w:t xml:space="preserve">, finding the company had made 49 separate false and misleading representations relating to 9 customers </w:t>
      </w:r>
      <w:r w:rsidR="0042752B">
        <w:t>about their consumer guarantees</w:t>
      </w:r>
      <w:r w:rsidR="00AE5B38">
        <w:t xml:space="preserve"> rights</w:t>
      </w:r>
      <w:r w:rsidR="0042752B">
        <w:t xml:space="preserve">. </w:t>
      </w:r>
      <w:r w:rsidR="00AE5B38">
        <w:t>Specifically,</w:t>
      </w:r>
      <w:r w:rsidR="0042752B">
        <w:t xml:space="preserve"> the court found Mazda </w:t>
      </w:r>
      <w:r w:rsidR="005E56DE" w:rsidRPr="0042752B">
        <w:t>misled these consumers by representing they were only entitled to have their vehicles repaired</w:t>
      </w:r>
      <w:r w:rsidR="00AE5B38">
        <w:t xml:space="preserve"> under the consumer guarantees</w:t>
      </w:r>
      <w:r w:rsidR="005E56DE" w:rsidRPr="0042752B">
        <w:t xml:space="preserve">, even though a consumer’s rights under the </w:t>
      </w:r>
      <w:r w:rsidR="0042752B">
        <w:t xml:space="preserve">ACL also </w:t>
      </w:r>
      <w:r w:rsidR="005E56DE" w:rsidRPr="0042752B">
        <w:t>include a refund or replacement when there is a major fai</w:t>
      </w:r>
      <w:r w:rsidR="0042752B">
        <w:t>lure. The Court will decide on penalties at a later date.</w:t>
      </w:r>
      <w:r w:rsidR="00626711">
        <w:t xml:space="preserve"> </w:t>
      </w:r>
      <w:r w:rsidR="007159CE">
        <w:rPr>
          <w:rStyle w:val="FootnoteReference"/>
        </w:rPr>
        <w:footnoteReference w:id="67"/>
      </w:r>
      <w:r w:rsidR="007159CE" w:rsidRPr="00993893">
        <w:t xml:space="preserve"> </w:t>
      </w:r>
    </w:p>
    <w:p w14:paraId="365CECE7" w14:textId="77777777" w:rsidR="00562442" w:rsidRPr="00C15774" w:rsidRDefault="00562442">
      <w:pPr>
        <w:pStyle w:val="Heading4"/>
      </w:pPr>
      <w:r w:rsidRPr="00C15774">
        <w:t>Views previously expressed by dealers and manufacturers</w:t>
      </w:r>
      <w:r>
        <w:t xml:space="preserve"> about consumer guarantee remedies</w:t>
      </w:r>
    </w:p>
    <w:p w14:paraId="25F91D81" w14:textId="4963F9E8" w:rsidR="00562442" w:rsidRDefault="00760128" w:rsidP="00562442">
      <w:r>
        <w:t>Stakeholders representing t</w:t>
      </w:r>
      <w:r w:rsidR="00562442">
        <w:t xml:space="preserve">he new motor vehicle sector </w:t>
      </w:r>
      <w:r>
        <w:t xml:space="preserve">have raised concerns </w:t>
      </w:r>
      <w:r w:rsidR="00562442">
        <w:t xml:space="preserve">about how the consumer guarantee framework applies in their sector and related incentives in dealing with remedy claims. For example, the </w:t>
      </w:r>
      <w:r w:rsidR="001901B3" w:rsidRPr="001901B3">
        <w:rPr>
          <w:szCs w:val="22"/>
        </w:rPr>
        <w:t>Australian Automo</w:t>
      </w:r>
      <w:r w:rsidR="00CF49BC">
        <w:rPr>
          <w:szCs w:val="22"/>
        </w:rPr>
        <w:t>tive</w:t>
      </w:r>
      <w:r w:rsidR="001901B3" w:rsidRPr="001901B3">
        <w:rPr>
          <w:szCs w:val="22"/>
        </w:rPr>
        <w:t xml:space="preserve"> Dealer Association</w:t>
      </w:r>
      <w:r w:rsidR="001901B3" w:rsidDel="001901B3">
        <w:t xml:space="preserve"> </w:t>
      </w:r>
      <w:r w:rsidR="00562442">
        <w:t>argued in the 2018 consultation:</w:t>
      </w:r>
    </w:p>
    <w:p w14:paraId="60EDB18E" w14:textId="7724EC08" w:rsidR="00562442" w:rsidRPr="001A0355" w:rsidRDefault="00562442" w:rsidP="00562442">
      <w:pPr>
        <w:ind w:left="720"/>
        <w:rPr>
          <w:i/>
        </w:rPr>
      </w:pPr>
      <w:r w:rsidRPr="001A0355">
        <w:rPr>
          <w:i/>
        </w:rPr>
        <w:t xml:space="preserve">A refund or replacement of a high value item such as a motor vehicle can have significant effects on profitability in a dealership particularly if a negative public model evaluation report or the prospect of a newer model entices consumers to seek a refund without a valid reason. A dealer already operating on thin margins is faced with the prospect of managing customer relationships, unrecoverable costs of administration, managing cash flow, disposal and loss of thousands of dollars of a used vehicle, devaluation of existing stock and with little prospect of a refund, compensation or genuine consideration from the brand manufacturer despite the </w:t>
      </w:r>
      <w:r w:rsidRPr="001A0355">
        <w:rPr>
          <w:i/>
        </w:rPr>
        <w:lastRenderedPageBreak/>
        <w:t>limited protection of section 274 of the ACL</w:t>
      </w:r>
      <w:r>
        <w:rPr>
          <w:i/>
        </w:rPr>
        <w:t xml:space="preserve"> [</w:t>
      </w:r>
      <w:r w:rsidR="00FC3722">
        <w:rPr>
          <w:i/>
        </w:rPr>
        <w:t>i.e.,</w:t>
      </w:r>
      <w:r>
        <w:rPr>
          <w:i/>
        </w:rPr>
        <w:t xml:space="preserve"> indemnification]</w:t>
      </w:r>
      <w:r w:rsidRPr="001A0355">
        <w:rPr>
          <w:i/>
        </w:rPr>
        <w:t>. In respect of the purchase of a motor vehicle this option is open to opportunistic behaviour and gaming of the system.</w:t>
      </w:r>
      <w:r>
        <w:rPr>
          <w:rStyle w:val="FootnoteReference"/>
          <w:i/>
        </w:rPr>
        <w:footnoteReference w:id="68"/>
      </w:r>
    </w:p>
    <w:p w14:paraId="61CA2422" w14:textId="23D5B903" w:rsidR="00383AF7" w:rsidRDefault="00383AF7" w:rsidP="00562442">
      <w:r>
        <w:t xml:space="preserve">While the sector has some concerns about potential ‘gaming’ of the consumer guarantees, the ACCC has advised it has received little evidence to support this claim or that </w:t>
      </w:r>
      <w:r w:rsidR="00346C7C">
        <w:t>it is a</w:t>
      </w:r>
      <w:r w:rsidR="00C22456">
        <w:t xml:space="preserve"> widespread </w:t>
      </w:r>
      <w:r>
        <w:t>issue</w:t>
      </w:r>
      <w:r w:rsidR="00C22456">
        <w:t>.</w:t>
      </w:r>
      <w:r>
        <w:t xml:space="preserve"> </w:t>
      </w:r>
    </w:p>
    <w:p w14:paraId="19C190AB" w14:textId="3EF69269" w:rsidR="00562442" w:rsidRDefault="00562442" w:rsidP="00562442">
      <w:pPr>
        <w:rPr>
          <w:rFonts w:eastAsia="Calibri"/>
        </w:rPr>
      </w:pPr>
      <w:r>
        <w:t xml:space="preserve">Additionally, parts of the sector have a specific concern about the fairness of the consumer guarantees. </w:t>
      </w:r>
      <w:r>
        <w:rPr>
          <w:rFonts w:eastAsia="Calibri"/>
        </w:rPr>
        <w:t xml:space="preserve">For example, the </w:t>
      </w:r>
      <w:r w:rsidRPr="00736FE3">
        <w:rPr>
          <w:rFonts w:eastAsia="Calibri"/>
        </w:rPr>
        <w:t>Federal Chamber of Automotive Industries</w:t>
      </w:r>
      <w:r>
        <w:rPr>
          <w:rFonts w:eastAsia="Calibri"/>
        </w:rPr>
        <w:t xml:space="preserve"> (FCAI) submission to the ACL Review in 2016 argued: </w:t>
      </w:r>
    </w:p>
    <w:p w14:paraId="31D7C22B" w14:textId="09C4452F" w:rsidR="00562442" w:rsidRPr="00061F6E" w:rsidRDefault="00562442" w:rsidP="00562442">
      <w:pPr>
        <w:ind w:left="425"/>
        <w:rPr>
          <w:i/>
        </w:rPr>
      </w:pPr>
      <w:r>
        <w:rPr>
          <w:i/>
        </w:rPr>
        <w:t>“…</w:t>
      </w:r>
      <w:r w:rsidRPr="00061F6E">
        <w:rPr>
          <w:i/>
        </w:rPr>
        <w:t xml:space="preserve">a major failure of a motor vehicle to comply with a consumer guarantee entitles the consumer to a full refund, notwithstanding the consumer has had use of the vehicle, particularly when up to that point the vehicle may well have been trouble-free for months or even years. FCAI considers this is an unfair windfall gain to the consumer and seems inherently unfair. FCAI is of the view if the consumer is entitled to a “refund”, an appropriate allowance should be made to take into account the consumer’s use of the vehicle, its condition and its depreciation in value because of that use or passage of time (since the vehicle was purchased). Whilst the ACCC has published some guidance material at </w:t>
      </w:r>
      <w:hyperlink r:id="rId38" w:history="1">
        <w:r w:rsidRPr="00FC3722">
          <w:rPr>
            <w:rStyle w:val="Hyperlink"/>
            <w:i/>
          </w:rPr>
          <w:t>https://www.accc.gov.au/consumers/consumer-rights-guarantees/repair-replace-refund</w:t>
        </w:r>
      </w:hyperlink>
      <w:r w:rsidRPr="00061F6E">
        <w:rPr>
          <w:i/>
        </w:rPr>
        <w:t xml:space="preserve"> suggesting suppliers may take into account how much time has passed since the consumer bought the product and consider factors such as the type of product or how a consumer is likely to use the product, these matters remain unclear when applied to motor vehicles and it is not uncommon for consumers to seek full refunds several years after delivery.</w:t>
      </w:r>
      <w:r>
        <w:rPr>
          <w:i/>
        </w:rPr>
        <w:t>”</w:t>
      </w:r>
      <w:r>
        <w:rPr>
          <w:rStyle w:val="FootnoteReference"/>
          <w:i/>
        </w:rPr>
        <w:footnoteReference w:id="69"/>
      </w:r>
      <w:r w:rsidRPr="00061F6E">
        <w:rPr>
          <w:i/>
        </w:rPr>
        <w:t xml:space="preserve"> </w:t>
      </w:r>
    </w:p>
    <w:p w14:paraId="52A2520C" w14:textId="44CB1C15" w:rsidR="005574A3" w:rsidRDefault="00AC19D6" w:rsidP="00562442">
      <w:r>
        <w:t>Supplier</w:t>
      </w:r>
      <w:r w:rsidR="006711C8">
        <w:t xml:space="preserve"> scepticism about the motives of consumers who claim refunds after a few years of using their vehicle may </w:t>
      </w:r>
      <w:r w:rsidR="00207297">
        <w:t>be contributing factor</w:t>
      </w:r>
      <w:r w:rsidR="00383AF7">
        <w:t>s</w:t>
      </w:r>
      <w:r w:rsidR="00207297">
        <w:t xml:space="preserve"> to reluctance on the part of </w:t>
      </w:r>
      <w:r w:rsidR="004A4DF5">
        <w:t xml:space="preserve">some in </w:t>
      </w:r>
      <w:r w:rsidR="00207297">
        <w:t xml:space="preserve">the industry to provide </w:t>
      </w:r>
      <w:r w:rsidR="00AE58A3">
        <w:t>remedies. This may</w:t>
      </w:r>
      <w:r w:rsidR="006711C8">
        <w:t xml:space="preserve"> </w:t>
      </w:r>
      <w:r w:rsidR="00AE58A3">
        <w:t>especially be the case where the</w:t>
      </w:r>
      <w:r w:rsidR="006711C8">
        <w:t xml:space="preserve"> </w:t>
      </w:r>
      <w:r w:rsidR="00AE58A3">
        <w:t xml:space="preserve">remedy would entitle the consumer to a full </w:t>
      </w:r>
      <w:r w:rsidR="00207297">
        <w:t>refund</w:t>
      </w:r>
      <w:r w:rsidR="00AE58A3">
        <w:t>.</w:t>
      </w:r>
    </w:p>
    <w:p w14:paraId="3FDD1507" w14:textId="288B2FA3" w:rsidR="006673D2" w:rsidRDefault="002B19DF">
      <w:pPr>
        <w:pStyle w:val="Heading4"/>
      </w:pPr>
      <w:r>
        <w:t>Potential limitations to a sector-specific approach</w:t>
      </w:r>
    </w:p>
    <w:p w14:paraId="3EE8C0A9" w14:textId="0DD5A1AE" w:rsidR="00301EB4" w:rsidRDefault="00502768" w:rsidP="009C5969">
      <w:r w:rsidRPr="00921C28">
        <w:t xml:space="preserve">In general, </w:t>
      </w:r>
      <w:r>
        <w:t xml:space="preserve">protections under </w:t>
      </w:r>
      <w:r w:rsidRPr="00921C28">
        <w:t>the ACL apply economy-wide</w:t>
      </w:r>
      <w:r>
        <w:t xml:space="preserve">, </w:t>
      </w:r>
      <w:r w:rsidR="006F6C22">
        <w:t xml:space="preserve">rather than to specific industries or sectors. </w:t>
      </w:r>
      <w:r w:rsidR="004A4DF5">
        <w:t>I</w:t>
      </w:r>
      <w:r w:rsidRPr="00921C28">
        <w:t xml:space="preserve">nserting industry-specific measures into the </w:t>
      </w:r>
      <w:r w:rsidR="00CE75CB">
        <w:t>ACL</w:t>
      </w:r>
      <w:r w:rsidRPr="00921C28">
        <w:t xml:space="preserve"> </w:t>
      </w:r>
      <w:r w:rsidR="00CE75CB">
        <w:t>has the potential to</w:t>
      </w:r>
      <w:r w:rsidRPr="00921C28">
        <w:t xml:space="preserve"> </w:t>
      </w:r>
      <w:r w:rsidR="006F6C22">
        <w:t xml:space="preserve">create additional complexity and confusion for consumers to understand their rights and </w:t>
      </w:r>
      <w:r w:rsidR="0055763D">
        <w:t xml:space="preserve">increase red tape </w:t>
      </w:r>
      <w:r w:rsidR="006F6C22">
        <w:t xml:space="preserve">for businesses to </w:t>
      </w:r>
      <w:r w:rsidR="00FF7EAE">
        <w:t xml:space="preserve">meet their </w:t>
      </w:r>
      <w:r w:rsidR="009C5969">
        <w:t xml:space="preserve">obligations. </w:t>
      </w:r>
    </w:p>
    <w:p w14:paraId="57A84269" w14:textId="77777777" w:rsidR="00301EB4" w:rsidRDefault="00301EB4">
      <w:pPr>
        <w:spacing w:before="0" w:after="160" w:line="259" w:lineRule="auto"/>
      </w:pPr>
      <w: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562442" w:rsidRPr="00EC7C4D" w14:paraId="0EE45D52" w14:textId="77777777" w:rsidTr="00562442">
        <w:tc>
          <w:tcPr>
            <w:tcW w:w="9016" w:type="dxa"/>
            <w:shd w:val="clear" w:color="auto" w:fill="F2F2F2" w:themeFill="background1" w:themeFillShade="F2"/>
          </w:tcPr>
          <w:p w14:paraId="3C2AAC29" w14:textId="77777777" w:rsidR="00562442" w:rsidRPr="00EC7C4D" w:rsidRDefault="00562442" w:rsidP="00756876">
            <w:pPr>
              <w:rPr>
                <w:b/>
                <w:sz w:val="22"/>
                <w:szCs w:val="22"/>
              </w:rPr>
            </w:pPr>
            <w:r w:rsidRPr="00EC7C4D">
              <w:rPr>
                <w:b/>
                <w:sz w:val="22"/>
                <w:szCs w:val="22"/>
              </w:rPr>
              <w:lastRenderedPageBreak/>
              <w:t>Focus question:</w:t>
            </w:r>
          </w:p>
          <w:p w14:paraId="525D9134" w14:textId="62D96D34" w:rsidR="00562442" w:rsidRPr="00EC7C4D" w:rsidRDefault="00AE58A3" w:rsidP="004A3FDA">
            <w:pPr>
              <w:pStyle w:val="Bullet"/>
              <w:widowControl w:val="0"/>
              <w:numPr>
                <w:ilvl w:val="0"/>
                <w:numId w:val="37"/>
              </w:numPr>
              <w:spacing w:before="120" w:after="240" w:line="280" w:lineRule="exact"/>
              <w:rPr>
                <w:sz w:val="22"/>
                <w:szCs w:val="22"/>
              </w:rPr>
            </w:pPr>
            <w:r w:rsidRPr="00EC7C4D">
              <w:rPr>
                <w:sz w:val="22"/>
                <w:szCs w:val="22"/>
              </w:rPr>
              <w:t>Do you have any information</w:t>
            </w:r>
            <w:r w:rsidR="001E4BA9" w:rsidRPr="00EC7C4D">
              <w:rPr>
                <w:sz w:val="22"/>
                <w:szCs w:val="22"/>
              </w:rPr>
              <w:t xml:space="preserve"> on</w:t>
            </w:r>
            <w:r w:rsidRPr="00EC7C4D">
              <w:rPr>
                <w:sz w:val="22"/>
                <w:szCs w:val="22"/>
              </w:rPr>
              <w:t xml:space="preserve"> </w:t>
            </w:r>
            <w:r w:rsidR="00562442" w:rsidRPr="00EC7C4D">
              <w:rPr>
                <w:sz w:val="22"/>
                <w:szCs w:val="22"/>
              </w:rPr>
              <w:t>consumers claim</w:t>
            </w:r>
            <w:r w:rsidR="001E4BA9" w:rsidRPr="00EC7C4D">
              <w:rPr>
                <w:sz w:val="22"/>
                <w:szCs w:val="22"/>
              </w:rPr>
              <w:t>ing</w:t>
            </w:r>
            <w:r w:rsidR="00562442" w:rsidRPr="00EC7C4D">
              <w:rPr>
                <w:sz w:val="22"/>
                <w:szCs w:val="22"/>
              </w:rPr>
              <w:t xml:space="preserve"> refunds for new motor vehicles?</w:t>
            </w:r>
            <w:r w:rsidRPr="00EC7C4D">
              <w:rPr>
                <w:sz w:val="22"/>
                <w:szCs w:val="22"/>
              </w:rPr>
              <w:t xml:space="preserve"> </w:t>
            </w:r>
            <w:r w:rsidR="00954B58" w:rsidRPr="00EC7C4D">
              <w:rPr>
                <w:sz w:val="22"/>
                <w:szCs w:val="22"/>
              </w:rPr>
              <w:t>If so, p</w:t>
            </w:r>
            <w:r w:rsidRPr="00EC7C4D">
              <w:rPr>
                <w:sz w:val="22"/>
                <w:szCs w:val="22"/>
              </w:rPr>
              <w:t xml:space="preserve">lease </w:t>
            </w:r>
            <w:r w:rsidR="00954B58" w:rsidRPr="00EC7C4D">
              <w:rPr>
                <w:sz w:val="22"/>
                <w:szCs w:val="22"/>
              </w:rPr>
              <w:t xml:space="preserve">provide details on </w:t>
            </w:r>
            <w:r w:rsidR="001E4BA9" w:rsidRPr="00EC7C4D">
              <w:rPr>
                <w:sz w:val="22"/>
                <w:szCs w:val="22"/>
              </w:rPr>
              <w:t xml:space="preserve">how long after purchase refunds are requested and the </w:t>
            </w:r>
            <w:r w:rsidR="007513BE" w:rsidRPr="00EC7C4D">
              <w:rPr>
                <w:sz w:val="22"/>
                <w:szCs w:val="22"/>
              </w:rPr>
              <w:t>prevalence</w:t>
            </w:r>
            <w:r w:rsidR="001E4BA9" w:rsidRPr="00EC7C4D">
              <w:rPr>
                <w:sz w:val="22"/>
                <w:szCs w:val="22"/>
              </w:rPr>
              <w:t xml:space="preserve"> of such requests.</w:t>
            </w:r>
          </w:p>
          <w:p w14:paraId="73F0FD28" w14:textId="29013EBF" w:rsidR="00562442" w:rsidRPr="00EC7C4D" w:rsidRDefault="001E4BA9" w:rsidP="004A3FDA">
            <w:pPr>
              <w:pStyle w:val="Bullet"/>
              <w:widowControl w:val="0"/>
              <w:numPr>
                <w:ilvl w:val="0"/>
                <w:numId w:val="37"/>
              </w:numPr>
              <w:spacing w:before="120" w:after="240" w:line="280" w:lineRule="exact"/>
              <w:rPr>
                <w:sz w:val="22"/>
                <w:szCs w:val="22"/>
              </w:rPr>
            </w:pPr>
            <w:r w:rsidRPr="00EC7C4D">
              <w:rPr>
                <w:sz w:val="22"/>
                <w:szCs w:val="22"/>
              </w:rPr>
              <w:t>Do you have any information</w:t>
            </w:r>
            <w:r w:rsidR="00954B58" w:rsidRPr="00EC7C4D">
              <w:rPr>
                <w:sz w:val="22"/>
                <w:szCs w:val="22"/>
              </w:rPr>
              <w:t xml:space="preserve"> or data</w:t>
            </w:r>
            <w:r w:rsidRPr="00EC7C4D">
              <w:rPr>
                <w:sz w:val="22"/>
                <w:szCs w:val="22"/>
              </w:rPr>
              <w:t xml:space="preserve"> to support the view </w:t>
            </w:r>
            <w:r w:rsidR="00562442" w:rsidRPr="00EC7C4D">
              <w:rPr>
                <w:sz w:val="22"/>
                <w:szCs w:val="22"/>
              </w:rPr>
              <w:t xml:space="preserve">consumers are ‘gaming’ the system to obtain </w:t>
            </w:r>
            <w:r w:rsidR="009F1B37" w:rsidRPr="00EC7C4D">
              <w:rPr>
                <w:sz w:val="22"/>
                <w:szCs w:val="22"/>
              </w:rPr>
              <w:t xml:space="preserve">replacement </w:t>
            </w:r>
            <w:r w:rsidR="00562442" w:rsidRPr="00EC7C4D">
              <w:rPr>
                <w:sz w:val="22"/>
                <w:szCs w:val="22"/>
              </w:rPr>
              <w:t>new motor vehicles or refunds?</w:t>
            </w:r>
            <w:r w:rsidRPr="00EC7C4D">
              <w:rPr>
                <w:sz w:val="22"/>
                <w:szCs w:val="22"/>
              </w:rPr>
              <w:t xml:space="preserve"> </w:t>
            </w:r>
          </w:p>
          <w:p w14:paraId="3A8280ED" w14:textId="77777777" w:rsidR="001731DC" w:rsidRDefault="001E4BA9" w:rsidP="004A3FDA">
            <w:pPr>
              <w:pStyle w:val="Bullet"/>
              <w:widowControl w:val="0"/>
              <w:numPr>
                <w:ilvl w:val="0"/>
                <w:numId w:val="37"/>
              </w:numPr>
              <w:spacing w:before="120" w:after="240" w:line="280" w:lineRule="exact"/>
              <w:rPr>
                <w:sz w:val="22"/>
                <w:szCs w:val="22"/>
              </w:rPr>
            </w:pPr>
            <w:r w:rsidRPr="00EC7C4D">
              <w:rPr>
                <w:sz w:val="22"/>
                <w:szCs w:val="22"/>
              </w:rPr>
              <w:t>Do you consider it appropriate for factors such as a depreciation deduction (</w:t>
            </w:r>
            <w:r w:rsidR="00562442" w:rsidRPr="00EC7C4D">
              <w:rPr>
                <w:sz w:val="22"/>
                <w:szCs w:val="22"/>
              </w:rPr>
              <w:t>a reduction in the value of a refund for usage</w:t>
            </w:r>
            <w:r w:rsidR="007513BE" w:rsidRPr="00EC7C4D">
              <w:rPr>
                <w:sz w:val="22"/>
                <w:szCs w:val="22"/>
              </w:rPr>
              <w:t>)</w:t>
            </w:r>
            <w:r w:rsidR="00562442" w:rsidRPr="00EC7C4D">
              <w:rPr>
                <w:sz w:val="22"/>
                <w:szCs w:val="22"/>
              </w:rPr>
              <w:t xml:space="preserve"> </w:t>
            </w:r>
            <w:r w:rsidR="007513BE" w:rsidRPr="00EC7C4D">
              <w:rPr>
                <w:sz w:val="22"/>
                <w:szCs w:val="22"/>
              </w:rPr>
              <w:t xml:space="preserve">to </w:t>
            </w:r>
            <w:r w:rsidR="00A31FEE" w:rsidRPr="00EC7C4D">
              <w:rPr>
                <w:sz w:val="22"/>
                <w:szCs w:val="22"/>
              </w:rPr>
              <w:t xml:space="preserve">be considered </w:t>
            </w:r>
            <w:r w:rsidR="007513BE" w:rsidRPr="00EC7C4D">
              <w:rPr>
                <w:sz w:val="22"/>
                <w:szCs w:val="22"/>
              </w:rPr>
              <w:t xml:space="preserve">relevant </w:t>
            </w:r>
            <w:r w:rsidR="00A31FEE" w:rsidRPr="00EC7C4D">
              <w:rPr>
                <w:sz w:val="22"/>
                <w:szCs w:val="22"/>
              </w:rPr>
              <w:t>in determining a refund amount</w:t>
            </w:r>
            <w:r w:rsidR="00562442" w:rsidRPr="00EC7C4D">
              <w:rPr>
                <w:sz w:val="22"/>
                <w:szCs w:val="22"/>
              </w:rPr>
              <w:t xml:space="preserve">? </w:t>
            </w:r>
            <w:r w:rsidR="00954B58" w:rsidRPr="00EC7C4D">
              <w:rPr>
                <w:sz w:val="22"/>
                <w:szCs w:val="22"/>
              </w:rPr>
              <w:t>I</w:t>
            </w:r>
            <w:r w:rsidR="007513BE" w:rsidRPr="00EC7C4D">
              <w:rPr>
                <w:sz w:val="22"/>
                <w:szCs w:val="22"/>
              </w:rPr>
              <w:t xml:space="preserve">n what circumstances do you consider this would be appropriate? </w:t>
            </w:r>
            <w:r w:rsidR="00562442" w:rsidRPr="00EC7C4D">
              <w:rPr>
                <w:sz w:val="22"/>
                <w:szCs w:val="22"/>
              </w:rPr>
              <w:t xml:space="preserve">How would a reduction work? </w:t>
            </w:r>
            <w:r w:rsidR="002619BF" w:rsidRPr="00EC7C4D">
              <w:rPr>
                <w:sz w:val="22"/>
                <w:szCs w:val="22"/>
              </w:rPr>
              <w:t xml:space="preserve">How should post-purchase </w:t>
            </w:r>
            <w:r w:rsidR="002619BF" w:rsidRPr="00EC7C4D">
              <w:rPr>
                <w:i/>
                <w:sz w:val="22"/>
                <w:szCs w:val="22"/>
              </w:rPr>
              <w:t>increases</w:t>
            </w:r>
            <w:r w:rsidR="002619BF" w:rsidRPr="00EC7C4D">
              <w:rPr>
                <w:sz w:val="22"/>
                <w:szCs w:val="22"/>
              </w:rPr>
              <w:t xml:space="preserve"> in value be factored in? </w:t>
            </w:r>
            <w:r w:rsidR="007513BE" w:rsidRPr="00EC7C4D">
              <w:rPr>
                <w:sz w:val="22"/>
                <w:szCs w:val="22"/>
              </w:rPr>
              <w:t xml:space="preserve">Please </w:t>
            </w:r>
            <w:r w:rsidR="00954B58" w:rsidRPr="00EC7C4D">
              <w:rPr>
                <w:sz w:val="22"/>
                <w:szCs w:val="22"/>
              </w:rPr>
              <w:t xml:space="preserve">detail </w:t>
            </w:r>
            <w:r w:rsidR="007513BE" w:rsidRPr="00EC7C4D">
              <w:rPr>
                <w:sz w:val="22"/>
                <w:szCs w:val="22"/>
              </w:rPr>
              <w:t xml:space="preserve">reasons for you </w:t>
            </w:r>
            <w:r w:rsidR="00954B58" w:rsidRPr="00EC7C4D">
              <w:rPr>
                <w:sz w:val="22"/>
                <w:szCs w:val="22"/>
              </w:rPr>
              <w:t>position</w:t>
            </w:r>
            <w:r w:rsidR="007513BE" w:rsidRPr="00EC7C4D">
              <w:rPr>
                <w:sz w:val="22"/>
                <w:szCs w:val="22"/>
              </w:rPr>
              <w:t>.</w:t>
            </w:r>
          </w:p>
          <w:p w14:paraId="72179CB9" w14:textId="61B8B59A" w:rsidR="00562442" w:rsidRPr="001731DC" w:rsidRDefault="00FA7A1C" w:rsidP="004A3FDA">
            <w:pPr>
              <w:pStyle w:val="Bullet"/>
              <w:widowControl w:val="0"/>
              <w:numPr>
                <w:ilvl w:val="0"/>
                <w:numId w:val="37"/>
              </w:numPr>
              <w:spacing w:before="120" w:after="240" w:line="280" w:lineRule="exact"/>
              <w:rPr>
                <w:sz w:val="22"/>
                <w:szCs w:val="22"/>
              </w:rPr>
            </w:pPr>
            <w:r w:rsidRPr="001731DC">
              <w:rPr>
                <w:sz w:val="22"/>
                <w:szCs w:val="22"/>
              </w:rPr>
              <w:t>For new motor dealer representatives, please provide any relevant information or data on how providing remedies has impacted your business.</w:t>
            </w:r>
            <w:r w:rsidRPr="001731DC">
              <w:rPr>
                <w:szCs w:val="22"/>
              </w:rPr>
              <w:t xml:space="preserve"> </w:t>
            </w:r>
          </w:p>
        </w:tc>
      </w:tr>
    </w:tbl>
    <w:p w14:paraId="37BD1742" w14:textId="77777777" w:rsidR="00060CDE" w:rsidRDefault="00060CDE" w:rsidP="00C10D87">
      <w:pPr>
        <w:rPr>
          <w:rFonts w:cs="Arial"/>
          <w:color w:val="002C47"/>
          <w:kern w:val="32"/>
          <w:sz w:val="36"/>
          <w:szCs w:val="28"/>
        </w:rPr>
      </w:pPr>
      <w:r>
        <w:br w:type="page"/>
      </w:r>
    </w:p>
    <w:p w14:paraId="696DB6EE" w14:textId="2BE3D6BA" w:rsidR="000D1B7D" w:rsidRDefault="000D1B7D" w:rsidP="000D1B7D">
      <w:pPr>
        <w:pStyle w:val="Heading2"/>
      </w:pPr>
      <w:bookmarkStart w:id="114" w:name="_Toc69381059"/>
      <w:bookmarkStart w:id="115" w:name="_Toc69395080"/>
      <w:bookmarkStart w:id="116" w:name="_Toc89700923"/>
      <w:r>
        <w:lastRenderedPageBreak/>
        <w:t>Policy options</w:t>
      </w:r>
      <w:r w:rsidR="00673E08">
        <w:t xml:space="preserve"> for Part A</w:t>
      </w:r>
      <w:bookmarkEnd w:id="114"/>
      <w:bookmarkEnd w:id="115"/>
      <w:bookmarkEnd w:id="116"/>
    </w:p>
    <w:p w14:paraId="310FB1D0" w14:textId="62DC8211" w:rsidR="000D1B7D" w:rsidRDefault="00F04C79" w:rsidP="000D1B7D">
      <w:pPr>
        <w:pStyle w:val="Heading3"/>
      </w:pPr>
      <w:bookmarkStart w:id="117" w:name="_Toc69381060"/>
      <w:bookmarkStart w:id="118" w:name="_Toc69395081"/>
      <w:bookmarkStart w:id="119" w:name="_Toc89700924"/>
      <w:r>
        <w:t xml:space="preserve">Part A, </w:t>
      </w:r>
      <w:r w:rsidR="000D1B7D">
        <w:t>Option 1 – status quo</w:t>
      </w:r>
      <w:bookmarkEnd w:id="117"/>
      <w:bookmarkEnd w:id="118"/>
      <w:bookmarkEnd w:id="119"/>
    </w:p>
    <w:p w14:paraId="080B6D78" w14:textId="576795F5" w:rsidR="00A81209" w:rsidRDefault="00261D53" w:rsidP="0069320D">
      <w:r w:rsidRPr="000D1B7D">
        <w:t xml:space="preserve">Under the status quo, where a consumer </w:t>
      </w:r>
      <w:r w:rsidR="00F20FEF">
        <w:t xml:space="preserve">seeks a remedy from </w:t>
      </w:r>
      <w:r w:rsidRPr="000D1B7D">
        <w:t xml:space="preserve">the relevant </w:t>
      </w:r>
      <w:r w:rsidR="002619BF">
        <w:t>supplier</w:t>
      </w:r>
      <w:r w:rsidR="0002042F">
        <w:t xml:space="preserve"> or manufacturer</w:t>
      </w:r>
      <w:r w:rsidR="002619BF">
        <w:t xml:space="preserve"> </w:t>
      </w:r>
      <w:r w:rsidR="0069320D">
        <w:t>for</w:t>
      </w:r>
      <w:r w:rsidR="00F20FEF">
        <w:t xml:space="preserve"> </w:t>
      </w:r>
      <w:r w:rsidRPr="000D1B7D">
        <w:t xml:space="preserve">a </w:t>
      </w:r>
      <w:r w:rsidR="00F20FEF">
        <w:t>good</w:t>
      </w:r>
      <w:r w:rsidRPr="000D1B7D">
        <w:t xml:space="preserve"> </w:t>
      </w:r>
      <w:r w:rsidRPr="00672926">
        <w:t xml:space="preserve">or service </w:t>
      </w:r>
      <w:r w:rsidR="00F53716">
        <w:t xml:space="preserve">that does </w:t>
      </w:r>
      <w:r w:rsidRPr="00672926">
        <w:t xml:space="preserve">not meet any one or more of the consumer guarantees, the business would continue to be </w:t>
      </w:r>
      <w:r w:rsidR="00A81209">
        <w:t>required</w:t>
      </w:r>
      <w:r w:rsidR="00A81209" w:rsidRPr="00672926">
        <w:t xml:space="preserve"> </w:t>
      </w:r>
      <w:r w:rsidRPr="00672926">
        <w:t xml:space="preserve">to provide an appropriate remedy under the consumer guarantees provisions of the ACL. </w:t>
      </w:r>
      <w:r w:rsidR="00B5607C">
        <w:rPr>
          <w:rStyle w:val="FootnoteReference"/>
        </w:rPr>
        <w:footnoteReference w:id="70"/>
      </w:r>
      <w:r w:rsidRPr="00672926">
        <w:t xml:space="preserve"> </w:t>
      </w:r>
    </w:p>
    <w:p w14:paraId="793E194F" w14:textId="1B736230" w:rsidR="00261D53" w:rsidRPr="0069320D" w:rsidRDefault="00261D53" w:rsidP="0069320D">
      <w:pPr>
        <w:rPr>
          <w:rFonts w:ascii="Times New Roman" w:eastAsiaTheme="minorHAnsi" w:hAnsi="Times New Roman"/>
          <w:sz w:val="24"/>
          <w:szCs w:val="24"/>
        </w:rPr>
      </w:pPr>
      <w:r w:rsidRPr="00672926">
        <w:t xml:space="preserve">Where a business fails to provide a remedy, a consumer could seek to have the right enforced by a </w:t>
      </w:r>
      <w:r w:rsidR="00B21616">
        <w:t>C</w:t>
      </w:r>
      <w:r w:rsidRPr="00672926">
        <w:t xml:space="preserve">ourt or a </w:t>
      </w:r>
      <w:r w:rsidR="00B21616">
        <w:t>T</w:t>
      </w:r>
      <w:r w:rsidRPr="00672926">
        <w:t xml:space="preserve">ribunal. However, the business will not receive a penalty </w:t>
      </w:r>
      <w:r w:rsidR="00672926">
        <w:t xml:space="preserve">or other sanction </w:t>
      </w:r>
      <w:r w:rsidRPr="00672926">
        <w:t>for failing to provide the remedy.</w:t>
      </w:r>
      <w:r w:rsidR="00C377C3">
        <w:t xml:space="preserve"> O</w:t>
      </w:r>
      <w:r w:rsidR="00C377C3" w:rsidRPr="005E0CDE">
        <w:t xml:space="preserve">ptions available to regulators in responding to complaints </w:t>
      </w:r>
      <w:r w:rsidR="00C377C3">
        <w:t xml:space="preserve">would continue to be </w:t>
      </w:r>
      <w:r w:rsidR="00C377C3" w:rsidRPr="005E0CDE">
        <w:t>limited</w:t>
      </w:r>
      <w:r w:rsidR="00C377C3">
        <w:t>.</w:t>
      </w:r>
    </w:p>
    <w:p w14:paraId="295073B3" w14:textId="348A85BC" w:rsidR="000E09B1" w:rsidRDefault="00F04C79" w:rsidP="000E09B1">
      <w:pPr>
        <w:pStyle w:val="Heading3"/>
      </w:pPr>
      <w:bookmarkStart w:id="120" w:name="_Toc69381061"/>
      <w:bookmarkStart w:id="121" w:name="_Toc69395082"/>
      <w:bookmarkStart w:id="122" w:name="_Toc89700925"/>
      <w:r>
        <w:t xml:space="preserve">Part A, </w:t>
      </w:r>
      <w:r w:rsidR="000E09B1">
        <w:t>Option 2 –</w:t>
      </w:r>
      <w:r w:rsidR="00672926">
        <w:t xml:space="preserve"> an </w:t>
      </w:r>
      <w:r w:rsidR="000E09B1" w:rsidRPr="000D1B7D">
        <w:t xml:space="preserve">education and </w:t>
      </w:r>
      <w:r w:rsidR="005900EC">
        <w:t>guidance</w:t>
      </w:r>
      <w:r w:rsidR="005900EC" w:rsidRPr="000D1B7D">
        <w:t xml:space="preserve"> </w:t>
      </w:r>
      <w:r w:rsidR="000E09B1" w:rsidRPr="000D1B7D">
        <w:t>campaign</w:t>
      </w:r>
      <w:bookmarkEnd w:id="120"/>
      <w:bookmarkEnd w:id="121"/>
      <w:bookmarkEnd w:id="122"/>
    </w:p>
    <w:p w14:paraId="1F1A339E" w14:textId="2206CB0C" w:rsidR="00C137A0" w:rsidRDefault="00C137A0" w:rsidP="00C137A0">
      <w:pPr>
        <w:rPr>
          <w:szCs w:val="24"/>
        </w:rPr>
      </w:pPr>
      <w:r>
        <w:t xml:space="preserve">This option </w:t>
      </w:r>
      <w:r>
        <w:rPr>
          <w:szCs w:val="24"/>
        </w:rPr>
        <w:t xml:space="preserve">involves a 3-month education </w:t>
      </w:r>
      <w:r w:rsidR="005900EC">
        <w:rPr>
          <w:szCs w:val="24"/>
        </w:rPr>
        <w:t xml:space="preserve">and guidance </w:t>
      </w:r>
      <w:r>
        <w:rPr>
          <w:szCs w:val="24"/>
        </w:rPr>
        <w:t>campaign on consumer guarantees</w:t>
      </w:r>
      <w:r w:rsidR="00C01E4D">
        <w:rPr>
          <w:szCs w:val="24"/>
        </w:rPr>
        <w:t>,</w:t>
      </w:r>
      <w:r>
        <w:rPr>
          <w:szCs w:val="24"/>
        </w:rPr>
        <w:t xml:space="preserve"> targeted towards </w:t>
      </w:r>
      <w:r w:rsidRPr="004C0FAE">
        <w:rPr>
          <w:szCs w:val="24"/>
        </w:rPr>
        <w:t>suppliers, manufacturers and consumers.</w:t>
      </w:r>
      <w:r>
        <w:rPr>
          <w:szCs w:val="24"/>
        </w:rPr>
        <w:t xml:space="preserve"> </w:t>
      </w:r>
    </w:p>
    <w:p w14:paraId="53972D65" w14:textId="77777777" w:rsidR="00672926" w:rsidRDefault="00C81340" w:rsidP="00C81340">
      <w:pPr>
        <w:rPr>
          <w:szCs w:val="24"/>
        </w:rPr>
      </w:pPr>
      <w:r>
        <w:t>For suppliers and manufacturers, the</w:t>
      </w:r>
      <w:r w:rsidRPr="008B2670">
        <w:rPr>
          <w:szCs w:val="24"/>
        </w:rPr>
        <w:t xml:space="preserve"> campaign </w:t>
      </w:r>
      <w:r>
        <w:rPr>
          <w:szCs w:val="24"/>
        </w:rPr>
        <w:t xml:space="preserve">would be aimed at improving their understanding of key consumer guarantees, when these guarantees apply, </w:t>
      </w:r>
      <w:r w:rsidR="00885E69">
        <w:rPr>
          <w:szCs w:val="24"/>
        </w:rPr>
        <w:t xml:space="preserve">and </w:t>
      </w:r>
      <w:r>
        <w:rPr>
          <w:szCs w:val="24"/>
        </w:rPr>
        <w:t xml:space="preserve">the types of remedies to be provided, according to the circumstances. </w:t>
      </w:r>
    </w:p>
    <w:p w14:paraId="7141D8C0" w14:textId="27F23FEA" w:rsidR="00C81340" w:rsidRPr="00672926" w:rsidRDefault="00C81340" w:rsidP="00C81340">
      <w:pPr>
        <w:rPr>
          <w:szCs w:val="24"/>
        </w:rPr>
      </w:pPr>
      <w:r>
        <w:rPr>
          <w:szCs w:val="24"/>
        </w:rPr>
        <w:t xml:space="preserve">For consumers, the </w:t>
      </w:r>
      <w:r w:rsidRPr="008B2670">
        <w:rPr>
          <w:szCs w:val="24"/>
        </w:rPr>
        <w:t xml:space="preserve">campaign </w:t>
      </w:r>
      <w:r>
        <w:rPr>
          <w:szCs w:val="24"/>
        </w:rPr>
        <w:t xml:space="preserve">would be aimed at improving awareness and understanding of the consumer guarantees, including when they have a right to seek a remedy and the types of remedies they are entitled to, according to the circumstances. </w:t>
      </w:r>
    </w:p>
    <w:p w14:paraId="0625350A" w14:textId="77777777" w:rsidR="00C81340" w:rsidRDefault="00C81340" w:rsidP="00C81340">
      <w:r>
        <w:t>This option can be applied in one of two ways:</w:t>
      </w:r>
    </w:p>
    <w:p w14:paraId="5C707AB3" w14:textId="57ABD2A6" w:rsidR="00C81340" w:rsidRDefault="00672926" w:rsidP="004A3FDA">
      <w:pPr>
        <w:pStyle w:val="ListParagraph"/>
        <w:numPr>
          <w:ilvl w:val="0"/>
          <w:numId w:val="29"/>
        </w:numPr>
      </w:pPr>
      <w:r>
        <w:t xml:space="preserve">an </w:t>
      </w:r>
      <w:r w:rsidR="00C81340">
        <w:t>economy wide</w:t>
      </w:r>
      <w:r>
        <w:t xml:space="preserve"> campaign</w:t>
      </w:r>
      <w:r w:rsidR="00C81340">
        <w:t xml:space="preserve"> </w:t>
      </w:r>
    </w:p>
    <w:p w14:paraId="0E736914" w14:textId="6315AA1B" w:rsidR="000E09B1" w:rsidRDefault="00672926" w:rsidP="004A3FDA">
      <w:pPr>
        <w:pStyle w:val="ListParagraph"/>
        <w:numPr>
          <w:ilvl w:val="0"/>
          <w:numId w:val="29"/>
        </w:numPr>
      </w:pPr>
      <w:r>
        <w:t xml:space="preserve">a campaign related to </w:t>
      </w:r>
      <w:r w:rsidR="00C81340">
        <w:t>new motor vehicles only.</w:t>
      </w:r>
    </w:p>
    <w:p w14:paraId="7C92EFF1" w14:textId="3D94952C" w:rsidR="000D1B7D" w:rsidRDefault="00F04C79" w:rsidP="000D1B7D">
      <w:pPr>
        <w:pStyle w:val="Heading3"/>
      </w:pPr>
      <w:bookmarkStart w:id="123" w:name="_Toc69381062"/>
      <w:bookmarkStart w:id="124" w:name="_Toc69395083"/>
      <w:bookmarkStart w:id="125" w:name="_Toc89700926"/>
      <w:r>
        <w:t>Part</w:t>
      </w:r>
      <w:r w:rsidR="00702A68">
        <w:t xml:space="preserve"> A</w:t>
      </w:r>
      <w:r>
        <w:t xml:space="preserve">, </w:t>
      </w:r>
      <w:r w:rsidR="000D1B7D" w:rsidRPr="000D1B7D">
        <w:t xml:space="preserve">Option </w:t>
      </w:r>
      <w:r w:rsidR="000E09B1">
        <w:t>3</w:t>
      </w:r>
      <w:r w:rsidR="000D1B7D" w:rsidRPr="000D1B7D">
        <w:t xml:space="preserve"> –</w:t>
      </w:r>
      <w:r w:rsidR="00E26FFE">
        <w:t xml:space="preserve"> a prohibition against not providing a </w:t>
      </w:r>
      <w:r w:rsidR="002A6ADC" w:rsidRPr="002A6ADC">
        <w:t>remed</w:t>
      </w:r>
      <w:r w:rsidR="00E26FFE">
        <w:t>y</w:t>
      </w:r>
      <w:r w:rsidR="002A6ADC" w:rsidRPr="002A6ADC">
        <w:t xml:space="preserve"> </w:t>
      </w:r>
      <w:r w:rsidR="002A6ADC">
        <w:t>for consumer guarantee failures</w:t>
      </w:r>
      <w:r w:rsidR="00C377C3">
        <w:t>,</w:t>
      </w:r>
      <w:r w:rsidR="002A6ADC">
        <w:t xml:space="preserve"> </w:t>
      </w:r>
      <w:r w:rsidR="00E26FFE">
        <w:t>supported by penalties and other enforcement mechanisms</w:t>
      </w:r>
      <w:bookmarkEnd w:id="123"/>
      <w:bookmarkEnd w:id="124"/>
      <w:bookmarkEnd w:id="125"/>
    </w:p>
    <w:p w14:paraId="5A9E27B3" w14:textId="2CEFF51E" w:rsidR="00EF1021" w:rsidRDefault="000D1B7D" w:rsidP="000D1B7D">
      <w:r w:rsidRPr="00EF1021">
        <w:t xml:space="preserve">This option </w:t>
      </w:r>
      <w:r w:rsidR="00C377C3">
        <w:t>would amend</w:t>
      </w:r>
      <w:r w:rsidRPr="00EF1021">
        <w:t xml:space="preserve"> the ACL </w:t>
      </w:r>
      <w:r w:rsidR="00E26FFE" w:rsidRPr="00EF1021">
        <w:t xml:space="preserve">to prohibit </w:t>
      </w:r>
      <w:r w:rsidRPr="00EF1021">
        <w:t>supplier</w:t>
      </w:r>
      <w:r w:rsidR="00E26FFE" w:rsidRPr="00EF1021">
        <w:t>s</w:t>
      </w:r>
      <w:r w:rsidRPr="00EF1021">
        <w:t xml:space="preserve"> </w:t>
      </w:r>
      <w:r w:rsidR="00E26FFE" w:rsidRPr="00EF1021">
        <w:t xml:space="preserve">from not providing </w:t>
      </w:r>
      <w:r w:rsidRPr="00EF1021">
        <w:t xml:space="preserve">a remedy </w:t>
      </w:r>
      <w:r w:rsidR="00E26FFE" w:rsidRPr="00EF1021">
        <w:t>for a consumer guarantee failure when requested</w:t>
      </w:r>
      <w:r w:rsidR="00EF1021" w:rsidRPr="00EF1021">
        <w:t xml:space="preserve"> </w:t>
      </w:r>
      <w:r w:rsidR="00EE52E9">
        <w:t xml:space="preserve">and required under the law, </w:t>
      </w:r>
      <w:r w:rsidR="00EF1021" w:rsidRPr="00EF1021">
        <w:t>and allowing</w:t>
      </w:r>
      <w:r w:rsidR="00EF1021">
        <w:t>:</w:t>
      </w:r>
    </w:p>
    <w:p w14:paraId="0A3518CB" w14:textId="3D6CE93D" w:rsidR="00C137A0" w:rsidRDefault="00C137A0" w:rsidP="00C137A0">
      <w:pPr>
        <w:pStyle w:val="ListParagraph"/>
        <w:numPr>
          <w:ilvl w:val="0"/>
          <w:numId w:val="10"/>
        </w:numPr>
      </w:pPr>
      <w:r w:rsidRPr="00EF1021">
        <w:lastRenderedPageBreak/>
        <w:t>courts to impose civil pecuniary penalties</w:t>
      </w:r>
      <w:r>
        <w:t>,</w:t>
      </w:r>
      <w:r w:rsidRPr="00EF1021">
        <w:t xml:space="preserve"> or injunctions to require businesses to act, or refrain from acting, in a certain way</w:t>
      </w:r>
    </w:p>
    <w:p w14:paraId="0575FBA8" w14:textId="3ED6E9EA" w:rsidR="009C5969" w:rsidRPr="009C5969" w:rsidRDefault="00542170" w:rsidP="009C5969">
      <w:pPr>
        <w:pStyle w:val="ListParagraph"/>
        <w:numPr>
          <w:ilvl w:val="0"/>
          <w:numId w:val="10"/>
        </w:numPr>
      </w:pPr>
      <w:r>
        <w:t>the ACCC</w:t>
      </w:r>
      <w:r w:rsidR="00EF1021" w:rsidRPr="00EF1021">
        <w:t xml:space="preserve"> to issue</w:t>
      </w:r>
      <w:r w:rsidR="00182F74">
        <w:t xml:space="preserve"> civil penalty notices</w:t>
      </w:r>
      <w:r w:rsidR="00EF1021" w:rsidRPr="00EF1021">
        <w:t xml:space="preserve"> </w:t>
      </w:r>
      <w:r w:rsidR="00182F74">
        <w:t>(</w:t>
      </w:r>
      <w:r w:rsidR="009C5969">
        <w:t>infringement notices</w:t>
      </w:r>
      <w:r w:rsidR="00182F74">
        <w:t>)</w:t>
      </w:r>
      <w:r w:rsidR="009C5969">
        <w:t xml:space="preserve">. </w:t>
      </w:r>
    </w:p>
    <w:p w14:paraId="21FE7ED3" w14:textId="163CAAB8" w:rsidR="00EF0EED" w:rsidRPr="00EF1021" w:rsidRDefault="00F65C8E" w:rsidP="000D1B7D">
      <w:r w:rsidRPr="00EF1021">
        <w:t xml:space="preserve">It is proposed this option only apply where a remedy is not provided for a </w:t>
      </w:r>
      <w:r w:rsidR="00EF1021">
        <w:t>‘</w:t>
      </w:r>
      <w:r w:rsidRPr="00EF1021">
        <w:t>major failure</w:t>
      </w:r>
      <w:r w:rsidR="00EF1021">
        <w:t xml:space="preserve">’ </w:t>
      </w:r>
      <w:r w:rsidR="00A2064F">
        <w:t>under</w:t>
      </w:r>
      <w:r w:rsidR="00EF1021">
        <w:t xml:space="preserve"> the consumer guarantees</w:t>
      </w:r>
      <w:r w:rsidRPr="00EF1021">
        <w:t>.</w:t>
      </w:r>
    </w:p>
    <w:p w14:paraId="4E4BD532" w14:textId="77777777" w:rsidR="00995337" w:rsidRDefault="00995337" w:rsidP="00995337">
      <w:r>
        <w:t>This option can be applied in one of two ways:</w:t>
      </w:r>
    </w:p>
    <w:p w14:paraId="4E3ECCA2" w14:textId="2CE419F7" w:rsidR="00995337" w:rsidRDefault="00995337" w:rsidP="004A3FDA">
      <w:pPr>
        <w:pStyle w:val="ListParagraph"/>
        <w:numPr>
          <w:ilvl w:val="0"/>
          <w:numId w:val="17"/>
        </w:numPr>
      </w:pPr>
      <w:r>
        <w:t xml:space="preserve">economy wide </w:t>
      </w:r>
    </w:p>
    <w:p w14:paraId="5A3D4B27" w14:textId="02813EEC" w:rsidR="00995337" w:rsidRDefault="00995337" w:rsidP="004A3FDA">
      <w:pPr>
        <w:pStyle w:val="ListParagraph"/>
        <w:numPr>
          <w:ilvl w:val="0"/>
          <w:numId w:val="17"/>
        </w:numPr>
      </w:pPr>
      <w:r>
        <w:t>to new motor vehicles only.</w:t>
      </w:r>
    </w:p>
    <w:p w14:paraId="12EC0042" w14:textId="01C6AA1A" w:rsidR="006E2674" w:rsidRDefault="006E2674" w:rsidP="006E2674">
      <w:r>
        <w:br w:type="page"/>
      </w:r>
    </w:p>
    <w:p w14:paraId="4A569B5A" w14:textId="31CF5866" w:rsidR="00B51525" w:rsidRDefault="00B51525" w:rsidP="00B51525">
      <w:pPr>
        <w:pStyle w:val="Heading2"/>
      </w:pPr>
      <w:bookmarkStart w:id="126" w:name="_Toc69381063"/>
      <w:bookmarkStart w:id="127" w:name="_Toc69395084"/>
      <w:bookmarkStart w:id="128" w:name="_Toc89700927"/>
      <w:r>
        <w:lastRenderedPageBreak/>
        <w:t>Impact analysis</w:t>
      </w:r>
      <w:r w:rsidR="00673E08">
        <w:t xml:space="preserve"> for Part A</w:t>
      </w:r>
      <w:bookmarkEnd w:id="126"/>
      <w:bookmarkEnd w:id="127"/>
      <w:bookmarkEnd w:id="128"/>
    </w:p>
    <w:p w14:paraId="57D043A1" w14:textId="77777777" w:rsidR="00995337" w:rsidRDefault="00995337" w:rsidP="00995337">
      <w:pPr>
        <w:pStyle w:val="Heading3"/>
      </w:pPr>
      <w:bookmarkStart w:id="129" w:name="_Toc69480638"/>
      <w:bookmarkStart w:id="130" w:name="_Toc89700928"/>
      <w:bookmarkStart w:id="131" w:name="_Toc69381064"/>
      <w:bookmarkStart w:id="132" w:name="_Toc69395085"/>
      <w:r>
        <w:t>Part A, Option 1 – status quo</w:t>
      </w:r>
      <w:bookmarkEnd w:id="129"/>
      <w:bookmarkEnd w:id="130"/>
    </w:p>
    <w:bookmarkEnd w:id="131"/>
    <w:bookmarkEnd w:id="132"/>
    <w:p w14:paraId="4C3AB9F0" w14:textId="34FE0BDE" w:rsidR="004F05C7" w:rsidRDefault="004F05C7" w:rsidP="004F05C7">
      <w:pPr>
        <w:pStyle w:val="Heading4"/>
      </w:pPr>
      <w:r>
        <w:t>Remedies remain hard to obtain</w:t>
      </w:r>
    </w:p>
    <w:p w14:paraId="534913A6" w14:textId="306E1B5A" w:rsidR="00562D3B" w:rsidRDefault="00420026" w:rsidP="00572A26">
      <w:pPr>
        <w:pStyle w:val="Numbered"/>
        <w:tabs>
          <w:tab w:val="left" w:pos="425"/>
        </w:tabs>
        <w:spacing w:after="120" w:line="360" w:lineRule="auto"/>
        <w:rPr>
          <w:sz w:val="22"/>
        </w:rPr>
      </w:pPr>
      <w:r>
        <w:rPr>
          <w:sz w:val="22"/>
        </w:rPr>
        <w:t xml:space="preserve">By maintaining the </w:t>
      </w:r>
      <w:r w:rsidR="00B51525">
        <w:rPr>
          <w:sz w:val="22"/>
        </w:rPr>
        <w:t xml:space="preserve">status quo, </w:t>
      </w:r>
      <w:r w:rsidRPr="003F2F32">
        <w:rPr>
          <w:sz w:val="22"/>
        </w:rPr>
        <w:t>m</w:t>
      </w:r>
      <w:r w:rsidRPr="00C57FBC">
        <w:rPr>
          <w:sz w:val="22"/>
        </w:rPr>
        <w:t xml:space="preserve">any consumers </w:t>
      </w:r>
      <w:r w:rsidR="00046053">
        <w:rPr>
          <w:sz w:val="22"/>
        </w:rPr>
        <w:t>would</w:t>
      </w:r>
      <w:r>
        <w:rPr>
          <w:sz w:val="22"/>
        </w:rPr>
        <w:t xml:space="preserve"> continue to </w:t>
      </w:r>
      <w:r w:rsidRPr="00C57FBC">
        <w:rPr>
          <w:sz w:val="22"/>
        </w:rPr>
        <w:t xml:space="preserve">find it difficult to obtain remedies from </w:t>
      </w:r>
      <w:r w:rsidR="00E66275">
        <w:rPr>
          <w:sz w:val="22"/>
        </w:rPr>
        <w:t>suppliers</w:t>
      </w:r>
      <w:r w:rsidRPr="00C57FBC">
        <w:rPr>
          <w:sz w:val="22"/>
        </w:rPr>
        <w:t xml:space="preserve"> for consumer guarantee failures</w:t>
      </w:r>
      <w:r w:rsidRPr="003F2F32">
        <w:rPr>
          <w:sz w:val="22"/>
        </w:rPr>
        <w:t>.</w:t>
      </w:r>
      <w:r w:rsidRPr="00C57FBC">
        <w:rPr>
          <w:sz w:val="22"/>
        </w:rPr>
        <w:t xml:space="preserve"> </w:t>
      </w:r>
    </w:p>
    <w:p w14:paraId="00AB2A60" w14:textId="6688BC5B" w:rsidR="005D44E5" w:rsidRPr="00572A26" w:rsidRDefault="005B14EC" w:rsidP="00572A26">
      <w:pPr>
        <w:pStyle w:val="Numbered"/>
        <w:tabs>
          <w:tab w:val="left" w:pos="425"/>
        </w:tabs>
        <w:spacing w:after="120" w:line="360" w:lineRule="auto"/>
        <w:rPr>
          <w:sz w:val="22"/>
        </w:rPr>
      </w:pPr>
      <w:r>
        <w:rPr>
          <w:sz w:val="22"/>
        </w:rPr>
        <w:t>Where a consumer guarantee is not met,</w:t>
      </w:r>
      <w:r w:rsidR="004B6405">
        <w:rPr>
          <w:sz w:val="22"/>
        </w:rPr>
        <w:t xml:space="preserve"> </w:t>
      </w:r>
      <w:r>
        <w:rPr>
          <w:sz w:val="22"/>
        </w:rPr>
        <w:t xml:space="preserve">such as a good not being of acceptable quality, consumers may be unable to use the good </w:t>
      </w:r>
      <w:r w:rsidR="005D44E5" w:rsidRPr="00572A26">
        <w:rPr>
          <w:sz w:val="22"/>
        </w:rPr>
        <w:t xml:space="preserve">or </w:t>
      </w:r>
      <w:r w:rsidR="001F43CC">
        <w:rPr>
          <w:sz w:val="22"/>
        </w:rPr>
        <w:t xml:space="preserve">may </w:t>
      </w:r>
      <w:r w:rsidR="000D07CA">
        <w:rPr>
          <w:sz w:val="22"/>
        </w:rPr>
        <w:t>otherwise</w:t>
      </w:r>
      <w:r w:rsidR="005D44E5" w:rsidRPr="00572A26">
        <w:rPr>
          <w:sz w:val="22"/>
        </w:rPr>
        <w:t xml:space="preserve"> obtain a more limited benefit than what they paid for</w:t>
      </w:r>
      <w:r w:rsidR="00AE1ECC">
        <w:rPr>
          <w:sz w:val="22"/>
        </w:rPr>
        <w:t xml:space="preserve">. Where this happens on a large scale, there </w:t>
      </w:r>
      <w:r w:rsidR="00C10D87">
        <w:rPr>
          <w:sz w:val="22"/>
        </w:rPr>
        <w:t>c</w:t>
      </w:r>
      <w:r w:rsidR="00AE1ECC">
        <w:rPr>
          <w:sz w:val="22"/>
        </w:rPr>
        <w:t xml:space="preserve">ould be a </w:t>
      </w:r>
      <w:r w:rsidR="005D44E5" w:rsidRPr="00572A26">
        <w:rPr>
          <w:sz w:val="22"/>
        </w:rPr>
        <w:t>resulting loss to the economy. Accordingly, despite the existing law</w:t>
      </w:r>
      <w:r w:rsidR="003E6205">
        <w:rPr>
          <w:sz w:val="22"/>
        </w:rPr>
        <w:t xml:space="preserve"> intending consumers receive remedies</w:t>
      </w:r>
      <w:r w:rsidR="005D44E5" w:rsidRPr="00572A26">
        <w:rPr>
          <w:sz w:val="22"/>
        </w:rPr>
        <w:t xml:space="preserve">, </w:t>
      </w:r>
      <w:r w:rsidR="003E6205">
        <w:rPr>
          <w:sz w:val="22"/>
        </w:rPr>
        <w:t>many consumers would still miss out on remedies</w:t>
      </w:r>
      <w:r w:rsidR="001F43CC">
        <w:rPr>
          <w:sz w:val="22"/>
        </w:rPr>
        <w:t>.</w:t>
      </w:r>
    </w:p>
    <w:p w14:paraId="13BC84BB" w14:textId="26AEEE24" w:rsidR="00D26B9A" w:rsidRDefault="00572A26" w:rsidP="00562D3B">
      <w:pPr>
        <w:pStyle w:val="Numbered"/>
        <w:tabs>
          <w:tab w:val="left" w:pos="425"/>
        </w:tabs>
        <w:spacing w:after="120" w:line="360" w:lineRule="auto"/>
        <w:rPr>
          <w:sz w:val="22"/>
        </w:rPr>
      </w:pPr>
      <w:r w:rsidRPr="00CD6B18">
        <w:rPr>
          <w:sz w:val="22"/>
        </w:rPr>
        <w:t xml:space="preserve">Where obligations are not met, consumers </w:t>
      </w:r>
      <w:r w:rsidR="001F43CC">
        <w:rPr>
          <w:sz w:val="22"/>
        </w:rPr>
        <w:t xml:space="preserve">could </w:t>
      </w:r>
      <w:r>
        <w:rPr>
          <w:sz w:val="22"/>
        </w:rPr>
        <w:t xml:space="preserve">continue to seek their own redress, </w:t>
      </w:r>
      <w:r w:rsidR="000D07CA">
        <w:rPr>
          <w:sz w:val="22"/>
        </w:rPr>
        <w:t xml:space="preserve">potentially </w:t>
      </w:r>
      <w:r>
        <w:rPr>
          <w:sz w:val="22"/>
        </w:rPr>
        <w:t xml:space="preserve">incurring time, travel and legal costs and, in most cases, carrying </w:t>
      </w:r>
      <w:r w:rsidRPr="00CD6B18">
        <w:rPr>
          <w:sz w:val="22"/>
        </w:rPr>
        <w:t xml:space="preserve">the </w:t>
      </w:r>
      <w:r>
        <w:rPr>
          <w:sz w:val="22"/>
        </w:rPr>
        <w:t xml:space="preserve">full </w:t>
      </w:r>
      <w:r w:rsidRPr="00CD6B18">
        <w:rPr>
          <w:sz w:val="22"/>
        </w:rPr>
        <w:t xml:space="preserve">burden of </w:t>
      </w:r>
      <w:r w:rsidR="001F43CC">
        <w:rPr>
          <w:sz w:val="22"/>
        </w:rPr>
        <w:t xml:space="preserve">taking </w:t>
      </w:r>
      <w:r>
        <w:rPr>
          <w:sz w:val="22"/>
        </w:rPr>
        <w:t>any t</w:t>
      </w:r>
      <w:r w:rsidRPr="00CD6B18">
        <w:rPr>
          <w:sz w:val="22"/>
        </w:rPr>
        <w:t xml:space="preserve">ribunal or </w:t>
      </w:r>
      <w:r>
        <w:rPr>
          <w:sz w:val="22"/>
        </w:rPr>
        <w:t>c</w:t>
      </w:r>
      <w:r w:rsidRPr="00CD6B18">
        <w:rPr>
          <w:sz w:val="22"/>
        </w:rPr>
        <w:t xml:space="preserve">ourt </w:t>
      </w:r>
      <w:r>
        <w:rPr>
          <w:sz w:val="22"/>
        </w:rPr>
        <w:t xml:space="preserve">action </w:t>
      </w:r>
      <w:r w:rsidRPr="00CD6B18">
        <w:rPr>
          <w:sz w:val="22"/>
        </w:rPr>
        <w:t xml:space="preserve">to compel suppliers to provide </w:t>
      </w:r>
      <w:r>
        <w:rPr>
          <w:sz w:val="22"/>
        </w:rPr>
        <w:t xml:space="preserve">a </w:t>
      </w:r>
      <w:r w:rsidRPr="00CD6B18">
        <w:rPr>
          <w:sz w:val="22"/>
        </w:rPr>
        <w:t>remedy</w:t>
      </w:r>
      <w:r w:rsidRPr="00244774">
        <w:rPr>
          <w:sz w:val="22"/>
        </w:rPr>
        <w:t>.</w:t>
      </w:r>
      <w:r w:rsidRPr="003E4DC0">
        <w:rPr>
          <w:sz w:val="22"/>
        </w:rPr>
        <w:t xml:space="preserve"> </w:t>
      </w:r>
      <w:r w:rsidR="00562D3B" w:rsidRPr="00562D3B">
        <w:rPr>
          <w:sz w:val="22"/>
        </w:rPr>
        <w:t xml:space="preserve">Given time and cost considerations, many consumers </w:t>
      </w:r>
      <w:r w:rsidR="009526FA">
        <w:rPr>
          <w:sz w:val="22"/>
        </w:rPr>
        <w:t>would</w:t>
      </w:r>
      <w:r w:rsidR="00562D3B" w:rsidRPr="00562D3B">
        <w:rPr>
          <w:sz w:val="22"/>
        </w:rPr>
        <w:t xml:space="preserve"> </w:t>
      </w:r>
      <w:r w:rsidR="000D07CA">
        <w:rPr>
          <w:sz w:val="22"/>
        </w:rPr>
        <w:t>be unlikely to</w:t>
      </w:r>
      <w:r w:rsidR="000D07CA" w:rsidRPr="00562D3B">
        <w:rPr>
          <w:sz w:val="22"/>
        </w:rPr>
        <w:t xml:space="preserve"> </w:t>
      </w:r>
      <w:r w:rsidR="00562D3B" w:rsidRPr="00562D3B">
        <w:rPr>
          <w:sz w:val="22"/>
        </w:rPr>
        <w:t xml:space="preserve">take legal action to enforce their </w:t>
      </w:r>
      <w:r w:rsidR="009C5969" w:rsidRPr="009C5969">
        <w:rPr>
          <w:sz w:val="22"/>
        </w:rPr>
        <w:t xml:space="preserve">rights. </w:t>
      </w:r>
      <w:r w:rsidR="00865F78">
        <w:rPr>
          <w:sz w:val="22"/>
        </w:rPr>
        <w:t xml:space="preserve"> </w:t>
      </w:r>
    </w:p>
    <w:p w14:paraId="032F9C7B" w14:textId="632F74AE" w:rsidR="004F05C7" w:rsidRDefault="00EC06E4" w:rsidP="004F05C7">
      <w:pPr>
        <w:pStyle w:val="Heading4"/>
      </w:pPr>
      <w:r>
        <w:t>I</w:t>
      </w:r>
      <w:r w:rsidR="004F05C7">
        <w:t>ncentives for compliance</w:t>
      </w:r>
      <w:r>
        <w:t xml:space="preserve"> remain limited</w:t>
      </w:r>
    </w:p>
    <w:p w14:paraId="659D1172" w14:textId="05DCFADE" w:rsidR="004F05C7" w:rsidRDefault="004F05C7" w:rsidP="004F05C7">
      <w:pPr>
        <w:pStyle w:val="Numbered"/>
        <w:tabs>
          <w:tab w:val="left" w:pos="425"/>
        </w:tabs>
        <w:spacing w:after="120" w:line="360" w:lineRule="auto"/>
        <w:rPr>
          <w:sz w:val="22"/>
        </w:rPr>
      </w:pPr>
      <w:r>
        <w:rPr>
          <w:sz w:val="22"/>
        </w:rPr>
        <w:t>Where consumers take legal action</w:t>
      </w:r>
      <w:r w:rsidR="00562D3B" w:rsidRPr="00562D3B">
        <w:rPr>
          <w:sz w:val="22"/>
        </w:rPr>
        <w:t xml:space="preserve">, the maximum consequence for a </w:t>
      </w:r>
      <w:r w:rsidR="002619BF" w:rsidRPr="00562D3B">
        <w:rPr>
          <w:sz w:val="22"/>
        </w:rPr>
        <w:t>supplier</w:t>
      </w:r>
      <w:r w:rsidR="002619BF">
        <w:rPr>
          <w:sz w:val="22"/>
        </w:rPr>
        <w:t xml:space="preserve"> or manufacturer </w:t>
      </w:r>
      <w:r>
        <w:rPr>
          <w:sz w:val="22"/>
        </w:rPr>
        <w:t xml:space="preserve">that has not complied with an ACL requirement to provide a remedy </w:t>
      </w:r>
      <w:r w:rsidR="009526FA">
        <w:rPr>
          <w:sz w:val="22"/>
        </w:rPr>
        <w:t>would</w:t>
      </w:r>
      <w:r w:rsidR="00562D3B" w:rsidRPr="00562D3B">
        <w:rPr>
          <w:sz w:val="22"/>
        </w:rPr>
        <w:t xml:space="preserve"> still only </w:t>
      </w:r>
      <w:r w:rsidR="009526FA">
        <w:rPr>
          <w:sz w:val="22"/>
        </w:rPr>
        <w:t xml:space="preserve">be </w:t>
      </w:r>
      <w:r w:rsidR="00562D3B" w:rsidRPr="00562D3B">
        <w:rPr>
          <w:sz w:val="22"/>
        </w:rPr>
        <w:t xml:space="preserve">the eventual provision of </w:t>
      </w:r>
      <w:r w:rsidR="00EC06E4">
        <w:rPr>
          <w:sz w:val="22"/>
        </w:rPr>
        <w:t xml:space="preserve">that </w:t>
      </w:r>
      <w:r w:rsidR="00562D3B" w:rsidRPr="00562D3B">
        <w:rPr>
          <w:sz w:val="22"/>
        </w:rPr>
        <w:t>remedy</w:t>
      </w:r>
      <w:r w:rsidR="00EC06E4">
        <w:rPr>
          <w:sz w:val="22"/>
        </w:rPr>
        <w:t xml:space="preserve"> (reinforced via a tribunal/court order)</w:t>
      </w:r>
      <w:r w:rsidR="00562D3B" w:rsidRPr="00562D3B">
        <w:rPr>
          <w:sz w:val="22"/>
        </w:rPr>
        <w:t xml:space="preserve">. </w:t>
      </w:r>
      <w:r w:rsidR="00865F78">
        <w:rPr>
          <w:sz w:val="22"/>
        </w:rPr>
        <w:t xml:space="preserve">Similarly, ACL </w:t>
      </w:r>
      <w:r w:rsidR="00F53716">
        <w:rPr>
          <w:sz w:val="22"/>
        </w:rPr>
        <w:t>r</w:t>
      </w:r>
      <w:r w:rsidR="00865F78">
        <w:rPr>
          <w:sz w:val="22"/>
        </w:rPr>
        <w:t xml:space="preserve">egulators </w:t>
      </w:r>
      <w:r w:rsidR="009526FA">
        <w:rPr>
          <w:sz w:val="22"/>
        </w:rPr>
        <w:t xml:space="preserve">would </w:t>
      </w:r>
      <w:r w:rsidR="00865F78">
        <w:rPr>
          <w:sz w:val="22"/>
        </w:rPr>
        <w:t xml:space="preserve">continue to have limited means to </w:t>
      </w:r>
      <w:r w:rsidR="00865F78" w:rsidRPr="00865F78">
        <w:rPr>
          <w:sz w:val="22"/>
        </w:rPr>
        <w:t>drive greater compliance.</w:t>
      </w:r>
    </w:p>
    <w:p w14:paraId="2A9C8B6F" w14:textId="10E6937A" w:rsidR="00EC06E4" w:rsidRDefault="007B5F97" w:rsidP="004F05C7">
      <w:pPr>
        <w:pStyle w:val="Numbered"/>
        <w:tabs>
          <w:tab w:val="left" w:pos="425"/>
        </w:tabs>
        <w:spacing w:after="120" w:line="360" w:lineRule="auto"/>
        <w:rPr>
          <w:sz w:val="22"/>
        </w:rPr>
      </w:pPr>
      <w:r>
        <w:rPr>
          <w:sz w:val="22"/>
        </w:rPr>
        <w:t>T</w:t>
      </w:r>
      <w:r w:rsidR="00562D3B" w:rsidRPr="004F05C7">
        <w:rPr>
          <w:sz w:val="22"/>
        </w:rPr>
        <w:t xml:space="preserve">he incentives to comply with the law </w:t>
      </w:r>
      <w:r w:rsidR="009526FA">
        <w:rPr>
          <w:sz w:val="22"/>
        </w:rPr>
        <w:t xml:space="preserve">would </w:t>
      </w:r>
      <w:r w:rsidR="001F43CC">
        <w:rPr>
          <w:sz w:val="22"/>
        </w:rPr>
        <w:t xml:space="preserve">therefore </w:t>
      </w:r>
      <w:r w:rsidR="00562D3B" w:rsidRPr="004F05C7">
        <w:rPr>
          <w:sz w:val="22"/>
        </w:rPr>
        <w:t xml:space="preserve">continue to be limited for </w:t>
      </w:r>
      <w:r w:rsidR="009526FA">
        <w:rPr>
          <w:sz w:val="22"/>
        </w:rPr>
        <w:t>the</w:t>
      </w:r>
      <w:r w:rsidR="00562D3B" w:rsidRPr="004F05C7">
        <w:rPr>
          <w:sz w:val="22"/>
        </w:rPr>
        <w:t xml:space="preserve"> subset of suppliers and manufacturers who do not provide remedies or </w:t>
      </w:r>
      <w:r w:rsidR="000D07CA">
        <w:rPr>
          <w:sz w:val="22"/>
        </w:rPr>
        <w:t>do not respond</w:t>
      </w:r>
      <w:r w:rsidR="00562D3B" w:rsidRPr="004F05C7">
        <w:rPr>
          <w:sz w:val="22"/>
        </w:rPr>
        <w:t xml:space="preserve"> to legitimate claims for remedies. </w:t>
      </w:r>
    </w:p>
    <w:p w14:paraId="33E60302" w14:textId="5168AF7C" w:rsidR="005D44E5" w:rsidRPr="004F05C7" w:rsidRDefault="005D44E5" w:rsidP="004F05C7">
      <w:pPr>
        <w:pStyle w:val="Numbered"/>
        <w:tabs>
          <w:tab w:val="left" w:pos="425"/>
        </w:tabs>
        <w:spacing w:after="120" w:line="360" w:lineRule="auto"/>
        <w:rPr>
          <w:sz w:val="22"/>
        </w:rPr>
      </w:pPr>
      <w:r w:rsidRPr="004F05C7">
        <w:rPr>
          <w:sz w:val="22"/>
        </w:rPr>
        <w:t xml:space="preserve">The primary incentive to comply with the law </w:t>
      </w:r>
      <w:r w:rsidR="009526FA">
        <w:rPr>
          <w:sz w:val="22"/>
        </w:rPr>
        <w:t xml:space="preserve">would </w:t>
      </w:r>
      <w:r w:rsidRPr="004F05C7">
        <w:rPr>
          <w:sz w:val="22"/>
        </w:rPr>
        <w:t>therefore remain a loss of sales resulting from damage to a supplier</w:t>
      </w:r>
      <w:r w:rsidR="007B5F97">
        <w:rPr>
          <w:sz w:val="22"/>
        </w:rPr>
        <w:t xml:space="preserve"> or manufacturer</w:t>
      </w:r>
      <w:r w:rsidRPr="004F05C7">
        <w:rPr>
          <w:sz w:val="22"/>
        </w:rPr>
        <w:t>’s reputation.</w:t>
      </w:r>
      <w:r w:rsidR="007B5F97">
        <w:rPr>
          <w:sz w:val="22"/>
        </w:rPr>
        <w:t xml:space="preserve"> For example</w:t>
      </w:r>
      <w:r w:rsidR="001F43CC">
        <w:rPr>
          <w:sz w:val="22"/>
        </w:rPr>
        <w:t>,</w:t>
      </w:r>
      <w:r w:rsidR="007B5F97">
        <w:rPr>
          <w:sz w:val="22"/>
        </w:rPr>
        <w:t xml:space="preserve"> c</w:t>
      </w:r>
      <w:r w:rsidR="007B5F97" w:rsidRPr="007B5F97">
        <w:rPr>
          <w:sz w:val="22"/>
        </w:rPr>
        <w:t xml:space="preserve">onsumers </w:t>
      </w:r>
      <w:r w:rsidR="007B5F97">
        <w:rPr>
          <w:sz w:val="22"/>
        </w:rPr>
        <w:t xml:space="preserve">could </w:t>
      </w:r>
      <w:r w:rsidR="007B5F97" w:rsidRPr="007B5F97">
        <w:rPr>
          <w:sz w:val="22"/>
        </w:rPr>
        <w:t xml:space="preserve">take to social media regarding their experience with </w:t>
      </w:r>
      <w:r w:rsidR="00E66275">
        <w:rPr>
          <w:sz w:val="22"/>
        </w:rPr>
        <w:t>suppliers</w:t>
      </w:r>
      <w:r w:rsidR="007B5F97">
        <w:rPr>
          <w:sz w:val="22"/>
        </w:rPr>
        <w:t xml:space="preserve"> </w:t>
      </w:r>
      <w:r w:rsidR="007B5F97" w:rsidRPr="007B5F97">
        <w:rPr>
          <w:sz w:val="22"/>
        </w:rPr>
        <w:t>which would help to disseminate consumer concerns and may damage reputation.</w:t>
      </w:r>
      <w:r w:rsidR="007B5F97">
        <w:rPr>
          <w:sz w:val="22"/>
        </w:rPr>
        <w:t xml:space="preserve"> </w:t>
      </w:r>
    </w:p>
    <w:p w14:paraId="653E2FA0" w14:textId="1D86BA88" w:rsidR="00EC06E4" w:rsidRDefault="00015CF1" w:rsidP="00EA4FF5">
      <w:pPr>
        <w:pStyle w:val="Heading4"/>
      </w:pPr>
      <w:r>
        <w:t>Non-compliant businesses could get a competitive advantage</w:t>
      </w:r>
    </w:p>
    <w:p w14:paraId="1A0E2A29" w14:textId="0C15BC9B" w:rsidR="005D44E5" w:rsidRDefault="005D44E5" w:rsidP="005D44E5">
      <w:pPr>
        <w:pStyle w:val="Bullet"/>
        <w:numPr>
          <w:ilvl w:val="0"/>
          <w:numId w:val="0"/>
        </w:numPr>
      </w:pPr>
      <w:r>
        <w:t xml:space="preserve">The </w:t>
      </w:r>
      <w:r w:rsidR="00F53716">
        <w:t xml:space="preserve">behaviour of non-compliant </w:t>
      </w:r>
      <w:r>
        <w:t>suppliers</w:t>
      </w:r>
      <w:r w:rsidR="00F624C0">
        <w:t>/</w:t>
      </w:r>
      <w:r>
        <w:t xml:space="preserve"> </w:t>
      </w:r>
      <w:r w:rsidR="00F53716">
        <w:t>manufacturers</w:t>
      </w:r>
      <w:r w:rsidR="00DF1F7B" w:rsidRPr="00DF1F7B">
        <w:t xml:space="preserve"> would continue to distort the operation of the market</w:t>
      </w:r>
      <w:r w:rsidR="00F53716">
        <w:t xml:space="preserve">. </w:t>
      </w:r>
      <w:r>
        <w:t xml:space="preserve">This </w:t>
      </w:r>
      <w:r w:rsidR="00F53716">
        <w:t xml:space="preserve">distortion is due to </w:t>
      </w:r>
      <w:r>
        <w:t xml:space="preserve">the benefit to some </w:t>
      </w:r>
      <w:r w:rsidR="00E66275">
        <w:t>suppliers</w:t>
      </w:r>
      <w:r w:rsidR="0084044E">
        <w:t xml:space="preserve"> </w:t>
      </w:r>
      <w:r>
        <w:t>of not incurring the costs of a remedy</w:t>
      </w:r>
      <w:r w:rsidR="00F53716">
        <w:t xml:space="preserve">. These </w:t>
      </w:r>
      <w:r w:rsidR="00E66275">
        <w:t>suppliers</w:t>
      </w:r>
      <w:r>
        <w:t xml:space="preserve"> can offer a lower price for their </w:t>
      </w:r>
      <w:r w:rsidR="00982CB5">
        <w:t>goods or</w:t>
      </w:r>
      <w:r>
        <w:t xml:space="preserve"> make a larger profit. C</w:t>
      </w:r>
      <w:r w:rsidRPr="00EC03C5">
        <w:t xml:space="preserve">onsumers </w:t>
      </w:r>
      <w:r w:rsidR="00F53716">
        <w:t xml:space="preserve">are not necessarily </w:t>
      </w:r>
      <w:r w:rsidR="00982CB5">
        <w:t>able</w:t>
      </w:r>
      <w:r w:rsidR="00F53716">
        <w:t xml:space="preserve"> to correct this distort</w:t>
      </w:r>
      <w:r w:rsidR="00850272">
        <w:t>i</w:t>
      </w:r>
      <w:r w:rsidR="00F53716">
        <w:t>on through their purchasing practices</w:t>
      </w:r>
      <w:r w:rsidR="00092EE9">
        <w:t>,</w:t>
      </w:r>
      <w:r w:rsidR="00F53716">
        <w:t xml:space="preserve"> as the</w:t>
      </w:r>
      <w:r w:rsidR="00092EE9">
        <w:t>y</w:t>
      </w:r>
      <w:r w:rsidR="00F53716">
        <w:t xml:space="preserve"> </w:t>
      </w:r>
      <w:r w:rsidR="00092EE9">
        <w:t xml:space="preserve">may </w:t>
      </w:r>
      <w:r w:rsidRPr="00EC03C5">
        <w:t xml:space="preserve">lack </w:t>
      </w:r>
      <w:r w:rsidRPr="00EC03C5">
        <w:lastRenderedPageBreak/>
        <w:t>the ability to distinguish between low</w:t>
      </w:r>
      <w:r w:rsidR="000D07CA">
        <w:t>-</w:t>
      </w:r>
      <w:r w:rsidRPr="00EC03C5">
        <w:t xml:space="preserve"> and high</w:t>
      </w:r>
      <w:r w:rsidR="000D07CA">
        <w:t>-</w:t>
      </w:r>
      <w:r w:rsidRPr="00EC03C5">
        <w:t>quality goods due to asymmetric information</w:t>
      </w:r>
      <w:r>
        <w:rPr>
          <w:rStyle w:val="FootnoteReference"/>
        </w:rPr>
        <w:footnoteReference w:id="71"/>
      </w:r>
      <w:r>
        <w:t xml:space="preserve"> (</w:t>
      </w:r>
      <w:r w:rsidR="00982CB5">
        <w:t>i.e.</w:t>
      </w:r>
      <w:r>
        <w:t xml:space="preserve"> manufacturers and their distributors are likely to know more about the design, composition, durability and safety of the complex goods they sell than consumers).</w:t>
      </w:r>
    </w:p>
    <w:p w14:paraId="501D0910" w14:textId="596B6B1D" w:rsidR="006E2674" w:rsidRDefault="00F11A57" w:rsidP="006E2674">
      <w:pPr>
        <w:pStyle w:val="Heading4"/>
      </w:pPr>
      <w:r>
        <w:t>Estimated c</w:t>
      </w:r>
      <w:r w:rsidR="006E2674">
        <w:t>osts and benefits</w:t>
      </w:r>
    </w:p>
    <w:p w14:paraId="353790B6" w14:textId="450CA4CC" w:rsidR="003A4585" w:rsidRPr="003A4585" w:rsidRDefault="003A4585" w:rsidP="003A4585">
      <w:pPr>
        <w:pStyle w:val="Caption"/>
        <w:rPr>
          <w:b/>
          <w:bCs/>
          <w:i w:val="0"/>
          <w:iCs w:val="0"/>
          <w:sz w:val="22"/>
          <w:szCs w:val="22"/>
        </w:rPr>
      </w:pPr>
      <w:bookmarkStart w:id="133" w:name="_Toc87529822"/>
      <w:bookmarkStart w:id="134" w:name="_Toc89700874"/>
      <w:r w:rsidRPr="003A4585">
        <w:rPr>
          <w:b/>
          <w:bCs/>
          <w:i w:val="0"/>
          <w:iCs w:val="0"/>
          <w:sz w:val="22"/>
          <w:szCs w:val="22"/>
        </w:rPr>
        <w:t xml:space="preserve">Table </w:t>
      </w:r>
      <w:r w:rsidRPr="003A4585">
        <w:rPr>
          <w:b/>
          <w:bCs/>
          <w:i w:val="0"/>
          <w:iCs w:val="0"/>
          <w:sz w:val="22"/>
          <w:szCs w:val="22"/>
        </w:rPr>
        <w:fldChar w:fldCharType="begin"/>
      </w:r>
      <w:r w:rsidRPr="003A4585">
        <w:rPr>
          <w:b/>
          <w:bCs/>
          <w:i w:val="0"/>
          <w:iCs w:val="0"/>
          <w:sz w:val="22"/>
          <w:szCs w:val="22"/>
        </w:rPr>
        <w:instrText xml:space="preserve"> SEQ Table \* ARABIC </w:instrText>
      </w:r>
      <w:r w:rsidRPr="003A4585">
        <w:rPr>
          <w:b/>
          <w:bCs/>
          <w:i w:val="0"/>
          <w:iCs w:val="0"/>
          <w:sz w:val="22"/>
          <w:szCs w:val="22"/>
        </w:rPr>
        <w:fldChar w:fldCharType="separate"/>
      </w:r>
      <w:r w:rsidR="00001633">
        <w:rPr>
          <w:b/>
          <w:bCs/>
          <w:i w:val="0"/>
          <w:iCs w:val="0"/>
          <w:noProof/>
          <w:sz w:val="22"/>
          <w:szCs w:val="22"/>
        </w:rPr>
        <w:t>2</w:t>
      </w:r>
      <w:r w:rsidRPr="003A4585">
        <w:rPr>
          <w:b/>
          <w:bCs/>
          <w:i w:val="0"/>
          <w:iCs w:val="0"/>
          <w:sz w:val="22"/>
          <w:szCs w:val="22"/>
        </w:rPr>
        <w:fldChar w:fldCharType="end"/>
      </w:r>
      <w:r w:rsidRPr="003A4585">
        <w:rPr>
          <w:b/>
          <w:bCs/>
          <w:i w:val="0"/>
          <w:iCs w:val="0"/>
          <w:sz w:val="22"/>
          <w:szCs w:val="22"/>
        </w:rPr>
        <w:t>: Summary of benefits and costs of Part A, Option 1</w:t>
      </w:r>
      <w:bookmarkEnd w:id="133"/>
      <w:bookmarkEnd w:id="134"/>
      <w:r w:rsidRPr="003A4585">
        <w:rPr>
          <w:b/>
          <w:bCs/>
          <w:i w:val="0"/>
          <w:iCs w:val="0"/>
          <w:sz w:val="22"/>
          <w:szCs w:val="22"/>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812"/>
      </w:tblGrid>
      <w:tr w:rsidR="005D44E5" w:rsidRPr="00EC7C4D" w14:paraId="7EA00481" w14:textId="77777777" w:rsidTr="00EC7C4D">
        <w:trPr>
          <w:trHeight w:val="276"/>
        </w:trPr>
        <w:tc>
          <w:tcPr>
            <w:tcW w:w="4248" w:type="dxa"/>
            <w:shd w:val="clear" w:color="auto" w:fill="B690C9" w:themeFill="accent6" w:themeFillTint="99"/>
          </w:tcPr>
          <w:p w14:paraId="0168CF0B" w14:textId="3FF4B3E3" w:rsidR="005D44E5" w:rsidRPr="00EC7C4D" w:rsidRDefault="005D44E5" w:rsidP="000F6413">
            <w:pPr>
              <w:rPr>
                <w:b/>
              </w:rPr>
            </w:pPr>
            <w:r w:rsidRPr="00EC7C4D">
              <w:rPr>
                <w:b/>
              </w:rPr>
              <w:t xml:space="preserve">Benefits </w:t>
            </w:r>
          </w:p>
        </w:tc>
        <w:tc>
          <w:tcPr>
            <w:tcW w:w="4812" w:type="dxa"/>
            <w:shd w:val="clear" w:color="auto" w:fill="B690C9" w:themeFill="accent6" w:themeFillTint="99"/>
          </w:tcPr>
          <w:p w14:paraId="2CDB92EB" w14:textId="77777777" w:rsidR="005D44E5" w:rsidRPr="00EC7C4D" w:rsidRDefault="005D44E5" w:rsidP="000F6413">
            <w:pPr>
              <w:rPr>
                <w:b/>
              </w:rPr>
            </w:pPr>
            <w:r w:rsidRPr="00EC7C4D">
              <w:rPr>
                <w:b/>
              </w:rPr>
              <w:t xml:space="preserve">Costs </w:t>
            </w:r>
          </w:p>
        </w:tc>
      </w:tr>
      <w:tr w:rsidR="005D44E5" w14:paraId="050A0CF1" w14:textId="77777777" w:rsidTr="00EC7C4D">
        <w:tc>
          <w:tcPr>
            <w:tcW w:w="4248" w:type="dxa"/>
          </w:tcPr>
          <w:p w14:paraId="5BD9CAFA" w14:textId="7CA075B9" w:rsidR="00186A40" w:rsidRDefault="00186A40" w:rsidP="00B20812">
            <w:pPr>
              <w:pStyle w:val="Bullet"/>
              <w:widowControl w:val="0"/>
              <w:numPr>
                <w:ilvl w:val="0"/>
                <w:numId w:val="12"/>
              </w:numPr>
              <w:spacing w:before="120" w:line="280" w:lineRule="exact"/>
              <w:jc w:val="left"/>
            </w:pPr>
            <w:r w:rsidRPr="00186A40">
              <w:t>No additional costs.</w:t>
            </w:r>
          </w:p>
        </w:tc>
        <w:tc>
          <w:tcPr>
            <w:tcW w:w="4812" w:type="dxa"/>
          </w:tcPr>
          <w:p w14:paraId="4D4CAFA9" w14:textId="33BA28CE" w:rsidR="005D44E5" w:rsidRPr="00E21B13" w:rsidRDefault="005D44E5" w:rsidP="00B20812">
            <w:pPr>
              <w:pStyle w:val="Bullet"/>
              <w:widowControl w:val="0"/>
              <w:numPr>
                <w:ilvl w:val="0"/>
                <w:numId w:val="12"/>
              </w:numPr>
              <w:spacing w:before="120" w:line="280" w:lineRule="exact"/>
              <w:jc w:val="left"/>
            </w:pPr>
            <w:r>
              <w:t>A significant proportion of</w:t>
            </w:r>
            <w:r w:rsidRPr="00E21B13">
              <w:t xml:space="preserve"> consumers </w:t>
            </w:r>
            <w:r>
              <w:t xml:space="preserve">who seek remedies </w:t>
            </w:r>
            <w:r w:rsidRPr="00E21B13">
              <w:t>do not receive the consumer guarantee remedy they are entitled to</w:t>
            </w:r>
            <w:r w:rsidR="00651098">
              <w:t>.</w:t>
            </w:r>
          </w:p>
          <w:p w14:paraId="1515D3AA" w14:textId="576412CD" w:rsidR="005D44E5" w:rsidRDefault="005D44E5" w:rsidP="00B20812">
            <w:pPr>
              <w:pStyle w:val="Bullet"/>
              <w:widowControl w:val="0"/>
              <w:numPr>
                <w:ilvl w:val="0"/>
                <w:numId w:val="12"/>
              </w:numPr>
              <w:spacing w:before="120" w:line="280" w:lineRule="exact"/>
              <w:jc w:val="left"/>
            </w:pPr>
            <w:r>
              <w:t xml:space="preserve">Consumers continue to incur costs in pursuing remedies, </w:t>
            </w:r>
            <w:r w:rsidR="004C06DC">
              <w:t xml:space="preserve">such as </w:t>
            </w:r>
            <w:r>
              <w:t>time, travel and legal costs</w:t>
            </w:r>
            <w:r w:rsidR="00651098">
              <w:t>.</w:t>
            </w:r>
          </w:p>
          <w:p w14:paraId="11FBD43E" w14:textId="4868352E" w:rsidR="00850272" w:rsidRDefault="00850272" w:rsidP="00B20812">
            <w:pPr>
              <w:pStyle w:val="Bullet"/>
              <w:widowControl w:val="0"/>
              <w:numPr>
                <w:ilvl w:val="0"/>
                <w:numId w:val="12"/>
              </w:numPr>
              <w:spacing w:before="120" w:line="280" w:lineRule="exact"/>
              <w:jc w:val="left"/>
            </w:pPr>
            <w:r w:rsidRPr="00850272">
              <w:t>The operation of the market will continue to be distorted</w:t>
            </w:r>
            <w:r w:rsidR="00651098">
              <w:t xml:space="preserve"> by non-compliant businesses</w:t>
            </w:r>
            <w:r w:rsidRPr="00850272">
              <w:t>.</w:t>
            </w:r>
          </w:p>
        </w:tc>
      </w:tr>
    </w:tbl>
    <w:p w14:paraId="6D9F38CA" w14:textId="77777777" w:rsidR="005D44E5" w:rsidRDefault="005D44E5" w:rsidP="005D44E5">
      <w:pPr>
        <w:pStyle w:val="Bullet"/>
        <w:numPr>
          <w:ilvl w:val="0"/>
          <w:numId w:val="0"/>
        </w:numPr>
        <w:ind w:left="425" w:hanging="425"/>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016"/>
      </w:tblGrid>
      <w:tr w:rsidR="005D44E5" w14:paraId="75B0613C" w14:textId="77777777" w:rsidTr="00EC06E4">
        <w:tc>
          <w:tcPr>
            <w:tcW w:w="9016" w:type="dxa"/>
            <w:shd w:val="clear" w:color="auto" w:fill="F2F2F2" w:themeFill="background1" w:themeFillShade="F2"/>
          </w:tcPr>
          <w:p w14:paraId="105282EA" w14:textId="77777777" w:rsidR="005D44E5" w:rsidRPr="00EC7C4D" w:rsidRDefault="005D44E5" w:rsidP="000F6413">
            <w:pPr>
              <w:rPr>
                <w:b/>
                <w:sz w:val="22"/>
                <w:szCs w:val="22"/>
              </w:rPr>
            </w:pPr>
            <w:r w:rsidRPr="00EC7C4D">
              <w:rPr>
                <w:b/>
                <w:sz w:val="22"/>
                <w:szCs w:val="22"/>
              </w:rPr>
              <w:t>Focus questions:</w:t>
            </w:r>
          </w:p>
          <w:p w14:paraId="48750347" w14:textId="77777777" w:rsidR="005D44E5" w:rsidRPr="00EC7C4D" w:rsidRDefault="005D44E5" w:rsidP="004A3FDA">
            <w:pPr>
              <w:pStyle w:val="Bullet"/>
              <w:widowControl w:val="0"/>
              <w:numPr>
                <w:ilvl w:val="0"/>
                <w:numId w:val="37"/>
              </w:numPr>
              <w:spacing w:before="120" w:after="240" w:line="280" w:lineRule="exact"/>
              <w:rPr>
                <w:rFonts w:asciiTheme="minorHAnsi" w:eastAsiaTheme="minorHAnsi" w:hAnsiTheme="minorHAnsi" w:cstheme="minorBidi"/>
                <w:color w:val="000000" w:themeColor="text1"/>
                <w:sz w:val="22"/>
                <w:szCs w:val="24"/>
                <w:lang w:eastAsia="en-US"/>
              </w:rPr>
            </w:pPr>
            <w:r w:rsidRPr="00EC7C4D">
              <w:rPr>
                <w:rFonts w:eastAsiaTheme="minorHAnsi"/>
                <w:sz w:val="22"/>
                <w:szCs w:val="22"/>
              </w:rPr>
              <w:t>Are there any other benefits associated with maintaining the status quo?</w:t>
            </w:r>
          </w:p>
          <w:p w14:paraId="4C0BA471" w14:textId="017D5638" w:rsidR="005D44E5" w:rsidRPr="00231B80" w:rsidRDefault="0053477E" w:rsidP="004A3FDA">
            <w:pPr>
              <w:pStyle w:val="Bullet"/>
              <w:widowControl w:val="0"/>
              <w:numPr>
                <w:ilvl w:val="0"/>
                <w:numId w:val="37"/>
              </w:numPr>
              <w:spacing w:before="120" w:after="240" w:line="280" w:lineRule="exact"/>
              <w:rPr>
                <w:rFonts w:asciiTheme="minorHAnsi" w:eastAsiaTheme="minorHAnsi" w:hAnsiTheme="minorHAnsi" w:cstheme="minorBidi"/>
                <w:color w:val="000000" w:themeColor="text1"/>
                <w:szCs w:val="22"/>
                <w:lang w:eastAsia="en-US"/>
              </w:rPr>
            </w:pPr>
            <w:r w:rsidRPr="00EC7C4D">
              <w:rPr>
                <w:rFonts w:eastAsiaTheme="minorHAnsi"/>
                <w:sz w:val="22"/>
                <w:szCs w:val="22"/>
              </w:rPr>
              <w:t>If the status quo was maintained, w</w:t>
            </w:r>
            <w:r w:rsidR="005D44E5" w:rsidRPr="00EC7C4D">
              <w:rPr>
                <w:rFonts w:eastAsiaTheme="minorHAnsi"/>
                <w:sz w:val="22"/>
                <w:szCs w:val="22"/>
              </w:rPr>
              <w:t>hat other potential costs</w:t>
            </w:r>
            <w:r w:rsidRPr="00EC7C4D">
              <w:rPr>
                <w:rFonts w:eastAsiaTheme="minorHAnsi"/>
                <w:sz w:val="22"/>
                <w:szCs w:val="22"/>
              </w:rPr>
              <w:t xml:space="preserve"> could there be </w:t>
            </w:r>
            <w:r w:rsidR="005D44E5" w:rsidRPr="00EC7C4D">
              <w:rPr>
                <w:rFonts w:eastAsiaTheme="minorHAnsi"/>
                <w:sz w:val="22"/>
                <w:szCs w:val="22"/>
              </w:rPr>
              <w:t xml:space="preserve">to industry, </w:t>
            </w:r>
            <w:r w:rsidR="005D44E5" w:rsidRPr="00EC7C4D">
              <w:rPr>
                <w:rFonts w:asciiTheme="minorHAnsi" w:eastAsiaTheme="minorHAnsi" w:hAnsiTheme="minorHAnsi" w:cstheme="minorBidi"/>
                <w:color w:val="000000" w:themeColor="text1"/>
                <w:sz w:val="22"/>
                <w:szCs w:val="24"/>
                <w:lang w:eastAsia="en-US"/>
              </w:rPr>
              <w:t>consumers and businesses</w:t>
            </w:r>
            <w:r w:rsidRPr="00EC7C4D">
              <w:rPr>
                <w:rFonts w:asciiTheme="minorHAnsi" w:eastAsiaTheme="minorHAnsi" w:hAnsiTheme="minorHAnsi" w:cstheme="minorBidi"/>
                <w:color w:val="000000" w:themeColor="text1"/>
                <w:sz w:val="22"/>
                <w:szCs w:val="24"/>
                <w:lang w:eastAsia="en-US"/>
              </w:rPr>
              <w:t>?</w:t>
            </w:r>
            <w:r w:rsidR="005D44E5" w:rsidRPr="00EC7C4D">
              <w:rPr>
                <w:rFonts w:asciiTheme="minorHAnsi" w:eastAsiaTheme="minorHAnsi" w:hAnsiTheme="minorHAnsi" w:cstheme="minorBidi"/>
                <w:color w:val="000000" w:themeColor="text1"/>
                <w:sz w:val="22"/>
                <w:szCs w:val="24"/>
                <w:lang w:eastAsia="en-US"/>
              </w:rPr>
              <w:t xml:space="preserve"> </w:t>
            </w:r>
          </w:p>
        </w:tc>
      </w:tr>
    </w:tbl>
    <w:p w14:paraId="5E77A708" w14:textId="0244691C" w:rsidR="00C92C4D" w:rsidRDefault="000A6228" w:rsidP="00C92C4D">
      <w:pPr>
        <w:pStyle w:val="Heading3"/>
      </w:pPr>
      <w:bookmarkStart w:id="135" w:name="_Toc69381065"/>
      <w:bookmarkStart w:id="136" w:name="_Toc69395086"/>
      <w:r>
        <w:br/>
      </w:r>
      <w:bookmarkStart w:id="137" w:name="_Toc89700929"/>
      <w:r w:rsidR="00702A68">
        <w:t xml:space="preserve">Part A, </w:t>
      </w:r>
      <w:r w:rsidR="00C92C4D" w:rsidRPr="008643A4">
        <w:t xml:space="preserve">Option </w:t>
      </w:r>
      <w:r w:rsidR="00C92C4D">
        <w:t>2</w:t>
      </w:r>
      <w:r w:rsidR="00C92C4D" w:rsidRPr="008643A4">
        <w:t xml:space="preserve"> – </w:t>
      </w:r>
      <w:r w:rsidR="006E2674">
        <w:t xml:space="preserve">an </w:t>
      </w:r>
      <w:r w:rsidR="00946152" w:rsidRPr="00946152">
        <w:t xml:space="preserve">education and </w:t>
      </w:r>
      <w:r w:rsidR="00973EE6">
        <w:t>guidance</w:t>
      </w:r>
      <w:r w:rsidR="00973EE6" w:rsidRPr="00946152">
        <w:t xml:space="preserve"> </w:t>
      </w:r>
      <w:r w:rsidR="00946152" w:rsidRPr="00946152">
        <w:t>campaign</w:t>
      </w:r>
      <w:bookmarkEnd w:id="135"/>
      <w:bookmarkEnd w:id="136"/>
      <w:bookmarkEnd w:id="137"/>
    </w:p>
    <w:p w14:paraId="5D98AC3B" w14:textId="6418ADBF" w:rsidR="00995337" w:rsidRDefault="00995337" w:rsidP="00995337">
      <w:pPr>
        <w:spacing w:after="200"/>
        <w:rPr>
          <w:szCs w:val="24"/>
        </w:rPr>
      </w:pPr>
      <w:r>
        <w:t xml:space="preserve">Option 2 is a non-regulatory approach and </w:t>
      </w:r>
      <w:r>
        <w:rPr>
          <w:szCs w:val="24"/>
        </w:rPr>
        <w:t>involves the development and delivery of a three-month</w:t>
      </w:r>
      <w:r w:rsidRPr="00E865C0">
        <w:rPr>
          <w:szCs w:val="24"/>
        </w:rPr>
        <w:t xml:space="preserve"> education and </w:t>
      </w:r>
      <w:r w:rsidR="00973EE6">
        <w:rPr>
          <w:szCs w:val="24"/>
        </w:rPr>
        <w:t>guidance</w:t>
      </w:r>
      <w:r w:rsidRPr="00E865C0">
        <w:rPr>
          <w:szCs w:val="24"/>
        </w:rPr>
        <w:t xml:space="preserve"> campaign targeting suppliers, manufacturers and consumers</w:t>
      </w:r>
      <w:r>
        <w:rPr>
          <w:szCs w:val="24"/>
        </w:rPr>
        <w:t>. The campaign would provide</w:t>
      </w:r>
      <w:r w:rsidRPr="00E865C0">
        <w:rPr>
          <w:szCs w:val="24"/>
        </w:rPr>
        <w:t xml:space="preserve"> information and guidance on existing rights, obligations and responsibilities</w:t>
      </w:r>
      <w:r>
        <w:rPr>
          <w:szCs w:val="24"/>
        </w:rPr>
        <w:t xml:space="preserve"> under the consumer guarantees framework</w:t>
      </w:r>
      <w:r w:rsidRPr="00E865C0">
        <w:rPr>
          <w:szCs w:val="24"/>
        </w:rPr>
        <w:t xml:space="preserve">. </w:t>
      </w:r>
      <w:r>
        <w:rPr>
          <w:szCs w:val="24"/>
        </w:rPr>
        <w:t xml:space="preserve">Existing </w:t>
      </w:r>
      <w:r w:rsidR="00C817E1">
        <w:rPr>
          <w:szCs w:val="24"/>
        </w:rPr>
        <w:t>guidance</w:t>
      </w:r>
      <w:r>
        <w:rPr>
          <w:szCs w:val="24"/>
        </w:rPr>
        <w:t xml:space="preserve"> material would also be </w:t>
      </w:r>
      <w:r w:rsidR="00C817E1">
        <w:rPr>
          <w:szCs w:val="24"/>
        </w:rPr>
        <w:t xml:space="preserve">strengthened. </w:t>
      </w:r>
    </w:p>
    <w:p w14:paraId="6EC48B4A" w14:textId="76440A6F" w:rsidR="00D4688A" w:rsidRDefault="009B1EDD" w:rsidP="00D4688A">
      <w:pPr>
        <w:spacing w:after="200"/>
        <w:rPr>
          <w:szCs w:val="24"/>
        </w:rPr>
      </w:pPr>
      <w:r>
        <w:rPr>
          <w:szCs w:val="24"/>
        </w:rPr>
        <w:t>I</w:t>
      </w:r>
      <w:r w:rsidR="00D4688A" w:rsidRPr="002B6B71">
        <w:rPr>
          <w:szCs w:val="24"/>
        </w:rPr>
        <w:t>f businesses and consumers have a common</w:t>
      </w:r>
      <w:r w:rsidR="00D4688A">
        <w:rPr>
          <w:szCs w:val="24"/>
        </w:rPr>
        <w:t xml:space="preserve"> </w:t>
      </w:r>
      <w:r w:rsidR="00D4688A" w:rsidRPr="002B6B71">
        <w:rPr>
          <w:szCs w:val="24"/>
        </w:rPr>
        <w:t>understanding of the law</w:t>
      </w:r>
      <w:r w:rsidR="00D4688A">
        <w:rPr>
          <w:szCs w:val="24"/>
        </w:rPr>
        <w:t xml:space="preserve"> and approach each matter on its merits,</w:t>
      </w:r>
      <w:r w:rsidR="00D4688A" w:rsidRPr="002B6B71">
        <w:rPr>
          <w:szCs w:val="24"/>
        </w:rPr>
        <w:t xml:space="preserve"> the level of </w:t>
      </w:r>
      <w:r w:rsidR="00D4688A">
        <w:rPr>
          <w:szCs w:val="24"/>
        </w:rPr>
        <w:t xml:space="preserve">disputes </w:t>
      </w:r>
      <w:r w:rsidR="002B7BFC">
        <w:rPr>
          <w:szCs w:val="24"/>
        </w:rPr>
        <w:t xml:space="preserve">on </w:t>
      </w:r>
      <w:r w:rsidR="00D4688A">
        <w:rPr>
          <w:szCs w:val="24"/>
        </w:rPr>
        <w:t xml:space="preserve">consumer guarantee issues </w:t>
      </w:r>
      <w:r w:rsidR="00D4688A" w:rsidRPr="002B6B71">
        <w:rPr>
          <w:szCs w:val="24"/>
        </w:rPr>
        <w:t>might be reduced. Fewer disputes would reduce costs for</w:t>
      </w:r>
      <w:r w:rsidR="00D4688A">
        <w:rPr>
          <w:szCs w:val="24"/>
        </w:rPr>
        <w:t xml:space="preserve"> </w:t>
      </w:r>
      <w:r w:rsidR="00D4688A" w:rsidRPr="002B6B71">
        <w:rPr>
          <w:szCs w:val="24"/>
        </w:rPr>
        <w:t>businesses, consumers</w:t>
      </w:r>
      <w:r w:rsidR="00D4688A">
        <w:rPr>
          <w:szCs w:val="24"/>
        </w:rPr>
        <w:t xml:space="preserve">, ACL regulators </w:t>
      </w:r>
      <w:r w:rsidR="00D4688A" w:rsidRPr="002B6B71">
        <w:rPr>
          <w:szCs w:val="24"/>
        </w:rPr>
        <w:t xml:space="preserve">and </w:t>
      </w:r>
      <w:r w:rsidR="00D4688A">
        <w:rPr>
          <w:szCs w:val="24"/>
        </w:rPr>
        <w:t xml:space="preserve">the </w:t>
      </w:r>
      <w:r w:rsidR="00D4688A" w:rsidRPr="002B6B71">
        <w:rPr>
          <w:szCs w:val="24"/>
        </w:rPr>
        <w:t xml:space="preserve">tribunals </w:t>
      </w:r>
      <w:r w:rsidR="00D4688A">
        <w:rPr>
          <w:szCs w:val="24"/>
        </w:rPr>
        <w:t xml:space="preserve">that </w:t>
      </w:r>
      <w:r w:rsidR="00C968F9">
        <w:rPr>
          <w:szCs w:val="24"/>
        </w:rPr>
        <w:t>hear</w:t>
      </w:r>
      <w:r w:rsidR="00D4688A" w:rsidRPr="002B6B71">
        <w:rPr>
          <w:szCs w:val="24"/>
        </w:rPr>
        <w:t xml:space="preserve"> disputes.</w:t>
      </w:r>
    </w:p>
    <w:p w14:paraId="2873CFBF" w14:textId="320FACBB" w:rsidR="005B0483" w:rsidRDefault="005B0483" w:rsidP="005B0483">
      <w:pPr>
        <w:pStyle w:val="Heading4"/>
      </w:pPr>
      <w:r>
        <w:lastRenderedPageBreak/>
        <w:t xml:space="preserve">Helping consumers understand their rights to </w:t>
      </w:r>
      <w:r w:rsidR="00982CB5">
        <w:t>access remedies more effectively</w:t>
      </w:r>
    </w:p>
    <w:p w14:paraId="28B13EA6" w14:textId="77B24100" w:rsidR="009B1EDD" w:rsidRPr="009B1EDD" w:rsidRDefault="0042583A" w:rsidP="009B1EDD">
      <w:pPr>
        <w:spacing w:after="200"/>
        <w:rPr>
          <w:szCs w:val="24"/>
        </w:rPr>
      </w:pPr>
      <w:r>
        <w:rPr>
          <w:rFonts w:cstheme="minorBidi"/>
        </w:rPr>
        <w:t xml:space="preserve">Consumers who have a problem with </w:t>
      </w:r>
      <w:r w:rsidR="00A1471B">
        <w:rPr>
          <w:rFonts w:cstheme="minorBidi"/>
        </w:rPr>
        <w:t>a</w:t>
      </w:r>
      <w:r w:rsidR="00913416">
        <w:rPr>
          <w:rFonts w:cstheme="minorBidi"/>
        </w:rPr>
        <w:t xml:space="preserve"> </w:t>
      </w:r>
      <w:r>
        <w:rPr>
          <w:rFonts w:cstheme="minorBidi"/>
        </w:rPr>
        <w:t xml:space="preserve">good or service will often approach a </w:t>
      </w:r>
      <w:r w:rsidR="00913416">
        <w:rPr>
          <w:rFonts w:cstheme="minorBidi"/>
        </w:rPr>
        <w:t xml:space="preserve">supplier </w:t>
      </w:r>
      <w:r w:rsidR="002619BF">
        <w:rPr>
          <w:rFonts w:cstheme="minorBidi"/>
        </w:rPr>
        <w:t xml:space="preserve">or manufacturer </w:t>
      </w:r>
      <w:r w:rsidR="00913416">
        <w:rPr>
          <w:rFonts w:cstheme="minorBidi"/>
        </w:rPr>
        <w:t>about that problem</w:t>
      </w:r>
      <w:r w:rsidR="00C968F9">
        <w:rPr>
          <w:rFonts w:cstheme="minorBidi"/>
        </w:rPr>
        <w:t>. I</w:t>
      </w:r>
      <w:r w:rsidR="00B00389">
        <w:rPr>
          <w:rFonts w:cstheme="minorBidi"/>
        </w:rPr>
        <w:t>f they do</w:t>
      </w:r>
      <w:r w:rsidR="00266846">
        <w:rPr>
          <w:rFonts w:cstheme="minorBidi"/>
        </w:rPr>
        <w:t xml:space="preserve"> </w:t>
      </w:r>
      <w:r w:rsidR="00B00389">
        <w:rPr>
          <w:rFonts w:cstheme="minorBidi"/>
        </w:rPr>
        <w:t>n</w:t>
      </w:r>
      <w:r w:rsidR="00266846">
        <w:rPr>
          <w:rFonts w:cstheme="minorBidi"/>
        </w:rPr>
        <w:t>o</w:t>
      </w:r>
      <w:r w:rsidR="00B00389">
        <w:rPr>
          <w:rFonts w:cstheme="minorBidi"/>
        </w:rPr>
        <w:t xml:space="preserve">t </w:t>
      </w:r>
      <w:r w:rsidR="00913416">
        <w:rPr>
          <w:rFonts w:cstheme="minorBidi"/>
        </w:rPr>
        <w:t xml:space="preserve">fully understand their rights </w:t>
      </w:r>
      <w:r w:rsidR="00384155">
        <w:rPr>
          <w:rFonts w:cstheme="minorBidi"/>
        </w:rPr>
        <w:t xml:space="preserve">or what suppliers </w:t>
      </w:r>
      <w:r w:rsidR="002619BF">
        <w:rPr>
          <w:rFonts w:cstheme="minorBidi"/>
        </w:rPr>
        <w:t xml:space="preserve">or manufacturers </w:t>
      </w:r>
      <w:r w:rsidR="00384155">
        <w:rPr>
          <w:rFonts w:cstheme="minorBidi"/>
        </w:rPr>
        <w:t>are obliged to do</w:t>
      </w:r>
      <w:r w:rsidR="00266846">
        <w:rPr>
          <w:rFonts w:cstheme="minorBidi"/>
        </w:rPr>
        <w:t>,</w:t>
      </w:r>
      <w:r w:rsidR="00B00389">
        <w:rPr>
          <w:rFonts w:cstheme="minorBidi"/>
        </w:rPr>
        <w:t xml:space="preserve"> </w:t>
      </w:r>
      <w:r w:rsidR="00266846">
        <w:rPr>
          <w:rFonts w:cstheme="minorBidi"/>
        </w:rPr>
        <w:t xml:space="preserve">an </w:t>
      </w:r>
      <w:r w:rsidR="00B00389">
        <w:rPr>
          <w:rFonts w:cstheme="minorBidi"/>
        </w:rPr>
        <w:t xml:space="preserve">education </w:t>
      </w:r>
      <w:r w:rsidR="00973EE6">
        <w:rPr>
          <w:rFonts w:cstheme="minorBidi"/>
        </w:rPr>
        <w:t xml:space="preserve">and guidance </w:t>
      </w:r>
      <w:r w:rsidR="00266846">
        <w:rPr>
          <w:rFonts w:cstheme="minorBidi"/>
        </w:rPr>
        <w:t xml:space="preserve">campaign </w:t>
      </w:r>
      <w:r w:rsidR="00B00389">
        <w:rPr>
          <w:rFonts w:cstheme="minorBidi"/>
        </w:rPr>
        <w:t xml:space="preserve">may assist them </w:t>
      </w:r>
      <w:r w:rsidR="00913416">
        <w:rPr>
          <w:rFonts w:cstheme="minorBidi"/>
        </w:rPr>
        <w:t>to</w:t>
      </w:r>
      <w:r w:rsidR="00384155">
        <w:rPr>
          <w:rFonts w:cstheme="minorBidi"/>
        </w:rPr>
        <w:t xml:space="preserve"> identify how their problem is protected by a consumer guarantee</w:t>
      </w:r>
      <w:r w:rsidR="00B00389">
        <w:rPr>
          <w:rFonts w:cstheme="minorBidi"/>
        </w:rPr>
        <w:t xml:space="preserve">, </w:t>
      </w:r>
      <w:r w:rsidR="00C968F9">
        <w:rPr>
          <w:rFonts w:cstheme="minorBidi"/>
        </w:rPr>
        <w:t xml:space="preserve">and </w:t>
      </w:r>
      <w:r w:rsidR="00B00389">
        <w:rPr>
          <w:rFonts w:cstheme="minorBidi"/>
        </w:rPr>
        <w:t>what remedies are available in their circumstance.</w:t>
      </w:r>
    </w:p>
    <w:p w14:paraId="6D19D68A" w14:textId="483B89C1" w:rsidR="008B37B2" w:rsidRDefault="005B0483" w:rsidP="008B37B2">
      <w:pPr>
        <w:pStyle w:val="Default"/>
        <w:spacing w:after="120" w:line="360" w:lineRule="auto"/>
        <w:rPr>
          <w:rFonts w:ascii="Calibri" w:hAnsi="Calibri" w:cstheme="minorBidi"/>
          <w:color w:val="auto"/>
          <w:sz w:val="22"/>
        </w:rPr>
      </w:pPr>
      <w:r>
        <w:rPr>
          <w:rFonts w:ascii="Calibri" w:hAnsi="Calibri" w:cstheme="minorBidi"/>
          <w:color w:val="auto"/>
          <w:sz w:val="22"/>
        </w:rPr>
        <w:t>The 2016 Australian Consumer Survey suggests a</w:t>
      </w:r>
      <w:r w:rsidRPr="00CD46BA">
        <w:rPr>
          <w:rFonts w:ascii="Calibri" w:hAnsi="Calibri" w:cstheme="minorBidi"/>
          <w:color w:val="auto"/>
          <w:sz w:val="22"/>
        </w:rPr>
        <w:t>round 18</w:t>
      </w:r>
      <w:r w:rsidR="003A48A8">
        <w:rPr>
          <w:rFonts w:ascii="Calibri" w:hAnsi="Calibri" w:cstheme="minorBidi"/>
          <w:color w:val="auto"/>
          <w:sz w:val="22"/>
        </w:rPr>
        <w:t xml:space="preserve"> per cent</w:t>
      </w:r>
      <w:r w:rsidRPr="00CD46BA">
        <w:rPr>
          <w:rFonts w:ascii="Calibri" w:hAnsi="Calibri" w:cstheme="minorBidi"/>
          <w:color w:val="auto"/>
          <w:sz w:val="22"/>
        </w:rPr>
        <w:t xml:space="preserve"> of consumers do not agree the government provides adequate information and advice about consumers’ rights when purchasing products or services in Australia.</w:t>
      </w:r>
      <w:r w:rsidR="005A5D06">
        <w:rPr>
          <w:rFonts w:ascii="Calibri" w:hAnsi="Calibri" w:cstheme="minorBidi"/>
          <w:color w:val="auto"/>
          <w:sz w:val="22"/>
        </w:rPr>
        <w:t> </w:t>
      </w:r>
      <w:r w:rsidR="00B00389">
        <w:rPr>
          <w:rStyle w:val="FootnoteReference"/>
          <w:rFonts w:cstheme="minorBidi"/>
          <w:color w:val="auto"/>
        </w:rPr>
        <w:footnoteReference w:id="72"/>
      </w:r>
      <w:r w:rsidR="00B00389">
        <w:rPr>
          <w:rFonts w:ascii="Calibri" w:hAnsi="Calibri" w:cstheme="minorBidi"/>
          <w:color w:val="auto"/>
          <w:sz w:val="22"/>
        </w:rPr>
        <w:t xml:space="preserve"> </w:t>
      </w:r>
      <w:r w:rsidRPr="00CD46BA">
        <w:rPr>
          <w:rFonts w:ascii="Calibri" w:hAnsi="Calibri" w:cstheme="minorBidi"/>
          <w:color w:val="auto"/>
          <w:sz w:val="22"/>
        </w:rPr>
        <w:t xml:space="preserve">By reducing the knowledge barriers </w:t>
      </w:r>
      <w:r>
        <w:rPr>
          <w:rFonts w:ascii="Calibri" w:hAnsi="Calibri" w:cstheme="minorBidi"/>
          <w:color w:val="auto"/>
          <w:sz w:val="22"/>
        </w:rPr>
        <w:t xml:space="preserve">some </w:t>
      </w:r>
      <w:r w:rsidRPr="00CD46BA">
        <w:rPr>
          <w:rFonts w:ascii="Calibri" w:hAnsi="Calibri" w:cstheme="minorBidi"/>
          <w:color w:val="auto"/>
          <w:sz w:val="22"/>
        </w:rPr>
        <w:t xml:space="preserve">consumers face when dealing with consumer guarantee failures, an education </w:t>
      </w:r>
      <w:r w:rsidR="005900EC">
        <w:rPr>
          <w:rFonts w:ascii="Calibri" w:hAnsi="Calibri" w:cstheme="minorBidi"/>
          <w:color w:val="auto"/>
          <w:sz w:val="22"/>
        </w:rPr>
        <w:t xml:space="preserve">and guidance </w:t>
      </w:r>
      <w:r w:rsidRPr="00CD46BA">
        <w:rPr>
          <w:rFonts w:ascii="Calibri" w:hAnsi="Calibri" w:cstheme="minorBidi"/>
          <w:color w:val="auto"/>
          <w:sz w:val="22"/>
        </w:rPr>
        <w:t xml:space="preserve">campaign </w:t>
      </w:r>
      <w:r w:rsidR="008B37B2">
        <w:rPr>
          <w:rFonts w:ascii="Calibri" w:hAnsi="Calibri" w:cstheme="minorBidi"/>
          <w:color w:val="auto"/>
          <w:sz w:val="22"/>
        </w:rPr>
        <w:t xml:space="preserve">might also </w:t>
      </w:r>
      <w:r w:rsidRPr="00CD46BA">
        <w:rPr>
          <w:rFonts w:ascii="Calibri" w:hAnsi="Calibri" w:cstheme="minorBidi"/>
          <w:color w:val="auto"/>
          <w:sz w:val="22"/>
        </w:rPr>
        <w:t>reduce the number of cases where a consumer does not pursue a remedy they are entitled</w:t>
      </w:r>
      <w:r w:rsidR="008B37B2">
        <w:rPr>
          <w:rFonts w:ascii="Calibri" w:hAnsi="Calibri" w:cstheme="minorBidi"/>
          <w:color w:val="auto"/>
          <w:sz w:val="22"/>
        </w:rPr>
        <w:t xml:space="preserve"> to</w:t>
      </w:r>
      <w:r w:rsidRPr="00CD46BA">
        <w:rPr>
          <w:rFonts w:ascii="Calibri" w:hAnsi="Calibri" w:cstheme="minorBidi"/>
          <w:color w:val="auto"/>
          <w:sz w:val="22"/>
        </w:rPr>
        <w:t xml:space="preserve">. </w:t>
      </w:r>
      <w:bookmarkStart w:id="138" w:name="_Toc10639516"/>
      <w:bookmarkStart w:id="139" w:name="_Toc11678821"/>
      <w:bookmarkStart w:id="140" w:name="_Toc11678874"/>
      <w:bookmarkStart w:id="141" w:name="_Toc33803470"/>
    </w:p>
    <w:p w14:paraId="3F8B0D38" w14:textId="76D1F8DA" w:rsidR="00404037" w:rsidRPr="008B37B2" w:rsidRDefault="00C968F9" w:rsidP="008B37B2">
      <w:pPr>
        <w:pStyle w:val="Default"/>
        <w:spacing w:after="120" w:line="360" w:lineRule="auto"/>
        <w:rPr>
          <w:rFonts w:ascii="Calibri" w:hAnsi="Calibri" w:cstheme="minorBidi"/>
          <w:color w:val="auto"/>
          <w:sz w:val="22"/>
        </w:rPr>
      </w:pPr>
      <w:r>
        <w:rPr>
          <w:rFonts w:ascii="Calibri" w:hAnsi="Calibri" w:cstheme="minorBidi"/>
          <w:color w:val="auto"/>
          <w:sz w:val="22"/>
        </w:rPr>
        <w:t xml:space="preserve">While </w:t>
      </w:r>
      <w:r w:rsidR="00404037" w:rsidRPr="008B37B2">
        <w:rPr>
          <w:rFonts w:ascii="Calibri" w:hAnsi="Calibri" w:cstheme="minorBidi"/>
          <w:color w:val="auto"/>
          <w:sz w:val="22"/>
        </w:rPr>
        <w:t xml:space="preserve">ACL regulators have produced further and more detailed guidance on the consumer guarantees regime since the </w:t>
      </w:r>
      <w:r>
        <w:rPr>
          <w:rFonts w:ascii="Calibri" w:hAnsi="Calibri" w:cstheme="minorBidi"/>
          <w:color w:val="auto"/>
          <w:sz w:val="22"/>
        </w:rPr>
        <w:t xml:space="preserve">2016 </w:t>
      </w:r>
      <w:r w:rsidR="00404037" w:rsidRPr="008B37B2">
        <w:rPr>
          <w:rFonts w:ascii="Calibri" w:hAnsi="Calibri" w:cstheme="minorBidi"/>
          <w:color w:val="auto"/>
          <w:sz w:val="22"/>
        </w:rPr>
        <w:t>survey, there may still be benefit</w:t>
      </w:r>
      <w:r>
        <w:rPr>
          <w:rFonts w:ascii="Calibri" w:hAnsi="Calibri" w:cstheme="minorBidi"/>
          <w:color w:val="auto"/>
          <w:sz w:val="22"/>
        </w:rPr>
        <w:t>s</w:t>
      </w:r>
      <w:r w:rsidR="00404037" w:rsidRPr="008B37B2">
        <w:rPr>
          <w:rFonts w:ascii="Calibri" w:hAnsi="Calibri" w:cstheme="minorBidi"/>
          <w:color w:val="auto"/>
          <w:sz w:val="22"/>
        </w:rPr>
        <w:t xml:space="preserve"> </w:t>
      </w:r>
      <w:r>
        <w:rPr>
          <w:rFonts w:ascii="Calibri" w:hAnsi="Calibri" w:cstheme="minorBidi"/>
          <w:color w:val="auto"/>
          <w:sz w:val="22"/>
        </w:rPr>
        <w:t xml:space="preserve">from </w:t>
      </w:r>
      <w:r w:rsidR="00404037" w:rsidRPr="008B37B2">
        <w:rPr>
          <w:rFonts w:ascii="Calibri" w:hAnsi="Calibri" w:cstheme="minorBidi"/>
          <w:color w:val="auto"/>
          <w:sz w:val="22"/>
        </w:rPr>
        <w:t>targeted education.</w:t>
      </w:r>
    </w:p>
    <w:p w14:paraId="5517AFD6" w14:textId="19A36F10" w:rsidR="00FE03FB" w:rsidRDefault="00C968F9" w:rsidP="005B0483">
      <w:r>
        <w:rPr>
          <w:szCs w:val="22"/>
        </w:rPr>
        <w:t>H</w:t>
      </w:r>
      <w:r w:rsidR="005A5D06">
        <w:rPr>
          <w:szCs w:val="22"/>
        </w:rPr>
        <w:t>elping consumers to understand their rights</w:t>
      </w:r>
      <w:r w:rsidR="00525AB1">
        <w:rPr>
          <w:szCs w:val="22"/>
        </w:rPr>
        <w:t xml:space="preserve"> does </w:t>
      </w:r>
      <w:r w:rsidR="005B0483">
        <w:t xml:space="preserve">not necessarily mean business compliance with the consumer guarantees will increase. </w:t>
      </w:r>
      <w:r>
        <w:t>It</w:t>
      </w:r>
      <w:r w:rsidR="00FE03FB" w:rsidRPr="00FE03FB">
        <w:t xml:space="preserve"> may only marginally assist consumers when negotiating with suppliers</w:t>
      </w:r>
      <w:r w:rsidR="009D44BB">
        <w:t xml:space="preserve"> or manufacturers</w:t>
      </w:r>
      <w:r w:rsidR="00FE03FB" w:rsidRPr="00FE03FB">
        <w:t>, given the inherent power imbalance between the parties and the difficulties for consumers in asserting their rights</w:t>
      </w:r>
      <w:r w:rsidR="00C07B27">
        <w:t>.</w:t>
      </w:r>
    </w:p>
    <w:p w14:paraId="3B6707BC" w14:textId="38F130A5" w:rsidR="00995337" w:rsidRDefault="00995337" w:rsidP="00995337">
      <w:pPr>
        <w:pStyle w:val="Heading4"/>
      </w:pPr>
      <w:r>
        <w:t xml:space="preserve">Addressing gaps in </w:t>
      </w:r>
      <w:r w:rsidR="00AC19D6">
        <w:t>supplier</w:t>
      </w:r>
      <w:r>
        <w:t xml:space="preserve"> knowledge of guarantee obligations</w:t>
      </w:r>
    </w:p>
    <w:p w14:paraId="38F72F68" w14:textId="1EB0709B" w:rsidR="00483501" w:rsidRDefault="00C7769C" w:rsidP="005B0483">
      <w:pPr>
        <w:rPr>
          <w:szCs w:val="24"/>
        </w:rPr>
      </w:pPr>
      <w:r>
        <w:rPr>
          <w:szCs w:val="24"/>
        </w:rPr>
        <w:t xml:space="preserve">The 2016 Australian Consumer Survey found </w:t>
      </w:r>
      <w:r w:rsidRPr="009C4F97">
        <w:rPr>
          <w:szCs w:val="24"/>
        </w:rPr>
        <w:t>80</w:t>
      </w:r>
      <w:r w:rsidR="003A48A8">
        <w:rPr>
          <w:szCs w:val="24"/>
        </w:rPr>
        <w:t xml:space="preserve"> per cent</w:t>
      </w:r>
      <w:r w:rsidRPr="009C4F97">
        <w:rPr>
          <w:szCs w:val="24"/>
        </w:rPr>
        <w:t xml:space="preserve"> </w:t>
      </w:r>
      <w:r>
        <w:rPr>
          <w:szCs w:val="24"/>
        </w:rPr>
        <w:t xml:space="preserve">of businesses </w:t>
      </w:r>
      <w:r w:rsidRPr="009C4F97">
        <w:rPr>
          <w:szCs w:val="24"/>
        </w:rPr>
        <w:t>believe</w:t>
      </w:r>
      <w:r>
        <w:rPr>
          <w:szCs w:val="24"/>
        </w:rPr>
        <w:t>d</w:t>
      </w:r>
      <w:r w:rsidRPr="009C4F97">
        <w:rPr>
          <w:szCs w:val="24"/>
        </w:rPr>
        <w:t xml:space="preserve"> </w:t>
      </w:r>
      <w:r>
        <w:rPr>
          <w:szCs w:val="24"/>
        </w:rPr>
        <w:t xml:space="preserve">they had </w:t>
      </w:r>
      <w:r w:rsidRPr="009C4F97">
        <w:rPr>
          <w:szCs w:val="24"/>
        </w:rPr>
        <w:t xml:space="preserve">a moderate </w:t>
      </w:r>
      <w:r>
        <w:rPr>
          <w:szCs w:val="24"/>
        </w:rPr>
        <w:t xml:space="preserve">or better </w:t>
      </w:r>
      <w:r w:rsidRPr="009C4F97">
        <w:rPr>
          <w:szCs w:val="24"/>
        </w:rPr>
        <w:t>understanding of their obligations and responsibilities under the ACL</w:t>
      </w:r>
      <w:r>
        <w:rPr>
          <w:szCs w:val="24"/>
        </w:rPr>
        <w:t>, with 11</w:t>
      </w:r>
      <w:r w:rsidR="003A48A8">
        <w:rPr>
          <w:szCs w:val="24"/>
        </w:rPr>
        <w:t xml:space="preserve"> per cent</w:t>
      </w:r>
      <w:r>
        <w:rPr>
          <w:szCs w:val="24"/>
        </w:rPr>
        <w:t xml:space="preserve"> having some understanding and 9</w:t>
      </w:r>
      <w:r w:rsidR="003A48A8">
        <w:rPr>
          <w:szCs w:val="24"/>
        </w:rPr>
        <w:t xml:space="preserve"> per cent</w:t>
      </w:r>
      <w:r>
        <w:rPr>
          <w:szCs w:val="24"/>
        </w:rPr>
        <w:t xml:space="preserve"> indicating minimal or no understanding. </w:t>
      </w:r>
      <w:r w:rsidR="005B0483">
        <w:t xml:space="preserve">For suppliers and manufacturers, </w:t>
      </w:r>
      <w:bookmarkEnd w:id="138"/>
      <w:bookmarkEnd w:id="139"/>
      <w:bookmarkEnd w:id="140"/>
      <w:bookmarkEnd w:id="141"/>
      <w:r w:rsidR="005B0483">
        <w:t>a</w:t>
      </w:r>
      <w:r w:rsidR="005B0483" w:rsidRPr="008B2670">
        <w:rPr>
          <w:szCs w:val="24"/>
        </w:rPr>
        <w:t>n education</w:t>
      </w:r>
      <w:r w:rsidR="005900EC">
        <w:rPr>
          <w:szCs w:val="24"/>
        </w:rPr>
        <w:t xml:space="preserve"> and guidance</w:t>
      </w:r>
      <w:r w:rsidR="005B0483" w:rsidRPr="008B2670">
        <w:rPr>
          <w:szCs w:val="24"/>
        </w:rPr>
        <w:t xml:space="preserve"> campaign </w:t>
      </w:r>
      <w:r w:rsidR="005B0483">
        <w:rPr>
          <w:szCs w:val="24"/>
        </w:rPr>
        <w:t xml:space="preserve">would be aimed at </w:t>
      </w:r>
      <w:r w:rsidR="005B0483" w:rsidRPr="008B2670">
        <w:rPr>
          <w:szCs w:val="24"/>
        </w:rPr>
        <w:t>rais</w:t>
      </w:r>
      <w:r w:rsidR="005B0483">
        <w:rPr>
          <w:szCs w:val="24"/>
        </w:rPr>
        <w:t>ing</w:t>
      </w:r>
      <w:r w:rsidR="005B0483" w:rsidRPr="008B2670">
        <w:rPr>
          <w:szCs w:val="24"/>
        </w:rPr>
        <w:t xml:space="preserve"> awareness of the ACL and </w:t>
      </w:r>
      <w:r w:rsidR="005B0483">
        <w:rPr>
          <w:szCs w:val="24"/>
        </w:rPr>
        <w:t>assist</w:t>
      </w:r>
      <w:r w:rsidR="00DC489F">
        <w:rPr>
          <w:szCs w:val="24"/>
        </w:rPr>
        <w:t>ing</w:t>
      </w:r>
      <w:r w:rsidR="005B0483" w:rsidRPr="008B2670">
        <w:rPr>
          <w:szCs w:val="24"/>
        </w:rPr>
        <w:t xml:space="preserve"> suppliers and manufacturers to recognise </w:t>
      </w:r>
      <w:r w:rsidR="005B0483">
        <w:rPr>
          <w:szCs w:val="24"/>
        </w:rPr>
        <w:t xml:space="preserve">‘major </w:t>
      </w:r>
      <w:r w:rsidR="005B0483" w:rsidRPr="008B2670">
        <w:rPr>
          <w:szCs w:val="24"/>
        </w:rPr>
        <w:t>failures</w:t>
      </w:r>
      <w:r w:rsidR="005B0483">
        <w:rPr>
          <w:szCs w:val="24"/>
        </w:rPr>
        <w:t>’</w:t>
      </w:r>
      <w:r w:rsidR="005B0483" w:rsidRPr="008B2670">
        <w:rPr>
          <w:szCs w:val="24"/>
        </w:rPr>
        <w:t xml:space="preserve"> where they occur, and </w:t>
      </w:r>
      <w:r w:rsidR="005B0483">
        <w:rPr>
          <w:szCs w:val="24"/>
        </w:rPr>
        <w:t xml:space="preserve">assess the appropriate remedy that </w:t>
      </w:r>
      <w:r w:rsidR="00DC489F">
        <w:rPr>
          <w:szCs w:val="24"/>
        </w:rPr>
        <w:t xml:space="preserve">a </w:t>
      </w:r>
      <w:r w:rsidR="005B0483">
        <w:rPr>
          <w:szCs w:val="24"/>
        </w:rPr>
        <w:t xml:space="preserve">consumer </w:t>
      </w:r>
      <w:r w:rsidR="00DC489F">
        <w:rPr>
          <w:szCs w:val="24"/>
        </w:rPr>
        <w:t xml:space="preserve">is </w:t>
      </w:r>
      <w:r w:rsidR="005B0483">
        <w:rPr>
          <w:szCs w:val="24"/>
        </w:rPr>
        <w:t>entitled to</w:t>
      </w:r>
      <w:r w:rsidR="005B0483" w:rsidRPr="008B2670">
        <w:rPr>
          <w:szCs w:val="24"/>
        </w:rPr>
        <w:t>.</w:t>
      </w:r>
      <w:r w:rsidR="005B0483">
        <w:rPr>
          <w:szCs w:val="24"/>
        </w:rPr>
        <w:t xml:space="preserve"> </w:t>
      </w:r>
    </w:p>
    <w:p w14:paraId="5C8497FF" w14:textId="5A930F9B" w:rsidR="005B0483" w:rsidRPr="00783A74" w:rsidRDefault="005B0483" w:rsidP="009A72BD">
      <w:pPr>
        <w:pStyle w:val="Heading4"/>
      </w:pPr>
      <w:r w:rsidRPr="00783A74">
        <w:t>How effective would more education about the consumer guarantees be?</w:t>
      </w:r>
    </w:p>
    <w:p w14:paraId="4C76FB59" w14:textId="09873292" w:rsidR="00EA76C2" w:rsidRDefault="00EA76C2" w:rsidP="00EA76C2">
      <w:pPr>
        <w:pStyle w:val="Bullet"/>
        <w:numPr>
          <w:ilvl w:val="0"/>
          <w:numId w:val="0"/>
        </w:numPr>
        <w:rPr>
          <w:szCs w:val="24"/>
        </w:rPr>
      </w:pPr>
      <w:r>
        <w:rPr>
          <w:szCs w:val="24"/>
        </w:rPr>
        <w:t>It is apparent education attempts are yet to resolve</w:t>
      </w:r>
      <w:r>
        <w:t xml:space="preserve"> the difficulties consumers face enforcing their rights to refunds and replacements as identified in Part A and by the 2017 ACL Review Final Report</w:t>
      </w:r>
      <w:r w:rsidRPr="007C61A4">
        <w:t>.</w:t>
      </w:r>
      <w:r>
        <w:t xml:space="preserve"> </w:t>
      </w:r>
      <w:r>
        <w:rPr>
          <w:rStyle w:val="FootnoteReference"/>
          <w:szCs w:val="24"/>
        </w:rPr>
        <w:footnoteReference w:id="73"/>
      </w:r>
      <w:r w:rsidRPr="007C61A4">
        <w:t xml:space="preserve"> </w:t>
      </w:r>
    </w:p>
    <w:p w14:paraId="65C80B18" w14:textId="633E9B26" w:rsidR="005B0483" w:rsidRDefault="00DC489F" w:rsidP="005B0483">
      <w:pPr>
        <w:spacing w:after="180"/>
        <w:rPr>
          <w:szCs w:val="24"/>
        </w:rPr>
      </w:pPr>
      <w:r>
        <w:rPr>
          <w:szCs w:val="24"/>
        </w:rPr>
        <w:t>T</w:t>
      </w:r>
      <w:r w:rsidR="005B0483">
        <w:rPr>
          <w:szCs w:val="24"/>
        </w:rPr>
        <w:t xml:space="preserve">he consumer guarantee framework includes 12 guarantees and various provisions setting out remedy rights and obligations applying in different circumstances. While the framework provides a </w:t>
      </w:r>
      <w:r w:rsidR="005B0483">
        <w:rPr>
          <w:szCs w:val="24"/>
        </w:rPr>
        <w:lastRenderedPageBreak/>
        <w:t xml:space="preserve">minimum standard of protection, which is flexible to </w:t>
      </w:r>
      <w:r>
        <w:rPr>
          <w:szCs w:val="24"/>
        </w:rPr>
        <w:t xml:space="preserve">address </w:t>
      </w:r>
      <w:r w:rsidR="005B0483">
        <w:rPr>
          <w:szCs w:val="24"/>
        </w:rPr>
        <w:t xml:space="preserve">different problems with </w:t>
      </w:r>
      <w:r w:rsidR="000409A4">
        <w:rPr>
          <w:szCs w:val="24"/>
        </w:rPr>
        <w:t xml:space="preserve">the wide variety of </w:t>
      </w:r>
      <w:r w:rsidR="005B0483">
        <w:rPr>
          <w:szCs w:val="24"/>
        </w:rPr>
        <w:t xml:space="preserve">goods and services, it is challenging to incorporate more than a few elements of the framework into simple engaging educational messages reaching a broad audience. </w:t>
      </w:r>
    </w:p>
    <w:p w14:paraId="465E826B" w14:textId="22ABBC58" w:rsidR="005B0483" w:rsidRDefault="005B0483" w:rsidP="005B0483">
      <w:pPr>
        <w:spacing w:after="180"/>
        <w:rPr>
          <w:szCs w:val="24"/>
        </w:rPr>
      </w:pPr>
      <w:r>
        <w:rPr>
          <w:szCs w:val="24"/>
        </w:rPr>
        <w:t xml:space="preserve">In this regard, many consumers </w:t>
      </w:r>
      <w:r w:rsidR="00DC489F">
        <w:rPr>
          <w:szCs w:val="24"/>
        </w:rPr>
        <w:t xml:space="preserve">may </w:t>
      </w:r>
      <w:r>
        <w:rPr>
          <w:szCs w:val="24"/>
        </w:rPr>
        <w:t>often only be attentive to these messages when they have (or have recently had) a problem. Similarly, most suppliers and manufacturers are busy running their businesses. While they may be attentive to messages about changes to the law, they can be expected to rely on remedy policies they have in place which, for businesses trying to do the right thing, will have involved research of their legal obligations.</w:t>
      </w:r>
    </w:p>
    <w:p w14:paraId="32BE0F86" w14:textId="529E1EA8" w:rsidR="005B0483" w:rsidRDefault="00C07B27" w:rsidP="005B0483">
      <w:pPr>
        <w:spacing w:after="180"/>
        <w:rPr>
          <w:szCs w:val="24"/>
        </w:rPr>
      </w:pPr>
      <w:r>
        <w:rPr>
          <w:szCs w:val="24"/>
        </w:rPr>
        <w:t>A</w:t>
      </w:r>
      <w:r w:rsidR="009A72BD">
        <w:rPr>
          <w:szCs w:val="24"/>
        </w:rPr>
        <w:t xml:space="preserve"> significant body</w:t>
      </w:r>
      <w:r w:rsidR="005B0483">
        <w:rPr>
          <w:szCs w:val="24"/>
        </w:rPr>
        <w:t xml:space="preserve"> of </w:t>
      </w:r>
      <w:r w:rsidR="009A72BD">
        <w:rPr>
          <w:szCs w:val="24"/>
        </w:rPr>
        <w:t>guidance</w:t>
      </w:r>
      <w:r w:rsidR="005B0483">
        <w:rPr>
          <w:szCs w:val="24"/>
        </w:rPr>
        <w:t xml:space="preserve"> is already available</w:t>
      </w:r>
      <w:r w:rsidR="003A1185">
        <w:rPr>
          <w:szCs w:val="24"/>
        </w:rPr>
        <w:t xml:space="preserve">. Given this, it is likely </w:t>
      </w:r>
      <w:r w:rsidR="005B0483" w:rsidRPr="00307B79">
        <w:rPr>
          <w:szCs w:val="24"/>
        </w:rPr>
        <w:t xml:space="preserve">repetition of similar messages </w:t>
      </w:r>
      <w:r w:rsidR="005B0483">
        <w:rPr>
          <w:szCs w:val="24"/>
        </w:rPr>
        <w:t>through education may</w:t>
      </w:r>
      <w:r w:rsidR="005B0483" w:rsidRPr="007C61A4">
        <w:rPr>
          <w:szCs w:val="24"/>
        </w:rPr>
        <w:t xml:space="preserve"> </w:t>
      </w:r>
      <w:r w:rsidR="003A1185">
        <w:rPr>
          <w:szCs w:val="24"/>
        </w:rPr>
        <w:t>have a limited effect on assisting</w:t>
      </w:r>
      <w:r w:rsidR="005B0483">
        <w:rPr>
          <w:szCs w:val="24"/>
        </w:rPr>
        <w:t>:</w:t>
      </w:r>
    </w:p>
    <w:p w14:paraId="40665A8D" w14:textId="65663D2A" w:rsidR="005B0483" w:rsidRDefault="005B0483" w:rsidP="00B20812">
      <w:pPr>
        <w:pStyle w:val="Bullet"/>
        <w:widowControl w:val="0"/>
        <w:numPr>
          <w:ilvl w:val="0"/>
          <w:numId w:val="12"/>
        </w:numPr>
        <w:ind w:left="522" w:hanging="522"/>
        <w:jc w:val="both"/>
      </w:pPr>
      <w:r w:rsidRPr="007C61A4">
        <w:t xml:space="preserve">consumers </w:t>
      </w:r>
      <w:r>
        <w:t>to better articulate their rights when dealing with suppliers and manufacturers</w:t>
      </w:r>
    </w:p>
    <w:p w14:paraId="2453A6F9" w14:textId="1A2AED4E" w:rsidR="00701FA7" w:rsidRDefault="005B0483" w:rsidP="00B20812">
      <w:pPr>
        <w:pStyle w:val="Bullet"/>
        <w:widowControl w:val="0"/>
        <w:numPr>
          <w:ilvl w:val="0"/>
          <w:numId w:val="12"/>
        </w:numPr>
        <w:ind w:left="522" w:hanging="522"/>
        <w:jc w:val="both"/>
      </w:pPr>
      <w:r>
        <w:t>those suppliers or manufacturers who have a misinformed view of some part of their obligations</w:t>
      </w:r>
      <w:r w:rsidR="00C07B27">
        <w:t xml:space="preserve">, however </w:t>
      </w:r>
      <w:r w:rsidR="00701FA7" w:rsidRPr="0083390A">
        <w:t xml:space="preserve">noting that more recent consumer guarantee guidance for businesses has focused on </w:t>
      </w:r>
      <w:r w:rsidR="00701FA7" w:rsidRPr="004E5C80">
        <w:t>clarify</w:t>
      </w:r>
      <w:r w:rsidR="00701FA7">
        <w:t xml:space="preserve">ing </w:t>
      </w:r>
      <w:r w:rsidR="00701FA7" w:rsidRPr="004E5C80">
        <w:t>how ACL regulators interpret key elements of the law</w:t>
      </w:r>
      <w:r w:rsidR="00701FA7">
        <w:t xml:space="preserve"> </w:t>
      </w:r>
      <w:r w:rsidR="00C95DFC">
        <w:t>(</w:t>
      </w:r>
      <w:r w:rsidR="00701FA7">
        <w:t xml:space="preserve">such as </w:t>
      </w:r>
      <w:r w:rsidR="00701FA7" w:rsidRPr="004E5C80">
        <w:t>a guide on the meanings of 'safe' and 'dur</w:t>
      </w:r>
      <w:r w:rsidR="00701FA7">
        <w:t>able' in the consumer guarantee of acceptable quality</w:t>
      </w:r>
      <w:r w:rsidR="00C95DFC">
        <w:t>)</w:t>
      </w:r>
      <w:r w:rsidR="00701FA7">
        <w:t xml:space="preserve">. </w:t>
      </w:r>
    </w:p>
    <w:p w14:paraId="47DCD778" w14:textId="7BDE9157" w:rsidR="005B0483" w:rsidRDefault="005B0483" w:rsidP="005B0483">
      <w:pPr>
        <w:pStyle w:val="Bullet"/>
        <w:numPr>
          <w:ilvl w:val="0"/>
          <w:numId w:val="0"/>
        </w:numPr>
        <w:rPr>
          <w:szCs w:val="24"/>
        </w:rPr>
      </w:pPr>
      <w:r>
        <w:rPr>
          <w:szCs w:val="24"/>
        </w:rPr>
        <w:t>Further education will likely not change the behaviour of any business who see</w:t>
      </w:r>
      <w:r w:rsidR="00B6073D">
        <w:rPr>
          <w:szCs w:val="24"/>
        </w:rPr>
        <w:t>s</w:t>
      </w:r>
      <w:r>
        <w:rPr>
          <w:szCs w:val="24"/>
        </w:rPr>
        <w:t xml:space="preserve"> a financial benefit in not complying with the current requirements, particularly in the absence of a sanction for non-compliance.</w:t>
      </w:r>
    </w:p>
    <w:p w14:paraId="67D831F6" w14:textId="3A260339" w:rsidR="005B0483" w:rsidRPr="002A43BD" w:rsidRDefault="0023089A" w:rsidP="007116D3">
      <w:pPr>
        <w:pStyle w:val="Heading4"/>
      </w:pPr>
      <w:bookmarkStart w:id="142" w:name="_Toc33803472"/>
      <w:r>
        <w:t>Estimated c</w:t>
      </w:r>
      <w:r w:rsidRPr="002A43BD">
        <w:t xml:space="preserve">ost </w:t>
      </w:r>
      <w:r>
        <w:t>b</w:t>
      </w:r>
      <w:r w:rsidR="005B0483" w:rsidRPr="002A43BD">
        <w:t>enefit</w:t>
      </w:r>
      <w:r w:rsidR="00651098">
        <w:t xml:space="preserve"> </w:t>
      </w:r>
      <w:r>
        <w:t>a</w:t>
      </w:r>
      <w:r w:rsidR="00651098">
        <w:t>nalysis</w:t>
      </w:r>
      <w:bookmarkEnd w:id="142"/>
    </w:p>
    <w:p w14:paraId="3B108C5D" w14:textId="5E3BE2E1" w:rsidR="00317D6A" w:rsidRDefault="00EA6434" w:rsidP="00317D6A">
      <w:r w:rsidRPr="00EA6434">
        <w:t xml:space="preserve">This option is premised around the idea that </w:t>
      </w:r>
      <w:r>
        <w:t>b</w:t>
      </w:r>
      <w:r w:rsidRPr="00EA6434">
        <w:t xml:space="preserve">y reducing the knowledge barriers consumers face when dealing with consumer guarantee issues, an education </w:t>
      </w:r>
      <w:r w:rsidR="00973EE6">
        <w:t xml:space="preserve">and guidance </w:t>
      </w:r>
      <w:r w:rsidRPr="00EA6434">
        <w:t>campaign would reduce the number of cases where a consumer does not pursue a remedy they are entitled to.</w:t>
      </w:r>
    </w:p>
    <w:p w14:paraId="3A157285" w14:textId="3604B7D8" w:rsidR="00880EFE" w:rsidRDefault="00315043" w:rsidP="00880EFE">
      <w:r>
        <w:t>Using the 2016 Australian Consumer Survey as a basis, it is assumed o</w:t>
      </w:r>
      <w:r w:rsidR="000409A4">
        <w:t xml:space="preserve">f </w:t>
      </w:r>
      <w:r w:rsidR="00880EFE">
        <w:t>the consumers who experience a problem with a product or service, about 18</w:t>
      </w:r>
      <w:r w:rsidR="003A48A8">
        <w:t xml:space="preserve"> per cent</w:t>
      </w:r>
      <w:r w:rsidR="00880EFE">
        <w:t xml:space="preserve"> of individuals do not take action to resolve a problem. Of these 18</w:t>
      </w:r>
      <w:r w:rsidR="003A48A8">
        <w:t xml:space="preserve"> per cent</w:t>
      </w:r>
      <w:r w:rsidR="00880EFE">
        <w:t>:</w:t>
      </w:r>
    </w:p>
    <w:p w14:paraId="63D72EA2" w14:textId="0FDED66C" w:rsidR="00880EFE" w:rsidRDefault="00880EFE" w:rsidP="00880EFE">
      <w:r>
        <w:t>•</w:t>
      </w:r>
      <w:r>
        <w:tab/>
        <w:t>30</w:t>
      </w:r>
      <w:r w:rsidR="003A48A8">
        <w:t xml:space="preserve"> per cent</w:t>
      </w:r>
      <w:r>
        <w:t xml:space="preserve"> </w:t>
      </w:r>
      <w:r w:rsidR="00315043">
        <w:t xml:space="preserve">are </w:t>
      </w:r>
      <w:r>
        <w:t>not confident action would solve the problem</w:t>
      </w:r>
    </w:p>
    <w:p w14:paraId="5124E048" w14:textId="649BBB77" w:rsidR="00880EFE" w:rsidRDefault="00880EFE" w:rsidP="00880EFE">
      <w:r>
        <w:t>•</w:t>
      </w:r>
      <w:r>
        <w:tab/>
        <w:t>15</w:t>
      </w:r>
      <w:r w:rsidR="003A48A8">
        <w:t xml:space="preserve"> per cent</w:t>
      </w:r>
      <w:r>
        <w:t xml:space="preserve"> </w:t>
      </w:r>
      <w:r w:rsidR="00315043">
        <w:t xml:space="preserve">are </w:t>
      </w:r>
      <w:r>
        <w:t>unsure where to go for advice</w:t>
      </w:r>
    </w:p>
    <w:p w14:paraId="0EBD056C" w14:textId="4573AFE7" w:rsidR="00880EFE" w:rsidRDefault="00880EFE" w:rsidP="00880EFE">
      <w:r>
        <w:t>•</w:t>
      </w:r>
      <w:r>
        <w:tab/>
        <w:t>12</w:t>
      </w:r>
      <w:r w:rsidR="003A48A8">
        <w:t xml:space="preserve"> per cent</w:t>
      </w:r>
      <w:r>
        <w:t xml:space="preserve"> have tried to resolve problem in the past and have not been successful</w:t>
      </w:r>
    </w:p>
    <w:p w14:paraId="0485BCDB" w14:textId="083364FD" w:rsidR="00880EFE" w:rsidRDefault="00880EFE" w:rsidP="00880EFE">
      <w:r>
        <w:t>•</w:t>
      </w:r>
      <w:r>
        <w:tab/>
        <w:t>11</w:t>
      </w:r>
      <w:r w:rsidR="003A48A8">
        <w:t xml:space="preserve"> per cent</w:t>
      </w:r>
      <w:r>
        <w:t xml:space="preserve"> </w:t>
      </w:r>
      <w:r w:rsidR="00315043">
        <w:t xml:space="preserve">are </w:t>
      </w:r>
      <w:r>
        <w:t xml:space="preserve">nervous or embarrassed. </w:t>
      </w:r>
    </w:p>
    <w:p w14:paraId="30E645EA" w14:textId="688992F7" w:rsidR="009C65CC" w:rsidRDefault="00880EFE" w:rsidP="00880EFE">
      <w:r>
        <w:lastRenderedPageBreak/>
        <w:t>This means about 15</w:t>
      </w:r>
      <w:r w:rsidR="003A48A8">
        <w:t xml:space="preserve"> per cent</w:t>
      </w:r>
      <w:r>
        <w:t xml:space="preserve"> of consumers who take no action could be missing out on remedies they are entitled to under the ACL because of a lack of awareness about where to go to seek advice about a remedy. This group of consumers is seen as the target group for this education </w:t>
      </w:r>
      <w:r w:rsidR="005900EC">
        <w:t xml:space="preserve">and guidance </w:t>
      </w:r>
      <w:r>
        <w:t>campaign. That is, it is unlikely an education</w:t>
      </w:r>
      <w:r w:rsidR="005900EC">
        <w:t xml:space="preserve"> and guidance</w:t>
      </w:r>
      <w:r>
        <w:t xml:space="preserve"> campaign will address the issues identified by the other consumers who said they would take no action (including past experience or lack of belief an action would solve the problem).</w:t>
      </w:r>
    </w:p>
    <w:p w14:paraId="25FF04FA" w14:textId="6E2454AE" w:rsidR="00741D0E" w:rsidRDefault="001F5FDB" w:rsidP="00317D6A">
      <w:r w:rsidRPr="00537554">
        <w:t>For</w:t>
      </w:r>
      <w:r w:rsidR="00221805" w:rsidRPr="00537554">
        <w:t xml:space="preserve"> </w:t>
      </w:r>
      <w:r w:rsidR="00B6073D">
        <w:t>this</w:t>
      </w:r>
      <w:r w:rsidR="00B6073D" w:rsidRPr="00537554">
        <w:t xml:space="preserve"> </w:t>
      </w:r>
      <w:r w:rsidR="00221805" w:rsidRPr="00537554">
        <w:t xml:space="preserve">cost benefit analysis, it has been assumed an education </w:t>
      </w:r>
      <w:r w:rsidR="00973EE6">
        <w:t xml:space="preserve">and guidance </w:t>
      </w:r>
      <w:r w:rsidR="00221805" w:rsidRPr="00537554">
        <w:t xml:space="preserve">campaign </w:t>
      </w:r>
      <w:r w:rsidR="00483501">
        <w:t>would be</w:t>
      </w:r>
      <w:r w:rsidR="00483501" w:rsidRPr="00537554">
        <w:t xml:space="preserve"> </w:t>
      </w:r>
      <w:r w:rsidR="00221805" w:rsidRPr="00537554">
        <w:t xml:space="preserve">successful in encouraging </w:t>
      </w:r>
      <w:r w:rsidR="00221805">
        <w:t>th</w:t>
      </w:r>
      <w:r w:rsidR="00482D8D">
        <w:t>e</w:t>
      </w:r>
      <w:r w:rsidR="00221805">
        <w:t xml:space="preserve"> </w:t>
      </w:r>
      <w:r w:rsidR="00482D8D">
        <w:t>15</w:t>
      </w:r>
      <w:r w:rsidR="003A48A8">
        <w:t xml:space="preserve"> per cent</w:t>
      </w:r>
      <w:r w:rsidR="00482D8D">
        <w:t xml:space="preserve"> of </w:t>
      </w:r>
      <w:r w:rsidR="00221805" w:rsidRPr="00537554">
        <w:t>consumers who currently do</w:t>
      </w:r>
      <w:r w:rsidR="00221805">
        <w:t xml:space="preserve"> </w:t>
      </w:r>
      <w:r w:rsidR="00221805" w:rsidRPr="00537554">
        <w:t>n</w:t>
      </w:r>
      <w:r w:rsidR="00221805">
        <w:t>o</w:t>
      </w:r>
      <w:r w:rsidR="00221805" w:rsidRPr="00537554">
        <w:t>t seek a remedy</w:t>
      </w:r>
      <w:r w:rsidR="00221805">
        <w:t>,</w:t>
      </w:r>
      <w:r w:rsidR="00221805" w:rsidRPr="00537554">
        <w:t xml:space="preserve"> due to a lack of knowledge</w:t>
      </w:r>
      <w:r w:rsidR="00221805">
        <w:t xml:space="preserve"> about where to go for advice, to seek remedies</w:t>
      </w:r>
      <w:r w:rsidR="00221805" w:rsidRPr="00537554">
        <w:t xml:space="preserve">. </w:t>
      </w:r>
      <w:r w:rsidR="003B4B77">
        <w:t xml:space="preserve">However, given the one-off nature of the education </w:t>
      </w:r>
      <w:r w:rsidR="005900EC">
        <w:t xml:space="preserve">and guidance </w:t>
      </w:r>
      <w:r w:rsidR="003B4B77">
        <w:t>campaign, it is assumed all</w:t>
      </w:r>
      <w:r w:rsidR="00B6073D">
        <w:t xml:space="preserve"> behavioural</w:t>
      </w:r>
      <w:r w:rsidR="003B4B77">
        <w:t xml:space="preserve"> changes would be temporary</w:t>
      </w:r>
      <w:r w:rsidR="00B6073D">
        <w:t>.</w:t>
      </w:r>
      <w:r w:rsidR="003B4B77" w:rsidRPr="003B4B77">
        <w:t xml:space="preserve"> It is assumed</w:t>
      </w:r>
      <w:r w:rsidR="003B4B77">
        <w:t xml:space="preserve"> </w:t>
      </w:r>
      <w:r w:rsidR="00B6073D">
        <w:t xml:space="preserve">behavioural </w:t>
      </w:r>
      <w:r w:rsidR="003B4B77">
        <w:t>changes are m</w:t>
      </w:r>
      <w:r w:rsidR="003B4B77" w:rsidRPr="003B4B77">
        <w:t>ost substantial in the fi</w:t>
      </w:r>
      <w:r w:rsidR="003B4B77">
        <w:t>rst year following the campaign</w:t>
      </w:r>
      <w:r w:rsidR="003B4B77" w:rsidRPr="00537554">
        <w:t xml:space="preserve"> </w:t>
      </w:r>
      <w:r w:rsidR="003B4B77">
        <w:t xml:space="preserve">where the </w:t>
      </w:r>
      <w:r w:rsidR="00F668DA">
        <w:t>proportion</w:t>
      </w:r>
      <w:r w:rsidR="003B4B77">
        <w:t xml:space="preserve"> of consumers who take action for a consumer </w:t>
      </w:r>
      <w:r w:rsidR="00F668DA">
        <w:t>guarantee</w:t>
      </w:r>
      <w:r w:rsidR="003B4B77">
        <w:t xml:space="preserve"> failure is estimated to rise </w:t>
      </w:r>
      <w:r w:rsidR="00221805" w:rsidRPr="00537554">
        <w:t>from 82</w:t>
      </w:r>
      <w:r w:rsidR="003A48A8">
        <w:t xml:space="preserve"> per cent</w:t>
      </w:r>
      <w:r w:rsidR="00221805" w:rsidRPr="00537554">
        <w:t xml:space="preserve"> in 2020-21 to 82.4</w:t>
      </w:r>
      <w:r w:rsidR="00315043">
        <w:t xml:space="preserve"> per cent</w:t>
      </w:r>
      <w:r w:rsidR="00221805" w:rsidRPr="00537554">
        <w:t xml:space="preserve"> in 2021-22, with the effect fully exhausted by the end of 2024-25.</w:t>
      </w:r>
      <w:r w:rsidR="00F668DA">
        <w:t xml:space="preserve"> </w:t>
      </w:r>
      <w:r w:rsidR="00F668DA" w:rsidRPr="00F668DA">
        <w:t>It is not assumed there is a change in the rate of remedies being provided once a consumer takes action.</w:t>
      </w:r>
      <w:r w:rsidR="005B0B64">
        <w:t xml:space="preserve"> That is, it is assumed these consumers are just as likely as existing consumers to access a remedy if they start taking action.</w:t>
      </w:r>
    </w:p>
    <w:p w14:paraId="1F59A9F6" w14:textId="77777777" w:rsidR="00590237" w:rsidRDefault="00590237" w:rsidP="00590237">
      <w:r>
        <w:t>This option can be applied in one of two ways:</w:t>
      </w:r>
    </w:p>
    <w:p w14:paraId="4DD9FCD0" w14:textId="682A54B4" w:rsidR="00590237" w:rsidRDefault="00590237" w:rsidP="004A3FDA">
      <w:pPr>
        <w:pStyle w:val="ListParagraph"/>
        <w:numPr>
          <w:ilvl w:val="0"/>
          <w:numId w:val="18"/>
        </w:numPr>
        <w:spacing w:before="0" w:after="200" w:line="276" w:lineRule="auto"/>
      </w:pPr>
      <w:r>
        <w:t xml:space="preserve">economy wide </w:t>
      </w:r>
    </w:p>
    <w:p w14:paraId="3EC4851D" w14:textId="77777777" w:rsidR="00590237" w:rsidRDefault="00590237" w:rsidP="004A3FDA">
      <w:pPr>
        <w:pStyle w:val="ListParagraph"/>
        <w:numPr>
          <w:ilvl w:val="0"/>
          <w:numId w:val="18"/>
        </w:numPr>
        <w:spacing w:before="0" w:after="200" w:line="276" w:lineRule="auto"/>
      </w:pPr>
      <w:r>
        <w:t>to new motor vehicles only.</w:t>
      </w:r>
    </w:p>
    <w:p w14:paraId="6C019AFB" w14:textId="3C87A6A3" w:rsidR="005B0483" w:rsidRPr="00EF1567" w:rsidRDefault="005B0483" w:rsidP="007116D3">
      <w:pPr>
        <w:pStyle w:val="Heading5"/>
        <w:rPr>
          <w:color w:val="004047" w:themeColor="accent5" w:themeShade="80"/>
          <w:sz w:val="30"/>
        </w:rPr>
      </w:pPr>
      <w:r>
        <w:t>a)</w:t>
      </w:r>
      <w:r w:rsidRPr="008938C2">
        <w:t xml:space="preserve"> Economy wide approach</w:t>
      </w:r>
    </w:p>
    <w:p w14:paraId="3F716F41" w14:textId="6A14D2E0" w:rsidR="00F304AA" w:rsidRDefault="00F304AA" w:rsidP="005B0483">
      <w:r>
        <w:t xml:space="preserve">An economy wide approach to </w:t>
      </w:r>
      <w:r w:rsidRPr="00697FD3">
        <w:t xml:space="preserve">Option </w:t>
      </w:r>
      <w:r>
        <w:t>2</w:t>
      </w:r>
      <w:r w:rsidRPr="00697FD3">
        <w:t>, an</w:t>
      </w:r>
      <w:r w:rsidR="002A3E1F">
        <w:t xml:space="preserve"> </w:t>
      </w:r>
      <w:r w:rsidRPr="00697FD3">
        <w:t xml:space="preserve">education </w:t>
      </w:r>
      <w:r w:rsidR="00973EE6">
        <w:t xml:space="preserve">and guidance </w:t>
      </w:r>
      <w:r w:rsidRPr="00697FD3">
        <w:t xml:space="preserve">campaign without regulatory change, </w:t>
      </w:r>
      <w:r w:rsidRPr="00F304AA">
        <w:t xml:space="preserve">is estimated to create a net benefit of </w:t>
      </w:r>
      <w:r w:rsidR="00127518">
        <w:t>$</w:t>
      </w:r>
      <w:r w:rsidRPr="00697FD3">
        <w:t xml:space="preserve">18 million in </w:t>
      </w:r>
      <w:r>
        <w:t>net present value (</w:t>
      </w:r>
      <w:r w:rsidRPr="00697FD3">
        <w:t>NPV</w:t>
      </w:r>
      <w:r>
        <w:t>)</w:t>
      </w:r>
      <w:r w:rsidRPr="00697FD3">
        <w:t xml:space="preserve"> terms over 10 years to 2031</w:t>
      </w:r>
      <w:r>
        <w:t xml:space="preserve"> and a </w:t>
      </w:r>
      <w:r w:rsidR="00127518" w:rsidRPr="00F304AA">
        <w:t xml:space="preserve">benefit cost ratio (BCR) </w:t>
      </w:r>
      <w:r w:rsidR="00127518">
        <w:t>of</w:t>
      </w:r>
      <w:r>
        <w:t xml:space="preserve"> 1.8</w:t>
      </w:r>
      <w:r w:rsidR="002A3E1F">
        <w:t>.</w:t>
      </w:r>
    </w:p>
    <w:p w14:paraId="3AF48587" w14:textId="0B5887A0" w:rsidR="00C877CF" w:rsidRDefault="00590237" w:rsidP="005B0483">
      <w:r>
        <w:t>T</w:t>
      </w:r>
      <w:r w:rsidRPr="00590237">
        <w:t>otal benefit</w:t>
      </w:r>
      <w:r>
        <w:t>s</w:t>
      </w:r>
      <w:r w:rsidRPr="00590237">
        <w:t xml:space="preserve"> to consumers </w:t>
      </w:r>
      <w:r>
        <w:t>for this option is estimated to be</w:t>
      </w:r>
      <w:r w:rsidR="00C877CF">
        <w:t xml:space="preserve"> </w:t>
      </w:r>
      <w:r w:rsidRPr="00590237">
        <w:t xml:space="preserve">$41 million in NPV terms </w:t>
      </w:r>
      <w:r w:rsidR="00C877CF">
        <w:t xml:space="preserve">over 10 years </w:t>
      </w:r>
      <w:r w:rsidRPr="00590237">
        <w:t xml:space="preserve">from taking action and receiving the benefit (approximated to the average value of goods or services) </w:t>
      </w:r>
      <w:r w:rsidR="00C877CF">
        <w:t xml:space="preserve">in instances </w:t>
      </w:r>
      <w:r w:rsidRPr="00590237">
        <w:t>where</w:t>
      </w:r>
      <w:r w:rsidR="00C877CF">
        <w:t xml:space="preserve"> they otherwise would not have.</w:t>
      </w:r>
    </w:p>
    <w:p w14:paraId="3192E1A9" w14:textId="73A65DFB" w:rsidR="00F668DA" w:rsidRDefault="00C877CF" w:rsidP="005B0483">
      <w:r>
        <w:t>In terms of costs, this</w:t>
      </w:r>
      <w:r w:rsidR="00590237" w:rsidRPr="00590237">
        <w:t xml:space="preserve"> option is </w:t>
      </w:r>
      <w:r>
        <w:t>e</w:t>
      </w:r>
      <w:r w:rsidR="00590237" w:rsidRPr="00590237">
        <w:t>stimated to increase costs by $23 m</w:t>
      </w:r>
      <w:r>
        <w:t>illion in NPV terms over the 10 </w:t>
      </w:r>
      <w:r w:rsidR="00590237" w:rsidRPr="00590237">
        <w:t xml:space="preserve">years to 2031. </w:t>
      </w:r>
      <w:r w:rsidR="003E5998">
        <w:t>This includes</w:t>
      </w:r>
      <w:r w:rsidR="00693ECB" w:rsidRPr="00693ECB">
        <w:t xml:space="preserve"> costs to consumers </w:t>
      </w:r>
      <w:r w:rsidR="002A3E1F">
        <w:t xml:space="preserve">of </w:t>
      </w:r>
      <w:r w:rsidR="00693ECB" w:rsidRPr="00693ECB">
        <w:t>time</w:t>
      </w:r>
      <w:r w:rsidR="002A3E1F">
        <w:t xml:space="preserve"> spent</w:t>
      </w:r>
      <w:r w:rsidR="00693ECB" w:rsidRPr="00693ECB">
        <w:t xml:space="preserve"> pursuing additional remedies they would otherwise not have pursued, </w:t>
      </w:r>
      <w:r w:rsidR="00A92880">
        <w:t xml:space="preserve">which </w:t>
      </w:r>
      <w:r w:rsidR="00693ECB" w:rsidRPr="00693ECB">
        <w:t xml:space="preserve">comes at an </w:t>
      </w:r>
      <w:r w:rsidR="00F668DA">
        <w:t>opportunity cost of their time.</w:t>
      </w:r>
      <w:r w:rsidR="00F668DA" w:rsidRPr="00F668DA">
        <w:t xml:space="preserve"> Given the relatively low prior knowledge o</w:t>
      </w:r>
      <w:r w:rsidR="00A43B4E">
        <w:t>n</w:t>
      </w:r>
      <w:r w:rsidR="00F668DA" w:rsidRPr="00F668DA">
        <w:t xml:space="preserve"> </w:t>
      </w:r>
      <w:r w:rsidR="00F00203">
        <w:t xml:space="preserve">consumer </w:t>
      </w:r>
      <w:r w:rsidR="002D6E0C">
        <w:t>guarantees,</w:t>
      </w:r>
      <w:r w:rsidR="00F668DA" w:rsidRPr="00F668DA">
        <w:t xml:space="preserve"> it is assumed these consumers would not make any time or cost saving relative to the existing average when pursuing a remedy. That is, the time and direct costs incurred are in line with existing average costs.</w:t>
      </w:r>
    </w:p>
    <w:p w14:paraId="5C46A3C6" w14:textId="69A056ED" w:rsidR="00E137E0" w:rsidRDefault="00693ECB" w:rsidP="007116D3">
      <w:pPr>
        <w:rPr>
          <w:rFonts w:cstheme="minorBidi"/>
        </w:rPr>
      </w:pPr>
      <w:r w:rsidRPr="00693ECB">
        <w:lastRenderedPageBreak/>
        <w:t xml:space="preserve">Other </w:t>
      </w:r>
      <w:r w:rsidR="002D6E0C">
        <w:t>fees</w:t>
      </w:r>
      <w:r w:rsidRPr="00693ECB">
        <w:t xml:space="preserve"> include increased costs for businesses associated with providing more remedies</w:t>
      </w:r>
      <w:r w:rsidR="002D6E0C">
        <w:t xml:space="preserve">, </w:t>
      </w:r>
      <w:r w:rsidRPr="00693ECB">
        <w:t xml:space="preserve">spending </w:t>
      </w:r>
      <w:r w:rsidR="002D6E0C">
        <w:t xml:space="preserve">additional </w:t>
      </w:r>
      <w:r w:rsidRPr="00693ECB">
        <w:t xml:space="preserve">time </w:t>
      </w:r>
      <w:r w:rsidR="003E5998">
        <w:t>addressing consumer issues and</w:t>
      </w:r>
      <w:r w:rsidR="002D6E0C">
        <w:t>,</w:t>
      </w:r>
      <w:r w:rsidR="003E5998">
        <w:t xml:space="preserve"> ensuring</w:t>
      </w:r>
      <w:r w:rsidRPr="00693ECB">
        <w:t xml:space="preserve"> compliance</w:t>
      </w:r>
      <w:r w:rsidR="00F7155B">
        <w:t xml:space="preserve"> </w:t>
      </w:r>
      <w:r w:rsidR="002D6E0C">
        <w:t xml:space="preserve">if more </w:t>
      </w:r>
      <w:r w:rsidR="00F7155B">
        <w:t>consumers tak</w:t>
      </w:r>
      <w:r w:rsidR="002D6E0C">
        <w:t>e</w:t>
      </w:r>
      <w:r w:rsidR="00F7155B">
        <w:t xml:space="preserve"> action</w:t>
      </w:r>
      <w:r w:rsidRPr="00693ECB">
        <w:t xml:space="preserve">. </w:t>
      </w:r>
      <w:r w:rsidR="00221805">
        <w:t xml:space="preserve">Also included is the </w:t>
      </w:r>
      <w:r w:rsidRPr="00693ECB">
        <w:t xml:space="preserve">cost to Government </w:t>
      </w:r>
      <w:r w:rsidR="00F00203">
        <w:t xml:space="preserve">to </w:t>
      </w:r>
      <w:r w:rsidRPr="00693ECB">
        <w:t>design and administer the education and guidance campaign.</w:t>
      </w:r>
      <w:r w:rsidR="003C6169">
        <w:t xml:space="preserve"> </w:t>
      </w:r>
      <w:r w:rsidR="00E137E0">
        <w:t>The analysis of the economy wide approach also applies to education</w:t>
      </w:r>
      <w:r w:rsidR="001F245C">
        <w:t xml:space="preserve"> and guidance </w:t>
      </w:r>
      <w:r w:rsidR="00E137E0">
        <w:t xml:space="preserve">that exclusively focuses on educating consumers, suppliers and manufacturers in the new motor vehicle sector. </w:t>
      </w:r>
    </w:p>
    <w:p w14:paraId="139FC75A" w14:textId="70D44170" w:rsidR="005B0483" w:rsidRPr="00E97D56" w:rsidRDefault="00C2738C" w:rsidP="00C2738C">
      <w:pPr>
        <w:pStyle w:val="Caption"/>
        <w:rPr>
          <w:b/>
          <w:bCs/>
          <w:i w:val="0"/>
          <w:iCs w:val="0"/>
          <w:sz w:val="22"/>
          <w:szCs w:val="22"/>
        </w:rPr>
      </w:pPr>
      <w:bookmarkStart w:id="143" w:name="_Toc87529823"/>
      <w:bookmarkStart w:id="144" w:name="_Toc89700875"/>
      <w:r w:rsidRPr="00E97D56">
        <w:rPr>
          <w:b/>
          <w:bCs/>
          <w:i w:val="0"/>
          <w:iCs w:val="0"/>
          <w:sz w:val="22"/>
          <w:szCs w:val="22"/>
        </w:rPr>
        <w:t xml:space="preserve">Table </w:t>
      </w:r>
      <w:r w:rsidRPr="00E97D56">
        <w:rPr>
          <w:b/>
          <w:bCs/>
          <w:i w:val="0"/>
          <w:iCs w:val="0"/>
          <w:sz w:val="22"/>
          <w:szCs w:val="22"/>
        </w:rPr>
        <w:fldChar w:fldCharType="begin"/>
      </w:r>
      <w:r w:rsidRPr="00E97D56">
        <w:rPr>
          <w:b/>
          <w:bCs/>
          <w:i w:val="0"/>
          <w:iCs w:val="0"/>
          <w:sz w:val="22"/>
          <w:szCs w:val="22"/>
        </w:rPr>
        <w:instrText xml:space="preserve"> SEQ Table \* ARABIC </w:instrText>
      </w:r>
      <w:r w:rsidRPr="00E97D56">
        <w:rPr>
          <w:b/>
          <w:bCs/>
          <w:i w:val="0"/>
          <w:iCs w:val="0"/>
          <w:sz w:val="22"/>
          <w:szCs w:val="22"/>
        </w:rPr>
        <w:fldChar w:fldCharType="separate"/>
      </w:r>
      <w:r w:rsidR="00001633">
        <w:rPr>
          <w:b/>
          <w:bCs/>
          <w:i w:val="0"/>
          <w:iCs w:val="0"/>
          <w:noProof/>
          <w:sz w:val="22"/>
          <w:szCs w:val="22"/>
        </w:rPr>
        <w:t>3</w:t>
      </w:r>
      <w:r w:rsidRPr="00E97D56">
        <w:rPr>
          <w:b/>
          <w:bCs/>
          <w:i w:val="0"/>
          <w:iCs w:val="0"/>
          <w:sz w:val="22"/>
          <w:szCs w:val="22"/>
        </w:rPr>
        <w:fldChar w:fldCharType="end"/>
      </w:r>
      <w:r w:rsidRPr="00E97D56">
        <w:rPr>
          <w:b/>
          <w:bCs/>
          <w:i w:val="0"/>
          <w:iCs w:val="0"/>
          <w:sz w:val="22"/>
          <w:szCs w:val="22"/>
        </w:rPr>
        <w:t xml:space="preserve">: </w:t>
      </w:r>
      <w:r w:rsidR="00A92880">
        <w:rPr>
          <w:b/>
          <w:bCs/>
          <w:i w:val="0"/>
          <w:iCs w:val="0"/>
          <w:sz w:val="22"/>
          <w:szCs w:val="22"/>
        </w:rPr>
        <w:t>L</w:t>
      </w:r>
      <w:r w:rsidR="003D37F5" w:rsidRPr="00E97D56">
        <w:rPr>
          <w:b/>
          <w:bCs/>
          <w:i w:val="0"/>
          <w:iCs w:val="0"/>
          <w:sz w:val="22"/>
          <w:szCs w:val="22"/>
        </w:rPr>
        <w:t xml:space="preserve">ikely </w:t>
      </w:r>
      <w:r w:rsidR="005B0483" w:rsidRPr="00E97D56">
        <w:rPr>
          <w:b/>
          <w:bCs/>
          <w:i w:val="0"/>
          <w:iCs w:val="0"/>
          <w:sz w:val="22"/>
          <w:szCs w:val="22"/>
        </w:rPr>
        <w:t xml:space="preserve">net benefit of an education and guidance campaign </w:t>
      </w:r>
      <w:r w:rsidR="00DB77E1" w:rsidRPr="00E97D56">
        <w:rPr>
          <w:b/>
          <w:bCs/>
          <w:i w:val="0"/>
          <w:iCs w:val="0"/>
          <w:sz w:val="22"/>
          <w:szCs w:val="22"/>
        </w:rPr>
        <w:t xml:space="preserve">for the </w:t>
      </w:r>
      <w:r w:rsidR="005B0483" w:rsidRPr="00E97D56">
        <w:rPr>
          <w:b/>
          <w:bCs/>
          <w:i w:val="0"/>
          <w:iCs w:val="0"/>
          <w:sz w:val="22"/>
          <w:szCs w:val="22"/>
        </w:rPr>
        <w:t>10 years to 2031</w:t>
      </w:r>
      <w:r w:rsidR="00DB77E1" w:rsidRPr="00E97D56">
        <w:rPr>
          <w:b/>
          <w:bCs/>
          <w:i w:val="0"/>
          <w:iCs w:val="0"/>
          <w:sz w:val="22"/>
          <w:szCs w:val="22"/>
        </w:rPr>
        <w:t xml:space="preserve"> – economy wide approach</w:t>
      </w:r>
      <w:bookmarkEnd w:id="143"/>
      <w:bookmarkEnd w:id="144"/>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likely net benefit of an education and guidance campaign for the 10 years to 2031 – economy wide approach"/>
        <w:tblDescription w:val="Provides a summary of the likey costs for the measure if a whole of economy wide approach is taken. Total benefits for this option is estimated at $41 million. Total costs for this option is estimated at $23 million. Net benefit for this option is estimated at $18 million. The Benefit Cost Ratio is estimated at 1.8."/>
      </w:tblPr>
      <w:tblGrid>
        <w:gridCol w:w="1816"/>
        <w:gridCol w:w="1611"/>
        <w:gridCol w:w="1339"/>
        <w:gridCol w:w="1386"/>
        <w:gridCol w:w="2908"/>
      </w:tblGrid>
      <w:tr w:rsidR="00EC7C4D" w:rsidRPr="00EC7C4D" w14:paraId="57B2840C" w14:textId="77777777" w:rsidTr="00EC7C4D">
        <w:trPr>
          <w:trHeight w:val="525"/>
        </w:trPr>
        <w:tc>
          <w:tcPr>
            <w:tcW w:w="1002" w:type="pct"/>
            <w:shd w:val="clear" w:color="auto" w:fill="B690C9" w:themeFill="accent6" w:themeFillTint="99"/>
          </w:tcPr>
          <w:p w14:paraId="73AF85A8" w14:textId="77777777" w:rsidR="005B0483" w:rsidRPr="00EC7C4D" w:rsidRDefault="005B0483" w:rsidP="00375634">
            <w:pPr>
              <w:rPr>
                <w:b/>
                <w:color w:val="000000" w:themeColor="text1"/>
              </w:rPr>
            </w:pPr>
          </w:p>
        </w:tc>
        <w:tc>
          <w:tcPr>
            <w:tcW w:w="889" w:type="pct"/>
            <w:shd w:val="clear" w:color="auto" w:fill="B690C9" w:themeFill="accent6" w:themeFillTint="99"/>
          </w:tcPr>
          <w:p w14:paraId="2FA7868D" w14:textId="6EB037AA" w:rsidR="005B0483" w:rsidRPr="00EC7C4D" w:rsidRDefault="005B0483" w:rsidP="00317D6A">
            <w:pPr>
              <w:rPr>
                <w:b/>
                <w:color w:val="000000" w:themeColor="text1"/>
              </w:rPr>
            </w:pPr>
            <w:r w:rsidRPr="00EC7C4D">
              <w:rPr>
                <w:b/>
                <w:color w:val="000000" w:themeColor="text1"/>
              </w:rPr>
              <w:t xml:space="preserve">Total </w:t>
            </w:r>
            <w:r w:rsidR="00317D6A" w:rsidRPr="00EC7C4D">
              <w:rPr>
                <w:b/>
                <w:color w:val="000000" w:themeColor="text1"/>
              </w:rPr>
              <w:t>benefit</w:t>
            </w:r>
            <w:r w:rsidRPr="00EC7C4D">
              <w:rPr>
                <w:b/>
                <w:color w:val="000000" w:themeColor="text1"/>
              </w:rPr>
              <w:t>s</w:t>
            </w:r>
          </w:p>
        </w:tc>
        <w:tc>
          <w:tcPr>
            <w:tcW w:w="739" w:type="pct"/>
            <w:shd w:val="clear" w:color="auto" w:fill="B690C9" w:themeFill="accent6" w:themeFillTint="99"/>
          </w:tcPr>
          <w:p w14:paraId="48E1A743" w14:textId="7954715C" w:rsidR="005B0483" w:rsidRPr="00EC7C4D" w:rsidRDefault="005B0483" w:rsidP="00317D6A">
            <w:pPr>
              <w:rPr>
                <w:b/>
                <w:color w:val="000000" w:themeColor="text1"/>
              </w:rPr>
            </w:pPr>
            <w:r w:rsidRPr="00EC7C4D">
              <w:rPr>
                <w:b/>
                <w:color w:val="000000" w:themeColor="text1"/>
              </w:rPr>
              <w:t xml:space="preserve">Total </w:t>
            </w:r>
            <w:r w:rsidR="00317D6A" w:rsidRPr="00EC7C4D">
              <w:rPr>
                <w:b/>
                <w:color w:val="000000" w:themeColor="text1"/>
              </w:rPr>
              <w:t>cost</w:t>
            </w:r>
            <w:r w:rsidRPr="00EC7C4D">
              <w:rPr>
                <w:b/>
                <w:color w:val="000000" w:themeColor="text1"/>
              </w:rPr>
              <w:t>s</w:t>
            </w:r>
          </w:p>
        </w:tc>
        <w:tc>
          <w:tcPr>
            <w:tcW w:w="765" w:type="pct"/>
            <w:shd w:val="clear" w:color="auto" w:fill="B690C9" w:themeFill="accent6" w:themeFillTint="99"/>
          </w:tcPr>
          <w:p w14:paraId="13DA9F97" w14:textId="77777777" w:rsidR="005B0483" w:rsidRPr="00EC7C4D" w:rsidRDefault="005B0483" w:rsidP="00375634">
            <w:pPr>
              <w:rPr>
                <w:b/>
                <w:color w:val="000000" w:themeColor="text1"/>
              </w:rPr>
            </w:pPr>
            <w:r w:rsidRPr="00EC7C4D">
              <w:rPr>
                <w:b/>
                <w:color w:val="000000" w:themeColor="text1"/>
              </w:rPr>
              <w:t>Net benefit</w:t>
            </w:r>
          </w:p>
        </w:tc>
        <w:tc>
          <w:tcPr>
            <w:tcW w:w="1605" w:type="pct"/>
            <w:shd w:val="clear" w:color="auto" w:fill="B690C9" w:themeFill="accent6" w:themeFillTint="99"/>
          </w:tcPr>
          <w:p w14:paraId="45292D0F" w14:textId="77777777" w:rsidR="005B0483" w:rsidRPr="00EC7C4D" w:rsidRDefault="005B0483" w:rsidP="00375634">
            <w:pPr>
              <w:rPr>
                <w:b/>
                <w:color w:val="000000" w:themeColor="text1"/>
              </w:rPr>
            </w:pPr>
            <w:r w:rsidRPr="00EC7C4D">
              <w:rPr>
                <w:b/>
                <w:color w:val="000000" w:themeColor="text1"/>
              </w:rPr>
              <w:t>Benefit Cost Ratio</w:t>
            </w:r>
          </w:p>
        </w:tc>
      </w:tr>
      <w:tr w:rsidR="005B0483" w:rsidRPr="00EC7C4D" w14:paraId="0A5CD67D" w14:textId="77777777" w:rsidTr="00F26792">
        <w:trPr>
          <w:trHeight w:val="497"/>
        </w:trPr>
        <w:tc>
          <w:tcPr>
            <w:tcW w:w="1002" w:type="pct"/>
          </w:tcPr>
          <w:p w14:paraId="768093E7" w14:textId="77777777" w:rsidR="005B0483" w:rsidRPr="00EC7C4D" w:rsidRDefault="005B0483" w:rsidP="00375634">
            <w:r w:rsidRPr="00EC7C4D">
              <w:t>Whole economy</w:t>
            </w:r>
          </w:p>
        </w:tc>
        <w:tc>
          <w:tcPr>
            <w:tcW w:w="889" w:type="pct"/>
          </w:tcPr>
          <w:p w14:paraId="3DB6F310" w14:textId="378DD953" w:rsidR="005B0483" w:rsidRPr="00EC7C4D" w:rsidRDefault="005B0483" w:rsidP="00DB77E1">
            <w:r w:rsidRPr="00EC7C4D">
              <w:t>$</w:t>
            </w:r>
            <w:r w:rsidR="00DB77E1" w:rsidRPr="00EC7C4D">
              <w:t>41</w:t>
            </w:r>
            <w:r w:rsidRPr="00EC7C4D">
              <w:t xml:space="preserve"> million</w:t>
            </w:r>
          </w:p>
        </w:tc>
        <w:tc>
          <w:tcPr>
            <w:tcW w:w="739" w:type="pct"/>
          </w:tcPr>
          <w:p w14:paraId="2E978741" w14:textId="57D70537" w:rsidR="005B0483" w:rsidRPr="00EC7C4D" w:rsidRDefault="005B0483" w:rsidP="00DB77E1">
            <w:r w:rsidRPr="00EC7C4D">
              <w:t>$</w:t>
            </w:r>
            <w:r w:rsidR="00DB77E1" w:rsidRPr="00EC7C4D">
              <w:t>23</w:t>
            </w:r>
            <w:r w:rsidRPr="00EC7C4D">
              <w:t xml:space="preserve"> million</w:t>
            </w:r>
          </w:p>
        </w:tc>
        <w:tc>
          <w:tcPr>
            <w:tcW w:w="765" w:type="pct"/>
          </w:tcPr>
          <w:p w14:paraId="062C854F" w14:textId="77777777" w:rsidR="005B0483" w:rsidRPr="00EC7C4D" w:rsidRDefault="005B0483" w:rsidP="00375634">
            <w:r w:rsidRPr="00EC7C4D">
              <w:t>$18 million</w:t>
            </w:r>
          </w:p>
        </w:tc>
        <w:tc>
          <w:tcPr>
            <w:tcW w:w="1605" w:type="pct"/>
          </w:tcPr>
          <w:p w14:paraId="7502E01E" w14:textId="77777777" w:rsidR="005B0483" w:rsidRPr="00EC7C4D" w:rsidRDefault="005B0483" w:rsidP="00375634">
            <w:r w:rsidRPr="00EC7C4D">
              <w:t>1.8</w:t>
            </w:r>
          </w:p>
        </w:tc>
      </w:tr>
    </w:tbl>
    <w:p w14:paraId="269D28FE" w14:textId="77777777" w:rsidR="005B0483" w:rsidRDefault="005B0483" w:rsidP="005B0483"/>
    <w:p w14:paraId="763A58DC" w14:textId="77777777" w:rsidR="005B0483" w:rsidRPr="00843253" w:rsidRDefault="005B0483" w:rsidP="00F55E47">
      <w:pPr>
        <w:pStyle w:val="Heading5"/>
      </w:pPr>
      <w:r w:rsidRPr="00843253">
        <w:t>b) New motor vehicles only approach</w:t>
      </w:r>
    </w:p>
    <w:p w14:paraId="0C47A38D" w14:textId="18AFBEF8" w:rsidR="00C877CF" w:rsidRDefault="00C877CF" w:rsidP="005B0483">
      <w:pPr>
        <w:pStyle w:val="Bullet"/>
        <w:numPr>
          <w:ilvl w:val="0"/>
          <w:numId w:val="0"/>
        </w:numPr>
      </w:pPr>
      <w:r w:rsidRPr="00C877CF">
        <w:t>The economic costs and benefits of an</w:t>
      </w:r>
      <w:r w:rsidR="00973EE6">
        <w:t xml:space="preserve"> </w:t>
      </w:r>
      <w:r w:rsidRPr="00C877CF">
        <w:t xml:space="preserve">education and guidance campaign for consumers, businesses and manufacturers for the new motor vehicle market are a subset of the economic costs and benefits identified for the economy-wide </w:t>
      </w:r>
      <w:r w:rsidR="00E97D56">
        <w:t>approach</w:t>
      </w:r>
      <w:r>
        <w:t>.</w:t>
      </w:r>
    </w:p>
    <w:p w14:paraId="71840549" w14:textId="0F83FA19" w:rsidR="00C877CF" w:rsidRDefault="00C877CF" w:rsidP="005B0483">
      <w:pPr>
        <w:pStyle w:val="Bullet"/>
        <w:numPr>
          <w:ilvl w:val="0"/>
          <w:numId w:val="0"/>
        </w:numPr>
      </w:pPr>
      <w:r w:rsidRPr="00C877CF">
        <w:t xml:space="preserve">For new motor vehicles, Option </w:t>
      </w:r>
      <w:r>
        <w:t>2 is estimated to create a net benefit of $4 million in NPV terms over the 10 years to 2031 and a BCR of 1.8.</w:t>
      </w:r>
      <w:r w:rsidR="00693ECB">
        <w:t xml:space="preserve"> This reflects costs to business and government of $3.3 million in NPV terms and benefits to consumers of $7.3 million in NPV terms over this period.</w:t>
      </w:r>
    </w:p>
    <w:p w14:paraId="60EC69B4" w14:textId="032D7E19" w:rsidR="005B0483" w:rsidRDefault="00111168" w:rsidP="005B0483">
      <w:pPr>
        <w:pStyle w:val="Bullet"/>
        <w:numPr>
          <w:ilvl w:val="0"/>
          <w:numId w:val="0"/>
        </w:numPr>
      </w:pPr>
      <w:r>
        <w:t>G</w:t>
      </w:r>
      <w:r w:rsidR="00B7303A">
        <w:t xml:space="preserve">iven the significance of concerns about consumer guarantee issues in the sector, the ACCC has already </w:t>
      </w:r>
      <w:r w:rsidR="005B0483">
        <w:t xml:space="preserve">produced </w:t>
      </w:r>
      <w:r w:rsidR="00B7303A">
        <w:t>and published motor vehicle-specific guidance for consumers and the industry.</w:t>
      </w:r>
      <w:r w:rsidR="00B05442">
        <w:t xml:space="preserve"> </w:t>
      </w:r>
      <w:r w:rsidR="00B7303A">
        <w:rPr>
          <w:rStyle w:val="FootnoteReference"/>
        </w:rPr>
        <w:footnoteReference w:id="74"/>
      </w:r>
      <w:r w:rsidR="00B7303A">
        <w:t xml:space="preserve"> </w:t>
      </w:r>
      <w:r>
        <w:t>A</w:t>
      </w:r>
      <w:r w:rsidR="00C95DFC">
        <w:t xml:space="preserve">n </w:t>
      </w:r>
      <w:r w:rsidR="00B7303A">
        <w:t>education</w:t>
      </w:r>
      <w:r w:rsidR="00973EE6">
        <w:t xml:space="preserve"> and guidance </w:t>
      </w:r>
      <w:r w:rsidR="00C95DFC">
        <w:t xml:space="preserve">campaign </w:t>
      </w:r>
      <w:r>
        <w:t>would build on</w:t>
      </w:r>
      <w:r w:rsidR="00B7303A">
        <w:t xml:space="preserve"> the messages in </w:t>
      </w:r>
      <w:r w:rsidR="0016334D">
        <w:t xml:space="preserve">the </w:t>
      </w:r>
      <w:r>
        <w:t xml:space="preserve">existing </w:t>
      </w:r>
      <w:r w:rsidR="00B7303A">
        <w:t xml:space="preserve">guidance </w:t>
      </w:r>
      <w:r>
        <w:t xml:space="preserve">and may have a positive impact if </w:t>
      </w:r>
      <w:r w:rsidR="00B7303A">
        <w:t xml:space="preserve">parties </w:t>
      </w:r>
      <w:r w:rsidR="00E97D56">
        <w:t xml:space="preserve">are </w:t>
      </w:r>
      <w:r w:rsidR="00B7303A">
        <w:t xml:space="preserve">unaware of </w:t>
      </w:r>
      <w:r>
        <w:t>the existing material</w:t>
      </w:r>
      <w:r w:rsidR="005B0483">
        <w:t>.</w:t>
      </w:r>
    </w:p>
    <w:p w14:paraId="68A009E9" w14:textId="08A9B7AA" w:rsidR="005B0483" w:rsidRPr="00E97D56" w:rsidRDefault="00E97D56" w:rsidP="00E97D56">
      <w:pPr>
        <w:pStyle w:val="Caption"/>
        <w:rPr>
          <w:b/>
          <w:bCs/>
          <w:i w:val="0"/>
          <w:iCs w:val="0"/>
          <w:sz w:val="22"/>
          <w:szCs w:val="22"/>
        </w:rPr>
      </w:pPr>
      <w:bookmarkStart w:id="145" w:name="_Toc87529824"/>
      <w:bookmarkStart w:id="146" w:name="_Toc89700876"/>
      <w:r w:rsidRPr="00E97D56">
        <w:rPr>
          <w:b/>
          <w:bCs/>
          <w:i w:val="0"/>
          <w:iCs w:val="0"/>
          <w:sz w:val="22"/>
          <w:szCs w:val="22"/>
        </w:rPr>
        <w:t xml:space="preserve">Table </w:t>
      </w:r>
      <w:r w:rsidRPr="00E97D56">
        <w:rPr>
          <w:b/>
          <w:bCs/>
          <w:i w:val="0"/>
          <w:iCs w:val="0"/>
          <w:sz w:val="22"/>
          <w:szCs w:val="22"/>
        </w:rPr>
        <w:fldChar w:fldCharType="begin"/>
      </w:r>
      <w:r w:rsidRPr="00E97D56">
        <w:rPr>
          <w:b/>
          <w:bCs/>
          <w:i w:val="0"/>
          <w:iCs w:val="0"/>
          <w:sz w:val="22"/>
          <w:szCs w:val="22"/>
        </w:rPr>
        <w:instrText xml:space="preserve"> SEQ Table \* ARABIC </w:instrText>
      </w:r>
      <w:r w:rsidRPr="00E97D56">
        <w:rPr>
          <w:b/>
          <w:bCs/>
          <w:i w:val="0"/>
          <w:iCs w:val="0"/>
          <w:sz w:val="22"/>
          <w:szCs w:val="22"/>
        </w:rPr>
        <w:fldChar w:fldCharType="separate"/>
      </w:r>
      <w:r w:rsidR="00001633">
        <w:rPr>
          <w:b/>
          <w:bCs/>
          <w:i w:val="0"/>
          <w:iCs w:val="0"/>
          <w:noProof/>
          <w:sz w:val="22"/>
          <w:szCs w:val="22"/>
        </w:rPr>
        <w:t>4</w:t>
      </w:r>
      <w:r w:rsidRPr="00E97D56">
        <w:rPr>
          <w:b/>
          <w:bCs/>
          <w:i w:val="0"/>
          <w:iCs w:val="0"/>
          <w:sz w:val="22"/>
          <w:szCs w:val="22"/>
        </w:rPr>
        <w:fldChar w:fldCharType="end"/>
      </w:r>
      <w:r w:rsidRPr="00E97D56">
        <w:rPr>
          <w:b/>
          <w:bCs/>
          <w:i w:val="0"/>
          <w:iCs w:val="0"/>
          <w:sz w:val="22"/>
          <w:szCs w:val="22"/>
        </w:rPr>
        <w:t xml:space="preserve">: </w:t>
      </w:r>
      <w:r w:rsidR="00A92880">
        <w:rPr>
          <w:b/>
          <w:bCs/>
          <w:i w:val="0"/>
          <w:iCs w:val="0"/>
          <w:sz w:val="22"/>
          <w:szCs w:val="22"/>
        </w:rPr>
        <w:t>L</w:t>
      </w:r>
      <w:r w:rsidR="00DB77E1" w:rsidRPr="00E97D56">
        <w:rPr>
          <w:b/>
          <w:bCs/>
          <w:i w:val="0"/>
          <w:iCs w:val="0"/>
          <w:sz w:val="22"/>
          <w:szCs w:val="22"/>
        </w:rPr>
        <w:t>ikely net benefit of an education and guidance campaign over for the 10 years to 2031 – new motor vehicles only approach</w:t>
      </w:r>
      <w:bookmarkEnd w:id="145"/>
      <w:bookmarkEnd w:id="14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Table 4: likely net benefit of an education and guidance campaign over for the 10 years to 2031 – new motor vehicles only approach"/>
        <w:tblDescription w:val="Provides a summary of the likey costs for the measure if a new motor vehicles only approach is taken. Total benefits for this option is estimated at $7.3 million. Total costs for this option is estimated at $3.3 million. Net benefit for this option is estimated at $4.0 million. The Benefit Cost Ratio is estimated at 2.2."/>
      </w:tblPr>
      <w:tblGrid>
        <w:gridCol w:w="1893"/>
        <w:gridCol w:w="1805"/>
        <w:gridCol w:w="1546"/>
        <w:gridCol w:w="1546"/>
        <w:gridCol w:w="2270"/>
      </w:tblGrid>
      <w:tr w:rsidR="00EC7C4D" w:rsidRPr="00EC7C4D" w14:paraId="4EEA5A75" w14:textId="77777777" w:rsidTr="00EC7C4D">
        <w:trPr>
          <w:trHeight w:val="525"/>
        </w:trPr>
        <w:tc>
          <w:tcPr>
            <w:tcW w:w="1045" w:type="pct"/>
            <w:shd w:val="clear" w:color="auto" w:fill="B690C9" w:themeFill="accent6" w:themeFillTint="99"/>
          </w:tcPr>
          <w:p w14:paraId="5EA92295" w14:textId="77777777" w:rsidR="005B0483" w:rsidRPr="00EC7C4D" w:rsidRDefault="005B0483" w:rsidP="00375634">
            <w:pPr>
              <w:rPr>
                <w:b/>
                <w:color w:val="000000" w:themeColor="text1"/>
              </w:rPr>
            </w:pPr>
          </w:p>
        </w:tc>
        <w:tc>
          <w:tcPr>
            <w:tcW w:w="996" w:type="pct"/>
            <w:shd w:val="clear" w:color="auto" w:fill="B690C9" w:themeFill="accent6" w:themeFillTint="99"/>
          </w:tcPr>
          <w:p w14:paraId="19A0A066" w14:textId="47B69410" w:rsidR="005B0483" w:rsidRPr="00EC7C4D" w:rsidRDefault="005B0483" w:rsidP="00317D6A">
            <w:pPr>
              <w:rPr>
                <w:b/>
                <w:color w:val="000000" w:themeColor="text1"/>
              </w:rPr>
            </w:pPr>
            <w:r w:rsidRPr="00EC7C4D">
              <w:rPr>
                <w:b/>
                <w:color w:val="000000" w:themeColor="text1"/>
              </w:rPr>
              <w:t xml:space="preserve">Total </w:t>
            </w:r>
            <w:r w:rsidR="00317D6A" w:rsidRPr="00EC7C4D">
              <w:rPr>
                <w:b/>
                <w:color w:val="000000" w:themeColor="text1"/>
              </w:rPr>
              <w:t>benefit</w:t>
            </w:r>
            <w:r w:rsidRPr="00EC7C4D">
              <w:rPr>
                <w:b/>
                <w:color w:val="000000" w:themeColor="text1"/>
              </w:rPr>
              <w:t>s</w:t>
            </w:r>
          </w:p>
        </w:tc>
        <w:tc>
          <w:tcPr>
            <w:tcW w:w="853" w:type="pct"/>
            <w:shd w:val="clear" w:color="auto" w:fill="B690C9" w:themeFill="accent6" w:themeFillTint="99"/>
          </w:tcPr>
          <w:p w14:paraId="42361C9B" w14:textId="425B0A9F" w:rsidR="005B0483" w:rsidRPr="00EC7C4D" w:rsidRDefault="005B0483" w:rsidP="00317D6A">
            <w:pPr>
              <w:rPr>
                <w:b/>
                <w:color w:val="000000" w:themeColor="text1"/>
              </w:rPr>
            </w:pPr>
            <w:r w:rsidRPr="00EC7C4D">
              <w:rPr>
                <w:b/>
                <w:color w:val="000000" w:themeColor="text1"/>
              </w:rPr>
              <w:t xml:space="preserve">Total </w:t>
            </w:r>
            <w:r w:rsidR="00317D6A" w:rsidRPr="00EC7C4D">
              <w:rPr>
                <w:b/>
                <w:color w:val="000000" w:themeColor="text1"/>
              </w:rPr>
              <w:t>cost</w:t>
            </w:r>
            <w:r w:rsidRPr="00EC7C4D">
              <w:rPr>
                <w:b/>
                <w:color w:val="000000" w:themeColor="text1"/>
              </w:rPr>
              <w:t>s</w:t>
            </w:r>
          </w:p>
        </w:tc>
        <w:tc>
          <w:tcPr>
            <w:tcW w:w="853" w:type="pct"/>
            <w:shd w:val="clear" w:color="auto" w:fill="B690C9" w:themeFill="accent6" w:themeFillTint="99"/>
          </w:tcPr>
          <w:p w14:paraId="30F43EF3" w14:textId="77777777" w:rsidR="005B0483" w:rsidRPr="00EC7C4D" w:rsidRDefault="005B0483" w:rsidP="00375634">
            <w:pPr>
              <w:rPr>
                <w:b/>
                <w:color w:val="000000" w:themeColor="text1"/>
              </w:rPr>
            </w:pPr>
            <w:r w:rsidRPr="00EC7C4D">
              <w:rPr>
                <w:b/>
                <w:color w:val="000000" w:themeColor="text1"/>
              </w:rPr>
              <w:t>Net benefit</w:t>
            </w:r>
          </w:p>
        </w:tc>
        <w:tc>
          <w:tcPr>
            <w:tcW w:w="1253" w:type="pct"/>
            <w:shd w:val="clear" w:color="auto" w:fill="B690C9" w:themeFill="accent6" w:themeFillTint="99"/>
          </w:tcPr>
          <w:p w14:paraId="251FC58C" w14:textId="77777777" w:rsidR="005B0483" w:rsidRPr="00EC7C4D" w:rsidRDefault="005B0483" w:rsidP="00375634">
            <w:pPr>
              <w:rPr>
                <w:b/>
                <w:color w:val="000000" w:themeColor="text1"/>
              </w:rPr>
            </w:pPr>
            <w:r w:rsidRPr="00EC7C4D">
              <w:rPr>
                <w:b/>
                <w:color w:val="000000" w:themeColor="text1"/>
              </w:rPr>
              <w:t>Benefit Cost Ratio</w:t>
            </w:r>
          </w:p>
        </w:tc>
      </w:tr>
      <w:tr w:rsidR="005B0483" w:rsidRPr="00EC7C4D" w14:paraId="2F2ECF8F" w14:textId="77777777" w:rsidTr="00E97D56">
        <w:trPr>
          <w:trHeight w:val="497"/>
        </w:trPr>
        <w:tc>
          <w:tcPr>
            <w:tcW w:w="1045" w:type="pct"/>
          </w:tcPr>
          <w:p w14:paraId="0F9D291A" w14:textId="77777777" w:rsidR="005B0483" w:rsidRPr="00EC7C4D" w:rsidRDefault="005B0483" w:rsidP="00375634">
            <w:r w:rsidRPr="00EC7C4D">
              <w:t>Motor vehicles</w:t>
            </w:r>
          </w:p>
        </w:tc>
        <w:tc>
          <w:tcPr>
            <w:tcW w:w="996" w:type="pct"/>
          </w:tcPr>
          <w:p w14:paraId="1B3E81D2" w14:textId="39B34350" w:rsidR="005B0483" w:rsidRPr="00EC7C4D" w:rsidRDefault="005B0483" w:rsidP="00DB77E1">
            <w:r w:rsidRPr="00EC7C4D">
              <w:t>$</w:t>
            </w:r>
            <w:r w:rsidR="00DB77E1" w:rsidRPr="00EC7C4D">
              <w:t>7</w:t>
            </w:r>
            <w:r w:rsidRPr="00EC7C4D">
              <w:t>.3 million</w:t>
            </w:r>
          </w:p>
        </w:tc>
        <w:tc>
          <w:tcPr>
            <w:tcW w:w="853" w:type="pct"/>
          </w:tcPr>
          <w:p w14:paraId="480711AE" w14:textId="2D2A2DD4" w:rsidR="005B0483" w:rsidRPr="00EC7C4D" w:rsidRDefault="005B0483" w:rsidP="00DB77E1">
            <w:r w:rsidRPr="00EC7C4D">
              <w:t>$</w:t>
            </w:r>
            <w:r w:rsidR="00DB77E1" w:rsidRPr="00EC7C4D">
              <w:t>3</w:t>
            </w:r>
            <w:r w:rsidRPr="00EC7C4D">
              <w:t>.3 million</w:t>
            </w:r>
          </w:p>
        </w:tc>
        <w:tc>
          <w:tcPr>
            <w:tcW w:w="853" w:type="pct"/>
          </w:tcPr>
          <w:p w14:paraId="523E297C" w14:textId="77777777" w:rsidR="005B0483" w:rsidRPr="00EC7C4D" w:rsidRDefault="005B0483" w:rsidP="00375634">
            <w:r w:rsidRPr="00EC7C4D">
              <w:t>$4.0 million</w:t>
            </w:r>
          </w:p>
        </w:tc>
        <w:tc>
          <w:tcPr>
            <w:tcW w:w="1253" w:type="pct"/>
          </w:tcPr>
          <w:p w14:paraId="35CA5BC1" w14:textId="77777777" w:rsidR="005B0483" w:rsidRPr="00EC7C4D" w:rsidRDefault="005B0483" w:rsidP="00375634">
            <w:r w:rsidRPr="00EC7C4D">
              <w:t>2.2</w:t>
            </w:r>
          </w:p>
        </w:tc>
      </w:tr>
    </w:tbl>
    <w:p w14:paraId="0793F973" w14:textId="36DA3202" w:rsidR="00873473" w:rsidRDefault="00873473" w:rsidP="00873473">
      <w:pPr>
        <w:pStyle w:val="Default"/>
      </w:pPr>
      <w:bookmarkStart w:id="147" w:name="_Toc69381066"/>
      <w:bookmarkStart w:id="148" w:name="_Toc69395087"/>
    </w:p>
    <w:p w14:paraId="2599BDCE" w14:textId="77777777" w:rsidR="003C6169" w:rsidRDefault="003C6169">
      <w:pPr>
        <w:spacing w:before="0" w:after="160" w:line="259" w:lineRule="auto"/>
        <w:rPr>
          <w:b/>
          <w:bCs/>
          <w:color w:val="5F5F5F" w:themeColor="text2"/>
          <w:szCs w:val="22"/>
        </w:rPr>
      </w:pPr>
      <w:r>
        <w:rPr>
          <w:b/>
          <w:bCs/>
          <w:i/>
          <w:iCs/>
          <w:szCs w:val="22"/>
        </w:rPr>
        <w:br w:type="page"/>
      </w:r>
    </w:p>
    <w:p w14:paraId="6BBD4A92" w14:textId="354B7490" w:rsidR="00590237" w:rsidRPr="003A4585" w:rsidRDefault="003A4585" w:rsidP="003A4585">
      <w:pPr>
        <w:pStyle w:val="Caption"/>
        <w:rPr>
          <w:b/>
          <w:bCs/>
          <w:i w:val="0"/>
          <w:iCs w:val="0"/>
          <w:sz w:val="22"/>
          <w:szCs w:val="22"/>
        </w:rPr>
      </w:pPr>
      <w:bookmarkStart w:id="149" w:name="_Toc87529825"/>
      <w:bookmarkStart w:id="150" w:name="_Toc89700877"/>
      <w:r w:rsidRPr="003A4585">
        <w:rPr>
          <w:b/>
          <w:bCs/>
          <w:i w:val="0"/>
          <w:iCs w:val="0"/>
          <w:sz w:val="22"/>
          <w:szCs w:val="22"/>
        </w:rPr>
        <w:lastRenderedPageBreak/>
        <w:t xml:space="preserve">Table </w:t>
      </w:r>
      <w:r w:rsidRPr="003A4585">
        <w:rPr>
          <w:b/>
          <w:bCs/>
          <w:i w:val="0"/>
          <w:iCs w:val="0"/>
          <w:sz w:val="22"/>
          <w:szCs w:val="22"/>
        </w:rPr>
        <w:fldChar w:fldCharType="begin"/>
      </w:r>
      <w:r w:rsidRPr="003A4585">
        <w:rPr>
          <w:b/>
          <w:bCs/>
          <w:i w:val="0"/>
          <w:iCs w:val="0"/>
          <w:sz w:val="22"/>
          <w:szCs w:val="22"/>
        </w:rPr>
        <w:instrText xml:space="preserve"> SEQ Table \* ARABIC </w:instrText>
      </w:r>
      <w:r w:rsidRPr="003A4585">
        <w:rPr>
          <w:b/>
          <w:bCs/>
          <w:i w:val="0"/>
          <w:iCs w:val="0"/>
          <w:sz w:val="22"/>
          <w:szCs w:val="22"/>
        </w:rPr>
        <w:fldChar w:fldCharType="separate"/>
      </w:r>
      <w:r w:rsidR="00001633">
        <w:rPr>
          <w:b/>
          <w:bCs/>
          <w:i w:val="0"/>
          <w:iCs w:val="0"/>
          <w:noProof/>
          <w:sz w:val="22"/>
          <w:szCs w:val="22"/>
        </w:rPr>
        <w:t>5</w:t>
      </w:r>
      <w:r w:rsidRPr="003A4585">
        <w:rPr>
          <w:b/>
          <w:bCs/>
          <w:i w:val="0"/>
          <w:iCs w:val="0"/>
          <w:sz w:val="22"/>
          <w:szCs w:val="22"/>
        </w:rPr>
        <w:fldChar w:fldCharType="end"/>
      </w:r>
      <w:r w:rsidRPr="003A4585">
        <w:rPr>
          <w:b/>
          <w:bCs/>
          <w:i w:val="0"/>
          <w:iCs w:val="0"/>
          <w:sz w:val="22"/>
          <w:szCs w:val="22"/>
        </w:rPr>
        <w:t xml:space="preserve"> </w:t>
      </w:r>
      <w:r w:rsidR="00590237" w:rsidRPr="003A4585">
        <w:rPr>
          <w:b/>
          <w:bCs/>
          <w:i w:val="0"/>
          <w:iCs w:val="0"/>
          <w:sz w:val="22"/>
          <w:szCs w:val="22"/>
        </w:rPr>
        <w:t xml:space="preserve">: </w:t>
      </w:r>
      <w:r w:rsidR="00A92880">
        <w:rPr>
          <w:b/>
          <w:bCs/>
          <w:i w:val="0"/>
          <w:iCs w:val="0"/>
          <w:sz w:val="22"/>
          <w:szCs w:val="22"/>
        </w:rPr>
        <w:t>S</w:t>
      </w:r>
      <w:r w:rsidR="00590237" w:rsidRPr="003A4585">
        <w:rPr>
          <w:b/>
          <w:bCs/>
          <w:i w:val="0"/>
          <w:iCs w:val="0"/>
          <w:sz w:val="22"/>
          <w:szCs w:val="22"/>
        </w:rPr>
        <w:t>ummary of benefits and costs of Part A, Option 2 (covers both economy-wide approach and new motor vehicles only approach)</w:t>
      </w:r>
      <w:bookmarkEnd w:id="149"/>
      <w:bookmarkEnd w:id="150"/>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  summary of benefits and costs of Part A, Option 2 (covers both economy-wide approach and new motor vehicles only approach)"/>
      </w:tblPr>
      <w:tblGrid>
        <w:gridCol w:w="4530"/>
        <w:gridCol w:w="4530"/>
      </w:tblGrid>
      <w:tr w:rsidR="00DB77E1" w:rsidRPr="00EC7C4D" w14:paraId="7000C6FB" w14:textId="77777777" w:rsidTr="00EC7C4D">
        <w:tc>
          <w:tcPr>
            <w:tcW w:w="2500" w:type="pct"/>
            <w:shd w:val="clear" w:color="auto" w:fill="B690C9" w:themeFill="accent6" w:themeFillTint="99"/>
          </w:tcPr>
          <w:p w14:paraId="4B17B03B" w14:textId="77777777" w:rsidR="00DB77E1" w:rsidRPr="00EC7C4D" w:rsidRDefault="00DB77E1" w:rsidP="00741D0E">
            <w:pPr>
              <w:rPr>
                <w:b/>
              </w:rPr>
            </w:pPr>
            <w:r w:rsidRPr="00EC7C4D">
              <w:rPr>
                <w:b/>
              </w:rPr>
              <w:t xml:space="preserve">Benefits </w:t>
            </w:r>
          </w:p>
        </w:tc>
        <w:tc>
          <w:tcPr>
            <w:tcW w:w="2500" w:type="pct"/>
            <w:shd w:val="clear" w:color="auto" w:fill="B690C9" w:themeFill="accent6" w:themeFillTint="99"/>
          </w:tcPr>
          <w:p w14:paraId="66D0B6C6" w14:textId="77777777" w:rsidR="00DB77E1" w:rsidRPr="00EC7C4D" w:rsidRDefault="00DB77E1" w:rsidP="00741D0E">
            <w:pPr>
              <w:rPr>
                <w:b/>
              </w:rPr>
            </w:pPr>
            <w:r w:rsidRPr="00EC7C4D">
              <w:rPr>
                <w:b/>
              </w:rPr>
              <w:t xml:space="preserve">Costs </w:t>
            </w:r>
          </w:p>
        </w:tc>
      </w:tr>
      <w:tr w:rsidR="00DB77E1" w:rsidRPr="00EC7C4D" w14:paraId="46DD1469" w14:textId="77777777" w:rsidTr="00EC7C4D">
        <w:tc>
          <w:tcPr>
            <w:tcW w:w="2500" w:type="pct"/>
          </w:tcPr>
          <w:p w14:paraId="71409BF7" w14:textId="7B7DF63B" w:rsidR="005F1C05" w:rsidRPr="00EC7C4D" w:rsidRDefault="005F1C05" w:rsidP="00B20812">
            <w:pPr>
              <w:pStyle w:val="Bullet"/>
              <w:widowControl w:val="0"/>
              <w:numPr>
                <w:ilvl w:val="0"/>
                <w:numId w:val="12"/>
              </w:numPr>
              <w:spacing w:line="280" w:lineRule="exact"/>
            </w:pPr>
            <w:r w:rsidRPr="00EC7C4D">
              <w:t>Removal of knowledge barriers may result in more consumers taking action when they have an issue and fewer consumers missing out on remedies they are entitled to</w:t>
            </w:r>
            <w:r w:rsidR="003C6169">
              <w:t>.</w:t>
            </w:r>
          </w:p>
          <w:p w14:paraId="3D7EFC29" w14:textId="2A5C2C59" w:rsidR="005F1C05" w:rsidRPr="00EC7C4D" w:rsidRDefault="005F1C05" w:rsidP="00B20812">
            <w:pPr>
              <w:pStyle w:val="Bullet"/>
              <w:widowControl w:val="0"/>
              <w:numPr>
                <w:ilvl w:val="0"/>
                <w:numId w:val="12"/>
              </w:numPr>
              <w:spacing w:line="280" w:lineRule="exact"/>
            </w:pPr>
            <w:r w:rsidRPr="00EC7C4D">
              <w:t>Consumers may be more confident about purchasing goods covered by the consumer guarantees</w:t>
            </w:r>
            <w:r w:rsidR="003C6169">
              <w:t>.</w:t>
            </w:r>
          </w:p>
        </w:tc>
        <w:tc>
          <w:tcPr>
            <w:tcW w:w="2500" w:type="pct"/>
          </w:tcPr>
          <w:p w14:paraId="6C91115F" w14:textId="2D1E1000" w:rsidR="005F1C05" w:rsidRPr="00EC7C4D" w:rsidRDefault="005F1C05" w:rsidP="00B20812">
            <w:pPr>
              <w:pStyle w:val="Bullet"/>
              <w:widowControl w:val="0"/>
              <w:numPr>
                <w:ilvl w:val="0"/>
                <w:numId w:val="12"/>
              </w:numPr>
              <w:spacing w:line="280" w:lineRule="exact"/>
            </w:pPr>
            <w:r w:rsidRPr="00EC7C4D">
              <w:t xml:space="preserve">Cost to Government of delivering an education and </w:t>
            </w:r>
            <w:r w:rsidR="001F245C" w:rsidRPr="00EC7C4D">
              <w:t xml:space="preserve">guidance </w:t>
            </w:r>
            <w:r w:rsidRPr="00EC7C4D">
              <w:t>campaign</w:t>
            </w:r>
            <w:r w:rsidR="003C6169">
              <w:t>.</w:t>
            </w:r>
          </w:p>
          <w:p w14:paraId="5129ACF5" w14:textId="75589648" w:rsidR="005F1C05" w:rsidRPr="00EC7C4D" w:rsidRDefault="005F1C05" w:rsidP="00B20812">
            <w:pPr>
              <w:pStyle w:val="Bullet"/>
              <w:widowControl w:val="0"/>
              <w:numPr>
                <w:ilvl w:val="0"/>
                <w:numId w:val="12"/>
              </w:numPr>
              <w:spacing w:before="120" w:line="280" w:lineRule="exact"/>
              <w:jc w:val="left"/>
            </w:pPr>
            <w:r w:rsidRPr="00EC7C4D">
              <w:t>Where there is an increase in consumers seeking a remedy for a consumer guarantee failure, or a business starts providing remedies, increased cost to business of providing these remedies</w:t>
            </w:r>
            <w:r w:rsidR="003C6169">
              <w:t>.</w:t>
            </w:r>
          </w:p>
        </w:tc>
      </w:tr>
    </w:tbl>
    <w:p w14:paraId="68337C72" w14:textId="77777777" w:rsidR="00873473" w:rsidRDefault="00873473" w:rsidP="00873473"/>
    <w:p w14:paraId="0010BAA2" w14:textId="78941606" w:rsidR="008643A4" w:rsidRDefault="00702A68" w:rsidP="008643A4">
      <w:pPr>
        <w:pStyle w:val="Heading3"/>
      </w:pPr>
      <w:bookmarkStart w:id="151" w:name="_Toc89700930"/>
      <w:r>
        <w:t xml:space="preserve">Part A, </w:t>
      </w:r>
      <w:r w:rsidR="008643A4" w:rsidRPr="008643A4">
        <w:t xml:space="preserve">Option </w:t>
      </w:r>
      <w:r w:rsidR="00C92C4D">
        <w:t>3</w:t>
      </w:r>
      <w:r w:rsidR="008643A4" w:rsidRPr="008643A4">
        <w:t xml:space="preserve"> – </w:t>
      </w:r>
      <w:r w:rsidR="006E2674">
        <w:t xml:space="preserve">a prohibition against not providing a </w:t>
      </w:r>
      <w:r w:rsidR="006E2674" w:rsidRPr="002A6ADC">
        <w:t>remed</w:t>
      </w:r>
      <w:r w:rsidR="006E2674">
        <w:t>y</w:t>
      </w:r>
      <w:r w:rsidR="006E2674" w:rsidRPr="002A6ADC">
        <w:t xml:space="preserve"> </w:t>
      </w:r>
      <w:r w:rsidR="006E2674">
        <w:t>for consumer guarantee failures</w:t>
      </w:r>
      <w:r w:rsidR="00891735">
        <w:t>,</w:t>
      </w:r>
      <w:r w:rsidR="006E2674">
        <w:t xml:space="preserve"> supported by penalties and other enforcement mechanisms</w:t>
      </w:r>
      <w:bookmarkEnd w:id="147"/>
      <w:bookmarkEnd w:id="148"/>
      <w:bookmarkEnd w:id="151"/>
    </w:p>
    <w:p w14:paraId="6FE9FA9F" w14:textId="1DE8A524" w:rsidR="002A4A5B" w:rsidRPr="007C61A4" w:rsidRDefault="00891735" w:rsidP="00F833D1">
      <w:pPr>
        <w:spacing w:after="180"/>
        <w:rPr>
          <w:szCs w:val="24"/>
        </w:rPr>
      </w:pPr>
      <w:r>
        <w:rPr>
          <w:szCs w:val="24"/>
        </w:rPr>
        <w:t>Under this option, t</w:t>
      </w:r>
      <w:r w:rsidR="002A4A5B">
        <w:rPr>
          <w:szCs w:val="24"/>
        </w:rPr>
        <w:t xml:space="preserve">he ACL would be amended to </w:t>
      </w:r>
      <w:r w:rsidR="002A4A5B" w:rsidRPr="007C61A4">
        <w:rPr>
          <w:szCs w:val="24"/>
        </w:rPr>
        <w:t xml:space="preserve">prohibit </w:t>
      </w:r>
      <w:r w:rsidR="002A4A5B">
        <w:rPr>
          <w:szCs w:val="24"/>
        </w:rPr>
        <w:t>traders from refusing to provide</w:t>
      </w:r>
      <w:r w:rsidR="002A4A5B" w:rsidRPr="007C61A4">
        <w:rPr>
          <w:szCs w:val="24"/>
        </w:rPr>
        <w:t xml:space="preserve"> </w:t>
      </w:r>
      <w:r w:rsidR="002A4A5B">
        <w:rPr>
          <w:szCs w:val="24"/>
        </w:rPr>
        <w:t>a remedy specified by the consumer for a major failure of the consumer guarantees</w:t>
      </w:r>
      <w:r w:rsidR="000409A4">
        <w:rPr>
          <w:szCs w:val="24"/>
        </w:rPr>
        <w:t>.</w:t>
      </w:r>
      <w:r w:rsidR="00FB4A38">
        <w:rPr>
          <w:szCs w:val="24"/>
        </w:rPr>
        <w:t xml:space="preserve"> </w:t>
      </w:r>
      <w:r w:rsidR="002A4A5B">
        <w:rPr>
          <w:szCs w:val="24"/>
        </w:rPr>
        <w:t xml:space="preserve">The prohibition could be linked to existing </w:t>
      </w:r>
      <w:r w:rsidR="00F833D1">
        <w:rPr>
          <w:szCs w:val="24"/>
        </w:rPr>
        <w:t>requirements under</w:t>
      </w:r>
      <w:r w:rsidR="002A4A5B">
        <w:rPr>
          <w:szCs w:val="24"/>
        </w:rPr>
        <w:t xml:space="preserve"> the ACL (</w:t>
      </w:r>
      <w:r w:rsidR="00982CB5">
        <w:rPr>
          <w:szCs w:val="24"/>
        </w:rPr>
        <w:t>e.g.</w:t>
      </w:r>
      <w:r w:rsidR="002A4A5B">
        <w:rPr>
          <w:szCs w:val="24"/>
        </w:rPr>
        <w:t xml:space="preserve"> </w:t>
      </w:r>
      <w:r w:rsidR="00F833D1">
        <w:rPr>
          <w:szCs w:val="24"/>
        </w:rPr>
        <w:t xml:space="preserve">the </w:t>
      </w:r>
      <w:r w:rsidR="002A4A5B">
        <w:rPr>
          <w:szCs w:val="24"/>
        </w:rPr>
        <w:t>require</w:t>
      </w:r>
      <w:r w:rsidR="00F833D1">
        <w:rPr>
          <w:szCs w:val="24"/>
        </w:rPr>
        <w:t>ment for</w:t>
      </w:r>
      <w:r w:rsidR="002A4A5B">
        <w:rPr>
          <w:szCs w:val="24"/>
        </w:rPr>
        <w:t xml:space="preserve"> a </w:t>
      </w:r>
      <w:r w:rsidR="002A4A5B" w:rsidRPr="00172941">
        <w:rPr>
          <w:szCs w:val="24"/>
        </w:rPr>
        <w:t>supplier</w:t>
      </w:r>
      <w:r w:rsidR="002A4A5B">
        <w:rPr>
          <w:szCs w:val="24"/>
        </w:rPr>
        <w:t xml:space="preserve"> to </w:t>
      </w:r>
      <w:r w:rsidR="002A4A5B" w:rsidRPr="00172941">
        <w:rPr>
          <w:szCs w:val="24"/>
        </w:rPr>
        <w:t>provide the relevant remedy</w:t>
      </w:r>
      <w:r w:rsidR="002A4A5B">
        <w:rPr>
          <w:szCs w:val="24"/>
        </w:rPr>
        <w:t xml:space="preserve"> </w:t>
      </w:r>
      <w:r w:rsidR="002A4A5B" w:rsidRPr="00172941">
        <w:rPr>
          <w:szCs w:val="24"/>
        </w:rPr>
        <w:t xml:space="preserve">in accordance with </w:t>
      </w:r>
      <w:r w:rsidR="00982CB5" w:rsidRPr="00172941">
        <w:rPr>
          <w:szCs w:val="24"/>
        </w:rPr>
        <w:t>a</w:t>
      </w:r>
      <w:r w:rsidR="002A4A5B" w:rsidRPr="00172941">
        <w:rPr>
          <w:szCs w:val="24"/>
        </w:rPr>
        <w:t xml:space="preserve"> </w:t>
      </w:r>
      <w:r w:rsidR="00FB4A38">
        <w:rPr>
          <w:szCs w:val="24"/>
        </w:rPr>
        <w:t>se</w:t>
      </w:r>
      <w:r w:rsidR="002A4A5B" w:rsidRPr="00172941">
        <w:rPr>
          <w:szCs w:val="24"/>
        </w:rPr>
        <w:t>lection made by a consumer</w:t>
      </w:r>
      <w:r w:rsidR="002A4A5B">
        <w:rPr>
          <w:szCs w:val="24"/>
        </w:rPr>
        <w:t>) or through the creation of a new re</w:t>
      </w:r>
      <w:r w:rsidR="00F833D1">
        <w:rPr>
          <w:szCs w:val="24"/>
        </w:rPr>
        <w:t>quirements (</w:t>
      </w:r>
      <w:r w:rsidR="00982CB5">
        <w:rPr>
          <w:szCs w:val="24"/>
        </w:rPr>
        <w:t>e.g.,</w:t>
      </w:r>
      <w:r w:rsidR="00F833D1">
        <w:rPr>
          <w:szCs w:val="24"/>
        </w:rPr>
        <w:t xml:space="preserve"> a requirement for a </w:t>
      </w:r>
      <w:r w:rsidR="002A4A5B">
        <w:rPr>
          <w:szCs w:val="24"/>
        </w:rPr>
        <w:t>supplier</w:t>
      </w:r>
      <w:r w:rsidR="00F833D1">
        <w:rPr>
          <w:szCs w:val="24"/>
        </w:rPr>
        <w:t xml:space="preserve"> of services</w:t>
      </w:r>
      <w:r w:rsidR="002A4A5B">
        <w:rPr>
          <w:szCs w:val="24"/>
        </w:rPr>
        <w:t xml:space="preserve"> to provide a refund</w:t>
      </w:r>
      <w:r w:rsidR="000409A4">
        <w:rPr>
          <w:szCs w:val="24"/>
        </w:rPr>
        <w:t xml:space="preserve"> or replacement for a major failure</w:t>
      </w:r>
      <w:r w:rsidR="00F833D1">
        <w:rPr>
          <w:szCs w:val="24"/>
        </w:rPr>
        <w:t>)</w:t>
      </w:r>
      <w:r w:rsidR="002A4A5B">
        <w:rPr>
          <w:szCs w:val="24"/>
        </w:rPr>
        <w:t>.</w:t>
      </w:r>
    </w:p>
    <w:p w14:paraId="76F308C8" w14:textId="67A0548C" w:rsidR="00C74CAB" w:rsidRPr="009076D0" w:rsidRDefault="00B05442" w:rsidP="00F53A23">
      <w:pPr>
        <w:rPr>
          <w:color w:val="844D9E" w:themeColor="accent6"/>
          <w:szCs w:val="24"/>
        </w:rPr>
      </w:pPr>
      <w:r>
        <w:rPr>
          <w:szCs w:val="24"/>
        </w:rPr>
        <w:t>Compared to the status quo, t</w:t>
      </w:r>
      <w:r w:rsidR="005D3AB2">
        <w:rPr>
          <w:szCs w:val="24"/>
        </w:rPr>
        <w:t xml:space="preserve">his option </w:t>
      </w:r>
      <w:r w:rsidR="005C577F">
        <w:rPr>
          <w:szCs w:val="24"/>
        </w:rPr>
        <w:t xml:space="preserve">would create </w:t>
      </w:r>
      <w:r w:rsidR="005D3AB2">
        <w:rPr>
          <w:szCs w:val="24"/>
        </w:rPr>
        <w:t xml:space="preserve">a stronger incentive for </w:t>
      </w:r>
      <w:r w:rsidR="00E66275">
        <w:rPr>
          <w:szCs w:val="24"/>
        </w:rPr>
        <w:t>suppliers</w:t>
      </w:r>
      <w:r w:rsidR="00AA23CB">
        <w:rPr>
          <w:szCs w:val="24"/>
        </w:rPr>
        <w:t xml:space="preserve"> </w:t>
      </w:r>
      <w:r w:rsidR="005D3AB2">
        <w:rPr>
          <w:szCs w:val="24"/>
        </w:rPr>
        <w:t xml:space="preserve">to </w:t>
      </w:r>
      <w:r w:rsidR="00AA23CB" w:rsidRPr="00AA23CB">
        <w:rPr>
          <w:szCs w:val="24"/>
        </w:rPr>
        <w:t>provide an applicable consumer guarantees remedy</w:t>
      </w:r>
      <w:r w:rsidR="005C577F">
        <w:rPr>
          <w:szCs w:val="24"/>
        </w:rPr>
        <w:t xml:space="preserve"> when </w:t>
      </w:r>
      <w:r w:rsidR="00DB34BB">
        <w:rPr>
          <w:szCs w:val="24"/>
        </w:rPr>
        <w:t xml:space="preserve">a </w:t>
      </w:r>
      <w:r w:rsidR="00031550">
        <w:rPr>
          <w:szCs w:val="24"/>
        </w:rPr>
        <w:t xml:space="preserve">consumer </w:t>
      </w:r>
      <w:r w:rsidR="005C577F">
        <w:rPr>
          <w:szCs w:val="24"/>
        </w:rPr>
        <w:t>request</w:t>
      </w:r>
      <w:r w:rsidR="00031550">
        <w:rPr>
          <w:szCs w:val="24"/>
        </w:rPr>
        <w:t xml:space="preserve">s </w:t>
      </w:r>
      <w:r w:rsidR="00DB34BB">
        <w:rPr>
          <w:szCs w:val="24"/>
        </w:rPr>
        <w:t xml:space="preserve">and is entitled to </w:t>
      </w:r>
      <w:r w:rsidR="00031550">
        <w:rPr>
          <w:szCs w:val="24"/>
        </w:rPr>
        <w:t xml:space="preserve">one under the </w:t>
      </w:r>
      <w:r w:rsidR="00982CB5">
        <w:rPr>
          <w:szCs w:val="24"/>
        </w:rPr>
        <w:t>ACL.</w:t>
      </w:r>
      <w:r w:rsidR="000409A4">
        <w:rPr>
          <w:szCs w:val="24"/>
        </w:rPr>
        <w:t xml:space="preserve"> </w:t>
      </w:r>
      <w:r w:rsidR="000409A4" w:rsidRPr="009B5B7B">
        <w:rPr>
          <w:szCs w:val="24"/>
        </w:rPr>
        <w:t xml:space="preserve">Regulators have a range of civil, administrative and criminal enforcement tools that they can use to address </w:t>
      </w:r>
      <w:r w:rsidR="000409A4">
        <w:rPr>
          <w:szCs w:val="24"/>
        </w:rPr>
        <w:t>contraventions of the ACL</w:t>
      </w:r>
      <w:r w:rsidR="000409A4" w:rsidRPr="009B5B7B">
        <w:rPr>
          <w:szCs w:val="24"/>
        </w:rPr>
        <w:t>.</w:t>
      </w:r>
    </w:p>
    <w:p w14:paraId="71E0FDD6" w14:textId="54F75A60" w:rsidR="000409A4" w:rsidRDefault="00D33190" w:rsidP="000409A4">
      <w:pPr>
        <w:pStyle w:val="Heading5"/>
      </w:pPr>
      <w:r>
        <w:t xml:space="preserve">ACCC </w:t>
      </w:r>
      <w:r w:rsidR="000409A4">
        <w:t>Infringement notices</w:t>
      </w:r>
    </w:p>
    <w:p w14:paraId="3D8D6C9D" w14:textId="0CD86BCF" w:rsidR="000409A4" w:rsidRDefault="00DB34BB" w:rsidP="000409A4">
      <w:pPr>
        <w:pStyle w:val="Bullet"/>
        <w:numPr>
          <w:ilvl w:val="0"/>
          <w:numId w:val="0"/>
        </w:numPr>
      </w:pPr>
      <w:r>
        <w:rPr>
          <w:szCs w:val="24"/>
        </w:rPr>
        <w:t xml:space="preserve">Enabling </w:t>
      </w:r>
      <w:r w:rsidR="00565CC8">
        <w:rPr>
          <w:szCs w:val="24"/>
        </w:rPr>
        <w:t xml:space="preserve">the ACCC </w:t>
      </w:r>
      <w:r>
        <w:rPr>
          <w:szCs w:val="24"/>
        </w:rPr>
        <w:t>to issue</w:t>
      </w:r>
      <w:r w:rsidR="00560CFC">
        <w:rPr>
          <w:szCs w:val="24"/>
        </w:rPr>
        <w:t xml:space="preserve"> an</w:t>
      </w:r>
      <w:r>
        <w:rPr>
          <w:szCs w:val="24"/>
        </w:rPr>
        <w:t xml:space="preserve"> i</w:t>
      </w:r>
      <w:r w:rsidRPr="00894BE3">
        <w:t>nfringement notice</w:t>
      </w:r>
      <w:r w:rsidR="000409A4">
        <w:t xml:space="preserve"> where </w:t>
      </w:r>
      <w:r w:rsidR="00565CC8">
        <w:t>it has</w:t>
      </w:r>
      <w:r w:rsidR="000409A4">
        <w:t xml:space="preserve"> reasonable grounds to believe that a </w:t>
      </w:r>
      <w:r w:rsidR="00AC19D6">
        <w:t>supplier</w:t>
      </w:r>
      <w:r w:rsidR="000409A4">
        <w:t xml:space="preserve"> has contravened the law by not providing a consumer guarantees remedy, would provide </w:t>
      </w:r>
      <w:r w:rsidR="000409A4" w:rsidRPr="00894BE3">
        <w:t xml:space="preserve">a timely, cost-efficient enforcement outcome </w:t>
      </w:r>
      <w:r w:rsidR="000409A4">
        <w:t xml:space="preserve">for </w:t>
      </w:r>
      <w:r w:rsidR="000409A4" w:rsidRPr="00894BE3">
        <w:t>relatively minor contraventions of the law</w:t>
      </w:r>
      <w:r w:rsidR="00402CCA">
        <w:t>.</w:t>
      </w:r>
      <w:r w:rsidR="000409A4">
        <w:t xml:space="preserve"> </w:t>
      </w:r>
      <w:r w:rsidR="000409A4">
        <w:rPr>
          <w:rStyle w:val="FootnoteReference"/>
        </w:rPr>
        <w:footnoteReference w:id="75"/>
      </w:r>
      <w:r w:rsidR="000409A4">
        <w:t xml:space="preserve"> </w:t>
      </w:r>
      <w:r w:rsidR="00402CCA">
        <w:rPr>
          <w:szCs w:val="24"/>
        </w:rPr>
        <w:t>I</w:t>
      </w:r>
      <w:r w:rsidR="000409A4">
        <w:rPr>
          <w:szCs w:val="22"/>
        </w:rPr>
        <w:t xml:space="preserve">f a party is issued an infringement notice and they pay the amount in the notice, the matter is considered addressed, which prevents </w:t>
      </w:r>
      <w:r w:rsidR="00565CC8">
        <w:rPr>
          <w:szCs w:val="22"/>
        </w:rPr>
        <w:t xml:space="preserve">the </w:t>
      </w:r>
      <w:r w:rsidR="00C07C4A">
        <w:rPr>
          <w:szCs w:val="22"/>
        </w:rPr>
        <w:t>ACCC</w:t>
      </w:r>
      <w:r w:rsidR="000409A4" w:rsidRPr="004D14CA">
        <w:rPr>
          <w:szCs w:val="22"/>
        </w:rPr>
        <w:t xml:space="preserve"> from taking future court action in relation to</w:t>
      </w:r>
      <w:r w:rsidR="000409A4">
        <w:rPr>
          <w:szCs w:val="22"/>
        </w:rPr>
        <w:t xml:space="preserve"> the</w:t>
      </w:r>
      <w:r w:rsidR="000409A4" w:rsidRPr="004D14CA">
        <w:rPr>
          <w:szCs w:val="22"/>
        </w:rPr>
        <w:t xml:space="preserve"> conduct set out in the infringement notice.</w:t>
      </w:r>
      <w:r w:rsidR="000409A4" w:rsidRPr="00BE0941">
        <w:t xml:space="preserve"> </w:t>
      </w:r>
      <w:r w:rsidR="000409A4" w:rsidRPr="00F53A23">
        <w:t xml:space="preserve">If a person receives an infringement notice and denies they engaged in the alleged conduct, or feels relevant information has not been considered, they </w:t>
      </w:r>
      <w:r w:rsidR="000409A4" w:rsidRPr="00F53A23">
        <w:lastRenderedPageBreak/>
        <w:t xml:space="preserve">may </w:t>
      </w:r>
      <w:r w:rsidR="000409A4">
        <w:t xml:space="preserve">choose not to pay the </w:t>
      </w:r>
      <w:r w:rsidR="000409A4" w:rsidRPr="00F53A23">
        <w:t>infringement notice</w:t>
      </w:r>
      <w:r w:rsidR="000409A4">
        <w:t xml:space="preserve"> and the onus will be on the </w:t>
      </w:r>
      <w:r w:rsidR="00C07C4A">
        <w:t>ACCC</w:t>
      </w:r>
      <w:r w:rsidR="000409A4">
        <w:t xml:space="preserve"> to decide whether the conduct warrants further enforcement action</w:t>
      </w:r>
      <w:r w:rsidR="000409A4" w:rsidRPr="00F53A23">
        <w:t xml:space="preserve">. </w:t>
      </w:r>
    </w:p>
    <w:p w14:paraId="13A78DF5" w14:textId="77777777" w:rsidR="00AC19D6" w:rsidRDefault="00AC19D6" w:rsidP="00AC19D6">
      <w:pPr>
        <w:rPr>
          <w:szCs w:val="22"/>
        </w:rPr>
      </w:pPr>
      <w:r w:rsidRPr="00540A6E">
        <w:rPr>
          <w:szCs w:val="22"/>
        </w:rPr>
        <w:t>The penalty to be specified in an infringement notice</w:t>
      </w:r>
      <w:r>
        <w:rPr>
          <w:szCs w:val="22"/>
        </w:rPr>
        <w:t xml:space="preserve"> that is to be issued to a person</w:t>
      </w:r>
      <w:r w:rsidRPr="00540A6E">
        <w:rPr>
          <w:szCs w:val="22"/>
        </w:rPr>
        <w:t xml:space="preserve">, in relation to an alleged contravention of a provision of the </w:t>
      </w:r>
      <w:r>
        <w:rPr>
          <w:szCs w:val="22"/>
        </w:rPr>
        <w:t>ACL, depends on the contravention.</w:t>
      </w:r>
      <w:r w:rsidRPr="00980999">
        <w:t xml:space="preserve"> </w:t>
      </w:r>
      <w:r w:rsidRPr="00980999">
        <w:rPr>
          <w:szCs w:val="22"/>
        </w:rPr>
        <w:t xml:space="preserve">For example, contraventions relating to prescribed requirements for warranties and repairs and contraventions relating to unsolicited consumer agreements, the </w:t>
      </w:r>
      <w:r>
        <w:rPr>
          <w:szCs w:val="22"/>
        </w:rPr>
        <w:t>amount</w:t>
      </w:r>
      <w:r w:rsidRPr="00980999">
        <w:rPr>
          <w:szCs w:val="22"/>
        </w:rPr>
        <w:t xml:space="preserve"> is currently:</w:t>
      </w:r>
    </w:p>
    <w:p w14:paraId="1DFDB025" w14:textId="77777777" w:rsidR="00AC19D6" w:rsidRDefault="00AC19D6" w:rsidP="00AC19D6">
      <w:pPr>
        <w:pStyle w:val="Bullet"/>
        <w:ind w:left="510" w:hanging="510"/>
      </w:pPr>
      <w:r>
        <w:t>$13,320 (60 penalty units) if the person is a body corporate; or</w:t>
      </w:r>
    </w:p>
    <w:p w14:paraId="285B4180" w14:textId="77777777" w:rsidR="00AC19D6" w:rsidRDefault="00AC19D6" w:rsidP="00AC19D6">
      <w:pPr>
        <w:pStyle w:val="Bullet"/>
        <w:ind w:left="510" w:hanging="510"/>
      </w:pPr>
      <w:r>
        <w:t>$2,664 (12 penalty units) if the person is not a body corporate.</w:t>
      </w:r>
    </w:p>
    <w:p w14:paraId="0D9E0E60" w14:textId="77777777" w:rsidR="009C5969" w:rsidRPr="00F53A23" w:rsidRDefault="009C5969" w:rsidP="009C5969">
      <w:pPr>
        <w:spacing w:before="0" w:after="0" w:line="240" w:lineRule="auto"/>
      </w:pPr>
    </w:p>
    <w:p w14:paraId="1C284750" w14:textId="77777777" w:rsidR="000409A4" w:rsidRDefault="000409A4" w:rsidP="000409A4">
      <w:pPr>
        <w:pStyle w:val="Heading5"/>
      </w:pPr>
      <w:r>
        <w:t>Penalties and injunctions</w:t>
      </w:r>
    </w:p>
    <w:p w14:paraId="2925C8D0" w14:textId="65AC9BB8" w:rsidR="00AC2C30" w:rsidRDefault="009B5B7B" w:rsidP="00AC2C30">
      <w:pPr>
        <w:rPr>
          <w:szCs w:val="24"/>
        </w:rPr>
      </w:pPr>
      <w:r>
        <w:t>As l</w:t>
      </w:r>
      <w:r w:rsidRPr="009B5B7B">
        <w:rPr>
          <w:szCs w:val="24"/>
        </w:rPr>
        <w:t>itigation is costly compared to most other compliance and enforcement actions</w:t>
      </w:r>
      <w:r w:rsidR="00F418F0">
        <w:rPr>
          <w:szCs w:val="24"/>
        </w:rPr>
        <w:t>, a</w:t>
      </w:r>
      <w:r w:rsidRPr="009B5B7B">
        <w:rPr>
          <w:szCs w:val="24"/>
        </w:rPr>
        <w:t xml:space="preserve"> regulator would be more likely to commence legal action in circumstances where alleged breaches are blatant, within a regulator’s priority areas, are repeated or would cause significant detriment.</w:t>
      </w:r>
      <w:r w:rsidR="00AC2C30" w:rsidRPr="00AC2C30">
        <w:rPr>
          <w:szCs w:val="24"/>
        </w:rPr>
        <w:t xml:space="preserve"> </w:t>
      </w:r>
      <w:r w:rsidR="006328F3">
        <w:rPr>
          <w:szCs w:val="24"/>
        </w:rPr>
        <w:t>While litigation is therefore likely to be limited</w:t>
      </w:r>
      <w:r w:rsidR="000409A4">
        <w:rPr>
          <w:szCs w:val="24"/>
        </w:rPr>
        <w:t xml:space="preserve"> to those circumstances</w:t>
      </w:r>
      <w:r w:rsidR="006328F3">
        <w:rPr>
          <w:szCs w:val="24"/>
        </w:rPr>
        <w:t>,</w:t>
      </w:r>
      <w:r w:rsidR="006328F3" w:rsidRPr="00C75C88">
        <w:t xml:space="preserve"> </w:t>
      </w:r>
      <w:r w:rsidR="006328F3" w:rsidRPr="00C75C88">
        <w:rPr>
          <w:szCs w:val="24"/>
        </w:rPr>
        <w:t xml:space="preserve">the possibility of pecuniary penalties </w:t>
      </w:r>
      <w:r w:rsidR="00A86F78">
        <w:rPr>
          <w:szCs w:val="24"/>
        </w:rPr>
        <w:t>would</w:t>
      </w:r>
      <w:r w:rsidR="006328F3" w:rsidRPr="00C75C88">
        <w:rPr>
          <w:szCs w:val="24"/>
        </w:rPr>
        <w:t xml:space="preserve"> provide a</w:t>
      </w:r>
      <w:r w:rsidR="006328F3">
        <w:rPr>
          <w:szCs w:val="24"/>
        </w:rPr>
        <w:t>n</w:t>
      </w:r>
      <w:r w:rsidR="006328F3" w:rsidRPr="00C75C88">
        <w:rPr>
          <w:szCs w:val="24"/>
        </w:rPr>
        <w:t xml:space="preserve"> </w:t>
      </w:r>
      <w:r w:rsidR="006328F3">
        <w:rPr>
          <w:szCs w:val="24"/>
        </w:rPr>
        <w:t>incentive</w:t>
      </w:r>
      <w:r w:rsidR="006328F3" w:rsidRPr="00C75C88">
        <w:rPr>
          <w:szCs w:val="24"/>
        </w:rPr>
        <w:t xml:space="preserve"> for </w:t>
      </w:r>
      <w:r w:rsidR="00E66275">
        <w:rPr>
          <w:szCs w:val="24"/>
        </w:rPr>
        <w:t>suppliers</w:t>
      </w:r>
      <w:r w:rsidR="006328F3">
        <w:rPr>
          <w:szCs w:val="24"/>
        </w:rPr>
        <w:t xml:space="preserve"> </w:t>
      </w:r>
      <w:r w:rsidR="006328F3" w:rsidRPr="00C05C3A">
        <w:t>who are not currently meeting their remedy obligations to comply with their legal obligations</w:t>
      </w:r>
      <w:r w:rsidR="004F2293">
        <w:t>,</w:t>
      </w:r>
      <w:r w:rsidR="006328F3" w:rsidRPr="00C05C3A">
        <w:t xml:space="preserve"> and a strong disincentive against not providing a remedy when required do so under the ACL, </w:t>
      </w:r>
      <w:r w:rsidR="006328F3" w:rsidRPr="00C05C3A">
        <w:rPr>
          <w:szCs w:val="24"/>
        </w:rPr>
        <w:t>and</w:t>
      </w:r>
      <w:r w:rsidR="006328F3" w:rsidRPr="00C75C88">
        <w:rPr>
          <w:szCs w:val="24"/>
        </w:rPr>
        <w:t xml:space="preserve"> to cooperate with </w:t>
      </w:r>
      <w:r w:rsidR="00F404B7">
        <w:rPr>
          <w:szCs w:val="24"/>
        </w:rPr>
        <w:t xml:space="preserve">a </w:t>
      </w:r>
      <w:r w:rsidR="006328F3" w:rsidRPr="00C75C88">
        <w:rPr>
          <w:szCs w:val="24"/>
        </w:rPr>
        <w:t>regulator</w:t>
      </w:r>
      <w:r w:rsidR="00F404B7">
        <w:rPr>
          <w:szCs w:val="24"/>
        </w:rPr>
        <w:t xml:space="preserve"> </w:t>
      </w:r>
      <w:r w:rsidR="004F2293">
        <w:rPr>
          <w:szCs w:val="24"/>
        </w:rPr>
        <w:t>to</w:t>
      </w:r>
      <w:r w:rsidR="006328F3" w:rsidRPr="00C75C88">
        <w:rPr>
          <w:szCs w:val="24"/>
        </w:rPr>
        <w:t xml:space="preserve"> address any concerns</w:t>
      </w:r>
      <w:r w:rsidR="004F2293">
        <w:rPr>
          <w:szCs w:val="24"/>
        </w:rPr>
        <w:t>.</w:t>
      </w:r>
      <w:r w:rsidR="006328F3" w:rsidRPr="00C75C88">
        <w:rPr>
          <w:szCs w:val="24"/>
        </w:rPr>
        <w:t xml:space="preserve"> </w:t>
      </w:r>
    </w:p>
    <w:p w14:paraId="1A9C8625" w14:textId="360686ED" w:rsidR="00FE3274" w:rsidRDefault="00B96C44" w:rsidP="00FE3274">
      <w:pPr>
        <w:rPr>
          <w:szCs w:val="24"/>
        </w:rPr>
      </w:pPr>
      <w:r>
        <w:rPr>
          <w:szCs w:val="24"/>
        </w:rPr>
        <w:t xml:space="preserve">Where a </w:t>
      </w:r>
      <w:r w:rsidR="009B5B7B">
        <w:rPr>
          <w:szCs w:val="24"/>
        </w:rPr>
        <w:t>regulator pursues litigation and a court det</w:t>
      </w:r>
      <w:r w:rsidR="00F418F0">
        <w:rPr>
          <w:szCs w:val="24"/>
        </w:rPr>
        <w:t>er</w:t>
      </w:r>
      <w:r w:rsidR="009B5B7B">
        <w:rPr>
          <w:szCs w:val="24"/>
        </w:rPr>
        <w:t>mines</w:t>
      </w:r>
      <w:r w:rsidR="00F418F0">
        <w:rPr>
          <w:szCs w:val="24"/>
        </w:rPr>
        <w:t xml:space="preserve"> a </w:t>
      </w:r>
      <w:r>
        <w:rPr>
          <w:szCs w:val="24"/>
        </w:rPr>
        <w:t xml:space="preserve">contravention </w:t>
      </w:r>
      <w:r w:rsidR="00F418F0">
        <w:rPr>
          <w:szCs w:val="24"/>
        </w:rPr>
        <w:t xml:space="preserve">has </w:t>
      </w:r>
      <w:r>
        <w:rPr>
          <w:szCs w:val="24"/>
        </w:rPr>
        <w:t>occur</w:t>
      </w:r>
      <w:r w:rsidR="00F418F0">
        <w:rPr>
          <w:szCs w:val="24"/>
        </w:rPr>
        <w:t>red</w:t>
      </w:r>
      <w:r>
        <w:rPr>
          <w:szCs w:val="24"/>
        </w:rPr>
        <w:t xml:space="preserve">, the court </w:t>
      </w:r>
      <w:r w:rsidR="00A86F78">
        <w:rPr>
          <w:szCs w:val="24"/>
        </w:rPr>
        <w:t>would have</w:t>
      </w:r>
      <w:r w:rsidR="00F418F0">
        <w:rPr>
          <w:szCs w:val="24"/>
        </w:rPr>
        <w:t xml:space="preserve"> the power </w:t>
      </w:r>
      <w:r>
        <w:rPr>
          <w:szCs w:val="24"/>
        </w:rPr>
        <w:t xml:space="preserve">to </w:t>
      </w:r>
      <w:r w:rsidR="00FE3274">
        <w:rPr>
          <w:szCs w:val="24"/>
        </w:rPr>
        <w:t xml:space="preserve">impose </w:t>
      </w:r>
      <w:r w:rsidR="00FE3274" w:rsidRPr="00FE3274">
        <w:rPr>
          <w:szCs w:val="24"/>
        </w:rPr>
        <w:t>a civil pecuniary penalty</w:t>
      </w:r>
      <w:r w:rsidR="00F418F0">
        <w:rPr>
          <w:szCs w:val="24"/>
        </w:rPr>
        <w:t xml:space="preserve">, if it is </w:t>
      </w:r>
      <w:r w:rsidR="00F418F0" w:rsidRPr="00F418F0">
        <w:rPr>
          <w:szCs w:val="24"/>
        </w:rPr>
        <w:t xml:space="preserve">satisfied that imposing a penalty is appropriate in the circumstances of </w:t>
      </w:r>
      <w:r w:rsidR="00F418F0">
        <w:rPr>
          <w:szCs w:val="24"/>
        </w:rPr>
        <w:t>the</w:t>
      </w:r>
      <w:r w:rsidR="00F418F0" w:rsidRPr="00F418F0">
        <w:rPr>
          <w:szCs w:val="24"/>
        </w:rPr>
        <w:t xml:space="preserve"> individual case</w:t>
      </w:r>
      <w:r w:rsidR="00D67C41">
        <w:rPr>
          <w:szCs w:val="24"/>
        </w:rPr>
        <w:t xml:space="preserve">. </w:t>
      </w:r>
      <w:r w:rsidR="00F418F0" w:rsidRPr="00F418F0">
        <w:rPr>
          <w:szCs w:val="24"/>
        </w:rPr>
        <w:t>The court would be able to determine the appropriate penalty amount, up to the maximum set under the law.</w:t>
      </w:r>
      <w:r w:rsidR="00F418F0" w:rsidDel="00F418F0">
        <w:rPr>
          <w:szCs w:val="24"/>
        </w:rPr>
        <w:t xml:space="preserve"> </w:t>
      </w:r>
    </w:p>
    <w:p w14:paraId="7989D811" w14:textId="232C5B13" w:rsidR="00A41D07" w:rsidRDefault="007C378A" w:rsidP="00FE3274">
      <w:pPr>
        <w:rPr>
          <w:szCs w:val="24"/>
        </w:rPr>
      </w:pPr>
      <w:r>
        <w:rPr>
          <w:szCs w:val="24"/>
        </w:rPr>
        <w:t>The maximum pecuniary penalty payable for a contravention of the ACL depends on the contravention. For example</w:t>
      </w:r>
      <w:r w:rsidR="006D74D0">
        <w:rPr>
          <w:szCs w:val="24"/>
        </w:rPr>
        <w:t xml:space="preserve">, </w:t>
      </w:r>
      <w:r w:rsidR="00800BFE">
        <w:rPr>
          <w:szCs w:val="24"/>
        </w:rPr>
        <w:t xml:space="preserve">contraventions relating to prescribed requirements for warranties and repairs and contraventions relating to </w:t>
      </w:r>
      <w:r w:rsidR="00800BFE" w:rsidRPr="00800BFE">
        <w:rPr>
          <w:szCs w:val="24"/>
        </w:rPr>
        <w:t>unsolicited consumer agreements</w:t>
      </w:r>
      <w:r w:rsidR="00800BFE">
        <w:rPr>
          <w:szCs w:val="24"/>
        </w:rPr>
        <w:t>, the maximum penalty is currently</w:t>
      </w:r>
      <w:r w:rsidR="00946865">
        <w:rPr>
          <w:szCs w:val="24"/>
        </w:rPr>
        <w:t>:</w:t>
      </w:r>
    </w:p>
    <w:p w14:paraId="6783DEBB" w14:textId="798E54F1" w:rsidR="00800BFE" w:rsidRDefault="00946865" w:rsidP="00C10D87">
      <w:pPr>
        <w:pStyle w:val="Bullet"/>
      </w:pPr>
      <w:r>
        <w:t xml:space="preserve">$10,000 </w:t>
      </w:r>
      <w:r w:rsidR="00800BFE">
        <w:t>for individuals</w:t>
      </w:r>
    </w:p>
    <w:p w14:paraId="268656F2" w14:textId="7016A027" w:rsidR="00800BFE" w:rsidRPr="00800BFE" w:rsidRDefault="00800BFE" w:rsidP="00C10D87">
      <w:pPr>
        <w:pStyle w:val="Bullet"/>
      </w:pPr>
      <w:r>
        <w:t>$50,000 for corporations.</w:t>
      </w:r>
    </w:p>
    <w:p w14:paraId="4151453E" w14:textId="74EE4FC1" w:rsidR="005A5072" w:rsidRDefault="00A41D07" w:rsidP="00FE3274">
      <w:pPr>
        <w:rPr>
          <w:szCs w:val="24"/>
        </w:rPr>
      </w:pPr>
      <w:r>
        <w:rPr>
          <w:szCs w:val="24"/>
        </w:rPr>
        <w:t>F</w:t>
      </w:r>
      <w:r w:rsidR="006D74D0">
        <w:rPr>
          <w:szCs w:val="24"/>
        </w:rPr>
        <w:t>or contraventions relating to unconscionable conduct, certain unfair practices</w:t>
      </w:r>
      <w:r w:rsidR="00BE1F39">
        <w:rPr>
          <w:szCs w:val="24"/>
        </w:rPr>
        <w:t xml:space="preserve">, </w:t>
      </w:r>
      <w:r w:rsidR="00BE1F39" w:rsidRPr="00BE1F39">
        <w:rPr>
          <w:szCs w:val="24"/>
        </w:rPr>
        <w:t>safety of consumer goods and product related services</w:t>
      </w:r>
      <w:r w:rsidR="00BE1F39">
        <w:rPr>
          <w:szCs w:val="24"/>
        </w:rPr>
        <w:t xml:space="preserve"> and information standards,</w:t>
      </w:r>
      <w:r w:rsidR="006D74D0">
        <w:rPr>
          <w:szCs w:val="24"/>
        </w:rPr>
        <w:t xml:space="preserve"> </w:t>
      </w:r>
      <w:r>
        <w:rPr>
          <w:szCs w:val="24"/>
        </w:rPr>
        <w:t>the maximum penalty is currently</w:t>
      </w:r>
      <w:r w:rsidR="007C378A">
        <w:rPr>
          <w:szCs w:val="24"/>
        </w:rPr>
        <w:t>:</w:t>
      </w:r>
    </w:p>
    <w:p w14:paraId="1A5FD57B" w14:textId="645DAB7E" w:rsidR="00FE3274" w:rsidRDefault="00FE3274" w:rsidP="00FE3274">
      <w:pPr>
        <w:pStyle w:val="Bullet"/>
      </w:pPr>
      <w:r>
        <w:t>$500,000 for individuals</w:t>
      </w:r>
    </w:p>
    <w:p w14:paraId="6C1F51DC" w14:textId="77777777" w:rsidR="00BE1F39" w:rsidRDefault="00FE3274" w:rsidP="00FE3274">
      <w:pPr>
        <w:pStyle w:val="Bullet"/>
      </w:pPr>
      <w:r>
        <w:t xml:space="preserve">for </w:t>
      </w:r>
      <w:r w:rsidR="00BE1F39">
        <w:t>corporations, the greater of:</w:t>
      </w:r>
    </w:p>
    <w:p w14:paraId="7B88A952" w14:textId="7888F595" w:rsidR="00BE1F39" w:rsidRDefault="00FE3274" w:rsidP="00C10D87">
      <w:pPr>
        <w:pStyle w:val="Dash"/>
      </w:pPr>
      <w:r w:rsidRPr="00C71E63">
        <w:lastRenderedPageBreak/>
        <w:t>$10 million</w:t>
      </w:r>
    </w:p>
    <w:p w14:paraId="234A6670" w14:textId="41D603EF" w:rsidR="00BE1F39" w:rsidRDefault="00FE3274" w:rsidP="00C10D87">
      <w:pPr>
        <w:pStyle w:val="Dash"/>
      </w:pPr>
      <w:r w:rsidRPr="00C71E63">
        <w:t>three times the value of the benefit the company received from the act</w:t>
      </w:r>
      <w:r w:rsidR="00A92880">
        <w:t>,</w:t>
      </w:r>
      <w:r w:rsidRPr="00C71E63">
        <w:t xml:space="preserve"> or</w:t>
      </w:r>
    </w:p>
    <w:p w14:paraId="089911D9" w14:textId="3372FFA6" w:rsidR="00FE3274" w:rsidRDefault="00FE3274" w:rsidP="00C10D87">
      <w:pPr>
        <w:pStyle w:val="Dash"/>
      </w:pPr>
      <w:r w:rsidRPr="00C71E63">
        <w:t>if the benefit cannot be determined, 10</w:t>
      </w:r>
      <w:r w:rsidR="003A48A8">
        <w:t xml:space="preserve"> per cent</w:t>
      </w:r>
      <w:r w:rsidRPr="00C71E63">
        <w:t xml:space="preserve"> of annual turnover in the preceding 12</w:t>
      </w:r>
      <w:r>
        <w:t> </w:t>
      </w:r>
      <w:r w:rsidRPr="00C71E63">
        <w:t>months</w:t>
      </w:r>
      <w:r>
        <w:t xml:space="preserve">. </w:t>
      </w:r>
      <w:r w:rsidR="006D74D0">
        <w:rPr>
          <w:rStyle w:val="FootnoteReference"/>
        </w:rPr>
        <w:footnoteReference w:id="76"/>
      </w:r>
    </w:p>
    <w:p w14:paraId="16969741" w14:textId="643FB2CD" w:rsidR="00560CFC" w:rsidRDefault="00560CFC" w:rsidP="00560CFC">
      <w:r>
        <w:t xml:space="preserve">Feedback is sought from stakeholders on what would be considered an appropriate maximum penalty for a supplier or manufacturer failing to provide a </w:t>
      </w:r>
      <w:r w:rsidR="00A86F78">
        <w:t xml:space="preserve">remedy for a </w:t>
      </w:r>
      <w:r>
        <w:t>consumer guarantee when required under the ACL.</w:t>
      </w:r>
    </w:p>
    <w:p w14:paraId="25B40CF3" w14:textId="7ABB44ED" w:rsidR="00C74CAB" w:rsidRDefault="00B0252F" w:rsidP="00851501">
      <w:pPr>
        <w:rPr>
          <w:szCs w:val="24"/>
        </w:rPr>
      </w:pPr>
      <w:r>
        <w:t>C</w:t>
      </w:r>
      <w:r w:rsidR="0042676D">
        <w:t>ourt</w:t>
      </w:r>
      <w:r>
        <w:t>s</w:t>
      </w:r>
      <w:r w:rsidR="0042676D">
        <w:t xml:space="preserve"> </w:t>
      </w:r>
      <w:r>
        <w:t xml:space="preserve">would also </w:t>
      </w:r>
      <w:r w:rsidR="0076579C">
        <w:t xml:space="preserve">have </w:t>
      </w:r>
      <w:r>
        <w:t xml:space="preserve">the power to </w:t>
      </w:r>
      <w:r w:rsidR="00C74CAB">
        <w:t xml:space="preserve">issue </w:t>
      </w:r>
      <w:r w:rsidR="0042676D">
        <w:t>i</w:t>
      </w:r>
      <w:r w:rsidR="0042676D" w:rsidRPr="00AA23CB">
        <w:rPr>
          <w:szCs w:val="24"/>
        </w:rPr>
        <w:t>njunctions to require businesses to act, or refrain from acting, in a certain way in the future</w:t>
      </w:r>
      <w:r w:rsidR="00FC0607">
        <w:rPr>
          <w:szCs w:val="24"/>
        </w:rPr>
        <w:t xml:space="preserve">. </w:t>
      </w:r>
      <w:r w:rsidR="00D67C41">
        <w:rPr>
          <w:szCs w:val="24"/>
        </w:rPr>
        <w:t xml:space="preserve">This </w:t>
      </w:r>
      <w:r w:rsidR="00973E26">
        <w:rPr>
          <w:szCs w:val="24"/>
        </w:rPr>
        <w:t xml:space="preserve">would </w:t>
      </w:r>
      <w:r w:rsidR="00D67C41">
        <w:rPr>
          <w:szCs w:val="24"/>
        </w:rPr>
        <w:t xml:space="preserve">support better outcomes for consumers because it would directly address specific </w:t>
      </w:r>
      <w:r w:rsidR="00AC19D6">
        <w:rPr>
          <w:szCs w:val="24"/>
        </w:rPr>
        <w:t>supplier</w:t>
      </w:r>
      <w:r w:rsidR="00D67C41">
        <w:rPr>
          <w:szCs w:val="24"/>
        </w:rPr>
        <w:t xml:space="preserve"> actions </w:t>
      </w:r>
      <w:r w:rsidR="00894BE3">
        <w:rPr>
          <w:szCs w:val="24"/>
        </w:rPr>
        <w:t xml:space="preserve">the court believes </w:t>
      </w:r>
      <w:r w:rsidR="00D67C41">
        <w:rPr>
          <w:szCs w:val="24"/>
        </w:rPr>
        <w:t xml:space="preserve">have </w:t>
      </w:r>
      <w:r w:rsidR="00894BE3">
        <w:rPr>
          <w:szCs w:val="24"/>
        </w:rPr>
        <w:t xml:space="preserve">impeded consumers from obtaining </w:t>
      </w:r>
      <w:r w:rsidR="00973E26">
        <w:rPr>
          <w:szCs w:val="24"/>
        </w:rPr>
        <w:t xml:space="preserve">a remedy for a consumer guarantee failure. </w:t>
      </w:r>
      <w:r w:rsidR="003753A2">
        <w:rPr>
          <w:szCs w:val="24"/>
        </w:rPr>
        <w:br/>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4D404E" w14:paraId="1F54F636" w14:textId="77777777" w:rsidTr="00A10E9E">
        <w:tc>
          <w:tcPr>
            <w:tcW w:w="9016" w:type="dxa"/>
            <w:shd w:val="clear" w:color="auto" w:fill="F2F2F2" w:themeFill="background1" w:themeFillShade="F2"/>
          </w:tcPr>
          <w:p w14:paraId="467CA3D5" w14:textId="5C88742C" w:rsidR="004D404E" w:rsidRPr="00EC7C4D" w:rsidRDefault="0055405D" w:rsidP="00A10E9E">
            <w:pPr>
              <w:spacing w:after="180"/>
              <w:rPr>
                <w:b/>
                <w:sz w:val="22"/>
                <w:szCs w:val="28"/>
              </w:rPr>
            </w:pPr>
            <w:r>
              <w:t xml:space="preserve"> </w:t>
            </w:r>
            <w:r w:rsidR="004D404E" w:rsidRPr="00EC7C4D">
              <w:rPr>
                <w:b/>
                <w:sz w:val="22"/>
                <w:szCs w:val="28"/>
              </w:rPr>
              <w:t>Focus questions:</w:t>
            </w:r>
          </w:p>
          <w:p w14:paraId="3A5D7106" w14:textId="07AF8931" w:rsidR="005B1E7C" w:rsidRPr="00EC7C4D" w:rsidRDefault="005B1E7C" w:rsidP="004A3FDA">
            <w:pPr>
              <w:pStyle w:val="Bullet"/>
              <w:widowControl w:val="0"/>
              <w:numPr>
                <w:ilvl w:val="0"/>
                <w:numId w:val="37"/>
              </w:numPr>
              <w:spacing w:before="120" w:after="240" w:line="280" w:lineRule="exact"/>
              <w:rPr>
                <w:sz w:val="22"/>
                <w:szCs w:val="22"/>
              </w:rPr>
            </w:pPr>
            <w:r w:rsidRPr="00EC7C4D">
              <w:rPr>
                <w:sz w:val="22"/>
                <w:szCs w:val="22"/>
              </w:rPr>
              <w:t xml:space="preserve">What do you consider would be an appropriate maximum penalty for a supplier or manufacturer failing to provide a </w:t>
            </w:r>
            <w:r w:rsidR="00A86F78" w:rsidRPr="00EC7C4D">
              <w:rPr>
                <w:sz w:val="22"/>
                <w:szCs w:val="22"/>
              </w:rPr>
              <w:t xml:space="preserve">remedy for a failure to comply with a </w:t>
            </w:r>
            <w:r w:rsidRPr="00EC7C4D">
              <w:rPr>
                <w:sz w:val="22"/>
                <w:szCs w:val="22"/>
              </w:rPr>
              <w:t xml:space="preserve">consumer guarantee when required under the ACL? Please </w:t>
            </w:r>
            <w:r w:rsidR="00F404B7" w:rsidRPr="00EC7C4D">
              <w:rPr>
                <w:sz w:val="22"/>
                <w:szCs w:val="22"/>
              </w:rPr>
              <w:t xml:space="preserve">detail reasons for your </w:t>
            </w:r>
            <w:r w:rsidRPr="00EC7C4D">
              <w:rPr>
                <w:sz w:val="22"/>
                <w:szCs w:val="22"/>
              </w:rPr>
              <w:t>position.</w:t>
            </w:r>
          </w:p>
          <w:p w14:paraId="162EE006" w14:textId="742ED06C" w:rsidR="004D404E" w:rsidRPr="00FC0607" w:rsidRDefault="005B1E7C" w:rsidP="004A3FDA">
            <w:pPr>
              <w:pStyle w:val="Bullet"/>
              <w:widowControl w:val="0"/>
              <w:numPr>
                <w:ilvl w:val="0"/>
                <w:numId w:val="37"/>
              </w:numPr>
              <w:spacing w:before="120" w:after="240" w:line="280" w:lineRule="exact"/>
            </w:pPr>
            <w:r w:rsidRPr="00EC7C4D">
              <w:rPr>
                <w:sz w:val="22"/>
                <w:szCs w:val="22"/>
              </w:rPr>
              <w:t>What do you consider would be an appropriate infringement notice amount for an alleged contravention of a requirement to provide a</w:t>
            </w:r>
            <w:r w:rsidR="00A86F78" w:rsidRPr="00EC7C4D">
              <w:rPr>
                <w:sz w:val="22"/>
                <w:szCs w:val="22"/>
              </w:rPr>
              <w:t xml:space="preserve"> remedy for a failure to comply with a</w:t>
            </w:r>
            <w:r w:rsidRPr="00EC7C4D">
              <w:rPr>
                <w:sz w:val="22"/>
                <w:szCs w:val="22"/>
              </w:rPr>
              <w:t xml:space="preserve"> consumer guarantee? Please </w:t>
            </w:r>
            <w:r w:rsidR="00F404B7" w:rsidRPr="00EC7C4D">
              <w:rPr>
                <w:sz w:val="22"/>
                <w:szCs w:val="22"/>
              </w:rPr>
              <w:t xml:space="preserve">detail reasons for </w:t>
            </w:r>
            <w:r w:rsidRPr="00EC7C4D">
              <w:rPr>
                <w:sz w:val="22"/>
                <w:szCs w:val="22"/>
              </w:rPr>
              <w:t>your position.</w:t>
            </w:r>
          </w:p>
        </w:tc>
      </w:tr>
    </w:tbl>
    <w:p w14:paraId="4640A61B" w14:textId="36834346" w:rsidR="005167D9" w:rsidRDefault="003753A2" w:rsidP="004D404E">
      <w:r>
        <w:br/>
      </w:r>
      <w:r w:rsidR="005167D9">
        <w:t xml:space="preserve">To the extent litigation is undertaken, any resulting precedents would enable greater certainty about how the law applies in specific circumstances, which would be reflected in regulator guidance, and could be followed by </w:t>
      </w:r>
      <w:r w:rsidR="00A86F78">
        <w:t xml:space="preserve">businesses, </w:t>
      </w:r>
      <w:r w:rsidR="005167D9">
        <w:t xml:space="preserve">courts </w:t>
      </w:r>
      <w:r w:rsidR="00A86F78">
        <w:t>and</w:t>
      </w:r>
      <w:r w:rsidR="005167D9">
        <w:t xml:space="preserve"> tribunals in considering future claims.</w:t>
      </w:r>
    </w:p>
    <w:p w14:paraId="7FE4D1EE" w14:textId="273F658A" w:rsidR="004D404E" w:rsidRPr="009C5969" w:rsidRDefault="0055405D" w:rsidP="009C5969">
      <w:r>
        <w:t>Over time, improvements to compliance with the consumer guarantees among traders may result in consumers developing greater confidence in their purchases</w:t>
      </w:r>
      <w:r w:rsidR="00E024FC">
        <w:t xml:space="preserve">, </w:t>
      </w:r>
      <w:r w:rsidR="00E024FC">
        <w:rPr>
          <w:szCs w:val="24"/>
        </w:rPr>
        <w:t xml:space="preserve">increasing the likelihood of further sales </w:t>
      </w:r>
      <w:r w:rsidR="00E024FC">
        <w:t>and</w:t>
      </w:r>
      <w:r>
        <w:t xml:space="preserve"> reduce the number of complaints to </w:t>
      </w:r>
      <w:r w:rsidR="009C5969">
        <w:t>regulators.</w:t>
      </w:r>
      <w:r w:rsidR="00E024FC">
        <w:rPr>
          <w:szCs w:val="24"/>
        </w:rPr>
        <w:t xml:space="preserve"> </w:t>
      </w:r>
    </w:p>
    <w:p w14:paraId="35075990" w14:textId="555A3355" w:rsidR="004D404E" w:rsidRDefault="0091289E" w:rsidP="00946152">
      <w:pPr>
        <w:pStyle w:val="Heading4"/>
      </w:pPr>
      <w:r>
        <w:t>Possible impacts on consumers</w:t>
      </w:r>
    </w:p>
    <w:p w14:paraId="5AF0F469" w14:textId="095ECB87" w:rsidR="00787F1D" w:rsidRDefault="00A10E9E" w:rsidP="00787F1D">
      <w:pPr>
        <w:rPr>
          <w:szCs w:val="24"/>
        </w:rPr>
      </w:pPr>
      <w:r>
        <w:rPr>
          <w:szCs w:val="24"/>
        </w:rPr>
        <w:t>T</w:t>
      </w:r>
      <w:r w:rsidR="004D404E">
        <w:rPr>
          <w:szCs w:val="24"/>
        </w:rPr>
        <w:t xml:space="preserve">here </w:t>
      </w:r>
      <w:r w:rsidR="003753A2">
        <w:rPr>
          <w:szCs w:val="24"/>
        </w:rPr>
        <w:t>i</w:t>
      </w:r>
      <w:r w:rsidR="004D404E">
        <w:rPr>
          <w:szCs w:val="24"/>
        </w:rPr>
        <w:t xml:space="preserve">s a risk </w:t>
      </w:r>
      <w:r w:rsidR="009A0498">
        <w:rPr>
          <w:szCs w:val="24"/>
        </w:rPr>
        <w:t xml:space="preserve">costs </w:t>
      </w:r>
      <w:r w:rsidR="002D44C7">
        <w:rPr>
          <w:szCs w:val="24"/>
        </w:rPr>
        <w:t>associated with penalties c</w:t>
      </w:r>
      <w:r w:rsidR="009A0498">
        <w:rPr>
          <w:szCs w:val="24"/>
        </w:rPr>
        <w:t>ould</w:t>
      </w:r>
      <w:r w:rsidR="00787F1D">
        <w:rPr>
          <w:szCs w:val="24"/>
        </w:rPr>
        <w:t xml:space="preserve"> be passed on to consumers via increased prices for goods and services</w:t>
      </w:r>
      <w:r w:rsidR="002D44C7">
        <w:rPr>
          <w:szCs w:val="24"/>
        </w:rPr>
        <w:t>,</w:t>
      </w:r>
      <w:r w:rsidR="00787F1D">
        <w:rPr>
          <w:szCs w:val="24"/>
        </w:rPr>
        <w:t xml:space="preserve"> </w:t>
      </w:r>
      <w:r>
        <w:rPr>
          <w:szCs w:val="24"/>
        </w:rPr>
        <w:t>but they could also be</w:t>
      </w:r>
      <w:r w:rsidR="00787F1D">
        <w:rPr>
          <w:szCs w:val="24"/>
        </w:rPr>
        <w:t xml:space="preserve"> absorbed by traders in reduced profits.</w:t>
      </w:r>
      <w:r w:rsidR="00D34A60">
        <w:rPr>
          <w:szCs w:val="24"/>
        </w:rPr>
        <w:t xml:space="preserve"> </w:t>
      </w:r>
      <w:r w:rsidR="002D44C7">
        <w:rPr>
          <w:szCs w:val="24"/>
        </w:rPr>
        <w:t>Currently, c</w:t>
      </w:r>
      <w:r w:rsidR="00D34A60" w:rsidRPr="00D34A60">
        <w:rPr>
          <w:szCs w:val="24"/>
        </w:rPr>
        <w:t xml:space="preserve">onsumers </w:t>
      </w:r>
      <w:r w:rsidR="00A92880">
        <w:rPr>
          <w:szCs w:val="24"/>
        </w:rPr>
        <w:t xml:space="preserve">are </w:t>
      </w:r>
      <w:r w:rsidR="00D34A60" w:rsidRPr="00D34A60">
        <w:rPr>
          <w:szCs w:val="24"/>
        </w:rPr>
        <w:t xml:space="preserve">already absorbing the loss of welfare from faulty goods they cannot use when they </w:t>
      </w:r>
      <w:r w:rsidR="00D34A60" w:rsidRPr="00D34A60">
        <w:rPr>
          <w:szCs w:val="24"/>
        </w:rPr>
        <w:lastRenderedPageBreak/>
        <w:t>cannot obtain a remedy.</w:t>
      </w:r>
      <w:r w:rsidR="00D34A60">
        <w:rPr>
          <w:szCs w:val="24"/>
        </w:rPr>
        <w:t xml:space="preserve"> I</w:t>
      </w:r>
      <w:r w:rsidR="00787F1D">
        <w:rPr>
          <w:szCs w:val="24"/>
        </w:rPr>
        <w:t xml:space="preserve">ncreased quality of goods and services and </w:t>
      </w:r>
      <w:r w:rsidR="008F1369">
        <w:rPr>
          <w:szCs w:val="24"/>
        </w:rPr>
        <w:t xml:space="preserve">better </w:t>
      </w:r>
      <w:r w:rsidR="00787F1D">
        <w:rPr>
          <w:szCs w:val="24"/>
        </w:rPr>
        <w:t xml:space="preserve">consumer </w:t>
      </w:r>
      <w:r w:rsidR="003753A2">
        <w:rPr>
          <w:szCs w:val="24"/>
        </w:rPr>
        <w:t xml:space="preserve">perceptions </w:t>
      </w:r>
      <w:r w:rsidR="00A92880">
        <w:rPr>
          <w:szCs w:val="24"/>
        </w:rPr>
        <w:t xml:space="preserve">that </w:t>
      </w:r>
      <w:r w:rsidR="003753A2">
        <w:rPr>
          <w:szCs w:val="24"/>
        </w:rPr>
        <w:t>businesses</w:t>
      </w:r>
      <w:r w:rsidR="00787F1D">
        <w:rPr>
          <w:szCs w:val="24"/>
        </w:rPr>
        <w:t xml:space="preserve"> </w:t>
      </w:r>
      <w:r w:rsidR="00B62687">
        <w:rPr>
          <w:szCs w:val="24"/>
        </w:rPr>
        <w:t>are</w:t>
      </w:r>
      <w:r w:rsidR="00787F1D">
        <w:rPr>
          <w:szCs w:val="24"/>
        </w:rPr>
        <w:t xml:space="preserve"> responsive to </w:t>
      </w:r>
      <w:r w:rsidR="008F1369">
        <w:rPr>
          <w:szCs w:val="24"/>
        </w:rPr>
        <w:t xml:space="preserve">product </w:t>
      </w:r>
      <w:r w:rsidR="00787F1D">
        <w:rPr>
          <w:szCs w:val="24"/>
        </w:rPr>
        <w:t xml:space="preserve">problems by providing remedies, can also benefit businesses </w:t>
      </w:r>
      <w:r>
        <w:rPr>
          <w:szCs w:val="24"/>
        </w:rPr>
        <w:t>through improved</w:t>
      </w:r>
      <w:r w:rsidR="00787F1D">
        <w:rPr>
          <w:szCs w:val="24"/>
        </w:rPr>
        <w:t xml:space="preserve"> consumer confidence and increas</w:t>
      </w:r>
      <w:r w:rsidR="00B62687">
        <w:rPr>
          <w:szCs w:val="24"/>
        </w:rPr>
        <w:t>e</w:t>
      </w:r>
      <w:r w:rsidR="00787F1D">
        <w:rPr>
          <w:szCs w:val="24"/>
        </w:rPr>
        <w:t xml:space="preserve"> the likelihood of further sales. </w:t>
      </w:r>
    </w:p>
    <w:p w14:paraId="2379B7C4" w14:textId="1C69E861" w:rsidR="00E505E2" w:rsidRDefault="00E505E2" w:rsidP="00BB630E">
      <w:pPr>
        <w:pStyle w:val="Heading4"/>
      </w:pPr>
      <w:r>
        <w:t>Major failures versus non-major failures</w:t>
      </w:r>
    </w:p>
    <w:p w14:paraId="03037564" w14:textId="620E891C" w:rsidR="007C2604" w:rsidRDefault="00E505E2" w:rsidP="007C2604">
      <w:pPr>
        <w:spacing w:after="180"/>
        <w:rPr>
          <w:szCs w:val="24"/>
        </w:rPr>
      </w:pPr>
      <w:r>
        <w:rPr>
          <w:szCs w:val="24"/>
        </w:rPr>
        <w:t xml:space="preserve">Stakeholder feedback is sought on the appropriateness of limiting this option to </w:t>
      </w:r>
      <w:r w:rsidRPr="00E505E2">
        <w:rPr>
          <w:szCs w:val="24"/>
        </w:rPr>
        <w:t xml:space="preserve">‘major failure’ </w:t>
      </w:r>
      <w:r>
        <w:rPr>
          <w:szCs w:val="24"/>
        </w:rPr>
        <w:t xml:space="preserve">only. </w:t>
      </w:r>
      <w:r w:rsidR="007C2604">
        <w:rPr>
          <w:szCs w:val="24"/>
        </w:rPr>
        <w:t xml:space="preserve">The problems identified </w:t>
      </w:r>
      <w:r w:rsidR="00052318">
        <w:rPr>
          <w:szCs w:val="24"/>
        </w:rPr>
        <w:t xml:space="preserve">from </w:t>
      </w:r>
      <w:r>
        <w:rPr>
          <w:szCs w:val="24"/>
        </w:rPr>
        <w:t xml:space="preserve">previous consultation </w:t>
      </w:r>
      <w:r w:rsidR="007C2604">
        <w:rPr>
          <w:szCs w:val="24"/>
        </w:rPr>
        <w:t>were that consumers faced problems obtaining remedies for major failures and for repeated or multiple non-major failures.</w:t>
      </w:r>
      <w:r>
        <w:rPr>
          <w:szCs w:val="24"/>
        </w:rPr>
        <w:t> </w:t>
      </w:r>
      <w:r w:rsidR="007C2604">
        <w:rPr>
          <w:rStyle w:val="FootnoteReference"/>
          <w:szCs w:val="24"/>
        </w:rPr>
        <w:footnoteReference w:id="77"/>
      </w:r>
      <w:r>
        <w:rPr>
          <w:szCs w:val="24"/>
        </w:rPr>
        <w:t xml:space="preserve"> </w:t>
      </w:r>
      <w:r w:rsidR="002D44C7">
        <w:rPr>
          <w:szCs w:val="24"/>
        </w:rPr>
        <w:t>T</w:t>
      </w:r>
      <w:r w:rsidR="00FB6C70">
        <w:rPr>
          <w:szCs w:val="24"/>
        </w:rPr>
        <w:t xml:space="preserve">he ACL provides </w:t>
      </w:r>
      <w:r w:rsidR="007C2604">
        <w:rPr>
          <w:szCs w:val="24"/>
        </w:rPr>
        <w:t>if a supplier refuses or fails to remedy a non-major failure (or does</w:t>
      </w:r>
      <w:r w:rsidR="00851CAD">
        <w:rPr>
          <w:szCs w:val="24"/>
        </w:rPr>
        <w:t xml:space="preserve"> </w:t>
      </w:r>
      <w:r w:rsidR="007C2604">
        <w:rPr>
          <w:szCs w:val="24"/>
        </w:rPr>
        <w:t>n</w:t>
      </w:r>
      <w:r w:rsidR="00851CAD">
        <w:rPr>
          <w:szCs w:val="24"/>
        </w:rPr>
        <w:t>o</w:t>
      </w:r>
      <w:r w:rsidR="007C2604">
        <w:rPr>
          <w:szCs w:val="24"/>
        </w:rPr>
        <w:t>t remedy the failure within a reasonable time), consumers are entitled to reject goods or terminate service contracts</w:t>
      </w:r>
      <w:r w:rsidR="00BB630E">
        <w:rPr>
          <w:szCs w:val="24"/>
        </w:rPr>
        <w:t>,</w:t>
      </w:r>
      <w:r w:rsidR="007C2604">
        <w:rPr>
          <w:szCs w:val="24"/>
        </w:rPr>
        <w:t xml:space="preserve"> </w:t>
      </w:r>
      <w:r w:rsidR="00BB630E">
        <w:rPr>
          <w:szCs w:val="24"/>
        </w:rPr>
        <w:t>just as they are able to do in the event of a major failure.</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F86B1B" w:rsidRPr="00EC7C4D" w14:paraId="66129389" w14:textId="77777777" w:rsidTr="004D16EA">
        <w:tc>
          <w:tcPr>
            <w:tcW w:w="9016" w:type="dxa"/>
            <w:shd w:val="clear" w:color="auto" w:fill="F2F2F2" w:themeFill="background1" w:themeFillShade="F2"/>
          </w:tcPr>
          <w:p w14:paraId="5CE1F448" w14:textId="77777777" w:rsidR="00F86B1B" w:rsidRPr="00EC7C4D" w:rsidRDefault="00F86B1B" w:rsidP="00CC73ED">
            <w:pPr>
              <w:spacing w:after="180"/>
              <w:rPr>
                <w:b/>
                <w:sz w:val="22"/>
                <w:szCs w:val="28"/>
              </w:rPr>
            </w:pPr>
            <w:r w:rsidRPr="00EC7C4D">
              <w:rPr>
                <w:b/>
                <w:sz w:val="22"/>
                <w:szCs w:val="28"/>
              </w:rPr>
              <w:t>Focus Question:</w:t>
            </w:r>
          </w:p>
          <w:p w14:paraId="425C32B8" w14:textId="22623B2B" w:rsidR="00F86B1B" w:rsidRPr="00EC7C4D" w:rsidRDefault="00D0775C" w:rsidP="003D2ADD">
            <w:pPr>
              <w:pStyle w:val="Bullet"/>
              <w:widowControl w:val="0"/>
              <w:numPr>
                <w:ilvl w:val="0"/>
                <w:numId w:val="37"/>
              </w:numPr>
              <w:spacing w:before="120" w:after="240" w:line="280" w:lineRule="exact"/>
              <w:rPr>
                <w:sz w:val="22"/>
                <w:szCs w:val="28"/>
              </w:rPr>
            </w:pPr>
            <w:r w:rsidRPr="00EC7C4D">
              <w:rPr>
                <w:sz w:val="22"/>
                <w:szCs w:val="28"/>
              </w:rPr>
              <w:t xml:space="preserve">What would be the most effective way of implementing a civil prohibition for </w:t>
            </w:r>
            <w:r w:rsidR="00AF11C2" w:rsidRPr="00EC7C4D">
              <w:rPr>
                <w:sz w:val="22"/>
                <w:szCs w:val="28"/>
              </w:rPr>
              <w:t xml:space="preserve">a </w:t>
            </w:r>
            <w:r w:rsidRPr="00EC7C4D">
              <w:rPr>
                <w:sz w:val="22"/>
                <w:szCs w:val="28"/>
              </w:rPr>
              <w:t>failure to provide a consumer guarantee remed</w:t>
            </w:r>
            <w:r w:rsidR="00AF11C2" w:rsidRPr="00EC7C4D">
              <w:rPr>
                <w:sz w:val="22"/>
                <w:szCs w:val="28"/>
              </w:rPr>
              <w:t>y</w:t>
            </w:r>
            <w:r w:rsidRPr="00EC7C4D">
              <w:rPr>
                <w:sz w:val="22"/>
                <w:szCs w:val="28"/>
              </w:rPr>
              <w:t>?</w:t>
            </w:r>
            <w:r w:rsidR="004D16EA">
              <w:rPr>
                <w:sz w:val="22"/>
                <w:szCs w:val="28"/>
              </w:rPr>
              <w:t xml:space="preserve"> </w:t>
            </w:r>
            <w:r w:rsidR="004D16EA" w:rsidRPr="00150E60">
              <w:rPr>
                <w:sz w:val="22"/>
                <w:szCs w:val="28"/>
              </w:rPr>
              <w:t xml:space="preserve">Should the circumstances </w:t>
            </w:r>
            <w:r w:rsidR="0020003D" w:rsidRPr="00150E60">
              <w:rPr>
                <w:sz w:val="22"/>
                <w:szCs w:val="28"/>
              </w:rPr>
              <w:t xml:space="preserve">in which a penalty applies </w:t>
            </w:r>
            <w:r w:rsidR="004D16EA" w:rsidRPr="00150E60">
              <w:rPr>
                <w:sz w:val="22"/>
                <w:szCs w:val="28"/>
              </w:rPr>
              <w:t xml:space="preserve">be limited in any way?  </w:t>
            </w:r>
          </w:p>
        </w:tc>
      </w:tr>
    </w:tbl>
    <w:p w14:paraId="08530336" w14:textId="1C0F3AA1" w:rsidR="00A86F78" w:rsidRDefault="0023089A" w:rsidP="00A86F78">
      <w:pPr>
        <w:pStyle w:val="Heading4"/>
      </w:pPr>
      <w:r>
        <w:t>Estimated c</w:t>
      </w:r>
      <w:r w:rsidR="00A86F78">
        <w:t>ost benefit analysis</w:t>
      </w:r>
    </w:p>
    <w:p w14:paraId="2FD1CA90" w14:textId="42DD8706" w:rsidR="00C92C4D" w:rsidRDefault="003458A4" w:rsidP="00762B88">
      <w:pPr>
        <w:spacing w:after="180"/>
        <w:rPr>
          <w:szCs w:val="24"/>
        </w:rPr>
      </w:pPr>
      <w:r w:rsidRPr="003458A4">
        <w:rPr>
          <w:szCs w:val="24"/>
        </w:rPr>
        <w:t>The desired behaviour change arising from this option is suppliers</w:t>
      </w:r>
      <w:r w:rsidR="00A86F78">
        <w:rPr>
          <w:szCs w:val="24"/>
        </w:rPr>
        <w:t xml:space="preserve"> and manufacturers</w:t>
      </w:r>
      <w:r w:rsidRPr="003458A4">
        <w:rPr>
          <w:szCs w:val="24"/>
        </w:rPr>
        <w:t xml:space="preserve"> providing more consumer guarantee </w:t>
      </w:r>
      <w:r w:rsidR="00762B88">
        <w:rPr>
          <w:szCs w:val="24"/>
        </w:rPr>
        <w:t>remedies</w:t>
      </w:r>
      <w:r w:rsidR="00E0228B">
        <w:rPr>
          <w:szCs w:val="24"/>
        </w:rPr>
        <w:t xml:space="preserve"> when consumers are entitled to them</w:t>
      </w:r>
      <w:r w:rsidR="00762B88">
        <w:rPr>
          <w:szCs w:val="24"/>
        </w:rPr>
        <w:t xml:space="preserve">. </w:t>
      </w:r>
      <w:r w:rsidRPr="003458A4">
        <w:rPr>
          <w:szCs w:val="24"/>
        </w:rPr>
        <w:t>This option is premised around suppliers</w:t>
      </w:r>
      <w:r w:rsidR="00A86F78">
        <w:rPr>
          <w:szCs w:val="24"/>
        </w:rPr>
        <w:t xml:space="preserve"> and manufacturers</w:t>
      </w:r>
      <w:r w:rsidRPr="003458A4">
        <w:rPr>
          <w:szCs w:val="24"/>
        </w:rPr>
        <w:t xml:space="preserve"> </w:t>
      </w:r>
      <w:r w:rsidR="00ED51D5">
        <w:rPr>
          <w:szCs w:val="24"/>
        </w:rPr>
        <w:t xml:space="preserve">being </w:t>
      </w:r>
      <w:r w:rsidRPr="003458A4">
        <w:rPr>
          <w:szCs w:val="24"/>
        </w:rPr>
        <w:t>more likely to provide a consumer guarantee remedy if they know they are at risk of a penalty. It is assumed under this option, the proportion of consume</w:t>
      </w:r>
      <w:r>
        <w:rPr>
          <w:szCs w:val="24"/>
        </w:rPr>
        <w:t xml:space="preserve">rs receiving a remedy </w:t>
      </w:r>
      <w:r w:rsidR="00C92C4D" w:rsidRPr="004F1CAF">
        <w:rPr>
          <w:szCs w:val="24"/>
        </w:rPr>
        <w:t xml:space="preserve">increases </w:t>
      </w:r>
      <w:r w:rsidR="00C92C4D">
        <w:rPr>
          <w:szCs w:val="24"/>
        </w:rPr>
        <w:t xml:space="preserve">by </w:t>
      </w:r>
      <w:r w:rsidR="00C92C4D" w:rsidRPr="00315CC1">
        <w:rPr>
          <w:szCs w:val="24"/>
        </w:rPr>
        <w:t>1</w:t>
      </w:r>
      <w:r w:rsidR="003A48A8">
        <w:rPr>
          <w:szCs w:val="24"/>
        </w:rPr>
        <w:t xml:space="preserve"> per cent</w:t>
      </w:r>
      <w:r w:rsidR="00C92C4D" w:rsidRPr="00315CC1">
        <w:rPr>
          <w:szCs w:val="24"/>
        </w:rPr>
        <w:t xml:space="preserve"> per year from 71</w:t>
      </w:r>
      <w:r w:rsidR="003A48A8">
        <w:rPr>
          <w:szCs w:val="24"/>
        </w:rPr>
        <w:t xml:space="preserve"> per cent</w:t>
      </w:r>
      <w:r w:rsidR="00C92C4D" w:rsidRPr="00315CC1">
        <w:rPr>
          <w:szCs w:val="24"/>
        </w:rPr>
        <w:t xml:space="preserve"> in 2020-21 to 81</w:t>
      </w:r>
      <w:r w:rsidR="003A48A8">
        <w:rPr>
          <w:szCs w:val="24"/>
        </w:rPr>
        <w:t xml:space="preserve"> per cent</w:t>
      </w:r>
      <w:r w:rsidR="00C92C4D" w:rsidRPr="00315CC1">
        <w:rPr>
          <w:szCs w:val="24"/>
        </w:rPr>
        <w:t xml:space="preserve"> in 2030-31</w:t>
      </w:r>
      <w:r w:rsidR="00C92C4D" w:rsidRPr="004F1CAF">
        <w:rPr>
          <w:szCs w:val="24"/>
        </w:rPr>
        <w:t xml:space="preserve">. </w:t>
      </w:r>
    </w:p>
    <w:p w14:paraId="1FC0C809" w14:textId="77777777" w:rsidR="00A113DD" w:rsidRDefault="00A113DD" w:rsidP="00A113DD">
      <w:pPr>
        <w:pStyle w:val="Heading5"/>
      </w:pPr>
      <w:r>
        <w:t>Estimated regulatory burden</w:t>
      </w:r>
    </w:p>
    <w:p w14:paraId="5E44EED5" w14:textId="6893C981" w:rsidR="008F1369" w:rsidRDefault="00A113DD" w:rsidP="003D2ADD">
      <w:r>
        <w:t xml:space="preserve">The regulatory burden for Option 3 is estimated to be </w:t>
      </w:r>
      <w:r w:rsidR="004932F0">
        <w:t xml:space="preserve">$44.8 </w:t>
      </w:r>
      <w:r>
        <w:t>million in the first year</w:t>
      </w:r>
      <w:r w:rsidR="003F04C5">
        <w:t>,</w:t>
      </w:r>
      <w:r>
        <w:t xml:space="preserve"> with no ongoing costs. The regulatory burden is </w:t>
      </w:r>
      <w:r w:rsidRPr="00E24B91">
        <w:t>incurred by business</w:t>
      </w:r>
      <w:r>
        <w:t>es who are responsible for complying with the consumer guarantee provisions of the ACL</w:t>
      </w:r>
      <w:r w:rsidRPr="00E24B91">
        <w:t xml:space="preserve"> and includes the cost of </w:t>
      </w:r>
      <w:r w:rsidR="003F04C5">
        <w:t xml:space="preserve">a </w:t>
      </w:r>
      <w:r>
        <w:t xml:space="preserve">one-off incidence </w:t>
      </w:r>
      <w:r w:rsidR="003F04C5">
        <w:t xml:space="preserve">of staff </w:t>
      </w:r>
      <w:r w:rsidRPr="00E24B91">
        <w:t>training to raise awareness of the n</w:t>
      </w:r>
      <w:r>
        <w:t>ew regulatory requirements. This compliance burden</w:t>
      </w:r>
      <w:r w:rsidRPr="00E24B91">
        <w:t xml:space="preserve"> is calculated by assuming every retail employee is required to undergo 30 minutes of training. While the underlying obligation has not changed, it </w:t>
      </w:r>
      <w:r w:rsidR="00344AB6">
        <w:t>is</w:t>
      </w:r>
      <w:r w:rsidR="00344AB6" w:rsidRPr="00E24B91">
        <w:t xml:space="preserve"> </w:t>
      </w:r>
      <w:r w:rsidRPr="00E24B91">
        <w:t>assumed staff undergo training on the consequences of non</w:t>
      </w:r>
      <w:r>
        <w:t>-</w:t>
      </w:r>
      <w:r w:rsidRPr="00E24B91">
        <w:t>compliance to support the</w:t>
      </w:r>
      <w:r w:rsidR="00344AB6">
        <w:t xml:space="preserve"> behavioural</w:t>
      </w:r>
      <w:r w:rsidRPr="00E24B91">
        <w:t xml:space="preserve"> change</w:t>
      </w:r>
      <w:r w:rsidR="008F1369">
        <w:t>.</w:t>
      </w:r>
      <w:r w:rsidR="008F1369">
        <w:br w:type="page"/>
      </w:r>
    </w:p>
    <w:p w14:paraId="4940EBD1" w14:textId="40AB0446" w:rsidR="00A113DD" w:rsidRPr="008D32E8" w:rsidRDefault="008D32E8" w:rsidP="008D32E8">
      <w:pPr>
        <w:pStyle w:val="Caption"/>
        <w:rPr>
          <w:b/>
          <w:bCs/>
          <w:i w:val="0"/>
          <w:iCs w:val="0"/>
          <w:sz w:val="22"/>
          <w:szCs w:val="22"/>
        </w:rPr>
      </w:pPr>
      <w:bookmarkStart w:id="152" w:name="_Toc87529826"/>
      <w:bookmarkStart w:id="153" w:name="_Toc89700878"/>
      <w:bookmarkStart w:id="154" w:name="_Hlk88468073"/>
      <w:r w:rsidRPr="008D32E8">
        <w:rPr>
          <w:b/>
          <w:bCs/>
          <w:i w:val="0"/>
          <w:iCs w:val="0"/>
          <w:sz w:val="22"/>
          <w:szCs w:val="22"/>
        </w:rPr>
        <w:lastRenderedPageBreak/>
        <w:t xml:space="preserve">Table </w:t>
      </w:r>
      <w:r w:rsidRPr="008D32E8">
        <w:rPr>
          <w:b/>
          <w:bCs/>
          <w:i w:val="0"/>
          <w:iCs w:val="0"/>
          <w:sz w:val="22"/>
          <w:szCs w:val="22"/>
        </w:rPr>
        <w:fldChar w:fldCharType="begin"/>
      </w:r>
      <w:r w:rsidRPr="008D32E8">
        <w:rPr>
          <w:b/>
          <w:bCs/>
          <w:i w:val="0"/>
          <w:iCs w:val="0"/>
          <w:sz w:val="22"/>
          <w:szCs w:val="22"/>
        </w:rPr>
        <w:instrText xml:space="preserve"> SEQ Table \* ARABIC </w:instrText>
      </w:r>
      <w:r w:rsidRPr="008D32E8">
        <w:rPr>
          <w:b/>
          <w:bCs/>
          <w:i w:val="0"/>
          <w:iCs w:val="0"/>
          <w:sz w:val="22"/>
          <w:szCs w:val="22"/>
        </w:rPr>
        <w:fldChar w:fldCharType="separate"/>
      </w:r>
      <w:r w:rsidR="00001633">
        <w:rPr>
          <w:b/>
          <w:bCs/>
          <w:i w:val="0"/>
          <w:iCs w:val="0"/>
          <w:noProof/>
          <w:sz w:val="22"/>
          <w:szCs w:val="22"/>
        </w:rPr>
        <w:t>6</w:t>
      </w:r>
      <w:r w:rsidRPr="008D32E8">
        <w:rPr>
          <w:b/>
          <w:bCs/>
          <w:i w:val="0"/>
          <w:iCs w:val="0"/>
          <w:sz w:val="22"/>
          <w:szCs w:val="22"/>
        </w:rPr>
        <w:fldChar w:fldCharType="end"/>
      </w:r>
      <w:r w:rsidRPr="008D32E8">
        <w:rPr>
          <w:b/>
          <w:bCs/>
          <w:i w:val="0"/>
          <w:iCs w:val="0"/>
          <w:sz w:val="22"/>
          <w:szCs w:val="22"/>
        </w:rPr>
        <w:t xml:space="preserve">: </w:t>
      </w:r>
      <w:r w:rsidR="00A92880">
        <w:rPr>
          <w:b/>
          <w:bCs/>
          <w:i w:val="0"/>
          <w:iCs w:val="0"/>
          <w:sz w:val="22"/>
          <w:szCs w:val="22"/>
        </w:rPr>
        <w:t>R</w:t>
      </w:r>
      <w:r w:rsidR="00A113DD" w:rsidRPr="008D32E8">
        <w:rPr>
          <w:b/>
          <w:bCs/>
          <w:i w:val="0"/>
          <w:iCs w:val="0"/>
          <w:sz w:val="22"/>
          <w:szCs w:val="22"/>
        </w:rPr>
        <w:t>egulatory burden estimate</w:t>
      </w:r>
      <w:r w:rsidR="001922C7">
        <w:rPr>
          <w:rStyle w:val="FootnoteReference"/>
          <w:b/>
          <w:bCs/>
          <w:i w:val="0"/>
          <w:iCs w:val="0"/>
          <w:szCs w:val="22"/>
        </w:rPr>
        <w:footnoteReference w:id="78"/>
      </w:r>
      <w:r w:rsidR="00A113DD" w:rsidRPr="008D32E8">
        <w:rPr>
          <w:b/>
          <w:bCs/>
          <w:i w:val="0"/>
          <w:iCs w:val="0"/>
          <w:sz w:val="22"/>
          <w:szCs w:val="22"/>
        </w:rPr>
        <w:t xml:space="preserve"> table for Part A, Option 3</w:t>
      </w:r>
      <w:bookmarkEnd w:id="152"/>
      <w:bookmarkEnd w:id="153"/>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regulatory burden estimate table for Part A, Option 3"/>
        <w:tblDescription w:val="Provides an estimate of the regulatory burden for Part A, Option 3. The Change in costs would be $1.84 million (total by sector) for business and nil cost for community organisations or individuals. The total change in costs is estimated to be $1.84 million. "/>
      </w:tblPr>
      <w:tblGrid>
        <w:gridCol w:w="2384"/>
        <w:gridCol w:w="932"/>
        <w:gridCol w:w="2442"/>
        <w:gridCol w:w="1218"/>
        <w:gridCol w:w="2084"/>
      </w:tblGrid>
      <w:tr w:rsidR="006D256F" w:rsidRPr="00EC7C4D" w14:paraId="4F2F0874" w14:textId="77777777" w:rsidTr="006D256F">
        <w:tc>
          <w:tcPr>
            <w:tcW w:w="5000" w:type="pct"/>
            <w:gridSpan w:val="5"/>
            <w:shd w:val="clear" w:color="auto" w:fill="B690C9" w:themeFill="accent6" w:themeFillTint="99"/>
          </w:tcPr>
          <w:p w14:paraId="5AA38B97" w14:textId="39AFC4B9" w:rsidR="00A113DD" w:rsidRPr="00EC7C4D" w:rsidRDefault="00A113DD" w:rsidP="00320C61">
            <w:pPr>
              <w:spacing w:before="60" w:after="60" w:line="240" w:lineRule="auto"/>
              <w:rPr>
                <w:b/>
                <w:bCs/>
              </w:rPr>
            </w:pPr>
            <w:r w:rsidRPr="00EC7C4D">
              <w:rPr>
                <w:b/>
                <w:bCs/>
              </w:rPr>
              <w:t>Average annual regulatory costs (from business as usual)</w:t>
            </w:r>
          </w:p>
        </w:tc>
      </w:tr>
      <w:tr w:rsidR="006D256F" w:rsidRPr="00EC7C4D" w14:paraId="5ABBE90E" w14:textId="77777777" w:rsidTr="001922C7">
        <w:tc>
          <w:tcPr>
            <w:tcW w:w="1316" w:type="pct"/>
          </w:tcPr>
          <w:p w14:paraId="5A6439DB" w14:textId="22B013F9" w:rsidR="00A113DD" w:rsidRPr="00EC7C4D" w:rsidRDefault="00A113DD" w:rsidP="00EC7C4D">
            <w:pPr>
              <w:spacing w:before="60" w:after="60" w:line="240" w:lineRule="auto"/>
              <w:rPr>
                <w:b/>
              </w:rPr>
            </w:pPr>
            <w:r w:rsidRPr="00EC7C4D">
              <w:rPr>
                <w:b/>
              </w:rPr>
              <w:t>Change in costs ($ million)</w:t>
            </w:r>
          </w:p>
        </w:tc>
        <w:tc>
          <w:tcPr>
            <w:tcW w:w="514" w:type="pct"/>
          </w:tcPr>
          <w:p w14:paraId="520C8017" w14:textId="77777777" w:rsidR="00A113DD" w:rsidRPr="00EC7C4D" w:rsidRDefault="00A113DD" w:rsidP="00320C61">
            <w:pPr>
              <w:spacing w:before="60" w:after="60" w:line="240" w:lineRule="auto"/>
              <w:rPr>
                <w:b/>
              </w:rPr>
            </w:pPr>
            <w:r w:rsidRPr="00EC7C4D">
              <w:rPr>
                <w:b/>
              </w:rPr>
              <w:t>Business</w:t>
            </w:r>
          </w:p>
        </w:tc>
        <w:tc>
          <w:tcPr>
            <w:tcW w:w="1348" w:type="pct"/>
          </w:tcPr>
          <w:p w14:paraId="449AE406" w14:textId="77777777" w:rsidR="00A113DD" w:rsidRPr="00EC7C4D" w:rsidRDefault="00A113DD" w:rsidP="00320C61">
            <w:pPr>
              <w:spacing w:before="60" w:after="60" w:line="240" w:lineRule="auto"/>
              <w:rPr>
                <w:b/>
              </w:rPr>
            </w:pPr>
            <w:r w:rsidRPr="00EC7C4D">
              <w:rPr>
                <w:b/>
              </w:rPr>
              <w:t>Community organisations</w:t>
            </w:r>
          </w:p>
        </w:tc>
        <w:tc>
          <w:tcPr>
            <w:tcW w:w="672" w:type="pct"/>
          </w:tcPr>
          <w:p w14:paraId="052A82B7" w14:textId="77777777" w:rsidR="00A113DD" w:rsidRPr="00EC7C4D" w:rsidRDefault="00A113DD" w:rsidP="00320C61">
            <w:pPr>
              <w:spacing w:before="60" w:after="60" w:line="240" w:lineRule="auto"/>
              <w:rPr>
                <w:b/>
              </w:rPr>
            </w:pPr>
            <w:r w:rsidRPr="00EC7C4D">
              <w:rPr>
                <w:b/>
              </w:rPr>
              <w:t>Individuals</w:t>
            </w:r>
          </w:p>
        </w:tc>
        <w:tc>
          <w:tcPr>
            <w:tcW w:w="1149" w:type="pct"/>
          </w:tcPr>
          <w:p w14:paraId="4AE5535D" w14:textId="77777777" w:rsidR="00A113DD" w:rsidRPr="00EC7C4D" w:rsidRDefault="00A113DD" w:rsidP="00320C61">
            <w:pPr>
              <w:spacing w:before="60" w:after="60" w:line="240" w:lineRule="auto"/>
              <w:rPr>
                <w:b/>
              </w:rPr>
            </w:pPr>
            <w:r w:rsidRPr="00EC7C4D">
              <w:rPr>
                <w:b/>
              </w:rPr>
              <w:t>Total change in costs</w:t>
            </w:r>
          </w:p>
        </w:tc>
      </w:tr>
      <w:tr w:rsidR="006D256F" w:rsidRPr="00EC7C4D" w14:paraId="1DE90209" w14:textId="77777777" w:rsidTr="001922C7">
        <w:tc>
          <w:tcPr>
            <w:tcW w:w="1316" w:type="pct"/>
          </w:tcPr>
          <w:p w14:paraId="75E8A8DB" w14:textId="77777777" w:rsidR="00A113DD" w:rsidRPr="00EC7C4D" w:rsidRDefault="00A113DD" w:rsidP="00320C61">
            <w:pPr>
              <w:spacing w:before="60" w:after="60" w:line="240" w:lineRule="auto"/>
            </w:pPr>
            <w:r w:rsidRPr="00EC7C4D">
              <w:t>Total, by sector</w:t>
            </w:r>
          </w:p>
        </w:tc>
        <w:tc>
          <w:tcPr>
            <w:tcW w:w="514" w:type="pct"/>
          </w:tcPr>
          <w:p w14:paraId="79A2D38A" w14:textId="38EA0FDE" w:rsidR="00A113DD" w:rsidRPr="00EC7C4D" w:rsidRDefault="00150561" w:rsidP="002E45B0">
            <w:pPr>
              <w:spacing w:before="60" w:after="60" w:line="240" w:lineRule="auto"/>
            </w:pPr>
            <w:r>
              <w:t>$4.48</w:t>
            </w:r>
          </w:p>
        </w:tc>
        <w:tc>
          <w:tcPr>
            <w:tcW w:w="1348" w:type="pct"/>
          </w:tcPr>
          <w:p w14:paraId="769A4A3E" w14:textId="77777777" w:rsidR="00A113DD" w:rsidRPr="00EC7C4D" w:rsidRDefault="00A113DD" w:rsidP="00320C61">
            <w:pPr>
              <w:spacing w:before="60" w:after="60" w:line="240" w:lineRule="auto"/>
              <w:jc w:val="center"/>
            </w:pPr>
            <w:r w:rsidRPr="00EC7C4D">
              <w:t>-</w:t>
            </w:r>
          </w:p>
        </w:tc>
        <w:tc>
          <w:tcPr>
            <w:tcW w:w="672" w:type="pct"/>
          </w:tcPr>
          <w:p w14:paraId="181F2922" w14:textId="77777777" w:rsidR="00A113DD" w:rsidRPr="00EC7C4D" w:rsidRDefault="00A113DD" w:rsidP="00320C61">
            <w:pPr>
              <w:spacing w:before="60" w:after="60" w:line="240" w:lineRule="auto"/>
              <w:jc w:val="center"/>
            </w:pPr>
            <w:r w:rsidRPr="00EC7C4D">
              <w:t>-</w:t>
            </w:r>
          </w:p>
        </w:tc>
        <w:tc>
          <w:tcPr>
            <w:tcW w:w="1149" w:type="pct"/>
          </w:tcPr>
          <w:p w14:paraId="7E79B385" w14:textId="77E4C194" w:rsidR="00A113DD" w:rsidRPr="00EC7C4D" w:rsidRDefault="00150561" w:rsidP="002E45B0">
            <w:pPr>
              <w:spacing w:before="60" w:after="60" w:line="240" w:lineRule="auto"/>
            </w:pPr>
            <w:r>
              <w:t>$4.48</w:t>
            </w:r>
          </w:p>
        </w:tc>
      </w:tr>
    </w:tbl>
    <w:bookmarkEnd w:id="154"/>
    <w:p w14:paraId="52C42421" w14:textId="51060638" w:rsidR="00C92C4D" w:rsidRDefault="00C92C4D" w:rsidP="00C92C4D">
      <w:r>
        <w:t>This option can be applied in one of two ways:</w:t>
      </w:r>
    </w:p>
    <w:p w14:paraId="49AAEB71" w14:textId="26195498" w:rsidR="00C92C4D" w:rsidRDefault="00C92C4D" w:rsidP="004A3FDA">
      <w:pPr>
        <w:pStyle w:val="ListParagraph"/>
        <w:numPr>
          <w:ilvl w:val="0"/>
          <w:numId w:val="15"/>
        </w:numPr>
        <w:spacing w:before="0" w:after="200" w:line="276" w:lineRule="auto"/>
      </w:pPr>
      <w:r>
        <w:t xml:space="preserve">economy wide </w:t>
      </w:r>
    </w:p>
    <w:p w14:paraId="3D1725A4" w14:textId="77777777" w:rsidR="00C92C4D" w:rsidRDefault="00C92C4D" w:rsidP="004A3FDA">
      <w:pPr>
        <w:pStyle w:val="ListParagraph"/>
        <w:numPr>
          <w:ilvl w:val="0"/>
          <w:numId w:val="15"/>
        </w:numPr>
        <w:spacing w:before="0" w:after="200" w:line="276" w:lineRule="auto"/>
      </w:pPr>
      <w:r>
        <w:t>to new motor vehicles only.</w:t>
      </w:r>
    </w:p>
    <w:p w14:paraId="09D55267" w14:textId="77777777" w:rsidR="00946152" w:rsidRDefault="00946152" w:rsidP="00946152">
      <w:pPr>
        <w:pStyle w:val="Heading5"/>
      </w:pPr>
      <w:r>
        <w:t>a)</w:t>
      </w:r>
      <w:r w:rsidRPr="008938C2">
        <w:t xml:space="preserve"> Economy wide approach</w:t>
      </w:r>
    </w:p>
    <w:p w14:paraId="151513DD" w14:textId="7E844C7C" w:rsidR="009C044B" w:rsidRDefault="00B923AA" w:rsidP="00946152">
      <w:r>
        <w:t>A</w:t>
      </w:r>
      <w:r w:rsidR="00946152">
        <w:t xml:space="preserve">pplying </w:t>
      </w:r>
      <w:r w:rsidRPr="00B923AA">
        <w:t>a</w:t>
      </w:r>
      <w:r>
        <w:t>n</w:t>
      </w:r>
      <w:r w:rsidRPr="00B923AA">
        <w:t xml:space="preserve"> </w:t>
      </w:r>
      <w:r>
        <w:t xml:space="preserve">economy wide </w:t>
      </w:r>
      <w:r w:rsidRPr="00B923AA">
        <w:t xml:space="preserve">civil prohibition on failing to provide a consumer guarantee remedy is estimated </w:t>
      </w:r>
      <w:r>
        <w:t>to create a net benefit of $4.6</w:t>
      </w:r>
      <w:r w:rsidRPr="00B923AA">
        <w:t xml:space="preserve"> billion in </w:t>
      </w:r>
      <w:r w:rsidR="003A11CE">
        <w:t>NPV</w:t>
      </w:r>
      <w:r w:rsidRPr="00B923AA">
        <w:t xml:space="preserve"> terms over the 10 years to 2031 and a </w:t>
      </w:r>
      <w:r w:rsidR="008F1369">
        <w:br/>
      </w:r>
      <w:r w:rsidRPr="00B923AA">
        <w:t>BCR of</w:t>
      </w:r>
      <w:r w:rsidR="001922C7">
        <w:t xml:space="preserve"> </w:t>
      </w:r>
      <w:r w:rsidR="00F707E0">
        <w:t>4.7</w:t>
      </w:r>
      <w:r w:rsidRPr="00B923AA">
        <w:t>.</w:t>
      </w:r>
    </w:p>
    <w:p w14:paraId="330B14E0" w14:textId="64507714" w:rsidR="00B923AA" w:rsidRDefault="00B923AA" w:rsidP="00946152">
      <w:r w:rsidRPr="00B923AA">
        <w:t>Th</w:t>
      </w:r>
      <w:r w:rsidR="00151AAD">
        <w:t xml:space="preserve">e total </w:t>
      </w:r>
      <w:r w:rsidRPr="00B923AA">
        <w:t xml:space="preserve">benefits to </w:t>
      </w:r>
      <w:r w:rsidR="003F04C5">
        <w:t>the economy</w:t>
      </w:r>
      <w:r w:rsidR="00E20D5F">
        <w:t xml:space="preserve"> for this option is estimated to be</w:t>
      </w:r>
      <w:r w:rsidRPr="00B923AA">
        <w:t xml:space="preserve"> $5.8 billion in NPV terms</w:t>
      </w:r>
      <w:r w:rsidR="009934AD">
        <w:t xml:space="preserve"> over 10 years</w:t>
      </w:r>
      <w:r w:rsidR="003F04C5">
        <w:t xml:space="preserve">, </w:t>
      </w:r>
      <w:r w:rsidR="00E649C4">
        <w:t>with the greatest benefit going to consumers in the form of</w:t>
      </w:r>
      <w:r w:rsidRPr="00B923AA">
        <w:t xml:space="preserve"> reduced time and funds spent resolving issues</w:t>
      </w:r>
      <w:r w:rsidR="003F04C5">
        <w:t>,</w:t>
      </w:r>
      <w:r w:rsidRPr="00B923AA">
        <w:t xml:space="preserve"> and in receiving the benefit (approximated to the average value of goods or services) either earlier than they otherwise would, or in </w:t>
      </w:r>
      <w:r>
        <w:t>instance</w:t>
      </w:r>
      <w:r w:rsidRPr="00B923AA">
        <w:t>s where they otherwise would not have at all.</w:t>
      </w:r>
    </w:p>
    <w:p w14:paraId="6A865219" w14:textId="75D2E9A4" w:rsidR="00033CD9" w:rsidRPr="00D65A13" w:rsidRDefault="003F04C5" w:rsidP="009C044B">
      <w:r>
        <w:t>The</w:t>
      </w:r>
      <w:r w:rsidR="00E20D5F">
        <w:t xml:space="preserve"> </w:t>
      </w:r>
      <w:r>
        <w:t xml:space="preserve">total </w:t>
      </w:r>
      <w:r w:rsidR="00E20D5F">
        <w:t>costs</w:t>
      </w:r>
      <w:r>
        <w:t xml:space="preserve"> to the economy for this option is estimated to be </w:t>
      </w:r>
      <w:r w:rsidRPr="00602CE3">
        <w:t>$1.2 billion in NPV t</w:t>
      </w:r>
      <w:r>
        <w:t>erms over 10</w:t>
      </w:r>
      <w:r w:rsidR="00033CD9">
        <w:t> </w:t>
      </w:r>
      <w:r>
        <w:t xml:space="preserve">years. This includes </w:t>
      </w:r>
      <w:r w:rsidR="00602CE3" w:rsidRPr="00602CE3">
        <w:t>increase</w:t>
      </w:r>
      <w:r>
        <w:t>d</w:t>
      </w:r>
      <w:r w:rsidR="00602CE3" w:rsidRPr="00602CE3">
        <w:t xml:space="preserve"> costs </w:t>
      </w:r>
      <w:r>
        <w:t>to</w:t>
      </w:r>
      <w:r w:rsidR="00602CE3" w:rsidRPr="00602CE3">
        <w:t xml:space="preserve"> businesses who are not meeting their consumer guarantee obligations under the status quo</w:t>
      </w:r>
      <w:r>
        <w:t xml:space="preserve">. </w:t>
      </w:r>
      <w:r w:rsidR="009C044B" w:rsidRPr="009C044B">
        <w:t xml:space="preserve">The increase in cost consists of both increased costs </w:t>
      </w:r>
      <w:r w:rsidR="008940CD">
        <w:t xml:space="preserve">of </w:t>
      </w:r>
      <w:r w:rsidR="009C044B" w:rsidRPr="009C044B">
        <w:t xml:space="preserve">providing remedies by those who change behaviour, and infringement notices and pecuniary penalties </w:t>
      </w:r>
      <w:r w:rsidR="00A86F78">
        <w:t>paid by</w:t>
      </w:r>
      <w:r w:rsidR="009C044B" w:rsidRPr="009C044B">
        <w:t xml:space="preserve"> those who do not comply. </w:t>
      </w:r>
      <w:r w:rsidR="00E649C4">
        <w:t>Other than</w:t>
      </w:r>
      <w:r w:rsidR="00E649C4" w:rsidRPr="00E649C4">
        <w:t xml:space="preserve"> </w:t>
      </w:r>
      <w:r w:rsidR="00E649C4">
        <w:t>the modest i</w:t>
      </w:r>
      <w:r w:rsidR="00E649C4" w:rsidRPr="00E649C4">
        <w:t>ncreased training cost for business to ensure staff have a common understanding of the change</w:t>
      </w:r>
      <w:r w:rsidR="00E649C4">
        <w:t>, t</w:t>
      </w:r>
      <w:r w:rsidR="00033CD9">
        <w:t>here is no change in costs for businesses who are already complying with consumer guarantee</w:t>
      </w:r>
      <w:r w:rsidR="00E649C4">
        <w:t xml:space="preserve"> obligations</w:t>
      </w:r>
      <w:r w:rsidR="00033CD9">
        <w:t>.</w:t>
      </w:r>
    </w:p>
    <w:p w14:paraId="4D7E39A7" w14:textId="44344A8F" w:rsidR="00946152" w:rsidRPr="00EC7C4D" w:rsidRDefault="00EC7C4D" w:rsidP="00EC7C4D">
      <w:pPr>
        <w:pStyle w:val="Caption"/>
        <w:rPr>
          <w:b/>
          <w:bCs/>
          <w:i w:val="0"/>
          <w:iCs w:val="0"/>
          <w:sz w:val="22"/>
          <w:szCs w:val="22"/>
        </w:rPr>
      </w:pPr>
      <w:bookmarkStart w:id="155" w:name="_Toc87529827"/>
      <w:bookmarkStart w:id="156" w:name="_Toc89700879"/>
      <w:r w:rsidRPr="00EC7C4D">
        <w:rPr>
          <w:b/>
          <w:bCs/>
          <w:i w:val="0"/>
          <w:iCs w:val="0"/>
          <w:sz w:val="22"/>
          <w:szCs w:val="22"/>
        </w:rPr>
        <w:t xml:space="preserve">Table </w:t>
      </w:r>
      <w:r w:rsidRPr="00EC7C4D">
        <w:rPr>
          <w:b/>
          <w:bCs/>
          <w:i w:val="0"/>
          <w:iCs w:val="0"/>
          <w:sz w:val="22"/>
          <w:szCs w:val="22"/>
        </w:rPr>
        <w:fldChar w:fldCharType="begin"/>
      </w:r>
      <w:r w:rsidRPr="00EC7C4D">
        <w:rPr>
          <w:b/>
          <w:bCs/>
          <w:i w:val="0"/>
          <w:iCs w:val="0"/>
          <w:sz w:val="22"/>
          <w:szCs w:val="22"/>
        </w:rPr>
        <w:instrText xml:space="preserve"> SEQ Table \* ARABIC </w:instrText>
      </w:r>
      <w:r w:rsidRPr="00EC7C4D">
        <w:rPr>
          <w:b/>
          <w:bCs/>
          <w:i w:val="0"/>
          <w:iCs w:val="0"/>
          <w:sz w:val="22"/>
          <w:szCs w:val="22"/>
        </w:rPr>
        <w:fldChar w:fldCharType="separate"/>
      </w:r>
      <w:r w:rsidR="00001633">
        <w:rPr>
          <w:b/>
          <w:bCs/>
          <w:i w:val="0"/>
          <w:iCs w:val="0"/>
          <w:noProof/>
          <w:sz w:val="22"/>
          <w:szCs w:val="22"/>
        </w:rPr>
        <w:t>7</w:t>
      </w:r>
      <w:r w:rsidRPr="00EC7C4D">
        <w:rPr>
          <w:b/>
          <w:bCs/>
          <w:i w:val="0"/>
          <w:iCs w:val="0"/>
          <w:sz w:val="22"/>
          <w:szCs w:val="22"/>
        </w:rPr>
        <w:fldChar w:fldCharType="end"/>
      </w:r>
      <w:r w:rsidRPr="00EC7C4D">
        <w:rPr>
          <w:b/>
          <w:bCs/>
          <w:i w:val="0"/>
          <w:iCs w:val="0"/>
          <w:sz w:val="22"/>
          <w:szCs w:val="22"/>
        </w:rPr>
        <w:t xml:space="preserve">: </w:t>
      </w:r>
      <w:r w:rsidR="00B20A26">
        <w:rPr>
          <w:b/>
          <w:bCs/>
          <w:i w:val="0"/>
          <w:iCs w:val="0"/>
          <w:sz w:val="22"/>
          <w:szCs w:val="22"/>
        </w:rPr>
        <w:t>L</w:t>
      </w:r>
      <w:r w:rsidR="00DB77E1" w:rsidRPr="00EC7C4D">
        <w:rPr>
          <w:b/>
          <w:bCs/>
          <w:i w:val="0"/>
          <w:iCs w:val="0"/>
          <w:sz w:val="22"/>
          <w:szCs w:val="22"/>
        </w:rPr>
        <w:t>ikely n</w:t>
      </w:r>
      <w:r w:rsidR="00946152" w:rsidRPr="00EC7C4D">
        <w:rPr>
          <w:b/>
          <w:bCs/>
          <w:i w:val="0"/>
          <w:iCs w:val="0"/>
          <w:sz w:val="22"/>
          <w:szCs w:val="22"/>
        </w:rPr>
        <w:t xml:space="preserve">et benefit of a civil prohibition on failing to provide a consumer guarantees remedy </w:t>
      </w:r>
      <w:r w:rsidR="00F852F1" w:rsidRPr="00EC7C4D">
        <w:rPr>
          <w:b/>
          <w:bCs/>
          <w:i w:val="0"/>
          <w:iCs w:val="0"/>
          <w:sz w:val="22"/>
          <w:szCs w:val="22"/>
        </w:rPr>
        <w:t>for the</w:t>
      </w:r>
      <w:r w:rsidR="00F852F1" w:rsidRPr="00EC7C4D" w:rsidDel="0090450E">
        <w:rPr>
          <w:b/>
          <w:bCs/>
          <w:i w:val="0"/>
          <w:iCs w:val="0"/>
          <w:sz w:val="22"/>
          <w:szCs w:val="22"/>
        </w:rPr>
        <w:t xml:space="preserve"> </w:t>
      </w:r>
      <w:r w:rsidR="00F852F1" w:rsidRPr="00EC7C4D">
        <w:rPr>
          <w:b/>
          <w:bCs/>
          <w:i w:val="0"/>
          <w:iCs w:val="0"/>
          <w:sz w:val="22"/>
          <w:szCs w:val="22"/>
        </w:rPr>
        <w:t>10 years to 2031</w:t>
      </w:r>
      <w:r w:rsidR="001B6D75" w:rsidRPr="00EC7C4D">
        <w:rPr>
          <w:b/>
          <w:bCs/>
          <w:i w:val="0"/>
          <w:iCs w:val="0"/>
          <w:sz w:val="22"/>
          <w:szCs w:val="22"/>
        </w:rPr>
        <w:t xml:space="preserve"> </w:t>
      </w:r>
      <w:r w:rsidR="00946152" w:rsidRPr="00EC7C4D">
        <w:rPr>
          <w:b/>
          <w:bCs/>
          <w:i w:val="0"/>
          <w:iCs w:val="0"/>
          <w:sz w:val="22"/>
          <w:szCs w:val="22"/>
        </w:rPr>
        <w:t xml:space="preserve">– </w:t>
      </w:r>
      <w:r w:rsidR="001B6D75" w:rsidRPr="00EC7C4D">
        <w:rPr>
          <w:b/>
          <w:bCs/>
          <w:i w:val="0"/>
          <w:iCs w:val="0"/>
          <w:sz w:val="22"/>
          <w:szCs w:val="22"/>
        </w:rPr>
        <w:t>economy wide approach</w:t>
      </w:r>
      <w:bookmarkEnd w:id="155"/>
      <w:bookmarkEnd w:id="15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Table 7: likely net benefit of a civil prohibition on failing to provide a consumer guarantees remedy for the 10 years to 2031 – economy wide approach"/>
        <w:tblDescription w:val="Provides a summary of the likey net benefit for the measure if an economy wide approach is taken. Total benefits for this option is estimated at $5.8 billion. Total costs for this option is estimated at $1.2 billion. Net benefit for this option is estimated at $4.6 billon. The Benefit Cost Ratio is estimated at 4.8."/>
      </w:tblPr>
      <w:tblGrid>
        <w:gridCol w:w="1812"/>
        <w:gridCol w:w="1812"/>
        <w:gridCol w:w="1812"/>
        <w:gridCol w:w="1812"/>
        <w:gridCol w:w="1812"/>
      </w:tblGrid>
      <w:tr w:rsidR="00946152" w:rsidRPr="00174438" w14:paraId="38185C2B" w14:textId="77777777" w:rsidTr="00174438">
        <w:trPr>
          <w:trHeight w:val="525"/>
        </w:trPr>
        <w:tc>
          <w:tcPr>
            <w:tcW w:w="1000" w:type="pct"/>
            <w:shd w:val="clear" w:color="auto" w:fill="B690C9" w:themeFill="accent6" w:themeFillTint="99"/>
          </w:tcPr>
          <w:p w14:paraId="7E7695A7" w14:textId="77777777" w:rsidR="00946152" w:rsidRPr="00174438" w:rsidRDefault="00946152" w:rsidP="0055562E">
            <w:pPr>
              <w:rPr>
                <w:b/>
                <w:color w:val="000000" w:themeColor="text1"/>
              </w:rPr>
            </w:pPr>
          </w:p>
        </w:tc>
        <w:tc>
          <w:tcPr>
            <w:tcW w:w="1000" w:type="pct"/>
            <w:shd w:val="clear" w:color="auto" w:fill="B690C9" w:themeFill="accent6" w:themeFillTint="99"/>
          </w:tcPr>
          <w:p w14:paraId="26582DA4" w14:textId="31405AD3" w:rsidR="00946152" w:rsidRPr="00174438" w:rsidRDefault="00946152" w:rsidP="00F852F1">
            <w:pPr>
              <w:rPr>
                <w:b/>
                <w:color w:val="000000" w:themeColor="text1"/>
              </w:rPr>
            </w:pPr>
            <w:r w:rsidRPr="00174438">
              <w:rPr>
                <w:b/>
                <w:color w:val="000000" w:themeColor="text1"/>
              </w:rPr>
              <w:t xml:space="preserve">Total </w:t>
            </w:r>
            <w:r w:rsidR="00F852F1" w:rsidRPr="00174438">
              <w:rPr>
                <w:b/>
                <w:color w:val="000000" w:themeColor="text1"/>
              </w:rPr>
              <w:t>benefits</w:t>
            </w:r>
          </w:p>
        </w:tc>
        <w:tc>
          <w:tcPr>
            <w:tcW w:w="1000" w:type="pct"/>
            <w:shd w:val="clear" w:color="auto" w:fill="B690C9" w:themeFill="accent6" w:themeFillTint="99"/>
          </w:tcPr>
          <w:p w14:paraId="1FDBBDBA" w14:textId="0CE91930" w:rsidR="00946152" w:rsidRPr="00174438" w:rsidRDefault="00946152" w:rsidP="00F852F1">
            <w:pPr>
              <w:rPr>
                <w:b/>
                <w:color w:val="000000" w:themeColor="text1"/>
              </w:rPr>
            </w:pPr>
            <w:r w:rsidRPr="00174438">
              <w:rPr>
                <w:b/>
                <w:color w:val="000000" w:themeColor="text1"/>
              </w:rPr>
              <w:t xml:space="preserve">Total </w:t>
            </w:r>
            <w:r w:rsidR="00F852F1" w:rsidRPr="00174438">
              <w:rPr>
                <w:b/>
                <w:color w:val="000000" w:themeColor="text1"/>
              </w:rPr>
              <w:t>costs</w:t>
            </w:r>
          </w:p>
        </w:tc>
        <w:tc>
          <w:tcPr>
            <w:tcW w:w="1000" w:type="pct"/>
            <w:shd w:val="clear" w:color="auto" w:fill="B690C9" w:themeFill="accent6" w:themeFillTint="99"/>
          </w:tcPr>
          <w:p w14:paraId="4C0A578B" w14:textId="77777777" w:rsidR="00946152" w:rsidRPr="00174438" w:rsidRDefault="00946152" w:rsidP="0055562E">
            <w:pPr>
              <w:rPr>
                <w:b/>
                <w:color w:val="000000" w:themeColor="text1"/>
              </w:rPr>
            </w:pPr>
            <w:r w:rsidRPr="00174438">
              <w:rPr>
                <w:b/>
                <w:color w:val="000000" w:themeColor="text1"/>
              </w:rPr>
              <w:t>Net benefit</w:t>
            </w:r>
          </w:p>
        </w:tc>
        <w:tc>
          <w:tcPr>
            <w:tcW w:w="1000" w:type="pct"/>
            <w:shd w:val="clear" w:color="auto" w:fill="B690C9" w:themeFill="accent6" w:themeFillTint="99"/>
          </w:tcPr>
          <w:p w14:paraId="43CD5A92" w14:textId="77777777" w:rsidR="00946152" w:rsidRPr="00174438" w:rsidRDefault="00946152" w:rsidP="0055562E">
            <w:pPr>
              <w:rPr>
                <w:b/>
                <w:color w:val="000000" w:themeColor="text1"/>
              </w:rPr>
            </w:pPr>
            <w:r w:rsidRPr="00174438">
              <w:rPr>
                <w:b/>
                <w:color w:val="000000" w:themeColor="text1"/>
              </w:rPr>
              <w:t>Benefit Cost Ratio</w:t>
            </w:r>
          </w:p>
        </w:tc>
      </w:tr>
      <w:tr w:rsidR="00946152" w:rsidRPr="00174438" w14:paraId="12C7618A" w14:textId="77777777" w:rsidTr="00174438">
        <w:trPr>
          <w:trHeight w:val="497"/>
        </w:trPr>
        <w:tc>
          <w:tcPr>
            <w:tcW w:w="1000" w:type="pct"/>
          </w:tcPr>
          <w:p w14:paraId="1994C241" w14:textId="77777777" w:rsidR="00946152" w:rsidRPr="00174438" w:rsidRDefault="00946152" w:rsidP="0055562E">
            <w:r w:rsidRPr="00174438">
              <w:t>Whole economy</w:t>
            </w:r>
          </w:p>
        </w:tc>
        <w:tc>
          <w:tcPr>
            <w:tcW w:w="1000" w:type="pct"/>
          </w:tcPr>
          <w:p w14:paraId="7AECE8EA" w14:textId="6577F351" w:rsidR="00946152" w:rsidRPr="00174438" w:rsidRDefault="00946152" w:rsidP="00F852F1">
            <w:r w:rsidRPr="00174438">
              <w:t>$</w:t>
            </w:r>
            <w:r w:rsidR="00F852F1" w:rsidRPr="00174438">
              <w:t>5.8</w:t>
            </w:r>
            <w:r w:rsidRPr="00174438">
              <w:t xml:space="preserve"> billion</w:t>
            </w:r>
          </w:p>
        </w:tc>
        <w:tc>
          <w:tcPr>
            <w:tcW w:w="1000" w:type="pct"/>
          </w:tcPr>
          <w:p w14:paraId="6DB046C6" w14:textId="33EB2139" w:rsidR="00946152" w:rsidRPr="00174438" w:rsidRDefault="00946152" w:rsidP="00F852F1">
            <w:r w:rsidRPr="00174438">
              <w:t>$</w:t>
            </w:r>
            <w:r w:rsidR="00F852F1" w:rsidRPr="00174438">
              <w:t>1.2</w:t>
            </w:r>
            <w:r w:rsidRPr="00174438">
              <w:t xml:space="preserve"> billion</w:t>
            </w:r>
          </w:p>
        </w:tc>
        <w:tc>
          <w:tcPr>
            <w:tcW w:w="1000" w:type="pct"/>
          </w:tcPr>
          <w:p w14:paraId="1E981E2E" w14:textId="77777777" w:rsidR="00946152" w:rsidRPr="00174438" w:rsidRDefault="00946152" w:rsidP="0055562E">
            <w:r w:rsidRPr="00174438">
              <w:t>$4.6 billion</w:t>
            </w:r>
          </w:p>
        </w:tc>
        <w:tc>
          <w:tcPr>
            <w:tcW w:w="1000" w:type="pct"/>
          </w:tcPr>
          <w:p w14:paraId="4CCA951D" w14:textId="1963DB6F" w:rsidR="00946152" w:rsidRPr="00174438" w:rsidRDefault="00F707E0" w:rsidP="0055562E">
            <w:r>
              <w:t xml:space="preserve">4.7 </w:t>
            </w:r>
          </w:p>
        </w:tc>
      </w:tr>
    </w:tbl>
    <w:p w14:paraId="05F5A31C" w14:textId="77777777" w:rsidR="00946152" w:rsidRDefault="00946152" w:rsidP="00946152">
      <w:pPr>
        <w:pStyle w:val="Bullet"/>
        <w:numPr>
          <w:ilvl w:val="0"/>
          <w:numId w:val="0"/>
        </w:numPr>
        <w:ind w:left="425" w:hanging="425"/>
      </w:pPr>
    </w:p>
    <w:p w14:paraId="3B7F1096" w14:textId="77777777" w:rsidR="00946152" w:rsidRDefault="00946152" w:rsidP="00242093">
      <w:pPr>
        <w:pStyle w:val="Heading5"/>
      </w:pPr>
      <w:r>
        <w:lastRenderedPageBreak/>
        <w:t>b)</w:t>
      </w:r>
      <w:r w:rsidRPr="008938C2">
        <w:t xml:space="preserve"> </w:t>
      </w:r>
      <w:r>
        <w:t>New motor vehicles only</w:t>
      </w:r>
      <w:r w:rsidRPr="008938C2">
        <w:t xml:space="preserve"> approach</w:t>
      </w:r>
    </w:p>
    <w:p w14:paraId="0DF61EAD" w14:textId="375A3689" w:rsidR="00F852F1" w:rsidRDefault="00F852F1" w:rsidP="00946152">
      <w:pPr>
        <w:rPr>
          <w:szCs w:val="24"/>
        </w:rPr>
      </w:pPr>
      <w:r w:rsidRPr="00F852F1">
        <w:rPr>
          <w:szCs w:val="24"/>
        </w:rPr>
        <w:t>The economic costs and benefits of a civil prohibition on failing to provide a consumer guarantees remedy for the new motor vehicle market are a subset of the economic costs and benefits identified for the economy</w:t>
      </w:r>
      <w:r w:rsidR="007A0893">
        <w:rPr>
          <w:szCs w:val="24"/>
        </w:rPr>
        <w:t xml:space="preserve"> </w:t>
      </w:r>
      <w:r w:rsidRPr="00F852F1">
        <w:rPr>
          <w:szCs w:val="24"/>
        </w:rPr>
        <w:t>wide prohibition.</w:t>
      </w:r>
    </w:p>
    <w:p w14:paraId="7705C23B" w14:textId="60C30D63" w:rsidR="008F1369" w:rsidRDefault="00F852F1" w:rsidP="008F1369">
      <w:pPr>
        <w:rPr>
          <w:szCs w:val="24"/>
        </w:rPr>
      </w:pPr>
      <w:r w:rsidRPr="008F1369">
        <w:rPr>
          <w:szCs w:val="24"/>
        </w:rPr>
        <w:t xml:space="preserve">For new motor vehicles, Option 3 is estimated to create a net benefit of </w:t>
      </w:r>
      <w:r w:rsidR="00CE5EB8">
        <w:rPr>
          <w:szCs w:val="24"/>
        </w:rPr>
        <w:t xml:space="preserve">$413 </w:t>
      </w:r>
      <w:r w:rsidRPr="008F1369">
        <w:rPr>
          <w:szCs w:val="24"/>
        </w:rPr>
        <w:t>million in NPV terms over the 10 years to 2031</w:t>
      </w:r>
      <w:r w:rsidR="001156DD" w:rsidRPr="008F1369">
        <w:rPr>
          <w:szCs w:val="24"/>
        </w:rPr>
        <w:t xml:space="preserve"> and a BCR of 2.8</w:t>
      </w:r>
      <w:r w:rsidRPr="008F1369">
        <w:rPr>
          <w:szCs w:val="24"/>
        </w:rPr>
        <w:t xml:space="preserve">. This reflects costs of </w:t>
      </w:r>
      <w:r w:rsidR="00CE5EB8">
        <w:rPr>
          <w:szCs w:val="24"/>
        </w:rPr>
        <w:t xml:space="preserve">$231 </w:t>
      </w:r>
      <w:r w:rsidRPr="008F1369">
        <w:rPr>
          <w:szCs w:val="24"/>
        </w:rPr>
        <w:t>million in NPV terms and benefits of $643 million in NPV terms over this period.</w:t>
      </w:r>
      <w:r w:rsidRPr="00F852F1">
        <w:rPr>
          <w:szCs w:val="24"/>
        </w:rPr>
        <w:t xml:space="preserve"> </w:t>
      </w:r>
      <w:r w:rsidR="008F1369">
        <w:rPr>
          <w:szCs w:val="24"/>
        </w:rPr>
        <w:br/>
      </w:r>
    </w:p>
    <w:p w14:paraId="7E5CCBC5" w14:textId="4FEDB465" w:rsidR="006D0565" w:rsidRPr="006D256F" w:rsidRDefault="006D256F" w:rsidP="006D256F">
      <w:pPr>
        <w:pStyle w:val="Caption"/>
        <w:rPr>
          <w:b/>
          <w:bCs/>
          <w:i w:val="0"/>
          <w:iCs w:val="0"/>
          <w:sz w:val="22"/>
          <w:szCs w:val="22"/>
        </w:rPr>
      </w:pPr>
      <w:bookmarkStart w:id="157" w:name="_Toc87529828"/>
      <w:bookmarkStart w:id="158" w:name="_Toc89700880"/>
      <w:r w:rsidRPr="006D256F">
        <w:rPr>
          <w:b/>
          <w:bCs/>
          <w:i w:val="0"/>
          <w:iCs w:val="0"/>
          <w:sz w:val="22"/>
          <w:szCs w:val="22"/>
        </w:rPr>
        <w:t xml:space="preserve">Table </w:t>
      </w:r>
      <w:r w:rsidRPr="006D256F">
        <w:rPr>
          <w:b/>
          <w:bCs/>
          <w:i w:val="0"/>
          <w:iCs w:val="0"/>
          <w:sz w:val="22"/>
          <w:szCs w:val="22"/>
        </w:rPr>
        <w:fldChar w:fldCharType="begin"/>
      </w:r>
      <w:r w:rsidRPr="006D256F">
        <w:rPr>
          <w:b/>
          <w:bCs/>
          <w:i w:val="0"/>
          <w:iCs w:val="0"/>
          <w:sz w:val="22"/>
          <w:szCs w:val="22"/>
        </w:rPr>
        <w:instrText xml:space="preserve"> SEQ Table \* ARABIC </w:instrText>
      </w:r>
      <w:r w:rsidRPr="006D256F">
        <w:rPr>
          <w:b/>
          <w:bCs/>
          <w:i w:val="0"/>
          <w:iCs w:val="0"/>
          <w:sz w:val="22"/>
          <w:szCs w:val="22"/>
        </w:rPr>
        <w:fldChar w:fldCharType="separate"/>
      </w:r>
      <w:r w:rsidR="00001633">
        <w:rPr>
          <w:b/>
          <w:bCs/>
          <w:i w:val="0"/>
          <w:iCs w:val="0"/>
          <w:noProof/>
          <w:sz w:val="22"/>
          <w:szCs w:val="22"/>
        </w:rPr>
        <w:t>8</w:t>
      </w:r>
      <w:r w:rsidRPr="006D256F">
        <w:rPr>
          <w:b/>
          <w:bCs/>
          <w:i w:val="0"/>
          <w:iCs w:val="0"/>
          <w:sz w:val="22"/>
          <w:szCs w:val="22"/>
        </w:rPr>
        <w:fldChar w:fldCharType="end"/>
      </w:r>
      <w:r w:rsidRPr="006D256F">
        <w:rPr>
          <w:b/>
          <w:bCs/>
          <w:i w:val="0"/>
          <w:iCs w:val="0"/>
          <w:sz w:val="22"/>
          <w:szCs w:val="22"/>
        </w:rPr>
        <w:t xml:space="preserve">: </w:t>
      </w:r>
      <w:r w:rsidR="00B20A26">
        <w:rPr>
          <w:b/>
          <w:bCs/>
          <w:i w:val="0"/>
          <w:iCs w:val="0"/>
          <w:sz w:val="22"/>
          <w:szCs w:val="22"/>
        </w:rPr>
        <w:t>L</w:t>
      </w:r>
      <w:r w:rsidR="0060691B" w:rsidRPr="006D256F">
        <w:rPr>
          <w:b/>
          <w:bCs/>
          <w:i w:val="0"/>
          <w:iCs w:val="0"/>
          <w:sz w:val="22"/>
          <w:szCs w:val="22"/>
        </w:rPr>
        <w:t>ikely n</w:t>
      </w:r>
      <w:r w:rsidR="006D0565" w:rsidRPr="006D256F">
        <w:rPr>
          <w:b/>
          <w:bCs/>
          <w:i w:val="0"/>
          <w:iCs w:val="0"/>
          <w:sz w:val="22"/>
          <w:szCs w:val="22"/>
        </w:rPr>
        <w:t xml:space="preserve">et benefit of a civil prohibition on failing to provide a consumer guarantees remedy </w:t>
      </w:r>
      <w:r w:rsidR="001B6D75" w:rsidRPr="006D256F">
        <w:rPr>
          <w:b/>
          <w:bCs/>
          <w:i w:val="0"/>
          <w:iCs w:val="0"/>
          <w:sz w:val="22"/>
          <w:szCs w:val="22"/>
        </w:rPr>
        <w:t xml:space="preserve">for the 10 years to 2031 </w:t>
      </w:r>
      <w:r w:rsidR="006D0565" w:rsidRPr="006D256F">
        <w:rPr>
          <w:b/>
          <w:bCs/>
          <w:i w:val="0"/>
          <w:iCs w:val="0"/>
          <w:sz w:val="22"/>
          <w:szCs w:val="22"/>
        </w:rPr>
        <w:t>–</w:t>
      </w:r>
      <w:r>
        <w:rPr>
          <w:b/>
          <w:bCs/>
          <w:i w:val="0"/>
          <w:iCs w:val="0"/>
          <w:sz w:val="22"/>
          <w:szCs w:val="22"/>
        </w:rPr>
        <w:t xml:space="preserve"> </w:t>
      </w:r>
      <w:r w:rsidR="006D0565" w:rsidRPr="006D256F">
        <w:rPr>
          <w:b/>
          <w:bCs/>
          <w:i w:val="0"/>
          <w:iCs w:val="0"/>
          <w:sz w:val="22"/>
          <w:szCs w:val="22"/>
        </w:rPr>
        <w:t>new motor vehicles</w:t>
      </w:r>
      <w:r w:rsidR="001B6D75" w:rsidRPr="006D256F">
        <w:rPr>
          <w:b/>
          <w:bCs/>
          <w:i w:val="0"/>
          <w:iCs w:val="0"/>
          <w:sz w:val="22"/>
          <w:szCs w:val="22"/>
        </w:rPr>
        <w:t xml:space="preserve"> only approach</w:t>
      </w:r>
      <w:bookmarkEnd w:id="157"/>
      <w:bookmarkEnd w:id="158"/>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likely net benefit of a civil prohibition on failing to provide a consumer guarantees remedy for the 10 years to 2031 – new motor vehicles only approach"/>
        <w:tblDescription w:val="Provides a summary of the likey net benefit for the measure if an new motor vehicle approach is taken. Total benefits for this option is estimated at $643 million. Total costs for this option is estimated at $228 million. Net benefit for this option is estimated at $415 million. The Benefit Cost Ratio is estimated at 2.8."/>
      </w:tblPr>
      <w:tblGrid>
        <w:gridCol w:w="1812"/>
        <w:gridCol w:w="1812"/>
        <w:gridCol w:w="1812"/>
        <w:gridCol w:w="1812"/>
        <w:gridCol w:w="1812"/>
      </w:tblGrid>
      <w:tr w:rsidR="006D256F" w:rsidRPr="006D256F" w14:paraId="205502A1" w14:textId="77777777" w:rsidTr="006D256F">
        <w:trPr>
          <w:trHeight w:val="525"/>
        </w:trPr>
        <w:tc>
          <w:tcPr>
            <w:tcW w:w="1000" w:type="pct"/>
            <w:shd w:val="clear" w:color="auto" w:fill="B690C9" w:themeFill="accent6" w:themeFillTint="99"/>
          </w:tcPr>
          <w:p w14:paraId="490237E1" w14:textId="77777777" w:rsidR="006D0565" w:rsidRPr="006D256F" w:rsidRDefault="006D0565" w:rsidP="0055562E">
            <w:pPr>
              <w:rPr>
                <w:b/>
                <w:color w:val="000000" w:themeColor="text1"/>
              </w:rPr>
            </w:pPr>
          </w:p>
        </w:tc>
        <w:tc>
          <w:tcPr>
            <w:tcW w:w="1000" w:type="pct"/>
            <w:shd w:val="clear" w:color="auto" w:fill="B690C9" w:themeFill="accent6" w:themeFillTint="99"/>
          </w:tcPr>
          <w:p w14:paraId="7526A18E" w14:textId="5A4F96E7" w:rsidR="006D0565" w:rsidRPr="006D256F" w:rsidRDefault="006D0565" w:rsidP="00C42918">
            <w:pPr>
              <w:rPr>
                <w:b/>
                <w:color w:val="000000" w:themeColor="text1"/>
              </w:rPr>
            </w:pPr>
            <w:r w:rsidRPr="006D256F">
              <w:rPr>
                <w:b/>
                <w:color w:val="000000" w:themeColor="text1"/>
              </w:rPr>
              <w:t xml:space="preserve">Total </w:t>
            </w:r>
            <w:r w:rsidR="00C42918" w:rsidRPr="006D256F">
              <w:rPr>
                <w:b/>
                <w:color w:val="000000" w:themeColor="text1"/>
              </w:rPr>
              <w:t>benefit</w:t>
            </w:r>
            <w:r w:rsidRPr="006D256F">
              <w:rPr>
                <w:b/>
                <w:color w:val="000000" w:themeColor="text1"/>
              </w:rPr>
              <w:t>s</w:t>
            </w:r>
          </w:p>
        </w:tc>
        <w:tc>
          <w:tcPr>
            <w:tcW w:w="1000" w:type="pct"/>
            <w:shd w:val="clear" w:color="auto" w:fill="B690C9" w:themeFill="accent6" w:themeFillTint="99"/>
          </w:tcPr>
          <w:p w14:paraId="6610B739" w14:textId="3A5D020C" w:rsidR="006D0565" w:rsidRPr="006D256F" w:rsidRDefault="006D0565" w:rsidP="00C42918">
            <w:pPr>
              <w:rPr>
                <w:b/>
                <w:color w:val="000000" w:themeColor="text1"/>
              </w:rPr>
            </w:pPr>
            <w:r w:rsidRPr="006D256F">
              <w:rPr>
                <w:b/>
                <w:color w:val="000000" w:themeColor="text1"/>
              </w:rPr>
              <w:t xml:space="preserve">Total </w:t>
            </w:r>
            <w:r w:rsidR="00C42918" w:rsidRPr="006D256F">
              <w:rPr>
                <w:b/>
                <w:color w:val="000000" w:themeColor="text1"/>
              </w:rPr>
              <w:t>cost</w:t>
            </w:r>
            <w:r w:rsidRPr="006D256F">
              <w:rPr>
                <w:b/>
                <w:color w:val="000000" w:themeColor="text1"/>
              </w:rPr>
              <w:t>s</w:t>
            </w:r>
          </w:p>
        </w:tc>
        <w:tc>
          <w:tcPr>
            <w:tcW w:w="1000" w:type="pct"/>
            <w:shd w:val="clear" w:color="auto" w:fill="B690C9" w:themeFill="accent6" w:themeFillTint="99"/>
          </w:tcPr>
          <w:p w14:paraId="2A52029D" w14:textId="77777777" w:rsidR="006D0565" w:rsidRPr="006D256F" w:rsidRDefault="006D0565" w:rsidP="0055562E">
            <w:pPr>
              <w:rPr>
                <w:b/>
                <w:color w:val="000000" w:themeColor="text1"/>
              </w:rPr>
            </w:pPr>
            <w:r w:rsidRPr="006D256F">
              <w:rPr>
                <w:b/>
                <w:color w:val="000000" w:themeColor="text1"/>
              </w:rPr>
              <w:t>Net benefit</w:t>
            </w:r>
          </w:p>
        </w:tc>
        <w:tc>
          <w:tcPr>
            <w:tcW w:w="1000" w:type="pct"/>
            <w:shd w:val="clear" w:color="auto" w:fill="B690C9" w:themeFill="accent6" w:themeFillTint="99"/>
          </w:tcPr>
          <w:p w14:paraId="273B1302" w14:textId="77777777" w:rsidR="006D0565" w:rsidRPr="006D256F" w:rsidRDefault="006D0565" w:rsidP="0055562E">
            <w:pPr>
              <w:rPr>
                <w:b/>
                <w:color w:val="000000" w:themeColor="text1"/>
              </w:rPr>
            </w:pPr>
            <w:r w:rsidRPr="006D256F">
              <w:rPr>
                <w:b/>
                <w:color w:val="000000" w:themeColor="text1"/>
              </w:rPr>
              <w:t>Benefit Cost Ratio</w:t>
            </w:r>
          </w:p>
        </w:tc>
      </w:tr>
      <w:tr w:rsidR="006D0565" w:rsidRPr="00703CD1" w14:paraId="58F2E50E" w14:textId="77777777" w:rsidTr="006D256F">
        <w:trPr>
          <w:trHeight w:val="497"/>
        </w:trPr>
        <w:tc>
          <w:tcPr>
            <w:tcW w:w="1000" w:type="pct"/>
          </w:tcPr>
          <w:p w14:paraId="7852983A" w14:textId="77777777" w:rsidR="006D0565" w:rsidRPr="00703CD1" w:rsidRDefault="006D0565" w:rsidP="0055562E">
            <w:r w:rsidRPr="00703CD1">
              <w:t>Motor vehicles</w:t>
            </w:r>
          </w:p>
        </w:tc>
        <w:tc>
          <w:tcPr>
            <w:tcW w:w="1000" w:type="pct"/>
          </w:tcPr>
          <w:p w14:paraId="13A6DCB0" w14:textId="1D2466F2" w:rsidR="006D0565" w:rsidRPr="00703CD1" w:rsidRDefault="006D0565" w:rsidP="00C42918">
            <w:r w:rsidRPr="00703CD1">
              <w:t>$</w:t>
            </w:r>
            <w:r w:rsidR="00C42918">
              <w:t>643</w:t>
            </w:r>
            <w:r w:rsidRPr="00703CD1">
              <w:t xml:space="preserve"> million</w:t>
            </w:r>
          </w:p>
        </w:tc>
        <w:tc>
          <w:tcPr>
            <w:tcW w:w="1000" w:type="pct"/>
          </w:tcPr>
          <w:p w14:paraId="036D09E8" w14:textId="5C0FBF2C" w:rsidR="006D0565" w:rsidRPr="00703CD1" w:rsidRDefault="00F707E0" w:rsidP="00C42918">
            <w:r>
              <w:t xml:space="preserve">$231 </w:t>
            </w:r>
            <w:r w:rsidR="006D0565" w:rsidRPr="00703CD1">
              <w:t>million</w:t>
            </w:r>
          </w:p>
        </w:tc>
        <w:tc>
          <w:tcPr>
            <w:tcW w:w="1000" w:type="pct"/>
          </w:tcPr>
          <w:p w14:paraId="0921C514" w14:textId="6325DA84" w:rsidR="006D0565" w:rsidRPr="00703CD1" w:rsidRDefault="00F707E0" w:rsidP="0055562E">
            <w:r>
              <w:t xml:space="preserve">$413 </w:t>
            </w:r>
            <w:r w:rsidR="006D0565" w:rsidRPr="00703CD1">
              <w:t>million</w:t>
            </w:r>
          </w:p>
        </w:tc>
        <w:tc>
          <w:tcPr>
            <w:tcW w:w="1000" w:type="pct"/>
          </w:tcPr>
          <w:p w14:paraId="6F9241CA" w14:textId="77777777" w:rsidR="006D0565" w:rsidRPr="00703CD1" w:rsidRDefault="006D0565" w:rsidP="0055562E">
            <w:r w:rsidRPr="00703CD1">
              <w:t>2.8</w:t>
            </w:r>
          </w:p>
        </w:tc>
      </w:tr>
    </w:tbl>
    <w:p w14:paraId="29590068" w14:textId="46CEEB1B" w:rsidR="00946152" w:rsidRDefault="00946152" w:rsidP="00946152">
      <w:pPr>
        <w:pStyle w:val="Bullet"/>
        <w:numPr>
          <w:ilvl w:val="0"/>
          <w:numId w:val="0"/>
        </w:numPr>
        <w:ind w:left="425" w:hanging="425"/>
      </w:pPr>
    </w:p>
    <w:p w14:paraId="0B1E5416" w14:textId="428D23BC" w:rsidR="005D13A5" w:rsidRPr="005B487A" w:rsidRDefault="005B487A" w:rsidP="005B487A">
      <w:pPr>
        <w:pStyle w:val="Caption"/>
        <w:rPr>
          <w:b/>
          <w:bCs/>
          <w:i w:val="0"/>
          <w:iCs w:val="0"/>
          <w:sz w:val="22"/>
          <w:szCs w:val="22"/>
        </w:rPr>
      </w:pPr>
      <w:bookmarkStart w:id="159" w:name="_Toc87529829"/>
      <w:bookmarkStart w:id="160" w:name="_Toc89700881"/>
      <w:r w:rsidRPr="005B487A">
        <w:rPr>
          <w:b/>
          <w:bCs/>
          <w:i w:val="0"/>
          <w:iCs w:val="0"/>
          <w:sz w:val="22"/>
          <w:szCs w:val="22"/>
        </w:rPr>
        <w:t xml:space="preserve">Table </w:t>
      </w:r>
      <w:r w:rsidRPr="005B487A">
        <w:rPr>
          <w:b/>
          <w:bCs/>
          <w:i w:val="0"/>
          <w:iCs w:val="0"/>
          <w:sz w:val="22"/>
          <w:szCs w:val="22"/>
        </w:rPr>
        <w:fldChar w:fldCharType="begin"/>
      </w:r>
      <w:r w:rsidRPr="005B487A">
        <w:rPr>
          <w:b/>
          <w:bCs/>
          <w:i w:val="0"/>
          <w:iCs w:val="0"/>
          <w:sz w:val="22"/>
          <w:szCs w:val="22"/>
        </w:rPr>
        <w:instrText xml:space="preserve"> SEQ Table \* ARABIC </w:instrText>
      </w:r>
      <w:r w:rsidRPr="005B487A">
        <w:rPr>
          <w:b/>
          <w:bCs/>
          <w:i w:val="0"/>
          <w:iCs w:val="0"/>
          <w:sz w:val="22"/>
          <w:szCs w:val="22"/>
        </w:rPr>
        <w:fldChar w:fldCharType="separate"/>
      </w:r>
      <w:r w:rsidR="00001633">
        <w:rPr>
          <w:b/>
          <w:bCs/>
          <w:i w:val="0"/>
          <w:iCs w:val="0"/>
          <w:noProof/>
          <w:sz w:val="22"/>
          <w:szCs w:val="22"/>
        </w:rPr>
        <w:t>9</w:t>
      </w:r>
      <w:r w:rsidRPr="005B487A">
        <w:rPr>
          <w:b/>
          <w:bCs/>
          <w:i w:val="0"/>
          <w:iCs w:val="0"/>
          <w:sz w:val="22"/>
          <w:szCs w:val="22"/>
        </w:rPr>
        <w:fldChar w:fldCharType="end"/>
      </w:r>
      <w:r w:rsidRPr="005B487A">
        <w:rPr>
          <w:b/>
          <w:bCs/>
          <w:i w:val="0"/>
          <w:iCs w:val="0"/>
          <w:sz w:val="22"/>
          <w:szCs w:val="22"/>
        </w:rPr>
        <w:t xml:space="preserve">: </w:t>
      </w:r>
      <w:r w:rsidR="00B20A26">
        <w:rPr>
          <w:b/>
          <w:bCs/>
          <w:i w:val="0"/>
          <w:iCs w:val="0"/>
          <w:sz w:val="22"/>
          <w:szCs w:val="22"/>
        </w:rPr>
        <w:t>S</w:t>
      </w:r>
      <w:r w:rsidR="005D13A5" w:rsidRPr="005B487A">
        <w:rPr>
          <w:b/>
          <w:bCs/>
          <w:i w:val="0"/>
          <w:iCs w:val="0"/>
          <w:sz w:val="22"/>
          <w:szCs w:val="22"/>
        </w:rPr>
        <w:t>ummary of benefits and costs of Part A, Option 3</w:t>
      </w:r>
      <w:r w:rsidR="00F276D1" w:rsidRPr="005B487A">
        <w:rPr>
          <w:b/>
          <w:bCs/>
          <w:i w:val="0"/>
          <w:iCs w:val="0"/>
          <w:sz w:val="22"/>
          <w:szCs w:val="22"/>
        </w:rPr>
        <w:t xml:space="preserve"> (covers both economy-wide approach and new motor vehicles only approach)</w:t>
      </w:r>
      <w:bookmarkEnd w:id="159"/>
      <w:bookmarkEnd w:id="160"/>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summary of benefits and costs of Part A, Option 3 (covers both economy-wide approach and new motor vehicles only approach)"/>
      </w:tblPr>
      <w:tblGrid>
        <w:gridCol w:w="4530"/>
        <w:gridCol w:w="4530"/>
      </w:tblGrid>
      <w:tr w:rsidR="005D13A5" w14:paraId="03FA451A" w14:textId="77777777" w:rsidTr="005B487A">
        <w:tc>
          <w:tcPr>
            <w:tcW w:w="2500" w:type="pct"/>
            <w:shd w:val="clear" w:color="auto" w:fill="B690C9" w:themeFill="accent6" w:themeFillTint="99"/>
          </w:tcPr>
          <w:p w14:paraId="0D812011" w14:textId="77777777" w:rsidR="005D13A5" w:rsidRPr="00AA2C6A" w:rsidRDefault="005D13A5" w:rsidP="00156745">
            <w:pPr>
              <w:rPr>
                <w:b/>
              </w:rPr>
            </w:pPr>
            <w:r w:rsidRPr="00AA2C6A">
              <w:rPr>
                <w:b/>
              </w:rPr>
              <w:t xml:space="preserve">Benefits </w:t>
            </w:r>
          </w:p>
        </w:tc>
        <w:tc>
          <w:tcPr>
            <w:tcW w:w="2500" w:type="pct"/>
            <w:shd w:val="clear" w:color="auto" w:fill="B690C9" w:themeFill="accent6" w:themeFillTint="99"/>
          </w:tcPr>
          <w:p w14:paraId="2DB7EC8A" w14:textId="77777777" w:rsidR="005D13A5" w:rsidRPr="00AA2C6A" w:rsidRDefault="005D13A5" w:rsidP="00156745">
            <w:pPr>
              <w:rPr>
                <w:b/>
              </w:rPr>
            </w:pPr>
            <w:r w:rsidRPr="00AA2C6A">
              <w:rPr>
                <w:b/>
              </w:rPr>
              <w:t xml:space="preserve">Costs </w:t>
            </w:r>
          </w:p>
        </w:tc>
      </w:tr>
      <w:tr w:rsidR="005D13A5" w14:paraId="2BDCB9AE" w14:textId="77777777" w:rsidTr="005B487A">
        <w:tc>
          <w:tcPr>
            <w:tcW w:w="2500" w:type="pct"/>
          </w:tcPr>
          <w:p w14:paraId="758DA433" w14:textId="06DE3538" w:rsidR="00CC18B4" w:rsidRDefault="00CC18B4" w:rsidP="00B20812">
            <w:pPr>
              <w:pStyle w:val="Bullet"/>
              <w:widowControl w:val="0"/>
              <w:numPr>
                <w:ilvl w:val="0"/>
                <w:numId w:val="12"/>
              </w:numPr>
              <w:spacing w:line="280" w:lineRule="exact"/>
            </w:pPr>
            <w:r>
              <w:t>More consumers likely to receive the remedies they are entitled to</w:t>
            </w:r>
            <w:r w:rsidR="008F1369">
              <w:t>.</w:t>
            </w:r>
          </w:p>
          <w:p w14:paraId="55E11F07" w14:textId="15AC6842" w:rsidR="00CC18B4" w:rsidRDefault="00CC18B4" w:rsidP="00B20812">
            <w:pPr>
              <w:pStyle w:val="Bullet"/>
              <w:widowControl w:val="0"/>
              <w:numPr>
                <w:ilvl w:val="0"/>
                <w:numId w:val="12"/>
              </w:numPr>
              <w:spacing w:line="280" w:lineRule="exact"/>
            </w:pPr>
            <w:r>
              <w:t>Consumers likely to spend less time and resources pursuing remedies</w:t>
            </w:r>
            <w:r w:rsidR="008F1369">
              <w:t>.</w:t>
            </w:r>
          </w:p>
          <w:p w14:paraId="52DECA81" w14:textId="12286753" w:rsidR="00CC18B4" w:rsidRPr="00CC18B4" w:rsidRDefault="00CC18B4" w:rsidP="00B20812">
            <w:pPr>
              <w:pStyle w:val="Bullet"/>
              <w:widowControl w:val="0"/>
              <w:numPr>
                <w:ilvl w:val="0"/>
                <w:numId w:val="12"/>
              </w:numPr>
              <w:spacing w:line="280" w:lineRule="exact"/>
            </w:pPr>
            <w:r>
              <w:t>Consumers may be more confident about purchasing goods covered by the consumer guarantees</w:t>
            </w:r>
            <w:r w:rsidR="008F1369">
              <w:t>.</w:t>
            </w:r>
          </w:p>
        </w:tc>
        <w:tc>
          <w:tcPr>
            <w:tcW w:w="2500" w:type="pct"/>
          </w:tcPr>
          <w:p w14:paraId="3312593B" w14:textId="21E34FF2" w:rsidR="00CC18B4" w:rsidRDefault="00CC18B4" w:rsidP="00B20812">
            <w:pPr>
              <w:pStyle w:val="Bullet"/>
              <w:widowControl w:val="0"/>
              <w:numPr>
                <w:ilvl w:val="0"/>
                <w:numId w:val="12"/>
              </w:numPr>
              <w:spacing w:line="280" w:lineRule="exact"/>
            </w:pPr>
            <w:r>
              <w:t>Costs associated with providing remedies (where a business is not already providing these).</w:t>
            </w:r>
          </w:p>
          <w:p w14:paraId="61F60DEA" w14:textId="77777777" w:rsidR="00CC18B4" w:rsidRDefault="00CC18B4" w:rsidP="00B20812">
            <w:pPr>
              <w:pStyle w:val="Bullet"/>
              <w:widowControl w:val="0"/>
              <w:numPr>
                <w:ilvl w:val="0"/>
                <w:numId w:val="12"/>
              </w:numPr>
              <w:spacing w:line="280" w:lineRule="exact"/>
            </w:pPr>
            <w:r>
              <w:t>Costs of non-compliance (infringement notices and pecuniary penalties) (applicable to non-compliant businesses only).</w:t>
            </w:r>
          </w:p>
          <w:p w14:paraId="3780AFE9" w14:textId="77777777" w:rsidR="00CC18B4" w:rsidRDefault="00CC18B4" w:rsidP="00B20812">
            <w:pPr>
              <w:pStyle w:val="Bullet"/>
              <w:widowControl w:val="0"/>
              <w:numPr>
                <w:ilvl w:val="0"/>
                <w:numId w:val="12"/>
              </w:numPr>
              <w:spacing w:line="280" w:lineRule="exact"/>
            </w:pPr>
            <w:r>
              <w:t>Increased training cost for business to ensure staff have a common understanding of the change.</w:t>
            </w:r>
          </w:p>
          <w:p w14:paraId="59123DE1" w14:textId="6E87F7EA" w:rsidR="00CC18B4" w:rsidRPr="00CC18B4" w:rsidRDefault="00CC18B4" w:rsidP="00B20812">
            <w:pPr>
              <w:pStyle w:val="Bullet"/>
              <w:widowControl w:val="0"/>
              <w:numPr>
                <w:ilvl w:val="0"/>
                <w:numId w:val="12"/>
              </w:numPr>
              <w:spacing w:line="280" w:lineRule="exact"/>
            </w:pPr>
            <w:r>
              <w:t>Increased regulatory cost</w:t>
            </w:r>
            <w:r w:rsidR="00A86F78">
              <w:t xml:space="preserve"> for governments</w:t>
            </w:r>
            <w:r>
              <w:t xml:space="preserve"> – enforcement, administration and court proceedings.</w:t>
            </w:r>
          </w:p>
        </w:tc>
      </w:tr>
    </w:tbl>
    <w:p w14:paraId="478F5DC6" w14:textId="599EF492" w:rsidR="008F1369" w:rsidRDefault="008F1369" w:rsidP="00946152">
      <w:pPr>
        <w:pStyle w:val="Bullet"/>
        <w:numPr>
          <w:ilvl w:val="0"/>
          <w:numId w:val="0"/>
        </w:numPr>
        <w:ind w:left="425" w:hanging="425"/>
      </w:pPr>
    </w:p>
    <w:p w14:paraId="42196ADE" w14:textId="77777777" w:rsidR="008F1369" w:rsidRDefault="008F1369">
      <w:pPr>
        <w:spacing w:before="0" w:after="160" w:line="259" w:lineRule="auto"/>
      </w:pPr>
      <w:r>
        <w:br w:type="page"/>
      </w:r>
    </w:p>
    <w:p w14:paraId="722A3E25" w14:textId="77777777" w:rsidR="005D13A5" w:rsidRDefault="005D13A5" w:rsidP="00946152">
      <w:pPr>
        <w:pStyle w:val="Bullet"/>
        <w:numPr>
          <w:ilvl w:val="0"/>
          <w:numId w:val="0"/>
        </w:numPr>
        <w:ind w:left="425" w:hanging="425"/>
      </w:pP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021"/>
      </w:tblGrid>
      <w:tr w:rsidR="00946152" w14:paraId="51817EA5" w14:textId="77777777" w:rsidTr="00F74F10">
        <w:tc>
          <w:tcPr>
            <w:tcW w:w="9021" w:type="dxa"/>
            <w:shd w:val="clear" w:color="auto" w:fill="F2F2F2" w:themeFill="background1" w:themeFillShade="F2"/>
          </w:tcPr>
          <w:p w14:paraId="5671535F" w14:textId="77777777" w:rsidR="00946152" w:rsidRPr="00B05B93" w:rsidRDefault="00946152" w:rsidP="0055562E">
            <w:pPr>
              <w:spacing w:after="180"/>
              <w:rPr>
                <w:b/>
                <w:sz w:val="22"/>
                <w:szCs w:val="28"/>
              </w:rPr>
            </w:pPr>
            <w:r w:rsidRPr="00B05B93">
              <w:rPr>
                <w:b/>
                <w:sz w:val="22"/>
                <w:szCs w:val="28"/>
              </w:rPr>
              <w:t>Focus Questions:</w:t>
            </w:r>
          </w:p>
          <w:p w14:paraId="54984930" w14:textId="77777777" w:rsidR="00946152" w:rsidRPr="00B05B93" w:rsidRDefault="00946152" w:rsidP="0055562E">
            <w:pPr>
              <w:pStyle w:val="Bullet"/>
              <w:numPr>
                <w:ilvl w:val="0"/>
                <w:numId w:val="0"/>
              </w:numPr>
              <w:ind w:left="425" w:hanging="425"/>
              <w:rPr>
                <w:sz w:val="22"/>
                <w:szCs w:val="28"/>
              </w:rPr>
            </w:pPr>
            <w:r w:rsidRPr="00B05B93">
              <w:rPr>
                <w:sz w:val="22"/>
                <w:szCs w:val="28"/>
              </w:rPr>
              <w:t xml:space="preserve">For consumers: </w:t>
            </w:r>
          </w:p>
          <w:p w14:paraId="713CA2EE" w14:textId="11AD570B" w:rsidR="00946152" w:rsidRPr="00B05B93" w:rsidRDefault="00946152" w:rsidP="004A3FDA">
            <w:pPr>
              <w:pStyle w:val="Bullet"/>
              <w:widowControl w:val="0"/>
              <w:numPr>
                <w:ilvl w:val="0"/>
                <w:numId w:val="37"/>
              </w:numPr>
              <w:spacing w:before="120" w:after="240" w:line="280" w:lineRule="exact"/>
              <w:rPr>
                <w:rFonts w:asciiTheme="minorHAnsi" w:eastAsiaTheme="minorHAnsi" w:hAnsiTheme="minorHAnsi" w:cstheme="minorBidi"/>
                <w:sz w:val="22"/>
                <w:szCs w:val="28"/>
                <w:lang w:eastAsia="en-US"/>
              </w:rPr>
            </w:pPr>
            <w:r w:rsidRPr="00B05B93">
              <w:rPr>
                <w:sz w:val="22"/>
                <w:szCs w:val="28"/>
              </w:rPr>
              <w:t xml:space="preserve">Have you experienced issues with a trader not agreeing to provide your requested remedy for a major failure? </w:t>
            </w:r>
            <w:r w:rsidR="007A0893" w:rsidRPr="00B05B93">
              <w:rPr>
                <w:sz w:val="22"/>
                <w:szCs w:val="28"/>
              </w:rPr>
              <w:t>If yes, please provide details. For example, w</w:t>
            </w:r>
            <w:r w:rsidRPr="00B05B93">
              <w:rPr>
                <w:sz w:val="22"/>
                <w:szCs w:val="28"/>
              </w:rPr>
              <w:t xml:space="preserve">hat were the circumstances, including the types of goods or services involved, the nature of the problems experienced with the goods or services, and how the trader dealt with your issue? </w:t>
            </w:r>
          </w:p>
          <w:p w14:paraId="3E438543" w14:textId="77777777" w:rsidR="00946152" w:rsidRPr="00B05B93" w:rsidRDefault="00946152" w:rsidP="004A3FDA">
            <w:pPr>
              <w:pStyle w:val="Bullet"/>
              <w:widowControl w:val="0"/>
              <w:numPr>
                <w:ilvl w:val="0"/>
                <w:numId w:val="37"/>
              </w:numPr>
              <w:spacing w:before="120" w:after="240" w:line="280" w:lineRule="exact"/>
              <w:rPr>
                <w:rFonts w:asciiTheme="minorHAnsi" w:eastAsiaTheme="minorHAnsi" w:hAnsiTheme="minorHAnsi" w:cstheme="minorBidi"/>
                <w:sz w:val="22"/>
                <w:szCs w:val="28"/>
                <w:lang w:eastAsia="en-US"/>
              </w:rPr>
            </w:pPr>
            <w:r w:rsidRPr="00B05B93">
              <w:rPr>
                <w:sz w:val="22"/>
                <w:szCs w:val="28"/>
              </w:rPr>
              <w:t xml:space="preserve">If you have experienced issues where a trader has offered to repair, rather than refund or replace a good with a major failure: </w:t>
            </w:r>
          </w:p>
          <w:p w14:paraId="3F5C3E78" w14:textId="571B0A46" w:rsidR="00946152" w:rsidRPr="00B05B93" w:rsidRDefault="00946152" w:rsidP="004A3FDA">
            <w:pPr>
              <w:pStyle w:val="Bullet"/>
              <w:widowControl w:val="0"/>
              <w:numPr>
                <w:ilvl w:val="0"/>
                <w:numId w:val="16"/>
              </w:numPr>
              <w:spacing w:before="120" w:after="240" w:line="280" w:lineRule="exact"/>
              <w:rPr>
                <w:rFonts w:asciiTheme="minorHAnsi" w:eastAsiaTheme="minorHAnsi" w:hAnsiTheme="minorHAnsi" w:cstheme="minorBidi"/>
                <w:sz w:val="22"/>
                <w:szCs w:val="28"/>
                <w:lang w:eastAsia="en-US"/>
              </w:rPr>
            </w:pPr>
            <w:r w:rsidRPr="00B05B93">
              <w:rPr>
                <w:sz w:val="22"/>
                <w:szCs w:val="28"/>
              </w:rPr>
              <w:t xml:space="preserve">What direct financial costs did you incur during the period the good was being repaired (for </w:t>
            </w:r>
            <w:r w:rsidR="007A0893" w:rsidRPr="00B05B93">
              <w:rPr>
                <w:sz w:val="22"/>
                <w:szCs w:val="28"/>
              </w:rPr>
              <w:t>example</w:t>
            </w:r>
            <w:r w:rsidRPr="00B05B93">
              <w:rPr>
                <w:sz w:val="22"/>
                <w:szCs w:val="28"/>
              </w:rPr>
              <w:t xml:space="preserve">, visiting the retailer, taking the matter to a court or tribunal, or hiring a replacement for the good)? </w:t>
            </w:r>
          </w:p>
          <w:p w14:paraId="50D56758" w14:textId="77777777" w:rsidR="00946152" w:rsidRPr="00B05B93" w:rsidRDefault="00946152" w:rsidP="004A3FDA">
            <w:pPr>
              <w:pStyle w:val="Bullet"/>
              <w:widowControl w:val="0"/>
              <w:numPr>
                <w:ilvl w:val="0"/>
                <w:numId w:val="16"/>
              </w:numPr>
              <w:spacing w:before="120" w:after="240" w:line="280" w:lineRule="exact"/>
              <w:rPr>
                <w:rFonts w:asciiTheme="minorHAnsi" w:eastAsiaTheme="minorHAnsi" w:hAnsiTheme="minorHAnsi" w:cstheme="minorBidi"/>
                <w:sz w:val="22"/>
                <w:szCs w:val="28"/>
                <w:lang w:eastAsia="en-US"/>
              </w:rPr>
            </w:pPr>
            <w:r w:rsidRPr="00B05B93">
              <w:rPr>
                <w:sz w:val="22"/>
                <w:szCs w:val="28"/>
              </w:rPr>
              <w:t>How much time did you spend dropping off the good for repair, collecting the repaired good and/or negotiating with the trader?</w:t>
            </w:r>
          </w:p>
          <w:p w14:paraId="25EA8E6F" w14:textId="77777777" w:rsidR="00946152" w:rsidRPr="00B05B93" w:rsidRDefault="00946152" w:rsidP="004A3FDA">
            <w:pPr>
              <w:pStyle w:val="Bullet"/>
              <w:widowControl w:val="0"/>
              <w:numPr>
                <w:ilvl w:val="0"/>
                <w:numId w:val="16"/>
              </w:numPr>
              <w:spacing w:before="120" w:after="240" w:line="280" w:lineRule="exact"/>
              <w:rPr>
                <w:rFonts w:asciiTheme="minorHAnsi" w:eastAsiaTheme="minorHAnsi" w:hAnsiTheme="minorHAnsi" w:cstheme="minorBidi"/>
                <w:sz w:val="22"/>
                <w:szCs w:val="28"/>
                <w:lang w:eastAsia="en-US"/>
              </w:rPr>
            </w:pPr>
            <w:r w:rsidRPr="00B05B93">
              <w:rPr>
                <w:sz w:val="22"/>
                <w:szCs w:val="28"/>
              </w:rPr>
              <w:t>Have you had different experiences with lower value goods (for example, toaster, kettle) than with higher value goods (for example, a white good or motor vehicles)?</w:t>
            </w:r>
          </w:p>
          <w:p w14:paraId="32670EA5" w14:textId="77777777" w:rsidR="00946152" w:rsidRPr="00B05B93" w:rsidRDefault="00946152" w:rsidP="0055562E">
            <w:pPr>
              <w:pStyle w:val="Bullet"/>
              <w:numPr>
                <w:ilvl w:val="0"/>
                <w:numId w:val="0"/>
              </w:numPr>
              <w:ind w:left="425" w:hanging="425"/>
              <w:rPr>
                <w:sz w:val="22"/>
                <w:szCs w:val="28"/>
              </w:rPr>
            </w:pPr>
            <w:r w:rsidRPr="00B05B93">
              <w:rPr>
                <w:sz w:val="22"/>
                <w:szCs w:val="28"/>
              </w:rPr>
              <w:t xml:space="preserve">For businesses: </w:t>
            </w:r>
          </w:p>
          <w:p w14:paraId="36A98D02" w14:textId="77777777" w:rsidR="00946152" w:rsidRPr="00B05B93" w:rsidRDefault="00946152" w:rsidP="004A3FDA">
            <w:pPr>
              <w:pStyle w:val="Bullet"/>
              <w:widowControl w:val="0"/>
              <w:numPr>
                <w:ilvl w:val="0"/>
                <w:numId w:val="37"/>
              </w:numPr>
              <w:spacing w:before="120" w:after="240" w:line="280" w:lineRule="exact"/>
              <w:rPr>
                <w:sz w:val="22"/>
                <w:szCs w:val="28"/>
              </w:rPr>
            </w:pPr>
            <w:r w:rsidRPr="00B05B93">
              <w:rPr>
                <w:sz w:val="22"/>
                <w:szCs w:val="28"/>
              </w:rPr>
              <w:t xml:space="preserve">Are there any unintended consequences, risks or challenges that need to be considered with creating such civil prohibitions? </w:t>
            </w:r>
          </w:p>
          <w:p w14:paraId="219360FE" w14:textId="77777777" w:rsidR="00946152" w:rsidRPr="00B05B93" w:rsidRDefault="00946152" w:rsidP="0055562E">
            <w:pPr>
              <w:pStyle w:val="Bullet"/>
              <w:numPr>
                <w:ilvl w:val="0"/>
                <w:numId w:val="0"/>
              </w:numPr>
              <w:ind w:left="425" w:hanging="425"/>
              <w:rPr>
                <w:sz w:val="22"/>
                <w:szCs w:val="28"/>
              </w:rPr>
            </w:pPr>
            <w:r w:rsidRPr="00B05B93">
              <w:rPr>
                <w:sz w:val="22"/>
                <w:szCs w:val="28"/>
              </w:rPr>
              <w:t>For everyone:</w:t>
            </w:r>
          </w:p>
          <w:p w14:paraId="3889213A" w14:textId="77777777" w:rsidR="00242093" w:rsidRPr="00B05B93" w:rsidRDefault="00946152" w:rsidP="004A3FDA">
            <w:pPr>
              <w:pStyle w:val="Bullet"/>
              <w:widowControl w:val="0"/>
              <w:numPr>
                <w:ilvl w:val="0"/>
                <w:numId w:val="37"/>
              </w:numPr>
              <w:spacing w:before="120" w:after="240" w:line="280" w:lineRule="exact"/>
              <w:rPr>
                <w:sz w:val="22"/>
                <w:szCs w:val="28"/>
              </w:rPr>
            </w:pPr>
            <w:r w:rsidRPr="00B05B93">
              <w:rPr>
                <w:sz w:val="22"/>
                <w:szCs w:val="28"/>
              </w:rPr>
              <w:t>Do you think introducing a civil prohibition would deter businesses from failing to provide the applicable consumer guarantee remedy to consumers who are entitled to one?</w:t>
            </w:r>
            <w:r w:rsidR="00242093" w:rsidRPr="00B05B93">
              <w:rPr>
                <w:rFonts w:asciiTheme="minorHAnsi" w:eastAsiaTheme="minorHAnsi" w:hAnsiTheme="minorHAnsi" w:cstheme="minorBidi"/>
                <w:sz w:val="22"/>
                <w:szCs w:val="28"/>
                <w:lang w:eastAsia="en-US"/>
              </w:rPr>
              <w:t xml:space="preserve"> </w:t>
            </w:r>
          </w:p>
          <w:p w14:paraId="2DFCACE4" w14:textId="03D5CB93" w:rsidR="00946152" w:rsidRPr="00B05B93" w:rsidRDefault="007A0893" w:rsidP="004A3FDA">
            <w:pPr>
              <w:pStyle w:val="Bullet"/>
              <w:widowControl w:val="0"/>
              <w:numPr>
                <w:ilvl w:val="0"/>
                <w:numId w:val="37"/>
              </w:numPr>
              <w:spacing w:before="120" w:after="240" w:line="280" w:lineRule="exact"/>
              <w:rPr>
                <w:sz w:val="22"/>
                <w:szCs w:val="28"/>
              </w:rPr>
            </w:pPr>
            <w:r w:rsidRPr="00B05B93">
              <w:rPr>
                <w:sz w:val="22"/>
                <w:szCs w:val="28"/>
              </w:rPr>
              <w:t xml:space="preserve">Please provide any relevant information or data </w:t>
            </w:r>
            <w:r w:rsidR="00242093" w:rsidRPr="00B05B93">
              <w:rPr>
                <w:rFonts w:asciiTheme="minorHAnsi" w:eastAsiaTheme="minorHAnsi" w:hAnsiTheme="minorHAnsi" w:cstheme="minorBidi"/>
                <w:sz w:val="22"/>
                <w:szCs w:val="28"/>
                <w:lang w:eastAsia="en-US"/>
              </w:rPr>
              <w:t>available on whether non-compliance with the consumer guarantees</w:t>
            </w:r>
            <w:r w:rsidR="008F1369">
              <w:rPr>
                <w:rFonts w:asciiTheme="minorHAnsi" w:eastAsiaTheme="minorHAnsi" w:hAnsiTheme="minorHAnsi" w:cstheme="minorBidi"/>
                <w:sz w:val="22"/>
                <w:szCs w:val="28"/>
                <w:lang w:eastAsia="en-US"/>
              </w:rPr>
              <w:t xml:space="preserve"> is </w:t>
            </w:r>
            <w:r w:rsidR="008F1369" w:rsidRPr="00B05B93">
              <w:rPr>
                <w:rFonts w:asciiTheme="minorHAnsi" w:eastAsiaTheme="minorHAnsi" w:hAnsiTheme="minorHAnsi" w:cstheme="minorBidi"/>
                <w:sz w:val="22"/>
                <w:szCs w:val="28"/>
                <w:lang w:eastAsia="en-US"/>
              </w:rPr>
              <w:t xml:space="preserve">a significant problem in the new motor vehicle sector </w:t>
            </w:r>
            <w:r w:rsidR="008F1369">
              <w:rPr>
                <w:rFonts w:asciiTheme="minorHAnsi" w:eastAsiaTheme="minorHAnsi" w:hAnsiTheme="minorHAnsi" w:cstheme="minorBidi"/>
                <w:sz w:val="22"/>
                <w:szCs w:val="28"/>
                <w:lang w:eastAsia="en-US"/>
              </w:rPr>
              <w:t xml:space="preserve">compared to </w:t>
            </w:r>
            <w:r w:rsidR="008F1369" w:rsidRPr="00B05B93">
              <w:rPr>
                <w:rFonts w:asciiTheme="minorHAnsi" w:eastAsiaTheme="minorHAnsi" w:hAnsiTheme="minorHAnsi" w:cstheme="minorBidi"/>
                <w:sz w:val="22"/>
                <w:szCs w:val="28"/>
                <w:lang w:eastAsia="en-US"/>
              </w:rPr>
              <w:t>other</w:t>
            </w:r>
            <w:r w:rsidR="00242093" w:rsidRPr="00B05B93">
              <w:rPr>
                <w:rFonts w:asciiTheme="minorHAnsi" w:eastAsiaTheme="minorHAnsi" w:hAnsiTheme="minorHAnsi" w:cstheme="minorBidi"/>
                <w:sz w:val="22"/>
                <w:szCs w:val="28"/>
                <w:lang w:eastAsia="en-US"/>
              </w:rPr>
              <w:t xml:space="preserve"> sectors?</w:t>
            </w:r>
          </w:p>
        </w:tc>
      </w:tr>
    </w:tbl>
    <w:p w14:paraId="720010A3" w14:textId="77777777" w:rsidR="00321216" w:rsidRDefault="00321216">
      <w:pPr>
        <w:spacing w:before="0" w:after="160" w:line="259" w:lineRule="auto"/>
      </w:pPr>
      <w:r>
        <w:br w:type="page"/>
      </w:r>
    </w:p>
    <w:p w14:paraId="198DE71D" w14:textId="77777777" w:rsidR="00673E08" w:rsidRDefault="00673E08" w:rsidP="00673E08"/>
    <w:p w14:paraId="012C1A4A" w14:textId="77777777" w:rsidR="00673E08" w:rsidRDefault="00673E08" w:rsidP="00673E08"/>
    <w:p w14:paraId="6B6FFE58" w14:textId="77777777" w:rsidR="00673E08" w:rsidRDefault="00673E08" w:rsidP="00673E08"/>
    <w:p w14:paraId="3FCD5E2F" w14:textId="77777777" w:rsidR="00673E08" w:rsidRDefault="00673E08" w:rsidP="00673E08"/>
    <w:p w14:paraId="2CF532F0" w14:textId="77777777" w:rsidR="00673E08" w:rsidRDefault="00673E08" w:rsidP="00673E08"/>
    <w:p w14:paraId="3CDBCB6D" w14:textId="77777777" w:rsidR="00673E08" w:rsidRDefault="00673E08" w:rsidP="00673E08"/>
    <w:p w14:paraId="0E82133C" w14:textId="77777777" w:rsidR="00673E08" w:rsidRDefault="00673E08" w:rsidP="00673E08"/>
    <w:p w14:paraId="44A73FDF" w14:textId="77777777" w:rsidR="00673E08" w:rsidRDefault="00673E08" w:rsidP="00673E08"/>
    <w:p w14:paraId="55F3A3BA" w14:textId="77777777" w:rsidR="00673E08" w:rsidRDefault="00673E08" w:rsidP="00673E08"/>
    <w:p w14:paraId="31E64625" w14:textId="77777777" w:rsidR="00673E08" w:rsidRDefault="00673E08" w:rsidP="00673E08"/>
    <w:p w14:paraId="7D028433" w14:textId="77777777" w:rsidR="00673E08" w:rsidRDefault="00673E08" w:rsidP="00673E08"/>
    <w:p w14:paraId="1CF726EF" w14:textId="298371C7" w:rsidR="00673E08" w:rsidRDefault="00673E08" w:rsidP="000D1B7D">
      <w:pPr>
        <w:pStyle w:val="ChapterHeading"/>
      </w:pPr>
      <w:bookmarkStart w:id="161" w:name="_Toc69381067"/>
      <w:bookmarkStart w:id="162" w:name="_Toc69395088"/>
      <w:bookmarkStart w:id="163" w:name="_Toc89700931"/>
      <w:r>
        <w:t>Part B</w:t>
      </w:r>
      <w:r w:rsidR="000D1B7D" w:rsidRPr="001661F3">
        <w:t xml:space="preserve">: </w:t>
      </w:r>
      <w:r w:rsidR="000D1B7D">
        <w:t>Supplier indemnification</w:t>
      </w:r>
      <w:bookmarkEnd w:id="161"/>
      <w:bookmarkEnd w:id="162"/>
      <w:bookmarkEnd w:id="163"/>
    </w:p>
    <w:p w14:paraId="7FCB418D" w14:textId="77777777" w:rsidR="00673E08" w:rsidRDefault="00673E08">
      <w:pPr>
        <w:spacing w:before="0" w:after="160" w:line="259" w:lineRule="auto"/>
        <w:rPr>
          <w:rFonts w:eastAsiaTheme="majorEastAsia" w:cstheme="majorBidi"/>
          <w:b/>
          <w:color w:val="5F5F5F" w:themeColor="text2"/>
          <w:kern w:val="32"/>
          <w:sz w:val="48"/>
          <w:szCs w:val="32"/>
        </w:rPr>
      </w:pPr>
      <w:r>
        <w:br w:type="page"/>
      </w:r>
    </w:p>
    <w:p w14:paraId="509D548C" w14:textId="74651743" w:rsidR="000D1B7D" w:rsidRDefault="00A500CA" w:rsidP="00A500CA">
      <w:pPr>
        <w:pStyle w:val="Heading2"/>
      </w:pPr>
      <w:bookmarkStart w:id="164" w:name="_Toc69381068"/>
      <w:bookmarkStart w:id="165" w:name="_Toc69395089"/>
      <w:bookmarkStart w:id="166" w:name="_Toc89700932"/>
      <w:r>
        <w:lastRenderedPageBreak/>
        <w:t>The problem: m</w:t>
      </w:r>
      <w:r w:rsidRPr="00A500CA">
        <w:t xml:space="preserve">anufacturers </w:t>
      </w:r>
      <w:r w:rsidR="00601C69">
        <w:t>often fail to</w:t>
      </w:r>
      <w:r w:rsidRPr="00A500CA">
        <w:t xml:space="preserve"> inde</w:t>
      </w:r>
      <w:r>
        <w:t>mnify suppliers</w:t>
      </w:r>
      <w:bookmarkEnd w:id="164"/>
      <w:bookmarkEnd w:id="165"/>
      <w:bookmarkEnd w:id="166"/>
    </w:p>
    <w:p w14:paraId="031C8D36" w14:textId="34D01A5A" w:rsidR="00F13996" w:rsidRPr="00DE7B7C" w:rsidRDefault="00DE7B7C" w:rsidP="00DE7B7C">
      <w:pPr>
        <w:rPr>
          <w:rFonts w:eastAsia="Calibri"/>
        </w:rPr>
      </w:pPr>
      <w:r>
        <w:rPr>
          <w:rFonts w:eastAsia="Calibri"/>
        </w:rPr>
        <w:t>The ACL provides that s</w:t>
      </w:r>
      <w:r w:rsidR="00F13996" w:rsidRPr="00DE7B7C">
        <w:rPr>
          <w:rFonts w:eastAsia="Calibri"/>
        </w:rPr>
        <w:t>uppliers of goods and services have a statutory right to indemnification (reimbursement) from manufacturers when they provide a consumer guarantee remedy to consumers</w:t>
      </w:r>
      <w:r w:rsidR="00A86F78">
        <w:rPr>
          <w:rFonts w:eastAsia="Calibri"/>
        </w:rPr>
        <w:t>, where</w:t>
      </w:r>
      <w:r w:rsidR="00A86F78" w:rsidRPr="00DE7B7C">
        <w:rPr>
          <w:rFonts w:eastAsia="Calibri"/>
        </w:rPr>
        <w:t xml:space="preserve"> the manufacturer</w:t>
      </w:r>
      <w:r w:rsidR="00A86F78">
        <w:rPr>
          <w:rFonts w:eastAsia="Calibri"/>
        </w:rPr>
        <w:t xml:space="preserve"> of a good</w:t>
      </w:r>
      <w:r w:rsidR="00A86F78" w:rsidRPr="00DE7B7C">
        <w:rPr>
          <w:rFonts w:eastAsia="Calibri"/>
        </w:rPr>
        <w:t xml:space="preserve"> is responsible for the </w:t>
      </w:r>
      <w:r w:rsidR="00A86F78">
        <w:rPr>
          <w:rFonts w:eastAsia="Calibri"/>
        </w:rPr>
        <w:t xml:space="preserve">consumer guarantees </w:t>
      </w:r>
      <w:r w:rsidR="008F1369" w:rsidRPr="00DE7B7C">
        <w:rPr>
          <w:rFonts w:eastAsia="Calibri"/>
        </w:rPr>
        <w:t xml:space="preserve">failure </w:t>
      </w:r>
      <w:r w:rsidR="008F1369">
        <w:rPr>
          <w:rFonts w:eastAsia="Calibri"/>
        </w:rPr>
        <w:t>(</w:t>
      </w:r>
      <w:r w:rsidR="00F13996" w:rsidRPr="00DE7B7C">
        <w:rPr>
          <w:rFonts w:eastAsia="Calibri"/>
        </w:rPr>
        <w:t>‘manufacturer faults’</w:t>
      </w:r>
      <w:r>
        <w:rPr>
          <w:rFonts w:eastAsia="Calibri"/>
        </w:rPr>
        <w:t xml:space="preserve"> </w:t>
      </w:r>
      <w:r w:rsidR="00B13342" w:rsidRPr="00DE7B7C">
        <w:rPr>
          <w:rStyle w:val="FootnoteReference"/>
        </w:rPr>
        <w:footnoteReference w:id="79"/>
      </w:r>
      <w:r w:rsidR="00F13996" w:rsidRPr="00DE7B7C">
        <w:rPr>
          <w:rFonts w:eastAsia="Calibri"/>
        </w:rPr>
        <w:t>).</w:t>
      </w:r>
      <w:r>
        <w:rPr>
          <w:rFonts w:eastAsia="Calibri"/>
        </w:rPr>
        <w:t xml:space="preserve"> </w:t>
      </w:r>
      <w:r w:rsidR="00F13996" w:rsidRPr="00DE7B7C">
        <w:rPr>
          <w:rStyle w:val="FootnoteReference"/>
          <w:rFonts w:eastAsia="Calibri"/>
        </w:rPr>
        <w:footnoteReference w:id="80"/>
      </w:r>
      <w:r w:rsidR="00F13996" w:rsidRPr="00DE7B7C">
        <w:rPr>
          <w:rFonts w:eastAsia="Calibri"/>
        </w:rPr>
        <w:t xml:space="preserve"> This right exists for the guarantees of:</w:t>
      </w:r>
    </w:p>
    <w:p w14:paraId="79621579" w14:textId="328DCB3B" w:rsidR="00F13996" w:rsidRDefault="00F13996" w:rsidP="00673BA5">
      <w:pPr>
        <w:pStyle w:val="Bullet"/>
        <w:rPr>
          <w:rFonts w:eastAsia="Calibri"/>
        </w:rPr>
      </w:pPr>
      <w:r w:rsidRPr="0045351B">
        <w:rPr>
          <w:rFonts w:eastAsia="Calibri"/>
        </w:rPr>
        <w:t>acceptable quality</w:t>
      </w:r>
    </w:p>
    <w:p w14:paraId="42DEC064" w14:textId="6A8CB1CC" w:rsidR="00F13996" w:rsidRDefault="00F13996" w:rsidP="00673BA5">
      <w:pPr>
        <w:pStyle w:val="Bullet"/>
        <w:rPr>
          <w:rFonts w:eastAsia="Calibri"/>
        </w:rPr>
      </w:pPr>
      <w:r>
        <w:rPr>
          <w:rFonts w:eastAsia="Calibri"/>
        </w:rPr>
        <w:t xml:space="preserve">goods corresponding with their </w:t>
      </w:r>
      <w:r w:rsidRPr="007120A3">
        <w:rPr>
          <w:rFonts w:eastAsia="Calibri"/>
        </w:rPr>
        <w:t>description</w:t>
      </w:r>
      <w:r>
        <w:rPr>
          <w:rFonts w:eastAsia="Calibri"/>
        </w:rPr>
        <w:t>s</w:t>
      </w:r>
      <w:r w:rsidRPr="007120A3">
        <w:rPr>
          <w:rFonts w:eastAsia="Calibri"/>
        </w:rPr>
        <w:t xml:space="preserve"> </w:t>
      </w:r>
      <w:r>
        <w:rPr>
          <w:rFonts w:eastAsia="Calibri"/>
        </w:rPr>
        <w:t xml:space="preserve">(where descriptions are </w:t>
      </w:r>
      <w:r w:rsidRPr="007120A3">
        <w:rPr>
          <w:rFonts w:eastAsia="Calibri"/>
        </w:rPr>
        <w:t xml:space="preserve">applied to goods by </w:t>
      </w:r>
      <w:r>
        <w:rPr>
          <w:rFonts w:eastAsia="Calibri"/>
        </w:rPr>
        <w:t xml:space="preserve">or on behalf of </w:t>
      </w:r>
      <w:r w:rsidRPr="007120A3">
        <w:rPr>
          <w:rFonts w:eastAsia="Calibri"/>
        </w:rPr>
        <w:t>manufacturers</w:t>
      </w:r>
      <w:r>
        <w:rPr>
          <w:rFonts w:eastAsia="Calibri"/>
        </w:rPr>
        <w:t>)</w:t>
      </w:r>
    </w:p>
    <w:p w14:paraId="7687896D" w14:textId="77777777" w:rsidR="00F13996" w:rsidRDefault="00F13996" w:rsidP="00673BA5">
      <w:pPr>
        <w:pStyle w:val="Bullet"/>
        <w:rPr>
          <w:rFonts w:eastAsia="Calibri"/>
        </w:rPr>
      </w:pPr>
      <w:r w:rsidRPr="007120A3">
        <w:rPr>
          <w:rFonts w:eastAsia="Calibri"/>
        </w:rPr>
        <w:t xml:space="preserve">fitness for </w:t>
      </w:r>
      <w:r>
        <w:rPr>
          <w:rFonts w:eastAsia="Calibri"/>
        </w:rPr>
        <w:t xml:space="preserve">a </w:t>
      </w:r>
      <w:r w:rsidRPr="007120A3">
        <w:rPr>
          <w:rFonts w:eastAsia="Calibri"/>
        </w:rPr>
        <w:t>purpose that a consumer m</w:t>
      </w:r>
      <w:r>
        <w:rPr>
          <w:rFonts w:eastAsia="Calibri"/>
        </w:rPr>
        <w:t>akes known to a manufacturer either directly or through a supplier</w:t>
      </w:r>
      <w:r w:rsidRPr="007120A3">
        <w:rPr>
          <w:rFonts w:eastAsia="Calibri"/>
        </w:rPr>
        <w:t>. For example, good</w:t>
      </w:r>
      <w:r>
        <w:rPr>
          <w:rFonts w:eastAsia="Calibri"/>
        </w:rPr>
        <w:t>s</w:t>
      </w:r>
      <w:r w:rsidRPr="007120A3">
        <w:rPr>
          <w:rFonts w:eastAsia="Calibri"/>
        </w:rPr>
        <w:t xml:space="preserve"> </w:t>
      </w:r>
      <w:r>
        <w:rPr>
          <w:rFonts w:eastAsia="Calibri"/>
        </w:rPr>
        <w:t xml:space="preserve">with </w:t>
      </w:r>
      <w:r w:rsidRPr="007120A3">
        <w:rPr>
          <w:rFonts w:eastAsia="Calibri"/>
        </w:rPr>
        <w:t>design flaw</w:t>
      </w:r>
      <w:r>
        <w:rPr>
          <w:rFonts w:eastAsia="Calibri"/>
        </w:rPr>
        <w:t>s</w:t>
      </w:r>
      <w:r w:rsidRPr="007120A3">
        <w:rPr>
          <w:rFonts w:eastAsia="Calibri"/>
        </w:rPr>
        <w:t xml:space="preserve"> </w:t>
      </w:r>
      <w:r>
        <w:rPr>
          <w:rFonts w:eastAsia="Calibri"/>
        </w:rPr>
        <w:t xml:space="preserve">that </w:t>
      </w:r>
      <w:r w:rsidRPr="007120A3">
        <w:rPr>
          <w:rFonts w:eastAsia="Calibri"/>
        </w:rPr>
        <w:t>mak</w:t>
      </w:r>
      <w:r>
        <w:rPr>
          <w:rFonts w:eastAsia="Calibri"/>
        </w:rPr>
        <w:t>e</w:t>
      </w:r>
      <w:r w:rsidRPr="007120A3">
        <w:rPr>
          <w:rFonts w:eastAsia="Calibri"/>
        </w:rPr>
        <w:t xml:space="preserve"> </w:t>
      </w:r>
      <w:r>
        <w:rPr>
          <w:rFonts w:eastAsia="Calibri"/>
        </w:rPr>
        <w:t xml:space="preserve">them </w:t>
      </w:r>
      <w:r w:rsidRPr="007120A3">
        <w:rPr>
          <w:rFonts w:eastAsia="Calibri"/>
        </w:rPr>
        <w:t xml:space="preserve">unsafe </w:t>
      </w:r>
      <w:r>
        <w:rPr>
          <w:rFonts w:eastAsia="Calibri"/>
        </w:rPr>
        <w:t xml:space="preserve">and goods that </w:t>
      </w:r>
      <w:r w:rsidRPr="007120A3">
        <w:rPr>
          <w:rFonts w:eastAsia="Calibri"/>
        </w:rPr>
        <w:t xml:space="preserve">don’t do what </w:t>
      </w:r>
      <w:r>
        <w:rPr>
          <w:rFonts w:eastAsia="Calibri"/>
        </w:rPr>
        <w:t xml:space="preserve">a </w:t>
      </w:r>
      <w:r w:rsidRPr="007120A3">
        <w:rPr>
          <w:rFonts w:eastAsia="Calibri"/>
        </w:rPr>
        <w:t>manufacturer</w:t>
      </w:r>
      <w:r>
        <w:rPr>
          <w:rFonts w:eastAsia="Calibri"/>
        </w:rPr>
        <w:t xml:space="preserve">’s label on the product </w:t>
      </w:r>
      <w:r w:rsidRPr="007120A3">
        <w:rPr>
          <w:rFonts w:eastAsia="Calibri"/>
        </w:rPr>
        <w:t>claims.</w:t>
      </w:r>
    </w:p>
    <w:p w14:paraId="630CEFB3" w14:textId="3D52B131" w:rsidR="00B13342" w:rsidRDefault="00583B57" w:rsidP="00F228E6">
      <w:pPr>
        <w:pStyle w:val="Bullet"/>
        <w:numPr>
          <w:ilvl w:val="0"/>
          <w:numId w:val="0"/>
        </w:numPr>
      </w:pPr>
      <w:r w:rsidRPr="00924673">
        <w:t xml:space="preserve">Despite this statutory right, </w:t>
      </w:r>
      <w:r w:rsidR="000029D9" w:rsidRPr="00924673">
        <w:t xml:space="preserve">stakeholders advise </w:t>
      </w:r>
      <w:r w:rsidR="00283771" w:rsidRPr="00924673">
        <w:t xml:space="preserve">manufacturers often fail to </w:t>
      </w:r>
      <w:r w:rsidR="009F0796" w:rsidRPr="00924673">
        <w:t>reimburse suppliers</w:t>
      </w:r>
      <w:r w:rsidR="00283771" w:rsidRPr="00924673">
        <w:t xml:space="preserve"> </w:t>
      </w:r>
      <w:r w:rsidR="009F0796" w:rsidRPr="00924673">
        <w:t xml:space="preserve">for the costs the supplier incurs </w:t>
      </w:r>
      <w:r w:rsidR="00924673" w:rsidRPr="00924673">
        <w:t xml:space="preserve">in </w:t>
      </w:r>
      <w:r w:rsidR="009F0796" w:rsidRPr="00924673">
        <w:t>providing a remedy to a consumer for a manufacturer fault, or make it difficult for suppl</w:t>
      </w:r>
      <w:r w:rsidR="000029D9" w:rsidRPr="00924673">
        <w:t xml:space="preserve">iers to obtain indemnification. </w:t>
      </w:r>
    </w:p>
    <w:p w14:paraId="5F454708" w14:textId="2AFA9B0A" w:rsidR="00F228E6" w:rsidRPr="00924673" w:rsidRDefault="000029D9" w:rsidP="00F228E6">
      <w:pPr>
        <w:pStyle w:val="Bullet"/>
        <w:numPr>
          <w:ilvl w:val="0"/>
          <w:numId w:val="0"/>
        </w:numPr>
      </w:pPr>
      <w:r w:rsidRPr="00924673">
        <w:t xml:space="preserve">For example, the Australian Retailers Association (ARA) has </w:t>
      </w:r>
      <w:r w:rsidR="00924673" w:rsidRPr="00924673">
        <w:t xml:space="preserve">previously advised </w:t>
      </w:r>
      <w:r w:rsidRPr="00924673">
        <w:t>there seems to be continual issues with suppliers and manufacturers refusing to compensate a retailer when a good had clearly failed and this issue was the single biggest issue under the ACL for ARA members when it comes to financial compensation.</w:t>
      </w:r>
      <w:r w:rsidR="00817AAD">
        <w:t xml:space="preserve"> </w:t>
      </w:r>
      <w:r w:rsidRPr="00924673">
        <w:rPr>
          <w:rStyle w:val="FootnoteReference"/>
        </w:rPr>
        <w:footnoteReference w:id="81"/>
      </w:r>
      <w:r w:rsidR="00F228E6" w:rsidRPr="00924673">
        <w:t xml:space="preserve"> The ARA </w:t>
      </w:r>
      <w:r w:rsidR="00817AAD">
        <w:t xml:space="preserve">has </w:t>
      </w:r>
      <w:r w:rsidR="00B13342">
        <w:t xml:space="preserve">also </w:t>
      </w:r>
      <w:r w:rsidR="00F228E6" w:rsidRPr="00924673">
        <w:t xml:space="preserve">suggested difficulties obtaining supplier indemnification are not limited to small business and some larger retailers build in costs because some large manufacturers can be difficult to deal with </w:t>
      </w:r>
      <w:r w:rsidR="00982CB5">
        <w:t xml:space="preserve">when </w:t>
      </w:r>
      <w:r w:rsidR="00F228E6" w:rsidRPr="00924673">
        <w:t xml:space="preserve">replacing </w:t>
      </w:r>
      <w:r w:rsidR="006075DA" w:rsidRPr="00924673">
        <w:t>products which fail the consumer guarantees</w:t>
      </w:r>
      <w:r w:rsidR="00F228E6" w:rsidRPr="00924673">
        <w:t>.</w:t>
      </w:r>
      <w:r w:rsidR="00817AAD">
        <w:t xml:space="preserve"> </w:t>
      </w:r>
      <w:r w:rsidR="00F228E6" w:rsidRPr="00924673">
        <w:rPr>
          <w:rStyle w:val="FootnoteReference"/>
        </w:rPr>
        <w:footnoteReference w:id="82"/>
      </w:r>
    </w:p>
    <w:p w14:paraId="509B475C" w14:textId="280474CC" w:rsidR="000029D9" w:rsidRPr="00B13342" w:rsidRDefault="00574DD8" w:rsidP="009F0796">
      <w:r w:rsidRPr="00B13342">
        <w:t xml:space="preserve">While a consumer’s right to a remedy from a supplier is not legally contingent on the supplier receiving indemnification from the manufacturer, the uncertainty around </w:t>
      </w:r>
      <w:r w:rsidR="00967DDE" w:rsidRPr="00B13342">
        <w:t xml:space="preserve">whether a </w:t>
      </w:r>
      <w:r w:rsidRPr="00B13342">
        <w:t xml:space="preserve">supplier </w:t>
      </w:r>
      <w:r w:rsidR="00967DDE" w:rsidRPr="00B13342">
        <w:t xml:space="preserve">will be reimbursed for a remedy </w:t>
      </w:r>
      <w:r w:rsidRPr="00B13342">
        <w:t xml:space="preserve">could mean consumers miss out on receiving the remedy they are entitled to. </w:t>
      </w:r>
      <w:r w:rsidR="00B13342" w:rsidRPr="00B13342">
        <w:t>For example, feedback during c</w:t>
      </w:r>
      <w:r w:rsidRPr="00B13342">
        <w:t xml:space="preserve">onsultation on consumer guarantees </w:t>
      </w:r>
      <w:r w:rsidR="00B13342" w:rsidRPr="00B13342">
        <w:t xml:space="preserve">conducted </w:t>
      </w:r>
      <w:r w:rsidRPr="00B13342">
        <w:t>by</w:t>
      </w:r>
      <w:r w:rsidR="00AC73AC">
        <w:t xml:space="preserve"> </w:t>
      </w:r>
      <w:r w:rsidRPr="00B13342">
        <w:t xml:space="preserve">CAANZ in 2018 indicated suppliers often feel constrained in providing remedies to consumers for manufacturer </w:t>
      </w:r>
      <w:r w:rsidRPr="00B13342">
        <w:lastRenderedPageBreak/>
        <w:t>faults, because of the difficulties suppliers then face in securing reimbursement from the manufacturer.</w:t>
      </w:r>
    </w:p>
    <w:p w14:paraId="7400075D" w14:textId="7411B014" w:rsidR="00283771" w:rsidRPr="00B13342" w:rsidRDefault="000B5E6F" w:rsidP="008361B4">
      <w:r w:rsidRPr="00B13342">
        <w:t xml:space="preserve">There may be several reasons why </w:t>
      </w:r>
      <w:r w:rsidR="00CB2A44" w:rsidRPr="00B13342">
        <w:t xml:space="preserve">the current statutory right </w:t>
      </w:r>
      <w:r w:rsidR="00362118" w:rsidRPr="00B13342">
        <w:t xml:space="preserve">to </w:t>
      </w:r>
      <w:r w:rsidR="00CB2A44" w:rsidRPr="00B13342">
        <w:t xml:space="preserve">supplier indemnification </w:t>
      </w:r>
      <w:r w:rsidR="00362118" w:rsidRPr="00B13342">
        <w:t xml:space="preserve">for </w:t>
      </w:r>
      <w:r w:rsidR="00CB2A44" w:rsidRPr="00B13342">
        <w:t>manufacturer faults is ineffective</w:t>
      </w:r>
      <w:r w:rsidR="001929AA" w:rsidRPr="00B13342">
        <w:t xml:space="preserve"> including</w:t>
      </w:r>
      <w:r w:rsidR="003C08AB" w:rsidRPr="00B13342">
        <w:t>, for example</w:t>
      </w:r>
      <w:r w:rsidR="001929AA" w:rsidRPr="00B13342">
        <w:t>:</w:t>
      </w:r>
    </w:p>
    <w:p w14:paraId="23BC71E8" w14:textId="4E018E13" w:rsidR="001929AA" w:rsidRPr="00B13342" w:rsidRDefault="00CB2A44" w:rsidP="009C448E">
      <w:pPr>
        <w:pStyle w:val="Bullet"/>
        <w:ind w:left="510" w:hanging="510"/>
      </w:pPr>
      <w:r w:rsidRPr="00B13342">
        <w:t xml:space="preserve">a </w:t>
      </w:r>
      <w:r w:rsidR="001929AA" w:rsidRPr="00B13342">
        <w:t>l</w:t>
      </w:r>
      <w:r w:rsidRPr="00B13342">
        <w:t>ack of incentive</w:t>
      </w:r>
      <w:r w:rsidR="003C08AB" w:rsidRPr="00B13342">
        <w:t>s</w:t>
      </w:r>
      <w:r w:rsidR="001929AA" w:rsidRPr="00B13342">
        <w:t xml:space="preserve"> for manufacture</w:t>
      </w:r>
      <w:r w:rsidR="00813FD0">
        <w:t>r</w:t>
      </w:r>
      <w:r w:rsidR="001929AA" w:rsidRPr="00B13342">
        <w:t>s to provide indemnification</w:t>
      </w:r>
    </w:p>
    <w:p w14:paraId="74ACA73D" w14:textId="2CB4522F" w:rsidR="00A87003" w:rsidRPr="00B13342" w:rsidRDefault="00A87003" w:rsidP="00677294">
      <w:pPr>
        <w:pStyle w:val="Bullet"/>
        <w:ind w:left="510" w:hanging="510"/>
      </w:pPr>
      <w:bookmarkStart w:id="167" w:name="_Toc69381069"/>
      <w:bookmarkStart w:id="168" w:name="_Toc69395090"/>
      <w:r w:rsidRPr="00B13342">
        <w:t xml:space="preserve">possible </w:t>
      </w:r>
      <w:r w:rsidR="007E7593">
        <w:t xml:space="preserve">power </w:t>
      </w:r>
      <w:r w:rsidRPr="00B13342">
        <w:t>imbalances between manufacturers and suppliers</w:t>
      </w:r>
      <w:r>
        <w:t xml:space="preserve"> </w:t>
      </w:r>
    </w:p>
    <w:p w14:paraId="1E98D3B6" w14:textId="77777777" w:rsidR="00A87003" w:rsidRPr="00B13342" w:rsidRDefault="00A87003" w:rsidP="00A87003">
      <w:pPr>
        <w:pStyle w:val="Bullet"/>
        <w:ind w:left="510" w:hanging="510"/>
      </w:pPr>
      <w:r>
        <w:t>disagreement on the existence and responsibility for the failure.</w:t>
      </w:r>
    </w:p>
    <w:p w14:paraId="7409E781" w14:textId="4A9E2E87" w:rsidR="001929AA" w:rsidRPr="001929AA" w:rsidRDefault="001929AA">
      <w:pPr>
        <w:pStyle w:val="Heading3"/>
      </w:pPr>
      <w:bookmarkStart w:id="169" w:name="_Toc89700933"/>
      <w:r w:rsidRPr="003C08AB">
        <w:t>Lack of incentives for manufacture</w:t>
      </w:r>
      <w:r w:rsidR="00813FD0">
        <w:t>r</w:t>
      </w:r>
      <w:r w:rsidRPr="003C08AB">
        <w:t>s to provide indemnification</w:t>
      </w:r>
      <w:bookmarkEnd w:id="167"/>
      <w:bookmarkEnd w:id="168"/>
      <w:bookmarkEnd w:id="169"/>
    </w:p>
    <w:p w14:paraId="6251D6F1" w14:textId="4C7730C6" w:rsidR="00130CCE" w:rsidRPr="00B13342" w:rsidRDefault="003E29C4" w:rsidP="001929AA">
      <w:pPr>
        <w:pStyle w:val="Bullet"/>
        <w:numPr>
          <w:ilvl w:val="0"/>
          <w:numId w:val="0"/>
        </w:numPr>
      </w:pPr>
      <w:r>
        <w:t>W</w:t>
      </w:r>
      <w:r w:rsidR="003C08AB" w:rsidRPr="00B13342">
        <w:t xml:space="preserve">hile the ACL provides that a manufacturer is liable to compensate </w:t>
      </w:r>
      <w:r>
        <w:t xml:space="preserve">a </w:t>
      </w:r>
      <w:r w:rsidR="003C08AB" w:rsidRPr="00B13342">
        <w:t xml:space="preserve">supplier </w:t>
      </w:r>
      <w:r w:rsidR="00130CCE" w:rsidRPr="00B13342">
        <w:t xml:space="preserve">for remedying </w:t>
      </w:r>
      <w:r>
        <w:t xml:space="preserve">consumer </w:t>
      </w:r>
      <w:r w:rsidR="00130CCE" w:rsidRPr="00B13342">
        <w:t xml:space="preserve">failures that are </w:t>
      </w:r>
      <w:r w:rsidR="003C08AB" w:rsidRPr="00B13342">
        <w:t xml:space="preserve">due to </w:t>
      </w:r>
      <w:r w:rsidR="00A86F78" w:rsidRPr="00B13342">
        <w:t>a manufactur</w:t>
      </w:r>
      <w:r w:rsidR="00A86F78">
        <w:t>er</w:t>
      </w:r>
      <w:r w:rsidR="00A86F78" w:rsidRPr="00B13342">
        <w:t xml:space="preserve"> fault, </w:t>
      </w:r>
      <w:r w:rsidR="00130CCE" w:rsidRPr="00B13342">
        <w:t xml:space="preserve">the ACL does not </w:t>
      </w:r>
      <w:r>
        <w:t xml:space="preserve">set out any consequences if the </w:t>
      </w:r>
      <w:r w:rsidR="00130CCE" w:rsidRPr="00B13342">
        <w:t>manufacture</w:t>
      </w:r>
      <w:r w:rsidR="00CB0AC0">
        <w:t>r</w:t>
      </w:r>
      <w:r w:rsidR="00130CCE" w:rsidRPr="00B13342">
        <w:t xml:space="preserve"> fails to</w:t>
      </w:r>
      <w:r w:rsidR="00CB0AC0">
        <w:t xml:space="preserve"> provide it</w:t>
      </w:r>
      <w:r w:rsidR="00362118" w:rsidRPr="00B13342">
        <w:t>.</w:t>
      </w:r>
      <w:r>
        <w:t xml:space="preserve"> </w:t>
      </w:r>
      <w:r w:rsidR="007F2D39">
        <w:t>While a</w:t>
      </w:r>
      <w:r>
        <w:t xml:space="preserve"> supplier </w:t>
      </w:r>
      <w:r w:rsidR="007F2D39">
        <w:t>can</w:t>
      </w:r>
      <w:r>
        <w:t xml:space="preserve"> initiate litigation to </w:t>
      </w:r>
      <w:r w:rsidR="00643E8C">
        <w:t xml:space="preserve">enforce </w:t>
      </w:r>
      <w:r>
        <w:t>the</w:t>
      </w:r>
      <w:r w:rsidR="007F2D39">
        <w:t>ir right to</w:t>
      </w:r>
      <w:r>
        <w:t xml:space="preserve"> indemnification</w:t>
      </w:r>
      <w:r w:rsidR="00813FD0">
        <w:t>,</w:t>
      </w:r>
      <w:r w:rsidR="007F2D39">
        <w:t xml:space="preserve"> </w:t>
      </w:r>
      <w:r>
        <w:t>court</w:t>
      </w:r>
      <w:r w:rsidR="00AE3807">
        <w:t>s do not current</w:t>
      </w:r>
      <w:r w:rsidR="00A86F78">
        <w:t>ly</w:t>
      </w:r>
      <w:r w:rsidR="00AE3807">
        <w:t xml:space="preserve"> have the power</w:t>
      </w:r>
      <w:r>
        <w:t xml:space="preserve"> to impose </w:t>
      </w:r>
      <w:r w:rsidR="00643E8C">
        <w:t xml:space="preserve">a civil pecuniary penalty as a </w:t>
      </w:r>
      <w:r w:rsidR="007F2D39">
        <w:t>consequence</w:t>
      </w:r>
      <w:r w:rsidR="00A86F78">
        <w:t xml:space="preserve"> of</w:t>
      </w:r>
      <w:r w:rsidR="007F2D39">
        <w:t xml:space="preserve"> non-compliance</w:t>
      </w:r>
      <w:r w:rsidR="00835D8D">
        <w:t>,</w:t>
      </w:r>
      <w:r w:rsidR="007F2D39">
        <w:t xml:space="preserve"> </w:t>
      </w:r>
      <w:r>
        <w:t xml:space="preserve">if </w:t>
      </w:r>
      <w:r w:rsidR="005A4509">
        <w:t xml:space="preserve">they </w:t>
      </w:r>
      <w:r>
        <w:t>think the manufacturer has been unreasonable in denying indemnification.</w:t>
      </w:r>
    </w:p>
    <w:p w14:paraId="2AD250A9" w14:textId="1D3D1C66" w:rsidR="001929AA" w:rsidRPr="00B13342" w:rsidRDefault="00E70AAE" w:rsidP="001929AA">
      <w:pPr>
        <w:pStyle w:val="Bullet"/>
        <w:numPr>
          <w:ilvl w:val="0"/>
          <w:numId w:val="0"/>
        </w:numPr>
      </w:pPr>
      <w:r w:rsidRPr="00B13342">
        <w:t xml:space="preserve">The costs involved in remedying failures for </w:t>
      </w:r>
      <w:r w:rsidR="00643E8C" w:rsidRPr="00B13342">
        <w:t>manufactur</w:t>
      </w:r>
      <w:r w:rsidR="00A86F78">
        <w:t>er</w:t>
      </w:r>
      <w:r w:rsidR="00643E8C" w:rsidRPr="00B13342">
        <w:t xml:space="preserve"> </w:t>
      </w:r>
      <w:r w:rsidRPr="00B13342">
        <w:t>faults can be significant</w:t>
      </w:r>
      <w:r w:rsidR="00E538F9" w:rsidRPr="00B13342">
        <w:t xml:space="preserve">, </w:t>
      </w:r>
      <w:r w:rsidR="00362118" w:rsidRPr="00B13342">
        <w:t>which</w:t>
      </w:r>
      <w:r w:rsidR="00E538F9" w:rsidRPr="00B13342">
        <w:t xml:space="preserve"> further </w:t>
      </w:r>
      <w:r w:rsidR="00362118" w:rsidRPr="00B13342">
        <w:t xml:space="preserve">creates a </w:t>
      </w:r>
      <w:r w:rsidR="00E538F9" w:rsidRPr="00B13342">
        <w:t>disincentive</w:t>
      </w:r>
      <w:r w:rsidR="00362118" w:rsidRPr="00B13342">
        <w:t xml:space="preserve"> for </w:t>
      </w:r>
      <w:r w:rsidR="00813FD0">
        <w:t xml:space="preserve">manufacturers </w:t>
      </w:r>
      <w:r w:rsidR="00362118" w:rsidRPr="00B13342">
        <w:t>to indemnify suppliers</w:t>
      </w:r>
      <w:r w:rsidRPr="00B13342">
        <w:t>. In addition to the cost of providing a repair, refund or replacement,</w:t>
      </w:r>
      <w:r w:rsidR="001C44EB" w:rsidRPr="00B13342">
        <w:t xml:space="preserve"> there may be costs for:</w:t>
      </w:r>
    </w:p>
    <w:p w14:paraId="1EE94E8B" w14:textId="32B2244F" w:rsidR="001C44EB" w:rsidRPr="00B13342" w:rsidRDefault="001C44EB" w:rsidP="001C44EB">
      <w:pPr>
        <w:pStyle w:val="Bullet"/>
      </w:pPr>
      <w:r w:rsidRPr="00B13342">
        <w:t>damages for any reasonably foreseeable losses or damage suffered by the consumer because of the failure to comply with the consumer guarantee</w:t>
      </w:r>
      <w:r w:rsidR="00B20A26">
        <w:t xml:space="preserve"> </w:t>
      </w:r>
      <w:r w:rsidRPr="00B13342">
        <w:rPr>
          <w:rStyle w:val="FootnoteReference"/>
        </w:rPr>
        <w:footnoteReference w:id="83"/>
      </w:r>
      <w:r w:rsidRPr="00B13342">
        <w:t xml:space="preserve"> </w:t>
      </w:r>
    </w:p>
    <w:p w14:paraId="015D9DDD" w14:textId="49918AF6" w:rsidR="001C44EB" w:rsidRPr="00B13342" w:rsidRDefault="001C44EB" w:rsidP="001C44EB">
      <w:pPr>
        <w:pStyle w:val="Bullet"/>
      </w:pPr>
      <w:r w:rsidRPr="00B13342">
        <w:t xml:space="preserve">collecting the goods from the consumer – where the failure is significant (a ‘major failure’), and the goods cannot be returned to the supplier without significant cost to the consumer because of the nature of the failure or the size, height, or method of attachment of the goods. </w:t>
      </w:r>
      <w:r w:rsidRPr="00B13342">
        <w:rPr>
          <w:rStyle w:val="FootnoteReference"/>
        </w:rPr>
        <w:footnoteReference w:id="84"/>
      </w:r>
    </w:p>
    <w:p w14:paraId="650CA9A6" w14:textId="7850F7E1" w:rsidR="001929AA" w:rsidRDefault="001929AA">
      <w:pPr>
        <w:pStyle w:val="Heading3"/>
      </w:pPr>
      <w:bookmarkStart w:id="170" w:name="_Toc69381070"/>
      <w:bookmarkStart w:id="171" w:name="_Toc69395091"/>
      <w:bookmarkStart w:id="172" w:name="_Toc89700934"/>
      <w:r w:rsidRPr="00362118">
        <w:t xml:space="preserve">Possible </w:t>
      </w:r>
      <w:r w:rsidR="001E5F6F">
        <w:t xml:space="preserve">power </w:t>
      </w:r>
      <w:r w:rsidRPr="00362118">
        <w:t>imbalance between manufacturers and suppliers</w:t>
      </w:r>
      <w:bookmarkEnd w:id="170"/>
      <w:bookmarkEnd w:id="171"/>
      <w:bookmarkEnd w:id="172"/>
    </w:p>
    <w:p w14:paraId="0A852215" w14:textId="7F216A03" w:rsidR="00F228E6" w:rsidRDefault="009A597F" w:rsidP="00F228E6">
      <w:pPr>
        <w:pStyle w:val="Bullet"/>
        <w:numPr>
          <w:ilvl w:val="0"/>
          <w:numId w:val="0"/>
        </w:numPr>
      </w:pPr>
      <w:r>
        <w:t xml:space="preserve"> </w:t>
      </w:r>
      <w:r w:rsidR="006011BD">
        <w:t>S</w:t>
      </w:r>
      <w:r w:rsidR="00B563F2" w:rsidRPr="00E01432">
        <w:t xml:space="preserve">takeholders have suggested </w:t>
      </w:r>
      <w:r w:rsidR="00E01432">
        <w:t xml:space="preserve">suppliers can </w:t>
      </w:r>
      <w:r w:rsidR="00B563F2" w:rsidRPr="00E01432">
        <w:t>fear retribution</w:t>
      </w:r>
      <w:r w:rsidR="00643E8C">
        <w:t xml:space="preserve"> from manufacturers</w:t>
      </w:r>
      <w:r w:rsidR="00B563F2" w:rsidRPr="00E01432">
        <w:t xml:space="preserve">, particularly when dealing with </w:t>
      </w:r>
      <w:r w:rsidR="00643E8C">
        <w:t>those</w:t>
      </w:r>
      <w:r w:rsidR="00B563F2" w:rsidRPr="00E01432">
        <w:t xml:space="preserve"> that </w:t>
      </w:r>
      <w:r w:rsidR="00A86F78">
        <w:t>face</w:t>
      </w:r>
      <w:r w:rsidR="00B563F2" w:rsidRPr="00E01432">
        <w:t xml:space="preserve"> </w:t>
      </w:r>
      <w:r w:rsidR="00231353" w:rsidRPr="00231353">
        <w:t xml:space="preserve">limited competition or </w:t>
      </w:r>
      <w:r w:rsidR="00A86F78">
        <w:t xml:space="preserve">hold </w:t>
      </w:r>
      <w:r w:rsidR="00231353" w:rsidRPr="00231353">
        <w:t>significant bargaining power due to contractual arrangements</w:t>
      </w:r>
      <w:r w:rsidR="00B563F2" w:rsidRPr="00E01432">
        <w:t>.</w:t>
      </w:r>
      <w:r w:rsidR="00314115" w:rsidRPr="00E01432">
        <w:t xml:space="preserve"> Specifically, suppliers may fear damaging their contractual r</w:t>
      </w:r>
      <w:r w:rsidR="00E61291" w:rsidRPr="00E01432">
        <w:t>elationships with manufacturers, possibly leading to</w:t>
      </w:r>
      <w:r w:rsidR="00314115" w:rsidRPr="00E01432">
        <w:t xml:space="preserve"> termination of a supply contract, </w:t>
      </w:r>
      <w:r w:rsidR="00E61291" w:rsidRPr="00E01432">
        <w:t>or less favourable supply terms</w:t>
      </w:r>
      <w:r w:rsidR="00314115" w:rsidRPr="00E01432">
        <w:t>.</w:t>
      </w:r>
      <w:r w:rsidR="00F228E6" w:rsidRPr="00E01432">
        <w:t xml:space="preserve"> For example, the ARA has suggested </w:t>
      </w:r>
      <w:r w:rsidR="006075DA" w:rsidRPr="00E01432">
        <w:t>v</w:t>
      </w:r>
      <w:r w:rsidR="00F228E6" w:rsidRPr="00E01432">
        <w:t>ery few small retailers know the</w:t>
      </w:r>
      <w:r w:rsidR="001072F9">
        <w:t>y</w:t>
      </w:r>
      <w:r w:rsidR="00F228E6" w:rsidRPr="00E01432">
        <w:t xml:space="preserve"> </w:t>
      </w:r>
      <w:r>
        <w:t xml:space="preserve">have supplier </w:t>
      </w:r>
      <w:r>
        <w:lastRenderedPageBreak/>
        <w:t xml:space="preserve">indemnification </w:t>
      </w:r>
      <w:r w:rsidR="00F228E6" w:rsidRPr="00E01432">
        <w:t>right</w:t>
      </w:r>
      <w:r>
        <w:t>s under the ACL,</w:t>
      </w:r>
      <w:r w:rsidR="00F228E6" w:rsidRPr="00E01432">
        <w:t xml:space="preserve"> </w:t>
      </w:r>
      <w:r>
        <w:t>and those</w:t>
      </w:r>
      <w:r w:rsidR="00F228E6" w:rsidRPr="00E01432">
        <w:t xml:space="preserve"> who do</w:t>
      </w:r>
      <w:r w:rsidR="009C448E">
        <w:t>,</w:t>
      </w:r>
      <w:r w:rsidR="00F228E6" w:rsidRPr="00E01432">
        <w:t xml:space="preserve"> gave examples where they were told if they took the matter further</w:t>
      </w:r>
      <w:r w:rsidR="00643E8C">
        <w:t>,</w:t>
      </w:r>
      <w:r w:rsidR="00F228E6" w:rsidRPr="00E01432">
        <w:t xml:space="preserve"> the </w:t>
      </w:r>
      <w:r w:rsidR="003D2ADD">
        <w:t xml:space="preserve">manufacturer </w:t>
      </w:r>
      <w:r w:rsidR="003D2ADD" w:rsidRPr="00E01432">
        <w:t>would</w:t>
      </w:r>
      <w:r w:rsidR="00F228E6" w:rsidRPr="00E01432">
        <w:t xml:space="preserve"> cease to supply.</w:t>
      </w:r>
      <w:r w:rsidR="006075DA" w:rsidRPr="00E01432">
        <w:t xml:space="preserve"> </w:t>
      </w:r>
      <w:r w:rsidR="00F228E6" w:rsidRPr="00E01432">
        <w:rPr>
          <w:rStyle w:val="FootnoteReference"/>
        </w:rPr>
        <w:footnoteReference w:id="85"/>
      </w:r>
    </w:p>
    <w:p w14:paraId="5A5A4136" w14:textId="51AA9DB2" w:rsidR="00865F1A" w:rsidRDefault="00865F1A" w:rsidP="00865F1A">
      <w:r>
        <w:t>In some instances, r</w:t>
      </w:r>
      <w:r w:rsidRPr="00821076">
        <w:t xml:space="preserve">etribution could </w:t>
      </w:r>
      <w:r>
        <w:t xml:space="preserve">constitute a contravention of the ACL’s </w:t>
      </w:r>
      <w:r w:rsidRPr="00821076">
        <w:t>unconscionable conduct</w:t>
      </w:r>
      <w:r>
        <w:t xml:space="preserve"> protections</w:t>
      </w:r>
      <w:r w:rsidRPr="00821076">
        <w:t>.</w:t>
      </w:r>
      <w:r w:rsidR="00C3618C">
        <w:t xml:space="preserve"> </w:t>
      </w:r>
      <w:r>
        <w:rPr>
          <w:rStyle w:val="FootnoteReference"/>
        </w:rPr>
        <w:footnoteReference w:id="86"/>
      </w:r>
      <w:r>
        <w:t xml:space="preserve"> However, </w:t>
      </w:r>
      <w:r w:rsidR="00231353" w:rsidRPr="00231353">
        <w:t>in many instances the conduct would not satisfy the necessary legal tests to meet unconscionable conduct</w:t>
      </w:r>
      <w:r>
        <w:t>.</w:t>
      </w:r>
    </w:p>
    <w:p w14:paraId="542C7C5B" w14:textId="7E798CE5" w:rsidR="005A24C5" w:rsidRDefault="005A4509" w:rsidP="005A24C5">
      <w:r>
        <w:t>S</w:t>
      </w:r>
      <w:r w:rsidR="005A24C5">
        <w:t>uppliers are unlikely to have uniform experiences</w:t>
      </w:r>
      <w:r w:rsidR="00025BEA">
        <w:t>,</w:t>
      </w:r>
      <w:r w:rsidR="005A24C5">
        <w:t xml:space="preserve"> as </w:t>
      </w:r>
      <w:r w:rsidR="00231353" w:rsidRPr="00231353">
        <w:t xml:space="preserve">not all </w:t>
      </w:r>
      <w:r w:rsidR="00231353" w:rsidRPr="00231353" w:rsidDel="00AC19D6">
        <w:t>supplier/manufacturer</w:t>
      </w:r>
      <w:r w:rsidR="00231353" w:rsidRPr="00231353">
        <w:t xml:space="preserve"> relationships have </w:t>
      </w:r>
      <w:r w:rsidR="005A24C5">
        <w:t>imbalances in bargaining power. For example, where significant competition exists between manufacturers for shelf space, suppliers can be more selective in what they stock and are unlikely to want to continue dealing with manufacturers who fail to support the resolution of failures.</w:t>
      </w:r>
      <w:r w:rsidR="00C3618C">
        <w:t xml:space="preserve"> </w:t>
      </w:r>
      <w:r w:rsidR="005A24C5">
        <w:rPr>
          <w:rStyle w:val="FootnoteReference"/>
        </w:rPr>
        <w:footnoteReference w:id="87"/>
      </w:r>
      <w:r w:rsidR="005A24C5">
        <w:t xml:space="preserve"> </w:t>
      </w:r>
    </w:p>
    <w:p w14:paraId="517FDB46" w14:textId="2DB87EB8" w:rsidR="00583B57" w:rsidRDefault="005A24C5">
      <w:pPr>
        <w:pStyle w:val="Heading3"/>
      </w:pPr>
      <w:bookmarkStart w:id="173" w:name="_Toc69381071"/>
      <w:bookmarkStart w:id="174" w:name="_Toc69395092"/>
      <w:bookmarkStart w:id="175" w:name="_Toc89700935"/>
      <w:r>
        <w:t>Disagreement on the existence and responsibility for the failure</w:t>
      </w:r>
      <w:bookmarkEnd w:id="173"/>
      <w:bookmarkEnd w:id="174"/>
      <w:bookmarkEnd w:id="175"/>
    </w:p>
    <w:p w14:paraId="4CA20108" w14:textId="65E3E360" w:rsidR="00080277" w:rsidRDefault="00080277" w:rsidP="00080277">
      <w:pPr>
        <w:rPr>
          <w:rFonts w:eastAsiaTheme="majorEastAsia" w:cstheme="majorBidi"/>
          <w:bCs/>
        </w:rPr>
      </w:pPr>
      <w:r>
        <w:rPr>
          <w:rFonts w:eastAsiaTheme="majorEastAsia" w:cstheme="majorBidi"/>
          <w:bCs/>
        </w:rPr>
        <w:t xml:space="preserve">There may be several reasons why manufacturers </w:t>
      </w:r>
      <w:r w:rsidR="00883FB0">
        <w:rPr>
          <w:rFonts w:eastAsiaTheme="majorEastAsia" w:cstheme="majorBidi"/>
          <w:bCs/>
        </w:rPr>
        <w:t>c</w:t>
      </w:r>
      <w:r>
        <w:rPr>
          <w:rFonts w:eastAsiaTheme="majorEastAsia" w:cstheme="majorBidi"/>
          <w:bCs/>
        </w:rPr>
        <w:t xml:space="preserve">ould be reluctant or unwilling to indemnify suppliers. </w:t>
      </w:r>
      <w:r w:rsidR="00883FB0">
        <w:rPr>
          <w:rFonts w:eastAsiaTheme="majorEastAsia" w:cstheme="majorBidi"/>
          <w:bCs/>
        </w:rPr>
        <w:t>For instance, s</w:t>
      </w:r>
      <w:r>
        <w:rPr>
          <w:rFonts w:eastAsiaTheme="majorEastAsia" w:cstheme="majorBidi"/>
          <w:bCs/>
        </w:rPr>
        <w:t xml:space="preserve">ome </w:t>
      </w:r>
      <w:r w:rsidR="00883FB0">
        <w:rPr>
          <w:rFonts w:eastAsiaTheme="majorEastAsia" w:cstheme="majorBidi"/>
          <w:bCs/>
        </w:rPr>
        <w:t xml:space="preserve">manufacturers </w:t>
      </w:r>
      <w:r>
        <w:rPr>
          <w:rFonts w:eastAsiaTheme="majorEastAsia" w:cstheme="majorBidi"/>
          <w:bCs/>
        </w:rPr>
        <w:t>may have concerns about the accuracy of consumer or supplier claims a good is faulty or suspect that the consumer or another party has caused damage to the good through abnormal usage</w:t>
      </w:r>
      <w:r w:rsidR="00025BEA">
        <w:rPr>
          <w:rFonts w:eastAsiaTheme="majorEastAsia" w:cstheme="majorBidi"/>
          <w:bCs/>
        </w:rPr>
        <w:t xml:space="preserve">, </w:t>
      </w:r>
      <w:r w:rsidR="00EA5B49">
        <w:rPr>
          <w:rFonts w:eastAsiaTheme="majorEastAsia" w:cstheme="majorBidi"/>
          <w:bCs/>
        </w:rPr>
        <w:t>transit,</w:t>
      </w:r>
      <w:r>
        <w:rPr>
          <w:rFonts w:eastAsiaTheme="majorEastAsia" w:cstheme="majorBidi"/>
          <w:bCs/>
        </w:rPr>
        <w:t xml:space="preserve"> or installation</w:t>
      </w:r>
      <w:r w:rsidR="00883FB0">
        <w:rPr>
          <w:rFonts w:eastAsiaTheme="majorEastAsia" w:cstheme="majorBidi"/>
          <w:bCs/>
        </w:rPr>
        <w:t xml:space="preserve">. </w:t>
      </w:r>
      <w:r>
        <w:rPr>
          <w:rStyle w:val="FootnoteReference"/>
          <w:rFonts w:eastAsiaTheme="majorEastAsia" w:cstheme="majorBidi"/>
          <w:bCs/>
        </w:rPr>
        <w:footnoteReference w:id="88"/>
      </w:r>
      <w:r>
        <w:rPr>
          <w:rFonts w:eastAsiaTheme="majorEastAsia" w:cstheme="majorBidi"/>
          <w:bCs/>
        </w:rPr>
        <w:t xml:space="preserve"> For example, the Australian Industry Group (A</w:t>
      </w:r>
      <w:r w:rsidR="00883FB0">
        <w:rPr>
          <w:rFonts w:eastAsiaTheme="majorEastAsia" w:cstheme="majorBidi"/>
          <w:bCs/>
        </w:rPr>
        <w:t>i Group</w:t>
      </w:r>
      <w:r>
        <w:rPr>
          <w:rFonts w:eastAsiaTheme="majorEastAsia" w:cstheme="majorBidi"/>
          <w:bCs/>
        </w:rPr>
        <w:t xml:space="preserve">) has previously noted </w:t>
      </w:r>
      <w:r w:rsidRPr="000F7344">
        <w:rPr>
          <w:rFonts w:eastAsiaTheme="majorEastAsia" w:cstheme="majorBidi"/>
          <w:bCs/>
        </w:rPr>
        <w:t xml:space="preserve">certain products </w:t>
      </w:r>
      <w:r w:rsidR="00CB31DD">
        <w:rPr>
          <w:rFonts w:eastAsiaTheme="majorEastAsia" w:cstheme="majorBidi"/>
          <w:bCs/>
        </w:rPr>
        <w:t>(</w:t>
      </w:r>
      <w:r w:rsidR="00EA5B49" w:rsidRPr="000F7344">
        <w:rPr>
          <w:rFonts w:eastAsiaTheme="majorEastAsia" w:cstheme="majorBidi"/>
          <w:bCs/>
        </w:rPr>
        <w:t>e.g.</w:t>
      </w:r>
      <w:r w:rsidR="00B20A26">
        <w:rPr>
          <w:rFonts w:eastAsiaTheme="majorEastAsia" w:cstheme="majorBidi"/>
          <w:bCs/>
        </w:rPr>
        <w:t xml:space="preserve"> </w:t>
      </w:r>
      <w:r w:rsidR="00CB31DD" w:rsidRPr="000F7344">
        <w:rPr>
          <w:rFonts w:eastAsiaTheme="majorEastAsia" w:cstheme="majorBidi"/>
          <w:bCs/>
        </w:rPr>
        <w:t>air conditioners, water</w:t>
      </w:r>
      <w:r w:rsidR="00CB31DD">
        <w:rPr>
          <w:rFonts w:eastAsiaTheme="majorEastAsia" w:cstheme="majorBidi"/>
          <w:bCs/>
        </w:rPr>
        <w:t xml:space="preserve"> </w:t>
      </w:r>
      <w:r w:rsidR="00CB31DD" w:rsidRPr="000F7344">
        <w:rPr>
          <w:rFonts w:eastAsiaTheme="majorEastAsia" w:cstheme="majorBidi"/>
          <w:bCs/>
        </w:rPr>
        <w:t>heaters, solar-battery systems and televisions</w:t>
      </w:r>
      <w:r w:rsidR="00CB31DD">
        <w:rPr>
          <w:rFonts w:eastAsiaTheme="majorEastAsia" w:cstheme="majorBidi"/>
          <w:bCs/>
        </w:rPr>
        <w:t xml:space="preserve">) </w:t>
      </w:r>
      <w:r w:rsidRPr="000F7344">
        <w:rPr>
          <w:rFonts w:eastAsiaTheme="majorEastAsia" w:cstheme="majorBidi"/>
          <w:bCs/>
        </w:rPr>
        <w:t xml:space="preserve">require installation or other after-service support by a third party </w:t>
      </w:r>
      <w:r>
        <w:rPr>
          <w:rFonts w:eastAsiaTheme="majorEastAsia" w:cstheme="majorBidi"/>
          <w:bCs/>
        </w:rPr>
        <w:t>and p</w:t>
      </w:r>
      <w:r w:rsidRPr="000F7344">
        <w:rPr>
          <w:rFonts w:eastAsiaTheme="majorEastAsia" w:cstheme="majorBidi"/>
          <w:bCs/>
        </w:rPr>
        <w:t>roblems can arise</w:t>
      </w:r>
      <w:r>
        <w:rPr>
          <w:rFonts w:eastAsiaTheme="majorEastAsia" w:cstheme="majorBidi"/>
          <w:bCs/>
        </w:rPr>
        <w:t xml:space="preserve"> if a good is incorrectly installed or serviced. </w:t>
      </w:r>
      <w:r w:rsidR="008F28E9">
        <w:rPr>
          <w:rStyle w:val="FootnoteReference"/>
          <w:rFonts w:eastAsiaTheme="majorEastAsia" w:cstheme="majorBidi"/>
          <w:bCs/>
        </w:rPr>
        <w:footnoteReference w:id="89"/>
      </w:r>
      <w:r w:rsidR="008F28E9">
        <w:rPr>
          <w:rFonts w:eastAsiaTheme="majorEastAsia" w:cstheme="majorBidi"/>
          <w:bCs/>
        </w:rPr>
        <w:t xml:space="preserve"> </w:t>
      </w:r>
      <w:r>
        <w:rPr>
          <w:rFonts w:eastAsiaTheme="majorEastAsia" w:cstheme="majorBidi"/>
          <w:bCs/>
        </w:rPr>
        <w:t>For small manufacturers, indemnification of such claims could represent a significant cost that might threaten their viability.</w:t>
      </w:r>
    </w:p>
    <w:p w14:paraId="7E0E5BBB" w14:textId="3C00F407" w:rsidR="00080277" w:rsidRDefault="00CB31DD" w:rsidP="00080277">
      <w:pPr>
        <w:rPr>
          <w:rFonts w:eastAsiaTheme="majorEastAsia" w:cstheme="majorBidi"/>
          <w:bCs/>
        </w:rPr>
      </w:pPr>
      <w:r>
        <w:rPr>
          <w:rFonts w:eastAsiaTheme="majorEastAsia" w:cstheme="majorBidi"/>
          <w:bCs/>
        </w:rPr>
        <w:t xml:space="preserve">Where a manufacturer failure is a major failure, consumers are entitled to their choice of refund or replacement. In such cases, where the consumer elects to receive a refund or replacement, the manufacturer does not need to be provided with an opportunity to repair the good. </w:t>
      </w:r>
      <w:r w:rsidR="00080277">
        <w:rPr>
          <w:rFonts w:eastAsiaTheme="majorEastAsia" w:cstheme="majorBidi"/>
          <w:bCs/>
        </w:rPr>
        <w:t>A</w:t>
      </w:r>
      <w:r w:rsidR="00883FB0">
        <w:rPr>
          <w:rFonts w:eastAsiaTheme="majorEastAsia" w:cstheme="majorBidi"/>
          <w:bCs/>
        </w:rPr>
        <w:t>i Group</w:t>
      </w:r>
      <w:r w:rsidR="00080277">
        <w:rPr>
          <w:rFonts w:eastAsiaTheme="majorEastAsia" w:cstheme="majorBidi"/>
          <w:bCs/>
        </w:rPr>
        <w:t xml:space="preserve"> </w:t>
      </w:r>
      <w:r>
        <w:rPr>
          <w:rFonts w:eastAsiaTheme="majorEastAsia" w:cstheme="majorBidi"/>
          <w:bCs/>
        </w:rPr>
        <w:t xml:space="preserve">has </w:t>
      </w:r>
      <w:r>
        <w:rPr>
          <w:rFonts w:eastAsiaTheme="majorEastAsia" w:cstheme="majorBidi"/>
          <w:bCs/>
        </w:rPr>
        <w:lastRenderedPageBreak/>
        <w:t xml:space="preserve">previously expressed concerns </w:t>
      </w:r>
      <w:r w:rsidR="00080277">
        <w:rPr>
          <w:rFonts w:eastAsiaTheme="majorEastAsia" w:cstheme="majorBidi"/>
          <w:bCs/>
        </w:rPr>
        <w:t>manufacturers sometimes receive little opportunity to inspect goods for manufacturer faults before a remedy is provided by a supplier:</w:t>
      </w:r>
    </w:p>
    <w:p w14:paraId="07E20E3F" w14:textId="2BC87248" w:rsidR="00080277" w:rsidRDefault="00080277" w:rsidP="00080277">
      <w:pPr>
        <w:ind w:left="720"/>
        <w:rPr>
          <w:rFonts w:eastAsiaTheme="majorEastAsia" w:cstheme="majorBidi"/>
          <w:bCs/>
        </w:rPr>
      </w:pPr>
      <w:r w:rsidRPr="0039376C">
        <w:rPr>
          <w:rFonts w:eastAsiaTheme="majorEastAsia" w:cstheme="majorBidi"/>
          <w:bCs/>
          <w:i/>
        </w:rPr>
        <w:t>In practice, upon receiving a returned good from a retailer, the manufacturer may have no practical ability to return the goods to the retailer. This is because some retailers automatically provide the consumer with a replacement, and the manufacturer therefore does not have an opportunity to assess, repair (if there is a failure) and return the good. And where there is a failure that was not due to the manufacturer, it is often not commercially viable to repair returned goods. These returned goods are typically sent to waste, and are a substantial and growing cost for manufacturers.</w:t>
      </w:r>
      <w:r w:rsidR="008F28E9">
        <w:rPr>
          <w:rFonts w:eastAsiaTheme="majorEastAsia" w:cstheme="majorBidi"/>
          <w:bCs/>
          <w:i/>
        </w:rPr>
        <w:t xml:space="preserve"> </w:t>
      </w:r>
      <w:r>
        <w:rPr>
          <w:rStyle w:val="FootnoteReference"/>
          <w:rFonts w:eastAsiaTheme="majorEastAsia" w:cstheme="majorBidi"/>
          <w:bCs/>
        </w:rPr>
        <w:footnoteReference w:id="90"/>
      </w:r>
    </w:p>
    <w:p w14:paraId="42C3CE49" w14:textId="1E75B73E" w:rsidR="00080277" w:rsidRDefault="00080277" w:rsidP="00C3618C">
      <w:pPr>
        <w:rPr>
          <w:rFonts w:eastAsiaTheme="majorEastAsia"/>
        </w:rPr>
      </w:pPr>
      <w:r>
        <w:rPr>
          <w:rFonts w:eastAsiaTheme="majorEastAsia"/>
        </w:rPr>
        <w:t>In other instances, manufacturers may not be familiar with the ACL’s requirements or incorrectly assume the ACL does not apply to them (</w:t>
      </w:r>
      <w:r w:rsidR="00982CB5">
        <w:rPr>
          <w:rFonts w:eastAsiaTheme="majorEastAsia"/>
        </w:rPr>
        <w:t>e.g.</w:t>
      </w:r>
      <w:r>
        <w:rPr>
          <w:rFonts w:eastAsiaTheme="majorEastAsia"/>
        </w:rPr>
        <w:t xml:space="preserve"> </w:t>
      </w:r>
      <w:r w:rsidR="00C3618C">
        <w:rPr>
          <w:rFonts w:eastAsiaTheme="majorEastAsia"/>
        </w:rPr>
        <w:t xml:space="preserve">as may be the case with </w:t>
      </w:r>
      <w:r>
        <w:rPr>
          <w:rFonts w:eastAsiaTheme="majorEastAsia"/>
        </w:rPr>
        <w:t>some overseas-based manufacturers).</w:t>
      </w:r>
      <w:r w:rsidR="00C3618C">
        <w:rPr>
          <w:rFonts w:eastAsiaTheme="majorEastAsia"/>
        </w:rPr>
        <w:t xml:space="preserve"> </w:t>
      </w:r>
      <w:r>
        <w:rPr>
          <w:rStyle w:val="FootnoteReference"/>
          <w:rFonts w:eastAsiaTheme="majorEastAsia" w:cstheme="majorBidi"/>
          <w:bCs/>
        </w:rPr>
        <w:footnoteReference w:id="91"/>
      </w:r>
    </w:p>
    <w:p w14:paraId="6CCD9484" w14:textId="77777777" w:rsidR="00080277" w:rsidDel="009B613A" w:rsidRDefault="00080277" w:rsidP="007F2D39">
      <w:pPr>
        <w:rPr>
          <w:rFonts w:eastAsia="Calibri"/>
        </w:rPr>
      </w:pPr>
      <w:r w:rsidDel="009B613A">
        <w:rPr>
          <w:rFonts w:eastAsia="Calibri"/>
        </w:rPr>
        <w:t>There will also be circumstances where the fault does not sit with manufacturers. In this regard, t</w:t>
      </w:r>
      <w:r w:rsidRPr="00E9234D" w:rsidDel="009B613A">
        <w:rPr>
          <w:rFonts w:eastAsia="Calibri"/>
        </w:rPr>
        <w:t xml:space="preserve">he effective operation of the indemnification provisions relies on suppliers </w:t>
      </w:r>
      <w:r>
        <w:rPr>
          <w:rFonts w:eastAsia="Calibri"/>
        </w:rPr>
        <w:t xml:space="preserve">and manufacturers </w:t>
      </w:r>
      <w:r w:rsidRPr="00E9234D" w:rsidDel="009B613A">
        <w:rPr>
          <w:rFonts w:eastAsia="Calibri"/>
        </w:rPr>
        <w:t xml:space="preserve">correctly assessing </w:t>
      </w:r>
      <w:r w:rsidDel="009B613A">
        <w:rPr>
          <w:rFonts w:eastAsia="Calibri"/>
        </w:rPr>
        <w:t>each good as either:</w:t>
      </w:r>
    </w:p>
    <w:p w14:paraId="25C78F87" w14:textId="695CB9FB" w:rsidR="00080277" w:rsidRPr="00C3618C" w:rsidDel="009B613A" w:rsidRDefault="00080277">
      <w:pPr>
        <w:pStyle w:val="Bullet"/>
        <w:rPr>
          <w:rFonts w:eastAsia="Calibri"/>
        </w:rPr>
      </w:pPr>
      <w:r w:rsidRPr="00C3618C" w:rsidDel="009B613A">
        <w:rPr>
          <w:rFonts w:eastAsia="Calibri"/>
        </w:rPr>
        <w:t xml:space="preserve">a failure on the part of the manufacturer, like a </w:t>
      </w:r>
      <w:r w:rsidR="00FF564A" w:rsidRPr="00B13342">
        <w:t>manufactur</w:t>
      </w:r>
      <w:r w:rsidR="00FF564A">
        <w:t>er</w:t>
      </w:r>
      <w:r w:rsidR="00FF564A" w:rsidRPr="00B13342">
        <w:t xml:space="preserve"> fault</w:t>
      </w:r>
      <w:r w:rsidRPr="00C3618C" w:rsidDel="009B613A">
        <w:rPr>
          <w:rFonts w:eastAsia="Calibri"/>
        </w:rPr>
        <w:t xml:space="preserve">, for which indemnification should be sought </w:t>
      </w:r>
      <w:r w:rsidR="00B20A26">
        <w:rPr>
          <w:rFonts w:eastAsia="Calibri"/>
        </w:rPr>
        <w:t>or</w:t>
      </w:r>
    </w:p>
    <w:p w14:paraId="73DA0661" w14:textId="77777777" w:rsidR="00080277" w:rsidRPr="00096497" w:rsidDel="009B613A" w:rsidRDefault="00080277">
      <w:pPr>
        <w:pStyle w:val="Bullet"/>
        <w:rPr>
          <w:rFonts w:eastAsia="Calibri"/>
        </w:rPr>
      </w:pPr>
      <w:r w:rsidRPr="007F2D39">
        <w:rPr>
          <w:rFonts w:eastAsia="Calibri"/>
        </w:rPr>
        <w:t>a failure on the part of the supplier</w:t>
      </w:r>
      <w:r w:rsidRPr="007F2D39" w:rsidDel="009B613A">
        <w:rPr>
          <w:rFonts w:eastAsia="Calibri"/>
        </w:rPr>
        <w:t xml:space="preserve">, like where an item sold through an online trader’s website was listed with an erroneous description of the good, </w:t>
      </w:r>
      <w:r w:rsidRPr="00096497" w:rsidDel="009B613A">
        <w:rPr>
          <w:rFonts w:eastAsia="Calibri"/>
        </w:rPr>
        <w:t>for which indemnification should not be sought</w:t>
      </w:r>
      <w:r w:rsidRPr="00096497">
        <w:rPr>
          <w:rFonts w:eastAsia="Calibri"/>
        </w:rPr>
        <w:t xml:space="preserve"> from the manufacturer</w:t>
      </w:r>
      <w:r w:rsidRPr="00096497" w:rsidDel="009B613A">
        <w:rPr>
          <w:rFonts w:eastAsia="Calibri"/>
        </w:rPr>
        <w:t>.</w:t>
      </w:r>
    </w:p>
    <w:p w14:paraId="0E33BD5D" w14:textId="2ADEE8D8" w:rsidR="00080277" w:rsidRDefault="00080277" w:rsidP="00080277">
      <w:pPr>
        <w:rPr>
          <w:rFonts w:eastAsia="Calibri"/>
        </w:rPr>
      </w:pPr>
      <w:r w:rsidRPr="00A3660F" w:rsidDel="009B613A">
        <w:rPr>
          <w:rFonts w:cs="Calibri"/>
        </w:rPr>
        <w:t>A correct assessment of whether a failure exists can also require a degree of expertise in more complex goods. This issue was highlighted by A</w:t>
      </w:r>
      <w:r w:rsidR="00F008BA">
        <w:rPr>
          <w:rFonts w:cs="Calibri"/>
        </w:rPr>
        <w:t>i</w:t>
      </w:r>
      <w:r w:rsidR="00231353">
        <w:rPr>
          <w:rFonts w:cs="Calibri"/>
        </w:rPr>
        <w:t> </w:t>
      </w:r>
      <w:r w:rsidRPr="00A3660F" w:rsidDel="009B613A">
        <w:rPr>
          <w:rFonts w:cs="Calibri"/>
        </w:rPr>
        <w:t>G</w:t>
      </w:r>
      <w:r w:rsidR="00231353">
        <w:rPr>
          <w:rFonts w:cs="Calibri"/>
        </w:rPr>
        <w:t>roup</w:t>
      </w:r>
      <w:r w:rsidRPr="00A3660F" w:rsidDel="009B613A">
        <w:rPr>
          <w:rFonts w:cs="Calibri"/>
        </w:rPr>
        <w:t xml:space="preserve"> </w:t>
      </w:r>
      <w:r>
        <w:rPr>
          <w:rFonts w:cs="Calibri"/>
        </w:rPr>
        <w:t>in the</w:t>
      </w:r>
      <w:r w:rsidDel="009B613A">
        <w:rPr>
          <w:rFonts w:cs="Calibri"/>
        </w:rPr>
        <w:t xml:space="preserve"> </w:t>
      </w:r>
      <w:r w:rsidRPr="00A3660F" w:rsidDel="009B613A">
        <w:rPr>
          <w:rFonts w:cs="Calibri"/>
        </w:rPr>
        <w:t xml:space="preserve">ACL </w:t>
      </w:r>
      <w:r w:rsidDel="009B613A">
        <w:rPr>
          <w:rFonts w:cs="Calibri"/>
        </w:rPr>
        <w:t>R</w:t>
      </w:r>
      <w:r w:rsidRPr="00A3660F" w:rsidDel="009B613A">
        <w:rPr>
          <w:rFonts w:cs="Calibri"/>
        </w:rPr>
        <w:t>eview consultation</w:t>
      </w:r>
      <w:r>
        <w:rPr>
          <w:rFonts w:cs="Calibri"/>
        </w:rPr>
        <w:t>. A</w:t>
      </w:r>
      <w:r w:rsidR="00F008BA">
        <w:rPr>
          <w:rFonts w:cs="Calibri"/>
        </w:rPr>
        <w:t>i</w:t>
      </w:r>
      <w:r w:rsidR="00231353">
        <w:rPr>
          <w:rFonts w:cs="Calibri"/>
        </w:rPr>
        <w:t> </w:t>
      </w:r>
      <w:r>
        <w:rPr>
          <w:rFonts w:cs="Calibri"/>
        </w:rPr>
        <w:t>G</w:t>
      </w:r>
      <w:r w:rsidR="00231353">
        <w:rPr>
          <w:rFonts w:cs="Calibri"/>
        </w:rPr>
        <w:t>roup</w:t>
      </w:r>
      <w:r>
        <w:rPr>
          <w:rFonts w:cs="Calibri"/>
        </w:rPr>
        <w:t xml:space="preserve"> </w:t>
      </w:r>
      <w:r w:rsidRPr="00A3660F" w:rsidDel="009B613A">
        <w:rPr>
          <w:rFonts w:cs="Calibri"/>
        </w:rPr>
        <w:t>noted a large proportion of electronic and home appliance goods returned to manufacturers do not have a fault or do not have a fault caused by the manufacturer. A</w:t>
      </w:r>
      <w:r w:rsidR="00F008BA">
        <w:rPr>
          <w:rFonts w:cs="Calibri"/>
        </w:rPr>
        <w:t>i</w:t>
      </w:r>
      <w:r w:rsidDel="009B613A">
        <w:rPr>
          <w:rFonts w:cs="Calibri"/>
        </w:rPr>
        <w:t> </w:t>
      </w:r>
      <w:r w:rsidRPr="00A3660F" w:rsidDel="009B613A">
        <w:rPr>
          <w:rFonts w:cs="Calibri"/>
        </w:rPr>
        <w:t>Group attributed this to a lack of obligation or incentive on suppliers to investigate whether a failure exists</w:t>
      </w:r>
      <w:r w:rsidRPr="00E9234D" w:rsidDel="009B613A">
        <w:rPr>
          <w:rFonts w:eastAsia="Calibri"/>
        </w:rPr>
        <w:t>.</w:t>
      </w:r>
      <w:r w:rsidRPr="00E9234D" w:rsidDel="009B613A">
        <w:rPr>
          <w:rFonts w:eastAsia="Calibri"/>
          <w:vertAlign w:val="superscript"/>
        </w:rPr>
        <w:footnoteReference w:id="92"/>
      </w:r>
      <w:r w:rsidDel="009B613A">
        <w:rPr>
          <w:rFonts w:eastAsia="Calibri"/>
        </w:rPr>
        <w:t xml:space="preserve"> </w:t>
      </w:r>
      <w:r w:rsidR="00231353" w:rsidRPr="00231353">
        <w:rPr>
          <w:rFonts w:eastAsia="Calibri"/>
        </w:rPr>
        <w:t xml:space="preserve">However, if there is no </w:t>
      </w:r>
      <w:r w:rsidR="00231353" w:rsidRPr="00231353">
        <w:rPr>
          <w:rFonts w:eastAsia="Calibri"/>
        </w:rPr>
        <w:lastRenderedPageBreak/>
        <w:t>fault caused by the manufacturer</w:t>
      </w:r>
      <w:r w:rsidR="00CE6140">
        <w:rPr>
          <w:rFonts w:eastAsia="Calibri"/>
        </w:rPr>
        <w:t>,</w:t>
      </w:r>
      <w:r w:rsidR="00231353" w:rsidRPr="00231353">
        <w:rPr>
          <w:rFonts w:eastAsia="Calibri"/>
        </w:rPr>
        <w:t xml:space="preserve"> then there will be no obligation for the manufacturer to indemnify the supplier.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080277" w:rsidRPr="00AB5C86" w14:paraId="1F1EECC0" w14:textId="77777777" w:rsidTr="00080277">
        <w:tc>
          <w:tcPr>
            <w:tcW w:w="9016" w:type="dxa"/>
            <w:shd w:val="clear" w:color="auto" w:fill="F2F2F2" w:themeFill="background1" w:themeFillShade="F2"/>
          </w:tcPr>
          <w:p w14:paraId="71F451A7" w14:textId="7F2534B9" w:rsidR="00080277" w:rsidRPr="00AB5C86" w:rsidRDefault="00080277" w:rsidP="005A1DCE">
            <w:pPr>
              <w:rPr>
                <w:b/>
                <w:sz w:val="22"/>
                <w:szCs w:val="22"/>
              </w:rPr>
            </w:pPr>
            <w:r w:rsidRPr="00AB5C86">
              <w:rPr>
                <w:b/>
                <w:sz w:val="22"/>
                <w:szCs w:val="22"/>
              </w:rPr>
              <w:t>Focus questions:</w:t>
            </w:r>
          </w:p>
          <w:p w14:paraId="44ED6EB3" w14:textId="02ECC9ED" w:rsidR="00080277" w:rsidRPr="00AB5C86" w:rsidRDefault="00080277" w:rsidP="004A3FDA">
            <w:pPr>
              <w:pStyle w:val="Bullet"/>
              <w:widowControl w:val="0"/>
              <w:numPr>
                <w:ilvl w:val="0"/>
                <w:numId w:val="37"/>
              </w:numPr>
              <w:spacing w:before="120" w:after="240" w:line="280" w:lineRule="exact"/>
              <w:rPr>
                <w:sz w:val="22"/>
                <w:szCs w:val="22"/>
              </w:rPr>
            </w:pPr>
            <w:r w:rsidRPr="00AB5C86">
              <w:rPr>
                <w:sz w:val="22"/>
                <w:szCs w:val="22"/>
              </w:rPr>
              <w:t>Suppliers: to what extent are you able to enforce you</w:t>
            </w:r>
            <w:r w:rsidR="00D668B3" w:rsidRPr="00AB5C86">
              <w:rPr>
                <w:sz w:val="22"/>
                <w:szCs w:val="22"/>
              </w:rPr>
              <w:t>r</w:t>
            </w:r>
            <w:r w:rsidRPr="00AB5C86">
              <w:rPr>
                <w:sz w:val="22"/>
                <w:szCs w:val="22"/>
              </w:rPr>
              <w:t xml:space="preserve"> indemnification rights?</w:t>
            </w:r>
          </w:p>
          <w:p w14:paraId="63BCACC1" w14:textId="77777777" w:rsidR="00080277" w:rsidRPr="00AB5C86" w:rsidRDefault="00080277" w:rsidP="004A3FDA">
            <w:pPr>
              <w:pStyle w:val="Bullet"/>
              <w:widowControl w:val="0"/>
              <w:numPr>
                <w:ilvl w:val="0"/>
                <w:numId w:val="37"/>
              </w:numPr>
              <w:spacing w:before="120" w:after="240" w:line="280" w:lineRule="exact"/>
              <w:rPr>
                <w:sz w:val="22"/>
                <w:szCs w:val="22"/>
              </w:rPr>
            </w:pPr>
            <w:r w:rsidRPr="00AB5C86">
              <w:rPr>
                <w:sz w:val="22"/>
                <w:szCs w:val="22"/>
              </w:rPr>
              <w:t>What are the barriers to seeking indemnification?</w:t>
            </w:r>
          </w:p>
          <w:p w14:paraId="583C5F40" w14:textId="15EF86B5" w:rsidR="00080277" w:rsidRPr="00AB5C86" w:rsidRDefault="00FF564A" w:rsidP="004A3FDA">
            <w:pPr>
              <w:pStyle w:val="Bullet"/>
              <w:widowControl w:val="0"/>
              <w:numPr>
                <w:ilvl w:val="0"/>
                <w:numId w:val="37"/>
              </w:numPr>
              <w:spacing w:before="120" w:after="240" w:line="280" w:lineRule="exact"/>
              <w:rPr>
                <w:sz w:val="22"/>
                <w:szCs w:val="22"/>
              </w:rPr>
            </w:pPr>
            <w:r w:rsidRPr="00AB5C86">
              <w:rPr>
                <w:sz w:val="22"/>
                <w:szCs w:val="22"/>
              </w:rPr>
              <w:t xml:space="preserve">Has your business </w:t>
            </w:r>
            <w:r w:rsidR="00080277" w:rsidRPr="00AB5C86">
              <w:rPr>
                <w:sz w:val="22"/>
                <w:szCs w:val="22"/>
              </w:rPr>
              <w:t xml:space="preserve">been subject to retribution when you have sought indemnification? </w:t>
            </w:r>
            <w:r w:rsidRPr="00AB5C86">
              <w:rPr>
                <w:sz w:val="22"/>
                <w:szCs w:val="22"/>
              </w:rPr>
              <w:t>If yes, w</w:t>
            </w:r>
            <w:r w:rsidR="00080277" w:rsidRPr="00AB5C86">
              <w:rPr>
                <w:sz w:val="22"/>
                <w:szCs w:val="22"/>
              </w:rPr>
              <w:t>hat form did it take?</w:t>
            </w:r>
          </w:p>
        </w:tc>
      </w:tr>
    </w:tbl>
    <w:p w14:paraId="787DEA0E" w14:textId="28A52696" w:rsidR="00080277" w:rsidRDefault="00B7360C">
      <w:pPr>
        <w:pStyle w:val="Heading3"/>
        <w:rPr>
          <w:rFonts w:eastAsia="Calibri"/>
        </w:rPr>
      </w:pPr>
      <w:bookmarkStart w:id="176" w:name="_Toc69381072"/>
      <w:bookmarkStart w:id="177" w:name="_Toc69395093"/>
      <w:bookmarkStart w:id="178" w:name="_Toc89700936"/>
      <w:r>
        <w:rPr>
          <w:rFonts w:eastAsia="Calibri"/>
        </w:rPr>
        <w:t>What role can ACL regulators play?</w:t>
      </w:r>
      <w:bookmarkEnd w:id="176"/>
      <w:bookmarkEnd w:id="177"/>
      <w:bookmarkEnd w:id="178"/>
    </w:p>
    <w:p w14:paraId="34700678" w14:textId="1DB841E8" w:rsidR="00914B74" w:rsidRDefault="00B7360C">
      <w:pPr>
        <w:rPr>
          <w:rFonts w:eastAsia="Calibri"/>
        </w:rPr>
      </w:pPr>
      <w:r w:rsidRPr="00077556">
        <w:rPr>
          <w:rFonts w:eastAsia="Calibri"/>
        </w:rPr>
        <w:t xml:space="preserve">The options available to regulators in responding to complaints are effectively the same as for consumer guarantee failures outlined in Part </w:t>
      </w:r>
      <w:r w:rsidR="004F3590">
        <w:rPr>
          <w:rFonts w:eastAsia="Calibri"/>
        </w:rPr>
        <w:t>A</w:t>
      </w:r>
      <w:r w:rsidRPr="00077556">
        <w:rPr>
          <w:rFonts w:eastAsia="Calibri"/>
        </w:rPr>
        <w:t xml:space="preserve"> of th</w:t>
      </w:r>
      <w:r w:rsidR="0042310B">
        <w:rPr>
          <w:rFonts w:eastAsia="Calibri"/>
        </w:rPr>
        <w:t>is</w:t>
      </w:r>
      <w:r w:rsidRPr="00077556">
        <w:rPr>
          <w:rFonts w:eastAsia="Calibri"/>
        </w:rPr>
        <w:t xml:space="preserve"> Consultation RIS. ACL </w:t>
      </w:r>
      <w:r w:rsidR="00691C24">
        <w:rPr>
          <w:rFonts w:eastAsia="Calibri"/>
        </w:rPr>
        <w:t>r</w:t>
      </w:r>
      <w:r w:rsidRPr="00077556">
        <w:rPr>
          <w:rFonts w:eastAsia="Calibri"/>
        </w:rPr>
        <w:t xml:space="preserve">egulators </w:t>
      </w:r>
      <w:r w:rsidR="00F40356" w:rsidRPr="00077556">
        <w:rPr>
          <w:rFonts w:eastAsia="Calibri"/>
        </w:rPr>
        <w:t xml:space="preserve">can </w:t>
      </w:r>
      <w:r w:rsidRPr="00077556">
        <w:rPr>
          <w:rFonts w:eastAsia="Calibri"/>
        </w:rPr>
        <w:t xml:space="preserve">undertake </w:t>
      </w:r>
      <w:r w:rsidR="00F40356" w:rsidRPr="00077556">
        <w:rPr>
          <w:rFonts w:eastAsia="Calibri"/>
        </w:rPr>
        <w:t xml:space="preserve">costly </w:t>
      </w:r>
      <w:r w:rsidRPr="00077556">
        <w:rPr>
          <w:rFonts w:eastAsia="Calibri"/>
        </w:rPr>
        <w:t xml:space="preserve">representative legal action on behalf of </w:t>
      </w:r>
      <w:r w:rsidR="00F40356" w:rsidRPr="00077556">
        <w:rPr>
          <w:rFonts w:eastAsia="Calibri"/>
        </w:rPr>
        <w:t xml:space="preserve">a supplier </w:t>
      </w:r>
      <w:r w:rsidRPr="00077556">
        <w:rPr>
          <w:rFonts w:eastAsia="Calibri"/>
        </w:rPr>
        <w:t>in certain circumstances</w:t>
      </w:r>
      <w:r w:rsidR="00F40356" w:rsidRPr="00077556">
        <w:rPr>
          <w:rFonts w:eastAsia="Calibri"/>
        </w:rPr>
        <w:t xml:space="preserve">, but there is likely to be limited benefit </w:t>
      </w:r>
      <w:r w:rsidR="00890DCF">
        <w:rPr>
          <w:rFonts w:eastAsia="Calibri"/>
        </w:rPr>
        <w:t xml:space="preserve">in doing so </w:t>
      </w:r>
      <w:r w:rsidR="00F40356" w:rsidRPr="00077556">
        <w:rPr>
          <w:rFonts w:eastAsia="Calibri"/>
        </w:rPr>
        <w:t>(</w:t>
      </w:r>
      <w:r w:rsidR="00982CB5">
        <w:rPr>
          <w:rFonts w:eastAsia="Calibri"/>
        </w:rPr>
        <w:t>e.g.</w:t>
      </w:r>
      <w:r w:rsidR="00890DCF">
        <w:rPr>
          <w:rFonts w:eastAsia="Calibri"/>
        </w:rPr>
        <w:t xml:space="preserve"> it may result in </w:t>
      </w:r>
      <w:r w:rsidR="00F40356" w:rsidRPr="00077556">
        <w:rPr>
          <w:rFonts w:eastAsia="Calibri"/>
        </w:rPr>
        <w:t>one manufacturer providing indemnification to one supplier)</w:t>
      </w:r>
      <w:r w:rsidR="00890DCF">
        <w:rPr>
          <w:rFonts w:eastAsia="Calibri"/>
        </w:rPr>
        <w:t>.</w:t>
      </w:r>
      <w:r w:rsidR="00F40356" w:rsidRPr="00077556">
        <w:rPr>
          <w:rFonts w:eastAsia="Calibri"/>
        </w:rPr>
        <w:t xml:space="preserve"> </w:t>
      </w:r>
      <w:r w:rsidR="00890DCF">
        <w:rPr>
          <w:rFonts w:eastAsia="Calibri"/>
        </w:rPr>
        <w:t>Under the current law, there is</w:t>
      </w:r>
      <w:r w:rsidR="000210B3" w:rsidRPr="00077556">
        <w:rPr>
          <w:rFonts w:eastAsia="Calibri"/>
        </w:rPr>
        <w:t xml:space="preserve"> </w:t>
      </w:r>
      <w:r w:rsidR="00F40356" w:rsidRPr="00077556">
        <w:rPr>
          <w:rFonts w:eastAsia="Calibri"/>
        </w:rPr>
        <w:t xml:space="preserve">little capacity for </w:t>
      </w:r>
      <w:r w:rsidR="000210B3" w:rsidRPr="00077556">
        <w:rPr>
          <w:rFonts w:eastAsia="Calibri"/>
        </w:rPr>
        <w:t xml:space="preserve">such an </w:t>
      </w:r>
      <w:r w:rsidR="00F40356" w:rsidRPr="00077556">
        <w:rPr>
          <w:rFonts w:eastAsia="Calibri"/>
        </w:rPr>
        <w:t xml:space="preserve">action to </w:t>
      </w:r>
      <w:r w:rsidRPr="00077556">
        <w:rPr>
          <w:rFonts w:eastAsia="Calibri"/>
        </w:rPr>
        <w:t xml:space="preserve">drive greater compliance by </w:t>
      </w:r>
      <w:r w:rsidR="000210B3" w:rsidRPr="00077556">
        <w:rPr>
          <w:rFonts w:eastAsia="Calibri"/>
        </w:rPr>
        <w:t xml:space="preserve">a broader range of </w:t>
      </w:r>
      <w:r w:rsidRPr="00077556">
        <w:rPr>
          <w:rFonts w:eastAsia="Calibri"/>
        </w:rPr>
        <w:t xml:space="preserve">traders </w:t>
      </w:r>
      <w:r w:rsidR="000210B3" w:rsidRPr="00077556">
        <w:rPr>
          <w:rFonts w:eastAsia="Calibri"/>
        </w:rPr>
        <w:t xml:space="preserve">or </w:t>
      </w:r>
      <w:r w:rsidRPr="00077556">
        <w:rPr>
          <w:rFonts w:eastAsia="Calibri"/>
        </w:rPr>
        <w:t>across the economy.</w:t>
      </w:r>
    </w:p>
    <w:p w14:paraId="47A374D0" w14:textId="365CECE1" w:rsidR="00080277" w:rsidRPr="00914B74" w:rsidRDefault="00080277">
      <w:pPr>
        <w:pStyle w:val="Heading3"/>
        <w:rPr>
          <w:rFonts w:eastAsia="Calibri"/>
          <w:b/>
        </w:rPr>
      </w:pPr>
      <w:bookmarkStart w:id="179" w:name="_Toc69381073"/>
      <w:bookmarkStart w:id="180" w:name="_Toc69395094"/>
      <w:bookmarkStart w:id="181" w:name="_Toc89700937"/>
      <w:r w:rsidRPr="00914B74">
        <w:rPr>
          <w:rFonts w:eastAsia="Calibri"/>
        </w:rPr>
        <w:t>Supplier indemnification in the motor vehicle sector</w:t>
      </w:r>
      <w:bookmarkEnd w:id="179"/>
      <w:bookmarkEnd w:id="180"/>
      <w:bookmarkEnd w:id="181"/>
    </w:p>
    <w:p w14:paraId="64C5334A" w14:textId="19B8477A" w:rsidR="00080277" w:rsidRDefault="00080277" w:rsidP="00080277">
      <w:pPr>
        <w:rPr>
          <w:rFonts w:eastAsia="Calibri"/>
        </w:rPr>
      </w:pPr>
      <w:r>
        <w:rPr>
          <w:rFonts w:eastAsia="Calibri"/>
        </w:rPr>
        <w:t>As reflected in the discussion of the ACCC’s n</w:t>
      </w:r>
      <w:r w:rsidRPr="0019535F">
        <w:rPr>
          <w:rFonts w:eastAsia="Calibri"/>
        </w:rPr>
        <w:t>ew car retailing industry market study</w:t>
      </w:r>
      <w:r>
        <w:rPr>
          <w:rFonts w:eastAsia="Calibri"/>
        </w:rPr>
        <w:t xml:space="preserve"> (</w:t>
      </w:r>
      <w:r w:rsidR="0055506C">
        <w:rPr>
          <w:rFonts w:eastAsia="Calibri"/>
        </w:rPr>
        <w:t xml:space="preserve">outlined </w:t>
      </w:r>
      <w:r>
        <w:rPr>
          <w:rFonts w:eastAsia="Calibri"/>
        </w:rPr>
        <w:t xml:space="preserve">in </w:t>
      </w:r>
      <w:r w:rsidR="002549C6">
        <w:rPr>
          <w:rFonts w:eastAsia="Calibri"/>
        </w:rPr>
        <w:t>Part A</w:t>
      </w:r>
      <w:r w:rsidR="0055506C">
        <w:rPr>
          <w:rFonts w:eastAsia="Calibri"/>
        </w:rPr>
        <w:t xml:space="preserve"> of this Consultation RIS</w:t>
      </w:r>
      <w:r>
        <w:rPr>
          <w:rFonts w:eastAsia="Calibri"/>
        </w:rPr>
        <w:t xml:space="preserve">), difficulties with obtaining </w:t>
      </w:r>
      <w:r w:rsidRPr="00E9234D">
        <w:rPr>
          <w:rFonts w:eastAsia="Calibri"/>
        </w:rPr>
        <w:t xml:space="preserve">supplier indemnification appear to be more pronounced in the </w:t>
      </w:r>
      <w:r w:rsidR="00CB5B70">
        <w:rPr>
          <w:rFonts w:eastAsia="Calibri"/>
        </w:rPr>
        <w:t xml:space="preserve">new </w:t>
      </w:r>
      <w:r w:rsidRPr="00E9234D">
        <w:rPr>
          <w:rFonts w:eastAsia="Calibri"/>
        </w:rPr>
        <w:t>motor vehicle industry</w:t>
      </w:r>
      <w:r>
        <w:rPr>
          <w:rFonts w:eastAsia="Calibri"/>
        </w:rPr>
        <w:t xml:space="preserve"> compared to other industries</w:t>
      </w:r>
      <w:r w:rsidRPr="00E9234D">
        <w:rPr>
          <w:rFonts w:eastAsia="Calibri"/>
        </w:rPr>
        <w:t xml:space="preserve"> due to</w:t>
      </w:r>
      <w:r>
        <w:rPr>
          <w:rFonts w:eastAsia="Calibri"/>
        </w:rPr>
        <w:t>:</w:t>
      </w:r>
      <w:r w:rsidRPr="00E9234D">
        <w:rPr>
          <w:rFonts w:eastAsia="Calibri"/>
        </w:rPr>
        <w:t xml:space="preserve"> </w:t>
      </w:r>
    </w:p>
    <w:p w14:paraId="7C4D9504" w14:textId="40C53487" w:rsidR="00080277" w:rsidRDefault="00080277" w:rsidP="00B20812">
      <w:pPr>
        <w:pStyle w:val="Bullet"/>
        <w:widowControl w:val="0"/>
        <w:numPr>
          <w:ilvl w:val="0"/>
          <w:numId w:val="12"/>
        </w:numPr>
        <w:spacing w:before="120" w:after="240" w:line="280" w:lineRule="exact"/>
        <w:jc w:val="both"/>
        <w:rPr>
          <w:rFonts w:eastAsia="Calibri"/>
        </w:rPr>
      </w:pPr>
      <w:r w:rsidRPr="00E9234D">
        <w:rPr>
          <w:rFonts w:eastAsia="Calibri"/>
        </w:rPr>
        <w:t>the structure of the industry</w:t>
      </w:r>
    </w:p>
    <w:p w14:paraId="36067B1C" w14:textId="687CF150" w:rsidR="00D0775C" w:rsidRDefault="001E5F6F" w:rsidP="00D0775C">
      <w:pPr>
        <w:pStyle w:val="Bullet"/>
        <w:widowControl w:val="0"/>
        <w:numPr>
          <w:ilvl w:val="0"/>
          <w:numId w:val="12"/>
        </w:numPr>
        <w:spacing w:before="120" w:after="240" w:line="280" w:lineRule="exact"/>
        <w:jc w:val="both"/>
        <w:rPr>
          <w:rFonts w:eastAsia="Calibri"/>
        </w:rPr>
      </w:pPr>
      <w:r>
        <w:rPr>
          <w:rFonts w:eastAsia="Calibri"/>
        </w:rPr>
        <w:t xml:space="preserve">power </w:t>
      </w:r>
      <w:r w:rsidR="00D0775C" w:rsidRPr="00E9234D">
        <w:rPr>
          <w:rFonts w:eastAsia="Calibri"/>
        </w:rPr>
        <w:t>imbalances</w:t>
      </w:r>
    </w:p>
    <w:p w14:paraId="7D9DDD73" w14:textId="3C89095D" w:rsidR="00080277" w:rsidRDefault="00080277" w:rsidP="00B20812">
      <w:pPr>
        <w:pStyle w:val="Bullet"/>
        <w:widowControl w:val="0"/>
        <w:numPr>
          <w:ilvl w:val="0"/>
          <w:numId w:val="12"/>
        </w:numPr>
        <w:spacing w:before="120" w:after="240" w:line="280" w:lineRule="exact"/>
        <w:jc w:val="both"/>
        <w:rPr>
          <w:rFonts w:eastAsia="Calibri"/>
        </w:rPr>
      </w:pPr>
      <w:r w:rsidRPr="00E9234D">
        <w:rPr>
          <w:rFonts w:eastAsia="Calibri"/>
        </w:rPr>
        <w:t xml:space="preserve">contractual restrictions </w:t>
      </w:r>
    </w:p>
    <w:p w14:paraId="2C45795E" w14:textId="77777777" w:rsidR="00080277" w:rsidRDefault="00080277" w:rsidP="00B20812">
      <w:pPr>
        <w:pStyle w:val="Bullet"/>
        <w:widowControl w:val="0"/>
        <w:numPr>
          <w:ilvl w:val="0"/>
          <w:numId w:val="12"/>
        </w:numPr>
        <w:spacing w:before="120" w:after="240" w:line="280" w:lineRule="exact"/>
        <w:jc w:val="both"/>
        <w:rPr>
          <w:rFonts w:eastAsia="Calibri"/>
        </w:rPr>
      </w:pPr>
      <w:r w:rsidRPr="00E9234D">
        <w:rPr>
          <w:rFonts w:eastAsia="Calibri"/>
        </w:rPr>
        <w:t xml:space="preserve">the need for dealers to preserve relationships with manufacturers. </w:t>
      </w:r>
    </w:p>
    <w:p w14:paraId="6F5BF429" w14:textId="1A40904A" w:rsidR="00080277" w:rsidRPr="00080277" w:rsidRDefault="00080277" w:rsidP="00080277">
      <w:pPr>
        <w:rPr>
          <w:rFonts w:eastAsia="Calibri"/>
        </w:rPr>
      </w:pPr>
      <w:r>
        <w:rPr>
          <w:rFonts w:eastAsia="Calibri"/>
        </w:rPr>
        <w:t xml:space="preserve">For example, dealer representatives have </w:t>
      </w:r>
      <w:r w:rsidRPr="00E9234D">
        <w:rPr>
          <w:rFonts w:eastAsia="Calibri"/>
        </w:rPr>
        <w:t xml:space="preserve">emphasised </w:t>
      </w:r>
      <w:r w:rsidR="005D0635">
        <w:rPr>
          <w:rFonts w:eastAsia="Calibri"/>
        </w:rPr>
        <w:t xml:space="preserve">power </w:t>
      </w:r>
      <w:r w:rsidRPr="00E9234D">
        <w:rPr>
          <w:rFonts w:eastAsia="Calibri"/>
        </w:rPr>
        <w:t>imbalance</w:t>
      </w:r>
      <w:r w:rsidR="007F0829">
        <w:rPr>
          <w:rFonts w:eastAsia="Calibri"/>
        </w:rPr>
        <w:t>s</w:t>
      </w:r>
      <w:r w:rsidRPr="00E9234D">
        <w:rPr>
          <w:rFonts w:eastAsia="Calibri"/>
        </w:rPr>
        <w:t xml:space="preserve"> between automotive dealers and manufacturers, and the commercial pressures to comply with manufacturers’ instructions relating to consumer guarantee failures, given that dealers rely on security of tenure of franchise agreements</w:t>
      </w:r>
      <w:r w:rsidRPr="00E9234D">
        <w:rPr>
          <w:rFonts w:eastAsia="Calibri"/>
          <w:i/>
        </w:rPr>
        <w:t>.</w:t>
      </w:r>
      <w:r w:rsidR="002549C6">
        <w:rPr>
          <w:rFonts w:eastAsia="Calibri"/>
          <w:i/>
        </w:rPr>
        <w:t xml:space="preserve"> </w:t>
      </w:r>
      <w:r w:rsidRPr="00E9234D">
        <w:rPr>
          <w:rFonts w:eastAsia="Calibri"/>
          <w:vertAlign w:val="superscript"/>
        </w:rPr>
        <w:footnoteReference w:id="93"/>
      </w:r>
    </w:p>
    <w:p w14:paraId="453A27E5" w14:textId="53DB1F59" w:rsidR="00080277" w:rsidRPr="001F4285" w:rsidRDefault="007F0829" w:rsidP="00080277">
      <w:pPr>
        <w:rPr>
          <w:rFonts w:eastAsia="Calibri"/>
          <w:i/>
        </w:rPr>
      </w:pPr>
      <w:r>
        <w:rPr>
          <w:rFonts w:eastAsia="Calibri"/>
        </w:rPr>
        <w:lastRenderedPageBreak/>
        <w:t>In 2018, t</w:t>
      </w:r>
      <w:r w:rsidR="00080277">
        <w:rPr>
          <w:rFonts w:eastAsia="Calibri"/>
        </w:rPr>
        <w:t>he Motor Trades Association of Australia (MTAA) observed small and medium enterprises are less likely to have the financial resources to enforce their indemnification rights, and that ‘</w:t>
      </w:r>
      <w:r w:rsidR="00080277" w:rsidRPr="001F4285">
        <w:rPr>
          <w:rFonts w:eastAsia="Calibri"/>
          <w:i/>
        </w:rPr>
        <w:t>This is both unfair and a source of detriment and financial hardship for MTAA’s Members constituents, particularly small and independently-owned vehicle retailers</w:t>
      </w:r>
      <w:r w:rsidR="00080277">
        <w:rPr>
          <w:rFonts w:eastAsia="Calibri"/>
          <w:i/>
        </w:rPr>
        <w:t>’</w:t>
      </w:r>
      <w:r w:rsidR="00080277" w:rsidRPr="001F4285">
        <w:rPr>
          <w:rFonts w:eastAsia="Calibri"/>
          <w:i/>
        </w:rPr>
        <w:t>.</w:t>
      </w:r>
      <w:r w:rsidR="002549C6">
        <w:rPr>
          <w:rFonts w:eastAsia="Calibri"/>
          <w:i/>
        </w:rPr>
        <w:t xml:space="preserve"> </w:t>
      </w:r>
      <w:r w:rsidR="00080277">
        <w:rPr>
          <w:rStyle w:val="FootnoteReference"/>
          <w:rFonts w:eastAsia="Calibri"/>
          <w:i/>
        </w:rPr>
        <w:footnoteReference w:id="94"/>
      </w:r>
    </w:p>
    <w:p w14:paraId="219E95B4" w14:textId="76BE4D86" w:rsidR="007A53E1" w:rsidRPr="00080277" w:rsidRDefault="00382FCF" w:rsidP="00077556">
      <w:pPr>
        <w:rPr>
          <w:rFonts w:cs="Calibri"/>
        </w:rPr>
      </w:pPr>
      <w:r>
        <w:rPr>
          <w:rFonts w:eastAsia="Calibri"/>
        </w:rPr>
        <w:t>T</w:t>
      </w:r>
      <w:r w:rsidR="00080277" w:rsidRPr="00E9234D">
        <w:rPr>
          <w:rFonts w:eastAsia="Calibri"/>
        </w:rPr>
        <w:t xml:space="preserve">he </w:t>
      </w:r>
      <w:r w:rsidR="00080277">
        <w:rPr>
          <w:rFonts w:eastAsia="Calibri"/>
        </w:rPr>
        <w:t xml:space="preserve">2017 ACL Review </w:t>
      </w:r>
      <w:r>
        <w:rPr>
          <w:rFonts w:eastAsia="Calibri"/>
        </w:rPr>
        <w:t xml:space="preserve">found </w:t>
      </w:r>
      <w:r w:rsidR="00080277" w:rsidRPr="00E9234D">
        <w:rPr>
          <w:rFonts w:eastAsia="Calibri"/>
        </w:rPr>
        <w:t xml:space="preserve">second-hand </w:t>
      </w:r>
      <w:r w:rsidR="00080277">
        <w:rPr>
          <w:rFonts w:eastAsia="Calibri"/>
        </w:rPr>
        <w:t xml:space="preserve">car </w:t>
      </w:r>
      <w:r w:rsidR="00080277" w:rsidRPr="00E9234D">
        <w:rPr>
          <w:rFonts w:eastAsia="Calibri"/>
        </w:rPr>
        <w:t xml:space="preserve">dealers </w:t>
      </w:r>
      <w:r>
        <w:rPr>
          <w:rFonts w:eastAsia="Calibri"/>
        </w:rPr>
        <w:t xml:space="preserve">also </w:t>
      </w:r>
      <w:r w:rsidR="00982CB5" w:rsidRPr="00E9234D">
        <w:rPr>
          <w:rFonts w:eastAsia="Calibri"/>
        </w:rPr>
        <w:t>have trouble</w:t>
      </w:r>
      <w:r w:rsidR="00080277" w:rsidRPr="00E9234D">
        <w:rPr>
          <w:rFonts w:eastAsia="Calibri"/>
        </w:rPr>
        <w:t xml:space="preserve"> securing indemnification from manufacturers if a vehicle is out of the manufacturer’s warranty period.</w:t>
      </w:r>
      <w:r w:rsidR="006F3B4E">
        <w:rPr>
          <w:rFonts w:eastAsia="Calibri"/>
        </w:rPr>
        <w:t xml:space="preserve"> </w:t>
      </w:r>
      <w:r w:rsidR="00080277" w:rsidRPr="00E9234D">
        <w:rPr>
          <w:rFonts w:eastAsia="Calibri"/>
          <w:vertAlign w:val="superscript"/>
        </w:rPr>
        <w:footnoteReference w:id="95"/>
      </w:r>
      <w:r w:rsidR="00080277" w:rsidRPr="00A3660F">
        <w:rPr>
          <w:rFonts w:cs="Calibri"/>
        </w:rPr>
        <w:t xml:space="preserve"> </w:t>
      </w:r>
      <w:r w:rsidR="007A53E1">
        <w:br w:type="page"/>
      </w:r>
    </w:p>
    <w:p w14:paraId="1BD06D0E" w14:textId="2AD1DC13" w:rsidR="00A500CA" w:rsidRDefault="00A500CA" w:rsidP="00A500CA">
      <w:pPr>
        <w:pStyle w:val="Heading2"/>
      </w:pPr>
      <w:bookmarkStart w:id="182" w:name="_Toc69381074"/>
      <w:bookmarkStart w:id="183" w:name="_Toc69395095"/>
      <w:bookmarkStart w:id="184" w:name="_Toc89700938"/>
      <w:r>
        <w:lastRenderedPageBreak/>
        <w:t>Policy options</w:t>
      </w:r>
      <w:r w:rsidR="00673E08">
        <w:t xml:space="preserve"> for Part B</w:t>
      </w:r>
      <w:bookmarkEnd w:id="182"/>
      <w:bookmarkEnd w:id="183"/>
      <w:bookmarkEnd w:id="184"/>
    </w:p>
    <w:p w14:paraId="38FE6DEE" w14:textId="77777777" w:rsidR="00D0775C" w:rsidRDefault="00D0775C" w:rsidP="00D0775C">
      <w:pPr>
        <w:pStyle w:val="Heading3"/>
      </w:pPr>
      <w:bookmarkStart w:id="185" w:name="_Toc69480654"/>
      <w:bookmarkStart w:id="186" w:name="_Toc89700939"/>
      <w:bookmarkStart w:id="187" w:name="_Toc69381075"/>
      <w:bookmarkStart w:id="188" w:name="_Toc69395096"/>
      <w:r>
        <w:t>Part B, Option 1 – status quo</w:t>
      </w:r>
      <w:bookmarkEnd w:id="185"/>
      <w:bookmarkEnd w:id="186"/>
    </w:p>
    <w:bookmarkEnd w:id="187"/>
    <w:bookmarkEnd w:id="188"/>
    <w:p w14:paraId="146E332C" w14:textId="0EE894BA" w:rsidR="008573E7" w:rsidRDefault="00F61D4C" w:rsidP="00F61D4C">
      <w:r w:rsidRPr="00D178F7">
        <w:t xml:space="preserve">Under the status quo, where a good fails to meet one or more of the consumer guarantees due to a </w:t>
      </w:r>
      <w:r w:rsidR="00A343E3" w:rsidRPr="00B13342">
        <w:t>manufactur</w:t>
      </w:r>
      <w:r w:rsidR="00A343E3">
        <w:t>er</w:t>
      </w:r>
      <w:r w:rsidR="00A343E3" w:rsidRPr="00B13342">
        <w:t xml:space="preserve"> fault</w:t>
      </w:r>
      <w:r w:rsidRPr="00D178F7">
        <w:t xml:space="preserve">, a consumer </w:t>
      </w:r>
      <w:r w:rsidR="00B30DF7" w:rsidRPr="00D178F7">
        <w:t xml:space="preserve">could continue to </w:t>
      </w:r>
      <w:r w:rsidRPr="00D178F7">
        <w:t>ask</w:t>
      </w:r>
      <w:r w:rsidR="00B30DF7" w:rsidRPr="00D178F7">
        <w:t xml:space="preserve"> the s</w:t>
      </w:r>
      <w:r w:rsidR="009F0796">
        <w:t>upplier</w:t>
      </w:r>
      <w:r w:rsidR="00B30DF7" w:rsidRPr="00D178F7">
        <w:t xml:space="preserve"> to provide a remedy and the manufacturer would continue to be</w:t>
      </w:r>
      <w:r w:rsidR="001C4508" w:rsidRPr="00D178F7">
        <w:t xml:space="preserve"> liable to </w:t>
      </w:r>
      <w:r w:rsidR="003F2FDA">
        <w:t xml:space="preserve">indemnify </w:t>
      </w:r>
      <w:r w:rsidR="001C4508" w:rsidRPr="00D178F7">
        <w:t>the supplier.</w:t>
      </w:r>
      <w:r w:rsidR="003F2FDA">
        <w:t xml:space="preserve"> However, where the manufacturer fails to indemnify the supplier, the supplier </w:t>
      </w:r>
      <w:r w:rsidR="00E30D3B">
        <w:t xml:space="preserve">would </w:t>
      </w:r>
      <w:r w:rsidR="003F2FDA">
        <w:t>continue to need to initiate litigation to obtain the indemnity</w:t>
      </w:r>
      <w:r w:rsidR="00101B70">
        <w:t>,</w:t>
      </w:r>
      <w:r w:rsidR="003F2FDA">
        <w:t xml:space="preserve"> </w:t>
      </w:r>
      <w:r w:rsidR="003F2FDA" w:rsidRPr="003F2FDA">
        <w:t xml:space="preserve">and </w:t>
      </w:r>
      <w:r w:rsidRPr="003F2FDA">
        <w:t xml:space="preserve">the manufacturer </w:t>
      </w:r>
      <w:r w:rsidR="00E30D3B">
        <w:t>would</w:t>
      </w:r>
      <w:r w:rsidR="00E30D3B" w:rsidRPr="003F2FDA">
        <w:t xml:space="preserve"> </w:t>
      </w:r>
      <w:r w:rsidR="00691C24">
        <w:t xml:space="preserve">not </w:t>
      </w:r>
      <w:r w:rsidR="003F2FDA">
        <w:t xml:space="preserve">face any </w:t>
      </w:r>
      <w:r w:rsidR="003F2FDA" w:rsidRPr="00672926">
        <w:t xml:space="preserve">penalty </w:t>
      </w:r>
      <w:r w:rsidR="003F2FDA">
        <w:t>or other sanction</w:t>
      </w:r>
      <w:r w:rsidRPr="003F2FDA">
        <w:t>.</w:t>
      </w:r>
      <w:r w:rsidR="00E30D3B">
        <w:t xml:space="preserve"> Similarly, i</w:t>
      </w:r>
      <w:r w:rsidR="008573E7" w:rsidRPr="008573E7">
        <w:t>n the event a manufacturer retaliates against a supplier as a result of</w:t>
      </w:r>
      <w:r w:rsidR="005246E4">
        <w:t xml:space="preserve"> requesting</w:t>
      </w:r>
      <w:r w:rsidR="007F0829">
        <w:t xml:space="preserve"> </w:t>
      </w:r>
      <w:r w:rsidR="008573E7" w:rsidRPr="008573E7">
        <w:t>indemni</w:t>
      </w:r>
      <w:r w:rsidR="00E30D3B">
        <w:t xml:space="preserve">fication, the manufacturer would not face a penalty </w:t>
      </w:r>
      <w:r w:rsidR="00A86F78">
        <w:t xml:space="preserve">or </w:t>
      </w:r>
      <w:r w:rsidR="00E30D3B">
        <w:t>other sanction.</w:t>
      </w:r>
    </w:p>
    <w:p w14:paraId="4A93F46B" w14:textId="2BE8874C" w:rsidR="000E09B1" w:rsidRDefault="00702A68" w:rsidP="000E09B1">
      <w:pPr>
        <w:pStyle w:val="Heading3"/>
      </w:pPr>
      <w:bookmarkStart w:id="189" w:name="_Toc69381076"/>
      <w:bookmarkStart w:id="190" w:name="_Toc69395097"/>
      <w:bookmarkStart w:id="191" w:name="_Toc89700940"/>
      <w:r>
        <w:t xml:space="preserve">Part B, </w:t>
      </w:r>
      <w:r w:rsidR="000E09B1">
        <w:t>Option 2 –</w:t>
      </w:r>
      <w:r w:rsidR="003F2FDA">
        <w:t xml:space="preserve"> </w:t>
      </w:r>
      <w:r w:rsidR="000E09B1" w:rsidRPr="000D1B7D">
        <w:t xml:space="preserve">education and </w:t>
      </w:r>
      <w:r w:rsidR="006C2A43">
        <w:t>guidance</w:t>
      </w:r>
      <w:r w:rsidR="000E09B1" w:rsidRPr="000D1B7D">
        <w:t xml:space="preserve"> campaign</w:t>
      </w:r>
      <w:bookmarkEnd w:id="189"/>
      <w:bookmarkEnd w:id="190"/>
      <w:bookmarkEnd w:id="191"/>
    </w:p>
    <w:p w14:paraId="2CFF3EB3" w14:textId="21A26AFF" w:rsidR="00C81340" w:rsidRDefault="00A87003" w:rsidP="00C81340">
      <w:r w:rsidRPr="001429E6">
        <w:t xml:space="preserve">This option would involve a </w:t>
      </w:r>
      <w:r w:rsidR="00EA5B49">
        <w:t>three-month</w:t>
      </w:r>
      <w:r w:rsidR="007F0829">
        <w:t xml:space="preserve"> </w:t>
      </w:r>
      <w:r w:rsidRPr="001429E6">
        <w:t>education</w:t>
      </w:r>
      <w:r w:rsidR="006C2A43">
        <w:t xml:space="preserve"> and guidance</w:t>
      </w:r>
      <w:r w:rsidRPr="001429E6">
        <w:t xml:space="preserve"> campaign. </w:t>
      </w:r>
      <w:r w:rsidR="00766519" w:rsidRPr="001429E6">
        <w:t xml:space="preserve">It is anticipated </w:t>
      </w:r>
      <w:r w:rsidR="00101B70">
        <w:t>ACL regulators would</w:t>
      </w:r>
      <w:r w:rsidR="00101B70" w:rsidRPr="001429E6">
        <w:t xml:space="preserve"> </w:t>
      </w:r>
      <w:r w:rsidR="00766519" w:rsidRPr="001429E6">
        <w:t>work with industry associations to disseminate information</w:t>
      </w:r>
      <w:r w:rsidR="003F2FDA" w:rsidRPr="001429E6">
        <w:t xml:space="preserve"> to their members</w:t>
      </w:r>
      <w:r w:rsidR="00766519" w:rsidRPr="001429E6">
        <w:t xml:space="preserve">. </w:t>
      </w:r>
      <w:r w:rsidR="003F2FDA" w:rsidRPr="001429E6">
        <w:t>The information would include messages about supplier and manufacturer rights and responsibilities in relation to indemnification</w:t>
      </w:r>
      <w:r w:rsidR="00ED7EFD" w:rsidRPr="001429E6">
        <w:t>.</w:t>
      </w:r>
      <w:r w:rsidR="006362C7" w:rsidRPr="001429E6">
        <w:t xml:space="preserve"> </w:t>
      </w:r>
      <w:r w:rsidR="00ED7EFD" w:rsidRPr="001429E6">
        <w:t xml:space="preserve">There is existing </w:t>
      </w:r>
      <w:r w:rsidR="00ED7EFD" w:rsidRPr="00ED7EFD">
        <w:t xml:space="preserve">guidance on the operation of the </w:t>
      </w:r>
      <w:r w:rsidR="006362C7">
        <w:t xml:space="preserve">supplier indemnification </w:t>
      </w:r>
      <w:r w:rsidR="00ED7EFD" w:rsidRPr="00ED7EFD">
        <w:t xml:space="preserve">provisions. However, this option assumes the existing material would be strengthened and improved, particularly for </w:t>
      </w:r>
      <w:r w:rsidR="00A343E3">
        <w:t xml:space="preserve">sectors </w:t>
      </w:r>
      <w:r w:rsidR="00ED7EFD" w:rsidRPr="00ED7EFD">
        <w:t xml:space="preserve">experiencing problems accessing and applying the current law, like </w:t>
      </w:r>
      <w:r w:rsidR="007F0829">
        <w:t xml:space="preserve">new </w:t>
      </w:r>
      <w:r w:rsidR="00ED7EFD" w:rsidRPr="00ED7EFD">
        <w:t>motor vehicles.</w:t>
      </w:r>
    </w:p>
    <w:p w14:paraId="708AD597" w14:textId="77777777" w:rsidR="006362C7" w:rsidRDefault="006362C7" w:rsidP="006362C7">
      <w:r>
        <w:t>This option can be applied in one of two ways:</w:t>
      </w:r>
    </w:p>
    <w:p w14:paraId="1931056F" w14:textId="21C14177" w:rsidR="006362C7" w:rsidRDefault="006362C7" w:rsidP="004A3FDA">
      <w:pPr>
        <w:pStyle w:val="ListParagraph"/>
        <w:numPr>
          <w:ilvl w:val="0"/>
          <w:numId w:val="28"/>
        </w:numPr>
      </w:pPr>
      <w:r>
        <w:t xml:space="preserve">an economy wide campaign </w:t>
      </w:r>
    </w:p>
    <w:p w14:paraId="08AA254E" w14:textId="1A23BD0D" w:rsidR="006362C7" w:rsidRDefault="006362C7" w:rsidP="004A3FDA">
      <w:pPr>
        <w:pStyle w:val="ListParagraph"/>
        <w:numPr>
          <w:ilvl w:val="0"/>
          <w:numId w:val="28"/>
        </w:numPr>
      </w:pPr>
      <w:r>
        <w:t>a campaign related to new motor vehicles only.</w:t>
      </w:r>
    </w:p>
    <w:p w14:paraId="1155FEC1" w14:textId="0B488FA0" w:rsidR="000D1B7D" w:rsidRDefault="00702A68" w:rsidP="00A500CA">
      <w:pPr>
        <w:pStyle w:val="Heading3"/>
      </w:pPr>
      <w:bookmarkStart w:id="192" w:name="_Toc69381077"/>
      <w:bookmarkStart w:id="193" w:name="_Toc69395098"/>
      <w:bookmarkStart w:id="194" w:name="_Toc89700941"/>
      <w:r>
        <w:t xml:space="preserve">Part B, </w:t>
      </w:r>
      <w:r w:rsidR="00A500CA">
        <w:t>O</w:t>
      </w:r>
      <w:r w:rsidR="00A500CA" w:rsidRPr="00A500CA">
        <w:t xml:space="preserve">ption </w:t>
      </w:r>
      <w:r w:rsidR="00A500CA">
        <w:t>3</w:t>
      </w:r>
      <w:r w:rsidR="00A500CA" w:rsidRPr="00A500CA">
        <w:t xml:space="preserve"> – </w:t>
      </w:r>
      <w:r w:rsidR="006362C7" w:rsidRPr="006362C7">
        <w:t xml:space="preserve">a prohibition against not </w:t>
      </w:r>
      <w:r w:rsidR="006362C7">
        <w:t xml:space="preserve">indemnifying suppliers </w:t>
      </w:r>
      <w:r w:rsidR="006362C7" w:rsidRPr="006362C7">
        <w:t>supported by penalties and other enforcement mechanisms</w:t>
      </w:r>
      <w:bookmarkEnd w:id="192"/>
      <w:bookmarkEnd w:id="193"/>
      <w:bookmarkEnd w:id="194"/>
    </w:p>
    <w:p w14:paraId="1B126168" w14:textId="4E14301D" w:rsidR="005563DF" w:rsidRPr="001429E6" w:rsidRDefault="001429E6" w:rsidP="001429E6">
      <w:r w:rsidRPr="001429E6">
        <w:t xml:space="preserve">This option </w:t>
      </w:r>
      <w:r w:rsidR="00565CC8">
        <w:t>would</w:t>
      </w:r>
      <w:r w:rsidRPr="001429E6">
        <w:t xml:space="preserve"> amend the ACL to prohibit </w:t>
      </w:r>
      <w:r w:rsidR="00021159" w:rsidRPr="001429E6">
        <w:t xml:space="preserve">manufacturers from </w:t>
      </w:r>
      <w:r w:rsidRPr="001429E6">
        <w:t xml:space="preserve">not </w:t>
      </w:r>
      <w:r w:rsidR="00021159" w:rsidRPr="001429E6">
        <w:t>indem</w:t>
      </w:r>
      <w:r w:rsidR="005563DF" w:rsidRPr="001429E6">
        <w:t>nify</w:t>
      </w:r>
      <w:r w:rsidRPr="001429E6">
        <w:t>ing</w:t>
      </w:r>
      <w:r w:rsidR="005563DF" w:rsidRPr="001429E6">
        <w:t xml:space="preserve"> suppliers</w:t>
      </w:r>
      <w:r w:rsidRPr="001429E6">
        <w:t xml:space="preserve"> when requested</w:t>
      </w:r>
      <w:r w:rsidR="00101B70">
        <w:t>,</w:t>
      </w:r>
      <w:r w:rsidRPr="001429E6">
        <w:t xml:space="preserve"> and enab</w:t>
      </w:r>
      <w:r w:rsidR="00A343E3">
        <w:t>le</w:t>
      </w:r>
      <w:r w:rsidRPr="001429E6">
        <w:t>:</w:t>
      </w:r>
    </w:p>
    <w:p w14:paraId="7C0804B5" w14:textId="2A28626D" w:rsidR="00A87003" w:rsidRPr="001429E6" w:rsidRDefault="00A87003" w:rsidP="004A3FDA">
      <w:pPr>
        <w:pStyle w:val="Bullet"/>
        <w:numPr>
          <w:ilvl w:val="0"/>
          <w:numId w:val="31"/>
        </w:numPr>
      </w:pPr>
      <w:r w:rsidRPr="001429E6">
        <w:t xml:space="preserve">courts to impose a civil pecuniary penalty or injunctions to require </w:t>
      </w:r>
      <w:r>
        <w:t xml:space="preserve">manufacturers </w:t>
      </w:r>
      <w:r w:rsidRPr="001429E6">
        <w:t xml:space="preserve">to act, or refrain from acting, in a certain way </w:t>
      </w:r>
    </w:p>
    <w:p w14:paraId="2B1ADAE0" w14:textId="0438213B" w:rsidR="00A500CA" w:rsidRDefault="00A137B2" w:rsidP="004A3FDA">
      <w:pPr>
        <w:pStyle w:val="Bullet"/>
        <w:numPr>
          <w:ilvl w:val="0"/>
          <w:numId w:val="31"/>
        </w:numPr>
      </w:pPr>
      <w:r>
        <w:t>the ACCC</w:t>
      </w:r>
      <w:r w:rsidR="00A86F78" w:rsidRPr="001429E6">
        <w:t xml:space="preserve"> </w:t>
      </w:r>
      <w:r w:rsidR="001429E6" w:rsidRPr="001429E6">
        <w:t>to issue infringement notices</w:t>
      </w:r>
      <w:r w:rsidR="001429E6">
        <w:t xml:space="preserve"> to manufacturers</w:t>
      </w:r>
      <w:r w:rsidR="001429E6" w:rsidRPr="001429E6">
        <w:t>.</w:t>
      </w:r>
    </w:p>
    <w:p w14:paraId="5A8A2CA1" w14:textId="77777777" w:rsidR="001429E6" w:rsidRDefault="001429E6" w:rsidP="001429E6">
      <w:r>
        <w:t>This option can be applied in one of two ways:</w:t>
      </w:r>
    </w:p>
    <w:p w14:paraId="01DF0551" w14:textId="640A80CF" w:rsidR="001429E6" w:rsidRDefault="001429E6" w:rsidP="004A3FDA">
      <w:pPr>
        <w:pStyle w:val="ListParagraph"/>
        <w:numPr>
          <w:ilvl w:val="0"/>
          <w:numId w:val="30"/>
        </w:numPr>
      </w:pPr>
      <w:r>
        <w:t xml:space="preserve">economy wide </w:t>
      </w:r>
    </w:p>
    <w:p w14:paraId="63DBAC52" w14:textId="36CE5934" w:rsidR="001429E6" w:rsidRDefault="001429E6" w:rsidP="004A3FDA">
      <w:pPr>
        <w:pStyle w:val="ListParagraph"/>
        <w:numPr>
          <w:ilvl w:val="0"/>
          <w:numId w:val="30"/>
        </w:numPr>
      </w:pPr>
      <w:r>
        <w:t>to new motor vehicles only.</w:t>
      </w:r>
    </w:p>
    <w:p w14:paraId="404B9605" w14:textId="7931FB74" w:rsidR="00A500CA" w:rsidRDefault="00702A68" w:rsidP="00A500CA">
      <w:pPr>
        <w:pStyle w:val="Heading3"/>
      </w:pPr>
      <w:bookmarkStart w:id="195" w:name="_Toc69381078"/>
      <w:bookmarkStart w:id="196" w:name="_Toc69395099"/>
      <w:bookmarkStart w:id="197" w:name="_Toc89700942"/>
      <w:r>
        <w:lastRenderedPageBreak/>
        <w:t xml:space="preserve">Part B, </w:t>
      </w:r>
      <w:r w:rsidR="00A500CA">
        <w:t xml:space="preserve">Option 4 – </w:t>
      </w:r>
      <w:r w:rsidR="006362C7" w:rsidRPr="006362C7">
        <w:t>a prohibition against manufacturers retaliating against suppliers who request indemnification</w:t>
      </w:r>
      <w:bookmarkEnd w:id="195"/>
      <w:bookmarkEnd w:id="196"/>
      <w:bookmarkEnd w:id="197"/>
    </w:p>
    <w:p w14:paraId="1EC78C43" w14:textId="785F850F" w:rsidR="001429E6" w:rsidRPr="001429E6" w:rsidRDefault="00793806" w:rsidP="001429E6">
      <w:r w:rsidRPr="001429E6">
        <w:t xml:space="preserve">This option would amend the ACL to make it unlawful </w:t>
      </w:r>
      <w:r w:rsidR="001429E6" w:rsidRPr="001429E6">
        <w:t xml:space="preserve">for a manufacturer </w:t>
      </w:r>
      <w:r w:rsidRPr="001429E6">
        <w:t>to retaliate against a supplier for seeking indemnification</w:t>
      </w:r>
      <w:r w:rsidR="00BE41C8" w:rsidRPr="001429E6">
        <w:t xml:space="preserve"> for a consumer </w:t>
      </w:r>
      <w:r w:rsidR="001429E6">
        <w:t xml:space="preserve">guarantee failure under the ACL </w:t>
      </w:r>
      <w:r w:rsidR="001429E6" w:rsidRPr="001429E6">
        <w:t>and enabl</w:t>
      </w:r>
      <w:r w:rsidR="007E7593">
        <w:t>e</w:t>
      </w:r>
      <w:r w:rsidR="001429E6" w:rsidRPr="001429E6">
        <w:t>:</w:t>
      </w:r>
    </w:p>
    <w:p w14:paraId="685CA49A" w14:textId="4B52433C" w:rsidR="001429E6" w:rsidRPr="001429E6" w:rsidRDefault="001429E6" w:rsidP="004A3FDA">
      <w:pPr>
        <w:pStyle w:val="OutlineNumbered1"/>
        <w:numPr>
          <w:ilvl w:val="0"/>
          <w:numId w:val="32"/>
        </w:numPr>
      </w:pPr>
      <w:r w:rsidRPr="001429E6">
        <w:t xml:space="preserve">courts to impose a civil pecuniary penalty or injunctions to require </w:t>
      </w:r>
      <w:r>
        <w:t xml:space="preserve">manufacturers </w:t>
      </w:r>
      <w:r w:rsidRPr="001429E6">
        <w:t xml:space="preserve">to act, or refrain from acting, in a certain way </w:t>
      </w:r>
    </w:p>
    <w:p w14:paraId="4523A5FA" w14:textId="75908FF8" w:rsidR="001429E6" w:rsidRDefault="00A137B2" w:rsidP="004A3FDA">
      <w:pPr>
        <w:pStyle w:val="OutlineNumbered1"/>
        <w:numPr>
          <w:ilvl w:val="0"/>
          <w:numId w:val="32"/>
        </w:numPr>
      </w:pPr>
      <w:r>
        <w:t>the ACCC</w:t>
      </w:r>
      <w:r w:rsidR="00A86F78" w:rsidRPr="001429E6">
        <w:t xml:space="preserve"> </w:t>
      </w:r>
      <w:r w:rsidR="001429E6" w:rsidRPr="001429E6">
        <w:t>to issue infringement notices</w:t>
      </w:r>
      <w:r w:rsidR="001429E6">
        <w:t xml:space="preserve"> to manufacturers</w:t>
      </w:r>
      <w:r w:rsidR="001429E6" w:rsidRPr="001429E6">
        <w:t>.</w:t>
      </w:r>
    </w:p>
    <w:p w14:paraId="043D688F" w14:textId="77777777" w:rsidR="001429E6" w:rsidRDefault="001429E6" w:rsidP="001429E6">
      <w:r>
        <w:t>This option can be applied in one of two ways:</w:t>
      </w:r>
    </w:p>
    <w:p w14:paraId="42E0E754" w14:textId="2DEA274C" w:rsidR="001429E6" w:rsidRDefault="001429E6" w:rsidP="004A3FDA">
      <w:pPr>
        <w:pStyle w:val="ListParagraph"/>
        <w:numPr>
          <w:ilvl w:val="0"/>
          <w:numId w:val="33"/>
        </w:numPr>
      </w:pPr>
      <w:r>
        <w:t>economy wide</w:t>
      </w:r>
    </w:p>
    <w:p w14:paraId="49174FE4" w14:textId="53CCD0FA" w:rsidR="001429E6" w:rsidRDefault="001429E6" w:rsidP="004A3FDA">
      <w:pPr>
        <w:pStyle w:val="ListParagraph"/>
        <w:numPr>
          <w:ilvl w:val="0"/>
          <w:numId w:val="33"/>
        </w:numPr>
      </w:pPr>
      <w:r>
        <w:t>to new motor vehicles only.</w:t>
      </w:r>
    </w:p>
    <w:p w14:paraId="7869B0E9" w14:textId="77777777" w:rsidR="001429E6" w:rsidRPr="001429E6" w:rsidRDefault="001429E6" w:rsidP="001429E6">
      <w:pPr>
        <w:pStyle w:val="Bullet"/>
        <w:numPr>
          <w:ilvl w:val="0"/>
          <w:numId w:val="0"/>
        </w:numPr>
        <w:ind w:left="283" w:hanging="283"/>
      </w:pPr>
    </w:p>
    <w:p w14:paraId="2D88EB41" w14:textId="77777777" w:rsidR="007A53E1" w:rsidRDefault="007A53E1">
      <w:pPr>
        <w:spacing w:before="0" w:after="160" w:line="259" w:lineRule="auto"/>
      </w:pPr>
      <w:r>
        <w:br w:type="page"/>
      </w:r>
    </w:p>
    <w:p w14:paraId="4367B728" w14:textId="30995DAB" w:rsidR="007A53E1" w:rsidRDefault="007A53E1" w:rsidP="007A53E1">
      <w:pPr>
        <w:pStyle w:val="Heading2"/>
      </w:pPr>
      <w:bookmarkStart w:id="198" w:name="_Toc69381079"/>
      <w:bookmarkStart w:id="199" w:name="_Toc69395100"/>
      <w:bookmarkStart w:id="200" w:name="_Toc89700943"/>
      <w:r>
        <w:lastRenderedPageBreak/>
        <w:t>Impact analysis</w:t>
      </w:r>
      <w:r w:rsidR="00673E08">
        <w:t xml:space="preserve"> for Part B</w:t>
      </w:r>
      <w:bookmarkEnd w:id="198"/>
      <w:bookmarkEnd w:id="199"/>
      <w:bookmarkEnd w:id="200"/>
    </w:p>
    <w:p w14:paraId="1CA1EA77" w14:textId="442DEFE3" w:rsidR="009A5ACD" w:rsidRDefault="00702A68" w:rsidP="009A5ACD">
      <w:pPr>
        <w:pStyle w:val="Heading3"/>
      </w:pPr>
      <w:bookmarkStart w:id="201" w:name="_Toc69381080"/>
      <w:bookmarkStart w:id="202" w:name="_Toc69395101"/>
      <w:bookmarkStart w:id="203" w:name="_Toc89700944"/>
      <w:r>
        <w:t xml:space="preserve">Part B, </w:t>
      </w:r>
      <w:r w:rsidR="009A5ACD">
        <w:t>Option 1 – status quo</w:t>
      </w:r>
      <w:bookmarkEnd w:id="201"/>
      <w:bookmarkEnd w:id="202"/>
      <w:bookmarkEnd w:id="203"/>
    </w:p>
    <w:p w14:paraId="2527798A" w14:textId="6B8C6783" w:rsidR="003F76BC" w:rsidRDefault="003F76BC" w:rsidP="003F76BC">
      <w:pPr>
        <w:pStyle w:val="Heading4"/>
        <w:rPr>
          <w:rFonts w:eastAsia="Calibri"/>
        </w:rPr>
      </w:pPr>
      <w:r>
        <w:rPr>
          <w:rFonts w:eastAsia="Calibri"/>
        </w:rPr>
        <w:t xml:space="preserve">Suppliers </w:t>
      </w:r>
      <w:r w:rsidR="00521153">
        <w:rPr>
          <w:rFonts w:eastAsia="Calibri"/>
        </w:rPr>
        <w:t>experience</w:t>
      </w:r>
      <w:r w:rsidR="00101B70">
        <w:rPr>
          <w:rFonts w:eastAsia="Calibri"/>
        </w:rPr>
        <w:t xml:space="preserve"> difficult</w:t>
      </w:r>
      <w:r w:rsidR="00521153">
        <w:rPr>
          <w:rFonts w:eastAsia="Calibri"/>
        </w:rPr>
        <w:t>ies</w:t>
      </w:r>
      <w:r w:rsidR="00101B70">
        <w:rPr>
          <w:rFonts w:eastAsia="Calibri"/>
        </w:rPr>
        <w:t xml:space="preserve"> in accessing</w:t>
      </w:r>
      <w:r>
        <w:rPr>
          <w:rFonts w:eastAsia="Calibri"/>
        </w:rPr>
        <w:t xml:space="preserve"> indemnification</w:t>
      </w:r>
    </w:p>
    <w:p w14:paraId="37771CE6" w14:textId="6E2D3620" w:rsidR="003F76BC" w:rsidRDefault="003F76BC" w:rsidP="003F76BC">
      <w:r>
        <w:rPr>
          <w:rFonts w:eastAsia="Calibri"/>
        </w:rPr>
        <w:t xml:space="preserve">Under the status quo, suppliers would continue to experience problems in obtaining indemnification for manufacturer faults once they have provided the consumer with a remedy. Some suppliers, particularly small </w:t>
      </w:r>
      <w:r w:rsidR="00EA5B49">
        <w:rPr>
          <w:rFonts w:eastAsia="Calibri"/>
        </w:rPr>
        <w:t>businesses,</w:t>
      </w:r>
      <w:r>
        <w:rPr>
          <w:rFonts w:eastAsia="Calibri"/>
        </w:rPr>
        <w:t xml:space="preserve"> or those in </w:t>
      </w:r>
      <w:r w:rsidR="007E7593">
        <w:rPr>
          <w:rFonts w:eastAsia="Calibri"/>
        </w:rPr>
        <w:t xml:space="preserve">sectors </w:t>
      </w:r>
      <w:r>
        <w:rPr>
          <w:rFonts w:eastAsia="Calibri"/>
        </w:rPr>
        <w:t>with a power imbalance,</w:t>
      </w:r>
      <w:r>
        <w:rPr>
          <w:rStyle w:val="FootnoteReference"/>
          <w:rFonts w:eastAsia="Calibri"/>
        </w:rPr>
        <w:footnoteReference w:id="96"/>
      </w:r>
      <w:r>
        <w:rPr>
          <w:rFonts w:eastAsia="Calibri"/>
        </w:rPr>
        <w:t xml:space="preserve"> </w:t>
      </w:r>
      <w:r w:rsidR="00A7545F">
        <w:rPr>
          <w:rFonts w:eastAsia="Calibri"/>
        </w:rPr>
        <w:t xml:space="preserve">would </w:t>
      </w:r>
      <w:r>
        <w:rPr>
          <w:rFonts w:eastAsia="Calibri"/>
        </w:rPr>
        <w:t>continue to bear the cost of providing remedies, including a refund, the cost of replacing the good, repair costs and compensation for consequential losses</w:t>
      </w:r>
      <w:r w:rsidRPr="007742C5">
        <w:t>.</w:t>
      </w:r>
      <w:r>
        <w:t xml:space="preserve"> </w:t>
      </w:r>
    </w:p>
    <w:p w14:paraId="5F83E491" w14:textId="6562A432" w:rsidR="008573E7" w:rsidRPr="006B334A" w:rsidRDefault="008573E7" w:rsidP="00CA7901">
      <w:pPr>
        <w:rPr>
          <w:rFonts w:eastAsia="Calibri"/>
        </w:rPr>
      </w:pPr>
      <w:r w:rsidRPr="006B334A">
        <w:rPr>
          <w:rFonts w:eastAsia="Calibri"/>
        </w:rPr>
        <w:t>In the event a manufacturer retaliates against a supplier as a result of</w:t>
      </w:r>
      <w:r w:rsidR="00A86F78" w:rsidRPr="006B334A">
        <w:rPr>
          <w:rFonts w:eastAsia="Calibri"/>
        </w:rPr>
        <w:t xml:space="preserve"> requesting</w:t>
      </w:r>
      <w:r w:rsidRPr="006B334A">
        <w:rPr>
          <w:rFonts w:eastAsia="Calibri"/>
        </w:rPr>
        <w:t xml:space="preserve"> indemnification, there would continue to be no</w:t>
      </w:r>
      <w:r w:rsidR="005246E4">
        <w:rPr>
          <w:rFonts w:eastAsia="Calibri"/>
        </w:rPr>
        <w:t xml:space="preserve"> </w:t>
      </w:r>
      <w:r w:rsidR="00EA5B49">
        <w:rPr>
          <w:rFonts w:eastAsia="Calibri"/>
        </w:rPr>
        <w:t xml:space="preserve">viable </w:t>
      </w:r>
      <w:r w:rsidR="00EA5B49" w:rsidRPr="006B334A">
        <w:rPr>
          <w:rFonts w:eastAsia="Calibri"/>
        </w:rPr>
        <w:t>recourse</w:t>
      </w:r>
      <w:r w:rsidR="006B334A" w:rsidRPr="006B334A">
        <w:rPr>
          <w:rFonts w:eastAsia="Calibri"/>
        </w:rPr>
        <w:t xml:space="preserve"> </w:t>
      </w:r>
      <w:r w:rsidRPr="006B334A">
        <w:rPr>
          <w:rFonts w:eastAsia="Calibri"/>
        </w:rPr>
        <w:t>for suppliers.</w:t>
      </w:r>
    </w:p>
    <w:p w14:paraId="00816E7A" w14:textId="42FB21F3" w:rsidR="00A17C49" w:rsidRPr="00397B68" w:rsidRDefault="00EA5B49" w:rsidP="00A17C49">
      <w:pPr>
        <w:rPr>
          <w:rFonts w:eastAsiaTheme="majorEastAsia" w:cstheme="majorBidi"/>
          <w:bCs/>
        </w:rPr>
      </w:pPr>
      <w:r>
        <w:rPr>
          <w:rFonts w:eastAsiaTheme="majorEastAsia" w:cstheme="majorBidi"/>
          <w:bCs/>
        </w:rPr>
        <w:t>For</w:t>
      </w:r>
      <w:r w:rsidR="005246E4">
        <w:rPr>
          <w:rFonts w:eastAsiaTheme="majorEastAsia" w:cstheme="majorBidi"/>
          <w:bCs/>
        </w:rPr>
        <w:t xml:space="preserve"> this </w:t>
      </w:r>
      <w:r w:rsidR="00F11124">
        <w:rPr>
          <w:rFonts w:eastAsiaTheme="majorEastAsia" w:cstheme="majorBidi"/>
          <w:bCs/>
        </w:rPr>
        <w:t xml:space="preserve">consultation </w:t>
      </w:r>
      <w:r>
        <w:rPr>
          <w:rFonts w:eastAsiaTheme="majorEastAsia" w:cstheme="majorBidi"/>
          <w:bCs/>
        </w:rPr>
        <w:t>RIS and</w:t>
      </w:r>
      <w:r w:rsidR="00A17C49">
        <w:rPr>
          <w:rFonts w:eastAsiaTheme="majorEastAsia" w:cstheme="majorBidi"/>
          <w:bCs/>
        </w:rPr>
        <w:t xml:space="preserve"> in the absence of data</w:t>
      </w:r>
      <w:r w:rsidR="00BD53A9">
        <w:rPr>
          <w:rFonts w:eastAsiaTheme="majorEastAsia" w:cstheme="majorBidi"/>
          <w:bCs/>
        </w:rPr>
        <w:t xml:space="preserve"> sources</w:t>
      </w:r>
      <w:r w:rsidR="00A17C49" w:rsidRPr="00397B68">
        <w:rPr>
          <w:rFonts w:eastAsiaTheme="majorEastAsia" w:cstheme="majorBidi"/>
          <w:bCs/>
        </w:rPr>
        <w:t xml:space="preserve">, suppliers are assumed to only seek indemnification from manufacturers </w:t>
      </w:r>
      <w:r w:rsidR="00807F00">
        <w:rPr>
          <w:rFonts w:eastAsiaTheme="majorEastAsia" w:cstheme="majorBidi"/>
          <w:bCs/>
        </w:rPr>
        <w:t xml:space="preserve">in </w:t>
      </w:r>
      <w:r w:rsidR="00A17C49" w:rsidRPr="00397B68">
        <w:rPr>
          <w:rFonts w:eastAsiaTheme="majorEastAsia" w:cstheme="majorBidi"/>
          <w:bCs/>
        </w:rPr>
        <w:t>90</w:t>
      </w:r>
      <w:r w:rsidR="003A48A8">
        <w:rPr>
          <w:rFonts w:eastAsiaTheme="majorEastAsia" w:cstheme="majorBidi"/>
          <w:bCs/>
        </w:rPr>
        <w:t xml:space="preserve"> per cent</w:t>
      </w:r>
      <w:r w:rsidR="00A17C49" w:rsidRPr="00397B68">
        <w:rPr>
          <w:rFonts w:eastAsiaTheme="majorEastAsia" w:cstheme="majorBidi"/>
          <w:bCs/>
        </w:rPr>
        <w:t xml:space="preserve"> of </w:t>
      </w:r>
      <w:r w:rsidR="00FB262C">
        <w:rPr>
          <w:rFonts w:eastAsiaTheme="majorEastAsia" w:cstheme="majorBidi"/>
          <w:bCs/>
        </w:rPr>
        <w:t>instances</w:t>
      </w:r>
      <w:r w:rsidR="00FB262C" w:rsidRPr="00397B68">
        <w:rPr>
          <w:rFonts w:eastAsiaTheme="majorEastAsia" w:cstheme="majorBidi"/>
          <w:bCs/>
        </w:rPr>
        <w:t xml:space="preserve"> </w:t>
      </w:r>
      <w:r w:rsidR="00807F00">
        <w:rPr>
          <w:rFonts w:eastAsiaTheme="majorEastAsia" w:cstheme="majorBidi"/>
          <w:bCs/>
        </w:rPr>
        <w:t xml:space="preserve">where </w:t>
      </w:r>
      <w:r w:rsidR="00A17C49" w:rsidRPr="00397B68">
        <w:rPr>
          <w:rFonts w:eastAsiaTheme="majorEastAsia" w:cstheme="majorBidi"/>
          <w:bCs/>
        </w:rPr>
        <w:t>they have provided a consumer with a remedy. For suppliers that do seek indemnification, it is assumed appropriate indemnification is provided 80</w:t>
      </w:r>
      <w:r w:rsidR="003A48A8">
        <w:rPr>
          <w:rFonts w:eastAsiaTheme="majorEastAsia" w:cstheme="majorBidi"/>
          <w:bCs/>
        </w:rPr>
        <w:t xml:space="preserve"> per cent</w:t>
      </w:r>
      <w:r w:rsidR="00A17C49" w:rsidRPr="00397B68">
        <w:rPr>
          <w:rFonts w:eastAsiaTheme="majorEastAsia" w:cstheme="majorBidi"/>
          <w:bCs/>
        </w:rPr>
        <w:t xml:space="preserve"> of the time. As a result, it is assumed 72</w:t>
      </w:r>
      <w:r w:rsidR="003A48A8">
        <w:rPr>
          <w:rFonts w:eastAsiaTheme="majorEastAsia" w:cstheme="majorBidi"/>
          <w:bCs/>
        </w:rPr>
        <w:t xml:space="preserve"> per cent</w:t>
      </w:r>
      <w:r w:rsidR="00A17C49" w:rsidRPr="00397B68">
        <w:rPr>
          <w:rFonts w:eastAsiaTheme="majorEastAsia" w:cstheme="majorBidi"/>
          <w:bCs/>
        </w:rPr>
        <w:t xml:space="preserve"> of all remedies provided by suppliers are appropriately indemnified by manufacturers.</w:t>
      </w:r>
    </w:p>
    <w:p w14:paraId="220B063F" w14:textId="2F2143F5" w:rsidR="003F76BC" w:rsidRDefault="003F76BC" w:rsidP="003F76BC">
      <w:pPr>
        <w:pStyle w:val="Heading4"/>
      </w:pPr>
      <w:r>
        <w:t>Costs are borne by non-responsible parties</w:t>
      </w:r>
      <w:r w:rsidR="00874EA5">
        <w:t xml:space="preserve"> or may reduce consumer access to remedies</w:t>
      </w:r>
    </w:p>
    <w:p w14:paraId="235DEB46" w14:textId="6409D20C" w:rsidR="003F76BC" w:rsidRPr="007742C5" w:rsidRDefault="00874EA5" w:rsidP="003F76BC">
      <w:r>
        <w:t xml:space="preserve">Where indemnification is not provided, </w:t>
      </w:r>
      <w:r w:rsidR="00A86F78">
        <w:t>but suppliers do provide remedies to consumers</w:t>
      </w:r>
      <w:r w:rsidR="00A137B2">
        <w:t>,</w:t>
      </w:r>
      <w:r w:rsidR="00A86F78">
        <w:t xml:space="preserve"> the costs of providing those remedies without being indemnified </w:t>
      </w:r>
      <w:r w:rsidR="003F76BC">
        <w:t>may be passed on to consumers in higher prices or else reduce the supplier’s profitability. In some cases, like where a supplier is heavily reliant on one manufacturer for goods, this may make the supplier’s business unviable.</w:t>
      </w:r>
      <w:r>
        <w:t xml:space="preserve"> </w:t>
      </w:r>
    </w:p>
    <w:p w14:paraId="65179692" w14:textId="1AF4EAB6" w:rsidR="003F76BC" w:rsidRDefault="00A86F78" w:rsidP="003F76BC">
      <w:pPr>
        <w:rPr>
          <w:rFonts w:eastAsia="Calibri"/>
        </w:rPr>
      </w:pPr>
      <w:r>
        <w:rPr>
          <w:rFonts w:eastAsia="Calibri"/>
        </w:rPr>
        <w:t>However, s</w:t>
      </w:r>
      <w:r w:rsidR="003F76BC">
        <w:rPr>
          <w:rFonts w:eastAsia="Calibri"/>
        </w:rPr>
        <w:t>ome s</w:t>
      </w:r>
      <w:r w:rsidR="003F76BC" w:rsidRPr="00E9234D">
        <w:rPr>
          <w:rFonts w:eastAsia="Calibri"/>
        </w:rPr>
        <w:t xml:space="preserve">uppliers </w:t>
      </w:r>
      <w:r w:rsidR="00A137B2">
        <w:rPr>
          <w:rFonts w:eastAsia="Calibri"/>
        </w:rPr>
        <w:t xml:space="preserve">may </w:t>
      </w:r>
      <w:r w:rsidR="003F76BC">
        <w:rPr>
          <w:rFonts w:eastAsia="Calibri"/>
        </w:rPr>
        <w:t xml:space="preserve">continue to feel </w:t>
      </w:r>
      <w:r w:rsidR="003F76BC" w:rsidRPr="00E9234D">
        <w:rPr>
          <w:rFonts w:eastAsia="Calibri"/>
        </w:rPr>
        <w:t>constrained in providing remedies to co</w:t>
      </w:r>
      <w:r w:rsidR="003F76BC">
        <w:rPr>
          <w:rFonts w:eastAsia="Calibri"/>
        </w:rPr>
        <w:t>nsumers for manufacturer faults</w:t>
      </w:r>
      <w:r w:rsidR="003F76BC" w:rsidRPr="00E9234D">
        <w:rPr>
          <w:rFonts w:eastAsia="Calibri"/>
        </w:rPr>
        <w:t xml:space="preserve"> </w:t>
      </w:r>
      <w:r w:rsidR="00A137B2">
        <w:rPr>
          <w:rFonts w:eastAsia="Calibri"/>
        </w:rPr>
        <w:t xml:space="preserve">even </w:t>
      </w:r>
      <w:r w:rsidR="003F76BC">
        <w:rPr>
          <w:rFonts w:eastAsia="Calibri"/>
        </w:rPr>
        <w:t xml:space="preserve">where they find it difficult to obtain </w:t>
      </w:r>
      <w:r w:rsidR="003F76BC" w:rsidRPr="00E9234D">
        <w:rPr>
          <w:rFonts w:eastAsia="Calibri"/>
        </w:rPr>
        <w:t>reimbursement from the manufacturer.</w:t>
      </w:r>
      <w:r w:rsidR="003F76BC">
        <w:rPr>
          <w:rFonts w:eastAsia="Calibri"/>
        </w:rPr>
        <w:t xml:space="preserve"> If enough consumers experience problems in obtaining remedies from the supplier, and make this known in public forums, reputational damage may also undermine the viability of the supplier’s operations.</w:t>
      </w:r>
      <w:r w:rsidR="00040E78" w:rsidRPr="00040E78">
        <w:t xml:space="preserve"> </w:t>
      </w:r>
      <w:r w:rsidR="00040E78">
        <w:t xml:space="preserve">Some suppliers may not </w:t>
      </w:r>
      <w:r w:rsidR="00040E78">
        <w:rPr>
          <w:rFonts w:eastAsiaTheme="majorEastAsia" w:cstheme="majorBidi"/>
          <w:bCs/>
        </w:rPr>
        <w:t>litigate to enforce their rights because of a lack of financial resources.</w:t>
      </w:r>
    </w:p>
    <w:p w14:paraId="5E198939" w14:textId="7BF9E1DE" w:rsidR="00874EA5" w:rsidRDefault="00040E78" w:rsidP="00040E78">
      <w:pPr>
        <w:pStyle w:val="Heading4"/>
        <w:rPr>
          <w:rFonts w:eastAsiaTheme="majorEastAsia"/>
        </w:rPr>
      </w:pPr>
      <w:r>
        <w:rPr>
          <w:rFonts w:eastAsiaTheme="majorEastAsia"/>
        </w:rPr>
        <w:lastRenderedPageBreak/>
        <w:t xml:space="preserve">Continuing </w:t>
      </w:r>
      <w:r w:rsidR="00A137B2">
        <w:rPr>
          <w:rFonts w:eastAsiaTheme="majorEastAsia"/>
        </w:rPr>
        <w:t xml:space="preserve">concerns regarding </w:t>
      </w:r>
      <w:r>
        <w:rPr>
          <w:rFonts w:eastAsiaTheme="majorEastAsia"/>
        </w:rPr>
        <w:t xml:space="preserve">retribution </w:t>
      </w:r>
      <w:r w:rsidR="00A137B2">
        <w:rPr>
          <w:rFonts w:eastAsiaTheme="majorEastAsia"/>
        </w:rPr>
        <w:t xml:space="preserve">may </w:t>
      </w:r>
      <w:r>
        <w:rPr>
          <w:rFonts w:eastAsiaTheme="majorEastAsia"/>
        </w:rPr>
        <w:t>deter indemnification from being sought</w:t>
      </w:r>
    </w:p>
    <w:p w14:paraId="54F85D71" w14:textId="690039FB" w:rsidR="003F76BC" w:rsidRPr="006B334A" w:rsidRDefault="003F76BC" w:rsidP="003F76BC">
      <w:pPr>
        <w:rPr>
          <w:rFonts w:eastAsia="Calibri"/>
        </w:rPr>
      </w:pPr>
      <w:r w:rsidRPr="006B334A">
        <w:rPr>
          <w:rFonts w:eastAsia="Calibri"/>
        </w:rPr>
        <w:t xml:space="preserve">Those suppliers that choose not to litigate because a fear of </w:t>
      </w:r>
      <w:r w:rsidRPr="001147AB">
        <w:rPr>
          <w:rFonts w:eastAsia="Calibri"/>
        </w:rPr>
        <w:t xml:space="preserve">damaging their contractual relationships </w:t>
      </w:r>
      <w:r>
        <w:rPr>
          <w:rFonts w:eastAsia="Calibri"/>
        </w:rPr>
        <w:t>(due to</w:t>
      </w:r>
      <w:r w:rsidR="0058589B">
        <w:rPr>
          <w:rFonts w:eastAsia="Calibri"/>
        </w:rPr>
        <w:t xml:space="preserve"> a</w:t>
      </w:r>
      <w:r>
        <w:rPr>
          <w:rFonts w:eastAsia="Calibri"/>
        </w:rPr>
        <w:t xml:space="preserve"> </w:t>
      </w:r>
      <w:r w:rsidR="00EA5B49">
        <w:rPr>
          <w:rFonts w:eastAsia="Calibri"/>
        </w:rPr>
        <w:t>power imbalance)</w:t>
      </w:r>
      <w:r>
        <w:rPr>
          <w:rFonts w:eastAsia="Calibri"/>
        </w:rPr>
        <w:t xml:space="preserve"> </w:t>
      </w:r>
      <w:r w:rsidR="009E7BB9">
        <w:rPr>
          <w:rFonts w:eastAsia="Calibri"/>
        </w:rPr>
        <w:t xml:space="preserve">would </w:t>
      </w:r>
      <w:r>
        <w:rPr>
          <w:rFonts w:eastAsia="Calibri"/>
        </w:rPr>
        <w:t>remain without indemnification</w:t>
      </w:r>
      <w:r w:rsidRPr="001147AB">
        <w:rPr>
          <w:rFonts w:eastAsia="Calibri"/>
        </w:rPr>
        <w:t>.</w:t>
      </w:r>
      <w:r>
        <w:rPr>
          <w:rFonts w:eastAsia="Calibri"/>
        </w:rPr>
        <w:t xml:space="preserve"> </w:t>
      </w:r>
      <w:r w:rsidRPr="006B334A">
        <w:rPr>
          <w:rFonts w:eastAsia="Calibri"/>
        </w:rPr>
        <w:t>Under the status quo, there is also no</w:t>
      </w:r>
      <w:r w:rsidR="006B334A" w:rsidRPr="006B334A">
        <w:rPr>
          <w:rFonts w:eastAsia="Calibri"/>
        </w:rPr>
        <w:t xml:space="preserve"> </w:t>
      </w:r>
      <w:r w:rsidR="005246E4">
        <w:rPr>
          <w:rFonts w:eastAsia="Calibri"/>
        </w:rPr>
        <w:t xml:space="preserve">viable </w:t>
      </w:r>
      <w:r w:rsidR="006B334A" w:rsidRPr="006B334A">
        <w:rPr>
          <w:rFonts w:eastAsia="Calibri"/>
        </w:rPr>
        <w:t xml:space="preserve">recourse </w:t>
      </w:r>
      <w:r w:rsidRPr="006B334A">
        <w:rPr>
          <w:rFonts w:eastAsia="Calibri"/>
        </w:rPr>
        <w:t>if a manufacturer retaliates against a supplier for seeking indemnification by, for example, increasing prices or withdrawing supply or introducing less favourable terms and conditions of supply.</w:t>
      </w:r>
    </w:p>
    <w:p w14:paraId="46F78116" w14:textId="06B3379E" w:rsidR="00040E78" w:rsidRDefault="00040E78" w:rsidP="00040E78">
      <w:pPr>
        <w:pStyle w:val="Heading4"/>
      </w:pPr>
      <w:r>
        <w:t>Ongoing lack of incentive for manufacturers indemnifying suppliers</w:t>
      </w:r>
    </w:p>
    <w:p w14:paraId="5725A24C" w14:textId="503B6A7C" w:rsidR="003F76BC" w:rsidRDefault="003F76BC" w:rsidP="003F76BC">
      <w:pPr>
        <w:rPr>
          <w:rFonts w:eastAsiaTheme="majorEastAsia" w:cstheme="majorBidi"/>
          <w:bCs/>
        </w:rPr>
      </w:pPr>
      <w:r>
        <w:rPr>
          <w:rFonts w:eastAsiaTheme="majorEastAsia" w:cstheme="majorBidi"/>
          <w:bCs/>
        </w:rPr>
        <w:t xml:space="preserve">To the extent some manufacturers choose not </w:t>
      </w:r>
      <w:r w:rsidR="009E7BB9">
        <w:rPr>
          <w:rFonts w:eastAsiaTheme="majorEastAsia" w:cstheme="majorBidi"/>
          <w:bCs/>
        </w:rPr>
        <w:t xml:space="preserve">to </w:t>
      </w:r>
      <w:r>
        <w:rPr>
          <w:rFonts w:eastAsiaTheme="majorEastAsia" w:cstheme="majorBidi"/>
          <w:bCs/>
        </w:rPr>
        <w:t xml:space="preserve">comply with the indemnification requirements, there is no incentive or disincentive in the status quo that would encourage them to change their behaviour. Some will continue to </w:t>
      </w:r>
      <w:r w:rsidRPr="00E9234D">
        <w:rPr>
          <w:rFonts w:eastAsia="Calibri"/>
        </w:rPr>
        <w:t xml:space="preserve">use contractual arrangements </w:t>
      </w:r>
      <w:r>
        <w:rPr>
          <w:rFonts w:eastAsia="Calibri"/>
        </w:rPr>
        <w:t xml:space="preserve">and administrative processes </w:t>
      </w:r>
      <w:r w:rsidRPr="00E9234D">
        <w:rPr>
          <w:rFonts w:eastAsia="Calibri"/>
        </w:rPr>
        <w:t xml:space="preserve">that make it more difficult in practice for </w:t>
      </w:r>
      <w:r>
        <w:rPr>
          <w:rFonts w:eastAsia="Calibri"/>
        </w:rPr>
        <w:t xml:space="preserve">suppliers </w:t>
      </w:r>
      <w:r w:rsidRPr="00E9234D">
        <w:rPr>
          <w:rFonts w:eastAsia="Calibri"/>
        </w:rPr>
        <w:t>to obtain indemnification</w:t>
      </w:r>
      <w:r>
        <w:rPr>
          <w:rFonts w:eastAsia="Calibri"/>
        </w:rPr>
        <w:t>.</w:t>
      </w:r>
      <w:r w:rsidRPr="00A01F60">
        <w:rPr>
          <w:rFonts w:eastAsiaTheme="majorEastAsia" w:cstheme="majorBidi"/>
          <w:bCs/>
        </w:rPr>
        <w:t xml:space="preserve"> </w:t>
      </w:r>
      <w:r>
        <w:rPr>
          <w:rFonts w:eastAsiaTheme="majorEastAsia" w:cstheme="majorBidi"/>
          <w:bCs/>
        </w:rPr>
        <w:t>Manufacturers that are not familiar with the ACL’s requirements or assume they do not fall under the ACL’s jurisdiction may also not provide indemnification.</w:t>
      </w:r>
    </w:p>
    <w:p w14:paraId="44FF2F5A" w14:textId="738F5A56" w:rsidR="00BC4F0D" w:rsidRDefault="00F11A57" w:rsidP="00BC4F0D">
      <w:pPr>
        <w:pStyle w:val="Heading4"/>
      </w:pPr>
      <w:r>
        <w:t>Estimated c</w:t>
      </w:r>
      <w:r w:rsidR="00BC4F0D">
        <w:t>osts and benefits</w:t>
      </w:r>
    </w:p>
    <w:p w14:paraId="25C0F6E1" w14:textId="5B71F310" w:rsidR="000C19B7" w:rsidRPr="00BC4F0D" w:rsidRDefault="00BC4F0D" w:rsidP="00BC4F0D">
      <w:pPr>
        <w:pStyle w:val="Caption"/>
        <w:rPr>
          <w:rFonts w:eastAsiaTheme="majorEastAsia"/>
          <w:b/>
          <w:bCs/>
          <w:i w:val="0"/>
          <w:iCs w:val="0"/>
          <w:sz w:val="22"/>
          <w:szCs w:val="22"/>
        </w:rPr>
      </w:pPr>
      <w:bookmarkStart w:id="204" w:name="_Toc87529830"/>
      <w:bookmarkStart w:id="205" w:name="_Toc89700882"/>
      <w:r w:rsidRPr="00BC4F0D">
        <w:rPr>
          <w:b/>
          <w:bCs/>
          <w:i w:val="0"/>
          <w:iCs w:val="0"/>
          <w:sz w:val="22"/>
          <w:szCs w:val="22"/>
        </w:rPr>
        <w:t xml:space="preserve">Table </w:t>
      </w:r>
      <w:r w:rsidRPr="00BC4F0D">
        <w:rPr>
          <w:b/>
          <w:bCs/>
          <w:i w:val="0"/>
          <w:iCs w:val="0"/>
          <w:sz w:val="22"/>
          <w:szCs w:val="22"/>
        </w:rPr>
        <w:fldChar w:fldCharType="begin"/>
      </w:r>
      <w:r w:rsidRPr="00BC4F0D">
        <w:rPr>
          <w:b/>
          <w:bCs/>
          <w:i w:val="0"/>
          <w:iCs w:val="0"/>
          <w:sz w:val="22"/>
          <w:szCs w:val="22"/>
        </w:rPr>
        <w:instrText xml:space="preserve"> SEQ Table \* ARABIC </w:instrText>
      </w:r>
      <w:r w:rsidRPr="00BC4F0D">
        <w:rPr>
          <w:b/>
          <w:bCs/>
          <w:i w:val="0"/>
          <w:iCs w:val="0"/>
          <w:sz w:val="22"/>
          <w:szCs w:val="22"/>
        </w:rPr>
        <w:fldChar w:fldCharType="separate"/>
      </w:r>
      <w:r w:rsidR="00001633">
        <w:rPr>
          <w:b/>
          <w:bCs/>
          <w:i w:val="0"/>
          <w:iCs w:val="0"/>
          <w:noProof/>
          <w:sz w:val="22"/>
          <w:szCs w:val="22"/>
        </w:rPr>
        <w:t>10</w:t>
      </w:r>
      <w:r w:rsidRPr="00BC4F0D">
        <w:rPr>
          <w:b/>
          <w:bCs/>
          <w:i w:val="0"/>
          <w:iCs w:val="0"/>
          <w:sz w:val="22"/>
          <w:szCs w:val="22"/>
        </w:rPr>
        <w:fldChar w:fldCharType="end"/>
      </w:r>
      <w:r w:rsidRPr="00BC4F0D">
        <w:rPr>
          <w:b/>
          <w:bCs/>
          <w:i w:val="0"/>
          <w:iCs w:val="0"/>
          <w:sz w:val="22"/>
          <w:szCs w:val="22"/>
        </w:rPr>
        <w:t xml:space="preserve">: </w:t>
      </w:r>
      <w:r w:rsidR="00C04EDD">
        <w:rPr>
          <w:b/>
          <w:bCs/>
          <w:i w:val="0"/>
          <w:iCs w:val="0"/>
          <w:sz w:val="22"/>
          <w:szCs w:val="22"/>
        </w:rPr>
        <w:t>S</w:t>
      </w:r>
      <w:r w:rsidR="000C19B7" w:rsidRPr="00BC4F0D">
        <w:rPr>
          <w:rFonts w:eastAsiaTheme="majorEastAsia"/>
          <w:b/>
          <w:bCs/>
          <w:i w:val="0"/>
          <w:iCs w:val="0"/>
          <w:sz w:val="22"/>
          <w:szCs w:val="22"/>
        </w:rPr>
        <w:t>ummary of benefits and costs of Part B, Option 1 (covers both economy-wide approach and new motor vehicles only approach)</w:t>
      </w:r>
      <w:bookmarkEnd w:id="204"/>
      <w:bookmarkEnd w:id="205"/>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040E78" w14:paraId="5EEFE7B8" w14:textId="77777777" w:rsidTr="00BC4F0D">
        <w:tc>
          <w:tcPr>
            <w:tcW w:w="2500" w:type="pct"/>
            <w:shd w:val="clear" w:color="auto" w:fill="B690C9" w:themeFill="accent6" w:themeFillTint="99"/>
          </w:tcPr>
          <w:p w14:paraId="62C61DE2" w14:textId="77777777" w:rsidR="00040E78" w:rsidRPr="004860EB" w:rsidRDefault="00040E78" w:rsidP="005A1DCE">
            <w:pPr>
              <w:rPr>
                <w:b/>
              </w:rPr>
            </w:pPr>
            <w:r w:rsidRPr="004860EB">
              <w:rPr>
                <w:b/>
              </w:rPr>
              <w:t xml:space="preserve">Benefits </w:t>
            </w:r>
          </w:p>
        </w:tc>
        <w:tc>
          <w:tcPr>
            <w:tcW w:w="2500" w:type="pct"/>
            <w:shd w:val="clear" w:color="auto" w:fill="B690C9" w:themeFill="accent6" w:themeFillTint="99"/>
          </w:tcPr>
          <w:p w14:paraId="65754549" w14:textId="77777777" w:rsidR="00040E78" w:rsidRPr="004860EB" w:rsidRDefault="00040E78" w:rsidP="005A1DCE">
            <w:pPr>
              <w:rPr>
                <w:b/>
              </w:rPr>
            </w:pPr>
            <w:r w:rsidRPr="004860EB">
              <w:rPr>
                <w:b/>
              </w:rPr>
              <w:t xml:space="preserve">Costs </w:t>
            </w:r>
          </w:p>
        </w:tc>
      </w:tr>
      <w:tr w:rsidR="00040E78" w14:paraId="229338C5" w14:textId="77777777" w:rsidTr="00BC4F0D">
        <w:tc>
          <w:tcPr>
            <w:tcW w:w="2500" w:type="pct"/>
          </w:tcPr>
          <w:p w14:paraId="72F72D87" w14:textId="122252B2" w:rsidR="00040E78" w:rsidRDefault="00F11124" w:rsidP="00B20812">
            <w:pPr>
              <w:pStyle w:val="Bullet"/>
              <w:widowControl w:val="0"/>
              <w:numPr>
                <w:ilvl w:val="0"/>
                <w:numId w:val="12"/>
              </w:numPr>
              <w:spacing w:before="120" w:line="280" w:lineRule="exact"/>
              <w:jc w:val="left"/>
            </w:pPr>
            <w:r>
              <w:t>N</w:t>
            </w:r>
            <w:r w:rsidR="00040E78">
              <w:t>o additional regulatory impact to manufacturers</w:t>
            </w:r>
            <w:r w:rsidR="00C04EDD">
              <w:t>.</w:t>
            </w:r>
          </w:p>
          <w:p w14:paraId="349974C2" w14:textId="54B00CFB" w:rsidR="000E2955" w:rsidRDefault="000E2955" w:rsidP="00B20812">
            <w:pPr>
              <w:pStyle w:val="Bullet"/>
              <w:widowControl w:val="0"/>
              <w:numPr>
                <w:ilvl w:val="0"/>
                <w:numId w:val="12"/>
              </w:numPr>
              <w:spacing w:before="120" w:line="280" w:lineRule="exact"/>
              <w:jc w:val="left"/>
            </w:pPr>
            <w:r>
              <w:t>No additional costs.</w:t>
            </w:r>
          </w:p>
        </w:tc>
        <w:tc>
          <w:tcPr>
            <w:tcW w:w="2500" w:type="pct"/>
          </w:tcPr>
          <w:p w14:paraId="7E20F410" w14:textId="637BAE13" w:rsidR="00040E78" w:rsidRDefault="000E2955" w:rsidP="00B20812">
            <w:pPr>
              <w:pStyle w:val="Bullet"/>
              <w:widowControl w:val="0"/>
              <w:numPr>
                <w:ilvl w:val="0"/>
                <w:numId w:val="12"/>
              </w:numPr>
              <w:spacing w:before="120" w:line="280" w:lineRule="exact"/>
              <w:jc w:val="left"/>
            </w:pPr>
            <w:r>
              <w:t>A significant</w:t>
            </w:r>
            <w:r w:rsidR="00040E78">
              <w:t xml:space="preserve"> proportion of remedies provided by suppliers are not being reimbursed by manufacturers</w:t>
            </w:r>
            <w:r>
              <w:t>.</w:t>
            </w:r>
          </w:p>
          <w:p w14:paraId="514015DA" w14:textId="7E6E53D1" w:rsidR="00040E78" w:rsidRDefault="00040E78" w:rsidP="00B20812">
            <w:pPr>
              <w:pStyle w:val="Bullet"/>
              <w:widowControl w:val="0"/>
              <w:numPr>
                <w:ilvl w:val="0"/>
                <w:numId w:val="12"/>
              </w:numPr>
              <w:spacing w:before="120" w:line="280" w:lineRule="exact"/>
              <w:jc w:val="left"/>
            </w:pPr>
            <w:r>
              <w:t>Consumers do not receive remedies from a supplier to which they are entitled because of concerns the supplier has about being able to receive indemnification from the manufacturer</w:t>
            </w:r>
            <w:r w:rsidR="000E2955">
              <w:t>.</w:t>
            </w:r>
          </w:p>
        </w:tc>
      </w:tr>
    </w:tbl>
    <w:p w14:paraId="26F56CF1" w14:textId="77777777" w:rsidR="00EA5B49" w:rsidRDefault="00EA5B49">
      <w:pPr>
        <w:spacing w:before="0" w:after="160" w:line="259" w:lineRule="auto"/>
      </w:pPr>
      <w: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040E78" w14:paraId="3C0C959C" w14:textId="77777777" w:rsidTr="00040E78">
        <w:tc>
          <w:tcPr>
            <w:tcW w:w="9016" w:type="dxa"/>
            <w:shd w:val="clear" w:color="auto" w:fill="F2F2F2" w:themeFill="background1" w:themeFillShade="F2"/>
          </w:tcPr>
          <w:p w14:paraId="5CEC779B" w14:textId="77777777" w:rsidR="00040E78" w:rsidRPr="00BC4F0D" w:rsidRDefault="00040E78" w:rsidP="005A1DCE">
            <w:pPr>
              <w:pStyle w:val="Bullet"/>
              <w:numPr>
                <w:ilvl w:val="0"/>
                <w:numId w:val="0"/>
              </w:numPr>
              <w:ind w:left="425" w:hanging="425"/>
              <w:rPr>
                <w:b/>
                <w:sz w:val="22"/>
                <w:szCs w:val="28"/>
              </w:rPr>
            </w:pPr>
            <w:r w:rsidRPr="00BC4F0D">
              <w:rPr>
                <w:b/>
                <w:sz w:val="22"/>
                <w:szCs w:val="28"/>
              </w:rPr>
              <w:lastRenderedPageBreak/>
              <w:t>Focus Questions:</w:t>
            </w:r>
          </w:p>
          <w:p w14:paraId="76B55477" w14:textId="30AB766D" w:rsidR="00040E78" w:rsidRPr="00BC4F0D" w:rsidRDefault="00942882" w:rsidP="004A3FDA">
            <w:pPr>
              <w:pStyle w:val="Bullet"/>
              <w:widowControl w:val="0"/>
              <w:numPr>
                <w:ilvl w:val="0"/>
                <w:numId w:val="37"/>
              </w:numPr>
              <w:spacing w:before="120" w:after="240" w:line="280" w:lineRule="exact"/>
              <w:rPr>
                <w:sz w:val="22"/>
                <w:szCs w:val="28"/>
              </w:rPr>
            </w:pPr>
            <w:r w:rsidRPr="00BC4F0D">
              <w:rPr>
                <w:sz w:val="22"/>
                <w:szCs w:val="28"/>
              </w:rPr>
              <w:t xml:space="preserve">Please provide any relevant information or data </w:t>
            </w:r>
            <w:r w:rsidR="00040E78" w:rsidRPr="00BC4F0D">
              <w:rPr>
                <w:sz w:val="22"/>
                <w:szCs w:val="28"/>
              </w:rPr>
              <w:t>you have that quantifies the extent of manufacturers not indemnifying suppliers, or making it difficult for suppliers to obtain indemnification?</w:t>
            </w:r>
          </w:p>
          <w:p w14:paraId="25764D4C" w14:textId="54367D29" w:rsidR="00040E78" w:rsidRPr="00BC4F0D" w:rsidRDefault="00942882" w:rsidP="004A3FDA">
            <w:pPr>
              <w:pStyle w:val="Bullet"/>
              <w:widowControl w:val="0"/>
              <w:numPr>
                <w:ilvl w:val="0"/>
                <w:numId w:val="37"/>
              </w:numPr>
              <w:spacing w:before="120" w:after="240" w:line="280" w:lineRule="exact"/>
              <w:rPr>
                <w:sz w:val="22"/>
                <w:szCs w:val="28"/>
              </w:rPr>
            </w:pPr>
            <w:r w:rsidRPr="00BC4F0D">
              <w:rPr>
                <w:sz w:val="22"/>
                <w:szCs w:val="28"/>
              </w:rPr>
              <w:t xml:space="preserve">Please provide any relevant information or data </w:t>
            </w:r>
            <w:r w:rsidR="00040E78" w:rsidRPr="00BC4F0D">
              <w:rPr>
                <w:sz w:val="22"/>
                <w:szCs w:val="28"/>
              </w:rPr>
              <w:t xml:space="preserve">you </w:t>
            </w:r>
            <w:r w:rsidR="00EA5B49" w:rsidRPr="00BC4F0D">
              <w:rPr>
                <w:sz w:val="22"/>
                <w:szCs w:val="28"/>
              </w:rPr>
              <w:t>have that</w:t>
            </w:r>
            <w:r w:rsidR="00040E78" w:rsidRPr="00BC4F0D">
              <w:rPr>
                <w:sz w:val="22"/>
                <w:szCs w:val="28"/>
              </w:rPr>
              <w:t xml:space="preserve"> quantifies the proportion of suppliers that do not seek indemnification?</w:t>
            </w:r>
          </w:p>
          <w:p w14:paraId="46801E06" w14:textId="6CE73B78" w:rsidR="00040E78" w:rsidRPr="00BC4F0D" w:rsidRDefault="00942882" w:rsidP="004A3FDA">
            <w:pPr>
              <w:pStyle w:val="Bullet"/>
              <w:widowControl w:val="0"/>
              <w:numPr>
                <w:ilvl w:val="0"/>
                <w:numId w:val="37"/>
              </w:numPr>
              <w:spacing w:before="120" w:after="240" w:line="280" w:lineRule="exact"/>
              <w:rPr>
                <w:sz w:val="22"/>
                <w:szCs w:val="28"/>
              </w:rPr>
            </w:pPr>
            <w:r w:rsidRPr="00BC4F0D">
              <w:rPr>
                <w:sz w:val="22"/>
                <w:szCs w:val="28"/>
              </w:rPr>
              <w:t xml:space="preserve">Please provide any relevant information or data </w:t>
            </w:r>
            <w:r w:rsidR="00040E78" w:rsidRPr="00BC4F0D">
              <w:rPr>
                <w:sz w:val="22"/>
                <w:szCs w:val="28"/>
              </w:rPr>
              <w:t xml:space="preserve">you </w:t>
            </w:r>
            <w:r w:rsidR="00EA5B49" w:rsidRPr="00BC4F0D">
              <w:rPr>
                <w:sz w:val="22"/>
                <w:szCs w:val="28"/>
              </w:rPr>
              <w:t>have that</w:t>
            </w:r>
            <w:r w:rsidR="00040E78" w:rsidRPr="00BC4F0D">
              <w:rPr>
                <w:sz w:val="22"/>
                <w:szCs w:val="28"/>
              </w:rPr>
              <w:t xml:space="preserve"> quantifies the proportion of consumer claims that suppliers refuse or do not consider due to the inability or difficulty in obtaining indemnification, or due to fear of retribution?</w:t>
            </w:r>
          </w:p>
        </w:tc>
      </w:tr>
    </w:tbl>
    <w:p w14:paraId="73762F06" w14:textId="2EED4EE9" w:rsidR="009A5ACD" w:rsidRDefault="00702A68" w:rsidP="009A5ACD">
      <w:pPr>
        <w:pStyle w:val="Heading3"/>
      </w:pPr>
      <w:bookmarkStart w:id="206" w:name="_Toc69381081"/>
      <w:bookmarkStart w:id="207" w:name="_Toc69395102"/>
      <w:bookmarkStart w:id="208" w:name="_Toc89700945"/>
      <w:r>
        <w:t xml:space="preserve">Part B, </w:t>
      </w:r>
      <w:r w:rsidR="009A5ACD">
        <w:t>Option 2 –</w:t>
      </w:r>
      <w:r w:rsidR="003F2FDA">
        <w:t xml:space="preserve"> </w:t>
      </w:r>
      <w:r w:rsidR="009A5ACD" w:rsidRPr="000D1B7D">
        <w:t xml:space="preserve">education and </w:t>
      </w:r>
      <w:r w:rsidR="001F245C">
        <w:t>guidance</w:t>
      </w:r>
      <w:r w:rsidR="001F245C" w:rsidRPr="000D1B7D">
        <w:t xml:space="preserve"> </w:t>
      </w:r>
      <w:r w:rsidR="009A5ACD" w:rsidRPr="000D1B7D">
        <w:t>campaign</w:t>
      </w:r>
      <w:bookmarkEnd w:id="206"/>
      <w:bookmarkEnd w:id="207"/>
      <w:bookmarkEnd w:id="208"/>
    </w:p>
    <w:p w14:paraId="6E5F1167" w14:textId="74EF513C" w:rsidR="00A87003" w:rsidRDefault="00A87003" w:rsidP="00A87003">
      <w:pPr>
        <w:rPr>
          <w:rFonts w:eastAsia="Calibri"/>
        </w:rPr>
      </w:pPr>
      <w:r>
        <w:t>This option aims to</w:t>
      </w:r>
      <w:r w:rsidRPr="003F1F0D">
        <w:t xml:space="preserve"> </w:t>
      </w:r>
      <w:r>
        <w:t xml:space="preserve">improve the knowledge of suppliers and manufacturers about the supplier indemnification </w:t>
      </w:r>
      <w:r w:rsidR="00EA5B49">
        <w:t>obligations,</w:t>
      </w:r>
      <w:r>
        <w:t xml:space="preserve"> so suppliers are more confident in seeking indemnification for remedies involving genuine manufacturer faults and manufacturers have greater awareness of their obligations to provide that indemnification.</w:t>
      </w:r>
    </w:p>
    <w:p w14:paraId="4F39BB70" w14:textId="0ED96E24" w:rsidR="00ED74BA" w:rsidRDefault="00ED74BA" w:rsidP="00ED74BA">
      <w:pPr>
        <w:rPr>
          <w:rFonts w:eastAsia="Calibri"/>
        </w:rPr>
      </w:pPr>
      <w:r>
        <w:rPr>
          <w:rFonts w:eastAsia="Calibri"/>
        </w:rPr>
        <w:t xml:space="preserve">This option would involve </w:t>
      </w:r>
      <w:r w:rsidR="009A16AA">
        <w:rPr>
          <w:rFonts w:eastAsia="Calibri"/>
        </w:rPr>
        <w:t>enhancing existing education materials,</w:t>
      </w:r>
      <w:r w:rsidR="005011DD">
        <w:rPr>
          <w:rFonts w:eastAsia="Calibri"/>
        </w:rPr>
        <w:t> </w:t>
      </w:r>
      <w:r w:rsidR="009A16AA">
        <w:rPr>
          <w:rStyle w:val="FootnoteReference"/>
          <w:rFonts w:eastAsia="Calibri"/>
        </w:rPr>
        <w:footnoteReference w:id="97"/>
      </w:r>
      <w:r w:rsidR="009A16AA">
        <w:rPr>
          <w:rFonts w:eastAsia="Calibri"/>
        </w:rPr>
        <w:t xml:space="preserve"> developing additional guidance and</w:t>
      </w:r>
      <w:r>
        <w:rPr>
          <w:rFonts w:eastAsia="Calibri"/>
        </w:rPr>
        <w:t xml:space="preserve"> developing a</w:t>
      </w:r>
      <w:r w:rsidRPr="00E9234D">
        <w:rPr>
          <w:rFonts w:eastAsia="Calibri"/>
        </w:rPr>
        <w:t xml:space="preserve"> </w:t>
      </w:r>
      <w:r w:rsidR="00EA5B49">
        <w:rPr>
          <w:rFonts w:eastAsia="Calibri"/>
        </w:rPr>
        <w:t>three-month</w:t>
      </w:r>
      <w:r>
        <w:rPr>
          <w:rFonts w:eastAsia="Calibri"/>
        </w:rPr>
        <w:t xml:space="preserve"> </w:t>
      </w:r>
      <w:r w:rsidRPr="00E9234D">
        <w:rPr>
          <w:rFonts w:eastAsia="Calibri"/>
        </w:rPr>
        <w:t>education</w:t>
      </w:r>
      <w:r w:rsidR="001F245C">
        <w:rPr>
          <w:rFonts w:eastAsia="Calibri"/>
        </w:rPr>
        <w:t xml:space="preserve"> and guidance </w:t>
      </w:r>
      <w:r w:rsidRPr="00E9234D">
        <w:rPr>
          <w:rFonts w:eastAsia="Calibri"/>
        </w:rPr>
        <w:t>campaign for business</w:t>
      </w:r>
      <w:r>
        <w:rPr>
          <w:rFonts w:eastAsia="Calibri"/>
        </w:rPr>
        <w:t>es disseminated via industry associations</w:t>
      </w:r>
      <w:r w:rsidRPr="00E9234D">
        <w:rPr>
          <w:rFonts w:eastAsia="Calibri"/>
        </w:rPr>
        <w:t xml:space="preserve">. </w:t>
      </w:r>
    </w:p>
    <w:p w14:paraId="74D8A5D4" w14:textId="3F8F66A2" w:rsidR="00ED74BA" w:rsidRDefault="00ED74BA" w:rsidP="00ED74BA">
      <w:pPr>
        <w:rPr>
          <w:rFonts w:eastAsia="Calibri"/>
        </w:rPr>
      </w:pPr>
      <w:r>
        <w:rPr>
          <w:rFonts w:eastAsia="Calibri"/>
        </w:rPr>
        <w:t xml:space="preserve">The guidance material could include information about the scope of the supplier indemnification provisions, including the costs suppliers can recover from manufacturers and in what circumstances. The guidance could also note </w:t>
      </w:r>
      <w:r w:rsidR="003B0807">
        <w:rPr>
          <w:rFonts w:eastAsia="Calibri"/>
        </w:rPr>
        <w:t xml:space="preserve">retaliatory </w:t>
      </w:r>
      <w:r>
        <w:rPr>
          <w:rFonts w:eastAsia="Calibri"/>
        </w:rPr>
        <w:t>action by manufacturers may amount to unconscionable conduct.</w:t>
      </w:r>
      <w:r w:rsidR="004918C9">
        <w:rPr>
          <w:rFonts w:eastAsia="Calibri"/>
        </w:rPr>
        <w:t> </w:t>
      </w:r>
      <w:r>
        <w:rPr>
          <w:rStyle w:val="FootnoteReference"/>
          <w:rFonts w:eastAsia="Calibri"/>
        </w:rPr>
        <w:footnoteReference w:id="98"/>
      </w:r>
      <w:r>
        <w:rPr>
          <w:rFonts w:eastAsia="Calibri"/>
        </w:rPr>
        <w:t xml:space="preserve"> </w:t>
      </w:r>
      <w:r w:rsidRPr="00E9234D">
        <w:rPr>
          <w:rFonts w:eastAsia="Calibri"/>
        </w:rPr>
        <w:t>Different educational</w:t>
      </w:r>
      <w:r w:rsidR="001F245C">
        <w:rPr>
          <w:rFonts w:eastAsia="Calibri"/>
        </w:rPr>
        <w:t xml:space="preserve"> and guidance</w:t>
      </w:r>
      <w:r w:rsidRPr="00E9234D">
        <w:rPr>
          <w:rFonts w:eastAsia="Calibri"/>
        </w:rPr>
        <w:t xml:space="preserve"> material may be required for manufacturers and for suppliers. </w:t>
      </w:r>
    </w:p>
    <w:p w14:paraId="365EB6AB" w14:textId="7B612ADE" w:rsidR="00ED74BA" w:rsidRDefault="00ED74BA" w:rsidP="00ED74BA">
      <w:pPr>
        <w:rPr>
          <w:rFonts w:eastAsia="Calibri"/>
        </w:rPr>
      </w:pPr>
      <w:r>
        <w:rPr>
          <w:rFonts w:eastAsia="Calibri"/>
        </w:rPr>
        <w:t xml:space="preserve">The guidance could clarify </w:t>
      </w:r>
      <w:r w:rsidRPr="00E9234D">
        <w:rPr>
          <w:rFonts w:eastAsia="Calibri"/>
        </w:rPr>
        <w:t>a supplier’s costs from remedying a faulty product can include labour costs (and not just replacem</w:t>
      </w:r>
      <w:r>
        <w:rPr>
          <w:rFonts w:eastAsia="Calibri"/>
        </w:rPr>
        <w:t xml:space="preserve">ent parts or the refund itself), as </w:t>
      </w:r>
      <w:r w:rsidRPr="00E9234D">
        <w:rPr>
          <w:rFonts w:eastAsia="Calibri"/>
        </w:rPr>
        <w:t>was</w:t>
      </w:r>
      <w:r>
        <w:rPr>
          <w:rFonts w:eastAsia="Calibri"/>
        </w:rPr>
        <w:t xml:space="preserve"> proposed by the </w:t>
      </w:r>
      <w:r w:rsidRPr="003745D6">
        <w:rPr>
          <w:rFonts w:eastAsia="Calibri"/>
        </w:rPr>
        <w:t>Western Australian Small Business Development Corporation</w:t>
      </w:r>
      <w:r w:rsidR="004918C9">
        <w:rPr>
          <w:rFonts w:eastAsia="Calibri"/>
        </w:rPr>
        <w:t>. </w:t>
      </w:r>
      <w:r w:rsidRPr="00E9234D">
        <w:rPr>
          <w:rFonts w:eastAsia="Calibri"/>
          <w:vertAlign w:val="superscript"/>
        </w:rPr>
        <w:footnoteReference w:id="99"/>
      </w:r>
    </w:p>
    <w:p w14:paraId="6A929350" w14:textId="46631AB1" w:rsidR="00ED74BA" w:rsidRDefault="002F5EEB" w:rsidP="00ED74BA">
      <w:pPr>
        <w:rPr>
          <w:rFonts w:eastAsia="Calibri"/>
        </w:rPr>
      </w:pPr>
      <w:r>
        <w:rPr>
          <w:rFonts w:eastAsia="Calibri"/>
        </w:rPr>
        <w:t>E</w:t>
      </w:r>
      <w:r w:rsidR="00ED74BA">
        <w:rPr>
          <w:rFonts w:eastAsia="Calibri"/>
        </w:rPr>
        <w:t xml:space="preserve">ducation and guidance </w:t>
      </w:r>
      <w:r w:rsidRPr="00E9234D">
        <w:rPr>
          <w:rFonts w:eastAsia="Calibri"/>
        </w:rPr>
        <w:t xml:space="preserve">may </w:t>
      </w:r>
      <w:r>
        <w:rPr>
          <w:rFonts w:eastAsia="Calibri"/>
        </w:rPr>
        <w:t xml:space="preserve">raise awareness and </w:t>
      </w:r>
      <w:r w:rsidRPr="00E9234D">
        <w:rPr>
          <w:rFonts w:eastAsia="Calibri"/>
        </w:rPr>
        <w:t xml:space="preserve">encourage manufacturers </w:t>
      </w:r>
      <w:r>
        <w:rPr>
          <w:rFonts w:eastAsia="Calibri"/>
        </w:rPr>
        <w:t xml:space="preserve">to improve their compliance of the indemnification </w:t>
      </w:r>
      <w:r w:rsidR="00E73C9D">
        <w:rPr>
          <w:rFonts w:eastAsia="Calibri"/>
        </w:rPr>
        <w:t xml:space="preserve">provisions. However, it is noted this option alone may have </w:t>
      </w:r>
      <w:r w:rsidR="00E73C9D">
        <w:rPr>
          <w:rFonts w:eastAsia="Calibri"/>
        </w:rPr>
        <w:lastRenderedPageBreak/>
        <w:t xml:space="preserve">limited effect in cases where </w:t>
      </w:r>
      <w:r w:rsidR="00ED74BA" w:rsidRPr="00E9234D">
        <w:rPr>
          <w:rFonts w:eastAsia="Calibri"/>
        </w:rPr>
        <w:t>m</w:t>
      </w:r>
      <w:r w:rsidR="00ED74BA">
        <w:rPr>
          <w:rFonts w:eastAsia="Calibri"/>
        </w:rPr>
        <w:t xml:space="preserve">anufacturers </w:t>
      </w:r>
      <w:r w:rsidR="00E73C9D">
        <w:rPr>
          <w:rFonts w:eastAsia="Calibri"/>
        </w:rPr>
        <w:t>are already aware of, or become aware of</w:t>
      </w:r>
      <w:r w:rsidR="00EA5B49">
        <w:rPr>
          <w:rFonts w:eastAsia="Calibri"/>
        </w:rPr>
        <w:t>,</w:t>
      </w:r>
      <w:r w:rsidR="00E73C9D">
        <w:rPr>
          <w:rFonts w:eastAsia="Calibri"/>
        </w:rPr>
        <w:t xml:space="preserve"> the indemnification provision but chose to</w:t>
      </w:r>
      <w:r w:rsidR="00ED74BA">
        <w:rPr>
          <w:rFonts w:eastAsia="Calibri"/>
        </w:rPr>
        <w:t xml:space="preserve"> dismiss</w:t>
      </w:r>
      <w:r w:rsidR="00ED74BA" w:rsidRPr="00E9234D">
        <w:rPr>
          <w:rFonts w:eastAsia="Calibri"/>
        </w:rPr>
        <w:t xml:space="preserve"> </w:t>
      </w:r>
      <w:r w:rsidR="00ED74BA">
        <w:rPr>
          <w:rFonts w:eastAsia="Calibri"/>
        </w:rPr>
        <w:t>and/or retaliate against indemnification requests</w:t>
      </w:r>
      <w:r w:rsidR="00ED74BA" w:rsidRPr="00E9234D">
        <w:rPr>
          <w:rFonts w:eastAsia="Calibri"/>
        </w:rPr>
        <w:t xml:space="preserve">. </w:t>
      </w:r>
    </w:p>
    <w:p w14:paraId="142A520F" w14:textId="77777777" w:rsidR="00ED74BA" w:rsidRDefault="00ED74BA" w:rsidP="00ED74BA">
      <w:r>
        <w:t>This option can be applied in one of two ways:</w:t>
      </w:r>
    </w:p>
    <w:p w14:paraId="369AD5CD" w14:textId="77777777" w:rsidR="00ED74BA" w:rsidRDefault="00ED74BA" w:rsidP="004A3FDA">
      <w:pPr>
        <w:pStyle w:val="ListParagraph"/>
        <w:numPr>
          <w:ilvl w:val="0"/>
          <w:numId w:val="20"/>
        </w:numPr>
        <w:spacing w:before="0" w:after="200" w:line="276" w:lineRule="auto"/>
      </w:pPr>
      <w:r>
        <w:t>economy wide; or</w:t>
      </w:r>
    </w:p>
    <w:p w14:paraId="6D08F6D5" w14:textId="77777777" w:rsidR="00ED74BA" w:rsidRDefault="00ED74BA" w:rsidP="004A3FDA">
      <w:pPr>
        <w:pStyle w:val="ListParagraph"/>
        <w:numPr>
          <w:ilvl w:val="0"/>
          <w:numId w:val="20"/>
        </w:numPr>
        <w:spacing w:before="0" w:after="200" w:line="276" w:lineRule="auto"/>
      </w:pPr>
      <w:r>
        <w:t>to new motor vehicles only.</w:t>
      </w:r>
    </w:p>
    <w:p w14:paraId="7121A289" w14:textId="47A2CA7F" w:rsidR="00ED74BA" w:rsidRDefault="0023089A" w:rsidP="00ED74BA">
      <w:pPr>
        <w:pStyle w:val="Heading4"/>
      </w:pPr>
      <w:r>
        <w:t>Estimated c</w:t>
      </w:r>
      <w:r w:rsidR="00ED74BA">
        <w:t>ost and benefit</w:t>
      </w:r>
      <w:r w:rsidR="00156745">
        <w:t xml:space="preserve"> analysis</w:t>
      </w:r>
    </w:p>
    <w:p w14:paraId="2366E118" w14:textId="38D926D8" w:rsidR="0053339F" w:rsidRDefault="0053339F" w:rsidP="00320C61">
      <w:pPr>
        <w:rPr>
          <w:rFonts w:eastAsia="Calibri"/>
        </w:rPr>
      </w:pPr>
      <w:r w:rsidRPr="0053339F">
        <w:rPr>
          <w:rFonts w:eastAsia="Calibri"/>
        </w:rPr>
        <w:t>This option is premised that by redu</w:t>
      </w:r>
      <w:r>
        <w:rPr>
          <w:rFonts w:eastAsia="Calibri"/>
        </w:rPr>
        <w:t xml:space="preserve">cing the knowledge barriers around supplier indemnification, an education </w:t>
      </w:r>
      <w:r w:rsidR="001F245C">
        <w:rPr>
          <w:rFonts w:eastAsia="Calibri"/>
        </w:rPr>
        <w:t xml:space="preserve">and guidance </w:t>
      </w:r>
      <w:r>
        <w:rPr>
          <w:rFonts w:eastAsia="Calibri"/>
        </w:rPr>
        <w:t>campaign would increase indemnification from manufacturers to suppliers.</w:t>
      </w:r>
    </w:p>
    <w:p w14:paraId="40688EA0" w14:textId="4D16A3C1" w:rsidR="00E90049" w:rsidRPr="00E90049" w:rsidRDefault="00ED71CD" w:rsidP="00E90049">
      <w:pPr>
        <w:rPr>
          <w:rFonts w:eastAsia="Calibri"/>
        </w:rPr>
      </w:pPr>
      <w:r w:rsidRPr="00ED71CD">
        <w:rPr>
          <w:rFonts w:eastAsia="Calibri"/>
        </w:rPr>
        <w:t xml:space="preserve">The guidance would clarify the existing law, with the aim of reducing the number of instances where manufacturers do not provide indemnification and where they threaten retaliation. However, the success of the campaign </w:t>
      </w:r>
      <w:r w:rsidR="005668E0">
        <w:rPr>
          <w:rFonts w:eastAsia="Calibri"/>
        </w:rPr>
        <w:t>may be</w:t>
      </w:r>
      <w:r w:rsidRPr="00ED71CD">
        <w:rPr>
          <w:rFonts w:eastAsia="Calibri"/>
        </w:rPr>
        <w:t xml:space="preserve"> limited as there is no change in the law, and those currently not complying may continue not to do so. </w:t>
      </w:r>
      <w:r>
        <w:rPr>
          <w:rFonts w:eastAsia="Calibri"/>
        </w:rPr>
        <w:t xml:space="preserve">The cost benefit analysis therefore assumes </w:t>
      </w:r>
      <w:r w:rsidR="00E90049" w:rsidRPr="00E90049">
        <w:rPr>
          <w:rFonts w:eastAsia="Calibri"/>
        </w:rPr>
        <w:t xml:space="preserve">the education </w:t>
      </w:r>
      <w:r w:rsidR="001F245C">
        <w:rPr>
          <w:rFonts w:eastAsia="Calibri"/>
        </w:rPr>
        <w:t xml:space="preserve">and guidance </w:t>
      </w:r>
      <w:r w:rsidR="00E90049" w:rsidRPr="00E90049">
        <w:rPr>
          <w:rFonts w:eastAsia="Calibri"/>
        </w:rPr>
        <w:t>campaign results in a 15</w:t>
      </w:r>
      <w:r w:rsidR="003A48A8">
        <w:rPr>
          <w:rFonts w:eastAsia="Calibri"/>
        </w:rPr>
        <w:t xml:space="preserve"> per cent</w:t>
      </w:r>
      <w:r w:rsidR="00E90049" w:rsidRPr="00E90049">
        <w:rPr>
          <w:rFonts w:eastAsia="Calibri"/>
        </w:rPr>
        <w:t xml:space="preserve"> improvement in both</w:t>
      </w:r>
      <w:r w:rsidRPr="00ED71CD">
        <w:rPr>
          <w:rFonts w:eastAsia="Calibri"/>
        </w:rPr>
        <w:t xml:space="preserve"> </w:t>
      </w:r>
      <w:r w:rsidRPr="00E90049">
        <w:rPr>
          <w:rFonts w:eastAsia="Calibri"/>
        </w:rPr>
        <w:t xml:space="preserve">suppliers not being indemnified appropriately </w:t>
      </w:r>
      <w:r>
        <w:rPr>
          <w:rFonts w:eastAsia="Calibri"/>
        </w:rPr>
        <w:t>and</w:t>
      </w:r>
      <w:r w:rsidR="00E90049" w:rsidRPr="00E90049">
        <w:rPr>
          <w:rFonts w:eastAsia="Calibri"/>
        </w:rPr>
        <w:t xml:space="preserve"> the risk of manufacturer retaliation against suppliers. </w:t>
      </w:r>
      <w:r>
        <w:rPr>
          <w:rFonts w:eastAsia="Calibri"/>
        </w:rPr>
        <w:t xml:space="preserve">It is also assumed the </w:t>
      </w:r>
      <w:r w:rsidRPr="00D07004">
        <w:rPr>
          <w:rFonts w:eastAsia="Calibri"/>
        </w:rPr>
        <w:t xml:space="preserve">effect of education </w:t>
      </w:r>
      <w:r w:rsidR="001F245C">
        <w:rPr>
          <w:rFonts w:eastAsia="Calibri"/>
        </w:rPr>
        <w:t xml:space="preserve">and guidance </w:t>
      </w:r>
      <w:r w:rsidRPr="00D07004">
        <w:rPr>
          <w:rFonts w:eastAsia="Calibri"/>
        </w:rPr>
        <w:t>exhausts itself by 2024-25</w:t>
      </w:r>
      <w:r w:rsidR="00E90049" w:rsidRPr="00E90049">
        <w:rPr>
          <w:rFonts w:eastAsia="Calibri"/>
        </w:rPr>
        <w:t>. That is:</w:t>
      </w:r>
    </w:p>
    <w:p w14:paraId="02D4E6BB" w14:textId="3283D38C" w:rsidR="0053339F" w:rsidRDefault="00E90049" w:rsidP="00E90049">
      <w:pPr>
        <w:rPr>
          <w:rFonts w:eastAsia="Calibri"/>
        </w:rPr>
      </w:pPr>
      <w:r w:rsidRPr="00E90049">
        <w:rPr>
          <w:rFonts w:eastAsia="Calibri"/>
        </w:rPr>
        <w:t>•</w:t>
      </w:r>
      <w:r w:rsidRPr="00E90049">
        <w:rPr>
          <w:rFonts w:eastAsia="Calibri"/>
        </w:rPr>
        <w:tab/>
        <w:t>The likelihood of being indemnified where a supplier seeks indemnification from the manufacturer increases from 80</w:t>
      </w:r>
      <w:r w:rsidR="003A48A8">
        <w:rPr>
          <w:rFonts w:eastAsia="Calibri"/>
        </w:rPr>
        <w:t xml:space="preserve"> per cent</w:t>
      </w:r>
      <w:r w:rsidRPr="00E90049">
        <w:rPr>
          <w:rFonts w:eastAsia="Calibri"/>
        </w:rPr>
        <w:t xml:space="preserve"> to 83</w:t>
      </w:r>
      <w:r w:rsidR="003A48A8">
        <w:rPr>
          <w:rFonts w:eastAsia="Calibri"/>
        </w:rPr>
        <w:t xml:space="preserve"> per cent</w:t>
      </w:r>
      <w:r w:rsidRPr="00E90049">
        <w:rPr>
          <w:rFonts w:eastAsia="Calibri"/>
        </w:rPr>
        <w:t xml:space="preserve"> in 2021-22, gradually returning to 80</w:t>
      </w:r>
      <w:r w:rsidR="003A48A8">
        <w:rPr>
          <w:rFonts w:eastAsia="Calibri"/>
        </w:rPr>
        <w:t xml:space="preserve"> per cent</w:t>
      </w:r>
      <w:r w:rsidRPr="00E90049">
        <w:rPr>
          <w:rFonts w:eastAsia="Calibri"/>
        </w:rPr>
        <w:t xml:space="preserve"> in 2024-25 onwards.</w:t>
      </w:r>
    </w:p>
    <w:p w14:paraId="4A8F7D17" w14:textId="44C82285" w:rsidR="00380BA8" w:rsidRPr="00E90049" w:rsidRDefault="00380BA8" w:rsidP="00380BA8">
      <w:pPr>
        <w:rPr>
          <w:rFonts w:eastAsia="Calibri"/>
        </w:rPr>
      </w:pPr>
      <w:r w:rsidRPr="00E90049">
        <w:rPr>
          <w:rFonts w:eastAsia="Calibri"/>
        </w:rPr>
        <w:t>•</w:t>
      </w:r>
      <w:r w:rsidRPr="00E90049">
        <w:rPr>
          <w:rFonts w:eastAsia="Calibri"/>
        </w:rPr>
        <w:tab/>
        <w:t>The likelihood of retaliation against a supplier decreases from 10</w:t>
      </w:r>
      <w:r w:rsidR="003A48A8">
        <w:rPr>
          <w:rFonts w:eastAsia="Calibri"/>
        </w:rPr>
        <w:t xml:space="preserve"> per cent</w:t>
      </w:r>
      <w:r w:rsidRPr="00E90049">
        <w:rPr>
          <w:rFonts w:eastAsia="Calibri"/>
        </w:rPr>
        <w:t xml:space="preserve"> to 8.5</w:t>
      </w:r>
      <w:r w:rsidR="003A48A8">
        <w:rPr>
          <w:rFonts w:eastAsia="Calibri"/>
        </w:rPr>
        <w:t xml:space="preserve"> per cent</w:t>
      </w:r>
      <w:r w:rsidRPr="00E90049">
        <w:rPr>
          <w:rFonts w:eastAsia="Calibri"/>
        </w:rPr>
        <w:t xml:space="preserve"> in 2021-22, returning gradually to 10</w:t>
      </w:r>
      <w:r w:rsidR="003A48A8">
        <w:rPr>
          <w:rFonts w:eastAsia="Calibri"/>
        </w:rPr>
        <w:t xml:space="preserve"> per cent</w:t>
      </w:r>
      <w:r w:rsidRPr="00E90049">
        <w:rPr>
          <w:rFonts w:eastAsia="Calibri"/>
        </w:rPr>
        <w:t xml:space="preserve"> by 2024-25. This increases the rate at which suppliers seek indemnification from 90</w:t>
      </w:r>
      <w:r w:rsidR="003A48A8">
        <w:rPr>
          <w:rFonts w:eastAsia="Calibri"/>
        </w:rPr>
        <w:t xml:space="preserve"> per cent</w:t>
      </w:r>
      <w:r w:rsidRPr="00E90049">
        <w:rPr>
          <w:rFonts w:eastAsia="Calibri"/>
        </w:rPr>
        <w:t xml:space="preserve"> to 91.5</w:t>
      </w:r>
      <w:r w:rsidR="003A48A8">
        <w:rPr>
          <w:rFonts w:eastAsia="Calibri"/>
        </w:rPr>
        <w:t xml:space="preserve"> per cent</w:t>
      </w:r>
      <w:r w:rsidRPr="00E90049">
        <w:rPr>
          <w:rFonts w:eastAsia="Calibri"/>
        </w:rPr>
        <w:t xml:space="preserve"> in 2021-22, gradually returning to 90</w:t>
      </w:r>
      <w:r w:rsidR="003A48A8">
        <w:rPr>
          <w:rFonts w:eastAsia="Calibri"/>
        </w:rPr>
        <w:t xml:space="preserve"> per cent</w:t>
      </w:r>
      <w:r w:rsidRPr="00E90049">
        <w:rPr>
          <w:rFonts w:eastAsia="Calibri"/>
        </w:rPr>
        <w:t>, where it remains from 2024-25 onwards.</w:t>
      </w:r>
    </w:p>
    <w:p w14:paraId="1140F317" w14:textId="024730C7" w:rsidR="00A86F78" w:rsidRDefault="00A86F78" w:rsidP="00A86F78">
      <w:r w:rsidRPr="00E90049">
        <w:t xml:space="preserve">Appropriate </w:t>
      </w:r>
      <w:r>
        <w:t>reimbursement</w:t>
      </w:r>
      <w:r w:rsidRPr="00E90049">
        <w:t xml:space="preserve"> from manufacturers to suppliers represents a </w:t>
      </w:r>
      <w:r>
        <w:t>slight, time</w:t>
      </w:r>
      <w:r w:rsidR="00E22B89">
        <w:t>-</w:t>
      </w:r>
      <w:r>
        <w:t xml:space="preserve">limited </w:t>
      </w:r>
      <w:r w:rsidRPr="00E90049">
        <w:t xml:space="preserve">shift in costs from suppliers to manufacturers. </w:t>
      </w:r>
      <w:r>
        <w:t>The slight, time</w:t>
      </w:r>
      <w:r w:rsidR="00E22B89">
        <w:t>-</w:t>
      </w:r>
      <w:r>
        <w:t>limited increase in indemnification provided by manufacturers results in a saving of time by suppliers. It is assumed that suppliers save one hour in time negotiating with manufacturers in each case indemnification is required.</w:t>
      </w:r>
    </w:p>
    <w:p w14:paraId="03BA839D" w14:textId="5C9FAC19" w:rsidR="00A86F78" w:rsidRDefault="00A86F78" w:rsidP="00A86F78">
      <w:r>
        <w:t>Th</w:t>
      </w:r>
      <w:r w:rsidR="00E22B89">
        <w:t xml:space="preserve">is is expected </w:t>
      </w:r>
      <w:r w:rsidR="00374D80">
        <w:t>to provide</w:t>
      </w:r>
      <w:r>
        <w:t xml:space="preserve"> suppliers with more confidence to provide consumers with remedies. More remedies being provided to consumers increases utility for those consumers who receive a remedy they would not have received under the status quo. However, no time saving is assumed for these consumers in this case, as it is not clear the extent to which this would occur. </w:t>
      </w:r>
    </w:p>
    <w:p w14:paraId="7656173E" w14:textId="4F521C91" w:rsidR="00ED74BA" w:rsidRDefault="00ED74BA" w:rsidP="00ED74BA">
      <w:pPr>
        <w:pStyle w:val="Heading5"/>
      </w:pPr>
      <w:r>
        <w:lastRenderedPageBreak/>
        <w:t>a)</w:t>
      </w:r>
      <w:r w:rsidRPr="008938C2">
        <w:t xml:space="preserve"> Economy wide approach</w:t>
      </w:r>
    </w:p>
    <w:p w14:paraId="04877F6B" w14:textId="0C2329A6" w:rsidR="00A273E9" w:rsidRPr="00A273E9" w:rsidRDefault="00127518" w:rsidP="00F304AA">
      <w:pPr>
        <w:rPr>
          <w:rFonts w:eastAsia="Calibri"/>
        </w:rPr>
      </w:pPr>
      <w:r w:rsidRPr="00127518">
        <w:rPr>
          <w:rFonts w:eastAsia="Calibri"/>
        </w:rPr>
        <w:t xml:space="preserve">An economy wide approach to Option 2, an education </w:t>
      </w:r>
      <w:r w:rsidR="001F245C">
        <w:rPr>
          <w:rFonts w:eastAsia="Calibri"/>
        </w:rPr>
        <w:t xml:space="preserve">and guidance </w:t>
      </w:r>
      <w:r w:rsidRPr="00127518">
        <w:rPr>
          <w:rFonts w:eastAsia="Calibri"/>
        </w:rPr>
        <w:t xml:space="preserve">campaign without regulatory change, is estimated to create a net benefit of </w:t>
      </w:r>
      <w:r w:rsidRPr="00A273E9">
        <w:rPr>
          <w:rFonts w:eastAsia="Calibri"/>
        </w:rPr>
        <w:t>$87 million in NPV terms over the 10 years to 2031</w:t>
      </w:r>
      <w:r w:rsidR="00E22B89">
        <w:rPr>
          <w:rFonts w:eastAsia="Calibri"/>
        </w:rPr>
        <w:t>, with</w:t>
      </w:r>
      <w:r>
        <w:rPr>
          <w:rFonts w:eastAsia="Calibri"/>
        </w:rPr>
        <w:t xml:space="preserve"> a </w:t>
      </w:r>
      <w:r w:rsidRPr="00127518">
        <w:rPr>
          <w:rFonts w:eastAsia="Calibri"/>
        </w:rPr>
        <w:t>BCR of 1.8</w:t>
      </w:r>
      <w:r>
        <w:rPr>
          <w:rFonts w:eastAsia="Calibri"/>
        </w:rPr>
        <w:t>.</w:t>
      </w:r>
      <w:r w:rsidR="0030160F" w:rsidRPr="0030160F">
        <w:t xml:space="preserve"> </w:t>
      </w:r>
      <w:r w:rsidR="0030160F" w:rsidRPr="0030160F">
        <w:rPr>
          <w:rFonts w:eastAsia="Calibri"/>
        </w:rPr>
        <w:t>This comprises benefits of $1</w:t>
      </w:r>
      <w:r w:rsidR="0030160F">
        <w:rPr>
          <w:rFonts w:eastAsia="Calibri"/>
        </w:rPr>
        <w:t>97</w:t>
      </w:r>
      <w:r w:rsidR="0030160F" w:rsidRPr="0030160F">
        <w:rPr>
          <w:rFonts w:eastAsia="Calibri"/>
        </w:rPr>
        <w:t xml:space="preserve"> million in NPV terms and costs of $</w:t>
      </w:r>
      <w:r w:rsidR="0030160F">
        <w:rPr>
          <w:rFonts w:eastAsia="Calibri"/>
        </w:rPr>
        <w:t>110</w:t>
      </w:r>
      <w:r w:rsidR="0030160F" w:rsidRPr="0030160F">
        <w:rPr>
          <w:rFonts w:eastAsia="Calibri"/>
        </w:rPr>
        <w:t xml:space="preserve"> million in NPV terms over this period.</w:t>
      </w:r>
      <w:r w:rsidR="0053339F">
        <w:rPr>
          <w:rFonts w:eastAsia="Calibri"/>
        </w:rPr>
        <w:t xml:space="preserve"> </w:t>
      </w:r>
      <w:r w:rsidR="00A273E9" w:rsidRPr="00A273E9">
        <w:rPr>
          <w:rFonts w:eastAsia="Calibri"/>
        </w:rPr>
        <w:t xml:space="preserve">Net benefits to suppliers of $33 million in NPV terms result from bearing a smaller share of the cost of providing refunds, replacements and/or repairs to consumers. Some benefit is passed on to consumers estimated at $148 million in NPV terms from accessing a working version of the good purchased (approximated to the average value of goods). </w:t>
      </w:r>
    </w:p>
    <w:p w14:paraId="2FAC83C0" w14:textId="22975A12" w:rsidR="00320C61" w:rsidRDefault="0053339F" w:rsidP="00F304AA">
      <w:pPr>
        <w:rPr>
          <w:rFonts w:eastAsia="Calibri"/>
        </w:rPr>
      </w:pPr>
      <w:r>
        <w:rPr>
          <w:rFonts w:eastAsia="Calibri"/>
        </w:rPr>
        <w:t>O</w:t>
      </w:r>
      <w:r w:rsidR="00320C61" w:rsidRPr="00320C61">
        <w:rPr>
          <w:rFonts w:eastAsia="Calibri"/>
        </w:rPr>
        <w:t xml:space="preserve">ption </w:t>
      </w:r>
      <w:r>
        <w:rPr>
          <w:rFonts w:eastAsia="Calibri"/>
        </w:rPr>
        <w:t xml:space="preserve">2 </w:t>
      </w:r>
      <w:r w:rsidR="00320C61" w:rsidRPr="00320C61">
        <w:rPr>
          <w:rFonts w:eastAsia="Calibri"/>
        </w:rPr>
        <w:t>is also estimated to increase costs for manufacturers who are not meeting their obligations under the status quo - $95 million in NPV terms over the 10 years to 2031. This cost increase also includes the additional remedies that would be provided as suppliers pass on an increased number of remedies to consumers.</w:t>
      </w:r>
    </w:p>
    <w:p w14:paraId="703894F6" w14:textId="64D56EE9" w:rsidR="00ED74BA" w:rsidRPr="000C19B1" w:rsidRDefault="000C19B1" w:rsidP="000C19B1">
      <w:pPr>
        <w:pStyle w:val="Caption"/>
        <w:rPr>
          <w:b/>
          <w:bCs/>
          <w:i w:val="0"/>
          <w:iCs w:val="0"/>
          <w:sz w:val="22"/>
          <w:szCs w:val="22"/>
        </w:rPr>
      </w:pPr>
      <w:bookmarkStart w:id="209" w:name="_Toc87529831"/>
      <w:bookmarkStart w:id="210" w:name="_Toc89700883"/>
      <w:r w:rsidRPr="000C19B1">
        <w:rPr>
          <w:b/>
          <w:bCs/>
          <w:i w:val="0"/>
          <w:iCs w:val="0"/>
          <w:sz w:val="22"/>
          <w:szCs w:val="22"/>
        </w:rPr>
        <w:t xml:space="preserve">Table </w:t>
      </w:r>
      <w:r w:rsidRPr="000C19B1">
        <w:rPr>
          <w:b/>
          <w:bCs/>
          <w:i w:val="0"/>
          <w:iCs w:val="0"/>
          <w:sz w:val="22"/>
          <w:szCs w:val="22"/>
        </w:rPr>
        <w:fldChar w:fldCharType="begin"/>
      </w:r>
      <w:r w:rsidRPr="000C19B1">
        <w:rPr>
          <w:b/>
          <w:bCs/>
          <w:i w:val="0"/>
          <w:iCs w:val="0"/>
          <w:sz w:val="22"/>
          <w:szCs w:val="22"/>
        </w:rPr>
        <w:instrText xml:space="preserve"> SEQ Table \* ARABIC </w:instrText>
      </w:r>
      <w:r w:rsidRPr="000C19B1">
        <w:rPr>
          <w:b/>
          <w:bCs/>
          <w:i w:val="0"/>
          <w:iCs w:val="0"/>
          <w:sz w:val="22"/>
          <w:szCs w:val="22"/>
        </w:rPr>
        <w:fldChar w:fldCharType="separate"/>
      </w:r>
      <w:r w:rsidR="00001633">
        <w:rPr>
          <w:b/>
          <w:bCs/>
          <w:i w:val="0"/>
          <w:iCs w:val="0"/>
          <w:noProof/>
          <w:sz w:val="22"/>
          <w:szCs w:val="22"/>
        </w:rPr>
        <w:t>11</w:t>
      </w:r>
      <w:r w:rsidRPr="000C19B1">
        <w:rPr>
          <w:b/>
          <w:bCs/>
          <w:i w:val="0"/>
          <w:iCs w:val="0"/>
          <w:sz w:val="22"/>
          <w:szCs w:val="22"/>
        </w:rPr>
        <w:fldChar w:fldCharType="end"/>
      </w:r>
      <w:r w:rsidRPr="000C19B1">
        <w:rPr>
          <w:b/>
          <w:bCs/>
          <w:i w:val="0"/>
          <w:iCs w:val="0"/>
          <w:sz w:val="22"/>
          <w:szCs w:val="22"/>
        </w:rPr>
        <w:t xml:space="preserve">: </w:t>
      </w:r>
      <w:r w:rsidR="00C04EDD">
        <w:rPr>
          <w:b/>
          <w:bCs/>
          <w:i w:val="0"/>
          <w:iCs w:val="0"/>
          <w:sz w:val="22"/>
          <w:szCs w:val="22"/>
        </w:rPr>
        <w:t>L</w:t>
      </w:r>
      <w:r w:rsidR="00320C61" w:rsidRPr="000C19B1">
        <w:rPr>
          <w:b/>
          <w:bCs/>
          <w:i w:val="0"/>
          <w:iCs w:val="0"/>
          <w:sz w:val="22"/>
          <w:szCs w:val="22"/>
        </w:rPr>
        <w:t xml:space="preserve">ikely net benefit of an education </w:t>
      </w:r>
      <w:r w:rsidR="001F245C" w:rsidRPr="000C19B1">
        <w:rPr>
          <w:b/>
          <w:bCs/>
          <w:i w:val="0"/>
          <w:iCs w:val="0"/>
          <w:sz w:val="22"/>
          <w:szCs w:val="22"/>
        </w:rPr>
        <w:t xml:space="preserve">and guidance campaign </w:t>
      </w:r>
      <w:r w:rsidR="00320C61" w:rsidRPr="000C19B1">
        <w:rPr>
          <w:b/>
          <w:bCs/>
          <w:i w:val="0"/>
          <w:iCs w:val="0"/>
          <w:sz w:val="22"/>
          <w:szCs w:val="22"/>
        </w:rPr>
        <w:t>for the</w:t>
      </w:r>
      <w:r w:rsidR="00320C61" w:rsidRPr="000C19B1" w:rsidDel="0090450E">
        <w:rPr>
          <w:b/>
          <w:bCs/>
          <w:i w:val="0"/>
          <w:iCs w:val="0"/>
          <w:sz w:val="22"/>
          <w:szCs w:val="22"/>
        </w:rPr>
        <w:t xml:space="preserve"> </w:t>
      </w:r>
      <w:r w:rsidR="00320C61" w:rsidRPr="000C19B1">
        <w:rPr>
          <w:b/>
          <w:bCs/>
          <w:i w:val="0"/>
          <w:iCs w:val="0"/>
          <w:sz w:val="22"/>
          <w:szCs w:val="22"/>
        </w:rPr>
        <w:t>10 years to 2031 – economy wide approach</w:t>
      </w:r>
      <w:bookmarkEnd w:id="209"/>
      <w:bookmarkEnd w:id="210"/>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likely net benefit of an education and guidance campaign for the 10 years to 2031 – economy wide approach"/>
        <w:tblDescription w:val="Provides a summary of the likey net benefit for the measure if an economy wide approach is taken. Total benefits for this option is estimated at $197 million. Total costs for this option is estimated at $110 million. Net benefit for this option is estimated at $87 million. The Benefit Cost Ratio is estimated at 1.8."/>
      </w:tblPr>
      <w:tblGrid>
        <w:gridCol w:w="1812"/>
        <w:gridCol w:w="1812"/>
        <w:gridCol w:w="1812"/>
        <w:gridCol w:w="1812"/>
        <w:gridCol w:w="1812"/>
      </w:tblGrid>
      <w:tr w:rsidR="000C19B1" w:rsidRPr="000C19B1" w14:paraId="676A3C70" w14:textId="77777777" w:rsidTr="00010853">
        <w:trPr>
          <w:trHeight w:val="525"/>
        </w:trPr>
        <w:tc>
          <w:tcPr>
            <w:tcW w:w="1000" w:type="pct"/>
            <w:shd w:val="clear" w:color="auto" w:fill="B690C9" w:themeFill="accent6" w:themeFillTint="99"/>
          </w:tcPr>
          <w:p w14:paraId="45B78759" w14:textId="77777777" w:rsidR="00ED74BA" w:rsidRPr="000C19B1" w:rsidRDefault="00ED74BA" w:rsidP="00321216">
            <w:pPr>
              <w:rPr>
                <w:b/>
                <w:color w:val="000000" w:themeColor="text1"/>
              </w:rPr>
            </w:pPr>
          </w:p>
        </w:tc>
        <w:tc>
          <w:tcPr>
            <w:tcW w:w="1000" w:type="pct"/>
            <w:shd w:val="clear" w:color="auto" w:fill="B690C9" w:themeFill="accent6" w:themeFillTint="99"/>
          </w:tcPr>
          <w:p w14:paraId="2CD02AB0" w14:textId="06541E25" w:rsidR="00ED74BA" w:rsidRPr="000C19B1" w:rsidRDefault="00ED74BA" w:rsidP="0030160F">
            <w:pPr>
              <w:rPr>
                <w:b/>
                <w:color w:val="000000" w:themeColor="text1"/>
              </w:rPr>
            </w:pPr>
            <w:r w:rsidRPr="000C19B1">
              <w:rPr>
                <w:b/>
                <w:color w:val="000000" w:themeColor="text1"/>
              </w:rPr>
              <w:t xml:space="preserve">Total </w:t>
            </w:r>
            <w:r w:rsidR="0030160F" w:rsidRPr="000C19B1">
              <w:rPr>
                <w:b/>
                <w:color w:val="000000" w:themeColor="text1"/>
              </w:rPr>
              <w:t>benefit</w:t>
            </w:r>
            <w:r w:rsidRPr="000C19B1">
              <w:rPr>
                <w:b/>
                <w:color w:val="000000" w:themeColor="text1"/>
              </w:rPr>
              <w:t>s</w:t>
            </w:r>
          </w:p>
        </w:tc>
        <w:tc>
          <w:tcPr>
            <w:tcW w:w="1000" w:type="pct"/>
            <w:shd w:val="clear" w:color="auto" w:fill="B690C9" w:themeFill="accent6" w:themeFillTint="99"/>
          </w:tcPr>
          <w:p w14:paraId="4902751C" w14:textId="64152F68" w:rsidR="00ED74BA" w:rsidRPr="000C19B1" w:rsidRDefault="00ED74BA" w:rsidP="0030160F">
            <w:pPr>
              <w:rPr>
                <w:b/>
                <w:color w:val="000000" w:themeColor="text1"/>
              </w:rPr>
            </w:pPr>
            <w:r w:rsidRPr="000C19B1">
              <w:rPr>
                <w:b/>
                <w:color w:val="000000" w:themeColor="text1"/>
              </w:rPr>
              <w:t xml:space="preserve">Total </w:t>
            </w:r>
            <w:r w:rsidR="0030160F" w:rsidRPr="000C19B1">
              <w:rPr>
                <w:b/>
                <w:color w:val="000000" w:themeColor="text1"/>
              </w:rPr>
              <w:t>cost</w:t>
            </w:r>
            <w:r w:rsidRPr="000C19B1">
              <w:rPr>
                <w:b/>
                <w:color w:val="000000" w:themeColor="text1"/>
              </w:rPr>
              <w:t>s</w:t>
            </w:r>
          </w:p>
        </w:tc>
        <w:tc>
          <w:tcPr>
            <w:tcW w:w="1000" w:type="pct"/>
            <w:shd w:val="clear" w:color="auto" w:fill="B690C9" w:themeFill="accent6" w:themeFillTint="99"/>
          </w:tcPr>
          <w:p w14:paraId="7E537E79" w14:textId="77777777" w:rsidR="00ED74BA" w:rsidRPr="000C19B1" w:rsidRDefault="00ED74BA" w:rsidP="00321216">
            <w:pPr>
              <w:rPr>
                <w:b/>
                <w:color w:val="000000" w:themeColor="text1"/>
              </w:rPr>
            </w:pPr>
            <w:r w:rsidRPr="000C19B1">
              <w:rPr>
                <w:b/>
                <w:color w:val="000000" w:themeColor="text1"/>
              </w:rPr>
              <w:t>Net benefit</w:t>
            </w:r>
          </w:p>
        </w:tc>
        <w:tc>
          <w:tcPr>
            <w:tcW w:w="1000" w:type="pct"/>
            <w:shd w:val="clear" w:color="auto" w:fill="B690C9" w:themeFill="accent6" w:themeFillTint="99"/>
          </w:tcPr>
          <w:p w14:paraId="6427D6D9" w14:textId="77777777" w:rsidR="00ED74BA" w:rsidRPr="000C19B1" w:rsidRDefault="00ED74BA" w:rsidP="00321216">
            <w:pPr>
              <w:rPr>
                <w:b/>
                <w:color w:val="000000" w:themeColor="text1"/>
              </w:rPr>
            </w:pPr>
            <w:r w:rsidRPr="000C19B1">
              <w:rPr>
                <w:b/>
                <w:color w:val="000000" w:themeColor="text1"/>
              </w:rPr>
              <w:t>Benefit Cost Ratio</w:t>
            </w:r>
          </w:p>
        </w:tc>
      </w:tr>
      <w:tr w:rsidR="00ED74BA" w14:paraId="4F8226BC" w14:textId="77777777" w:rsidTr="00010853">
        <w:trPr>
          <w:trHeight w:val="497"/>
        </w:trPr>
        <w:tc>
          <w:tcPr>
            <w:tcW w:w="1000" w:type="pct"/>
          </w:tcPr>
          <w:p w14:paraId="719D8D52" w14:textId="77777777" w:rsidR="00ED74BA" w:rsidRDefault="00ED74BA" w:rsidP="00321216">
            <w:r>
              <w:t>Whole economy</w:t>
            </w:r>
          </w:p>
        </w:tc>
        <w:tc>
          <w:tcPr>
            <w:tcW w:w="1000" w:type="pct"/>
          </w:tcPr>
          <w:p w14:paraId="44436D90" w14:textId="1BC88AF1" w:rsidR="00ED74BA" w:rsidRPr="00D07004" w:rsidRDefault="00ED74BA" w:rsidP="0030160F">
            <w:r w:rsidRPr="00D07004">
              <w:t>$1</w:t>
            </w:r>
            <w:r w:rsidR="0030160F">
              <w:t>97</w:t>
            </w:r>
            <w:r w:rsidRPr="00D07004">
              <w:t xml:space="preserve"> million</w:t>
            </w:r>
          </w:p>
        </w:tc>
        <w:tc>
          <w:tcPr>
            <w:tcW w:w="1000" w:type="pct"/>
          </w:tcPr>
          <w:p w14:paraId="69CF0101" w14:textId="7786F113" w:rsidR="00ED74BA" w:rsidRPr="00D07004" w:rsidRDefault="00ED74BA" w:rsidP="0030160F">
            <w:r w:rsidRPr="00D07004">
              <w:t>$1</w:t>
            </w:r>
            <w:r w:rsidR="0030160F">
              <w:t>10</w:t>
            </w:r>
            <w:r w:rsidRPr="00D07004">
              <w:t xml:space="preserve"> million</w:t>
            </w:r>
          </w:p>
        </w:tc>
        <w:tc>
          <w:tcPr>
            <w:tcW w:w="1000" w:type="pct"/>
          </w:tcPr>
          <w:p w14:paraId="45667F72" w14:textId="77777777" w:rsidR="00ED74BA" w:rsidRPr="00D07004" w:rsidRDefault="00ED74BA" w:rsidP="00321216">
            <w:r w:rsidRPr="00D07004">
              <w:t>$87 million</w:t>
            </w:r>
          </w:p>
        </w:tc>
        <w:tc>
          <w:tcPr>
            <w:tcW w:w="1000" w:type="pct"/>
          </w:tcPr>
          <w:p w14:paraId="08340A77" w14:textId="77777777" w:rsidR="00ED74BA" w:rsidRPr="00D07004" w:rsidRDefault="00ED74BA" w:rsidP="00321216">
            <w:r w:rsidRPr="00D07004">
              <w:t>1.8</w:t>
            </w:r>
          </w:p>
        </w:tc>
      </w:tr>
    </w:tbl>
    <w:p w14:paraId="3D71E566" w14:textId="77777777" w:rsidR="00922D6B" w:rsidRDefault="00922D6B" w:rsidP="00741F62">
      <w:pPr>
        <w:pStyle w:val="Heading5"/>
      </w:pPr>
    </w:p>
    <w:p w14:paraId="6E06C9C8" w14:textId="28BEDEB1" w:rsidR="00ED74BA" w:rsidRPr="00502C85" w:rsidRDefault="00ED74BA" w:rsidP="00741F62">
      <w:pPr>
        <w:pStyle w:val="Heading5"/>
        <w:rPr>
          <w:rFonts w:eastAsiaTheme="majorEastAsia" w:cstheme="majorBidi"/>
        </w:rPr>
      </w:pPr>
      <w:r>
        <w:t>b)</w:t>
      </w:r>
      <w:r w:rsidRPr="008938C2">
        <w:t xml:space="preserve"> </w:t>
      </w:r>
      <w:r>
        <w:t>New motor vehicles only</w:t>
      </w:r>
      <w:r w:rsidRPr="008938C2">
        <w:t xml:space="preserve"> approach</w:t>
      </w:r>
    </w:p>
    <w:p w14:paraId="234BEB76" w14:textId="38995786" w:rsidR="00113CA1" w:rsidRDefault="00113CA1" w:rsidP="00ED74BA">
      <w:pPr>
        <w:rPr>
          <w:rFonts w:eastAsia="Calibri"/>
        </w:rPr>
      </w:pPr>
      <w:r w:rsidRPr="00113CA1">
        <w:rPr>
          <w:rFonts w:eastAsia="Calibri"/>
        </w:rPr>
        <w:t xml:space="preserve">The economic costs and benefits of an education and guidance campaign </w:t>
      </w:r>
      <w:r w:rsidR="00207CE9" w:rsidRPr="00113CA1">
        <w:rPr>
          <w:rFonts w:eastAsia="Calibri"/>
        </w:rPr>
        <w:t>for businesses</w:t>
      </w:r>
      <w:r w:rsidRPr="00113CA1">
        <w:rPr>
          <w:rFonts w:eastAsia="Calibri"/>
        </w:rPr>
        <w:t xml:space="preserve"> and manufacturers for the new motor vehicle market are a subset of the economic costs and benefits identified for the economy-wide</w:t>
      </w:r>
      <w:r w:rsidRPr="00113CA1">
        <w:t xml:space="preserve"> </w:t>
      </w:r>
      <w:r w:rsidRPr="00113CA1">
        <w:rPr>
          <w:rFonts w:eastAsia="Calibri"/>
        </w:rPr>
        <w:t>education and guidance campaign.</w:t>
      </w:r>
    </w:p>
    <w:p w14:paraId="7050100C" w14:textId="56CC462F" w:rsidR="00922D6B" w:rsidRDefault="00127518" w:rsidP="00ED74BA">
      <w:pPr>
        <w:rPr>
          <w:rFonts w:eastAsia="Calibri"/>
        </w:rPr>
      </w:pPr>
      <w:r w:rsidRPr="00127518">
        <w:rPr>
          <w:rFonts w:eastAsia="Calibri"/>
        </w:rPr>
        <w:t>For new motor vehicles, Option 2 is estimated to create a net benefit of $</w:t>
      </w:r>
      <w:r w:rsidR="003D1D9C">
        <w:rPr>
          <w:rFonts w:eastAsia="Calibri"/>
        </w:rPr>
        <w:t>70</w:t>
      </w:r>
      <w:r w:rsidRPr="00127518">
        <w:rPr>
          <w:rFonts w:eastAsia="Calibri"/>
        </w:rPr>
        <w:t xml:space="preserve"> million in NPV terms over the 10 years to 2031 and a BCR of </w:t>
      </w:r>
      <w:r>
        <w:rPr>
          <w:rFonts w:eastAsia="Calibri"/>
        </w:rPr>
        <w:t>2.</w:t>
      </w:r>
      <w:r w:rsidR="003D1D9C">
        <w:rPr>
          <w:rFonts w:eastAsia="Calibri"/>
        </w:rPr>
        <w:t>3</w:t>
      </w:r>
      <w:r w:rsidRPr="00127518">
        <w:rPr>
          <w:rFonts w:eastAsia="Calibri"/>
        </w:rPr>
        <w:t xml:space="preserve">. </w:t>
      </w:r>
      <w:r w:rsidR="003D1D9C" w:rsidRPr="003D1D9C">
        <w:rPr>
          <w:rFonts w:eastAsia="Calibri"/>
        </w:rPr>
        <w:t>This comprises benefits of $</w:t>
      </w:r>
      <w:r w:rsidR="003D1D9C">
        <w:rPr>
          <w:rFonts w:eastAsia="Calibri"/>
        </w:rPr>
        <w:t>124</w:t>
      </w:r>
      <w:r w:rsidR="003D1D9C" w:rsidRPr="003D1D9C">
        <w:rPr>
          <w:rFonts w:eastAsia="Calibri"/>
        </w:rPr>
        <w:t xml:space="preserve"> million in NPV terms</w:t>
      </w:r>
      <w:r w:rsidR="003D1D9C">
        <w:rPr>
          <w:rFonts w:eastAsia="Calibri"/>
        </w:rPr>
        <w:t xml:space="preserve"> and</w:t>
      </w:r>
      <w:r w:rsidR="003D1D9C" w:rsidRPr="003D1D9C">
        <w:rPr>
          <w:rFonts w:eastAsia="Calibri"/>
        </w:rPr>
        <w:t xml:space="preserve"> costs of $</w:t>
      </w:r>
      <w:r w:rsidR="003D1D9C">
        <w:rPr>
          <w:rFonts w:eastAsia="Calibri"/>
        </w:rPr>
        <w:t>54</w:t>
      </w:r>
      <w:r w:rsidR="003D1D9C" w:rsidRPr="003D1D9C">
        <w:rPr>
          <w:rFonts w:eastAsia="Calibri"/>
        </w:rPr>
        <w:t xml:space="preserve"> million in NPV terms over this period.</w:t>
      </w:r>
      <w:r w:rsidR="003D1D9C" w:rsidRPr="003D1D9C">
        <w:t xml:space="preserve"> </w:t>
      </w:r>
      <w:r w:rsidR="003D1D9C" w:rsidRPr="003D1D9C">
        <w:rPr>
          <w:rFonts w:eastAsia="Calibri"/>
        </w:rPr>
        <w:t xml:space="preserve">Consumers are not directly impacted by the </w:t>
      </w:r>
      <w:r w:rsidR="00207CE9" w:rsidRPr="003D1D9C">
        <w:rPr>
          <w:rFonts w:eastAsia="Calibri"/>
        </w:rPr>
        <w:t>campaign</w:t>
      </w:r>
      <w:r w:rsidR="00207CE9">
        <w:rPr>
          <w:rFonts w:eastAsia="Calibri"/>
        </w:rPr>
        <w:t xml:space="preserve"> but</w:t>
      </w:r>
      <w:r w:rsidR="003D1D9C" w:rsidRPr="003D1D9C">
        <w:rPr>
          <w:rFonts w:eastAsia="Calibri"/>
        </w:rPr>
        <w:t xml:space="preserve"> </w:t>
      </w:r>
      <w:r w:rsidR="00D56E6D">
        <w:rPr>
          <w:rFonts w:eastAsia="Calibri"/>
        </w:rPr>
        <w:t xml:space="preserve">are estimated to </w:t>
      </w:r>
      <w:r w:rsidR="003D1D9C" w:rsidRPr="003D1D9C">
        <w:rPr>
          <w:rFonts w:eastAsia="Calibri"/>
        </w:rPr>
        <w:t>receive benefits of $97 million associated with the higher number of remedies provided by retailers.</w:t>
      </w:r>
      <w:r w:rsidR="00030362">
        <w:rPr>
          <w:rFonts w:eastAsia="Calibri"/>
        </w:rPr>
        <w:t xml:space="preserve"> </w:t>
      </w:r>
      <w:r w:rsidR="00ED74BA" w:rsidRPr="00DD63C3">
        <w:rPr>
          <w:rFonts w:eastAsia="Calibri"/>
        </w:rPr>
        <w:t xml:space="preserve">Costs to manufacturers primarily arise from retailers </w:t>
      </w:r>
      <w:r w:rsidR="00ED74BA">
        <w:rPr>
          <w:rFonts w:eastAsia="Calibri"/>
        </w:rPr>
        <w:t xml:space="preserve">better understanding and </w:t>
      </w:r>
      <w:r w:rsidR="00ED74BA" w:rsidRPr="00DD63C3">
        <w:rPr>
          <w:rFonts w:eastAsia="Calibri"/>
        </w:rPr>
        <w:t>enforcing their indemnification rights more successfully.</w:t>
      </w:r>
      <w:r w:rsidR="00ED74BA">
        <w:rPr>
          <w:rFonts w:eastAsia="Calibri"/>
        </w:rPr>
        <w:t xml:space="preserve"> </w:t>
      </w:r>
      <w:r w:rsidR="00030362" w:rsidRPr="00030362">
        <w:rPr>
          <w:rFonts w:eastAsia="Calibri"/>
        </w:rPr>
        <w:t>The estimated cost to manufacturers of providing additional remedies is estimated at $53 million.</w:t>
      </w:r>
    </w:p>
    <w:p w14:paraId="10D429D7" w14:textId="77777777" w:rsidR="00922D6B" w:rsidRDefault="00922D6B">
      <w:pPr>
        <w:spacing w:before="0" w:after="160" w:line="259" w:lineRule="auto"/>
        <w:rPr>
          <w:rFonts w:eastAsia="Calibri"/>
        </w:rPr>
      </w:pPr>
      <w:r>
        <w:rPr>
          <w:rFonts w:eastAsia="Calibri"/>
        </w:rPr>
        <w:br w:type="page"/>
      </w:r>
    </w:p>
    <w:p w14:paraId="4D8D30EB" w14:textId="77777777" w:rsidR="003A4097" w:rsidRDefault="003A4097" w:rsidP="00ED74BA">
      <w:pPr>
        <w:rPr>
          <w:rFonts w:eastAsia="Calibri"/>
        </w:rPr>
      </w:pPr>
    </w:p>
    <w:p w14:paraId="0F177067" w14:textId="45537D85" w:rsidR="00ED74BA" w:rsidRPr="00010853" w:rsidRDefault="00010853" w:rsidP="00010853">
      <w:pPr>
        <w:pStyle w:val="Caption"/>
        <w:rPr>
          <w:b/>
          <w:bCs/>
          <w:i w:val="0"/>
          <w:iCs w:val="0"/>
          <w:sz w:val="22"/>
          <w:szCs w:val="22"/>
        </w:rPr>
      </w:pPr>
      <w:bookmarkStart w:id="211" w:name="_Toc87529832"/>
      <w:bookmarkStart w:id="212" w:name="_Toc89700884"/>
      <w:r w:rsidRPr="00010853">
        <w:rPr>
          <w:b/>
          <w:bCs/>
          <w:i w:val="0"/>
          <w:iCs w:val="0"/>
          <w:sz w:val="22"/>
          <w:szCs w:val="22"/>
        </w:rPr>
        <w:t xml:space="preserve">Table </w:t>
      </w:r>
      <w:r w:rsidRPr="00010853">
        <w:rPr>
          <w:b/>
          <w:bCs/>
          <w:i w:val="0"/>
          <w:iCs w:val="0"/>
          <w:sz w:val="22"/>
          <w:szCs w:val="22"/>
        </w:rPr>
        <w:fldChar w:fldCharType="begin"/>
      </w:r>
      <w:r w:rsidRPr="00010853">
        <w:rPr>
          <w:b/>
          <w:bCs/>
          <w:i w:val="0"/>
          <w:iCs w:val="0"/>
          <w:sz w:val="22"/>
          <w:szCs w:val="22"/>
        </w:rPr>
        <w:instrText xml:space="preserve"> SEQ Table \* ARABIC </w:instrText>
      </w:r>
      <w:r w:rsidRPr="00010853">
        <w:rPr>
          <w:b/>
          <w:bCs/>
          <w:i w:val="0"/>
          <w:iCs w:val="0"/>
          <w:sz w:val="22"/>
          <w:szCs w:val="22"/>
        </w:rPr>
        <w:fldChar w:fldCharType="separate"/>
      </w:r>
      <w:r w:rsidR="00001633">
        <w:rPr>
          <w:b/>
          <w:bCs/>
          <w:i w:val="0"/>
          <w:iCs w:val="0"/>
          <w:noProof/>
          <w:sz w:val="22"/>
          <w:szCs w:val="22"/>
        </w:rPr>
        <w:t>12</w:t>
      </w:r>
      <w:r w:rsidRPr="00010853">
        <w:rPr>
          <w:b/>
          <w:bCs/>
          <w:i w:val="0"/>
          <w:iCs w:val="0"/>
          <w:sz w:val="22"/>
          <w:szCs w:val="22"/>
        </w:rPr>
        <w:fldChar w:fldCharType="end"/>
      </w:r>
      <w:r w:rsidRPr="00010853">
        <w:rPr>
          <w:b/>
          <w:bCs/>
          <w:i w:val="0"/>
          <w:iCs w:val="0"/>
          <w:sz w:val="22"/>
          <w:szCs w:val="22"/>
        </w:rPr>
        <w:t xml:space="preserve">:  </w:t>
      </w:r>
      <w:r w:rsidR="00C04EDD">
        <w:rPr>
          <w:b/>
          <w:bCs/>
          <w:i w:val="0"/>
          <w:iCs w:val="0"/>
          <w:sz w:val="22"/>
          <w:szCs w:val="22"/>
        </w:rPr>
        <w:t>L</w:t>
      </w:r>
      <w:r w:rsidR="00320C61" w:rsidRPr="00010853">
        <w:rPr>
          <w:b/>
          <w:bCs/>
          <w:i w:val="0"/>
          <w:iCs w:val="0"/>
          <w:sz w:val="22"/>
          <w:szCs w:val="22"/>
        </w:rPr>
        <w:t>ikely net benefit of an education</w:t>
      </w:r>
      <w:r w:rsidR="001F245C" w:rsidRPr="00010853">
        <w:rPr>
          <w:b/>
          <w:bCs/>
          <w:i w:val="0"/>
          <w:iCs w:val="0"/>
          <w:sz w:val="22"/>
          <w:szCs w:val="22"/>
        </w:rPr>
        <w:t xml:space="preserve"> and </w:t>
      </w:r>
      <w:r w:rsidR="00207CE9" w:rsidRPr="00010853">
        <w:rPr>
          <w:b/>
          <w:bCs/>
          <w:i w:val="0"/>
          <w:iCs w:val="0"/>
          <w:sz w:val="22"/>
          <w:szCs w:val="22"/>
        </w:rPr>
        <w:t>guidance for</w:t>
      </w:r>
      <w:r w:rsidR="00320C61" w:rsidRPr="00010853">
        <w:rPr>
          <w:b/>
          <w:bCs/>
          <w:i w:val="0"/>
          <w:iCs w:val="0"/>
          <w:sz w:val="22"/>
          <w:szCs w:val="22"/>
        </w:rPr>
        <w:t xml:space="preserve"> the</w:t>
      </w:r>
      <w:r w:rsidR="00320C61" w:rsidRPr="00010853" w:rsidDel="0090450E">
        <w:rPr>
          <w:b/>
          <w:bCs/>
          <w:i w:val="0"/>
          <w:iCs w:val="0"/>
          <w:sz w:val="22"/>
          <w:szCs w:val="22"/>
        </w:rPr>
        <w:t xml:space="preserve"> </w:t>
      </w:r>
      <w:r w:rsidR="00320C61" w:rsidRPr="00010853">
        <w:rPr>
          <w:b/>
          <w:bCs/>
          <w:i w:val="0"/>
          <w:iCs w:val="0"/>
          <w:sz w:val="22"/>
          <w:szCs w:val="22"/>
        </w:rPr>
        <w:t>10 years to 2031 – new motor vehicles only approach</w:t>
      </w:r>
      <w:bookmarkEnd w:id="211"/>
      <w:bookmarkEnd w:id="212"/>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2: likely net benefit of an education and guidance for the 10 years to 2031 – new motor vehicles only approach"/>
        <w:tblDescription w:val="Provides a summary of the likey net benefit for the measure if an new motor vehicle only approach is taken. Total benefits for this option is estimated at $124 million. Total costs for this option is estimated at $54 million. Net benefit for this option is estimated at $70 million. The Benefit Cost Ratio is estimated at 2.3."/>
      </w:tblPr>
      <w:tblGrid>
        <w:gridCol w:w="1812"/>
        <w:gridCol w:w="1812"/>
        <w:gridCol w:w="1812"/>
        <w:gridCol w:w="1812"/>
        <w:gridCol w:w="1812"/>
      </w:tblGrid>
      <w:tr w:rsidR="00010853" w:rsidRPr="00010853" w14:paraId="64D5CC9F" w14:textId="77777777" w:rsidTr="00010853">
        <w:trPr>
          <w:trHeight w:val="525"/>
        </w:trPr>
        <w:tc>
          <w:tcPr>
            <w:tcW w:w="1000" w:type="pct"/>
            <w:shd w:val="clear" w:color="auto" w:fill="B690C9" w:themeFill="accent6" w:themeFillTint="99"/>
          </w:tcPr>
          <w:p w14:paraId="113FE5A1" w14:textId="77777777" w:rsidR="00ED74BA" w:rsidRPr="00010853" w:rsidRDefault="00ED74BA" w:rsidP="00321216">
            <w:pPr>
              <w:rPr>
                <w:b/>
                <w:color w:val="000000" w:themeColor="text1"/>
              </w:rPr>
            </w:pPr>
          </w:p>
        </w:tc>
        <w:tc>
          <w:tcPr>
            <w:tcW w:w="1000" w:type="pct"/>
            <w:shd w:val="clear" w:color="auto" w:fill="B690C9" w:themeFill="accent6" w:themeFillTint="99"/>
          </w:tcPr>
          <w:p w14:paraId="5B590C88" w14:textId="217BC0D5" w:rsidR="00ED74BA" w:rsidRPr="00010853" w:rsidRDefault="00ED74BA" w:rsidP="003D1D9C">
            <w:pPr>
              <w:rPr>
                <w:b/>
                <w:color w:val="000000" w:themeColor="text1"/>
              </w:rPr>
            </w:pPr>
            <w:r w:rsidRPr="00010853">
              <w:rPr>
                <w:b/>
                <w:color w:val="000000" w:themeColor="text1"/>
              </w:rPr>
              <w:t xml:space="preserve">Total </w:t>
            </w:r>
            <w:r w:rsidR="003D1D9C" w:rsidRPr="00010853">
              <w:rPr>
                <w:b/>
                <w:color w:val="000000" w:themeColor="text1"/>
              </w:rPr>
              <w:t>benefit</w:t>
            </w:r>
            <w:r w:rsidRPr="00010853">
              <w:rPr>
                <w:b/>
                <w:color w:val="000000" w:themeColor="text1"/>
              </w:rPr>
              <w:t>s</w:t>
            </w:r>
          </w:p>
        </w:tc>
        <w:tc>
          <w:tcPr>
            <w:tcW w:w="1000" w:type="pct"/>
            <w:shd w:val="clear" w:color="auto" w:fill="B690C9" w:themeFill="accent6" w:themeFillTint="99"/>
          </w:tcPr>
          <w:p w14:paraId="02429C58" w14:textId="23A16BE5" w:rsidR="00ED74BA" w:rsidRPr="00010853" w:rsidRDefault="00ED74BA" w:rsidP="003D1D9C">
            <w:pPr>
              <w:rPr>
                <w:b/>
                <w:color w:val="000000" w:themeColor="text1"/>
              </w:rPr>
            </w:pPr>
            <w:r w:rsidRPr="00010853">
              <w:rPr>
                <w:b/>
                <w:color w:val="000000" w:themeColor="text1"/>
              </w:rPr>
              <w:t xml:space="preserve">Total </w:t>
            </w:r>
            <w:r w:rsidR="003D1D9C" w:rsidRPr="00010853">
              <w:rPr>
                <w:b/>
                <w:color w:val="000000" w:themeColor="text1"/>
              </w:rPr>
              <w:t>cost</w:t>
            </w:r>
            <w:r w:rsidRPr="00010853">
              <w:rPr>
                <w:b/>
                <w:color w:val="000000" w:themeColor="text1"/>
              </w:rPr>
              <w:t>s</w:t>
            </w:r>
          </w:p>
        </w:tc>
        <w:tc>
          <w:tcPr>
            <w:tcW w:w="1000" w:type="pct"/>
            <w:shd w:val="clear" w:color="auto" w:fill="B690C9" w:themeFill="accent6" w:themeFillTint="99"/>
          </w:tcPr>
          <w:p w14:paraId="507494C4" w14:textId="77777777" w:rsidR="00ED74BA" w:rsidRPr="00010853" w:rsidRDefault="00ED74BA" w:rsidP="00321216">
            <w:pPr>
              <w:rPr>
                <w:b/>
                <w:color w:val="000000" w:themeColor="text1"/>
              </w:rPr>
            </w:pPr>
            <w:r w:rsidRPr="00010853">
              <w:rPr>
                <w:b/>
                <w:color w:val="000000" w:themeColor="text1"/>
              </w:rPr>
              <w:t>Net benefit</w:t>
            </w:r>
          </w:p>
        </w:tc>
        <w:tc>
          <w:tcPr>
            <w:tcW w:w="1000" w:type="pct"/>
            <w:shd w:val="clear" w:color="auto" w:fill="B690C9" w:themeFill="accent6" w:themeFillTint="99"/>
          </w:tcPr>
          <w:p w14:paraId="237BF0E8" w14:textId="77777777" w:rsidR="00ED74BA" w:rsidRPr="00010853" w:rsidRDefault="00ED74BA" w:rsidP="00321216">
            <w:pPr>
              <w:rPr>
                <w:b/>
                <w:color w:val="000000" w:themeColor="text1"/>
              </w:rPr>
            </w:pPr>
            <w:r w:rsidRPr="00010853">
              <w:rPr>
                <w:b/>
                <w:color w:val="000000" w:themeColor="text1"/>
              </w:rPr>
              <w:t>Benefit Cost Ratio</w:t>
            </w:r>
          </w:p>
        </w:tc>
      </w:tr>
      <w:tr w:rsidR="00ED74BA" w14:paraId="6BF5A662" w14:textId="77777777" w:rsidTr="00010853">
        <w:trPr>
          <w:trHeight w:val="497"/>
        </w:trPr>
        <w:tc>
          <w:tcPr>
            <w:tcW w:w="1000" w:type="pct"/>
          </w:tcPr>
          <w:p w14:paraId="7917CF84" w14:textId="77777777" w:rsidR="00ED74BA" w:rsidRDefault="00ED74BA" w:rsidP="00321216">
            <w:r>
              <w:t>Motor vehicles</w:t>
            </w:r>
          </w:p>
        </w:tc>
        <w:tc>
          <w:tcPr>
            <w:tcW w:w="1000" w:type="pct"/>
          </w:tcPr>
          <w:p w14:paraId="21810067" w14:textId="02B4F2BB" w:rsidR="00ED74BA" w:rsidRPr="00D07004" w:rsidRDefault="00ED74BA" w:rsidP="003D1D9C">
            <w:r w:rsidRPr="00D07004">
              <w:t>$</w:t>
            </w:r>
            <w:r w:rsidR="003D1D9C">
              <w:t>124</w:t>
            </w:r>
            <w:r w:rsidRPr="00D07004">
              <w:t xml:space="preserve"> million</w:t>
            </w:r>
          </w:p>
        </w:tc>
        <w:tc>
          <w:tcPr>
            <w:tcW w:w="1000" w:type="pct"/>
          </w:tcPr>
          <w:p w14:paraId="6CF93639" w14:textId="72D0AECC" w:rsidR="00ED74BA" w:rsidRPr="00D07004" w:rsidRDefault="00ED74BA" w:rsidP="003D1D9C">
            <w:r w:rsidRPr="00D07004">
              <w:t>$</w:t>
            </w:r>
            <w:r w:rsidR="003D1D9C">
              <w:t>54</w:t>
            </w:r>
            <w:r w:rsidR="0040163D" w:rsidRPr="00D07004">
              <w:t xml:space="preserve"> </w:t>
            </w:r>
            <w:r w:rsidRPr="00D07004">
              <w:t>million</w:t>
            </w:r>
          </w:p>
        </w:tc>
        <w:tc>
          <w:tcPr>
            <w:tcW w:w="1000" w:type="pct"/>
          </w:tcPr>
          <w:p w14:paraId="2FA21B80" w14:textId="4EBD21B6" w:rsidR="00ED74BA" w:rsidRPr="00D07004" w:rsidRDefault="00ED74BA" w:rsidP="0040163D">
            <w:r w:rsidRPr="00D07004">
              <w:t>$</w:t>
            </w:r>
            <w:r w:rsidR="0040163D">
              <w:t>70</w:t>
            </w:r>
            <w:r w:rsidR="0040163D" w:rsidRPr="00D07004">
              <w:t xml:space="preserve"> </w:t>
            </w:r>
            <w:r w:rsidRPr="00D07004">
              <w:t>million</w:t>
            </w:r>
          </w:p>
        </w:tc>
        <w:tc>
          <w:tcPr>
            <w:tcW w:w="1000" w:type="pct"/>
          </w:tcPr>
          <w:p w14:paraId="7905BB76" w14:textId="77777777" w:rsidR="00ED74BA" w:rsidRPr="00D07004" w:rsidRDefault="00ED74BA" w:rsidP="00321216">
            <w:r w:rsidRPr="00D07004">
              <w:t>2.3</w:t>
            </w:r>
          </w:p>
        </w:tc>
      </w:tr>
    </w:tbl>
    <w:p w14:paraId="64E02A40" w14:textId="77777777" w:rsidR="00320C61" w:rsidRDefault="00320C61" w:rsidP="00320C61">
      <w:bookmarkStart w:id="213" w:name="_Toc69381082"/>
      <w:bookmarkStart w:id="214" w:name="_Toc69395103"/>
    </w:p>
    <w:p w14:paraId="421B3770" w14:textId="4AD3C573" w:rsidR="000C19B7" w:rsidRPr="00010853" w:rsidRDefault="00010853" w:rsidP="00010853">
      <w:pPr>
        <w:pStyle w:val="Caption"/>
        <w:rPr>
          <w:rFonts w:eastAsiaTheme="majorEastAsia"/>
          <w:b/>
          <w:bCs/>
          <w:i w:val="0"/>
          <w:iCs w:val="0"/>
          <w:sz w:val="22"/>
          <w:szCs w:val="22"/>
        </w:rPr>
      </w:pPr>
      <w:bookmarkStart w:id="215" w:name="_Toc87529833"/>
      <w:bookmarkStart w:id="216" w:name="_Toc89700885"/>
      <w:r w:rsidRPr="00010853">
        <w:rPr>
          <w:b/>
          <w:bCs/>
          <w:i w:val="0"/>
          <w:iCs w:val="0"/>
          <w:sz w:val="22"/>
          <w:szCs w:val="22"/>
        </w:rPr>
        <w:t xml:space="preserve">Table </w:t>
      </w:r>
      <w:r w:rsidRPr="00010853">
        <w:rPr>
          <w:b/>
          <w:bCs/>
          <w:i w:val="0"/>
          <w:iCs w:val="0"/>
          <w:sz w:val="22"/>
          <w:szCs w:val="22"/>
        </w:rPr>
        <w:fldChar w:fldCharType="begin"/>
      </w:r>
      <w:r w:rsidRPr="00010853">
        <w:rPr>
          <w:b/>
          <w:bCs/>
          <w:i w:val="0"/>
          <w:iCs w:val="0"/>
          <w:sz w:val="22"/>
          <w:szCs w:val="22"/>
        </w:rPr>
        <w:instrText xml:space="preserve"> SEQ Table \* ARABIC </w:instrText>
      </w:r>
      <w:r w:rsidRPr="00010853">
        <w:rPr>
          <w:b/>
          <w:bCs/>
          <w:i w:val="0"/>
          <w:iCs w:val="0"/>
          <w:sz w:val="22"/>
          <w:szCs w:val="22"/>
        </w:rPr>
        <w:fldChar w:fldCharType="separate"/>
      </w:r>
      <w:r w:rsidR="00001633">
        <w:rPr>
          <w:b/>
          <w:bCs/>
          <w:i w:val="0"/>
          <w:iCs w:val="0"/>
          <w:noProof/>
          <w:sz w:val="22"/>
          <w:szCs w:val="22"/>
        </w:rPr>
        <w:t>13</w:t>
      </w:r>
      <w:r w:rsidRPr="00010853">
        <w:rPr>
          <w:b/>
          <w:bCs/>
          <w:i w:val="0"/>
          <w:iCs w:val="0"/>
          <w:sz w:val="22"/>
          <w:szCs w:val="22"/>
        </w:rPr>
        <w:fldChar w:fldCharType="end"/>
      </w:r>
      <w:r w:rsidRPr="00010853">
        <w:rPr>
          <w:b/>
          <w:bCs/>
          <w:i w:val="0"/>
          <w:iCs w:val="0"/>
          <w:sz w:val="22"/>
          <w:szCs w:val="22"/>
        </w:rPr>
        <w:t xml:space="preserve">: </w:t>
      </w:r>
      <w:r w:rsidR="00C04EDD">
        <w:rPr>
          <w:b/>
          <w:bCs/>
          <w:i w:val="0"/>
          <w:iCs w:val="0"/>
          <w:sz w:val="22"/>
          <w:szCs w:val="22"/>
        </w:rPr>
        <w:t>S</w:t>
      </w:r>
      <w:r w:rsidR="000C19B7" w:rsidRPr="00010853">
        <w:rPr>
          <w:rFonts w:eastAsiaTheme="majorEastAsia"/>
          <w:b/>
          <w:bCs/>
          <w:i w:val="0"/>
          <w:iCs w:val="0"/>
          <w:sz w:val="22"/>
          <w:szCs w:val="22"/>
        </w:rPr>
        <w:t>ummary of benefits and costs of Part B, Option 2 (covers both economy-wide approach and new motor vehicles only approach)</w:t>
      </w:r>
      <w:bookmarkEnd w:id="215"/>
      <w:bookmarkEnd w:id="21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ummary of benefits and costs of Part B, Option 2 (covers both economy-wide approach and new motor vehicles only approach)"/>
      </w:tblPr>
      <w:tblGrid>
        <w:gridCol w:w="4530"/>
        <w:gridCol w:w="4530"/>
      </w:tblGrid>
      <w:tr w:rsidR="000C19B7" w:rsidRPr="004860EB" w14:paraId="6FCF5C4A" w14:textId="77777777" w:rsidTr="00010853">
        <w:tc>
          <w:tcPr>
            <w:tcW w:w="2500" w:type="pct"/>
            <w:shd w:val="clear" w:color="auto" w:fill="B690C9" w:themeFill="accent6" w:themeFillTint="99"/>
          </w:tcPr>
          <w:p w14:paraId="2AF5C79A" w14:textId="77777777" w:rsidR="000C19B7" w:rsidRPr="004860EB" w:rsidRDefault="000C19B7" w:rsidP="00320C61">
            <w:pPr>
              <w:rPr>
                <w:b/>
              </w:rPr>
            </w:pPr>
            <w:r w:rsidRPr="004860EB">
              <w:rPr>
                <w:b/>
              </w:rPr>
              <w:t xml:space="preserve">Benefits </w:t>
            </w:r>
          </w:p>
        </w:tc>
        <w:tc>
          <w:tcPr>
            <w:tcW w:w="2500" w:type="pct"/>
            <w:shd w:val="clear" w:color="auto" w:fill="B690C9" w:themeFill="accent6" w:themeFillTint="99"/>
          </w:tcPr>
          <w:p w14:paraId="31F71AE4" w14:textId="77777777" w:rsidR="000C19B7" w:rsidRPr="004860EB" w:rsidRDefault="000C19B7" w:rsidP="00320C61">
            <w:pPr>
              <w:rPr>
                <w:b/>
              </w:rPr>
            </w:pPr>
            <w:r w:rsidRPr="004860EB">
              <w:rPr>
                <w:b/>
              </w:rPr>
              <w:t xml:space="preserve">Costs </w:t>
            </w:r>
          </w:p>
        </w:tc>
      </w:tr>
      <w:tr w:rsidR="000C19B7" w14:paraId="10B7BB63" w14:textId="77777777" w:rsidTr="00010853">
        <w:tc>
          <w:tcPr>
            <w:tcW w:w="2500" w:type="pct"/>
          </w:tcPr>
          <w:p w14:paraId="6489E3CD" w14:textId="0BBAAAB2" w:rsidR="003F0E0B" w:rsidRDefault="003F0E0B" w:rsidP="00B20812">
            <w:pPr>
              <w:pStyle w:val="Bullet"/>
              <w:widowControl w:val="0"/>
              <w:numPr>
                <w:ilvl w:val="0"/>
                <w:numId w:val="12"/>
              </w:numPr>
              <w:spacing w:line="280" w:lineRule="exact"/>
              <w:jc w:val="left"/>
            </w:pPr>
            <w:r>
              <w:t>Removal of knowledge barriers could result in more manufacturers understanding their obligations and not retaliate against suppliers.</w:t>
            </w:r>
          </w:p>
          <w:p w14:paraId="18F522CA" w14:textId="77777777" w:rsidR="003F0E0B" w:rsidRDefault="003F0E0B" w:rsidP="00B20812">
            <w:pPr>
              <w:pStyle w:val="Bullet"/>
              <w:widowControl w:val="0"/>
              <w:numPr>
                <w:ilvl w:val="0"/>
                <w:numId w:val="12"/>
              </w:numPr>
              <w:spacing w:line="280" w:lineRule="exact"/>
              <w:jc w:val="left"/>
            </w:pPr>
            <w:r>
              <w:t>Suppliers may pursue indemnification for failures within the manufacturer’s responsibility more often than they otherwise would have, because manufacturers are better informed of their indemnification obligations</w:t>
            </w:r>
          </w:p>
          <w:p w14:paraId="0F4467C4" w14:textId="77777777" w:rsidR="003F0E0B" w:rsidRDefault="003F0E0B" w:rsidP="00B20812">
            <w:pPr>
              <w:pStyle w:val="Bullet"/>
              <w:widowControl w:val="0"/>
              <w:numPr>
                <w:ilvl w:val="0"/>
                <w:numId w:val="12"/>
              </w:numPr>
              <w:spacing w:line="280" w:lineRule="exact"/>
              <w:jc w:val="left"/>
            </w:pPr>
            <w:r>
              <w:t>Possible time and resource savings for suppliers in negotiating / discussing individual cases for indemnification with manufacturers.</w:t>
            </w:r>
          </w:p>
          <w:p w14:paraId="53B7BAB3" w14:textId="4E4D8F83" w:rsidR="003F0E0B" w:rsidRDefault="003F0E0B" w:rsidP="00B20812">
            <w:pPr>
              <w:pStyle w:val="Bullet"/>
              <w:widowControl w:val="0"/>
              <w:numPr>
                <w:ilvl w:val="0"/>
                <w:numId w:val="12"/>
              </w:numPr>
              <w:spacing w:before="120" w:line="280" w:lineRule="exact"/>
              <w:jc w:val="left"/>
            </w:pPr>
            <w:r>
              <w:t>Suppliers may provide more remedies to consumers if there is greater awareness of the indemnification obligations.</w:t>
            </w:r>
          </w:p>
        </w:tc>
        <w:tc>
          <w:tcPr>
            <w:tcW w:w="2500" w:type="pct"/>
          </w:tcPr>
          <w:p w14:paraId="7A50D1A2" w14:textId="77777777" w:rsidR="003F0E0B" w:rsidRDefault="003F0E0B" w:rsidP="00B20812">
            <w:pPr>
              <w:pStyle w:val="Bullet"/>
              <w:widowControl w:val="0"/>
              <w:numPr>
                <w:ilvl w:val="0"/>
                <w:numId w:val="12"/>
              </w:numPr>
              <w:spacing w:line="280" w:lineRule="exact"/>
              <w:jc w:val="left"/>
            </w:pPr>
            <w:r>
              <w:t>Increased cost to manufacturers of indemnifying suppliers for failures within the manufacturer’s responsibility.</w:t>
            </w:r>
          </w:p>
          <w:p w14:paraId="024AF578" w14:textId="06C06F96" w:rsidR="000C19B7" w:rsidRDefault="003F0E0B" w:rsidP="00B20812">
            <w:pPr>
              <w:pStyle w:val="Bullet"/>
              <w:widowControl w:val="0"/>
              <w:numPr>
                <w:ilvl w:val="0"/>
                <w:numId w:val="12"/>
              </w:numPr>
              <w:spacing w:before="120" w:line="280" w:lineRule="exact"/>
              <w:jc w:val="left"/>
            </w:pPr>
            <w:r>
              <w:t xml:space="preserve">Cost to Government of delivering an education and </w:t>
            </w:r>
            <w:r w:rsidR="001F245C">
              <w:t xml:space="preserve">guidance </w:t>
            </w:r>
            <w:r>
              <w:t>campaign.</w:t>
            </w:r>
          </w:p>
        </w:tc>
      </w:tr>
    </w:tbl>
    <w:p w14:paraId="53870498" w14:textId="77777777" w:rsidR="000C19B7" w:rsidRDefault="000C19B7" w:rsidP="000C19B7"/>
    <w:p w14:paraId="16840893" w14:textId="3624F505" w:rsidR="009A5ACD" w:rsidRDefault="00702A68" w:rsidP="009A5ACD">
      <w:pPr>
        <w:pStyle w:val="Heading3"/>
      </w:pPr>
      <w:bookmarkStart w:id="217" w:name="_Toc89700946"/>
      <w:r>
        <w:t xml:space="preserve">Part B, </w:t>
      </w:r>
      <w:r w:rsidR="009A5ACD">
        <w:t>O</w:t>
      </w:r>
      <w:r w:rsidR="009A5ACD" w:rsidRPr="00A500CA">
        <w:t xml:space="preserve">ption </w:t>
      </w:r>
      <w:r w:rsidR="009A5ACD">
        <w:t>3</w:t>
      </w:r>
      <w:r w:rsidR="009A5ACD" w:rsidRPr="00A500CA">
        <w:t xml:space="preserve"> – </w:t>
      </w:r>
      <w:r w:rsidR="006362C7" w:rsidRPr="006362C7">
        <w:t xml:space="preserve">a prohibition against not </w:t>
      </w:r>
      <w:r w:rsidR="006362C7">
        <w:t>indemnifying suppliers</w:t>
      </w:r>
      <w:r w:rsidR="00EE145D">
        <w:t>,</w:t>
      </w:r>
      <w:r w:rsidR="006362C7">
        <w:t xml:space="preserve"> </w:t>
      </w:r>
      <w:r w:rsidR="006362C7" w:rsidRPr="006362C7">
        <w:t>supported by penalties and other enforcement mechanisms</w:t>
      </w:r>
      <w:bookmarkEnd w:id="213"/>
      <w:bookmarkEnd w:id="214"/>
      <w:bookmarkEnd w:id="217"/>
    </w:p>
    <w:p w14:paraId="09196998" w14:textId="229CFA73" w:rsidR="008249B7" w:rsidRDefault="008249B7" w:rsidP="008249B7">
      <w:pPr>
        <w:pStyle w:val="Heading4"/>
      </w:pPr>
      <w:r>
        <w:t>Increased incentives for indemnifying supplie</w:t>
      </w:r>
      <w:r w:rsidR="00EE145D">
        <w:t>r</w:t>
      </w:r>
      <w:r>
        <w:t>s through stronger enforcement options</w:t>
      </w:r>
    </w:p>
    <w:p w14:paraId="1A54CEEB" w14:textId="77777777" w:rsidR="00EF0A15" w:rsidRDefault="008249B7" w:rsidP="008249B7">
      <w:pPr>
        <w:rPr>
          <w:rFonts w:eastAsia="Calibri"/>
        </w:rPr>
      </w:pPr>
      <w:r>
        <w:rPr>
          <w:rFonts w:eastAsia="Calibri"/>
        </w:rPr>
        <w:t xml:space="preserve">Option 3 would involve creating a stronger incentive for compliance by amending the ACL to prohibit manufacturers from failing to indemnify suppliers </w:t>
      </w:r>
      <w:r w:rsidR="00691C24">
        <w:rPr>
          <w:rFonts w:eastAsia="Calibri"/>
        </w:rPr>
        <w:t>for manufacturer faults</w:t>
      </w:r>
      <w:r>
        <w:rPr>
          <w:rFonts w:eastAsia="Calibri"/>
        </w:rPr>
        <w:t xml:space="preserve">. </w:t>
      </w:r>
      <w:r w:rsidR="00691C24">
        <w:rPr>
          <w:rFonts w:eastAsia="Calibri"/>
        </w:rPr>
        <w:t>Where a manufacturer fails</w:t>
      </w:r>
      <w:r w:rsidR="00CC2A66">
        <w:rPr>
          <w:rFonts w:eastAsia="Calibri"/>
        </w:rPr>
        <w:t xml:space="preserve"> to </w:t>
      </w:r>
      <w:r w:rsidR="00691C24">
        <w:rPr>
          <w:rFonts w:eastAsia="Calibri"/>
        </w:rPr>
        <w:t>provide such indemnification</w:t>
      </w:r>
      <w:r w:rsidR="00CC2A66">
        <w:rPr>
          <w:rFonts w:eastAsia="Calibri"/>
        </w:rPr>
        <w:t>, this could constitute a breach of the ACL,</w:t>
      </w:r>
      <w:r>
        <w:rPr>
          <w:rFonts w:eastAsia="Calibri"/>
        </w:rPr>
        <w:t xml:space="preserve"> for which</w:t>
      </w:r>
      <w:r w:rsidR="00EF0A15">
        <w:rPr>
          <w:rFonts w:eastAsia="Calibri"/>
        </w:rPr>
        <w:t>:</w:t>
      </w:r>
    </w:p>
    <w:p w14:paraId="33687161" w14:textId="77777777" w:rsidR="00D56E6D" w:rsidRPr="00776528" w:rsidRDefault="00D56E6D" w:rsidP="00C04EDD">
      <w:pPr>
        <w:pStyle w:val="Dash"/>
        <w:rPr>
          <w:rFonts w:eastAsiaTheme="majorEastAsia"/>
        </w:rPr>
      </w:pPr>
      <w:r>
        <w:rPr>
          <w:rFonts w:eastAsia="Calibri"/>
        </w:rPr>
        <w:lastRenderedPageBreak/>
        <w:t xml:space="preserve">a court could issue </w:t>
      </w:r>
      <w:r w:rsidRPr="00004DC8">
        <w:rPr>
          <w:rFonts w:eastAsia="Calibri"/>
        </w:rPr>
        <w:t>a civil pecuniary penalty</w:t>
      </w:r>
      <w:r>
        <w:rPr>
          <w:rFonts w:eastAsia="Calibri"/>
        </w:rPr>
        <w:t xml:space="preserve"> and </w:t>
      </w:r>
      <w:r w:rsidRPr="00004DC8">
        <w:rPr>
          <w:rFonts w:eastAsia="Calibri"/>
        </w:rPr>
        <w:t>injunctions</w:t>
      </w:r>
      <w:r>
        <w:rPr>
          <w:rFonts w:eastAsia="Calibri"/>
        </w:rPr>
        <w:t xml:space="preserve"> against a manufacturer for a contravention of the </w:t>
      </w:r>
      <w:r w:rsidRPr="00C84FE9">
        <w:rPr>
          <w:rFonts w:eastAsiaTheme="majorEastAsia"/>
        </w:rPr>
        <w:t>obligation to provide indemnification</w:t>
      </w:r>
      <w:r>
        <w:rPr>
          <w:rFonts w:eastAsia="Calibri"/>
        </w:rPr>
        <w:t>, which could</w:t>
      </w:r>
      <w:r w:rsidRPr="00004DC8">
        <w:rPr>
          <w:rFonts w:eastAsia="Calibri"/>
        </w:rPr>
        <w:t xml:space="preserve"> require </w:t>
      </w:r>
      <w:r>
        <w:rPr>
          <w:rFonts w:eastAsia="Calibri"/>
        </w:rPr>
        <w:t xml:space="preserve">the </w:t>
      </w:r>
      <w:r w:rsidRPr="00004DC8">
        <w:rPr>
          <w:rFonts w:eastAsia="Calibri"/>
        </w:rPr>
        <w:t>businesses to act, or refrain from acting, in a certain way</w:t>
      </w:r>
    </w:p>
    <w:p w14:paraId="2D7A3B3E" w14:textId="69C97D11" w:rsidR="00A86F78" w:rsidRPr="00922D6B" w:rsidRDefault="00D56E6D" w:rsidP="00CD49F8">
      <w:pPr>
        <w:pStyle w:val="Dash"/>
        <w:rPr>
          <w:rFonts w:eastAsia="Calibri"/>
        </w:rPr>
      </w:pPr>
      <w:r w:rsidRPr="00922D6B">
        <w:rPr>
          <w:rFonts w:eastAsiaTheme="majorEastAsia"/>
        </w:rPr>
        <w:t>the ACCC</w:t>
      </w:r>
      <w:r w:rsidR="00A86F78" w:rsidRPr="00922D6B">
        <w:rPr>
          <w:rFonts w:eastAsiaTheme="majorEastAsia"/>
        </w:rPr>
        <w:t xml:space="preserve"> would be given the ability to issue infringement notices where they have reasonable grounds to believe that a manufacturer has contravened the obligation to provide indemnification.</w:t>
      </w:r>
    </w:p>
    <w:p w14:paraId="7E174486" w14:textId="596054E8" w:rsidR="006D4912" w:rsidRDefault="006D4912" w:rsidP="006D4912">
      <w:pPr>
        <w:rPr>
          <w:rFonts w:eastAsia="Calibri"/>
        </w:rPr>
      </w:pPr>
      <w:r>
        <w:rPr>
          <w:rFonts w:eastAsiaTheme="majorEastAsia" w:cstheme="majorBidi"/>
          <w:bCs/>
        </w:rPr>
        <w:t xml:space="preserve">As discussed in Part A of this Consultation RIS, these additional tools </w:t>
      </w:r>
      <w:r w:rsidR="00EF0A15">
        <w:rPr>
          <w:rFonts w:eastAsiaTheme="majorEastAsia" w:cstheme="majorBidi"/>
          <w:bCs/>
        </w:rPr>
        <w:t xml:space="preserve">for regulators and powers for courts </w:t>
      </w:r>
      <w:r>
        <w:rPr>
          <w:rFonts w:eastAsiaTheme="majorEastAsia" w:cstheme="majorBidi"/>
          <w:bCs/>
        </w:rPr>
        <w:t>would help to improve wider compliance</w:t>
      </w:r>
      <w:r w:rsidR="00EF0A15">
        <w:rPr>
          <w:rFonts w:eastAsiaTheme="majorEastAsia" w:cstheme="majorBidi"/>
          <w:bCs/>
        </w:rPr>
        <w:t>.</w:t>
      </w:r>
      <w:r w:rsidR="0064342D">
        <w:rPr>
          <w:rFonts w:eastAsiaTheme="majorEastAsia" w:cstheme="majorBidi"/>
          <w:bCs/>
        </w:rPr>
        <w:t xml:space="preserve"> </w:t>
      </w:r>
      <w:r w:rsidR="00EF0A15">
        <w:rPr>
          <w:rFonts w:eastAsiaTheme="majorEastAsia" w:cstheme="majorBidi"/>
          <w:bCs/>
        </w:rPr>
        <w:t>That is, t</w:t>
      </w:r>
      <w:r>
        <w:rPr>
          <w:rFonts w:eastAsiaTheme="majorEastAsia" w:cstheme="majorBidi"/>
          <w:bCs/>
        </w:rPr>
        <w:t xml:space="preserve">he possibility of enforcement action by regulators </w:t>
      </w:r>
      <w:r w:rsidR="00EF0A15">
        <w:rPr>
          <w:rFonts w:eastAsiaTheme="majorEastAsia" w:cstheme="majorBidi"/>
          <w:bCs/>
        </w:rPr>
        <w:t xml:space="preserve">or possibility of receiving a civil pecuniary penalty </w:t>
      </w:r>
      <w:r>
        <w:rPr>
          <w:rFonts w:eastAsiaTheme="majorEastAsia" w:cstheme="majorBidi"/>
          <w:bCs/>
        </w:rPr>
        <w:t xml:space="preserve">may incentivise manufacturers to proactively improve compliance with their indemnification obligations. </w:t>
      </w:r>
      <w:r w:rsidR="00D56E6D">
        <w:rPr>
          <w:rFonts w:eastAsiaTheme="majorEastAsia" w:cstheme="majorBidi"/>
          <w:bCs/>
        </w:rPr>
        <w:t>H</w:t>
      </w:r>
      <w:r w:rsidR="00A87003">
        <w:rPr>
          <w:rFonts w:eastAsiaTheme="majorEastAsia" w:cstheme="majorBidi"/>
          <w:bCs/>
        </w:rPr>
        <w:t xml:space="preserve">owever, this option may not necessarily overcome a concern some businesses have raised that taking action (including through complaints to ACL regulators) would </w:t>
      </w:r>
      <w:r w:rsidR="00A87003" w:rsidRPr="001147AB">
        <w:rPr>
          <w:rFonts w:eastAsia="Calibri"/>
        </w:rPr>
        <w:t>damag</w:t>
      </w:r>
      <w:r w:rsidR="00A87003">
        <w:rPr>
          <w:rFonts w:eastAsia="Calibri"/>
        </w:rPr>
        <w:t>e</w:t>
      </w:r>
      <w:r w:rsidR="00A87003" w:rsidRPr="001147AB">
        <w:rPr>
          <w:rFonts w:eastAsia="Calibri"/>
        </w:rPr>
        <w:t xml:space="preserve"> contractual relationships.</w:t>
      </w:r>
      <w:r w:rsidR="00A87003">
        <w:rPr>
          <w:rFonts w:eastAsia="Calibri"/>
        </w:rPr>
        <w:t xml:space="preserve"> </w:t>
      </w:r>
    </w:p>
    <w:p w14:paraId="7200F6F3" w14:textId="7D272302" w:rsidR="003164AB" w:rsidRDefault="008249B7" w:rsidP="008249B7">
      <w:pPr>
        <w:rPr>
          <w:rFonts w:eastAsia="Calibri"/>
        </w:rPr>
      </w:pPr>
      <w:r>
        <w:rPr>
          <w:rFonts w:eastAsia="Calibri"/>
        </w:rPr>
        <w:t>In general, the threat of a civil pecuniary penalty may discourage non-compliant manufacturers from simply refusing to indemnify suppliers</w:t>
      </w:r>
      <w:r w:rsidRPr="00205E5C">
        <w:rPr>
          <w:rFonts w:eastAsia="Calibri"/>
        </w:rPr>
        <w:t>.</w:t>
      </w:r>
      <w:r>
        <w:rPr>
          <w:rFonts w:eastAsia="Calibri"/>
        </w:rPr>
        <w:t xml:space="preserve"> If these manufacturers approach indemnification requests on their merits, suppliers</w:t>
      </w:r>
      <w:r w:rsidR="006D4912">
        <w:rPr>
          <w:rFonts w:eastAsia="Calibri"/>
        </w:rPr>
        <w:t xml:space="preserve">, especially those </w:t>
      </w:r>
      <w:r w:rsidR="006D4912">
        <w:rPr>
          <w:rFonts w:eastAsiaTheme="majorEastAsia" w:cstheme="majorBidi"/>
          <w:bCs/>
        </w:rPr>
        <w:t>unable to litigate to enforce their rights because of a lack of financial resources,</w:t>
      </w:r>
      <w:r w:rsidR="006D4912">
        <w:rPr>
          <w:rFonts w:eastAsia="Calibri"/>
        </w:rPr>
        <w:t xml:space="preserve"> </w:t>
      </w:r>
      <w:r>
        <w:rPr>
          <w:rFonts w:eastAsia="Calibri"/>
        </w:rPr>
        <w:t>would be out of pocket on fewer occasions (and may thus be</w:t>
      </w:r>
      <w:r w:rsidRPr="00205E5C">
        <w:rPr>
          <w:rFonts w:eastAsia="Calibri"/>
        </w:rPr>
        <w:t xml:space="preserve"> less reluctant t</w:t>
      </w:r>
      <w:r>
        <w:rPr>
          <w:rFonts w:eastAsia="Calibri"/>
        </w:rPr>
        <w:t>o provide remedies to consumers).</w:t>
      </w:r>
    </w:p>
    <w:p w14:paraId="72C09716" w14:textId="5140E0DC" w:rsidR="003164AB" w:rsidRDefault="003164AB" w:rsidP="003164AB">
      <w:pPr>
        <w:pStyle w:val="Heading4"/>
        <w:rPr>
          <w:rFonts w:eastAsia="Calibri"/>
        </w:rPr>
      </w:pPr>
      <w:r>
        <w:rPr>
          <w:rFonts w:eastAsia="Calibri"/>
        </w:rPr>
        <w:t xml:space="preserve">Rebalancing of who bears costs for failures </w:t>
      </w:r>
    </w:p>
    <w:p w14:paraId="4C4468CF" w14:textId="0A00FE75" w:rsidR="008249B7" w:rsidRDefault="008249B7" w:rsidP="008249B7">
      <w:pPr>
        <w:rPr>
          <w:rFonts w:eastAsia="Calibri"/>
        </w:rPr>
      </w:pPr>
      <w:r>
        <w:rPr>
          <w:rFonts w:eastAsia="Calibri"/>
        </w:rPr>
        <w:t>Where costs of remedies are passed back up the supply chain to manufacturers, they may reflect these costs in the wholesale prices of their products. However, this may not necessarily lead to increased retail prices</w:t>
      </w:r>
      <w:r w:rsidR="002241F7">
        <w:rPr>
          <w:rFonts w:eastAsia="Calibri"/>
        </w:rPr>
        <w:t>.</w:t>
      </w:r>
      <w:r>
        <w:rPr>
          <w:rFonts w:eastAsia="Calibri"/>
        </w:rPr>
        <w:t xml:space="preserve"> </w:t>
      </w:r>
      <w:r w:rsidR="003164AB">
        <w:rPr>
          <w:rFonts w:eastAsia="Calibri"/>
        </w:rPr>
        <w:t>S</w:t>
      </w:r>
      <w:r>
        <w:rPr>
          <w:rFonts w:eastAsia="Calibri"/>
        </w:rPr>
        <w:t>ome retail prices paid by consumers are set with reference to suppliers incurring costs in providing consumer guarantees remedies which are not subsequently reimbursed by manufacturers.</w:t>
      </w:r>
    </w:p>
    <w:p w14:paraId="7775A709" w14:textId="268C475F" w:rsidR="008249B7" w:rsidRDefault="008249B7" w:rsidP="008249B7">
      <w:pPr>
        <w:rPr>
          <w:rFonts w:eastAsia="Calibri"/>
        </w:rPr>
      </w:pPr>
      <w:r>
        <w:rPr>
          <w:rFonts w:eastAsia="Calibri"/>
        </w:rPr>
        <w:t xml:space="preserve">By incurring the indemnification cost when failures lie within their responsibility, manufacturers </w:t>
      </w:r>
      <w:r w:rsidR="00AF22D2">
        <w:rPr>
          <w:rFonts w:eastAsia="Calibri"/>
        </w:rPr>
        <w:t xml:space="preserve">may </w:t>
      </w:r>
      <w:r>
        <w:rPr>
          <w:rFonts w:eastAsia="Calibri"/>
        </w:rPr>
        <w:t xml:space="preserve">have a greater incentive to improve the quality of their goods, which </w:t>
      </w:r>
      <w:r w:rsidR="00AF22D2">
        <w:rPr>
          <w:rFonts w:eastAsia="Calibri"/>
        </w:rPr>
        <w:t xml:space="preserve">could </w:t>
      </w:r>
      <w:r>
        <w:rPr>
          <w:rFonts w:eastAsia="Calibri"/>
        </w:rPr>
        <w:t xml:space="preserve">reduce transaction costs for all parties given fewer remedies would be sought/needed. </w:t>
      </w:r>
      <w:r w:rsidR="00BB0011">
        <w:rPr>
          <w:rFonts w:eastAsia="Calibri"/>
        </w:rPr>
        <w:t>T</w:t>
      </w:r>
      <w:r>
        <w:rPr>
          <w:rFonts w:eastAsia="Calibri"/>
        </w:rPr>
        <w:t>here is a risk some manufacturers will be more cautious in bringing new goods to market until they have a high level of certainty about its quality, which may constrain innovation and product choice.</w:t>
      </w:r>
      <w:r w:rsidRPr="005415D0">
        <w:rPr>
          <w:rFonts w:eastAsia="Calibri"/>
        </w:rPr>
        <w:t xml:space="preserve"> </w:t>
      </w:r>
      <w:r>
        <w:rPr>
          <w:rFonts w:eastAsia="Calibri"/>
        </w:rPr>
        <w:t xml:space="preserve">However, increased research and development before a product is released may also increase </w:t>
      </w:r>
      <w:r w:rsidR="00207CE9">
        <w:rPr>
          <w:rFonts w:eastAsia="Calibri"/>
        </w:rPr>
        <w:t>innovation if</w:t>
      </w:r>
      <w:r>
        <w:rPr>
          <w:rFonts w:eastAsia="Calibri"/>
        </w:rPr>
        <w:t xml:space="preserve"> solutions are discovered in this process.</w:t>
      </w:r>
    </w:p>
    <w:p w14:paraId="1E4D2725" w14:textId="14AD3022" w:rsidR="003164AB" w:rsidRPr="00B33C48" w:rsidRDefault="003164AB" w:rsidP="003164AB">
      <w:pPr>
        <w:pStyle w:val="Heading4"/>
        <w:rPr>
          <w:rFonts w:eastAsiaTheme="majorEastAsia"/>
        </w:rPr>
      </w:pPr>
      <w:r>
        <w:rPr>
          <w:rFonts w:eastAsiaTheme="majorEastAsia"/>
        </w:rPr>
        <w:lastRenderedPageBreak/>
        <w:t xml:space="preserve">Manufacturers </w:t>
      </w:r>
      <w:r w:rsidR="001E41D6">
        <w:rPr>
          <w:rFonts w:eastAsiaTheme="majorEastAsia"/>
        </w:rPr>
        <w:t>c</w:t>
      </w:r>
      <w:r>
        <w:rPr>
          <w:rFonts w:eastAsiaTheme="majorEastAsia"/>
        </w:rPr>
        <w:t xml:space="preserve">ould still dispute claims on their merits </w:t>
      </w:r>
    </w:p>
    <w:p w14:paraId="10E38A4A" w14:textId="224D5361" w:rsidR="003164AB" w:rsidRDefault="003164AB" w:rsidP="003164AB">
      <w:pPr>
        <w:rPr>
          <w:rFonts w:eastAsiaTheme="majorEastAsia" w:cstheme="majorBidi"/>
          <w:bCs/>
        </w:rPr>
      </w:pPr>
      <w:r>
        <w:rPr>
          <w:rFonts w:eastAsiaTheme="majorEastAsia" w:cstheme="majorBidi"/>
          <w:bCs/>
        </w:rPr>
        <w:t>This option would not change the fact manufacturers would still be able to dispute supplier claims for indemnification on their merits if the manufacturer considers there has not been a manufacture</w:t>
      </w:r>
      <w:r w:rsidR="004F3590">
        <w:rPr>
          <w:rFonts w:eastAsiaTheme="majorEastAsia" w:cstheme="majorBidi"/>
          <w:bCs/>
        </w:rPr>
        <w:t>r</w:t>
      </w:r>
      <w:r>
        <w:rPr>
          <w:rFonts w:eastAsiaTheme="majorEastAsia" w:cstheme="majorBidi"/>
          <w:bCs/>
        </w:rPr>
        <w:t xml:space="preserve"> fault. </w:t>
      </w:r>
      <w:r w:rsidR="00BB0011">
        <w:rPr>
          <w:rFonts w:eastAsiaTheme="majorEastAsia" w:cstheme="majorBidi"/>
          <w:bCs/>
        </w:rPr>
        <w:t>Any genuine disagreement would</w:t>
      </w:r>
      <w:r w:rsidR="002414CD">
        <w:rPr>
          <w:rFonts w:eastAsiaTheme="majorEastAsia" w:cstheme="majorBidi"/>
          <w:bCs/>
        </w:rPr>
        <w:t xml:space="preserve"> need to </w:t>
      </w:r>
      <w:r w:rsidR="00BB0011">
        <w:rPr>
          <w:rFonts w:eastAsiaTheme="majorEastAsia" w:cstheme="majorBidi"/>
          <w:bCs/>
        </w:rPr>
        <w:t xml:space="preserve">be </w:t>
      </w:r>
      <w:r w:rsidR="00A17C49">
        <w:rPr>
          <w:rFonts w:eastAsiaTheme="majorEastAsia" w:cstheme="majorBidi"/>
          <w:bCs/>
        </w:rPr>
        <w:t xml:space="preserve">considered </w:t>
      </w:r>
      <w:r w:rsidR="00BB0011">
        <w:rPr>
          <w:rFonts w:eastAsiaTheme="majorEastAsia" w:cstheme="majorBidi"/>
          <w:bCs/>
        </w:rPr>
        <w:t xml:space="preserve">by a court or tribunal </w:t>
      </w:r>
      <w:r w:rsidR="00A17C49">
        <w:rPr>
          <w:rFonts w:eastAsiaTheme="majorEastAsia" w:cstheme="majorBidi"/>
          <w:bCs/>
        </w:rPr>
        <w:t>on its merits.</w:t>
      </w:r>
    </w:p>
    <w:p w14:paraId="68181D52" w14:textId="0B847134" w:rsidR="005A1DCE" w:rsidRDefault="0023089A" w:rsidP="005A1DCE">
      <w:pPr>
        <w:pStyle w:val="Heading4"/>
      </w:pPr>
      <w:r>
        <w:t>Estimated c</w:t>
      </w:r>
      <w:r w:rsidR="005A1DCE">
        <w:t xml:space="preserve">ost and benefit </w:t>
      </w:r>
      <w:r w:rsidR="00156745">
        <w:t>analysis</w:t>
      </w:r>
    </w:p>
    <w:p w14:paraId="5ED68816" w14:textId="5FA61D9F" w:rsidR="00434F22" w:rsidRPr="00434F22" w:rsidRDefault="00A86F78" w:rsidP="00434F22">
      <w:r w:rsidRPr="00FC03F9">
        <w:t xml:space="preserve">This option is premised </w:t>
      </w:r>
      <w:r w:rsidR="002414CD">
        <w:t xml:space="preserve">that </w:t>
      </w:r>
      <w:r>
        <w:t xml:space="preserve">manufacturers </w:t>
      </w:r>
      <w:r w:rsidRPr="00FC03F9">
        <w:t xml:space="preserve">are more likely to </w:t>
      </w:r>
      <w:r>
        <w:t xml:space="preserve">meet their indemnification obligations if </w:t>
      </w:r>
      <w:r w:rsidRPr="00E52AF3">
        <w:t xml:space="preserve">there is a legal and monetary incentive </w:t>
      </w:r>
      <w:r>
        <w:t>for them to do so.</w:t>
      </w:r>
      <w:r w:rsidRPr="00E52AF3">
        <w:t xml:space="preserve"> As a result, more indemnification is provided</w:t>
      </w:r>
      <w:r>
        <w:t xml:space="preserve"> to</w:t>
      </w:r>
      <w:r w:rsidRPr="00E52AF3">
        <w:t xml:space="preserve"> suppliers for remedies they provide to </w:t>
      </w:r>
      <w:r w:rsidR="00207CE9" w:rsidRPr="00E52AF3">
        <w:t>consumers.</w:t>
      </w:r>
      <w:r w:rsidR="00E52AF3" w:rsidRPr="00E52AF3">
        <w:t xml:space="preserve"> Subsequently, suppliers </w:t>
      </w:r>
      <w:r w:rsidR="00772A86">
        <w:t>may be</w:t>
      </w:r>
      <w:r w:rsidR="00772A86" w:rsidRPr="00E52AF3">
        <w:t xml:space="preserve"> </w:t>
      </w:r>
      <w:r w:rsidR="00E52AF3" w:rsidRPr="00E52AF3">
        <w:t xml:space="preserve">less reluctant to provide remedies to </w:t>
      </w:r>
      <w:r w:rsidR="00374D80" w:rsidRPr="00E52AF3">
        <w:t>consumers because</w:t>
      </w:r>
      <w:r w:rsidR="00E52AF3" w:rsidRPr="00E52AF3">
        <w:t xml:space="preserve"> they have increased confidence of being indemnified.</w:t>
      </w:r>
      <w:r w:rsidR="00E52AF3">
        <w:t xml:space="preserve"> </w:t>
      </w:r>
      <w:r w:rsidR="00434F22" w:rsidRPr="00397B68">
        <w:rPr>
          <w:rFonts w:eastAsiaTheme="majorEastAsia" w:cstheme="majorBidi"/>
          <w:bCs/>
        </w:rPr>
        <w:t>As with status quo, suppliers are assumed to only seek indemnification from manufacturers 90</w:t>
      </w:r>
      <w:r w:rsidR="003A48A8">
        <w:rPr>
          <w:rFonts w:eastAsiaTheme="majorEastAsia" w:cstheme="majorBidi"/>
          <w:bCs/>
        </w:rPr>
        <w:t xml:space="preserve"> per cent</w:t>
      </w:r>
      <w:r w:rsidR="00434F22" w:rsidRPr="00397B68">
        <w:rPr>
          <w:rFonts w:eastAsiaTheme="majorEastAsia" w:cstheme="majorBidi"/>
          <w:bCs/>
        </w:rPr>
        <w:t xml:space="preserve"> of time where they have provided a consumer with a remedy and do not for the remaining 10</w:t>
      </w:r>
      <w:r w:rsidR="003A48A8">
        <w:rPr>
          <w:rFonts w:eastAsiaTheme="majorEastAsia" w:cstheme="majorBidi"/>
          <w:bCs/>
        </w:rPr>
        <w:t xml:space="preserve"> per cent</w:t>
      </w:r>
      <w:r w:rsidR="00434F22" w:rsidRPr="00397B68">
        <w:rPr>
          <w:rFonts w:eastAsiaTheme="majorEastAsia" w:cstheme="majorBidi"/>
          <w:bCs/>
        </w:rPr>
        <w:t xml:space="preserve"> (</w:t>
      </w:r>
      <w:r w:rsidR="00207CE9" w:rsidRPr="00397B68">
        <w:rPr>
          <w:rFonts w:eastAsiaTheme="majorEastAsia" w:cstheme="majorBidi"/>
          <w:bCs/>
        </w:rPr>
        <w:t>e.g.</w:t>
      </w:r>
      <w:r w:rsidR="00434F22" w:rsidRPr="00397B68">
        <w:rPr>
          <w:rFonts w:eastAsiaTheme="majorEastAsia" w:cstheme="majorBidi"/>
          <w:bCs/>
        </w:rPr>
        <w:t xml:space="preserve"> fear of retaliation). For suppliers that do seek indemnification, it is assumed appropriate indemnification is provided 80</w:t>
      </w:r>
      <w:r w:rsidR="003A48A8">
        <w:rPr>
          <w:rFonts w:eastAsiaTheme="majorEastAsia" w:cstheme="majorBidi"/>
          <w:bCs/>
        </w:rPr>
        <w:t xml:space="preserve"> per cent</w:t>
      </w:r>
      <w:r w:rsidR="00434F22" w:rsidRPr="00397B68">
        <w:rPr>
          <w:rFonts w:eastAsiaTheme="majorEastAsia" w:cstheme="majorBidi"/>
          <w:bCs/>
        </w:rPr>
        <w:t xml:space="preserve"> of the time. As a result, it is assumed 72</w:t>
      </w:r>
      <w:r w:rsidR="003A48A8">
        <w:rPr>
          <w:rFonts w:eastAsiaTheme="majorEastAsia" w:cstheme="majorBidi"/>
          <w:bCs/>
        </w:rPr>
        <w:t xml:space="preserve"> per cent</w:t>
      </w:r>
      <w:r w:rsidR="00434F22" w:rsidRPr="00397B68">
        <w:rPr>
          <w:rFonts w:eastAsiaTheme="majorEastAsia" w:cstheme="majorBidi"/>
          <w:bCs/>
        </w:rPr>
        <w:t xml:space="preserve"> of all remedies provided by suppliers are appropriately indemnified by manufacturers.</w:t>
      </w:r>
    </w:p>
    <w:p w14:paraId="4FC2BA89" w14:textId="12FBBA60" w:rsidR="00922D6B" w:rsidRDefault="002414CD" w:rsidP="00070737">
      <w:pPr>
        <w:rPr>
          <w:rFonts w:eastAsiaTheme="majorEastAsia"/>
        </w:rPr>
      </w:pPr>
      <w:r>
        <w:rPr>
          <w:rFonts w:eastAsiaTheme="majorEastAsia"/>
        </w:rPr>
        <w:t>F</w:t>
      </w:r>
      <w:r w:rsidR="00BA525E">
        <w:rPr>
          <w:rFonts w:eastAsiaTheme="majorEastAsia"/>
        </w:rPr>
        <w:t xml:space="preserve">or the purposes of </w:t>
      </w:r>
      <w:r>
        <w:rPr>
          <w:rFonts w:eastAsiaTheme="majorEastAsia"/>
        </w:rPr>
        <w:t>the consultation RIS</w:t>
      </w:r>
      <w:r w:rsidR="00BA525E">
        <w:rPr>
          <w:rFonts w:eastAsiaTheme="majorEastAsia"/>
        </w:rPr>
        <w:t xml:space="preserve">, </w:t>
      </w:r>
      <w:r w:rsidR="00434F22" w:rsidRPr="00397B68">
        <w:rPr>
          <w:rFonts w:eastAsiaTheme="majorEastAsia"/>
        </w:rPr>
        <w:t>it is assumed the rate at which suppliers are indemnified increases by 0.5</w:t>
      </w:r>
      <w:r w:rsidR="003A48A8">
        <w:rPr>
          <w:rFonts w:eastAsiaTheme="majorEastAsia"/>
        </w:rPr>
        <w:t xml:space="preserve"> per cent</w:t>
      </w:r>
      <w:r w:rsidR="00434F22" w:rsidRPr="00397B68">
        <w:rPr>
          <w:rFonts w:eastAsiaTheme="majorEastAsia"/>
        </w:rPr>
        <w:t xml:space="preserve"> per </w:t>
      </w:r>
      <w:r w:rsidR="00434F22">
        <w:rPr>
          <w:rFonts w:eastAsiaTheme="majorEastAsia"/>
        </w:rPr>
        <w:t>year</w:t>
      </w:r>
      <w:r w:rsidR="00434F22" w:rsidRPr="00397B68">
        <w:rPr>
          <w:rFonts w:eastAsiaTheme="majorEastAsia"/>
        </w:rPr>
        <w:t xml:space="preserve"> from 80</w:t>
      </w:r>
      <w:r w:rsidR="003A48A8">
        <w:rPr>
          <w:rFonts w:eastAsiaTheme="majorEastAsia"/>
        </w:rPr>
        <w:t xml:space="preserve"> per cent</w:t>
      </w:r>
      <w:r w:rsidR="00434F22" w:rsidRPr="00397B68">
        <w:rPr>
          <w:rFonts w:eastAsiaTheme="majorEastAsia"/>
        </w:rPr>
        <w:t xml:space="preserve"> in 2020-21 to 85</w:t>
      </w:r>
      <w:r w:rsidR="003A48A8">
        <w:rPr>
          <w:rFonts w:eastAsiaTheme="majorEastAsia"/>
        </w:rPr>
        <w:t xml:space="preserve"> per cent</w:t>
      </w:r>
      <w:r w:rsidR="00434F22" w:rsidRPr="00397B68">
        <w:rPr>
          <w:rFonts w:eastAsiaTheme="majorEastAsia"/>
        </w:rPr>
        <w:t xml:space="preserve"> by 2030-31. </w:t>
      </w:r>
      <w:r w:rsidR="00BA525E">
        <w:rPr>
          <w:rFonts w:eastAsiaTheme="majorEastAsia"/>
        </w:rPr>
        <w:t xml:space="preserve">However, it is also assumed the actual rate of suppliers who seek indemnification does not change. </w:t>
      </w:r>
      <w:r w:rsidR="00434F22" w:rsidRPr="00BB630E">
        <w:rPr>
          <w:rFonts w:eastAsiaTheme="majorEastAsia"/>
        </w:rPr>
        <w:t xml:space="preserve">While </w:t>
      </w:r>
      <w:r w:rsidR="00434F22">
        <w:rPr>
          <w:rFonts w:eastAsiaTheme="majorEastAsia"/>
        </w:rPr>
        <w:t>the introduction of</w:t>
      </w:r>
      <w:r w:rsidR="00434F22" w:rsidRPr="00BB630E">
        <w:rPr>
          <w:rFonts w:eastAsiaTheme="majorEastAsia"/>
        </w:rPr>
        <w:t xml:space="preserve"> </w:t>
      </w:r>
      <w:r w:rsidR="00434F22">
        <w:rPr>
          <w:rFonts w:eastAsiaTheme="majorEastAsia"/>
        </w:rPr>
        <w:t>civil penalties</w:t>
      </w:r>
      <w:r w:rsidR="00434F22" w:rsidRPr="00BB630E">
        <w:rPr>
          <w:rFonts w:eastAsiaTheme="majorEastAsia"/>
        </w:rPr>
        <w:t xml:space="preserve"> may give some suppliers more confidence a manufactur</w:t>
      </w:r>
      <w:r w:rsidR="00434F22">
        <w:rPr>
          <w:rFonts w:eastAsiaTheme="majorEastAsia"/>
        </w:rPr>
        <w:t>er</w:t>
      </w:r>
      <w:r w:rsidR="00434F22" w:rsidRPr="00BB630E">
        <w:rPr>
          <w:rFonts w:eastAsiaTheme="majorEastAsia"/>
        </w:rPr>
        <w:t xml:space="preserve"> will provide indemnification</w:t>
      </w:r>
      <w:r w:rsidR="00434F22">
        <w:rPr>
          <w:rFonts w:eastAsiaTheme="majorEastAsia"/>
        </w:rPr>
        <w:t xml:space="preserve"> when requested,</w:t>
      </w:r>
      <w:r w:rsidR="00434F22" w:rsidRPr="00BB630E">
        <w:rPr>
          <w:rFonts w:eastAsiaTheme="majorEastAsia"/>
        </w:rPr>
        <w:t xml:space="preserve"> </w:t>
      </w:r>
      <w:r w:rsidR="00BA525E">
        <w:rPr>
          <w:rFonts w:eastAsiaTheme="majorEastAsia"/>
        </w:rPr>
        <w:t xml:space="preserve">it is assumed </w:t>
      </w:r>
      <w:r w:rsidR="00881E4C">
        <w:rPr>
          <w:rFonts w:eastAsiaTheme="majorEastAsia"/>
        </w:rPr>
        <w:t>concerns about retributions from suppliers (which is not the target of this civil prohibition) will continue to prevent some suppliers from seeking indemnification.</w:t>
      </w:r>
      <w:r w:rsidR="00434F22" w:rsidRPr="00881E4C">
        <w:rPr>
          <w:rFonts w:eastAsiaTheme="majorEastAsia"/>
        </w:rPr>
        <w:t xml:space="preserve"> </w:t>
      </w:r>
      <w:r w:rsidR="00881E4C" w:rsidRPr="00881E4C">
        <w:rPr>
          <w:rFonts w:eastAsiaTheme="majorEastAsia"/>
        </w:rPr>
        <w:t xml:space="preserve">While the </w:t>
      </w:r>
      <w:r w:rsidR="00245494" w:rsidRPr="00881E4C">
        <w:rPr>
          <w:rFonts w:eastAsiaTheme="majorEastAsia"/>
        </w:rPr>
        <w:t>increase in indemnification provides suppliers with more confidence to provide consumer</w:t>
      </w:r>
      <w:r w:rsidR="00881E4C" w:rsidRPr="00881E4C">
        <w:rPr>
          <w:rFonts w:eastAsiaTheme="majorEastAsia"/>
        </w:rPr>
        <w:t>s</w:t>
      </w:r>
      <w:r w:rsidR="00245494" w:rsidRPr="00881E4C">
        <w:rPr>
          <w:rFonts w:eastAsiaTheme="majorEastAsia"/>
        </w:rPr>
        <w:t xml:space="preserve"> with remedies, the </w:t>
      </w:r>
      <w:r>
        <w:rPr>
          <w:rFonts w:eastAsiaTheme="majorEastAsia"/>
        </w:rPr>
        <w:t xml:space="preserve">consultation RIS </w:t>
      </w:r>
      <w:r w:rsidR="002E41C2" w:rsidRPr="00881E4C">
        <w:rPr>
          <w:rFonts w:eastAsiaTheme="majorEastAsia"/>
        </w:rPr>
        <w:t>does not assume any time saving for consumers as it is not clear the extent to which this would occur.</w:t>
      </w:r>
      <w:r w:rsidR="00922D6B">
        <w:rPr>
          <w:rFonts w:eastAsiaTheme="majorEastAsia"/>
        </w:rPr>
        <w:t xml:space="preserve"> </w:t>
      </w:r>
    </w:p>
    <w:p w14:paraId="032DC544" w14:textId="535DC7B1" w:rsidR="00070737" w:rsidRDefault="00A86F78" w:rsidP="00070737">
      <w:pPr>
        <w:rPr>
          <w:rFonts w:eastAsiaTheme="majorEastAsia" w:cstheme="majorBidi"/>
          <w:bCs/>
        </w:rPr>
      </w:pPr>
      <w:r w:rsidRPr="00095CFA">
        <w:rPr>
          <w:rFonts w:eastAsiaTheme="majorEastAsia"/>
        </w:rPr>
        <w:t xml:space="preserve">Appropriate </w:t>
      </w:r>
      <w:r>
        <w:rPr>
          <w:rFonts w:eastAsiaTheme="majorEastAsia"/>
        </w:rPr>
        <w:t>indemnification</w:t>
      </w:r>
      <w:r w:rsidRPr="00095CFA">
        <w:rPr>
          <w:rFonts w:eastAsiaTheme="majorEastAsia"/>
        </w:rPr>
        <w:t xml:space="preserve"> from manufacturers to suppliers represents a shift in costs from suppliers to manufacturers. </w:t>
      </w:r>
      <w:r w:rsidR="00070737" w:rsidRPr="00296ED5">
        <w:rPr>
          <w:rFonts w:eastAsiaTheme="majorEastAsia" w:cstheme="majorBidi"/>
          <w:bCs/>
        </w:rPr>
        <w:t>The increased compliance by manufacturers results in a saving of time and resources by suppliers. It is assumed suppliers save one hour in time negotiating with manufacturers in each case indemnification is required.</w:t>
      </w:r>
    </w:p>
    <w:p w14:paraId="51860FD3" w14:textId="77777777" w:rsidR="00A113DD" w:rsidRDefault="00A113DD" w:rsidP="00A113DD">
      <w:pPr>
        <w:pStyle w:val="Heading5"/>
      </w:pPr>
      <w:r>
        <w:t>Estimated regulatory burden</w:t>
      </w:r>
    </w:p>
    <w:p w14:paraId="1F19E0EE" w14:textId="086C5B62" w:rsidR="00A113DD" w:rsidRDefault="00A113DD" w:rsidP="00A113DD">
      <w:r>
        <w:t xml:space="preserve">The regulatory burden for Option 3 is estimated to be </w:t>
      </w:r>
      <w:r w:rsidR="00713784">
        <w:t xml:space="preserve">$44.8 </w:t>
      </w:r>
      <w:r>
        <w:t xml:space="preserve">million in the first year with no ongoing costs. The regulatory burden is </w:t>
      </w:r>
      <w:r w:rsidRPr="00E24B91">
        <w:t>incurred by business</w:t>
      </w:r>
      <w:r>
        <w:t>es who are responsible for complying with the consumer guarantee provisions of the ACL</w:t>
      </w:r>
      <w:r w:rsidRPr="00E24B91">
        <w:t xml:space="preserve"> and includes the cost of </w:t>
      </w:r>
      <w:r>
        <w:t xml:space="preserve">one-off </w:t>
      </w:r>
      <w:r w:rsidR="002414CD">
        <w:t xml:space="preserve">staff </w:t>
      </w:r>
      <w:r w:rsidRPr="00E24B91">
        <w:t>training to raise awareness of the n</w:t>
      </w:r>
      <w:r>
        <w:t>ew regulatory requirements. This compliance burden</w:t>
      </w:r>
      <w:r w:rsidRPr="00E24B91">
        <w:t xml:space="preserve"> is calculated by assuming every retail employee is required to undergo 30 minutes of training, at the expense of the business. </w:t>
      </w:r>
      <w:r w:rsidRPr="00E24B91">
        <w:lastRenderedPageBreak/>
        <w:t>While the underlying obligation has not changed, it has been assumed staff undergo training on the consequences of non</w:t>
      </w:r>
      <w:r>
        <w:t>-</w:t>
      </w:r>
      <w:r w:rsidRPr="00E24B91">
        <w:t>compliance to support the change in behaviour.</w:t>
      </w:r>
    </w:p>
    <w:p w14:paraId="3ED6C4AE" w14:textId="7106DBF2" w:rsidR="00A113DD" w:rsidRPr="00870825" w:rsidRDefault="00870825" w:rsidP="00870825">
      <w:pPr>
        <w:pStyle w:val="Caption"/>
        <w:rPr>
          <w:b/>
          <w:bCs/>
          <w:i w:val="0"/>
          <w:iCs w:val="0"/>
          <w:sz w:val="22"/>
          <w:szCs w:val="22"/>
        </w:rPr>
      </w:pPr>
      <w:bookmarkStart w:id="218" w:name="_Toc87529834"/>
      <w:bookmarkStart w:id="219" w:name="_Toc89700886"/>
      <w:bookmarkStart w:id="220" w:name="_Hlk88468092"/>
      <w:r w:rsidRPr="00870825">
        <w:rPr>
          <w:b/>
          <w:bCs/>
          <w:i w:val="0"/>
          <w:iCs w:val="0"/>
          <w:sz w:val="22"/>
          <w:szCs w:val="22"/>
        </w:rPr>
        <w:t xml:space="preserve">Table </w:t>
      </w:r>
      <w:r w:rsidRPr="00870825">
        <w:rPr>
          <w:b/>
          <w:bCs/>
          <w:i w:val="0"/>
          <w:iCs w:val="0"/>
          <w:sz w:val="22"/>
          <w:szCs w:val="22"/>
        </w:rPr>
        <w:fldChar w:fldCharType="begin"/>
      </w:r>
      <w:r w:rsidRPr="00870825">
        <w:rPr>
          <w:b/>
          <w:bCs/>
          <w:i w:val="0"/>
          <w:iCs w:val="0"/>
          <w:sz w:val="22"/>
          <w:szCs w:val="22"/>
        </w:rPr>
        <w:instrText xml:space="preserve"> SEQ Table \* ARABIC </w:instrText>
      </w:r>
      <w:r w:rsidRPr="00870825">
        <w:rPr>
          <w:b/>
          <w:bCs/>
          <w:i w:val="0"/>
          <w:iCs w:val="0"/>
          <w:sz w:val="22"/>
          <w:szCs w:val="22"/>
        </w:rPr>
        <w:fldChar w:fldCharType="separate"/>
      </w:r>
      <w:r w:rsidR="00001633">
        <w:rPr>
          <w:b/>
          <w:bCs/>
          <w:i w:val="0"/>
          <w:iCs w:val="0"/>
          <w:noProof/>
          <w:sz w:val="22"/>
          <w:szCs w:val="22"/>
        </w:rPr>
        <w:t>14</w:t>
      </w:r>
      <w:r w:rsidRPr="00870825">
        <w:rPr>
          <w:b/>
          <w:bCs/>
          <w:i w:val="0"/>
          <w:iCs w:val="0"/>
          <w:sz w:val="22"/>
          <w:szCs w:val="22"/>
        </w:rPr>
        <w:fldChar w:fldCharType="end"/>
      </w:r>
      <w:r w:rsidRPr="00870825">
        <w:rPr>
          <w:b/>
          <w:bCs/>
          <w:i w:val="0"/>
          <w:iCs w:val="0"/>
          <w:sz w:val="22"/>
          <w:szCs w:val="22"/>
        </w:rPr>
        <w:t xml:space="preserve">: </w:t>
      </w:r>
      <w:r w:rsidR="00C04EDD">
        <w:rPr>
          <w:b/>
          <w:bCs/>
          <w:i w:val="0"/>
          <w:iCs w:val="0"/>
          <w:sz w:val="22"/>
          <w:szCs w:val="22"/>
        </w:rPr>
        <w:t>R</w:t>
      </w:r>
      <w:r w:rsidR="00A113DD" w:rsidRPr="00870825">
        <w:rPr>
          <w:b/>
          <w:bCs/>
          <w:i w:val="0"/>
          <w:iCs w:val="0"/>
          <w:sz w:val="22"/>
          <w:szCs w:val="22"/>
        </w:rPr>
        <w:t>egulatory burden estimate</w:t>
      </w:r>
      <w:r w:rsidR="008B0F7E">
        <w:rPr>
          <w:rStyle w:val="FootnoteReference"/>
          <w:b/>
          <w:bCs/>
          <w:i w:val="0"/>
          <w:iCs w:val="0"/>
          <w:szCs w:val="22"/>
        </w:rPr>
        <w:footnoteReference w:id="100"/>
      </w:r>
      <w:r w:rsidR="00A113DD" w:rsidRPr="00870825">
        <w:rPr>
          <w:b/>
          <w:bCs/>
          <w:i w:val="0"/>
          <w:iCs w:val="0"/>
          <w:sz w:val="22"/>
          <w:szCs w:val="22"/>
        </w:rPr>
        <w:t xml:space="preserve"> table for Part B, Option 3</w:t>
      </w:r>
      <w:bookmarkEnd w:id="218"/>
      <w:bookmarkEnd w:id="219"/>
    </w:p>
    <w:tbl>
      <w:tblPr>
        <w:tblStyle w:val="TableGrid"/>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regulatory burden estimate table for Part B, Option 3"/>
        <w:tblDescription w:val="Provides an estimate of the regulatory burden for Part B, Option 3. The Change in costs would be $1.84 million (total by sector) for business and nil cost for community organisations or individuals. The total change in costs is estimated to be $1.84 million. "/>
      </w:tblPr>
      <w:tblGrid>
        <w:gridCol w:w="2351"/>
        <w:gridCol w:w="949"/>
        <w:gridCol w:w="2446"/>
        <w:gridCol w:w="1145"/>
        <w:gridCol w:w="2327"/>
      </w:tblGrid>
      <w:tr w:rsidR="00870825" w:rsidRPr="00870825" w14:paraId="617B1878" w14:textId="77777777" w:rsidTr="00870825">
        <w:tc>
          <w:tcPr>
            <w:tcW w:w="5000" w:type="pct"/>
            <w:gridSpan w:val="5"/>
            <w:shd w:val="clear" w:color="auto" w:fill="B690C9" w:themeFill="accent6" w:themeFillTint="99"/>
          </w:tcPr>
          <w:p w14:paraId="50442638" w14:textId="77777777" w:rsidR="00A113DD" w:rsidRPr="00870825" w:rsidRDefault="00A113DD" w:rsidP="00320C61">
            <w:pPr>
              <w:spacing w:before="60" w:after="60" w:line="240" w:lineRule="auto"/>
              <w:rPr>
                <w:b/>
                <w:bCs/>
              </w:rPr>
            </w:pPr>
            <w:r w:rsidRPr="00870825">
              <w:rPr>
                <w:b/>
                <w:bCs/>
              </w:rPr>
              <w:t>Average annual regulatory costs (from business as usual)</w:t>
            </w:r>
          </w:p>
        </w:tc>
      </w:tr>
      <w:tr w:rsidR="00870825" w14:paraId="4C738251" w14:textId="77777777" w:rsidTr="00870825">
        <w:tc>
          <w:tcPr>
            <w:tcW w:w="1275" w:type="pct"/>
          </w:tcPr>
          <w:p w14:paraId="4A66A389" w14:textId="77777777" w:rsidR="00A113DD" w:rsidRDefault="00A113DD" w:rsidP="00320C61">
            <w:pPr>
              <w:spacing w:before="60" w:after="60" w:line="240" w:lineRule="auto"/>
              <w:rPr>
                <w:b/>
              </w:rPr>
            </w:pPr>
            <w:r w:rsidRPr="006B6195">
              <w:rPr>
                <w:b/>
              </w:rPr>
              <w:t>Change in costs ($ million)</w:t>
            </w:r>
          </w:p>
        </w:tc>
        <w:tc>
          <w:tcPr>
            <w:tcW w:w="515" w:type="pct"/>
          </w:tcPr>
          <w:p w14:paraId="5E9CA6D8" w14:textId="77777777" w:rsidR="00A113DD" w:rsidRPr="00AA2C6A" w:rsidRDefault="00A113DD" w:rsidP="00320C61">
            <w:pPr>
              <w:spacing w:before="60" w:after="60" w:line="240" w:lineRule="auto"/>
              <w:rPr>
                <w:b/>
              </w:rPr>
            </w:pPr>
            <w:r w:rsidRPr="006B6195">
              <w:rPr>
                <w:b/>
              </w:rPr>
              <w:t>Business</w:t>
            </w:r>
          </w:p>
        </w:tc>
        <w:tc>
          <w:tcPr>
            <w:tcW w:w="1327" w:type="pct"/>
          </w:tcPr>
          <w:p w14:paraId="3AB991C6" w14:textId="77777777" w:rsidR="00A113DD" w:rsidRPr="00AA2C6A" w:rsidRDefault="00A113DD" w:rsidP="00320C61">
            <w:pPr>
              <w:spacing w:before="60" w:after="60" w:line="240" w:lineRule="auto"/>
              <w:rPr>
                <w:b/>
              </w:rPr>
            </w:pPr>
            <w:r w:rsidRPr="006B6195">
              <w:rPr>
                <w:b/>
              </w:rPr>
              <w:t>Community organisations</w:t>
            </w:r>
          </w:p>
        </w:tc>
        <w:tc>
          <w:tcPr>
            <w:tcW w:w="621" w:type="pct"/>
          </w:tcPr>
          <w:p w14:paraId="7C1A2295" w14:textId="77777777" w:rsidR="00A113DD" w:rsidRPr="00AA2C6A" w:rsidRDefault="00A113DD" w:rsidP="00320C61">
            <w:pPr>
              <w:spacing w:before="60" w:after="60" w:line="240" w:lineRule="auto"/>
              <w:rPr>
                <w:b/>
              </w:rPr>
            </w:pPr>
            <w:r w:rsidRPr="006B6195">
              <w:rPr>
                <w:b/>
              </w:rPr>
              <w:t>Individuals</w:t>
            </w:r>
          </w:p>
        </w:tc>
        <w:tc>
          <w:tcPr>
            <w:tcW w:w="1258" w:type="pct"/>
          </w:tcPr>
          <w:p w14:paraId="11AD9D2D" w14:textId="77777777" w:rsidR="00A113DD" w:rsidRPr="00AA2C6A" w:rsidRDefault="00A113DD" w:rsidP="00320C61">
            <w:pPr>
              <w:spacing w:before="60" w:after="60" w:line="240" w:lineRule="auto"/>
              <w:rPr>
                <w:b/>
              </w:rPr>
            </w:pPr>
            <w:r w:rsidRPr="006B6195">
              <w:rPr>
                <w:b/>
              </w:rPr>
              <w:t>Total change in costs</w:t>
            </w:r>
          </w:p>
        </w:tc>
      </w:tr>
      <w:tr w:rsidR="00870825" w14:paraId="7EA2662A" w14:textId="77777777" w:rsidTr="00870825">
        <w:tc>
          <w:tcPr>
            <w:tcW w:w="1275" w:type="pct"/>
          </w:tcPr>
          <w:p w14:paraId="065B3565" w14:textId="77777777" w:rsidR="00A113DD" w:rsidRPr="00EC4C66" w:rsidRDefault="00A113DD" w:rsidP="00320C61">
            <w:pPr>
              <w:spacing w:before="60" w:after="60" w:line="240" w:lineRule="auto"/>
            </w:pPr>
            <w:r w:rsidRPr="006B6195">
              <w:t>Total, by sector</w:t>
            </w:r>
          </w:p>
        </w:tc>
        <w:tc>
          <w:tcPr>
            <w:tcW w:w="515" w:type="pct"/>
          </w:tcPr>
          <w:p w14:paraId="741C209B" w14:textId="7C302C5A" w:rsidR="00A113DD" w:rsidRDefault="00713784" w:rsidP="002E45B0">
            <w:pPr>
              <w:spacing w:before="60" w:after="60" w:line="240" w:lineRule="auto"/>
            </w:pPr>
            <w:r>
              <w:t>$4.</w:t>
            </w:r>
            <w:r w:rsidR="00150561">
              <w:t>4</w:t>
            </w:r>
            <w:r>
              <w:t xml:space="preserve">8 </w:t>
            </w:r>
          </w:p>
        </w:tc>
        <w:tc>
          <w:tcPr>
            <w:tcW w:w="1327" w:type="pct"/>
          </w:tcPr>
          <w:p w14:paraId="761BCDFF" w14:textId="77777777" w:rsidR="00A113DD" w:rsidRDefault="00A113DD" w:rsidP="00320C61">
            <w:pPr>
              <w:spacing w:before="60" w:after="60" w:line="240" w:lineRule="auto"/>
              <w:jc w:val="center"/>
            </w:pPr>
            <w:r>
              <w:t>-</w:t>
            </w:r>
          </w:p>
        </w:tc>
        <w:tc>
          <w:tcPr>
            <w:tcW w:w="621" w:type="pct"/>
          </w:tcPr>
          <w:p w14:paraId="23BA9ADC" w14:textId="77777777" w:rsidR="00A113DD" w:rsidRDefault="00A113DD" w:rsidP="00320C61">
            <w:pPr>
              <w:spacing w:before="60" w:after="60" w:line="240" w:lineRule="auto"/>
              <w:jc w:val="center"/>
            </w:pPr>
            <w:r>
              <w:t>-</w:t>
            </w:r>
          </w:p>
        </w:tc>
        <w:tc>
          <w:tcPr>
            <w:tcW w:w="1258" w:type="pct"/>
          </w:tcPr>
          <w:p w14:paraId="48D3C110" w14:textId="0AD84004" w:rsidR="00A113DD" w:rsidRDefault="00A113DD" w:rsidP="002E45B0">
            <w:pPr>
              <w:spacing w:before="60" w:after="60" w:line="240" w:lineRule="auto"/>
            </w:pPr>
            <w:r>
              <w:t>$</w:t>
            </w:r>
            <w:r w:rsidR="00713784">
              <w:t>4.</w:t>
            </w:r>
            <w:r w:rsidR="00150561">
              <w:t>4</w:t>
            </w:r>
            <w:r w:rsidR="00713784">
              <w:t>8</w:t>
            </w:r>
          </w:p>
        </w:tc>
      </w:tr>
    </w:tbl>
    <w:bookmarkEnd w:id="220"/>
    <w:p w14:paraId="0029BAF2" w14:textId="6519058D" w:rsidR="005A1DCE" w:rsidRDefault="005A1DCE" w:rsidP="005A1DCE">
      <w:r>
        <w:t>This option can be applied in one of two ways:</w:t>
      </w:r>
    </w:p>
    <w:p w14:paraId="5BF57575" w14:textId="3C5E3FDF" w:rsidR="005A1DCE" w:rsidRDefault="005A1DCE" w:rsidP="004A3FDA">
      <w:pPr>
        <w:pStyle w:val="ListParagraph"/>
        <w:numPr>
          <w:ilvl w:val="0"/>
          <w:numId w:val="34"/>
        </w:numPr>
        <w:spacing w:before="0" w:after="200" w:line="276" w:lineRule="auto"/>
      </w:pPr>
      <w:r>
        <w:t xml:space="preserve">economy wide </w:t>
      </w:r>
    </w:p>
    <w:p w14:paraId="72A7F566" w14:textId="77777777" w:rsidR="005A1DCE" w:rsidRDefault="005A1DCE" w:rsidP="004A3FDA">
      <w:pPr>
        <w:pStyle w:val="ListParagraph"/>
        <w:numPr>
          <w:ilvl w:val="0"/>
          <w:numId w:val="34"/>
        </w:numPr>
        <w:spacing w:before="0" w:after="200" w:line="276" w:lineRule="auto"/>
      </w:pPr>
      <w:r>
        <w:t>to new motor vehicles only.</w:t>
      </w:r>
    </w:p>
    <w:p w14:paraId="66989B55" w14:textId="6AB3FF7D" w:rsidR="00A17C49" w:rsidRDefault="00A17C49" w:rsidP="005A1DCE">
      <w:pPr>
        <w:pStyle w:val="Heading5"/>
      </w:pPr>
      <w:r>
        <w:t>a)</w:t>
      </w:r>
      <w:r w:rsidRPr="008938C2">
        <w:t xml:space="preserve"> Economy wide approach</w:t>
      </w:r>
    </w:p>
    <w:p w14:paraId="2C092C3D" w14:textId="38B82079" w:rsidR="005A0A25" w:rsidRDefault="005A0A25" w:rsidP="00A17C49">
      <w:pPr>
        <w:rPr>
          <w:rFonts w:eastAsiaTheme="majorEastAsia" w:cstheme="majorBidi"/>
          <w:bCs/>
        </w:rPr>
      </w:pPr>
      <w:r w:rsidRPr="005A0A25">
        <w:rPr>
          <w:rFonts w:eastAsiaTheme="majorEastAsia" w:cstheme="majorBidi"/>
          <w:bCs/>
        </w:rPr>
        <w:t xml:space="preserve">Creating a civil prohibition on manufacturers failing to indemnify suppliers is estimated to create a net benefit of </w:t>
      </w:r>
      <w:r w:rsidR="005D2FEB">
        <w:rPr>
          <w:rFonts w:eastAsiaTheme="majorEastAsia" w:cstheme="majorBidi"/>
          <w:bCs/>
        </w:rPr>
        <w:t>$</w:t>
      </w:r>
      <w:r w:rsidR="0094596F">
        <w:rPr>
          <w:rFonts w:eastAsiaTheme="majorEastAsia" w:cstheme="majorBidi"/>
          <w:bCs/>
        </w:rPr>
        <w:t xml:space="preserve">194 </w:t>
      </w:r>
      <w:r w:rsidR="0094596F" w:rsidRPr="005A0A25">
        <w:rPr>
          <w:rFonts w:eastAsiaTheme="majorEastAsia" w:cstheme="majorBidi"/>
          <w:bCs/>
        </w:rPr>
        <w:t>million</w:t>
      </w:r>
      <w:r w:rsidRPr="005A0A25">
        <w:rPr>
          <w:rFonts w:eastAsiaTheme="majorEastAsia" w:cstheme="majorBidi"/>
          <w:bCs/>
        </w:rPr>
        <w:t xml:space="preserve"> in NPV terms over the 10 years to 2031 </w:t>
      </w:r>
      <w:r w:rsidR="00277249">
        <w:rPr>
          <w:rFonts w:eastAsiaTheme="majorEastAsia" w:cstheme="majorBidi"/>
          <w:bCs/>
        </w:rPr>
        <w:t xml:space="preserve">and a BCR of </w:t>
      </w:r>
      <w:r w:rsidR="005D2FEB">
        <w:rPr>
          <w:rFonts w:eastAsiaTheme="majorEastAsia" w:cstheme="majorBidi"/>
          <w:bCs/>
        </w:rPr>
        <w:t>1.5</w:t>
      </w:r>
      <w:r w:rsidRPr="005A0A25">
        <w:rPr>
          <w:rFonts w:eastAsiaTheme="majorEastAsia" w:cstheme="majorBidi"/>
          <w:bCs/>
        </w:rPr>
        <w:t>.</w:t>
      </w:r>
      <w:r w:rsidR="00277249" w:rsidRPr="00277249">
        <w:t xml:space="preserve"> </w:t>
      </w:r>
      <w:r w:rsidR="00277249" w:rsidRPr="00277249">
        <w:rPr>
          <w:rFonts w:eastAsiaTheme="majorEastAsia" w:cstheme="majorBidi"/>
          <w:bCs/>
        </w:rPr>
        <w:t xml:space="preserve">This option is estimated to generate total benefits of $565 million and total costs of </w:t>
      </w:r>
      <w:r w:rsidR="005D2FEB">
        <w:rPr>
          <w:rFonts w:eastAsiaTheme="majorEastAsia" w:cstheme="majorBidi"/>
          <w:bCs/>
        </w:rPr>
        <w:t xml:space="preserve">$371 </w:t>
      </w:r>
      <w:r w:rsidR="00277249" w:rsidRPr="00277249">
        <w:rPr>
          <w:rFonts w:eastAsiaTheme="majorEastAsia" w:cstheme="majorBidi"/>
          <w:bCs/>
        </w:rPr>
        <w:t xml:space="preserve">million in NPV terms over the </w:t>
      </w:r>
      <w:r w:rsidR="00922D6B" w:rsidRPr="00277249">
        <w:rPr>
          <w:rFonts w:eastAsiaTheme="majorEastAsia" w:cstheme="majorBidi"/>
          <w:bCs/>
        </w:rPr>
        <w:t>10-year</w:t>
      </w:r>
      <w:r w:rsidR="00277249" w:rsidRPr="00277249">
        <w:rPr>
          <w:rFonts w:eastAsiaTheme="majorEastAsia" w:cstheme="majorBidi"/>
          <w:bCs/>
        </w:rPr>
        <w:t xml:space="preserve"> outlook.</w:t>
      </w:r>
    </w:p>
    <w:p w14:paraId="1D1EC023" w14:textId="5C254F78" w:rsidR="00277249" w:rsidRPr="00277249" w:rsidRDefault="00277249" w:rsidP="00277249">
      <w:pPr>
        <w:rPr>
          <w:rFonts w:eastAsiaTheme="majorEastAsia" w:cstheme="majorBidi"/>
          <w:bCs/>
        </w:rPr>
      </w:pPr>
      <w:r w:rsidRPr="00277249">
        <w:rPr>
          <w:rFonts w:eastAsiaTheme="majorEastAsia" w:cstheme="majorBidi"/>
          <w:bCs/>
        </w:rPr>
        <w:t xml:space="preserve">Suppliers benefit </w:t>
      </w:r>
      <w:r w:rsidR="00922D6B">
        <w:rPr>
          <w:rFonts w:eastAsiaTheme="majorEastAsia" w:cstheme="majorBidi"/>
          <w:bCs/>
        </w:rPr>
        <w:t xml:space="preserve">by </w:t>
      </w:r>
      <w:r w:rsidR="00922D6B" w:rsidRPr="00277249">
        <w:rPr>
          <w:rFonts w:eastAsiaTheme="majorEastAsia" w:cstheme="majorBidi"/>
          <w:bCs/>
        </w:rPr>
        <w:t>no</w:t>
      </w:r>
      <w:r w:rsidRPr="00277249">
        <w:rPr>
          <w:rFonts w:eastAsiaTheme="majorEastAsia" w:cstheme="majorBidi"/>
          <w:bCs/>
        </w:rPr>
        <w:t xml:space="preserve"> longer bearing the full cost of providing refunds, replacements and/or repairs to consumers. Some benefit is also passed on to consumers</w:t>
      </w:r>
      <w:r w:rsidR="00B44CEA">
        <w:rPr>
          <w:rFonts w:eastAsiaTheme="majorEastAsia" w:cstheme="majorBidi"/>
          <w:bCs/>
        </w:rPr>
        <w:t xml:space="preserve"> – </w:t>
      </w:r>
      <w:r w:rsidRPr="00277249">
        <w:rPr>
          <w:rFonts w:eastAsiaTheme="majorEastAsia" w:cstheme="majorBidi"/>
          <w:bCs/>
        </w:rPr>
        <w:t>$401 million in NPV terms</w:t>
      </w:r>
      <w:r w:rsidR="00B44CEA">
        <w:rPr>
          <w:rFonts w:eastAsiaTheme="majorEastAsia" w:cstheme="majorBidi"/>
          <w:bCs/>
        </w:rPr>
        <w:t xml:space="preserve"> over 10 years</w:t>
      </w:r>
      <w:r w:rsidRPr="00277249">
        <w:rPr>
          <w:rFonts w:eastAsiaTheme="majorEastAsia" w:cstheme="majorBidi"/>
          <w:bCs/>
        </w:rPr>
        <w:t xml:space="preserve"> from accessing a working version of the good purchased (approximated to the average value of goods). </w:t>
      </w:r>
    </w:p>
    <w:p w14:paraId="2F3375AB" w14:textId="6D963A3C" w:rsidR="0091662C" w:rsidRPr="0091662C" w:rsidRDefault="00277249" w:rsidP="0091662C">
      <w:pPr>
        <w:rPr>
          <w:rFonts w:eastAsiaTheme="majorEastAsia" w:cstheme="majorBidi"/>
          <w:bCs/>
        </w:rPr>
      </w:pPr>
      <w:r>
        <w:rPr>
          <w:rFonts w:eastAsiaTheme="majorEastAsia" w:cstheme="majorBidi"/>
          <w:bCs/>
        </w:rPr>
        <w:t xml:space="preserve">In terms of costs, this </w:t>
      </w:r>
      <w:r w:rsidRPr="00277249">
        <w:rPr>
          <w:rFonts w:eastAsiaTheme="majorEastAsia" w:cstheme="majorBidi"/>
          <w:bCs/>
        </w:rPr>
        <w:t>option is estimated to increase costs for manufacturers who are not meeting their consumer guarantee obligations under the status quo</w:t>
      </w:r>
      <w:r>
        <w:rPr>
          <w:rFonts w:eastAsiaTheme="majorEastAsia" w:cstheme="majorBidi"/>
          <w:bCs/>
        </w:rPr>
        <w:t xml:space="preserve"> –</w:t>
      </w:r>
      <w:r w:rsidR="004D3C08">
        <w:rPr>
          <w:rFonts w:eastAsiaTheme="majorEastAsia" w:cstheme="majorBidi"/>
          <w:bCs/>
        </w:rPr>
        <w:t xml:space="preserve">$310 </w:t>
      </w:r>
      <w:r w:rsidRPr="00277249">
        <w:rPr>
          <w:rFonts w:eastAsiaTheme="majorEastAsia" w:cstheme="majorBidi"/>
          <w:bCs/>
        </w:rPr>
        <w:t>m</w:t>
      </w:r>
      <w:r>
        <w:rPr>
          <w:rFonts w:eastAsiaTheme="majorEastAsia" w:cstheme="majorBidi"/>
          <w:bCs/>
        </w:rPr>
        <w:t>illion in NPV terms over the 10 </w:t>
      </w:r>
      <w:r w:rsidRPr="00277249">
        <w:rPr>
          <w:rFonts w:eastAsiaTheme="majorEastAsia" w:cstheme="majorBidi"/>
          <w:bCs/>
        </w:rPr>
        <w:t>years to 2031</w:t>
      </w:r>
      <w:r>
        <w:rPr>
          <w:rFonts w:eastAsiaTheme="majorEastAsia" w:cstheme="majorBidi"/>
          <w:bCs/>
        </w:rPr>
        <w:t>.</w:t>
      </w:r>
      <w:r w:rsidR="0091662C" w:rsidRPr="0091662C">
        <w:t xml:space="preserve"> </w:t>
      </w:r>
      <w:r w:rsidR="0091662C" w:rsidRPr="0091662C">
        <w:rPr>
          <w:rFonts w:eastAsiaTheme="majorEastAsia" w:cstheme="majorBidi"/>
          <w:bCs/>
        </w:rPr>
        <w:t>The increase in cost consists of both increased costs</w:t>
      </w:r>
      <w:r w:rsidR="008940CD">
        <w:rPr>
          <w:rFonts w:eastAsiaTheme="majorEastAsia" w:cstheme="majorBidi"/>
          <w:bCs/>
        </w:rPr>
        <w:t xml:space="preserve"> of</w:t>
      </w:r>
      <w:r w:rsidR="0091662C" w:rsidRPr="0091662C">
        <w:rPr>
          <w:rFonts w:eastAsiaTheme="majorEastAsia" w:cstheme="majorBidi"/>
          <w:bCs/>
        </w:rPr>
        <w:t xml:space="preserve"> providing remedies by those who change</w:t>
      </w:r>
      <w:r w:rsidR="00A86F78">
        <w:rPr>
          <w:rFonts w:eastAsiaTheme="majorEastAsia" w:cstheme="majorBidi"/>
          <w:bCs/>
        </w:rPr>
        <w:t xml:space="preserve"> their</w:t>
      </w:r>
      <w:r w:rsidR="0091662C" w:rsidRPr="0091662C">
        <w:rPr>
          <w:rFonts w:eastAsiaTheme="majorEastAsia" w:cstheme="majorBidi"/>
          <w:bCs/>
        </w:rPr>
        <w:t xml:space="preserve"> behaviour, and infringement notices and pecuniary penalties </w:t>
      </w:r>
      <w:r w:rsidR="00A86F78">
        <w:rPr>
          <w:rFonts w:eastAsiaTheme="majorEastAsia" w:cstheme="majorBidi"/>
          <w:bCs/>
        </w:rPr>
        <w:t>paid by</w:t>
      </w:r>
      <w:r w:rsidR="0091662C" w:rsidRPr="0091662C">
        <w:rPr>
          <w:rFonts w:eastAsiaTheme="majorEastAsia" w:cstheme="majorBidi"/>
          <w:bCs/>
        </w:rPr>
        <w:t xml:space="preserve"> those who do not comply. </w:t>
      </w:r>
      <w:r w:rsidR="00CE5B1D" w:rsidRPr="00CE5B1D">
        <w:rPr>
          <w:rFonts w:eastAsiaTheme="majorEastAsia" w:cstheme="majorBidi"/>
          <w:bCs/>
        </w:rPr>
        <w:t xml:space="preserve">Other than the modest </w:t>
      </w:r>
      <w:r w:rsidR="00CE5B1D" w:rsidRPr="003F6CF5">
        <w:rPr>
          <w:rFonts w:eastAsiaTheme="majorEastAsia" w:cstheme="majorBidi"/>
          <w:bCs/>
        </w:rPr>
        <w:t>increased training cost for</w:t>
      </w:r>
      <w:r w:rsidR="003B28D7" w:rsidRPr="003F6CF5">
        <w:rPr>
          <w:rFonts w:eastAsiaTheme="majorEastAsia" w:cstheme="majorBidi"/>
          <w:bCs/>
        </w:rPr>
        <w:t xml:space="preserve"> manufacturers </w:t>
      </w:r>
      <w:r w:rsidR="00CE5B1D" w:rsidRPr="003F6CF5">
        <w:rPr>
          <w:rFonts w:eastAsiaTheme="majorEastAsia" w:cstheme="majorBidi"/>
          <w:bCs/>
        </w:rPr>
        <w:t>to ensure staff have a common understanding of the change, and any</w:t>
      </w:r>
      <w:r w:rsidR="003B28D7" w:rsidRPr="003F6CF5">
        <w:rPr>
          <w:rFonts w:eastAsiaTheme="majorEastAsia" w:cstheme="majorBidi"/>
          <w:bCs/>
        </w:rPr>
        <w:t xml:space="preserve"> additional remedies that would be provided as suppliers pass on </w:t>
      </w:r>
      <w:r w:rsidR="00CE5B1D" w:rsidRPr="003F6CF5">
        <w:rPr>
          <w:rFonts w:eastAsiaTheme="majorEastAsia" w:cstheme="majorBidi"/>
          <w:bCs/>
        </w:rPr>
        <w:t>possible</w:t>
      </w:r>
      <w:r w:rsidR="003B28D7" w:rsidRPr="003F6CF5">
        <w:rPr>
          <w:rFonts w:eastAsiaTheme="majorEastAsia" w:cstheme="majorBidi"/>
          <w:bCs/>
        </w:rPr>
        <w:t xml:space="preserve"> increased number</w:t>
      </w:r>
      <w:r w:rsidR="00A86F78">
        <w:rPr>
          <w:rFonts w:eastAsiaTheme="majorEastAsia" w:cstheme="majorBidi"/>
          <w:bCs/>
        </w:rPr>
        <w:t>s</w:t>
      </w:r>
      <w:r w:rsidR="003B28D7" w:rsidRPr="003F6CF5">
        <w:rPr>
          <w:rFonts w:eastAsiaTheme="majorEastAsia" w:cstheme="majorBidi"/>
          <w:bCs/>
        </w:rPr>
        <w:t xml:space="preserve"> of remedies to </w:t>
      </w:r>
      <w:r w:rsidR="00CE5B1D" w:rsidRPr="003F6CF5">
        <w:rPr>
          <w:rFonts w:eastAsiaTheme="majorEastAsia" w:cstheme="majorBidi"/>
          <w:bCs/>
        </w:rPr>
        <w:t>consumers</w:t>
      </w:r>
      <w:r w:rsidR="00A96230">
        <w:rPr>
          <w:rFonts w:eastAsiaTheme="majorEastAsia" w:cstheme="majorBidi"/>
          <w:bCs/>
        </w:rPr>
        <w:t>;</w:t>
      </w:r>
      <w:r w:rsidR="00CE5B1D" w:rsidRPr="003F6CF5">
        <w:t xml:space="preserve"> </w:t>
      </w:r>
      <w:r w:rsidR="00CE5B1D" w:rsidRPr="003F6CF5">
        <w:rPr>
          <w:rFonts w:eastAsiaTheme="majorEastAsia" w:cstheme="majorBidi"/>
          <w:bCs/>
        </w:rPr>
        <w:t>there is no change in costs for manufacture</w:t>
      </w:r>
      <w:r w:rsidR="00A86F78">
        <w:rPr>
          <w:rFonts w:eastAsiaTheme="majorEastAsia" w:cstheme="majorBidi"/>
          <w:bCs/>
        </w:rPr>
        <w:t>r</w:t>
      </w:r>
      <w:r w:rsidR="00CE5B1D" w:rsidRPr="003F6CF5">
        <w:rPr>
          <w:rFonts w:eastAsiaTheme="majorEastAsia" w:cstheme="majorBidi"/>
          <w:bCs/>
        </w:rPr>
        <w:t>s who are already complying with consumer guarantee obligations</w:t>
      </w:r>
      <w:r w:rsidR="00CE5B1D" w:rsidRPr="003F6CF5">
        <w:t>.</w:t>
      </w:r>
    </w:p>
    <w:p w14:paraId="3F9F5FFD" w14:textId="77777777" w:rsidR="008B0F7E" w:rsidRDefault="008B0F7E">
      <w:pPr>
        <w:spacing w:before="0" w:after="160" w:line="259" w:lineRule="auto"/>
        <w:rPr>
          <w:b/>
          <w:bCs/>
          <w:color w:val="5F5F5F" w:themeColor="text2"/>
          <w:szCs w:val="22"/>
        </w:rPr>
      </w:pPr>
      <w:bookmarkStart w:id="221" w:name="_Toc87529835"/>
      <w:r>
        <w:rPr>
          <w:b/>
          <w:bCs/>
          <w:i/>
          <w:iCs/>
          <w:szCs w:val="22"/>
        </w:rPr>
        <w:br w:type="page"/>
      </w:r>
    </w:p>
    <w:p w14:paraId="549EAC2F" w14:textId="5B57AB02" w:rsidR="003B28D7" w:rsidRPr="008E3364" w:rsidRDefault="008E3364" w:rsidP="008E3364">
      <w:pPr>
        <w:pStyle w:val="Caption"/>
        <w:rPr>
          <w:b/>
          <w:bCs/>
          <w:i w:val="0"/>
          <w:iCs w:val="0"/>
          <w:sz w:val="22"/>
          <w:szCs w:val="22"/>
        </w:rPr>
      </w:pPr>
      <w:bookmarkStart w:id="222" w:name="_Toc89700887"/>
      <w:r w:rsidRPr="008E3364">
        <w:rPr>
          <w:b/>
          <w:bCs/>
          <w:i w:val="0"/>
          <w:iCs w:val="0"/>
          <w:sz w:val="22"/>
          <w:szCs w:val="22"/>
        </w:rPr>
        <w:lastRenderedPageBreak/>
        <w:t xml:space="preserve">Table </w:t>
      </w:r>
      <w:r w:rsidRPr="008E3364">
        <w:rPr>
          <w:b/>
          <w:bCs/>
          <w:i w:val="0"/>
          <w:iCs w:val="0"/>
          <w:sz w:val="22"/>
          <w:szCs w:val="22"/>
        </w:rPr>
        <w:fldChar w:fldCharType="begin"/>
      </w:r>
      <w:r w:rsidRPr="008E3364">
        <w:rPr>
          <w:b/>
          <w:bCs/>
          <w:i w:val="0"/>
          <w:iCs w:val="0"/>
          <w:sz w:val="22"/>
          <w:szCs w:val="22"/>
        </w:rPr>
        <w:instrText xml:space="preserve"> SEQ Table \* ARABIC </w:instrText>
      </w:r>
      <w:r w:rsidRPr="008E3364">
        <w:rPr>
          <w:b/>
          <w:bCs/>
          <w:i w:val="0"/>
          <w:iCs w:val="0"/>
          <w:sz w:val="22"/>
          <w:szCs w:val="22"/>
        </w:rPr>
        <w:fldChar w:fldCharType="separate"/>
      </w:r>
      <w:r w:rsidR="00001633">
        <w:rPr>
          <w:b/>
          <w:bCs/>
          <w:i w:val="0"/>
          <w:iCs w:val="0"/>
          <w:noProof/>
          <w:sz w:val="22"/>
          <w:szCs w:val="22"/>
        </w:rPr>
        <w:t>15</w:t>
      </w:r>
      <w:r w:rsidRPr="008E3364">
        <w:rPr>
          <w:b/>
          <w:bCs/>
          <w:i w:val="0"/>
          <w:iCs w:val="0"/>
          <w:sz w:val="22"/>
          <w:szCs w:val="22"/>
        </w:rPr>
        <w:fldChar w:fldCharType="end"/>
      </w:r>
      <w:r w:rsidRPr="008E3364">
        <w:rPr>
          <w:b/>
          <w:bCs/>
          <w:i w:val="0"/>
          <w:iCs w:val="0"/>
          <w:sz w:val="22"/>
          <w:szCs w:val="22"/>
        </w:rPr>
        <w:t xml:space="preserve">: </w:t>
      </w:r>
      <w:r w:rsidR="00C04EDD">
        <w:rPr>
          <w:b/>
          <w:bCs/>
          <w:i w:val="0"/>
          <w:iCs w:val="0"/>
          <w:sz w:val="22"/>
          <w:szCs w:val="22"/>
        </w:rPr>
        <w:t>L</w:t>
      </w:r>
      <w:r w:rsidRPr="008E3364">
        <w:rPr>
          <w:b/>
          <w:bCs/>
          <w:i w:val="0"/>
          <w:iCs w:val="0"/>
          <w:sz w:val="22"/>
          <w:szCs w:val="22"/>
        </w:rPr>
        <w:t xml:space="preserve">ikely </w:t>
      </w:r>
      <w:r w:rsidR="00DB77E1" w:rsidRPr="008E3364">
        <w:rPr>
          <w:b/>
          <w:bCs/>
          <w:i w:val="0"/>
          <w:iCs w:val="0"/>
          <w:sz w:val="22"/>
          <w:szCs w:val="22"/>
        </w:rPr>
        <w:t>n</w:t>
      </w:r>
      <w:r w:rsidR="003B28D7" w:rsidRPr="008E3364">
        <w:rPr>
          <w:b/>
          <w:bCs/>
          <w:i w:val="0"/>
          <w:iCs w:val="0"/>
          <w:sz w:val="22"/>
          <w:szCs w:val="22"/>
        </w:rPr>
        <w:t>et benefit of a civil prohibition on failing to indemnify suppliers for the</w:t>
      </w:r>
      <w:r w:rsidR="003B28D7" w:rsidRPr="008E3364" w:rsidDel="0090450E">
        <w:rPr>
          <w:b/>
          <w:bCs/>
          <w:i w:val="0"/>
          <w:iCs w:val="0"/>
          <w:sz w:val="22"/>
          <w:szCs w:val="22"/>
        </w:rPr>
        <w:t xml:space="preserve"> </w:t>
      </w:r>
      <w:r w:rsidR="003B28D7" w:rsidRPr="008E3364">
        <w:rPr>
          <w:b/>
          <w:bCs/>
          <w:i w:val="0"/>
          <w:iCs w:val="0"/>
          <w:sz w:val="22"/>
          <w:szCs w:val="22"/>
        </w:rPr>
        <w:t xml:space="preserve">10 years to 2031 – economy wide </w:t>
      </w:r>
      <w:r w:rsidR="006B334A" w:rsidRPr="008E3364">
        <w:rPr>
          <w:b/>
          <w:bCs/>
          <w:i w:val="0"/>
          <w:iCs w:val="0"/>
          <w:sz w:val="22"/>
          <w:szCs w:val="22"/>
        </w:rPr>
        <w:t>approach</w:t>
      </w:r>
      <w:bookmarkEnd w:id="221"/>
      <w:bookmarkEnd w:id="222"/>
      <w:r w:rsidR="006B334A" w:rsidRPr="008E3364">
        <w:rPr>
          <w:b/>
          <w:bCs/>
          <w:i w:val="0"/>
          <w:iCs w:val="0"/>
          <w:sz w:val="22"/>
          <w:szCs w:val="22"/>
        </w:rPr>
        <w:t xml:space="preserve">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5: likely net benefit of a civil prohibition on failing to indemnify suppliers for the 10 years to 2031 – economy wide approach "/>
        <w:tblDescription w:val="Provides a summary of the likey net benefit for the measure if an economy wide approach is taken. Total benefits for this option is estimated at $565 million. Total costs for this option is estimated at $346 million. Net benefit for this option is estimated at $219 million. The Benefit Cost Ratio is estimated at 1.6."/>
      </w:tblPr>
      <w:tblGrid>
        <w:gridCol w:w="1812"/>
        <w:gridCol w:w="1812"/>
        <w:gridCol w:w="1812"/>
        <w:gridCol w:w="1812"/>
        <w:gridCol w:w="1812"/>
      </w:tblGrid>
      <w:tr w:rsidR="008E3364" w:rsidRPr="008E3364" w14:paraId="550DCF41" w14:textId="77777777" w:rsidTr="008E3364">
        <w:trPr>
          <w:trHeight w:val="525"/>
        </w:trPr>
        <w:tc>
          <w:tcPr>
            <w:tcW w:w="1000" w:type="pct"/>
            <w:shd w:val="clear" w:color="auto" w:fill="B690C9" w:themeFill="accent6" w:themeFillTint="99"/>
          </w:tcPr>
          <w:p w14:paraId="70A405E8" w14:textId="77777777" w:rsidR="00A17C49" w:rsidRPr="008E3364" w:rsidRDefault="00A17C49" w:rsidP="005A1DCE">
            <w:pPr>
              <w:rPr>
                <w:b/>
                <w:color w:val="000000" w:themeColor="text1"/>
              </w:rPr>
            </w:pPr>
          </w:p>
        </w:tc>
        <w:tc>
          <w:tcPr>
            <w:tcW w:w="1000" w:type="pct"/>
            <w:shd w:val="clear" w:color="auto" w:fill="B690C9" w:themeFill="accent6" w:themeFillTint="99"/>
          </w:tcPr>
          <w:p w14:paraId="5F839628" w14:textId="587D508F" w:rsidR="00A17C49" w:rsidRPr="008E3364" w:rsidRDefault="00A17C49" w:rsidP="00277249">
            <w:pPr>
              <w:rPr>
                <w:b/>
                <w:color w:val="000000" w:themeColor="text1"/>
              </w:rPr>
            </w:pPr>
            <w:r w:rsidRPr="008E3364">
              <w:rPr>
                <w:b/>
                <w:color w:val="000000" w:themeColor="text1"/>
              </w:rPr>
              <w:t xml:space="preserve">Total </w:t>
            </w:r>
            <w:r w:rsidR="00277249" w:rsidRPr="008E3364">
              <w:rPr>
                <w:b/>
                <w:color w:val="000000" w:themeColor="text1"/>
              </w:rPr>
              <w:t>benefits</w:t>
            </w:r>
          </w:p>
        </w:tc>
        <w:tc>
          <w:tcPr>
            <w:tcW w:w="1000" w:type="pct"/>
            <w:shd w:val="clear" w:color="auto" w:fill="B690C9" w:themeFill="accent6" w:themeFillTint="99"/>
          </w:tcPr>
          <w:p w14:paraId="5624668E" w14:textId="5A887336" w:rsidR="00A17C49" w:rsidRPr="008E3364" w:rsidRDefault="00A17C49" w:rsidP="00277249">
            <w:pPr>
              <w:rPr>
                <w:b/>
                <w:color w:val="000000" w:themeColor="text1"/>
              </w:rPr>
            </w:pPr>
            <w:r w:rsidRPr="008E3364">
              <w:rPr>
                <w:b/>
                <w:color w:val="000000" w:themeColor="text1"/>
              </w:rPr>
              <w:t xml:space="preserve">Total </w:t>
            </w:r>
            <w:r w:rsidR="00277249" w:rsidRPr="008E3364">
              <w:rPr>
                <w:b/>
                <w:color w:val="000000" w:themeColor="text1"/>
              </w:rPr>
              <w:t>costs</w:t>
            </w:r>
          </w:p>
        </w:tc>
        <w:tc>
          <w:tcPr>
            <w:tcW w:w="1000" w:type="pct"/>
            <w:shd w:val="clear" w:color="auto" w:fill="B690C9" w:themeFill="accent6" w:themeFillTint="99"/>
          </w:tcPr>
          <w:p w14:paraId="4D7F3040" w14:textId="77777777" w:rsidR="00A17C49" w:rsidRPr="008E3364" w:rsidRDefault="00A17C49" w:rsidP="005A1DCE">
            <w:pPr>
              <w:rPr>
                <w:b/>
                <w:color w:val="000000" w:themeColor="text1"/>
              </w:rPr>
            </w:pPr>
            <w:r w:rsidRPr="008E3364">
              <w:rPr>
                <w:b/>
                <w:color w:val="000000" w:themeColor="text1"/>
              </w:rPr>
              <w:t>Net benefit</w:t>
            </w:r>
          </w:p>
        </w:tc>
        <w:tc>
          <w:tcPr>
            <w:tcW w:w="1000" w:type="pct"/>
            <w:shd w:val="clear" w:color="auto" w:fill="B690C9" w:themeFill="accent6" w:themeFillTint="99"/>
          </w:tcPr>
          <w:p w14:paraId="236AD8D9" w14:textId="7D51CC93" w:rsidR="00A17C49" w:rsidRPr="008E3364" w:rsidRDefault="00A17C49" w:rsidP="005A1DCE">
            <w:pPr>
              <w:rPr>
                <w:b/>
                <w:color w:val="000000" w:themeColor="text1"/>
              </w:rPr>
            </w:pPr>
            <w:r w:rsidRPr="008E3364">
              <w:rPr>
                <w:b/>
                <w:color w:val="000000" w:themeColor="text1"/>
              </w:rPr>
              <w:t>Benefit Cost Ratio</w:t>
            </w:r>
          </w:p>
        </w:tc>
      </w:tr>
      <w:tr w:rsidR="00A17C49" w14:paraId="36EE6FC1" w14:textId="77777777" w:rsidTr="008E3364">
        <w:trPr>
          <w:trHeight w:val="497"/>
        </w:trPr>
        <w:tc>
          <w:tcPr>
            <w:tcW w:w="1000" w:type="pct"/>
          </w:tcPr>
          <w:p w14:paraId="0DD4C2F6" w14:textId="77777777" w:rsidR="00A17C49" w:rsidRPr="004B2C5B" w:rsidRDefault="00A17C49" w:rsidP="005A1DCE">
            <w:r w:rsidRPr="004B2C5B">
              <w:t>Whole economy</w:t>
            </w:r>
          </w:p>
        </w:tc>
        <w:tc>
          <w:tcPr>
            <w:tcW w:w="1000" w:type="pct"/>
          </w:tcPr>
          <w:p w14:paraId="364822BF" w14:textId="3FB8C2B9" w:rsidR="00A17C49" w:rsidRPr="004B2C5B" w:rsidRDefault="00A17C49" w:rsidP="00277249">
            <w:r w:rsidRPr="004B2C5B">
              <w:t>$</w:t>
            </w:r>
            <w:r w:rsidR="00277249">
              <w:t>565</w:t>
            </w:r>
            <w:r w:rsidRPr="004B2C5B">
              <w:t xml:space="preserve"> million</w:t>
            </w:r>
          </w:p>
        </w:tc>
        <w:tc>
          <w:tcPr>
            <w:tcW w:w="1000" w:type="pct"/>
          </w:tcPr>
          <w:p w14:paraId="0869C8E4" w14:textId="7CB60308" w:rsidR="00A17C49" w:rsidRPr="004B2C5B" w:rsidRDefault="004D3C08" w:rsidP="00277249">
            <w:r>
              <w:t xml:space="preserve">$371 </w:t>
            </w:r>
            <w:r w:rsidR="00A17C49" w:rsidRPr="004B2C5B">
              <w:t>million</w:t>
            </w:r>
          </w:p>
        </w:tc>
        <w:tc>
          <w:tcPr>
            <w:tcW w:w="1000" w:type="pct"/>
          </w:tcPr>
          <w:p w14:paraId="5D4C7B96" w14:textId="6D9F3FEA" w:rsidR="00A17C49" w:rsidRPr="004B2C5B" w:rsidRDefault="004D3C08" w:rsidP="005A1DCE">
            <w:r>
              <w:t xml:space="preserve">$194 </w:t>
            </w:r>
            <w:r w:rsidR="00A17C49" w:rsidRPr="004B2C5B">
              <w:t>million</w:t>
            </w:r>
          </w:p>
        </w:tc>
        <w:tc>
          <w:tcPr>
            <w:tcW w:w="1000" w:type="pct"/>
          </w:tcPr>
          <w:p w14:paraId="5A2E2280" w14:textId="1163F783" w:rsidR="00A17C49" w:rsidRPr="004B2C5B" w:rsidRDefault="004D3C08" w:rsidP="005A1DCE">
            <w:r>
              <w:t xml:space="preserve">1.5 </w:t>
            </w:r>
          </w:p>
        </w:tc>
      </w:tr>
    </w:tbl>
    <w:p w14:paraId="041BC210" w14:textId="77777777" w:rsidR="008B0F7E" w:rsidRDefault="008B0F7E" w:rsidP="00BD53A9">
      <w:pPr>
        <w:pStyle w:val="Heading5"/>
      </w:pPr>
    </w:p>
    <w:p w14:paraId="3C8990B7" w14:textId="603248B2" w:rsidR="00BD53A9" w:rsidRDefault="00BD53A9" w:rsidP="00BD53A9">
      <w:pPr>
        <w:pStyle w:val="Heading5"/>
      </w:pPr>
      <w:r>
        <w:t>b)</w:t>
      </w:r>
      <w:r w:rsidRPr="008938C2">
        <w:t xml:space="preserve"> </w:t>
      </w:r>
      <w:r>
        <w:t>New motor vehicles only</w:t>
      </w:r>
      <w:r w:rsidRPr="008938C2">
        <w:t xml:space="preserve"> approach</w:t>
      </w:r>
    </w:p>
    <w:p w14:paraId="4291581C" w14:textId="56EBB883" w:rsidR="008305AB" w:rsidRDefault="008305AB" w:rsidP="00BD53A9">
      <w:r>
        <w:t>This option responds to the imbalance</w:t>
      </w:r>
      <w:r w:rsidR="00A96230">
        <w:t>s</w:t>
      </w:r>
      <w:r>
        <w:t xml:space="preserve"> in bargaining power in the sector as reflected in the ACCC’s new car retailing market study</w:t>
      </w:r>
      <w:r w:rsidR="004073CD">
        <w:rPr>
          <w:rStyle w:val="FootnoteReference"/>
        </w:rPr>
        <w:footnoteReference w:id="101"/>
      </w:r>
      <w:r>
        <w:t>, enabling dealers to provide remedies to consumers under the consumer guarantees with greater confidence to enforce indemnification rights where the responsibility for the failure lies with the manufacturer.</w:t>
      </w:r>
    </w:p>
    <w:p w14:paraId="6E75B978" w14:textId="1D14D08C" w:rsidR="003A11CE" w:rsidRDefault="003A11CE" w:rsidP="00BD53A9">
      <w:r w:rsidRPr="003A11CE">
        <w:t xml:space="preserve">The economic costs and benefits of a civil prohibition on failing to </w:t>
      </w:r>
      <w:r>
        <w:t xml:space="preserve">indemnify suppliers </w:t>
      </w:r>
      <w:r w:rsidRPr="003A11CE">
        <w:t>for the new motor vehicle market are a subset of the economic costs and benefits identified for the economy-wide prohibition.</w:t>
      </w:r>
    </w:p>
    <w:p w14:paraId="39391B82" w14:textId="3EEB684E" w:rsidR="003A11CE" w:rsidRDefault="003A11CE" w:rsidP="00BD53A9">
      <w:r>
        <w:t xml:space="preserve">For new motor vehicles, Option 3 is estimated to create a net benefit of </w:t>
      </w:r>
      <w:r w:rsidR="004D3C08">
        <w:t xml:space="preserve">$184 </w:t>
      </w:r>
      <w:r w:rsidRPr="00682E34">
        <w:t xml:space="preserve">million </w:t>
      </w:r>
      <w:r>
        <w:t xml:space="preserve">in NPV terms </w:t>
      </w:r>
      <w:r w:rsidRPr="00682E34">
        <w:t>over the 10 years to 2031</w:t>
      </w:r>
      <w:r w:rsidR="001156DD">
        <w:t xml:space="preserve"> and a BCR of</w:t>
      </w:r>
      <w:r w:rsidR="004D3C08">
        <w:t>2.2.</w:t>
      </w:r>
      <w:r w:rsidRPr="003A11CE">
        <w:t xml:space="preserve"> </w:t>
      </w:r>
      <w:r>
        <w:t xml:space="preserve">This reflects costs of </w:t>
      </w:r>
      <w:r w:rsidR="004D3C08">
        <w:t>$</w:t>
      </w:r>
      <w:r w:rsidR="0094596F">
        <w:t xml:space="preserve">150 </w:t>
      </w:r>
      <w:r w:rsidR="0094596F" w:rsidRPr="003A11CE">
        <w:t>million</w:t>
      </w:r>
      <w:r w:rsidRPr="003A11CE">
        <w:t xml:space="preserve"> i</w:t>
      </w:r>
      <w:r>
        <w:t>n NPV terms and benefits of $334 </w:t>
      </w:r>
      <w:r w:rsidRPr="003A11CE">
        <w:t>million in NPV terms over this period</w:t>
      </w:r>
      <w:r w:rsidR="001156DD">
        <w:t>.</w:t>
      </w:r>
      <w:r w:rsidR="00922D6B">
        <w:br/>
      </w:r>
    </w:p>
    <w:p w14:paraId="49EDA65B" w14:textId="2E644310" w:rsidR="003B28D7" w:rsidRPr="004A6A65" w:rsidRDefault="004A6A65" w:rsidP="004A6A65">
      <w:pPr>
        <w:pStyle w:val="Caption"/>
        <w:rPr>
          <w:b/>
          <w:bCs/>
          <w:i w:val="0"/>
          <w:iCs w:val="0"/>
          <w:sz w:val="22"/>
          <w:szCs w:val="22"/>
        </w:rPr>
      </w:pPr>
      <w:bookmarkStart w:id="223" w:name="_Toc87529836"/>
      <w:bookmarkStart w:id="224" w:name="_Toc89700888"/>
      <w:r w:rsidRPr="004A6A65">
        <w:rPr>
          <w:b/>
          <w:bCs/>
          <w:i w:val="0"/>
          <w:iCs w:val="0"/>
          <w:sz w:val="22"/>
          <w:szCs w:val="22"/>
        </w:rPr>
        <w:t xml:space="preserve">Table </w:t>
      </w:r>
      <w:r w:rsidRPr="004A6A65">
        <w:rPr>
          <w:b/>
          <w:bCs/>
          <w:i w:val="0"/>
          <w:iCs w:val="0"/>
          <w:sz w:val="22"/>
          <w:szCs w:val="22"/>
        </w:rPr>
        <w:fldChar w:fldCharType="begin"/>
      </w:r>
      <w:r w:rsidRPr="004A6A65">
        <w:rPr>
          <w:b/>
          <w:bCs/>
          <w:i w:val="0"/>
          <w:iCs w:val="0"/>
          <w:sz w:val="22"/>
          <w:szCs w:val="22"/>
        </w:rPr>
        <w:instrText xml:space="preserve"> SEQ Table \* ARABIC </w:instrText>
      </w:r>
      <w:r w:rsidRPr="004A6A65">
        <w:rPr>
          <w:b/>
          <w:bCs/>
          <w:i w:val="0"/>
          <w:iCs w:val="0"/>
          <w:sz w:val="22"/>
          <w:szCs w:val="22"/>
        </w:rPr>
        <w:fldChar w:fldCharType="separate"/>
      </w:r>
      <w:r w:rsidR="00001633">
        <w:rPr>
          <w:b/>
          <w:bCs/>
          <w:i w:val="0"/>
          <w:iCs w:val="0"/>
          <w:noProof/>
          <w:sz w:val="22"/>
          <w:szCs w:val="22"/>
        </w:rPr>
        <w:t>16</w:t>
      </w:r>
      <w:r w:rsidRPr="004A6A65">
        <w:rPr>
          <w:b/>
          <w:bCs/>
          <w:i w:val="0"/>
          <w:iCs w:val="0"/>
          <w:sz w:val="22"/>
          <w:szCs w:val="22"/>
        </w:rPr>
        <w:fldChar w:fldCharType="end"/>
      </w:r>
      <w:r w:rsidRPr="004A6A65">
        <w:rPr>
          <w:b/>
          <w:bCs/>
          <w:i w:val="0"/>
          <w:iCs w:val="0"/>
          <w:sz w:val="22"/>
          <w:szCs w:val="22"/>
        </w:rPr>
        <w:t xml:space="preserve">: </w:t>
      </w:r>
      <w:r w:rsidR="00C04EDD">
        <w:rPr>
          <w:b/>
          <w:bCs/>
          <w:i w:val="0"/>
          <w:iCs w:val="0"/>
          <w:sz w:val="22"/>
          <w:szCs w:val="22"/>
        </w:rPr>
        <w:t>L</w:t>
      </w:r>
      <w:r w:rsidRPr="004A6A65">
        <w:rPr>
          <w:b/>
          <w:bCs/>
          <w:i w:val="0"/>
          <w:iCs w:val="0"/>
          <w:sz w:val="22"/>
          <w:szCs w:val="22"/>
        </w:rPr>
        <w:t>ikely n</w:t>
      </w:r>
      <w:r w:rsidR="003B28D7" w:rsidRPr="004A6A65">
        <w:rPr>
          <w:b/>
          <w:bCs/>
          <w:i w:val="0"/>
          <w:iCs w:val="0"/>
          <w:sz w:val="22"/>
          <w:szCs w:val="22"/>
        </w:rPr>
        <w:t>et benefit of a civil prohibition on failing to indemnify suppliers for the</w:t>
      </w:r>
      <w:r w:rsidR="003B28D7" w:rsidRPr="004A6A65" w:rsidDel="0090450E">
        <w:rPr>
          <w:b/>
          <w:bCs/>
          <w:i w:val="0"/>
          <w:iCs w:val="0"/>
          <w:sz w:val="22"/>
          <w:szCs w:val="22"/>
        </w:rPr>
        <w:t xml:space="preserve"> </w:t>
      </w:r>
      <w:r w:rsidR="003B28D7" w:rsidRPr="004A6A65">
        <w:rPr>
          <w:b/>
          <w:bCs/>
          <w:i w:val="0"/>
          <w:iCs w:val="0"/>
          <w:sz w:val="22"/>
          <w:szCs w:val="22"/>
        </w:rPr>
        <w:t>10 years to 2031 – new motor vehicles only approach</w:t>
      </w:r>
      <w:bookmarkEnd w:id="223"/>
      <w:bookmarkEnd w:id="224"/>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likely net benefit of a civil prohibition on failing to indemnify suppliers for the 10 years to 2031 – new motor vehicles only approach"/>
        <w:tblDescription w:val="Provides a summary of the likey net benefit for the measure if an new motor vehicle only approach is taken. Total benefits for this option is estimated at $334 million. Total costs for this option is estimated at $147 million. Net benefit for this option is estimated at $187 million. The Benefit Cost Ratio is estimated at 2.3."/>
      </w:tblPr>
      <w:tblGrid>
        <w:gridCol w:w="1812"/>
        <w:gridCol w:w="1812"/>
        <w:gridCol w:w="1812"/>
        <w:gridCol w:w="1812"/>
        <w:gridCol w:w="1812"/>
      </w:tblGrid>
      <w:tr w:rsidR="004A6A65" w:rsidRPr="004A6A65" w14:paraId="028D1919" w14:textId="77777777" w:rsidTr="004A6A65">
        <w:trPr>
          <w:trHeight w:val="525"/>
        </w:trPr>
        <w:tc>
          <w:tcPr>
            <w:tcW w:w="1000" w:type="pct"/>
            <w:shd w:val="clear" w:color="auto" w:fill="B690C9" w:themeFill="accent6" w:themeFillTint="99"/>
          </w:tcPr>
          <w:p w14:paraId="53512214" w14:textId="77777777" w:rsidR="00BD53A9" w:rsidRPr="004A6A65" w:rsidRDefault="00BD53A9" w:rsidP="005A1DCE">
            <w:pPr>
              <w:rPr>
                <w:b/>
                <w:color w:val="000000" w:themeColor="text1"/>
              </w:rPr>
            </w:pPr>
          </w:p>
        </w:tc>
        <w:tc>
          <w:tcPr>
            <w:tcW w:w="1000" w:type="pct"/>
            <w:shd w:val="clear" w:color="auto" w:fill="B690C9" w:themeFill="accent6" w:themeFillTint="99"/>
          </w:tcPr>
          <w:p w14:paraId="6A952A09" w14:textId="4AB8EA5B" w:rsidR="00BD53A9" w:rsidRPr="004A6A65" w:rsidRDefault="00BD53A9" w:rsidP="003B28D7">
            <w:pPr>
              <w:rPr>
                <w:b/>
                <w:color w:val="000000" w:themeColor="text1"/>
              </w:rPr>
            </w:pPr>
            <w:r w:rsidRPr="004A6A65">
              <w:rPr>
                <w:b/>
                <w:color w:val="000000" w:themeColor="text1"/>
              </w:rPr>
              <w:t xml:space="preserve">Total </w:t>
            </w:r>
            <w:r w:rsidR="003B28D7" w:rsidRPr="004A6A65">
              <w:rPr>
                <w:b/>
                <w:color w:val="000000" w:themeColor="text1"/>
              </w:rPr>
              <w:t>benefit</w:t>
            </w:r>
            <w:r w:rsidRPr="004A6A65">
              <w:rPr>
                <w:b/>
                <w:color w:val="000000" w:themeColor="text1"/>
              </w:rPr>
              <w:t>s</w:t>
            </w:r>
          </w:p>
        </w:tc>
        <w:tc>
          <w:tcPr>
            <w:tcW w:w="1000" w:type="pct"/>
            <w:shd w:val="clear" w:color="auto" w:fill="B690C9" w:themeFill="accent6" w:themeFillTint="99"/>
          </w:tcPr>
          <w:p w14:paraId="777A9420" w14:textId="330380C6" w:rsidR="00BD53A9" w:rsidRPr="004A6A65" w:rsidRDefault="00BD53A9" w:rsidP="003B28D7">
            <w:pPr>
              <w:rPr>
                <w:b/>
                <w:color w:val="000000" w:themeColor="text1"/>
              </w:rPr>
            </w:pPr>
            <w:r w:rsidRPr="004A6A65">
              <w:rPr>
                <w:b/>
                <w:color w:val="000000" w:themeColor="text1"/>
              </w:rPr>
              <w:t xml:space="preserve">Total </w:t>
            </w:r>
            <w:r w:rsidR="003B28D7" w:rsidRPr="004A6A65">
              <w:rPr>
                <w:b/>
                <w:color w:val="000000" w:themeColor="text1"/>
              </w:rPr>
              <w:t>cost</w:t>
            </w:r>
            <w:r w:rsidRPr="004A6A65">
              <w:rPr>
                <w:b/>
                <w:color w:val="000000" w:themeColor="text1"/>
              </w:rPr>
              <w:t>s</w:t>
            </w:r>
          </w:p>
        </w:tc>
        <w:tc>
          <w:tcPr>
            <w:tcW w:w="1000" w:type="pct"/>
            <w:shd w:val="clear" w:color="auto" w:fill="B690C9" w:themeFill="accent6" w:themeFillTint="99"/>
          </w:tcPr>
          <w:p w14:paraId="34918F4E" w14:textId="77777777" w:rsidR="00BD53A9" w:rsidRPr="004A6A65" w:rsidRDefault="00BD53A9" w:rsidP="005A1DCE">
            <w:pPr>
              <w:rPr>
                <w:b/>
                <w:color w:val="000000" w:themeColor="text1"/>
              </w:rPr>
            </w:pPr>
            <w:r w:rsidRPr="004A6A65">
              <w:rPr>
                <w:b/>
                <w:color w:val="000000" w:themeColor="text1"/>
              </w:rPr>
              <w:t>Net benefit</w:t>
            </w:r>
          </w:p>
        </w:tc>
        <w:tc>
          <w:tcPr>
            <w:tcW w:w="1000" w:type="pct"/>
            <w:shd w:val="clear" w:color="auto" w:fill="B690C9" w:themeFill="accent6" w:themeFillTint="99"/>
          </w:tcPr>
          <w:p w14:paraId="4F336A98" w14:textId="0F5F90A0" w:rsidR="00BD53A9" w:rsidRPr="004A6A65" w:rsidRDefault="00BD53A9" w:rsidP="005A1DCE">
            <w:pPr>
              <w:rPr>
                <w:b/>
                <w:color w:val="000000" w:themeColor="text1"/>
              </w:rPr>
            </w:pPr>
            <w:r w:rsidRPr="004A6A65">
              <w:rPr>
                <w:b/>
                <w:color w:val="000000" w:themeColor="text1"/>
              </w:rPr>
              <w:t>Benefit Cost Ratio</w:t>
            </w:r>
          </w:p>
        </w:tc>
      </w:tr>
      <w:tr w:rsidR="00BD53A9" w14:paraId="48EB4E9F" w14:textId="77777777" w:rsidTr="004A6A65">
        <w:trPr>
          <w:trHeight w:val="497"/>
        </w:trPr>
        <w:tc>
          <w:tcPr>
            <w:tcW w:w="1000" w:type="pct"/>
          </w:tcPr>
          <w:p w14:paraId="7A087951" w14:textId="77777777" w:rsidR="00BD53A9" w:rsidRPr="004B2C5B" w:rsidRDefault="00BD53A9" w:rsidP="005A1DCE">
            <w:r w:rsidRPr="004B2C5B">
              <w:t>Motor vehicles</w:t>
            </w:r>
          </w:p>
        </w:tc>
        <w:tc>
          <w:tcPr>
            <w:tcW w:w="1000" w:type="pct"/>
          </w:tcPr>
          <w:p w14:paraId="32232332" w14:textId="286FEBFF" w:rsidR="00BD53A9" w:rsidRPr="004B2C5B" w:rsidRDefault="00BD53A9" w:rsidP="001156DD">
            <w:r w:rsidRPr="004B2C5B">
              <w:t>$</w:t>
            </w:r>
            <w:r w:rsidR="001156DD">
              <w:t>334</w:t>
            </w:r>
            <w:r w:rsidRPr="004B2C5B">
              <w:t xml:space="preserve"> million</w:t>
            </w:r>
          </w:p>
        </w:tc>
        <w:tc>
          <w:tcPr>
            <w:tcW w:w="1000" w:type="pct"/>
          </w:tcPr>
          <w:p w14:paraId="090A0F02" w14:textId="2662EDC9" w:rsidR="00BD53A9" w:rsidRPr="004B2C5B" w:rsidRDefault="004D3C08" w:rsidP="001156DD">
            <w:r>
              <w:t xml:space="preserve">$150 </w:t>
            </w:r>
            <w:r w:rsidR="00BD53A9" w:rsidRPr="004B2C5B">
              <w:t>million</w:t>
            </w:r>
          </w:p>
        </w:tc>
        <w:tc>
          <w:tcPr>
            <w:tcW w:w="1000" w:type="pct"/>
          </w:tcPr>
          <w:p w14:paraId="61EE6B09" w14:textId="3C48F0AA" w:rsidR="00BD53A9" w:rsidRPr="004B2C5B" w:rsidRDefault="004D3C08" w:rsidP="005A1DCE">
            <w:r>
              <w:t xml:space="preserve">$184 </w:t>
            </w:r>
            <w:r w:rsidR="00BD53A9" w:rsidRPr="004B2C5B">
              <w:t>million</w:t>
            </w:r>
          </w:p>
        </w:tc>
        <w:tc>
          <w:tcPr>
            <w:tcW w:w="1000" w:type="pct"/>
          </w:tcPr>
          <w:p w14:paraId="128D11A9" w14:textId="55458FE2" w:rsidR="00BD53A9" w:rsidRPr="004B2C5B" w:rsidRDefault="004D3C08" w:rsidP="005A1DCE">
            <w:r>
              <w:t xml:space="preserve">2.2 </w:t>
            </w:r>
          </w:p>
        </w:tc>
      </w:tr>
    </w:tbl>
    <w:p w14:paraId="170C55E9" w14:textId="77777777" w:rsidR="000C19B7" w:rsidRDefault="000C19B7" w:rsidP="000C19B7">
      <w:pPr>
        <w:pStyle w:val="TableHeadingContinued"/>
        <w:rPr>
          <w:rFonts w:eastAsiaTheme="majorEastAsia"/>
        </w:rPr>
      </w:pPr>
    </w:p>
    <w:p w14:paraId="246EC2A0" w14:textId="77777777" w:rsidR="008B0F7E" w:rsidRDefault="008B0F7E">
      <w:pPr>
        <w:spacing w:before="0" w:after="160" w:line="259" w:lineRule="auto"/>
        <w:rPr>
          <w:b/>
          <w:bCs/>
          <w:color w:val="5F5F5F" w:themeColor="text2"/>
          <w:szCs w:val="22"/>
        </w:rPr>
      </w:pPr>
      <w:bookmarkStart w:id="225" w:name="_Toc87529837"/>
      <w:r>
        <w:rPr>
          <w:b/>
          <w:bCs/>
          <w:i/>
          <w:iCs/>
          <w:szCs w:val="22"/>
        </w:rPr>
        <w:br w:type="page"/>
      </w:r>
    </w:p>
    <w:p w14:paraId="7BEF9FA3" w14:textId="445B1735" w:rsidR="000C19B7" w:rsidRPr="004A6A65" w:rsidRDefault="004A6A65" w:rsidP="004A6A65">
      <w:pPr>
        <w:pStyle w:val="Caption"/>
        <w:rPr>
          <w:rFonts w:eastAsiaTheme="majorEastAsia"/>
          <w:b/>
          <w:bCs/>
          <w:i w:val="0"/>
          <w:iCs w:val="0"/>
          <w:sz w:val="22"/>
          <w:szCs w:val="22"/>
        </w:rPr>
      </w:pPr>
      <w:bookmarkStart w:id="226" w:name="_Toc89700889"/>
      <w:r w:rsidRPr="004A6A65">
        <w:rPr>
          <w:b/>
          <w:bCs/>
          <w:i w:val="0"/>
          <w:iCs w:val="0"/>
          <w:sz w:val="22"/>
          <w:szCs w:val="22"/>
        </w:rPr>
        <w:lastRenderedPageBreak/>
        <w:t xml:space="preserve">Table </w:t>
      </w:r>
      <w:r w:rsidRPr="004A6A65">
        <w:rPr>
          <w:b/>
          <w:bCs/>
          <w:i w:val="0"/>
          <w:iCs w:val="0"/>
          <w:sz w:val="22"/>
          <w:szCs w:val="22"/>
        </w:rPr>
        <w:fldChar w:fldCharType="begin"/>
      </w:r>
      <w:r w:rsidRPr="004A6A65">
        <w:rPr>
          <w:b/>
          <w:bCs/>
          <w:i w:val="0"/>
          <w:iCs w:val="0"/>
          <w:sz w:val="22"/>
          <w:szCs w:val="22"/>
        </w:rPr>
        <w:instrText xml:space="preserve"> SEQ Table \* ARABIC </w:instrText>
      </w:r>
      <w:r w:rsidRPr="004A6A65">
        <w:rPr>
          <w:b/>
          <w:bCs/>
          <w:i w:val="0"/>
          <w:iCs w:val="0"/>
          <w:sz w:val="22"/>
          <w:szCs w:val="22"/>
        </w:rPr>
        <w:fldChar w:fldCharType="separate"/>
      </w:r>
      <w:r w:rsidR="00001633">
        <w:rPr>
          <w:b/>
          <w:bCs/>
          <w:i w:val="0"/>
          <w:iCs w:val="0"/>
          <w:noProof/>
          <w:sz w:val="22"/>
          <w:szCs w:val="22"/>
        </w:rPr>
        <w:t>17</w:t>
      </w:r>
      <w:r w:rsidRPr="004A6A65">
        <w:rPr>
          <w:b/>
          <w:bCs/>
          <w:i w:val="0"/>
          <w:iCs w:val="0"/>
          <w:sz w:val="22"/>
          <w:szCs w:val="22"/>
        </w:rPr>
        <w:fldChar w:fldCharType="end"/>
      </w:r>
      <w:r w:rsidRPr="004A6A65">
        <w:rPr>
          <w:b/>
          <w:bCs/>
          <w:i w:val="0"/>
          <w:iCs w:val="0"/>
          <w:sz w:val="22"/>
          <w:szCs w:val="22"/>
        </w:rPr>
        <w:t xml:space="preserve">: </w:t>
      </w:r>
      <w:r w:rsidR="00C04EDD">
        <w:rPr>
          <w:b/>
          <w:bCs/>
          <w:i w:val="0"/>
          <w:iCs w:val="0"/>
          <w:sz w:val="22"/>
          <w:szCs w:val="22"/>
        </w:rPr>
        <w:t>S</w:t>
      </w:r>
      <w:r w:rsidR="000C19B7" w:rsidRPr="004A6A65">
        <w:rPr>
          <w:rFonts w:eastAsiaTheme="majorEastAsia"/>
          <w:b/>
          <w:bCs/>
          <w:i w:val="0"/>
          <w:iCs w:val="0"/>
          <w:sz w:val="22"/>
          <w:szCs w:val="22"/>
        </w:rPr>
        <w:t>ummary of benefits and costs of Part B, Option 3 (covers both economy-wide approach and new motor vehicles only approach)</w:t>
      </w:r>
      <w:bookmarkEnd w:id="225"/>
      <w:bookmarkEnd w:id="22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3B28D7" w14:paraId="3EDEEEFC" w14:textId="77777777" w:rsidTr="004A6A65">
        <w:tc>
          <w:tcPr>
            <w:tcW w:w="2500" w:type="pct"/>
            <w:shd w:val="clear" w:color="auto" w:fill="B690C9" w:themeFill="accent6" w:themeFillTint="99"/>
          </w:tcPr>
          <w:p w14:paraId="24791A42" w14:textId="77777777" w:rsidR="003B28D7" w:rsidRPr="004860EB" w:rsidRDefault="003B28D7" w:rsidP="001156DD">
            <w:pPr>
              <w:rPr>
                <w:b/>
              </w:rPr>
            </w:pPr>
            <w:r w:rsidRPr="004860EB">
              <w:rPr>
                <w:b/>
              </w:rPr>
              <w:t xml:space="preserve">Benefits </w:t>
            </w:r>
          </w:p>
        </w:tc>
        <w:tc>
          <w:tcPr>
            <w:tcW w:w="2500" w:type="pct"/>
            <w:shd w:val="clear" w:color="auto" w:fill="B690C9" w:themeFill="accent6" w:themeFillTint="99"/>
          </w:tcPr>
          <w:p w14:paraId="54F10F25" w14:textId="77777777" w:rsidR="003B28D7" w:rsidRPr="004860EB" w:rsidRDefault="003B28D7" w:rsidP="001156DD">
            <w:pPr>
              <w:rPr>
                <w:b/>
              </w:rPr>
            </w:pPr>
            <w:r w:rsidRPr="004860EB">
              <w:rPr>
                <w:b/>
              </w:rPr>
              <w:t xml:space="preserve">Costs </w:t>
            </w:r>
          </w:p>
        </w:tc>
      </w:tr>
      <w:tr w:rsidR="003B28D7" w14:paraId="2E87ECE4" w14:textId="77777777" w:rsidTr="004A6A65">
        <w:tc>
          <w:tcPr>
            <w:tcW w:w="2500" w:type="pct"/>
          </w:tcPr>
          <w:p w14:paraId="4283E460" w14:textId="0724B26F" w:rsidR="003F0E0B" w:rsidRDefault="003F0E0B" w:rsidP="00B20812">
            <w:pPr>
              <w:pStyle w:val="Bullet"/>
              <w:widowControl w:val="0"/>
              <w:numPr>
                <w:ilvl w:val="0"/>
                <w:numId w:val="12"/>
              </w:numPr>
              <w:spacing w:line="280" w:lineRule="exact"/>
              <w:jc w:val="left"/>
            </w:pPr>
            <w:r>
              <w:t>Suppliers less likely to bear the full cost of a remedy where the responsibility for the failure lies with the manufacturer.</w:t>
            </w:r>
          </w:p>
          <w:p w14:paraId="58DCFC7B" w14:textId="77777777" w:rsidR="003F0E0B" w:rsidRDefault="003F0E0B" w:rsidP="00B20812">
            <w:pPr>
              <w:pStyle w:val="Bullet"/>
              <w:widowControl w:val="0"/>
              <w:numPr>
                <w:ilvl w:val="0"/>
                <w:numId w:val="12"/>
              </w:numPr>
              <w:spacing w:line="280" w:lineRule="exact"/>
              <w:jc w:val="left"/>
            </w:pPr>
            <w:r>
              <w:t xml:space="preserve">Possible time and resource savings for suppliers in negotiating / discussing individual cases for indemnification with manufacturers. </w:t>
            </w:r>
          </w:p>
          <w:p w14:paraId="32784050" w14:textId="5673707E" w:rsidR="003F0E0B" w:rsidRPr="003F0E0B" w:rsidRDefault="003F0E0B" w:rsidP="00B20812">
            <w:pPr>
              <w:pStyle w:val="Bullet"/>
              <w:widowControl w:val="0"/>
              <w:numPr>
                <w:ilvl w:val="0"/>
                <w:numId w:val="12"/>
              </w:numPr>
              <w:spacing w:line="280" w:lineRule="exact"/>
              <w:jc w:val="left"/>
            </w:pPr>
            <w:r>
              <w:t>Suppliers may provide more remedies to consumers for failures within the manufacturer’s responsibility with the knowledge the risk of not being compensated is reduced.</w:t>
            </w:r>
          </w:p>
        </w:tc>
        <w:tc>
          <w:tcPr>
            <w:tcW w:w="2500" w:type="pct"/>
          </w:tcPr>
          <w:p w14:paraId="3159DDAA" w14:textId="490A43F3" w:rsidR="003F0E0B" w:rsidRDefault="003F0E0B" w:rsidP="00A86F78">
            <w:pPr>
              <w:pStyle w:val="Bullet"/>
              <w:widowControl w:val="0"/>
              <w:numPr>
                <w:ilvl w:val="0"/>
                <w:numId w:val="12"/>
              </w:numPr>
              <w:spacing w:line="280" w:lineRule="exact"/>
            </w:pPr>
            <w:r>
              <w:t xml:space="preserve">Costs associated with providing remedies (where a business is not already providing these). </w:t>
            </w:r>
          </w:p>
          <w:p w14:paraId="5F9988AA" w14:textId="237A8676" w:rsidR="003F0E0B" w:rsidRDefault="003F0E0B" w:rsidP="00B20812">
            <w:pPr>
              <w:pStyle w:val="Bullet"/>
              <w:widowControl w:val="0"/>
              <w:numPr>
                <w:ilvl w:val="0"/>
                <w:numId w:val="12"/>
              </w:numPr>
              <w:spacing w:line="280" w:lineRule="exact"/>
            </w:pPr>
            <w:r>
              <w:t xml:space="preserve">Costs of non-compliance (infringement notices and pecuniary penalties) (applicable to </w:t>
            </w:r>
            <w:r w:rsidR="00C04EDD">
              <w:br/>
              <w:t>non-compliant</w:t>
            </w:r>
            <w:r>
              <w:t xml:space="preserve"> businesses only)</w:t>
            </w:r>
          </w:p>
          <w:p w14:paraId="75DCB13A" w14:textId="201CCDA8" w:rsidR="003F0E0B" w:rsidRDefault="003F0E0B" w:rsidP="00B20812">
            <w:pPr>
              <w:pStyle w:val="Bullet"/>
              <w:widowControl w:val="0"/>
              <w:numPr>
                <w:ilvl w:val="0"/>
                <w:numId w:val="12"/>
              </w:numPr>
              <w:spacing w:before="120" w:line="280" w:lineRule="exact"/>
              <w:jc w:val="left"/>
            </w:pPr>
            <w:r>
              <w:t>Increased training cost for business to ensure staff have a common understanding of the change.</w:t>
            </w:r>
          </w:p>
        </w:tc>
      </w:tr>
    </w:tbl>
    <w:p w14:paraId="32C27D67" w14:textId="482D310B" w:rsidR="00922D6B" w:rsidRDefault="00922D6B">
      <w:pPr>
        <w:spacing w:before="0" w:after="160" w:line="259" w:lineRule="auto"/>
        <w:rPr>
          <w:rFonts w:eastAsiaTheme="majorEastAsia"/>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016"/>
      </w:tblGrid>
      <w:tr w:rsidR="007B7279" w14:paraId="03C4DB54" w14:textId="77777777" w:rsidTr="00614ACE">
        <w:tc>
          <w:tcPr>
            <w:tcW w:w="9016" w:type="dxa"/>
            <w:shd w:val="clear" w:color="auto" w:fill="F2F2F2" w:themeFill="background1" w:themeFillShade="F2"/>
          </w:tcPr>
          <w:p w14:paraId="5F103A91" w14:textId="77777777" w:rsidR="007B7279" w:rsidRPr="002E2CFC" w:rsidRDefault="007B7279" w:rsidP="00614ACE">
            <w:pPr>
              <w:pStyle w:val="Bullet"/>
              <w:numPr>
                <w:ilvl w:val="0"/>
                <w:numId w:val="0"/>
              </w:numPr>
              <w:ind w:left="425" w:hanging="425"/>
              <w:rPr>
                <w:b/>
                <w:sz w:val="22"/>
                <w:szCs w:val="28"/>
              </w:rPr>
            </w:pPr>
            <w:r w:rsidRPr="002E2CFC">
              <w:rPr>
                <w:b/>
                <w:sz w:val="22"/>
                <w:szCs w:val="28"/>
              </w:rPr>
              <w:t>Focus Questions:</w:t>
            </w:r>
          </w:p>
          <w:p w14:paraId="0CA3B009" w14:textId="77777777" w:rsidR="007B7279" w:rsidRPr="002E2CFC" w:rsidRDefault="007B7279" w:rsidP="00614ACE">
            <w:pPr>
              <w:pStyle w:val="Bullet"/>
              <w:numPr>
                <w:ilvl w:val="0"/>
                <w:numId w:val="0"/>
              </w:numPr>
              <w:ind w:left="425" w:hanging="425"/>
              <w:rPr>
                <w:sz w:val="22"/>
                <w:szCs w:val="28"/>
              </w:rPr>
            </w:pPr>
            <w:r w:rsidRPr="002E2CFC">
              <w:rPr>
                <w:sz w:val="22"/>
                <w:szCs w:val="28"/>
              </w:rPr>
              <w:t>For suppliers:</w:t>
            </w:r>
          </w:p>
          <w:p w14:paraId="7EA4F732" w14:textId="43B6994F" w:rsidR="007B7279" w:rsidRPr="002E2CFC" w:rsidRDefault="001568BF" w:rsidP="004A3FDA">
            <w:pPr>
              <w:pStyle w:val="Bullet"/>
              <w:widowControl w:val="0"/>
              <w:numPr>
                <w:ilvl w:val="0"/>
                <w:numId w:val="37"/>
              </w:numPr>
              <w:spacing w:before="120" w:after="240" w:line="280" w:lineRule="exact"/>
              <w:rPr>
                <w:sz w:val="22"/>
                <w:szCs w:val="28"/>
              </w:rPr>
            </w:pPr>
            <w:r w:rsidRPr="002E2CFC">
              <w:rPr>
                <w:sz w:val="22"/>
                <w:szCs w:val="28"/>
              </w:rPr>
              <w:t xml:space="preserve">Have you sought </w:t>
            </w:r>
            <w:r w:rsidR="007B7279" w:rsidRPr="002E2CFC">
              <w:rPr>
                <w:sz w:val="22"/>
                <w:szCs w:val="28"/>
              </w:rPr>
              <w:t xml:space="preserve">indemnification from manufacturers under the existing law? If not, please provide </w:t>
            </w:r>
            <w:r w:rsidRPr="002E2CFC">
              <w:rPr>
                <w:sz w:val="22"/>
                <w:szCs w:val="28"/>
              </w:rPr>
              <w:t>details.</w:t>
            </w:r>
          </w:p>
          <w:p w14:paraId="19AC46A2" w14:textId="364DF09A" w:rsidR="007B7279" w:rsidRPr="002E2CFC" w:rsidRDefault="001568BF" w:rsidP="004A3FDA">
            <w:pPr>
              <w:pStyle w:val="Bullet"/>
              <w:widowControl w:val="0"/>
              <w:numPr>
                <w:ilvl w:val="0"/>
                <w:numId w:val="37"/>
              </w:numPr>
              <w:spacing w:before="120" w:after="240" w:line="280" w:lineRule="exact"/>
              <w:rPr>
                <w:sz w:val="22"/>
                <w:szCs w:val="28"/>
              </w:rPr>
            </w:pPr>
            <w:r w:rsidRPr="002E2CFC">
              <w:rPr>
                <w:sz w:val="22"/>
                <w:szCs w:val="28"/>
              </w:rPr>
              <w:t xml:space="preserve">Have </w:t>
            </w:r>
            <w:r w:rsidR="007B7279" w:rsidRPr="002E2CFC">
              <w:rPr>
                <w:sz w:val="22"/>
                <w:szCs w:val="28"/>
              </w:rPr>
              <w:t>you experience</w:t>
            </w:r>
            <w:r w:rsidRPr="002E2CFC">
              <w:rPr>
                <w:sz w:val="22"/>
                <w:szCs w:val="28"/>
              </w:rPr>
              <w:t>d</w:t>
            </w:r>
            <w:r w:rsidR="007B7279" w:rsidRPr="002E2CFC">
              <w:rPr>
                <w:sz w:val="22"/>
                <w:szCs w:val="28"/>
              </w:rPr>
              <w:t xml:space="preserve"> difficulties getting indemnified </w:t>
            </w:r>
            <w:r w:rsidRPr="002E2CFC">
              <w:rPr>
                <w:sz w:val="22"/>
                <w:szCs w:val="28"/>
              </w:rPr>
              <w:t>from</w:t>
            </w:r>
            <w:r w:rsidR="007B7279" w:rsidRPr="002E2CFC">
              <w:rPr>
                <w:sz w:val="22"/>
                <w:szCs w:val="28"/>
              </w:rPr>
              <w:t xml:space="preserve"> manufacturer</w:t>
            </w:r>
            <w:r w:rsidRPr="002E2CFC">
              <w:rPr>
                <w:sz w:val="22"/>
                <w:szCs w:val="28"/>
              </w:rPr>
              <w:t>s</w:t>
            </w:r>
            <w:r w:rsidR="007B7279" w:rsidRPr="002E2CFC">
              <w:rPr>
                <w:sz w:val="22"/>
                <w:szCs w:val="28"/>
              </w:rPr>
              <w:t xml:space="preserve">? If so, </w:t>
            </w:r>
            <w:r w:rsidRPr="002E2CFC">
              <w:rPr>
                <w:sz w:val="22"/>
                <w:szCs w:val="28"/>
              </w:rPr>
              <w:t xml:space="preserve">please provide details. </w:t>
            </w:r>
          </w:p>
          <w:p w14:paraId="011E65EF" w14:textId="6A1B0080" w:rsidR="007B7279" w:rsidRPr="002E2CFC" w:rsidRDefault="007B7279" w:rsidP="004A3FDA">
            <w:pPr>
              <w:pStyle w:val="Bullet"/>
              <w:widowControl w:val="0"/>
              <w:numPr>
                <w:ilvl w:val="0"/>
                <w:numId w:val="37"/>
              </w:numPr>
              <w:spacing w:before="120" w:after="240" w:line="280" w:lineRule="exact"/>
              <w:rPr>
                <w:sz w:val="22"/>
                <w:szCs w:val="28"/>
              </w:rPr>
            </w:pPr>
            <w:r w:rsidRPr="002E2CFC">
              <w:rPr>
                <w:sz w:val="22"/>
                <w:szCs w:val="28"/>
              </w:rPr>
              <w:t>Would your inclination to seek</w:t>
            </w:r>
            <w:r w:rsidR="001568BF" w:rsidRPr="002E2CFC">
              <w:rPr>
                <w:sz w:val="22"/>
                <w:szCs w:val="28"/>
              </w:rPr>
              <w:t xml:space="preserve"> an</w:t>
            </w:r>
            <w:r w:rsidRPr="002E2CFC">
              <w:rPr>
                <w:sz w:val="22"/>
                <w:szCs w:val="28"/>
              </w:rPr>
              <w:t xml:space="preserve"> indemnification change if a civil prohibition was introduced?</w:t>
            </w:r>
          </w:p>
          <w:p w14:paraId="06393454" w14:textId="67140D4C" w:rsidR="007B7279" w:rsidRPr="002E2CFC" w:rsidRDefault="007B7279" w:rsidP="004A3FDA">
            <w:pPr>
              <w:pStyle w:val="Bullet"/>
              <w:widowControl w:val="0"/>
              <w:numPr>
                <w:ilvl w:val="0"/>
                <w:numId w:val="37"/>
              </w:numPr>
              <w:spacing w:before="120" w:after="240" w:line="280" w:lineRule="exact"/>
              <w:rPr>
                <w:sz w:val="22"/>
                <w:szCs w:val="28"/>
              </w:rPr>
            </w:pPr>
            <w:r w:rsidRPr="002E2CFC">
              <w:rPr>
                <w:sz w:val="22"/>
                <w:szCs w:val="28"/>
              </w:rPr>
              <w:t>Would your approach to providing consumer guarantees remedies to consumers change if a civil prohibition was introduced</w:t>
            </w:r>
            <w:r w:rsidR="001568BF" w:rsidRPr="002E2CFC">
              <w:rPr>
                <w:sz w:val="22"/>
                <w:szCs w:val="28"/>
              </w:rPr>
              <w:t>? I</w:t>
            </w:r>
            <w:r w:rsidRPr="002E2CFC">
              <w:rPr>
                <w:sz w:val="22"/>
                <w:szCs w:val="28"/>
              </w:rPr>
              <w:t>f so, how?</w:t>
            </w:r>
          </w:p>
          <w:p w14:paraId="5B993E53" w14:textId="77777777" w:rsidR="007B7279" w:rsidRPr="002E2CFC" w:rsidRDefault="007B7279" w:rsidP="00614ACE">
            <w:pPr>
              <w:pStyle w:val="Bullet"/>
              <w:numPr>
                <w:ilvl w:val="0"/>
                <w:numId w:val="0"/>
              </w:numPr>
              <w:rPr>
                <w:sz w:val="22"/>
                <w:szCs w:val="28"/>
              </w:rPr>
            </w:pPr>
            <w:r w:rsidRPr="002E2CFC">
              <w:rPr>
                <w:sz w:val="22"/>
                <w:szCs w:val="28"/>
              </w:rPr>
              <w:t>For manufacturers:</w:t>
            </w:r>
          </w:p>
          <w:p w14:paraId="20F8EA40" w14:textId="77777777" w:rsidR="007B7279" w:rsidRPr="002E2CFC" w:rsidRDefault="007B7279" w:rsidP="004A3FDA">
            <w:pPr>
              <w:pStyle w:val="Bullet"/>
              <w:widowControl w:val="0"/>
              <w:numPr>
                <w:ilvl w:val="0"/>
                <w:numId w:val="37"/>
              </w:numPr>
              <w:spacing w:before="120" w:after="240" w:line="280" w:lineRule="exact"/>
              <w:rPr>
                <w:sz w:val="22"/>
                <w:szCs w:val="28"/>
              </w:rPr>
            </w:pPr>
            <w:r w:rsidRPr="002E2CFC">
              <w:rPr>
                <w:sz w:val="22"/>
                <w:szCs w:val="28"/>
              </w:rPr>
              <w:t>How (if at all) would a civil prohibition change your response to requests for indemnification?</w:t>
            </w:r>
          </w:p>
          <w:p w14:paraId="083F69A7" w14:textId="77777777" w:rsidR="007B7279" w:rsidRPr="002E2CFC" w:rsidRDefault="007B7279" w:rsidP="004A3FDA">
            <w:pPr>
              <w:pStyle w:val="Bullet"/>
              <w:widowControl w:val="0"/>
              <w:numPr>
                <w:ilvl w:val="0"/>
                <w:numId w:val="37"/>
              </w:numPr>
              <w:spacing w:before="120" w:after="240" w:line="280" w:lineRule="exact"/>
              <w:rPr>
                <w:sz w:val="22"/>
                <w:szCs w:val="28"/>
              </w:rPr>
            </w:pPr>
            <w:r w:rsidRPr="002E2CFC">
              <w:rPr>
                <w:sz w:val="22"/>
                <w:szCs w:val="28"/>
              </w:rPr>
              <w:t>What other issues might a civil prohibition create?</w:t>
            </w:r>
          </w:p>
        </w:tc>
      </w:tr>
    </w:tbl>
    <w:p w14:paraId="3788ACC6" w14:textId="53BE8FF4" w:rsidR="009A5ACD" w:rsidRDefault="00702A68" w:rsidP="009A5ACD">
      <w:pPr>
        <w:pStyle w:val="Heading3"/>
      </w:pPr>
      <w:bookmarkStart w:id="227" w:name="_Toc69381083"/>
      <w:bookmarkStart w:id="228" w:name="_Toc69395104"/>
      <w:bookmarkStart w:id="229" w:name="_Toc89700947"/>
      <w:r>
        <w:t xml:space="preserve">Part B, </w:t>
      </w:r>
      <w:r w:rsidR="009A5ACD">
        <w:t xml:space="preserve">Option 4 – </w:t>
      </w:r>
      <w:r w:rsidR="006362C7" w:rsidRPr="006362C7">
        <w:t xml:space="preserve">a prohibition against manufacturers retaliating </w:t>
      </w:r>
      <w:r w:rsidR="009A5ACD" w:rsidRPr="006362C7">
        <w:t>against suppliers</w:t>
      </w:r>
      <w:r w:rsidR="006362C7" w:rsidRPr="006362C7">
        <w:t xml:space="preserve"> who request indemnification</w:t>
      </w:r>
      <w:bookmarkEnd w:id="227"/>
      <w:bookmarkEnd w:id="228"/>
      <w:bookmarkEnd w:id="229"/>
    </w:p>
    <w:p w14:paraId="1F6BCD2E" w14:textId="588D5210" w:rsidR="00865F1A" w:rsidRDefault="004B6493" w:rsidP="00AB5123">
      <w:r>
        <w:t>T</w:t>
      </w:r>
      <w:r w:rsidRPr="00521093">
        <w:t xml:space="preserve">he power imbalance between suppliers and manufacturers </w:t>
      </w:r>
      <w:r>
        <w:t xml:space="preserve">can be </w:t>
      </w:r>
      <w:r w:rsidRPr="00521093">
        <w:t>a significant impediment to indemnification</w:t>
      </w:r>
      <w:r>
        <w:t xml:space="preserve"> requests, including where a supplier has a fear of retaliation for seeking </w:t>
      </w:r>
      <w:r w:rsidRPr="00ED4F94">
        <w:t>indemnification.</w:t>
      </w:r>
      <w:r>
        <w:t xml:space="preserve"> </w:t>
      </w:r>
      <w:r w:rsidR="00CA522A">
        <w:t>O</w:t>
      </w:r>
      <w:r w:rsidR="00AB5123">
        <w:t xml:space="preserve">ption 4 </w:t>
      </w:r>
      <w:r>
        <w:t xml:space="preserve">would </w:t>
      </w:r>
      <w:r w:rsidR="00AB5123">
        <w:t>maximis</w:t>
      </w:r>
      <w:r w:rsidR="00CA522A">
        <w:t>e</w:t>
      </w:r>
      <w:r w:rsidR="00AB5123">
        <w:t xml:space="preserve"> the potential for supplier</w:t>
      </w:r>
      <w:r>
        <w:t xml:space="preserve">s to be </w:t>
      </w:r>
      <w:r w:rsidR="00AB5123">
        <w:t>indemnifi</w:t>
      </w:r>
      <w:r>
        <w:t>ed by making it unlawful for manufacturers to retaliate against suppliers when they seek indemnification for consumer guarantee failures that lie within the manufacturer’s responsibility</w:t>
      </w:r>
      <w:r w:rsidR="00AB5123">
        <w:t>.</w:t>
      </w:r>
      <w:r w:rsidR="00AB5123" w:rsidRPr="00250EDB">
        <w:t xml:space="preserve"> </w:t>
      </w:r>
    </w:p>
    <w:p w14:paraId="05D139A0" w14:textId="15CE1E44" w:rsidR="00AB5123" w:rsidRDefault="00AB5123" w:rsidP="00AB5123">
      <w:pPr>
        <w:rPr>
          <w:rFonts w:eastAsia="Calibri"/>
        </w:rPr>
      </w:pPr>
      <w:r>
        <w:lastRenderedPageBreak/>
        <w:t>This in turn would assist in suppliers being more willing to provide remedies to consumers for genuine consumer guarantee failures.</w:t>
      </w:r>
    </w:p>
    <w:p w14:paraId="526BF8F2" w14:textId="205D3689" w:rsidR="00865F1A" w:rsidRDefault="00865F1A" w:rsidP="00865F1A">
      <w:pPr>
        <w:pStyle w:val="Heading4"/>
      </w:pPr>
      <w:r>
        <w:t>How would the law need to change?</w:t>
      </w:r>
    </w:p>
    <w:p w14:paraId="3734FAAA" w14:textId="612CC489" w:rsidR="00A87003" w:rsidRDefault="00A87003" w:rsidP="00A87003">
      <w:r w:rsidRPr="00521093">
        <w:t xml:space="preserve">Retaliation </w:t>
      </w:r>
      <w:r>
        <w:t xml:space="preserve">can </w:t>
      </w:r>
      <w:r w:rsidRPr="00521093">
        <w:t xml:space="preserve">include taking adverse commercial action </w:t>
      </w:r>
      <w:r>
        <w:t xml:space="preserve">like </w:t>
      </w:r>
      <w:r w:rsidRPr="00521093">
        <w:t>terminating a contract</w:t>
      </w:r>
      <w:r>
        <w:t xml:space="preserve">, </w:t>
      </w:r>
      <w:r w:rsidRPr="009E4EEF">
        <w:t xml:space="preserve">increasing </w:t>
      </w:r>
      <w:r w:rsidR="00207CE9" w:rsidRPr="009E4EEF">
        <w:t>prices,</w:t>
      </w:r>
      <w:r w:rsidRPr="009E4EEF">
        <w:t xml:space="preserve"> or withdrawing</w:t>
      </w:r>
      <w:r>
        <w:t xml:space="preserve"> supply</w:t>
      </w:r>
      <w:r w:rsidRPr="009E4EEF">
        <w:t xml:space="preserve"> or introducing less favourable terms and conditions of supply</w:t>
      </w:r>
      <w:r w:rsidRPr="00521093">
        <w:t xml:space="preserve">. </w:t>
      </w:r>
    </w:p>
    <w:p w14:paraId="275C80F3" w14:textId="1E379B19" w:rsidR="00A87003" w:rsidRDefault="00A87003" w:rsidP="00A87003">
      <w:r>
        <w:t xml:space="preserve">The civil prohibition would </w:t>
      </w:r>
      <w:r w:rsidR="00191808">
        <w:t xml:space="preserve">be intended to </w:t>
      </w:r>
      <w:r>
        <w:t xml:space="preserve">discourage retaliation and </w:t>
      </w:r>
      <w:r w:rsidRPr="00521093">
        <w:t>giv</w:t>
      </w:r>
      <w:r>
        <w:t>e</w:t>
      </w:r>
      <w:r w:rsidRPr="00521093">
        <w:t xml:space="preserve"> suppliers greater confidence to seek indemnification from manufacturers</w:t>
      </w:r>
      <w:r>
        <w:t>.</w:t>
      </w:r>
      <w:r w:rsidRPr="00521093">
        <w:t xml:space="preserve"> There are </w:t>
      </w:r>
      <w:r w:rsidR="00191808">
        <w:t>existing</w:t>
      </w:r>
      <w:r w:rsidR="00191808" w:rsidRPr="00521093">
        <w:t xml:space="preserve"> </w:t>
      </w:r>
      <w:r w:rsidRPr="00521093">
        <w:t>protections against retaliation in Commonwealth whistleblowing legislation, complemented by remedies for retaliation and sanctions against retaliators</w:t>
      </w:r>
      <w:r w:rsidR="00191808">
        <w:t>, although the context is quite different</w:t>
      </w:r>
      <w:r w:rsidRPr="00521093">
        <w:t>.</w:t>
      </w:r>
      <w:r>
        <w:rPr>
          <w:rStyle w:val="FootnoteReference"/>
          <w:rFonts w:eastAsiaTheme="majorEastAsia" w:cstheme="majorBidi"/>
          <w:bCs/>
        </w:rPr>
        <w:footnoteReference w:id="102"/>
      </w:r>
      <w:r w:rsidR="00191808">
        <w:t xml:space="preserve"> Further consideration would need to be given to the legal and practical implications of introducing such a prohibition and how it could be framed.</w:t>
      </w:r>
      <w:r>
        <w:t xml:space="preserve"> </w:t>
      </w:r>
    </w:p>
    <w:p w14:paraId="489DF19A" w14:textId="09617FC2" w:rsidR="00A24AE6" w:rsidRDefault="00A24AE6" w:rsidP="00A24AE6">
      <w:pPr>
        <w:pStyle w:val="Heading5"/>
      </w:pPr>
      <w:r>
        <w:t>What are the barriers for businesses and how can they be overcome in the law?</w:t>
      </w:r>
    </w:p>
    <w:p w14:paraId="7B5F4209" w14:textId="0B65EF6E" w:rsidR="00A24AE6" w:rsidRDefault="00AB5123" w:rsidP="00AB5123">
      <w:r>
        <w:t xml:space="preserve">There may be difficulties in proving retaliatory action as it is often difficult to prove a business’s reasoning for action unless it specifically documents its </w:t>
      </w:r>
      <w:r w:rsidR="00207CE9">
        <w:t>reasoning,</w:t>
      </w:r>
      <w:r>
        <w:t xml:space="preserve"> and a supplier or regulator can obtain such documentary evidence. </w:t>
      </w:r>
    </w:p>
    <w:p w14:paraId="54899EE0" w14:textId="31F8E198" w:rsidR="00AB5123" w:rsidRDefault="00162ACC" w:rsidP="00AB5123">
      <w:r>
        <w:t>C</w:t>
      </w:r>
      <w:r w:rsidR="00AB5123">
        <w:t>onsideration</w:t>
      </w:r>
      <w:r>
        <w:t xml:space="preserve"> could be given to countering these difficulties through presumptive legal tests, for example </w:t>
      </w:r>
      <w:r w:rsidR="00AB5123">
        <w:t xml:space="preserve">factors like whether a renewed contract is on terms significantly different to other similar contracts, and not demonstrably based on commercial realities between the parties. </w:t>
      </w:r>
      <w:r w:rsidR="007E28BC">
        <w:t xml:space="preserve">Further consideration </w:t>
      </w:r>
      <w:r w:rsidR="00C33766">
        <w:t xml:space="preserve">would </w:t>
      </w:r>
      <w:r w:rsidR="007E28BC">
        <w:t xml:space="preserve">need to be given to the nature of </w:t>
      </w:r>
      <w:r w:rsidR="00C33766">
        <w:t xml:space="preserve">any </w:t>
      </w:r>
      <w:r w:rsidR="00AB5123">
        <w:t xml:space="preserve">tests </w:t>
      </w:r>
      <w:r w:rsidR="007E28BC">
        <w:t xml:space="preserve">and how they could be </w:t>
      </w:r>
      <w:r w:rsidR="00AB5123">
        <w:t>appl</w:t>
      </w:r>
      <w:r w:rsidR="007E28BC">
        <w:t>ied</w:t>
      </w:r>
      <w:r w:rsidR="00AB5123">
        <w:t xml:space="preserve"> </w:t>
      </w:r>
      <w:r w:rsidR="007E28BC">
        <w:t>in practice.</w:t>
      </w:r>
    </w:p>
    <w:p w14:paraId="384724BA" w14:textId="36D093BF" w:rsidR="00A24AE6" w:rsidRDefault="00A24AE6" w:rsidP="00A24AE6">
      <w:pPr>
        <w:pStyle w:val="Heading4"/>
      </w:pPr>
      <w:r>
        <w:t>What role could ACL regulators play?</w:t>
      </w:r>
    </w:p>
    <w:p w14:paraId="607B5F7E" w14:textId="7FF5E121" w:rsidR="00A24AE6" w:rsidRDefault="00A24AE6" w:rsidP="00A24AE6">
      <w:r>
        <w:t>I</w:t>
      </w:r>
      <w:r w:rsidR="00C76F9C">
        <w:t>t can</w:t>
      </w:r>
      <w:r>
        <w:t xml:space="preserve"> be difficult and time consuming for a supplier to take action against a manufacturer. For example, a small business whose supply contract is terminated for seeking indemnification may not be in a financial position to take legal action. </w:t>
      </w:r>
      <w:r w:rsidR="00D0775C">
        <w:t>Under this option, r</w:t>
      </w:r>
      <w:r w:rsidR="00D0775C" w:rsidRPr="006D0DE2">
        <w:t xml:space="preserve">egulators </w:t>
      </w:r>
      <w:r w:rsidR="00D0775C">
        <w:t>would be able</w:t>
      </w:r>
      <w:r w:rsidR="00D0775C" w:rsidRPr="006D0DE2">
        <w:t xml:space="preserve"> to intervene</w:t>
      </w:r>
      <w:r w:rsidR="00D0775C">
        <w:t>, including</w:t>
      </w:r>
      <w:r w:rsidR="00D0775C" w:rsidRPr="006D0DE2">
        <w:t xml:space="preserve"> through court action where </w:t>
      </w:r>
      <w:r w:rsidR="00D0775C">
        <w:t>there is</w:t>
      </w:r>
      <w:r w:rsidR="00D0775C" w:rsidRPr="006D0DE2">
        <w:t xml:space="preserve"> significant harm or systemic</w:t>
      </w:r>
      <w:r w:rsidR="00D0775C">
        <w:t xml:space="preserve"> issues</w:t>
      </w:r>
      <w:r w:rsidR="00D0775C" w:rsidRPr="006D0DE2">
        <w:t xml:space="preserve">. </w:t>
      </w:r>
      <w:r w:rsidR="00D0775C">
        <w:t>The ability to issue i</w:t>
      </w:r>
      <w:r w:rsidR="00D0775C" w:rsidRPr="006D0DE2">
        <w:t xml:space="preserve">nfringement notices and </w:t>
      </w:r>
      <w:r w:rsidR="00D0775C">
        <w:t xml:space="preserve">accept </w:t>
      </w:r>
      <w:r w:rsidR="00D0775C" w:rsidRPr="006D0DE2">
        <w:t>court enforceable undertakings may also serve to resolve issues</w:t>
      </w:r>
      <w:r w:rsidR="00D0775C">
        <w:t>,</w:t>
      </w:r>
      <w:r w:rsidR="00D0775C" w:rsidRPr="006D0DE2">
        <w:t xml:space="preserve"> given the potential for court </w:t>
      </w:r>
      <w:r w:rsidR="002C4ADF" w:rsidRPr="006D0DE2">
        <w:t>action</w:t>
      </w:r>
      <w:r w:rsidR="00D0775C" w:rsidRPr="006D0DE2">
        <w:t>.</w:t>
      </w:r>
      <w:r w:rsidR="00C62563">
        <w:t xml:space="preserve"> Suppliers could also still take their own independent action. </w:t>
      </w:r>
    </w:p>
    <w:p w14:paraId="207DDF40" w14:textId="041E9FE2" w:rsidR="005A1DCE" w:rsidRDefault="005A1DCE" w:rsidP="005A1DCE">
      <w:pPr>
        <w:pStyle w:val="Heading4"/>
      </w:pPr>
      <w:r>
        <w:lastRenderedPageBreak/>
        <w:t>What are limitations of this option?</w:t>
      </w:r>
    </w:p>
    <w:p w14:paraId="780B4ECB" w14:textId="166A054B" w:rsidR="00A24AE6" w:rsidRDefault="00A24AE6" w:rsidP="00A24AE6">
      <w:r>
        <w:t xml:space="preserve">Instances of retribution for seeking indemnification are </w:t>
      </w:r>
      <w:r w:rsidR="00404AED">
        <w:t xml:space="preserve">considered </w:t>
      </w:r>
      <w:r>
        <w:t>an extreme consequence rather than the main problem, which is manufacturers simply refusing to reimburse suppliers or making the process difficult. Consequently, a limitation of this option is it will not solve the problem of manufacturers who simply refuse to indemnify a supplier or who make the process difficult to discourage suppliers from pursuing their right to indemnification.</w:t>
      </w:r>
    </w:p>
    <w:p w14:paraId="04735177" w14:textId="1C5AF182" w:rsidR="005A1DCE" w:rsidRDefault="0023089A" w:rsidP="005A1DCE">
      <w:pPr>
        <w:pStyle w:val="Heading4"/>
      </w:pPr>
      <w:r>
        <w:t>Estimated c</w:t>
      </w:r>
      <w:r w:rsidR="005A1DCE">
        <w:t xml:space="preserve">ost benefit </w:t>
      </w:r>
      <w:r w:rsidR="00156745">
        <w:t>analysis</w:t>
      </w:r>
    </w:p>
    <w:p w14:paraId="479A9566" w14:textId="4D00CBE4" w:rsidR="002C4ADF" w:rsidRDefault="00285F4E" w:rsidP="002C4ADF">
      <w:pPr>
        <w:pStyle w:val="Default"/>
        <w:spacing w:after="120" w:line="360" w:lineRule="auto"/>
        <w:rPr>
          <w:rFonts w:asciiTheme="minorHAnsi" w:hAnsiTheme="minorHAnsi" w:cstheme="minorBidi"/>
          <w:color w:val="auto"/>
          <w:sz w:val="22"/>
          <w:szCs w:val="22"/>
        </w:rPr>
      </w:pPr>
      <w:r w:rsidRPr="007641E7">
        <w:rPr>
          <w:rFonts w:asciiTheme="minorHAnsi" w:hAnsiTheme="minorHAnsi" w:cstheme="minorBidi"/>
          <w:color w:val="auto"/>
          <w:sz w:val="22"/>
          <w:szCs w:val="22"/>
        </w:rPr>
        <w:t xml:space="preserve">Under the status quo, </w:t>
      </w:r>
      <w:r w:rsidR="00A57CD4">
        <w:rPr>
          <w:rFonts w:asciiTheme="minorHAnsi" w:hAnsiTheme="minorHAnsi" w:cstheme="minorBidi"/>
          <w:color w:val="auto"/>
          <w:sz w:val="22"/>
          <w:szCs w:val="22"/>
        </w:rPr>
        <w:t xml:space="preserve">and for the purposes of </w:t>
      </w:r>
      <w:r w:rsidR="00C24CC8">
        <w:rPr>
          <w:rFonts w:asciiTheme="minorHAnsi" w:hAnsiTheme="minorHAnsi" w:cstheme="minorBidi"/>
          <w:color w:val="auto"/>
          <w:sz w:val="22"/>
          <w:szCs w:val="22"/>
        </w:rPr>
        <w:t xml:space="preserve">the consultation </w:t>
      </w:r>
      <w:r w:rsidR="00922D6B">
        <w:rPr>
          <w:rFonts w:asciiTheme="minorHAnsi" w:hAnsiTheme="minorHAnsi" w:cstheme="minorBidi"/>
          <w:color w:val="auto"/>
          <w:sz w:val="22"/>
          <w:szCs w:val="22"/>
        </w:rPr>
        <w:t>RIS,</w:t>
      </w:r>
      <w:r w:rsidR="00A57CD4">
        <w:rPr>
          <w:rFonts w:asciiTheme="minorHAnsi" w:hAnsiTheme="minorHAnsi" w:cstheme="minorBidi"/>
          <w:color w:val="auto"/>
          <w:sz w:val="22"/>
          <w:szCs w:val="22"/>
        </w:rPr>
        <w:t xml:space="preserve"> </w:t>
      </w:r>
      <w:r w:rsidRPr="007641E7">
        <w:rPr>
          <w:rFonts w:asciiTheme="minorHAnsi" w:hAnsiTheme="minorHAnsi" w:cstheme="minorBidi"/>
          <w:color w:val="auto"/>
          <w:sz w:val="22"/>
          <w:szCs w:val="22"/>
        </w:rPr>
        <w:t xml:space="preserve">it </w:t>
      </w:r>
      <w:r w:rsidR="00A57CD4">
        <w:rPr>
          <w:rFonts w:asciiTheme="minorHAnsi" w:hAnsiTheme="minorHAnsi" w:cstheme="minorBidi"/>
          <w:color w:val="auto"/>
          <w:sz w:val="22"/>
          <w:szCs w:val="22"/>
        </w:rPr>
        <w:t>i</w:t>
      </w:r>
      <w:r w:rsidRPr="007641E7">
        <w:rPr>
          <w:rFonts w:asciiTheme="minorHAnsi" w:hAnsiTheme="minorHAnsi" w:cstheme="minorBidi"/>
          <w:color w:val="auto"/>
          <w:sz w:val="22"/>
          <w:szCs w:val="22"/>
        </w:rPr>
        <w:t>s assumed 10</w:t>
      </w:r>
      <w:r w:rsidR="003A48A8">
        <w:rPr>
          <w:rFonts w:asciiTheme="minorHAnsi" w:hAnsiTheme="minorHAnsi" w:cstheme="minorBidi"/>
          <w:color w:val="auto"/>
          <w:sz w:val="22"/>
          <w:szCs w:val="22"/>
        </w:rPr>
        <w:t xml:space="preserve"> per cent</w:t>
      </w:r>
      <w:r w:rsidRPr="007641E7">
        <w:rPr>
          <w:rFonts w:asciiTheme="minorHAnsi" w:hAnsiTheme="minorHAnsi" w:cstheme="minorBidi"/>
          <w:color w:val="auto"/>
          <w:sz w:val="22"/>
          <w:szCs w:val="22"/>
        </w:rPr>
        <w:t xml:space="preserve"> of suppliers do not seek indemnification for fear of retribution. </w:t>
      </w:r>
      <w:r w:rsidR="005C61E5">
        <w:rPr>
          <w:rFonts w:asciiTheme="minorHAnsi" w:hAnsiTheme="minorHAnsi" w:cstheme="minorBidi"/>
          <w:color w:val="auto"/>
          <w:sz w:val="22"/>
          <w:szCs w:val="22"/>
        </w:rPr>
        <w:t xml:space="preserve">The cost benefit analysis assumes </w:t>
      </w:r>
      <w:r w:rsidR="00B20514" w:rsidRPr="00F408F8">
        <w:rPr>
          <w:rFonts w:asciiTheme="minorHAnsi" w:hAnsiTheme="minorHAnsi" w:cstheme="minorBidi"/>
          <w:color w:val="auto"/>
          <w:sz w:val="22"/>
          <w:szCs w:val="22"/>
        </w:rPr>
        <w:t xml:space="preserve">the civil prohibition would result in a reduction in retaliation and </w:t>
      </w:r>
      <w:r w:rsidR="005C61E5" w:rsidRPr="00F408F8">
        <w:rPr>
          <w:rFonts w:asciiTheme="minorHAnsi" w:hAnsiTheme="minorHAnsi" w:cstheme="minorBidi"/>
          <w:color w:val="auto"/>
          <w:sz w:val="22"/>
          <w:szCs w:val="22"/>
        </w:rPr>
        <w:t xml:space="preserve">with </w:t>
      </w:r>
      <w:r w:rsidR="00FE782A">
        <w:rPr>
          <w:rFonts w:asciiTheme="minorHAnsi" w:hAnsiTheme="minorHAnsi" w:cstheme="minorBidi"/>
          <w:color w:val="auto"/>
          <w:sz w:val="22"/>
          <w:szCs w:val="22"/>
        </w:rPr>
        <w:t>less concerns about</w:t>
      </w:r>
      <w:r w:rsidR="005C61E5" w:rsidRPr="00F408F8">
        <w:rPr>
          <w:rFonts w:asciiTheme="minorHAnsi" w:hAnsiTheme="minorHAnsi" w:cstheme="minorBidi"/>
          <w:color w:val="auto"/>
          <w:sz w:val="22"/>
          <w:szCs w:val="22"/>
        </w:rPr>
        <w:t xml:space="preserve"> retaliation, </w:t>
      </w:r>
      <w:r w:rsidR="00FE782A">
        <w:rPr>
          <w:rFonts w:asciiTheme="minorHAnsi" w:hAnsiTheme="minorHAnsi" w:cstheme="minorBidi"/>
          <w:color w:val="auto"/>
          <w:sz w:val="22"/>
          <w:szCs w:val="22"/>
        </w:rPr>
        <w:t>resulting in</w:t>
      </w:r>
      <w:r w:rsidR="005C61E5" w:rsidRPr="00F408F8">
        <w:rPr>
          <w:rFonts w:asciiTheme="minorHAnsi" w:hAnsiTheme="minorHAnsi" w:cstheme="minorBidi"/>
          <w:color w:val="auto"/>
          <w:sz w:val="22"/>
          <w:szCs w:val="22"/>
        </w:rPr>
        <w:t xml:space="preserve"> an increase in suppliers w</w:t>
      </w:r>
      <w:r w:rsidR="002F7550" w:rsidRPr="00F408F8">
        <w:rPr>
          <w:rFonts w:asciiTheme="minorHAnsi" w:hAnsiTheme="minorHAnsi" w:cstheme="minorBidi"/>
          <w:color w:val="auto"/>
          <w:sz w:val="22"/>
          <w:szCs w:val="22"/>
        </w:rPr>
        <w:t>ho seek indemnification</w:t>
      </w:r>
      <w:r w:rsidR="00B20514" w:rsidRPr="00F408F8">
        <w:rPr>
          <w:rFonts w:asciiTheme="minorHAnsi" w:hAnsiTheme="minorHAnsi" w:cstheme="minorBidi"/>
          <w:color w:val="auto"/>
          <w:sz w:val="22"/>
          <w:szCs w:val="22"/>
        </w:rPr>
        <w:t>.</w:t>
      </w:r>
      <w:r w:rsidR="00810B48" w:rsidRPr="00F408F8">
        <w:rPr>
          <w:rFonts w:asciiTheme="minorHAnsi" w:hAnsiTheme="minorHAnsi" w:cstheme="minorBidi"/>
          <w:color w:val="auto"/>
          <w:sz w:val="22"/>
          <w:szCs w:val="22"/>
        </w:rPr>
        <w:t xml:space="preserve"> This results in an increase in the overall rate of indemnification from manufacturers to suppliers.</w:t>
      </w:r>
      <w:r w:rsidR="00F408F8" w:rsidRPr="00D564C8">
        <w:rPr>
          <w:rFonts w:asciiTheme="minorHAnsi" w:hAnsiTheme="minorHAnsi" w:cstheme="minorBidi"/>
          <w:color w:val="auto"/>
          <w:sz w:val="22"/>
          <w:szCs w:val="22"/>
        </w:rPr>
        <w:t xml:space="preserve"> It is assumed under this option the propensity for a manufacturer to retaliate when a retailer requests a remedy decreases by </w:t>
      </w:r>
      <w:r w:rsidR="00C04EDD">
        <w:rPr>
          <w:rFonts w:asciiTheme="minorHAnsi" w:hAnsiTheme="minorHAnsi" w:cstheme="minorBidi"/>
          <w:color w:val="auto"/>
          <w:sz w:val="22"/>
          <w:szCs w:val="22"/>
        </w:rPr>
        <w:br/>
      </w:r>
      <w:r w:rsidR="00F408F8" w:rsidRPr="00D564C8">
        <w:rPr>
          <w:rFonts w:asciiTheme="minorHAnsi" w:hAnsiTheme="minorHAnsi" w:cstheme="minorBidi"/>
          <w:color w:val="auto"/>
          <w:sz w:val="22"/>
          <w:szCs w:val="22"/>
        </w:rPr>
        <w:t>0.4</w:t>
      </w:r>
      <w:r w:rsidR="003A48A8">
        <w:rPr>
          <w:rFonts w:asciiTheme="minorHAnsi" w:hAnsiTheme="minorHAnsi" w:cstheme="minorBidi"/>
          <w:color w:val="auto"/>
          <w:sz w:val="22"/>
          <w:szCs w:val="22"/>
        </w:rPr>
        <w:t xml:space="preserve"> per cent</w:t>
      </w:r>
      <w:r w:rsidR="00F408F8" w:rsidRPr="00D564C8">
        <w:rPr>
          <w:rFonts w:asciiTheme="minorHAnsi" w:hAnsiTheme="minorHAnsi" w:cstheme="minorBidi"/>
          <w:color w:val="auto"/>
          <w:sz w:val="22"/>
          <w:szCs w:val="22"/>
        </w:rPr>
        <w:t xml:space="preserve"> per year from 10</w:t>
      </w:r>
      <w:r w:rsidR="003A48A8">
        <w:rPr>
          <w:rFonts w:asciiTheme="minorHAnsi" w:hAnsiTheme="minorHAnsi" w:cstheme="minorBidi"/>
          <w:color w:val="auto"/>
          <w:sz w:val="22"/>
          <w:szCs w:val="22"/>
        </w:rPr>
        <w:t xml:space="preserve"> per cent</w:t>
      </w:r>
      <w:r w:rsidR="00F408F8" w:rsidRPr="00D564C8">
        <w:rPr>
          <w:rFonts w:asciiTheme="minorHAnsi" w:hAnsiTheme="minorHAnsi" w:cstheme="minorBidi"/>
          <w:color w:val="auto"/>
          <w:sz w:val="22"/>
          <w:szCs w:val="22"/>
        </w:rPr>
        <w:t xml:space="preserve"> in 2020-21 </w:t>
      </w:r>
      <w:r w:rsidR="00F408F8" w:rsidRPr="00F408F8">
        <w:rPr>
          <w:rFonts w:asciiTheme="minorHAnsi" w:hAnsiTheme="minorHAnsi" w:cstheme="minorBidi"/>
          <w:color w:val="auto"/>
          <w:sz w:val="22"/>
          <w:szCs w:val="22"/>
        </w:rPr>
        <w:t>to 6</w:t>
      </w:r>
      <w:r w:rsidR="003A48A8">
        <w:rPr>
          <w:rFonts w:asciiTheme="minorHAnsi" w:hAnsiTheme="minorHAnsi" w:cstheme="minorBidi"/>
          <w:color w:val="auto"/>
          <w:sz w:val="22"/>
          <w:szCs w:val="22"/>
        </w:rPr>
        <w:t xml:space="preserve"> per cent</w:t>
      </w:r>
      <w:r w:rsidR="00F408F8" w:rsidRPr="00F408F8">
        <w:rPr>
          <w:rFonts w:asciiTheme="minorHAnsi" w:hAnsiTheme="minorHAnsi" w:cstheme="minorBidi"/>
          <w:color w:val="auto"/>
          <w:sz w:val="22"/>
          <w:szCs w:val="22"/>
        </w:rPr>
        <w:t xml:space="preserve"> in 2030-31</w:t>
      </w:r>
      <w:r w:rsidR="00F408F8">
        <w:rPr>
          <w:rFonts w:asciiTheme="minorHAnsi" w:hAnsiTheme="minorHAnsi" w:cstheme="minorBidi"/>
          <w:color w:val="auto"/>
          <w:sz w:val="22"/>
          <w:szCs w:val="22"/>
        </w:rPr>
        <w:t xml:space="preserve"> and </w:t>
      </w:r>
      <w:r w:rsidR="00F408F8" w:rsidRPr="00F408F8">
        <w:rPr>
          <w:rFonts w:asciiTheme="minorHAnsi" w:hAnsiTheme="minorHAnsi" w:cstheme="minorBidi"/>
          <w:color w:val="auto"/>
          <w:sz w:val="22"/>
          <w:szCs w:val="22"/>
        </w:rPr>
        <w:t xml:space="preserve">the propensity for manufacturers to indemnify suppliers (as a percentage of indemnifications sought) increases at </w:t>
      </w:r>
      <w:r w:rsidR="00C04EDD">
        <w:rPr>
          <w:rFonts w:asciiTheme="minorHAnsi" w:hAnsiTheme="minorHAnsi" w:cstheme="minorBidi"/>
          <w:color w:val="auto"/>
          <w:sz w:val="22"/>
          <w:szCs w:val="22"/>
        </w:rPr>
        <w:br/>
      </w:r>
      <w:r w:rsidR="00F408F8" w:rsidRPr="00F408F8">
        <w:rPr>
          <w:rFonts w:asciiTheme="minorHAnsi" w:hAnsiTheme="minorHAnsi" w:cstheme="minorBidi"/>
          <w:color w:val="auto"/>
          <w:sz w:val="22"/>
          <w:szCs w:val="22"/>
        </w:rPr>
        <w:t>0.5</w:t>
      </w:r>
      <w:r w:rsidR="003A48A8">
        <w:rPr>
          <w:rFonts w:asciiTheme="minorHAnsi" w:hAnsiTheme="minorHAnsi" w:cstheme="minorBidi"/>
          <w:color w:val="auto"/>
          <w:sz w:val="22"/>
          <w:szCs w:val="22"/>
        </w:rPr>
        <w:t xml:space="preserve"> per cent</w:t>
      </w:r>
      <w:r w:rsidR="00F408F8" w:rsidRPr="00F408F8">
        <w:rPr>
          <w:rFonts w:asciiTheme="minorHAnsi" w:hAnsiTheme="minorHAnsi" w:cstheme="minorBidi"/>
          <w:color w:val="auto"/>
          <w:sz w:val="22"/>
          <w:szCs w:val="22"/>
        </w:rPr>
        <w:t xml:space="preserve"> per year from 80</w:t>
      </w:r>
      <w:r w:rsidR="003A48A8">
        <w:rPr>
          <w:rFonts w:asciiTheme="minorHAnsi" w:hAnsiTheme="minorHAnsi" w:cstheme="minorBidi"/>
          <w:color w:val="auto"/>
          <w:sz w:val="22"/>
          <w:szCs w:val="22"/>
        </w:rPr>
        <w:t xml:space="preserve"> per cent</w:t>
      </w:r>
      <w:r w:rsidR="00F408F8" w:rsidRPr="00F408F8">
        <w:rPr>
          <w:rFonts w:asciiTheme="minorHAnsi" w:hAnsiTheme="minorHAnsi" w:cstheme="minorBidi"/>
          <w:color w:val="auto"/>
          <w:sz w:val="22"/>
          <w:szCs w:val="22"/>
        </w:rPr>
        <w:t xml:space="preserve"> in 2020-21 to 85</w:t>
      </w:r>
      <w:r w:rsidR="003A48A8">
        <w:rPr>
          <w:rFonts w:asciiTheme="minorHAnsi" w:hAnsiTheme="minorHAnsi" w:cstheme="minorBidi"/>
          <w:color w:val="auto"/>
          <w:sz w:val="22"/>
          <w:szCs w:val="22"/>
        </w:rPr>
        <w:t xml:space="preserve"> per cent</w:t>
      </w:r>
      <w:r w:rsidR="00F408F8" w:rsidRPr="00F408F8">
        <w:rPr>
          <w:rFonts w:asciiTheme="minorHAnsi" w:hAnsiTheme="minorHAnsi" w:cstheme="minorBidi"/>
          <w:color w:val="auto"/>
          <w:sz w:val="22"/>
          <w:szCs w:val="22"/>
        </w:rPr>
        <w:t xml:space="preserve"> in 2030-31.</w:t>
      </w:r>
      <w:r w:rsidR="00F408F8">
        <w:rPr>
          <w:rFonts w:asciiTheme="minorHAnsi" w:hAnsiTheme="minorHAnsi" w:cstheme="minorBidi"/>
          <w:color w:val="auto"/>
          <w:sz w:val="22"/>
          <w:szCs w:val="22"/>
        </w:rPr>
        <w:t xml:space="preserve"> </w:t>
      </w:r>
    </w:p>
    <w:p w14:paraId="1062477E" w14:textId="36A300E4" w:rsidR="002C4ADF" w:rsidRDefault="002C4ADF" w:rsidP="002C4ADF">
      <w:pPr>
        <w:pStyle w:val="Default"/>
        <w:spacing w:after="120" w:line="360" w:lineRule="auto"/>
        <w:rPr>
          <w:rFonts w:asciiTheme="minorHAnsi" w:hAnsiTheme="minorHAnsi" w:cstheme="minorBidi"/>
          <w:color w:val="auto"/>
          <w:sz w:val="22"/>
          <w:szCs w:val="22"/>
        </w:rPr>
      </w:pPr>
      <w:r w:rsidRPr="002F7550">
        <w:rPr>
          <w:rFonts w:asciiTheme="minorHAnsi" w:hAnsiTheme="minorHAnsi" w:cstheme="minorBidi"/>
          <w:color w:val="auto"/>
          <w:sz w:val="22"/>
          <w:szCs w:val="22"/>
        </w:rPr>
        <w:t xml:space="preserve">Appropriate </w:t>
      </w:r>
      <w:r>
        <w:rPr>
          <w:rFonts w:asciiTheme="minorHAnsi" w:hAnsiTheme="minorHAnsi" w:cstheme="minorBidi"/>
          <w:color w:val="auto"/>
          <w:sz w:val="22"/>
          <w:szCs w:val="22"/>
        </w:rPr>
        <w:t>indemnification</w:t>
      </w:r>
      <w:r w:rsidRPr="002F7550">
        <w:rPr>
          <w:rFonts w:asciiTheme="minorHAnsi" w:hAnsiTheme="minorHAnsi" w:cstheme="minorBidi"/>
          <w:color w:val="auto"/>
          <w:sz w:val="22"/>
          <w:szCs w:val="22"/>
        </w:rPr>
        <w:t xml:space="preserve"> from manufacturers to suppliers represents a shift in costs from suppliers to manufacturers</w:t>
      </w:r>
    </w:p>
    <w:p w14:paraId="732B971C" w14:textId="6702167C" w:rsidR="0039575D" w:rsidRDefault="0039575D" w:rsidP="0039575D">
      <w:pPr>
        <w:pStyle w:val="Default"/>
        <w:spacing w:after="120" w:line="360" w:lineRule="auto"/>
        <w:rPr>
          <w:rFonts w:asciiTheme="minorHAnsi" w:hAnsiTheme="minorHAnsi" w:cstheme="minorBidi"/>
          <w:color w:val="auto"/>
          <w:sz w:val="22"/>
          <w:szCs w:val="22"/>
        </w:rPr>
      </w:pPr>
      <w:r w:rsidRPr="0039575D">
        <w:rPr>
          <w:rFonts w:asciiTheme="minorHAnsi" w:hAnsiTheme="minorHAnsi" w:cstheme="minorBidi"/>
          <w:color w:val="auto"/>
          <w:sz w:val="22"/>
          <w:szCs w:val="22"/>
        </w:rPr>
        <w:t xml:space="preserve">While the increase in indemnification provides suppliers with more confidence to provide consumers with remedies, </w:t>
      </w:r>
      <w:r w:rsidR="00922D6B">
        <w:rPr>
          <w:rFonts w:asciiTheme="minorHAnsi" w:hAnsiTheme="minorHAnsi" w:cstheme="minorBidi"/>
          <w:color w:val="auto"/>
          <w:sz w:val="22"/>
          <w:szCs w:val="22"/>
        </w:rPr>
        <w:t xml:space="preserve">it </w:t>
      </w:r>
      <w:r w:rsidR="00922D6B" w:rsidRPr="0039575D">
        <w:rPr>
          <w:rFonts w:asciiTheme="minorHAnsi" w:hAnsiTheme="minorHAnsi" w:cstheme="minorBidi"/>
          <w:color w:val="auto"/>
          <w:sz w:val="22"/>
          <w:szCs w:val="22"/>
        </w:rPr>
        <w:t>does</w:t>
      </w:r>
      <w:r w:rsidRPr="0039575D">
        <w:rPr>
          <w:rFonts w:asciiTheme="minorHAnsi" w:hAnsiTheme="minorHAnsi" w:cstheme="minorBidi"/>
          <w:color w:val="auto"/>
          <w:sz w:val="22"/>
          <w:szCs w:val="22"/>
        </w:rPr>
        <w:t xml:space="preserve"> not assume any time saving for consumers in this case as it is not clear the extent to which this would occur.</w:t>
      </w:r>
    </w:p>
    <w:p w14:paraId="765B01DD" w14:textId="654B2F7E" w:rsidR="00285F4E" w:rsidRDefault="00285F4E" w:rsidP="00285F4E">
      <w:pPr>
        <w:pStyle w:val="Default"/>
        <w:spacing w:after="120" w:line="360" w:lineRule="auto"/>
        <w:rPr>
          <w:rFonts w:asciiTheme="minorHAnsi" w:hAnsiTheme="minorHAnsi" w:cstheme="minorBidi"/>
          <w:color w:val="auto"/>
          <w:sz w:val="22"/>
          <w:szCs w:val="22"/>
        </w:rPr>
      </w:pPr>
      <w:r w:rsidRPr="007641E7">
        <w:rPr>
          <w:rFonts w:asciiTheme="minorHAnsi" w:hAnsiTheme="minorHAnsi" w:cstheme="minorBidi"/>
          <w:color w:val="auto"/>
          <w:sz w:val="22"/>
          <w:szCs w:val="22"/>
        </w:rPr>
        <w:t>As with Option</w:t>
      </w:r>
      <w:r>
        <w:rPr>
          <w:rFonts w:asciiTheme="minorHAnsi" w:hAnsiTheme="minorHAnsi" w:cstheme="minorBidi"/>
          <w:color w:val="auto"/>
          <w:sz w:val="22"/>
          <w:szCs w:val="22"/>
        </w:rPr>
        <w:t xml:space="preserve"> 3</w:t>
      </w:r>
      <w:r w:rsidRPr="007641E7">
        <w:rPr>
          <w:rFonts w:asciiTheme="minorHAnsi" w:hAnsiTheme="minorHAnsi" w:cstheme="minorBidi"/>
          <w:color w:val="auto"/>
          <w:sz w:val="22"/>
          <w:szCs w:val="22"/>
        </w:rPr>
        <w:t xml:space="preserve">, </w:t>
      </w:r>
      <w:r w:rsidR="00A360AA">
        <w:rPr>
          <w:rFonts w:asciiTheme="minorHAnsi" w:hAnsiTheme="minorHAnsi" w:cstheme="minorBidi"/>
          <w:color w:val="auto"/>
          <w:sz w:val="22"/>
          <w:szCs w:val="22"/>
        </w:rPr>
        <w:t>t</w:t>
      </w:r>
      <w:r w:rsidR="00A360AA" w:rsidRPr="00A360AA">
        <w:rPr>
          <w:rFonts w:asciiTheme="minorHAnsi" w:hAnsiTheme="minorHAnsi" w:cstheme="minorBidi"/>
          <w:color w:val="auto"/>
          <w:sz w:val="22"/>
          <w:szCs w:val="22"/>
        </w:rPr>
        <w:t>he increased compliance by manufacturers results in a saving of time and resources by suppliers. It is assumed suppliers save one hour in time negotiating with manufacturers in each case indemnification is required.</w:t>
      </w:r>
      <w:r w:rsidR="00A360AA" w:rsidRPr="007641E7" w:rsidDel="00A360AA">
        <w:rPr>
          <w:rFonts w:asciiTheme="minorHAnsi" w:hAnsiTheme="minorHAnsi" w:cstheme="minorBidi"/>
          <w:color w:val="auto"/>
          <w:sz w:val="22"/>
          <w:szCs w:val="22"/>
        </w:rPr>
        <w:t xml:space="preserve"> </w:t>
      </w:r>
    </w:p>
    <w:p w14:paraId="7E1B28F9" w14:textId="77777777" w:rsidR="00A113DD" w:rsidRDefault="00A113DD" w:rsidP="00741F62">
      <w:pPr>
        <w:pStyle w:val="Heading5"/>
      </w:pPr>
      <w:r>
        <w:t>Estimated regulatory burden</w:t>
      </w:r>
    </w:p>
    <w:p w14:paraId="72FFE4CC" w14:textId="68ADC10B" w:rsidR="00A113DD" w:rsidRDefault="00A113DD" w:rsidP="00A113DD">
      <w:r>
        <w:t xml:space="preserve">The regulatory burden for Option 4 is estimated to be </w:t>
      </w:r>
      <w:r w:rsidR="004D3C08">
        <w:t xml:space="preserve">$44.8 </w:t>
      </w:r>
      <w:r>
        <w:t xml:space="preserve">million in the first year with no ongoing costs. The regulatory burden is </w:t>
      </w:r>
      <w:r w:rsidRPr="00E24B91">
        <w:t>incurred by business</w:t>
      </w:r>
      <w:r>
        <w:t>es who are responsible for complying with the consumer guarantee provisions of the ACL</w:t>
      </w:r>
      <w:r w:rsidRPr="00E24B91">
        <w:t xml:space="preserve"> and includes the cost of </w:t>
      </w:r>
      <w:r>
        <w:t xml:space="preserve">one-off </w:t>
      </w:r>
      <w:r w:rsidR="005127C0">
        <w:t xml:space="preserve">staff </w:t>
      </w:r>
      <w:r w:rsidRPr="00E24B91">
        <w:t>training to raise awareness of the n</w:t>
      </w:r>
      <w:r>
        <w:t>ew regulatory requirements. This compliance burden</w:t>
      </w:r>
      <w:r w:rsidRPr="00E24B91">
        <w:t xml:space="preserve"> is calculated by assuming every retail employee is required to undergo 30 minutes of training, at the expense of the business. While the underlying obligation has not changed, it has been assumed staff undergo training on the consequences of non</w:t>
      </w:r>
      <w:r>
        <w:t>-</w:t>
      </w:r>
      <w:r w:rsidRPr="00E24B91">
        <w:t>compliance to support the change in behaviour.</w:t>
      </w:r>
    </w:p>
    <w:p w14:paraId="3F5350CC" w14:textId="6F9CB0F0" w:rsidR="00A113DD" w:rsidRPr="00324ECF" w:rsidRDefault="00324ECF" w:rsidP="00324ECF">
      <w:pPr>
        <w:pStyle w:val="Caption"/>
        <w:rPr>
          <w:b/>
          <w:bCs/>
          <w:i w:val="0"/>
          <w:iCs w:val="0"/>
          <w:sz w:val="22"/>
          <w:szCs w:val="22"/>
        </w:rPr>
      </w:pPr>
      <w:bookmarkStart w:id="230" w:name="_Toc87529838"/>
      <w:bookmarkStart w:id="231" w:name="_Toc89700890"/>
      <w:bookmarkStart w:id="232" w:name="_Hlk88468109"/>
      <w:r w:rsidRPr="00324ECF">
        <w:rPr>
          <w:b/>
          <w:bCs/>
          <w:i w:val="0"/>
          <w:iCs w:val="0"/>
          <w:sz w:val="22"/>
          <w:szCs w:val="22"/>
        </w:rPr>
        <w:lastRenderedPageBreak/>
        <w:t xml:space="preserve">Table </w:t>
      </w:r>
      <w:r w:rsidRPr="00324ECF">
        <w:rPr>
          <w:b/>
          <w:bCs/>
          <w:i w:val="0"/>
          <w:iCs w:val="0"/>
          <w:sz w:val="22"/>
          <w:szCs w:val="22"/>
        </w:rPr>
        <w:fldChar w:fldCharType="begin"/>
      </w:r>
      <w:r w:rsidRPr="00324ECF">
        <w:rPr>
          <w:b/>
          <w:bCs/>
          <w:i w:val="0"/>
          <w:iCs w:val="0"/>
          <w:sz w:val="22"/>
          <w:szCs w:val="22"/>
        </w:rPr>
        <w:instrText xml:space="preserve"> SEQ Table \* ARABIC </w:instrText>
      </w:r>
      <w:r w:rsidRPr="00324ECF">
        <w:rPr>
          <w:b/>
          <w:bCs/>
          <w:i w:val="0"/>
          <w:iCs w:val="0"/>
          <w:sz w:val="22"/>
          <w:szCs w:val="22"/>
        </w:rPr>
        <w:fldChar w:fldCharType="separate"/>
      </w:r>
      <w:r w:rsidR="00001633">
        <w:rPr>
          <w:b/>
          <w:bCs/>
          <w:i w:val="0"/>
          <w:iCs w:val="0"/>
          <w:noProof/>
          <w:sz w:val="22"/>
          <w:szCs w:val="22"/>
        </w:rPr>
        <w:t>18</w:t>
      </w:r>
      <w:r w:rsidRPr="00324ECF">
        <w:rPr>
          <w:b/>
          <w:bCs/>
          <w:i w:val="0"/>
          <w:iCs w:val="0"/>
          <w:sz w:val="22"/>
          <w:szCs w:val="22"/>
        </w:rPr>
        <w:fldChar w:fldCharType="end"/>
      </w:r>
      <w:r w:rsidR="00A113DD" w:rsidRPr="00324ECF">
        <w:rPr>
          <w:b/>
          <w:bCs/>
          <w:i w:val="0"/>
          <w:iCs w:val="0"/>
          <w:sz w:val="22"/>
          <w:szCs w:val="22"/>
        </w:rPr>
        <w:t xml:space="preserve">: </w:t>
      </w:r>
      <w:r w:rsidR="00C04EDD">
        <w:rPr>
          <w:b/>
          <w:bCs/>
          <w:i w:val="0"/>
          <w:iCs w:val="0"/>
          <w:sz w:val="22"/>
          <w:szCs w:val="22"/>
        </w:rPr>
        <w:t>R</w:t>
      </w:r>
      <w:r w:rsidR="00A113DD" w:rsidRPr="00324ECF">
        <w:rPr>
          <w:b/>
          <w:bCs/>
          <w:i w:val="0"/>
          <w:iCs w:val="0"/>
          <w:sz w:val="22"/>
          <w:szCs w:val="22"/>
        </w:rPr>
        <w:t>egulatory burden estimate</w:t>
      </w:r>
      <w:r w:rsidR="008B0F7E">
        <w:rPr>
          <w:rStyle w:val="FootnoteReference"/>
          <w:b/>
          <w:bCs/>
          <w:i w:val="0"/>
          <w:iCs w:val="0"/>
          <w:szCs w:val="22"/>
        </w:rPr>
        <w:footnoteReference w:id="103"/>
      </w:r>
      <w:r w:rsidR="00A113DD" w:rsidRPr="00324ECF">
        <w:rPr>
          <w:b/>
          <w:bCs/>
          <w:i w:val="0"/>
          <w:iCs w:val="0"/>
          <w:sz w:val="22"/>
          <w:szCs w:val="22"/>
        </w:rPr>
        <w:t xml:space="preserve"> table for Part B, Option 4</w:t>
      </w:r>
      <w:bookmarkEnd w:id="230"/>
      <w:bookmarkEnd w:id="23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8: regulatory burden estimate table for Part B, Option 4"/>
        <w:tblDescription w:val="Provides an estimate of the regulatory burden for Part B, Option 4. The Change in costs would be $1.84 million (total by sector) for business and nil cost for community organisations or individuals. The total change in costs is estimated to be $1.84 million. "/>
      </w:tblPr>
      <w:tblGrid>
        <w:gridCol w:w="2357"/>
        <w:gridCol w:w="932"/>
        <w:gridCol w:w="2415"/>
        <w:gridCol w:w="1120"/>
        <w:gridCol w:w="2236"/>
      </w:tblGrid>
      <w:tr w:rsidR="00324ECF" w:rsidRPr="00324ECF" w14:paraId="585B338A" w14:textId="77777777" w:rsidTr="00324ECF">
        <w:tc>
          <w:tcPr>
            <w:tcW w:w="5000" w:type="pct"/>
            <w:gridSpan w:val="5"/>
            <w:shd w:val="clear" w:color="auto" w:fill="B690C9" w:themeFill="accent6" w:themeFillTint="99"/>
          </w:tcPr>
          <w:p w14:paraId="7A4F8982" w14:textId="77777777" w:rsidR="00A113DD" w:rsidRPr="00324ECF" w:rsidRDefault="00A113DD" w:rsidP="00320C61">
            <w:pPr>
              <w:spacing w:before="60" w:after="60" w:line="240" w:lineRule="auto"/>
              <w:rPr>
                <w:b/>
                <w:bCs/>
                <w:color w:val="000000" w:themeColor="text1"/>
              </w:rPr>
            </w:pPr>
            <w:r w:rsidRPr="00324ECF">
              <w:rPr>
                <w:b/>
                <w:bCs/>
                <w:color w:val="000000" w:themeColor="text1"/>
              </w:rPr>
              <w:t>Average annual regulatory costs (from business as usual)</w:t>
            </w:r>
          </w:p>
        </w:tc>
      </w:tr>
      <w:tr w:rsidR="00324ECF" w:rsidRPr="00324ECF" w14:paraId="28B0DB54" w14:textId="77777777" w:rsidTr="00324ECF">
        <w:tc>
          <w:tcPr>
            <w:tcW w:w="1316" w:type="pct"/>
          </w:tcPr>
          <w:p w14:paraId="3DD523F4" w14:textId="77777777" w:rsidR="00A113DD" w:rsidRPr="00324ECF" w:rsidRDefault="00A113DD" w:rsidP="00320C61">
            <w:pPr>
              <w:spacing w:before="60" w:after="60" w:line="240" w:lineRule="auto"/>
              <w:rPr>
                <w:b/>
                <w:color w:val="000000" w:themeColor="text1"/>
              </w:rPr>
            </w:pPr>
            <w:r w:rsidRPr="00324ECF">
              <w:rPr>
                <w:b/>
                <w:color w:val="000000" w:themeColor="text1"/>
              </w:rPr>
              <w:t>Change in costs ($ million)</w:t>
            </w:r>
          </w:p>
        </w:tc>
        <w:tc>
          <w:tcPr>
            <w:tcW w:w="514" w:type="pct"/>
          </w:tcPr>
          <w:p w14:paraId="34D113EB" w14:textId="77777777" w:rsidR="00A113DD" w:rsidRPr="00324ECF" w:rsidRDefault="00A113DD" w:rsidP="00320C61">
            <w:pPr>
              <w:spacing w:before="60" w:after="60" w:line="240" w:lineRule="auto"/>
              <w:rPr>
                <w:b/>
                <w:color w:val="000000" w:themeColor="text1"/>
              </w:rPr>
            </w:pPr>
            <w:r w:rsidRPr="00324ECF">
              <w:rPr>
                <w:b/>
                <w:color w:val="000000" w:themeColor="text1"/>
              </w:rPr>
              <w:t>Business</w:t>
            </w:r>
          </w:p>
        </w:tc>
        <w:tc>
          <w:tcPr>
            <w:tcW w:w="1348" w:type="pct"/>
          </w:tcPr>
          <w:p w14:paraId="53F5F4C3" w14:textId="77777777" w:rsidR="00A113DD" w:rsidRPr="00324ECF" w:rsidRDefault="00A113DD" w:rsidP="00320C61">
            <w:pPr>
              <w:spacing w:before="60" w:after="60" w:line="240" w:lineRule="auto"/>
              <w:rPr>
                <w:b/>
                <w:color w:val="000000" w:themeColor="text1"/>
              </w:rPr>
            </w:pPr>
            <w:r w:rsidRPr="00324ECF">
              <w:rPr>
                <w:b/>
                <w:color w:val="000000" w:themeColor="text1"/>
              </w:rPr>
              <w:t>Community organisations</w:t>
            </w:r>
          </w:p>
        </w:tc>
        <w:tc>
          <w:tcPr>
            <w:tcW w:w="573" w:type="pct"/>
          </w:tcPr>
          <w:p w14:paraId="1DBBC73E" w14:textId="77777777" w:rsidR="00A113DD" w:rsidRPr="00324ECF" w:rsidRDefault="00A113DD" w:rsidP="00320C61">
            <w:pPr>
              <w:spacing w:before="60" w:after="60" w:line="240" w:lineRule="auto"/>
              <w:rPr>
                <w:b/>
                <w:color w:val="000000" w:themeColor="text1"/>
              </w:rPr>
            </w:pPr>
            <w:r w:rsidRPr="00324ECF">
              <w:rPr>
                <w:b/>
                <w:color w:val="000000" w:themeColor="text1"/>
              </w:rPr>
              <w:t>Individuals</w:t>
            </w:r>
          </w:p>
        </w:tc>
        <w:tc>
          <w:tcPr>
            <w:tcW w:w="1248" w:type="pct"/>
          </w:tcPr>
          <w:p w14:paraId="47D7464D" w14:textId="77777777" w:rsidR="00A113DD" w:rsidRPr="00324ECF" w:rsidRDefault="00A113DD" w:rsidP="00320C61">
            <w:pPr>
              <w:spacing w:before="60" w:after="60" w:line="240" w:lineRule="auto"/>
              <w:rPr>
                <w:b/>
                <w:color w:val="000000" w:themeColor="text1"/>
              </w:rPr>
            </w:pPr>
            <w:r w:rsidRPr="00324ECF">
              <w:rPr>
                <w:b/>
                <w:color w:val="000000" w:themeColor="text1"/>
              </w:rPr>
              <w:t>Total change in costs</w:t>
            </w:r>
          </w:p>
        </w:tc>
      </w:tr>
      <w:tr w:rsidR="00324ECF" w:rsidRPr="00324ECF" w14:paraId="1FEBD92D" w14:textId="77777777" w:rsidTr="00324ECF">
        <w:tc>
          <w:tcPr>
            <w:tcW w:w="1316" w:type="pct"/>
          </w:tcPr>
          <w:p w14:paraId="23DAF9D0" w14:textId="77777777" w:rsidR="00A113DD" w:rsidRPr="00324ECF" w:rsidRDefault="00A113DD" w:rsidP="00320C61">
            <w:pPr>
              <w:spacing w:before="60" w:after="60" w:line="240" w:lineRule="auto"/>
              <w:rPr>
                <w:color w:val="000000" w:themeColor="text1"/>
              </w:rPr>
            </w:pPr>
            <w:r w:rsidRPr="00324ECF">
              <w:rPr>
                <w:color w:val="000000" w:themeColor="text1"/>
              </w:rPr>
              <w:t>Total, by sector</w:t>
            </w:r>
          </w:p>
        </w:tc>
        <w:tc>
          <w:tcPr>
            <w:tcW w:w="514" w:type="pct"/>
          </w:tcPr>
          <w:p w14:paraId="22AE614D" w14:textId="6CD3AB12" w:rsidR="00A113DD" w:rsidRPr="00324ECF" w:rsidRDefault="004D3C08" w:rsidP="00320C61">
            <w:pPr>
              <w:spacing w:before="60" w:after="60" w:line="240" w:lineRule="auto"/>
              <w:rPr>
                <w:color w:val="000000" w:themeColor="text1"/>
              </w:rPr>
            </w:pPr>
            <w:r>
              <w:rPr>
                <w:color w:val="000000" w:themeColor="text1"/>
              </w:rPr>
              <w:t>$4</w:t>
            </w:r>
            <w:r w:rsidR="00150561">
              <w:rPr>
                <w:color w:val="000000" w:themeColor="text1"/>
              </w:rPr>
              <w:t>.</w:t>
            </w:r>
            <w:r>
              <w:rPr>
                <w:color w:val="000000" w:themeColor="text1"/>
              </w:rPr>
              <w:t xml:space="preserve">48 </w:t>
            </w:r>
          </w:p>
        </w:tc>
        <w:tc>
          <w:tcPr>
            <w:tcW w:w="1348" w:type="pct"/>
          </w:tcPr>
          <w:p w14:paraId="16D79E6B" w14:textId="77777777" w:rsidR="00A113DD" w:rsidRPr="00324ECF" w:rsidRDefault="00A113DD" w:rsidP="00320C61">
            <w:pPr>
              <w:spacing w:before="60" w:after="60" w:line="240" w:lineRule="auto"/>
              <w:jc w:val="center"/>
              <w:rPr>
                <w:color w:val="000000" w:themeColor="text1"/>
              </w:rPr>
            </w:pPr>
            <w:r w:rsidRPr="00324ECF">
              <w:rPr>
                <w:color w:val="000000" w:themeColor="text1"/>
              </w:rPr>
              <w:t>-</w:t>
            </w:r>
          </w:p>
        </w:tc>
        <w:tc>
          <w:tcPr>
            <w:tcW w:w="573" w:type="pct"/>
          </w:tcPr>
          <w:p w14:paraId="68E5215F" w14:textId="77777777" w:rsidR="00A113DD" w:rsidRPr="00324ECF" w:rsidRDefault="00A113DD" w:rsidP="00320C61">
            <w:pPr>
              <w:spacing w:before="60" w:after="60" w:line="240" w:lineRule="auto"/>
              <w:jc w:val="center"/>
              <w:rPr>
                <w:color w:val="000000" w:themeColor="text1"/>
              </w:rPr>
            </w:pPr>
            <w:r w:rsidRPr="00324ECF">
              <w:rPr>
                <w:color w:val="000000" w:themeColor="text1"/>
              </w:rPr>
              <w:t>-</w:t>
            </w:r>
          </w:p>
        </w:tc>
        <w:tc>
          <w:tcPr>
            <w:tcW w:w="1248" w:type="pct"/>
          </w:tcPr>
          <w:p w14:paraId="393E23B0" w14:textId="476E9B1C" w:rsidR="00A113DD" w:rsidRPr="00324ECF" w:rsidRDefault="004D3C08" w:rsidP="002E45B0">
            <w:pPr>
              <w:spacing w:before="60" w:after="60" w:line="240" w:lineRule="auto"/>
              <w:rPr>
                <w:color w:val="000000" w:themeColor="text1"/>
              </w:rPr>
            </w:pPr>
            <w:r>
              <w:rPr>
                <w:color w:val="000000" w:themeColor="text1"/>
              </w:rPr>
              <w:t>$4</w:t>
            </w:r>
            <w:r w:rsidR="00150561">
              <w:rPr>
                <w:color w:val="000000" w:themeColor="text1"/>
              </w:rPr>
              <w:t>.</w:t>
            </w:r>
            <w:r>
              <w:rPr>
                <w:color w:val="000000" w:themeColor="text1"/>
              </w:rPr>
              <w:t xml:space="preserve">48 </w:t>
            </w:r>
          </w:p>
        </w:tc>
      </w:tr>
    </w:tbl>
    <w:bookmarkEnd w:id="232"/>
    <w:p w14:paraId="64DAC2C5" w14:textId="735A84D2" w:rsidR="00A24AE6" w:rsidRDefault="00A24AE6" w:rsidP="00A24AE6">
      <w:r>
        <w:t>This option can be applied in one of two ways:</w:t>
      </w:r>
    </w:p>
    <w:p w14:paraId="376EF7AD" w14:textId="24F0E795" w:rsidR="00A24AE6" w:rsidRDefault="00A24AE6" w:rsidP="004A3FDA">
      <w:pPr>
        <w:pStyle w:val="ListParagraph"/>
        <w:numPr>
          <w:ilvl w:val="0"/>
          <w:numId w:val="34"/>
        </w:numPr>
        <w:spacing w:before="0" w:after="200" w:line="276" w:lineRule="auto"/>
      </w:pPr>
      <w:r>
        <w:t xml:space="preserve">economy wide </w:t>
      </w:r>
    </w:p>
    <w:p w14:paraId="37208835" w14:textId="77777777" w:rsidR="00A24AE6" w:rsidRDefault="00A24AE6" w:rsidP="004A3FDA">
      <w:pPr>
        <w:pStyle w:val="ListParagraph"/>
        <w:numPr>
          <w:ilvl w:val="0"/>
          <w:numId w:val="34"/>
        </w:numPr>
        <w:spacing w:before="0" w:after="200" w:line="276" w:lineRule="auto"/>
      </w:pPr>
      <w:r>
        <w:t>to new motor vehicles only.</w:t>
      </w:r>
    </w:p>
    <w:p w14:paraId="6B09AAFE" w14:textId="77777777" w:rsidR="005A1DCE" w:rsidRDefault="005A1DCE" w:rsidP="005A1DCE">
      <w:pPr>
        <w:pStyle w:val="Heading5"/>
      </w:pPr>
      <w:r>
        <w:t>a)</w:t>
      </w:r>
      <w:r w:rsidRPr="008938C2">
        <w:t xml:space="preserve"> Economy wide approach</w:t>
      </w:r>
    </w:p>
    <w:p w14:paraId="43F1328D" w14:textId="535B1A25" w:rsidR="00285F4E" w:rsidRDefault="00CF566C" w:rsidP="005A1DCE">
      <w:pPr>
        <w:pStyle w:val="Default"/>
        <w:spacing w:after="120" w:line="360" w:lineRule="auto"/>
        <w:rPr>
          <w:rFonts w:asciiTheme="minorHAnsi" w:hAnsiTheme="minorHAnsi" w:cstheme="minorBidi"/>
          <w:color w:val="auto"/>
          <w:sz w:val="22"/>
          <w:szCs w:val="22"/>
        </w:rPr>
      </w:pPr>
      <w:r w:rsidRPr="00CF566C">
        <w:rPr>
          <w:rFonts w:asciiTheme="minorHAnsi" w:hAnsiTheme="minorHAnsi" w:cstheme="minorBidi"/>
          <w:color w:val="auto"/>
          <w:sz w:val="22"/>
          <w:szCs w:val="22"/>
        </w:rPr>
        <w:t>Applying an ec</w:t>
      </w:r>
      <w:r>
        <w:rPr>
          <w:rFonts w:asciiTheme="minorHAnsi" w:hAnsiTheme="minorHAnsi" w:cstheme="minorBidi"/>
          <w:color w:val="auto"/>
          <w:sz w:val="22"/>
          <w:szCs w:val="22"/>
        </w:rPr>
        <w:t>onomy wide civil prohibition on</w:t>
      </w:r>
      <w:r w:rsidRPr="00CF566C">
        <w:rPr>
          <w:rFonts w:asciiTheme="minorHAnsi" w:hAnsiTheme="minorHAnsi" w:cstheme="minorBidi"/>
          <w:color w:val="auto"/>
          <w:sz w:val="22"/>
          <w:szCs w:val="22"/>
        </w:rPr>
        <w:t xml:space="preserve"> retribution by manufacture</w:t>
      </w:r>
      <w:r w:rsidR="00813FD0">
        <w:rPr>
          <w:rFonts w:asciiTheme="minorHAnsi" w:hAnsiTheme="minorHAnsi" w:cstheme="minorBidi"/>
          <w:color w:val="auto"/>
          <w:sz w:val="22"/>
          <w:szCs w:val="22"/>
        </w:rPr>
        <w:t>r</w:t>
      </w:r>
      <w:r w:rsidRPr="00CF566C">
        <w:rPr>
          <w:rFonts w:asciiTheme="minorHAnsi" w:hAnsiTheme="minorHAnsi" w:cstheme="minorBidi"/>
          <w:color w:val="auto"/>
          <w:sz w:val="22"/>
          <w:szCs w:val="22"/>
        </w:rPr>
        <w:t xml:space="preserve">s against suppliers is estimated to </w:t>
      </w:r>
      <w:r>
        <w:rPr>
          <w:rFonts w:asciiTheme="minorHAnsi" w:hAnsiTheme="minorHAnsi" w:cstheme="minorBidi"/>
          <w:color w:val="auto"/>
          <w:sz w:val="22"/>
          <w:szCs w:val="22"/>
        </w:rPr>
        <w:t>create a</w:t>
      </w:r>
      <w:r w:rsidRPr="00CF566C">
        <w:rPr>
          <w:rFonts w:asciiTheme="minorHAnsi" w:hAnsiTheme="minorHAnsi" w:cstheme="minorBidi"/>
          <w:color w:val="auto"/>
          <w:sz w:val="22"/>
          <w:szCs w:val="22"/>
        </w:rPr>
        <w:t xml:space="preserve"> net benefit of </w:t>
      </w:r>
      <w:r w:rsidR="004D3C08">
        <w:rPr>
          <w:rFonts w:asciiTheme="minorHAnsi" w:hAnsiTheme="minorHAnsi" w:cstheme="minorBidi"/>
          <w:color w:val="auto"/>
          <w:sz w:val="22"/>
          <w:szCs w:val="22"/>
        </w:rPr>
        <w:t>$</w:t>
      </w:r>
      <w:r w:rsidR="00DF451C">
        <w:rPr>
          <w:rFonts w:asciiTheme="minorHAnsi" w:hAnsiTheme="minorHAnsi" w:cstheme="minorBidi"/>
          <w:color w:val="auto"/>
          <w:sz w:val="22"/>
          <w:szCs w:val="22"/>
        </w:rPr>
        <w:t xml:space="preserve">368 </w:t>
      </w:r>
      <w:r w:rsidR="00DF451C" w:rsidRPr="00CF566C">
        <w:rPr>
          <w:rFonts w:asciiTheme="minorHAnsi" w:hAnsiTheme="minorHAnsi" w:cstheme="minorBidi"/>
          <w:color w:val="auto"/>
          <w:sz w:val="22"/>
          <w:szCs w:val="22"/>
        </w:rPr>
        <w:t>million</w:t>
      </w:r>
      <w:r w:rsidRPr="00CF566C">
        <w:rPr>
          <w:rFonts w:asciiTheme="minorHAnsi" w:hAnsiTheme="minorHAnsi" w:cstheme="minorBidi"/>
          <w:color w:val="auto"/>
          <w:sz w:val="22"/>
          <w:szCs w:val="22"/>
        </w:rPr>
        <w:t xml:space="preserve"> in NPV terms over the 10 years to 2031</w:t>
      </w:r>
      <w:r>
        <w:rPr>
          <w:rFonts w:asciiTheme="minorHAnsi" w:hAnsiTheme="minorHAnsi" w:cstheme="minorBidi"/>
          <w:color w:val="auto"/>
          <w:sz w:val="22"/>
          <w:szCs w:val="22"/>
        </w:rPr>
        <w:t xml:space="preserve"> and a </w:t>
      </w:r>
      <w:r w:rsidRPr="00CF566C">
        <w:rPr>
          <w:rFonts w:asciiTheme="minorHAnsi" w:hAnsiTheme="minorHAnsi" w:cstheme="minorBidi"/>
          <w:color w:val="auto"/>
          <w:sz w:val="22"/>
          <w:szCs w:val="22"/>
        </w:rPr>
        <w:t>BC</w:t>
      </w:r>
      <w:r>
        <w:rPr>
          <w:rFonts w:asciiTheme="minorHAnsi" w:hAnsiTheme="minorHAnsi" w:cstheme="minorBidi"/>
          <w:color w:val="auto"/>
          <w:sz w:val="22"/>
          <w:szCs w:val="22"/>
        </w:rPr>
        <w:t>R of</w:t>
      </w:r>
      <w:r w:rsidR="00776A0F">
        <w:rPr>
          <w:rFonts w:asciiTheme="minorHAnsi" w:hAnsiTheme="minorHAnsi" w:cstheme="minorBidi"/>
          <w:color w:val="auto"/>
          <w:sz w:val="22"/>
          <w:szCs w:val="22"/>
        </w:rPr>
        <w:t xml:space="preserve"> 1.6.</w:t>
      </w:r>
    </w:p>
    <w:p w14:paraId="3949BF16" w14:textId="35814E46" w:rsidR="009934AD" w:rsidRDefault="00C23FF7" w:rsidP="005A1DCE">
      <w:pPr>
        <w:pStyle w:val="Default"/>
        <w:spacing w:after="120" w:line="360" w:lineRule="auto"/>
        <w:rPr>
          <w:rFonts w:asciiTheme="minorHAnsi" w:hAnsiTheme="minorHAnsi" w:cstheme="minorBidi"/>
          <w:color w:val="auto"/>
          <w:sz w:val="22"/>
          <w:szCs w:val="22"/>
        </w:rPr>
      </w:pPr>
      <w:r>
        <w:rPr>
          <w:rFonts w:asciiTheme="minorHAnsi" w:hAnsiTheme="minorHAnsi" w:cstheme="minorBidi"/>
          <w:color w:val="auto"/>
          <w:sz w:val="22"/>
          <w:szCs w:val="22"/>
        </w:rPr>
        <w:t xml:space="preserve">This option is expected to generate </w:t>
      </w:r>
      <w:r w:rsidR="00A360AA">
        <w:rPr>
          <w:rFonts w:asciiTheme="minorHAnsi" w:hAnsiTheme="minorHAnsi" w:cstheme="minorBidi"/>
          <w:color w:val="auto"/>
          <w:sz w:val="22"/>
          <w:szCs w:val="22"/>
        </w:rPr>
        <w:t xml:space="preserve">total benefits of $956 million </w:t>
      </w:r>
      <w:r w:rsidR="001C0CC2">
        <w:rPr>
          <w:rFonts w:asciiTheme="minorHAnsi" w:hAnsiTheme="minorHAnsi" w:cstheme="minorBidi"/>
          <w:color w:val="auto"/>
          <w:sz w:val="22"/>
          <w:szCs w:val="22"/>
        </w:rPr>
        <w:t>in NPV terms over 10 years, including b</w:t>
      </w:r>
      <w:r w:rsidR="009934AD" w:rsidRPr="009934AD">
        <w:rPr>
          <w:rFonts w:asciiTheme="minorHAnsi" w:hAnsiTheme="minorHAnsi" w:cstheme="minorBidi"/>
          <w:color w:val="auto"/>
          <w:sz w:val="22"/>
          <w:szCs w:val="22"/>
        </w:rPr>
        <w:t xml:space="preserve">enefits to suppliers of </w:t>
      </w:r>
      <w:r w:rsidR="00776A0F">
        <w:rPr>
          <w:rFonts w:asciiTheme="minorHAnsi" w:hAnsiTheme="minorHAnsi" w:cstheme="minorBidi"/>
          <w:color w:val="auto"/>
          <w:sz w:val="22"/>
          <w:szCs w:val="22"/>
        </w:rPr>
        <w:t xml:space="preserve">$130 </w:t>
      </w:r>
      <w:r>
        <w:rPr>
          <w:rFonts w:asciiTheme="minorHAnsi" w:hAnsiTheme="minorHAnsi" w:cstheme="minorBidi"/>
          <w:color w:val="auto"/>
          <w:sz w:val="22"/>
          <w:szCs w:val="22"/>
        </w:rPr>
        <w:t>million in NPV terms over 10 years resulting</w:t>
      </w:r>
      <w:r w:rsidR="009934AD" w:rsidRPr="009934AD">
        <w:rPr>
          <w:rFonts w:asciiTheme="minorHAnsi" w:hAnsiTheme="minorHAnsi" w:cstheme="minorBidi"/>
          <w:color w:val="auto"/>
          <w:sz w:val="22"/>
          <w:szCs w:val="22"/>
        </w:rPr>
        <w:t xml:space="preserve"> from no longer bearing the full cost of providing refunds, replacements and/or repairs to consumers. </w:t>
      </w:r>
      <w:r w:rsidR="001C0CC2">
        <w:rPr>
          <w:rFonts w:asciiTheme="minorHAnsi" w:hAnsiTheme="minorHAnsi" w:cstheme="minorBidi"/>
          <w:color w:val="auto"/>
          <w:sz w:val="22"/>
          <w:szCs w:val="22"/>
        </w:rPr>
        <w:t>B</w:t>
      </w:r>
      <w:r w:rsidR="009934AD" w:rsidRPr="009934AD">
        <w:rPr>
          <w:rFonts w:asciiTheme="minorHAnsi" w:hAnsiTheme="minorHAnsi" w:cstheme="minorBidi"/>
          <w:color w:val="auto"/>
          <w:sz w:val="22"/>
          <w:szCs w:val="22"/>
        </w:rPr>
        <w:t>enefit</w:t>
      </w:r>
      <w:r w:rsidR="001C0CC2">
        <w:rPr>
          <w:rFonts w:asciiTheme="minorHAnsi" w:hAnsiTheme="minorHAnsi" w:cstheme="minorBidi"/>
          <w:color w:val="auto"/>
          <w:sz w:val="22"/>
          <w:szCs w:val="22"/>
        </w:rPr>
        <w:t xml:space="preserve">s are also </w:t>
      </w:r>
      <w:r w:rsidR="00867329">
        <w:rPr>
          <w:rFonts w:asciiTheme="minorHAnsi" w:hAnsiTheme="minorHAnsi" w:cstheme="minorBidi"/>
          <w:color w:val="auto"/>
          <w:sz w:val="22"/>
          <w:szCs w:val="22"/>
        </w:rPr>
        <w:t xml:space="preserve">estimated to be passed on to consumers – </w:t>
      </w:r>
      <w:r w:rsidR="009934AD" w:rsidRPr="009934AD">
        <w:rPr>
          <w:rFonts w:asciiTheme="minorHAnsi" w:hAnsiTheme="minorHAnsi" w:cstheme="minorBidi"/>
          <w:color w:val="auto"/>
          <w:sz w:val="22"/>
          <w:szCs w:val="22"/>
        </w:rPr>
        <w:t>$697 million in NPV terms</w:t>
      </w:r>
      <w:r w:rsidR="00867329">
        <w:rPr>
          <w:rFonts w:asciiTheme="minorHAnsi" w:hAnsiTheme="minorHAnsi" w:cstheme="minorBidi"/>
          <w:color w:val="auto"/>
          <w:sz w:val="22"/>
          <w:szCs w:val="22"/>
        </w:rPr>
        <w:t xml:space="preserve"> over 10 years</w:t>
      </w:r>
      <w:r w:rsidR="009934AD" w:rsidRPr="009934AD">
        <w:rPr>
          <w:rFonts w:asciiTheme="minorHAnsi" w:hAnsiTheme="minorHAnsi" w:cstheme="minorBidi"/>
          <w:color w:val="auto"/>
          <w:sz w:val="22"/>
          <w:szCs w:val="22"/>
        </w:rPr>
        <w:t xml:space="preserve"> from accessing a working version of the good purchased (approximated to the average value of the relevant good).</w:t>
      </w:r>
    </w:p>
    <w:p w14:paraId="76641B92" w14:textId="6906EBA9" w:rsidR="000C19B7" w:rsidRPr="008B1D3A" w:rsidRDefault="008C2A36" w:rsidP="008B1D3A">
      <w:pPr>
        <w:pStyle w:val="Default"/>
        <w:spacing w:after="120" w:line="360" w:lineRule="auto"/>
        <w:rPr>
          <w:rFonts w:asciiTheme="minorHAnsi" w:hAnsiTheme="minorHAnsi" w:cstheme="minorBidi"/>
          <w:color w:val="auto"/>
          <w:sz w:val="22"/>
          <w:szCs w:val="22"/>
        </w:rPr>
      </w:pPr>
      <w:r w:rsidRPr="008B1D3A">
        <w:rPr>
          <w:rFonts w:asciiTheme="minorHAnsi" w:hAnsiTheme="minorHAnsi" w:cstheme="minorBidi"/>
          <w:color w:val="auto"/>
          <w:sz w:val="22"/>
          <w:szCs w:val="22"/>
        </w:rPr>
        <w:t>In terms of costs, this option is estimated to</w:t>
      </w:r>
      <w:r w:rsidR="00D564C8" w:rsidRPr="008B1D3A">
        <w:rPr>
          <w:rFonts w:asciiTheme="minorHAnsi" w:hAnsiTheme="minorHAnsi" w:cstheme="minorBidi"/>
          <w:color w:val="auto"/>
          <w:sz w:val="22"/>
          <w:szCs w:val="22"/>
        </w:rPr>
        <w:t xml:space="preserve"> create net</w:t>
      </w:r>
      <w:r w:rsidRPr="008B1D3A">
        <w:rPr>
          <w:rFonts w:asciiTheme="minorHAnsi" w:hAnsiTheme="minorHAnsi" w:cstheme="minorBidi"/>
          <w:color w:val="auto"/>
          <w:sz w:val="22"/>
          <w:szCs w:val="22"/>
        </w:rPr>
        <w:t xml:space="preserve"> costs for manufacturers </w:t>
      </w:r>
      <w:r w:rsidR="008940CD" w:rsidRPr="008B1D3A">
        <w:rPr>
          <w:rFonts w:asciiTheme="minorHAnsi" w:hAnsiTheme="minorHAnsi" w:cstheme="minorBidi"/>
          <w:color w:val="auto"/>
          <w:sz w:val="22"/>
          <w:szCs w:val="22"/>
        </w:rPr>
        <w:t xml:space="preserve">and suppliers of </w:t>
      </w:r>
      <w:r w:rsidR="00DF451C">
        <w:rPr>
          <w:rFonts w:asciiTheme="minorHAnsi" w:hAnsiTheme="minorHAnsi" w:cstheme="minorBidi"/>
          <w:color w:val="auto"/>
          <w:sz w:val="22"/>
          <w:szCs w:val="22"/>
        </w:rPr>
        <w:br/>
      </w:r>
      <w:r w:rsidR="00776A0F">
        <w:rPr>
          <w:rFonts w:asciiTheme="minorHAnsi" w:hAnsiTheme="minorHAnsi" w:cstheme="minorBidi"/>
          <w:color w:val="auto"/>
          <w:sz w:val="22"/>
          <w:szCs w:val="22"/>
        </w:rPr>
        <w:t xml:space="preserve">$587 </w:t>
      </w:r>
      <w:r w:rsidRPr="008B1D3A">
        <w:rPr>
          <w:rFonts w:asciiTheme="minorHAnsi" w:hAnsiTheme="minorHAnsi" w:cstheme="minorBidi"/>
          <w:color w:val="auto"/>
          <w:sz w:val="22"/>
          <w:szCs w:val="22"/>
        </w:rPr>
        <w:t xml:space="preserve">million in NPV terms over the 10 years to 2031. </w:t>
      </w:r>
      <w:r w:rsidR="00DA0F13" w:rsidRPr="008B1D3A">
        <w:rPr>
          <w:rFonts w:asciiTheme="minorHAnsi" w:hAnsiTheme="minorHAnsi" w:cstheme="minorBidi"/>
          <w:color w:val="auto"/>
          <w:sz w:val="22"/>
          <w:szCs w:val="22"/>
        </w:rPr>
        <w:t xml:space="preserve">The increase in cost to manufacturers consists of both increased costs of providing remedies by those who change behaviour, and infringement notices and pecuniary penalties </w:t>
      </w:r>
      <w:r w:rsidR="002C4ADF">
        <w:rPr>
          <w:rFonts w:asciiTheme="minorHAnsi" w:hAnsiTheme="minorHAnsi" w:cstheme="minorBidi"/>
          <w:color w:val="auto"/>
          <w:sz w:val="22"/>
          <w:szCs w:val="22"/>
        </w:rPr>
        <w:t>paid by those</w:t>
      </w:r>
      <w:r w:rsidR="00DA0F13" w:rsidRPr="008B1D3A">
        <w:rPr>
          <w:rFonts w:asciiTheme="minorHAnsi" w:hAnsiTheme="minorHAnsi" w:cstheme="minorBidi"/>
          <w:color w:val="auto"/>
          <w:sz w:val="22"/>
          <w:szCs w:val="22"/>
        </w:rPr>
        <w:t xml:space="preserve"> who do not comply. </w:t>
      </w:r>
      <w:r w:rsidR="001E15BD" w:rsidRPr="008B1D3A">
        <w:rPr>
          <w:rFonts w:asciiTheme="minorHAnsi" w:hAnsiTheme="minorHAnsi" w:cstheme="minorBidi"/>
          <w:color w:val="auto"/>
          <w:sz w:val="22"/>
          <w:szCs w:val="22"/>
        </w:rPr>
        <w:t>Suppliers also bear remedy provision and staff training costs but benefit overall due to increased indemnification relative to the status quo, as they are better able to enforce their rights.</w:t>
      </w:r>
    </w:p>
    <w:p w14:paraId="366D3D85" w14:textId="0D3A337F" w:rsidR="005A1DCE" w:rsidRPr="00324ECF" w:rsidRDefault="00324ECF" w:rsidP="00324ECF">
      <w:pPr>
        <w:pStyle w:val="Caption"/>
        <w:rPr>
          <w:b/>
          <w:bCs/>
          <w:i w:val="0"/>
          <w:iCs w:val="0"/>
        </w:rPr>
      </w:pPr>
      <w:r>
        <w:br/>
      </w:r>
      <w:bookmarkStart w:id="233" w:name="_Toc87529839"/>
      <w:bookmarkStart w:id="234" w:name="_Toc89700891"/>
      <w:r w:rsidRPr="00324ECF">
        <w:rPr>
          <w:b/>
          <w:bCs/>
          <w:i w:val="0"/>
          <w:iCs w:val="0"/>
          <w:sz w:val="22"/>
          <w:szCs w:val="22"/>
        </w:rPr>
        <w:t xml:space="preserve">Table </w:t>
      </w:r>
      <w:r w:rsidRPr="00324ECF">
        <w:rPr>
          <w:b/>
          <w:bCs/>
          <w:i w:val="0"/>
          <w:iCs w:val="0"/>
          <w:sz w:val="22"/>
          <w:szCs w:val="22"/>
        </w:rPr>
        <w:fldChar w:fldCharType="begin"/>
      </w:r>
      <w:r w:rsidRPr="00324ECF">
        <w:rPr>
          <w:b/>
          <w:bCs/>
          <w:i w:val="0"/>
          <w:iCs w:val="0"/>
          <w:sz w:val="22"/>
          <w:szCs w:val="22"/>
        </w:rPr>
        <w:instrText xml:space="preserve"> SEQ Table \* ARABIC </w:instrText>
      </w:r>
      <w:r w:rsidRPr="00324ECF">
        <w:rPr>
          <w:b/>
          <w:bCs/>
          <w:i w:val="0"/>
          <w:iCs w:val="0"/>
          <w:sz w:val="22"/>
          <w:szCs w:val="22"/>
        </w:rPr>
        <w:fldChar w:fldCharType="separate"/>
      </w:r>
      <w:r w:rsidR="00001633">
        <w:rPr>
          <w:b/>
          <w:bCs/>
          <w:i w:val="0"/>
          <w:iCs w:val="0"/>
          <w:noProof/>
          <w:sz w:val="22"/>
          <w:szCs w:val="22"/>
        </w:rPr>
        <w:t>19</w:t>
      </w:r>
      <w:r w:rsidRPr="00324ECF">
        <w:rPr>
          <w:b/>
          <w:bCs/>
          <w:i w:val="0"/>
          <w:iCs w:val="0"/>
          <w:sz w:val="22"/>
          <w:szCs w:val="22"/>
        </w:rPr>
        <w:fldChar w:fldCharType="end"/>
      </w:r>
      <w:r w:rsidRPr="00324ECF">
        <w:rPr>
          <w:b/>
          <w:bCs/>
          <w:i w:val="0"/>
          <w:iCs w:val="0"/>
          <w:sz w:val="22"/>
          <w:szCs w:val="22"/>
        </w:rPr>
        <w:t xml:space="preserve">: </w:t>
      </w:r>
      <w:r w:rsidR="00C04EDD">
        <w:rPr>
          <w:b/>
          <w:bCs/>
          <w:i w:val="0"/>
          <w:iCs w:val="0"/>
          <w:sz w:val="22"/>
          <w:szCs w:val="22"/>
        </w:rPr>
        <w:t>L</w:t>
      </w:r>
      <w:r w:rsidR="00DB77E1" w:rsidRPr="00324ECF">
        <w:rPr>
          <w:b/>
          <w:bCs/>
          <w:i w:val="0"/>
          <w:iCs w:val="0"/>
          <w:sz w:val="22"/>
          <w:szCs w:val="22"/>
        </w:rPr>
        <w:t>ikely n</w:t>
      </w:r>
      <w:r w:rsidR="00947AC6" w:rsidRPr="00324ECF">
        <w:rPr>
          <w:b/>
          <w:bCs/>
          <w:i w:val="0"/>
          <w:iCs w:val="0"/>
          <w:sz w:val="22"/>
          <w:szCs w:val="22"/>
        </w:rPr>
        <w:t>et benefit of a civil prohibition on retribution by manufacture</w:t>
      </w:r>
      <w:r w:rsidR="00813FD0" w:rsidRPr="00324ECF">
        <w:rPr>
          <w:b/>
          <w:bCs/>
          <w:i w:val="0"/>
          <w:iCs w:val="0"/>
          <w:sz w:val="22"/>
          <w:szCs w:val="22"/>
        </w:rPr>
        <w:t>r</w:t>
      </w:r>
      <w:r w:rsidR="00947AC6" w:rsidRPr="00324ECF">
        <w:rPr>
          <w:b/>
          <w:bCs/>
          <w:i w:val="0"/>
          <w:iCs w:val="0"/>
          <w:sz w:val="22"/>
          <w:szCs w:val="22"/>
        </w:rPr>
        <w:t>s against suppliers for the 10 years to 2031 – economy wide approach</w:t>
      </w:r>
      <w:bookmarkEnd w:id="233"/>
      <w:bookmarkEnd w:id="234"/>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9: likely net benefit of a civil prohibition on retribution by manufacturers against suppliers for the 10 years to 2031 – economy wide approach"/>
        <w:tblDescription w:val="Provides a summary of the likey net benefit for the measure if an economy wide approach is taken. Total benefits for this option is estimated at $956 million. Total costs for this option is estimated at $562 million. Net benefit for this option is estimated at $393 million. The Benefit Cost Ratio is estimated at 1.7."/>
      </w:tblPr>
      <w:tblGrid>
        <w:gridCol w:w="1812"/>
        <w:gridCol w:w="1812"/>
        <w:gridCol w:w="1812"/>
        <w:gridCol w:w="1812"/>
        <w:gridCol w:w="1812"/>
      </w:tblGrid>
      <w:tr w:rsidR="00324ECF" w:rsidRPr="00324ECF" w14:paraId="7781AEF8" w14:textId="77777777" w:rsidTr="00324ECF">
        <w:trPr>
          <w:trHeight w:val="525"/>
        </w:trPr>
        <w:tc>
          <w:tcPr>
            <w:tcW w:w="1000" w:type="pct"/>
            <w:shd w:val="clear" w:color="auto" w:fill="B690C9" w:themeFill="accent6" w:themeFillTint="99"/>
          </w:tcPr>
          <w:p w14:paraId="17DDD6C9" w14:textId="77777777" w:rsidR="005A1DCE" w:rsidRPr="00324ECF" w:rsidRDefault="005A1DCE" w:rsidP="005A1DCE">
            <w:pPr>
              <w:rPr>
                <w:b/>
                <w:color w:val="000000" w:themeColor="text1"/>
              </w:rPr>
            </w:pPr>
          </w:p>
        </w:tc>
        <w:tc>
          <w:tcPr>
            <w:tcW w:w="1000" w:type="pct"/>
            <w:shd w:val="clear" w:color="auto" w:fill="B690C9" w:themeFill="accent6" w:themeFillTint="99"/>
          </w:tcPr>
          <w:p w14:paraId="34858ABA" w14:textId="4F0EF57D" w:rsidR="005A1DCE" w:rsidRPr="00324ECF" w:rsidRDefault="005A1DCE" w:rsidP="00563236">
            <w:pPr>
              <w:rPr>
                <w:b/>
                <w:color w:val="000000" w:themeColor="text1"/>
              </w:rPr>
            </w:pPr>
            <w:r w:rsidRPr="00324ECF">
              <w:rPr>
                <w:b/>
                <w:color w:val="000000" w:themeColor="text1"/>
              </w:rPr>
              <w:t xml:space="preserve">Total </w:t>
            </w:r>
            <w:r w:rsidR="00563236" w:rsidRPr="00324ECF">
              <w:rPr>
                <w:b/>
                <w:color w:val="000000" w:themeColor="text1"/>
              </w:rPr>
              <w:t>benefit</w:t>
            </w:r>
            <w:r w:rsidRPr="00324ECF">
              <w:rPr>
                <w:b/>
                <w:color w:val="000000" w:themeColor="text1"/>
              </w:rPr>
              <w:t>s</w:t>
            </w:r>
          </w:p>
        </w:tc>
        <w:tc>
          <w:tcPr>
            <w:tcW w:w="1000" w:type="pct"/>
            <w:shd w:val="clear" w:color="auto" w:fill="B690C9" w:themeFill="accent6" w:themeFillTint="99"/>
          </w:tcPr>
          <w:p w14:paraId="0227D3C5" w14:textId="0BEC8971" w:rsidR="005A1DCE" w:rsidRPr="00324ECF" w:rsidRDefault="005A1DCE" w:rsidP="00563236">
            <w:pPr>
              <w:rPr>
                <w:b/>
                <w:color w:val="000000" w:themeColor="text1"/>
              </w:rPr>
            </w:pPr>
            <w:r w:rsidRPr="00324ECF">
              <w:rPr>
                <w:b/>
                <w:color w:val="000000" w:themeColor="text1"/>
              </w:rPr>
              <w:t xml:space="preserve">Total </w:t>
            </w:r>
            <w:r w:rsidR="00563236" w:rsidRPr="00324ECF">
              <w:rPr>
                <w:b/>
                <w:color w:val="000000" w:themeColor="text1"/>
              </w:rPr>
              <w:t>cost</w:t>
            </w:r>
            <w:r w:rsidRPr="00324ECF">
              <w:rPr>
                <w:b/>
                <w:color w:val="000000" w:themeColor="text1"/>
              </w:rPr>
              <w:t>s</w:t>
            </w:r>
          </w:p>
        </w:tc>
        <w:tc>
          <w:tcPr>
            <w:tcW w:w="1000" w:type="pct"/>
            <w:shd w:val="clear" w:color="auto" w:fill="B690C9" w:themeFill="accent6" w:themeFillTint="99"/>
          </w:tcPr>
          <w:p w14:paraId="4CF3EA02" w14:textId="77777777" w:rsidR="005A1DCE" w:rsidRPr="00324ECF" w:rsidRDefault="005A1DCE" w:rsidP="005A1DCE">
            <w:pPr>
              <w:rPr>
                <w:b/>
                <w:color w:val="000000" w:themeColor="text1"/>
              </w:rPr>
            </w:pPr>
            <w:r w:rsidRPr="00324ECF">
              <w:rPr>
                <w:b/>
                <w:color w:val="000000" w:themeColor="text1"/>
              </w:rPr>
              <w:t>Net benefit</w:t>
            </w:r>
          </w:p>
        </w:tc>
        <w:tc>
          <w:tcPr>
            <w:tcW w:w="1000" w:type="pct"/>
            <w:shd w:val="clear" w:color="auto" w:fill="B690C9" w:themeFill="accent6" w:themeFillTint="99"/>
          </w:tcPr>
          <w:p w14:paraId="44652678" w14:textId="77777777" w:rsidR="005A1DCE" w:rsidRPr="00324ECF" w:rsidRDefault="005A1DCE" w:rsidP="005A1DCE">
            <w:pPr>
              <w:rPr>
                <w:b/>
                <w:color w:val="000000" w:themeColor="text1"/>
              </w:rPr>
            </w:pPr>
            <w:r w:rsidRPr="00324ECF">
              <w:rPr>
                <w:b/>
                <w:color w:val="000000" w:themeColor="text1"/>
              </w:rPr>
              <w:t>Benefit Cost Ratio</w:t>
            </w:r>
          </w:p>
        </w:tc>
      </w:tr>
      <w:tr w:rsidR="005A1DCE" w14:paraId="136CC5E0" w14:textId="77777777" w:rsidTr="00324ECF">
        <w:trPr>
          <w:trHeight w:val="497"/>
        </w:trPr>
        <w:tc>
          <w:tcPr>
            <w:tcW w:w="1000" w:type="pct"/>
          </w:tcPr>
          <w:p w14:paraId="45225714" w14:textId="77777777" w:rsidR="005A1DCE" w:rsidRDefault="005A1DCE" w:rsidP="005A1DCE">
            <w:r>
              <w:t>Whole economy</w:t>
            </w:r>
          </w:p>
        </w:tc>
        <w:tc>
          <w:tcPr>
            <w:tcW w:w="1000" w:type="pct"/>
          </w:tcPr>
          <w:p w14:paraId="51738530" w14:textId="0C615D0A" w:rsidR="005A1DCE" w:rsidRPr="007641E7" w:rsidRDefault="005A1DCE" w:rsidP="00563236">
            <w:r w:rsidRPr="007641E7">
              <w:t>$</w:t>
            </w:r>
            <w:r w:rsidR="00563236">
              <w:t>956</w:t>
            </w:r>
            <w:r w:rsidRPr="007641E7">
              <w:t xml:space="preserve"> million</w:t>
            </w:r>
          </w:p>
        </w:tc>
        <w:tc>
          <w:tcPr>
            <w:tcW w:w="1000" w:type="pct"/>
          </w:tcPr>
          <w:p w14:paraId="57C963FE" w14:textId="3EC5271C" w:rsidR="005A1DCE" w:rsidRPr="007641E7" w:rsidRDefault="00776A0F" w:rsidP="00C23FF7">
            <w:r>
              <w:t xml:space="preserve">$587 </w:t>
            </w:r>
            <w:r w:rsidR="005A1DCE" w:rsidRPr="007641E7">
              <w:t>million</w:t>
            </w:r>
          </w:p>
        </w:tc>
        <w:tc>
          <w:tcPr>
            <w:tcW w:w="1000" w:type="pct"/>
          </w:tcPr>
          <w:p w14:paraId="640DF424" w14:textId="2C7A30CB" w:rsidR="005A1DCE" w:rsidRPr="007641E7" w:rsidRDefault="00776A0F" w:rsidP="005A1DCE">
            <w:r>
              <w:t xml:space="preserve">$368 </w:t>
            </w:r>
            <w:r w:rsidR="005A1DCE" w:rsidRPr="007641E7">
              <w:t>million</w:t>
            </w:r>
          </w:p>
        </w:tc>
        <w:tc>
          <w:tcPr>
            <w:tcW w:w="1000" w:type="pct"/>
          </w:tcPr>
          <w:p w14:paraId="065C065D" w14:textId="66AEAA7E" w:rsidR="005A1DCE" w:rsidRPr="007641E7" w:rsidRDefault="00776A0F" w:rsidP="005A1DCE">
            <w:r>
              <w:t xml:space="preserve">1.6 </w:t>
            </w:r>
          </w:p>
        </w:tc>
      </w:tr>
    </w:tbl>
    <w:p w14:paraId="765040CE" w14:textId="77777777" w:rsidR="00922D6B" w:rsidRDefault="00922D6B" w:rsidP="00D0775C">
      <w:pPr>
        <w:pStyle w:val="Heading5"/>
      </w:pPr>
    </w:p>
    <w:p w14:paraId="0AC88414" w14:textId="562576ED" w:rsidR="00D0775C" w:rsidRDefault="00D0775C" w:rsidP="00D0775C">
      <w:pPr>
        <w:pStyle w:val="Heading5"/>
      </w:pPr>
      <w:r>
        <w:t>b)</w:t>
      </w:r>
      <w:r w:rsidRPr="008938C2">
        <w:t xml:space="preserve"> </w:t>
      </w:r>
      <w:r>
        <w:t>New motor vehicles only</w:t>
      </w:r>
      <w:r w:rsidRPr="008938C2">
        <w:t xml:space="preserve"> approach</w:t>
      </w:r>
    </w:p>
    <w:p w14:paraId="2911A148" w14:textId="5C0207C0" w:rsidR="00ED74BA" w:rsidRDefault="005A1DCE" w:rsidP="005A1DCE">
      <w:r>
        <w:t xml:space="preserve">As with </w:t>
      </w:r>
      <w:r w:rsidR="009934AD">
        <w:t>Part B, O</w:t>
      </w:r>
      <w:r>
        <w:t xml:space="preserve">ption </w:t>
      </w:r>
      <w:r w:rsidR="00994611">
        <w:t>3</w:t>
      </w:r>
      <w:r>
        <w:t xml:space="preserve">b, this option would </w:t>
      </w:r>
      <w:r w:rsidR="003A09B7">
        <w:t xml:space="preserve">give </w:t>
      </w:r>
      <w:r>
        <w:t xml:space="preserve">dealers greater confidence </w:t>
      </w:r>
      <w:r w:rsidR="003A09B7">
        <w:t xml:space="preserve">they will </w:t>
      </w:r>
      <w:r>
        <w:t xml:space="preserve">be able to enforce indemnification rights </w:t>
      </w:r>
      <w:r w:rsidR="003A09B7">
        <w:t>when they provide a remedy for a manufacturer fault.</w:t>
      </w:r>
      <w:r>
        <w:t xml:space="preserve"> </w:t>
      </w:r>
    </w:p>
    <w:p w14:paraId="4EE42DE2" w14:textId="565C545E" w:rsidR="009934AD" w:rsidRDefault="009934AD" w:rsidP="009934AD">
      <w:pPr>
        <w:rPr>
          <w:szCs w:val="24"/>
        </w:rPr>
      </w:pPr>
      <w:r w:rsidRPr="00F852F1">
        <w:rPr>
          <w:szCs w:val="24"/>
        </w:rPr>
        <w:t xml:space="preserve">The economic costs and benefits of a civil prohibition on </w:t>
      </w:r>
      <w:r w:rsidRPr="00CF566C">
        <w:rPr>
          <w:rFonts w:asciiTheme="minorHAnsi" w:hAnsiTheme="minorHAnsi" w:cstheme="minorBidi"/>
          <w:szCs w:val="22"/>
        </w:rPr>
        <w:t>retribution by manufacture</w:t>
      </w:r>
      <w:r w:rsidR="00813FD0">
        <w:rPr>
          <w:rFonts w:asciiTheme="minorHAnsi" w:hAnsiTheme="minorHAnsi" w:cstheme="minorBidi"/>
          <w:szCs w:val="22"/>
        </w:rPr>
        <w:t>r</w:t>
      </w:r>
      <w:r w:rsidRPr="00CF566C">
        <w:rPr>
          <w:rFonts w:asciiTheme="minorHAnsi" w:hAnsiTheme="minorHAnsi" w:cstheme="minorBidi"/>
          <w:szCs w:val="22"/>
        </w:rPr>
        <w:t>s against suppliers</w:t>
      </w:r>
      <w:r w:rsidRPr="00F852F1">
        <w:rPr>
          <w:szCs w:val="24"/>
        </w:rPr>
        <w:t xml:space="preserve"> for the new motor vehicle market are a subset of the economic costs and benefits identified for the economy-wide prohibition.</w:t>
      </w:r>
    </w:p>
    <w:p w14:paraId="7061E40A" w14:textId="61498AB8" w:rsidR="00922D6B" w:rsidRDefault="009934AD" w:rsidP="005A1DCE">
      <w:r>
        <w:t>For new motor vehicles, Option 4</w:t>
      </w:r>
      <w:r w:rsidRPr="009934AD">
        <w:t xml:space="preserve"> is estimated to create a net benefit of </w:t>
      </w:r>
      <w:r w:rsidR="00776A0F">
        <w:t xml:space="preserve">$324 </w:t>
      </w:r>
      <w:r w:rsidRPr="009934AD">
        <w:t>million in NPV terms over the 1</w:t>
      </w:r>
      <w:r>
        <w:t>0 years to 2031 and a BCR of 2.3</w:t>
      </w:r>
      <w:r w:rsidRPr="009934AD">
        <w:t xml:space="preserve">. This reflects costs of </w:t>
      </w:r>
      <w:r w:rsidR="00776A0F">
        <w:t xml:space="preserve">$257 </w:t>
      </w:r>
      <w:r w:rsidRPr="009934AD">
        <w:t>million in NPV terms and benefits of $</w:t>
      </w:r>
      <w:r>
        <w:t>581</w:t>
      </w:r>
      <w:r w:rsidRPr="009934AD">
        <w:t xml:space="preserve"> million in NPV terms</w:t>
      </w:r>
      <w:r w:rsidR="007409DB">
        <w:t>, including</w:t>
      </w:r>
      <w:r w:rsidR="007409DB" w:rsidRPr="007409DB">
        <w:t xml:space="preserve"> a net benefit of $455 million</w:t>
      </w:r>
      <w:r w:rsidR="007409DB">
        <w:t xml:space="preserve"> to consumers (as they receive more remedies),</w:t>
      </w:r>
      <w:r w:rsidRPr="009934AD">
        <w:t xml:space="preserve"> over this period.</w:t>
      </w:r>
    </w:p>
    <w:p w14:paraId="01AE50D4" w14:textId="276D25DE" w:rsidR="005A1DCE" w:rsidRPr="003065D2" w:rsidRDefault="003065D2" w:rsidP="003065D2">
      <w:pPr>
        <w:pStyle w:val="Caption"/>
        <w:rPr>
          <w:rFonts w:asciiTheme="majorHAnsi" w:hAnsiTheme="majorHAnsi" w:cstheme="majorHAnsi"/>
          <w:b/>
          <w:bCs/>
          <w:i w:val="0"/>
          <w:iCs w:val="0"/>
          <w:sz w:val="22"/>
          <w:szCs w:val="22"/>
        </w:rPr>
      </w:pPr>
      <w:bookmarkStart w:id="235" w:name="_Toc87529840"/>
      <w:bookmarkStart w:id="236" w:name="_Toc89700892"/>
      <w:r w:rsidRPr="003065D2">
        <w:rPr>
          <w:rFonts w:asciiTheme="majorHAnsi" w:hAnsiTheme="majorHAnsi" w:cstheme="majorHAnsi"/>
          <w:b/>
          <w:bCs/>
          <w:i w:val="0"/>
          <w:iCs w:val="0"/>
          <w:sz w:val="22"/>
          <w:szCs w:val="22"/>
        </w:rPr>
        <w:t xml:space="preserve">Table </w:t>
      </w:r>
      <w:r w:rsidRPr="003065D2">
        <w:rPr>
          <w:rFonts w:asciiTheme="majorHAnsi" w:hAnsiTheme="majorHAnsi" w:cstheme="majorHAnsi"/>
          <w:b/>
          <w:bCs/>
          <w:i w:val="0"/>
          <w:iCs w:val="0"/>
          <w:sz w:val="22"/>
          <w:szCs w:val="22"/>
        </w:rPr>
        <w:fldChar w:fldCharType="begin"/>
      </w:r>
      <w:r w:rsidRPr="003065D2">
        <w:rPr>
          <w:rFonts w:asciiTheme="majorHAnsi" w:hAnsiTheme="majorHAnsi" w:cstheme="majorHAnsi"/>
          <w:b/>
          <w:bCs/>
          <w:i w:val="0"/>
          <w:iCs w:val="0"/>
          <w:sz w:val="22"/>
          <w:szCs w:val="22"/>
        </w:rPr>
        <w:instrText xml:space="preserve"> SEQ Table \* ARABIC </w:instrText>
      </w:r>
      <w:r w:rsidRPr="003065D2">
        <w:rPr>
          <w:rFonts w:asciiTheme="majorHAnsi" w:hAnsiTheme="majorHAnsi" w:cstheme="majorHAnsi"/>
          <w:b/>
          <w:bCs/>
          <w:i w:val="0"/>
          <w:iCs w:val="0"/>
          <w:sz w:val="22"/>
          <w:szCs w:val="22"/>
        </w:rPr>
        <w:fldChar w:fldCharType="separate"/>
      </w:r>
      <w:r w:rsidR="00001633">
        <w:rPr>
          <w:rFonts w:asciiTheme="majorHAnsi" w:hAnsiTheme="majorHAnsi" w:cstheme="majorHAnsi"/>
          <w:b/>
          <w:bCs/>
          <w:i w:val="0"/>
          <w:iCs w:val="0"/>
          <w:noProof/>
          <w:sz w:val="22"/>
          <w:szCs w:val="22"/>
        </w:rPr>
        <w:t>20</w:t>
      </w:r>
      <w:r w:rsidRPr="003065D2">
        <w:rPr>
          <w:rFonts w:asciiTheme="majorHAnsi" w:hAnsiTheme="majorHAnsi" w:cstheme="majorHAnsi"/>
          <w:b/>
          <w:bCs/>
          <w:i w:val="0"/>
          <w:iCs w:val="0"/>
          <w:sz w:val="22"/>
          <w:szCs w:val="22"/>
        </w:rPr>
        <w:fldChar w:fldCharType="end"/>
      </w:r>
      <w:r w:rsidRPr="003065D2">
        <w:rPr>
          <w:rFonts w:asciiTheme="majorHAnsi" w:hAnsiTheme="majorHAnsi" w:cstheme="majorHAnsi"/>
          <w:b/>
          <w:bCs/>
          <w:i w:val="0"/>
          <w:iCs w:val="0"/>
          <w:sz w:val="22"/>
          <w:szCs w:val="22"/>
        </w:rPr>
        <w:t xml:space="preserve">:  </w:t>
      </w:r>
      <w:r w:rsidR="00C04EDD">
        <w:rPr>
          <w:rFonts w:asciiTheme="majorHAnsi" w:hAnsiTheme="majorHAnsi" w:cstheme="majorHAnsi"/>
          <w:b/>
          <w:bCs/>
          <w:i w:val="0"/>
          <w:iCs w:val="0"/>
          <w:sz w:val="22"/>
          <w:szCs w:val="22"/>
        </w:rPr>
        <w:t>L</w:t>
      </w:r>
      <w:r w:rsidRPr="003065D2">
        <w:rPr>
          <w:rFonts w:asciiTheme="majorHAnsi" w:hAnsiTheme="majorHAnsi" w:cstheme="majorHAnsi"/>
          <w:b/>
          <w:bCs/>
          <w:i w:val="0"/>
          <w:iCs w:val="0"/>
          <w:sz w:val="22"/>
          <w:szCs w:val="22"/>
        </w:rPr>
        <w:t>ikely n</w:t>
      </w:r>
      <w:r w:rsidR="00947AC6" w:rsidRPr="003065D2">
        <w:rPr>
          <w:rFonts w:asciiTheme="majorHAnsi" w:hAnsiTheme="majorHAnsi" w:cstheme="majorHAnsi"/>
          <w:b/>
          <w:bCs/>
          <w:i w:val="0"/>
          <w:iCs w:val="0"/>
          <w:sz w:val="22"/>
          <w:szCs w:val="22"/>
        </w:rPr>
        <w:t>et benefit of a civil prohibition on retribution by manufacture</w:t>
      </w:r>
      <w:r w:rsidR="00813FD0" w:rsidRPr="003065D2">
        <w:rPr>
          <w:rFonts w:asciiTheme="majorHAnsi" w:hAnsiTheme="majorHAnsi" w:cstheme="majorHAnsi"/>
          <w:b/>
          <w:bCs/>
          <w:i w:val="0"/>
          <w:iCs w:val="0"/>
          <w:sz w:val="22"/>
          <w:szCs w:val="22"/>
        </w:rPr>
        <w:t>r</w:t>
      </w:r>
      <w:r w:rsidR="00947AC6" w:rsidRPr="003065D2">
        <w:rPr>
          <w:rFonts w:asciiTheme="majorHAnsi" w:hAnsiTheme="majorHAnsi" w:cstheme="majorHAnsi"/>
          <w:b/>
          <w:bCs/>
          <w:i w:val="0"/>
          <w:iCs w:val="0"/>
          <w:sz w:val="22"/>
          <w:szCs w:val="22"/>
        </w:rPr>
        <w:t>s against suppliers for the 10 years to 2031 – new motor vehicles only approach</w:t>
      </w:r>
      <w:bookmarkEnd w:id="235"/>
      <w:bookmarkEnd w:id="23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Table 20:  likely net benefit of a civil prohibition on retribution by manufacturers against suppliers for the 10 years to 2031 – new motor vehicles only approach"/>
        <w:tblDescription w:val="Provides a summary of the likey net benefit for the measure if an new motor vehicles only approach is taken. Total benefits for this option is estimated at $581 million. Total costs for this option is estimated at $255 million. Net benefit for this option is estimated at $326 million. The Benefit Cost Ratio is estimated at 2.3."/>
      </w:tblPr>
      <w:tblGrid>
        <w:gridCol w:w="1812"/>
        <w:gridCol w:w="1812"/>
        <w:gridCol w:w="1812"/>
        <w:gridCol w:w="1812"/>
        <w:gridCol w:w="1812"/>
      </w:tblGrid>
      <w:tr w:rsidR="003065D2" w:rsidRPr="003065D2" w14:paraId="7E0B0822" w14:textId="77777777" w:rsidTr="003065D2">
        <w:trPr>
          <w:trHeight w:val="525"/>
        </w:trPr>
        <w:tc>
          <w:tcPr>
            <w:tcW w:w="1000" w:type="pct"/>
            <w:shd w:val="clear" w:color="auto" w:fill="B690C9" w:themeFill="accent6" w:themeFillTint="99"/>
          </w:tcPr>
          <w:p w14:paraId="175F81E7" w14:textId="77777777" w:rsidR="005A1DCE" w:rsidRPr="003065D2" w:rsidRDefault="005A1DCE" w:rsidP="005A1DCE">
            <w:pPr>
              <w:rPr>
                <w:b/>
                <w:color w:val="000000" w:themeColor="text1"/>
              </w:rPr>
            </w:pPr>
          </w:p>
        </w:tc>
        <w:tc>
          <w:tcPr>
            <w:tcW w:w="1000" w:type="pct"/>
            <w:shd w:val="clear" w:color="auto" w:fill="B690C9" w:themeFill="accent6" w:themeFillTint="99"/>
          </w:tcPr>
          <w:p w14:paraId="460726D4" w14:textId="2D044EDB" w:rsidR="005A1DCE" w:rsidRPr="003065D2" w:rsidRDefault="005A1DCE" w:rsidP="007409DB">
            <w:pPr>
              <w:rPr>
                <w:b/>
                <w:color w:val="000000" w:themeColor="text1"/>
              </w:rPr>
            </w:pPr>
            <w:r w:rsidRPr="003065D2">
              <w:rPr>
                <w:b/>
                <w:color w:val="000000" w:themeColor="text1"/>
              </w:rPr>
              <w:t xml:space="preserve">Total </w:t>
            </w:r>
            <w:r w:rsidR="007409DB" w:rsidRPr="003065D2">
              <w:rPr>
                <w:b/>
                <w:color w:val="000000" w:themeColor="text1"/>
              </w:rPr>
              <w:t>benefit</w:t>
            </w:r>
            <w:r w:rsidRPr="003065D2">
              <w:rPr>
                <w:b/>
                <w:color w:val="000000" w:themeColor="text1"/>
              </w:rPr>
              <w:t>s</w:t>
            </w:r>
          </w:p>
        </w:tc>
        <w:tc>
          <w:tcPr>
            <w:tcW w:w="1000" w:type="pct"/>
            <w:shd w:val="clear" w:color="auto" w:fill="B690C9" w:themeFill="accent6" w:themeFillTint="99"/>
          </w:tcPr>
          <w:p w14:paraId="1B696E6E" w14:textId="1951E2FB" w:rsidR="005A1DCE" w:rsidRPr="003065D2" w:rsidRDefault="005A1DCE" w:rsidP="007409DB">
            <w:pPr>
              <w:rPr>
                <w:b/>
                <w:color w:val="000000" w:themeColor="text1"/>
              </w:rPr>
            </w:pPr>
            <w:r w:rsidRPr="003065D2">
              <w:rPr>
                <w:b/>
                <w:color w:val="000000" w:themeColor="text1"/>
              </w:rPr>
              <w:t xml:space="preserve">Total </w:t>
            </w:r>
            <w:r w:rsidR="007409DB" w:rsidRPr="003065D2">
              <w:rPr>
                <w:b/>
                <w:color w:val="000000" w:themeColor="text1"/>
              </w:rPr>
              <w:t>cost</w:t>
            </w:r>
            <w:r w:rsidRPr="003065D2">
              <w:rPr>
                <w:b/>
                <w:color w:val="000000" w:themeColor="text1"/>
              </w:rPr>
              <w:t>s</w:t>
            </w:r>
          </w:p>
        </w:tc>
        <w:tc>
          <w:tcPr>
            <w:tcW w:w="1000" w:type="pct"/>
            <w:shd w:val="clear" w:color="auto" w:fill="B690C9" w:themeFill="accent6" w:themeFillTint="99"/>
          </w:tcPr>
          <w:p w14:paraId="36BE3C84" w14:textId="77777777" w:rsidR="005A1DCE" w:rsidRPr="003065D2" w:rsidRDefault="005A1DCE" w:rsidP="005A1DCE">
            <w:pPr>
              <w:rPr>
                <w:b/>
                <w:color w:val="000000" w:themeColor="text1"/>
              </w:rPr>
            </w:pPr>
            <w:r w:rsidRPr="003065D2">
              <w:rPr>
                <w:b/>
                <w:color w:val="000000" w:themeColor="text1"/>
              </w:rPr>
              <w:t>Net benefit</w:t>
            </w:r>
          </w:p>
        </w:tc>
        <w:tc>
          <w:tcPr>
            <w:tcW w:w="1000" w:type="pct"/>
            <w:shd w:val="clear" w:color="auto" w:fill="B690C9" w:themeFill="accent6" w:themeFillTint="99"/>
          </w:tcPr>
          <w:p w14:paraId="3B246387" w14:textId="77777777" w:rsidR="005A1DCE" w:rsidRPr="003065D2" w:rsidRDefault="005A1DCE" w:rsidP="005A1DCE">
            <w:pPr>
              <w:rPr>
                <w:b/>
                <w:color w:val="000000" w:themeColor="text1"/>
              </w:rPr>
            </w:pPr>
            <w:r w:rsidRPr="003065D2">
              <w:rPr>
                <w:b/>
                <w:color w:val="000000" w:themeColor="text1"/>
              </w:rPr>
              <w:t>Benefit Cost Ratio</w:t>
            </w:r>
          </w:p>
        </w:tc>
      </w:tr>
      <w:tr w:rsidR="005A1DCE" w14:paraId="2EEB4998" w14:textId="77777777" w:rsidTr="003065D2">
        <w:trPr>
          <w:trHeight w:val="497"/>
        </w:trPr>
        <w:tc>
          <w:tcPr>
            <w:tcW w:w="1000" w:type="pct"/>
          </w:tcPr>
          <w:p w14:paraId="0843F53E" w14:textId="77777777" w:rsidR="005A1DCE" w:rsidRPr="00615280" w:rsidRDefault="005A1DCE" w:rsidP="005A1DCE">
            <w:r w:rsidRPr="00615280">
              <w:t>Motor vehicles</w:t>
            </w:r>
          </w:p>
        </w:tc>
        <w:tc>
          <w:tcPr>
            <w:tcW w:w="1000" w:type="pct"/>
          </w:tcPr>
          <w:p w14:paraId="32240CCA" w14:textId="757D6C3B" w:rsidR="005A1DCE" w:rsidRPr="00615280" w:rsidRDefault="005A1DCE" w:rsidP="007409DB">
            <w:r w:rsidRPr="00615280">
              <w:t>$</w:t>
            </w:r>
            <w:r w:rsidR="007409DB">
              <w:t>581</w:t>
            </w:r>
            <w:r w:rsidRPr="00615280">
              <w:t xml:space="preserve"> million</w:t>
            </w:r>
          </w:p>
        </w:tc>
        <w:tc>
          <w:tcPr>
            <w:tcW w:w="1000" w:type="pct"/>
          </w:tcPr>
          <w:p w14:paraId="2C0B5CE1" w14:textId="7D1F8176" w:rsidR="005A1DCE" w:rsidRPr="00615280" w:rsidRDefault="00776A0F" w:rsidP="007409DB">
            <w:r>
              <w:t xml:space="preserve">$257 </w:t>
            </w:r>
            <w:r w:rsidR="005A1DCE" w:rsidRPr="00615280">
              <w:t>million</w:t>
            </w:r>
          </w:p>
        </w:tc>
        <w:tc>
          <w:tcPr>
            <w:tcW w:w="1000" w:type="pct"/>
          </w:tcPr>
          <w:p w14:paraId="4AF6DFC1" w14:textId="3CB678F7" w:rsidR="005A1DCE" w:rsidRPr="00615280" w:rsidRDefault="00776A0F" w:rsidP="005A1DCE">
            <w:r>
              <w:t xml:space="preserve">$324 </w:t>
            </w:r>
            <w:r w:rsidR="005A1DCE" w:rsidRPr="00615280">
              <w:t>million</w:t>
            </w:r>
          </w:p>
        </w:tc>
        <w:tc>
          <w:tcPr>
            <w:tcW w:w="1000" w:type="pct"/>
          </w:tcPr>
          <w:p w14:paraId="7BF2DBE8" w14:textId="77777777" w:rsidR="005A1DCE" w:rsidRPr="00615280" w:rsidRDefault="005A1DCE" w:rsidP="005A1DCE">
            <w:r w:rsidRPr="00615280">
              <w:t>2.3</w:t>
            </w:r>
          </w:p>
        </w:tc>
      </w:tr>
    </w:tbl>
    <w:p w14:paraId="2B380D79" w14:textId="35CEF7AE" w:rsidR="00673E08" w:rsidRDefault="00673E08" w:rsidP="00AD03E8">
      <w:pPr>
        <w:spacing w:before="0" w:after="160" w:line="259" w:lineRule="auto"/>
      </w:pPr>
    </w:p>
    <w:p w14:paraId="57C8D7D6" w14:textId="038E8549" w:rsidR="002C4ADF" w:rsidRPr="003065D2" w:rsidRDefault="003065D2" w:rsidP="003065D2">
      <w:pPr>
        <w:pStyle w:val="Caption"/>
        <w:rPr>
          <w:b/>
          <w:bCs/>
          <w:i w:val="0"/>
          <w:iCs w:val="0"/>
          <w:sz w:val="22"/>
          <w:szCs w:val="22"/>
        </w:rPr>
      </w:pPr>
      <w:bookmarkStart w:id="237" w:name="_Toc87529841"/>
      <w:bookmarkStart w:id="238" w:name="_Toc89700893"/>
      <w:r w:rsidRPr="003065D2">
        <w:rPr>
          <w:b/>
          <w:bCs/>
          <w:i w:val="0"/>
          <w:iCs w:val="0"/>
          <w:sz w:val="22"/>
          <w:szCs w:val="22"/>
        </w:rPr>
        <w:t xml:space="preserve">Table </w:t>
      </w:r>
      <w:r w:rsidRPr="003065D2">
        <w:rPr>
          <w:b/>
          <w:bCs/>
          <w:i w:val="0"/>
          <w:iCs w:val="0"/>
          <w:sz w:val="22"/>
          <w:szCs w:val="22"/>
        </w:rPr>
        <w:fldChar w:fldCharType="begin"/>
      </w:r>
      <w:r w:rsidRPr="003065D2">
        <w:rPr>
          <w:b/>
          <w:bCs/>
          <w:i w:val="0"/>
          <w:iCs w:val="0"/>
          <w:sz w:val="22"/>
          <w:szCs w:val="22"/>
        </w:rPr>
        <w:instrText xml:space="preserve"> SEQ Table \* ARABIC </w:instrText>
      </w:r>
      <w:r w:rsidRPr="003065D2">
        <w:rPr>
          <w:b/>
          <w:bCs/>
          <w:i w:val="0"/>
          <w:iCs w:val="0"/>
          <w:sz w:val="22"/>
          <w:szCs w:val="22"/>
        </w:rPr>
        <w:fldChar w:fldCharType="separate"/>
      </w:r>
      <w:r w:rsidR="00001633">
        <w:rPr>
          <w:b/>
          <w:bCs/>
          <w:i w:val="0"/>
          <w:iCs w:val="0"/>
          <w:noProof/>
          <w:sz w:val="22"/>
          <w:szCs w:val="22"/>
        </w:rPr>
        <w:t>21</w:t>
      </w:r>
      <w:r w:rsidRPr="003065D2">
        <w:rPr>
          <w:b/>
          <w:bCs/>
          <w:i w:val="0"/>
          <w:iCs w:val="0"/>
          <w:sz w:val="22"/>
          <w:szCs w:val="22"/>
        </w:rPr>
        <w:fldChar w:fldCharType="end"/>
      </w:r>
      <w:r w:rsidRPr="003065D2">
        <w:rPr>
          <w:b/>
          <w:bCs/>
          <w:i w:val="0"/>
          <w:iCs w:val="0"/>
          <w:sz w:val="22"/>
          <w:szCs w:val="22"/>
        </w:rPr>
        <w:t xml:space="preserve">: </w:t>
      </w:r>
      <w:r w:rsidR="00C04EDD">
        <w:rPr>
          <w:b/>
          <w:bCs/>
          <w:i w:val="0"/>
          <w:iCs w:val="0"/>
          <w:sz w:val="22"/>
          <w:szCs w:val="22"/>
        </w:rPr>
        <w:t>S</w:t>
      </w:r>
      <w:r w:rsidR="002C4ADF" w:rsidRPr="003065D2">
        <w:rPr>
          <w:b/>
          <w:bCs/>
          <w:i w:val="0"/>
          <w:iCs w:val="0"/>
          <w:sz w:val="22"/>
          <w:szCs w:val="22"/>
        </w:rPr>
        <w:t>ummary of benefits and costs of Part B, Option 4 (covers both economy-wide approach and new motor vehicles only approach)</w:t>
      </w:r>
      <w:bookmarkEnd w:id="237"/>
      <w:bookmarkEnd w:id="238"/>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2C4ADF" w14:paraId="3D441E12" w14:textId="77777777" w:rsidTr="00762B88">
        <w:tc>
          <w:tcPr>
            <w:tcW w:w="4508" w:type="dxa"/>
            <w:shd w:val="clear" w:color="auto" w:fill="B690C9" w:themeFill="accent6" w:themeFillTint="99"/>
          </w:tcPr>
          <w:p w14:paraId="4F0D0F59" w14:textId="77777777" w:rsidR="002C4ADF" w:rsidRPr="004860EB" w:rsidRDefault="002C4ADF" w:rsidP="00762B88">
            <w:pPr>
              <w:rPr>
                <w:b/>
              </w:rPr>
            </w:pPr>
            <w:r w:rsidRPr="004860EB">
              <w:rPr>
                <w:b/>
              </w:rPr>
              <w:t xml:space="preserve">Benefits </w:t>
            </w:r>
          </w:p>
        </w:tc>
        <w:tc>
          <w:tcPr>
            <w:tcW w:w="4508" w:type="dxa"/>
            <w:shd w:val="clear" w:color="auto" w:fill="B690C9" w:themeFill="accent6" w:themeFillTint="99"/>
          </w:tcPr>
          <w:p w14:paraId="4312A4AB" w14:textId="77777777" w:rsidR="002C4ADF" w:rsidRPr="004860EB" w:rsidRDefault="002C4ADF" w:rsidP="00762B88">
            <w:pPr>
              <w:rPr>
                <w:b/>
              </w:rPr>
            </w:pPr>
            <w:r w:rsidRPr="004860EB">
              <w:rPr>
                <w:b/>
              </w:rPr>
              <w:t xml:space="preserve">Costs </w:t>
            </w:r>
          </w:p>
        </w:tc>
      </w:tr>
      <w:tr w:rsidR="002C4ADF" w14:paraId="3A9B171A" w14:textId="77777777" w:rsidTr="00762B88">
        <w:tc>
          <w:tcPr>
            <w:tcW w:w="4508" w:type="dxa"/>
          </w:tcPr>
          <w:p w14:paraId="043F0F85" w14:textId="77777777" w:rsidR="002C4ADF" w:rsidRDefault="002C4ADF" w:rsidP="002C4ADF">
            <w:pPr>
              <w:pStyle w:val="Bullet"/>
              <w:widowControl w:val="0"/>
              <w:numPr>
                <w:ilvl w:val="0"/>
                <w:numId w:val="12"/>
              </w:numPr>
              <w:spacing w:line="280" w:lineRule="exact"/>
            </w:pPr>
            <w:r>
              <w:t xml:space="preserve">Suppliers may be more likely to pursue indemnification because there may be a lower risk of retribution and suppliers may be less likely to </w:t>
            </w:r>
            <w:r w:rsidRPr="00AE449E">
              <w:t>bear the full cost of a remedy where the responsibility for the failure lies with the manufacturer</w:t>
            </w:r>
            <w:r>
              <w:t>.</w:t>
            </w:r>
          </w:p>
          <w:p w14:paraId="02430D01" w14:textId="77777777" w:rsidR="002C4ADF" w:rsidRDefault="002C4ADF" w:rsidP="002C4ADF">
            <w:pPr>
              <w:pStyle w:val="Bullet"/>
              <w:widowControl w:val="0"/>
              <w:numPr>
                <w:ilvl w:val="0"/>
                <w:numId w:val="12"/>
              </w:numPr>
              <w:spacing w:line="280" w:lineRule="exact"/>
            </w:pPr>
            <w:r>
              <w:t xml:space="preserve">Possible time and resource savings for suppliers in negotiating / discussing individual cases for indemnification with manufacturers. </w:t>
            </w:r>
          </w:p>
          <w:p w14:paraId="61568EDE" w14:textId="77777777" w:rsidR="002C4ADF" w:rsidRDefault="002C4ADF" w:rsidP="002C4ADF">
            <w:pPr>
              <w:pStyle w:val="Bullet"/>
              <w:widowControl w:val="0"/>
              <w:numPr>
                <w:ilvl w:val="0"/>
                <w:numId w:val="12"/>
              </w:numPr>
              <w:spacing w:before="120" w:line="280" w:lineRule="exact"/>
              <w:jc w:val="left"/>
            </w:pPr>
            <w:r>
              <w:t>Suppliers may provide more remedies to consumers for failures within the manufacturer’s responsibility with the knowledge that the risk of not being reimbursed is reduced.</w:t>
            </w:r>
          </w:p>
        </w:tc>
        <w:tc>
          <w:tcPr>
            <w:tcW w:w="4508" w:type="dxa"/>
          </w:tcPr>
          <w:p w14:paraId="1A0BBD7C" w14:textId="77777777" w:rsidR="002C4ADF" w:rsidRDefault="002C4ADF" w:rsidP="002C4ADF">
            <w:pPr>
              <w:pStyle w:val="Bullet"/>
              <w:widowControl w:val="0"/>
              <w:numPr>
                <w:ilvl w:val="0"/>
                <w:numId w:val="12"/>
              </w:numPr>
              <w:spacing w:line="280" w:lineRule="exact"/>
            </w:pPr>
            <w:r>
              <w:t>Costs of non-compliance (infringement notices and pecuniary penalties) (applicable to non-compliant manufacturers only).</w:t>
            </w:r>
          </w:p>
          <w:p w14:paraId="4F70EF59" w14:textId="77777777" w:rsidR="002C4ADF" w:rsidRDefault="002C4ADF" w:rsidP="002C4ADF">
            <w:pPr>
              <w:pStyle w:val="Bullet"/>
              <w:widowControl w:val="0"/>
              <w:numPr>
                <w:ilvl w:val="0"/>
                <w:numId w:val="12"/>
              </w:numPr>
              <w:spacing w:before="120" w:line="280" w:lineRule="exact"/>
              <w:jc w:val="left"/>
            </w:pPr>
            <w:r>
              <w:t>Increased training cost to ensure staff have a common understanding of the change.</w:t>
            </w:r>
          </w:p>
        </w:tc>
      </w:tr>
    </w:tbl>
    <w:p w14:paraId="64A283DD" w14:textId="51C5246A" w:rsidR="00922D6B" w:rsidRDefault="00922D6B" w:rsidP="00AD03E8">
      <w:pPr>
        <w:spacing w:before="0" w:after="160" w:line="259" w:lineRule="auto"/>
      </w:pPr>
    </w:p>
    <w:p w14:paraId="1312C662" w14:textId="77777777" w:rsidR="00922D6B" w:rsidRDefault="00922D6B">
      <w:pPr>
        <w:spacing w:before="0" w:after="160" w:line="259" w:lineRule="auto"/>
      </w:pPr>
      <w: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7279" w14:paraId="1170323A" w14:textId="77777777" w:rsidTr="00614ACE">
        <w:tc>
          <w:tcPr>
            <w:tcW w:w="9016" w:type="dxa"/>
            <w:shd w:val="clear" w:color="auto" w:fill="F2F2F2" w:themeFill="background1" w:themeFillShade="F2"/>
          </w:tcPr>
          <w:p w14:paraId="67A23452" w14:textId="77777777" w:rsidR="007B7279" w:rsidRPr="00922D6B" w:rsidRDefault="007B7279" w:rsidP="00614ACE">
            <w:pPr>
              <w:rPr>
                <w:rFonts w:eastAsia="Calibri"/>
                <w:b/>
                <w:sz w:val="22"/>
                <w:szCs w:val="22"/>
              </w:rPr>
            </w:pPr>
            <w:r w:rsidRPr="00922D6B">
              <w:rPr>
                <w:rFonts w:eastAsia="Calibri"/>
                <w:b/>
                <w:sz w:val="22"/>
                <w:szCs w:val="22"/>
              </w:rPr>
              <w:lastRenderedPageBreak/>
              <w:t>Focus Questions:</w:t>
            </w:r>
          </w:p>
          <w:p w14:paraId="54BE12CB" w14:textId="77777777" w:rsidR="007B7279" w:rsidRPr="00922D6B" w:rsidRDefault="007B7279" w:rsidP="00614ACE">
            <w:pPr>
              <w:rPr>
                <w:rFonts w:eastAsia="Calibri"/>
                <w:sz w:val="22"/>
                <w:szCs w:val="22"/>
              </w:rPr>
            </w:pPr>
            <w:r w:rsidRPr="00922D6B">
              <w:rPr>
                <w:rFonts w:eastAsia="Calibri"/>
                <w:sz w:val="22"/>
                <w:szCs w:val="22"/>
              </w:rPr>
              <w:t>For retailers:</w:t>
            </w:r>
          </w:p>
          <w:p w14:paraId="1AE3C9E5" w14:textId="689E4C5D"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 xml:space="preserve">Have you experienced retribution from </w:t>
            </w:r>
            <w:r w:rsidR="005127C0" w:rsidRPr="00922D6B">
              <w:rPr>
                <w:sz w:val="22"/>
                <w:szCs w:val="22"/>
              </w:rPr>
              <w:t>a</w:t>
            </w:r>
            <w:r w:rsidRPr="00922D6B">
              <w:rPr>
                <w:sz w:val="22"/>
                <w:szCs w:val="22"/>
              </w:rPr>
              <w:t xml:space="preserve"> manufacturer after seeking indemnification? If so, please provide details.</w:t>
            </w:r>
          </w:p>
          <w:p w14:paraId="2FC508FE" w14:textId="77777777"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Would your inclination to seek indemnification change if a civil prohibition on retaliation was introduced?</w:t>
            </w:r>
          </w:p>
          <w:p w14:paraId="34F6D7F5" w14:textId="7AE5F48B"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Would your approach to providing consumer guarantees remedies to consumers change if a civil prohibition on retribution was introduced</w:t>
            </w:r>
            <w:r w:rsidR="005127C0" w:rsidRPr="00922D6B">
              <w:rPr>
                <w:sz w:val="22"/>
                <w:szCs w:val="22"/>
              </w:rPr>
              <w:t>? I</w:t>
            </w:r>
            <w:r w:rsidRPr="00922D6B">
              <w:rPr>
                <w:sz w:val="22"/>
                <w:szCs w:val="22"/>
              </w:rPr>
              <w:t>f so, how?</w:t>
            </w:r>
          </w:p>
          <w:p w14:paraId="7CC7AA1E" w14:textId="77777777" w:rsidR="007B7279" w:rsidRPr="00922D6B" w:rsidRDefault="007B7279" w:rsidP="00614ACE">
            <w:pPr>
              <w:pStyle w:val="Bullet"/>
              <w:numPr>
                <w:ilvl w:val="0"/>
                <w:numId w:val="0"/>
              </w:numPr>
              <w:rPr>
                <w:sz w:val="22"/>
                <w:szCs w:val="22"/>
              </w:rPr>
            </w:pPr>
            <w:r w:rsidRPr="00922D6B">
              <w:rPr>
                <w:sz w:val="22"/>
                <w:szCs w:val="22"/>
              </w:rPr>
              <w:t>For manufacturers:</w:t>
            </w:r>
          </w:p>
          <w:p w14:paraId="12D6321E" w14:textId="77777777"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How (if at all) would a civil prohibition on retribution change your response to requests for indemnification?</w:t>
            </w:r>
          </w:p>
          <w:p w14:paraId="3E4D6E0F" w14:textId="77777777" w:rsidR="007B7279" w:rsidRPr="00922D6B" w:rsidRDefault="007B7279" w:rsidP="00614ACE">
            <w:pPr>
              <w:pStyle w:val="Bullet"/>
              <w:numPr>
                <w:ilvl w:val="0"/>
                <w:numId w:val="0"/>
              </w:numPr>
              <w:rPr>
                <w:sz w:val="22"/>
                <w:szCs w:val="22"/>
              </w:rPr>
            </w:pPr>
            <w:r w:rsidRPr="00922D6B">
              <w:rPr>
                <w:sz w:val="22"/>
                <w:szCs w:val="22"/>
              </w:rPr>
              <w:t>For everyone:</w:t>
            </w:r>
          </w:p>
          <w:p w14:paraId="3B840207" w14:textId="77777777"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If a civil prohibition was created to address manufacturer retribution:</w:t>
            </w:r>
          </w:p>
          <w:p w14:paraId="524E9272" w14:textId="773FA471" w:rsidR="007B7279" w:rsidRPr="00922D6B" w:rsidRDefault="007B7279" w:rsidP="004A3FDA">
            <w:pPr>
              <w:pStyle w:val="Bullet"/>
              <w:widowControl w:val="0"/>
              <w:numPr>
                <w:ilvl w:val="0"/>
                <w:numId w:val="19"/>
              </w:numPr>
              <w:spacing w:before="120" w:after="240" w:line="280" w:lineRule="exact"/>
              <w:rPr>
                <w:sz w:val="22"/>
                <w:szCs w:val="22"/>
              </w:rPr>
            </w:pPr>
            <w:r w:rsidRPr="00922D6B">
              <w:rPr>
                <w:sz w:val="22"/>
                <w:szCs w:val="22"/>
              </w:rPr>
              <w:t>what form should it take? (</w:t>
            </w:r>
            <w:r w:rsidR="00207CE9" w:rsidRPr="00922D6B">
              <w:rPr>
                <w:sz w:val="22"/>
                <w:szCs w:val="22"/>
              </w:rPr>
              <w:t>e.g.,</w:t>
            </w:r>
            <w:r w:rsidRPr="00922D6B">
              <w:rPr>
                <w:sz w:val="22"/>
                <w:szCs w:val="22"/>
              </w:rPr>
              <w:t xml:space="preserve"> effective models in other laws)</w:t>
            </w:r>
          </w:p>
          <w:p w14:paraId="2B54F954" w14:textId="778A89DF" w:rsidR="007B7279" w:rsidRPr="00922D6B" w:rsidRDefault="007B7279" w:rsidP="004A3FDA">
            <w:pPr>
              <w:pStyle w:val="Bullet"/>
              <w:widowControl w:val="0"/>
              <w:numPr>
                <w:ilvl w:val="0"/>
                <w:numId w:val="19"/>
              </w:numPr>
              <w:spacing w:before="120" w:after="240" w:line="280" w:lineRule="exact"/>
              <w:rPr>
                <w:sz w:val="22"/>
                <w:szCs w:val="22"/>
              </w:rPr>
            </w:pPr>
            <w:r w:rsidRPr="00922D6B">
              <w:rPr>
                <w:sz w:val="22"/>
                <w:szCs w:val="22"/>
              </w:rPr>
              <w:t>should presumptive tests apply</w:t>
            </w:r>
            <w:r w:rsidR="005127C0" w:rsidRPr="00922D6B">
              <w:rPr>
                <w:sz w:val="22"/>
                <w:szCs w:val="22"/>
              </w:rPr>
              <w:t xml:space="preserve">? If so, </w:t>
            </w:r>
            <w:r w:rsidRPr="00922D6B">
              <w:rPr>
                <w:sz w:val="22"/>
                <w:szCs w:val="22"/>
              </w:rPr>
              <w:t>what presumptions should be included?</w:t>
            </w:r>
          </w:p>
          <w:p w14:paraId="4256A7CD" w14:textId="77777777"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What penalties or sanctions should be available to deter or compensate for retribution?</w:t>
            </w:r>
          </w:p>
        </w:tc>
      </w:tr>
    </w:tbl>
    <w:p w14:paraId="6F1000EF" w14:textId="17E6BCCD" w:rsidR="007B7279" w:rsidRDefault="007B7279" w:rsidP="00AD03E8">
      <w:pPr>
        <w:spacing w:before="0" w:after="160" w:line="259" w:lineRule="auto"/>
      </w:pPr>
    </w:p>
    <w:p w14:paraId="09E5CF8E" w14:textId="44E41EF5" w:rsidR="006437A4" w:rsidRDefault="006437A4">
      <w:pPr>
        <w:spacing w:before="0" w:after="160" w:line="259" w:lineRule="auto"/>
      </w:pPr>
      <w:r>
        <w:br w:type="page"/>
      </w:r>
    </w:p>
    <w:p w14:paraId="7E8486F3" w14:textId="39C9AF9E" w:rsidR="006437A4" w:rsidRDefault="00E35AB1" w:rsidP="00D012B4">
      <w:pPr>
        <w:pStyle w:val="Heading1"/>
      </w:pPr>
      <w:bookmarkStart w:id="239" w:name="_Ref88138997"/>
      <w:bookmarkStart w:id="240" w:name="_Ref88140564"/>
      <w:bookmarkStart w:id="241" w:name="_Toc89700948"/>
      <w:r>
        <w:lastRenderedPageBreak/>
        <w:t xml:space="preserve">Appendix </w:t>
      </w:r>
      <w:r w:rsidR="006437A4">
        <w:t xml:space="preserve">A </w:t>
      </w:r>
      <w:r w:rsidR="00191DA4">
        <w:t>–</w:t>
      </w:r>
      <w:bookmarkEnd w:id="239"/>
      <w:r w:rsidR="00F81C9C">
        <w:t xml:space="preserve"> </w:t>
      </w:r>
      <w:r w:rsidR="001540B5">
        <w:t>A</w:t>
      </w:r>
      <w:r w:rsidR="00CC6B27">
        <w:t>ssumptions</w:t>
      </w:r>
      <w:bookmarkEnd w:id="240"/>
      <w:bookmarkEnd w:id="241"/>
    </w:p>
    <w:p w14:paraId="0C8E0251" w14:textId="25DFB9E3" w:rsidR="000E2F34" w:rsidRDefault="001540B5" w:rsidP="00191DA4">
      <w:pPr>
        <w:rPr>
          <w:rStyle w:val="Hyperlink"/>
          <w:lang w:eastAsia="en-US"/>
        </w:rPr>
      </w:pPr>
      <w:r>
        <w:t xml:space="preserve">In assessing the potential </w:t>
      </w:r>
      <w:r w:rsidR="00D3431B">
        <w:t>regulatory burden of each option</w:t>
      </w:r>
      <w:r>
        <w:t xml:space="preserve">, this Consultation RIS </w:t>
      </w:r>
      <w:r w:rsidR="00220F8D">
        <w:t xml:space="preserve">has been informed by </w:t>
      </w:r>
      <w:r w:rsidR="00CB558A">
        <w:t xml:space="preserve">analysis </w:t>
      </w:r>
      <w:r w:rsidR="00220F8D">
        <w:t>undertaken by Deloitte Access Economics, who were contracted by the Commonwealth Treasury. It is also guided by the requirements of the Office of Best Practice Regulation</w:t>
      </w:r>
      <w:r w:rsidR="00B12AF9">
        <w:t>:</w:t>
      </w:r>
      <w:r w:rsidR="00220F8D">
        <w:t xml:space="preserve"> </w:t>
      </w:r>
      <w:hyperlink r:id="rId39" w:history="1">
        <w:r w:rsidR="000E2F34" w:rsidRPr="00905466">
          <w:rPr>
            <w:rStyle w:val="Hyperlink"/>
            <w:lang w:eastAsia="en-US"/>
          </w:rPr>
          <w:t>Regulatory Burden Measurement Framework.</w:t>
        </w:r>
      </w:hyperlink>
    </w:p>
    <w:p w14:paraId="5389B672" w14:textId="00A3A6C3" w:rsidR="001540B5" w:rsidRDefault="001540B5" w:rsidP="001540B5">
      <w:r>
        <w:t>This analysis is provided to inform the consultation process</w:t>
      </w:r>
      <w:r w:rsidR="00CB558A">
        <w:t>.</w:t>
      </w:r>
      <w:r>
        <w:t xml:space="preserve"> </w:t>
      </w:r>
      <w:r w:rsidR="00E51A65">
        <w:t>Feedback received through consultation on this Consultation RIS will help to refine this analysis and inform the Decision RIS.</w:t>
      </w:r>
    </w:p>
    <w:p w14:paraId="682BF669" w14:textId="77777777" w:rsidR="00EE1EA3" w:rsidRPr="00CC6B27" w:rsidRDefault="00EE1EA3" w:rsidP="00EE1EA3">
      <w:pPr>
        <w:pStyle w:val="Heading3"/>
        <w:rPr>
          <w:rStyle w:val="Bold"/>
          <w:b w:val="0"/>
        </w:rPr>
      </w:pPr>
      <w:bookmarkStart w:id="242" w:name="_Toc88753117"/>
      <w:bookmarkStart w:id="243" w:name="_Toc89700949"/>
      <w:r w:rsidRPr="00CC6B27">
        <w:rPr>
          <w:rStyle w:val="Bold"/>
          <w:b w:val="0"/>
        </w:rPr>
        <w:t>Framework for the analysis</w:t>
      </w:r>
      <w:bookmarkEnd w:id="242"/>
      <w:bookmarkEnd w:id="243"/>
      <w:r w:rsidRPr="00CC6B27">
        <w:rPr>
          <w:rStyle w:val="Bold"/>
          <w:b w:val="0"/>
        </w:rPr>
        <w:t xml:space="preserve"> </w:t>
      </w:r>
    </w:p>
    <w:p w14:paraId="06AB1743" w14:textId="77777777" w:rsidR="00EE1EA3" w:rsidRPr="00CC6B27" w:rsidRDefault="00EE1EA3" w:rsidP="00EE1EA3">
      <w:pPr>
        <w:rPr>
          <w:rFonts w:eastAsia="Calibri"/>
        </w:rPr>
      </w:pPr>
      <w:r w:rsidRPr="00CC6B27">
        <w:rPr>
          <w:rFonts w:eastAsia="Calibri"/>
        </w:rPr>
        <w:t>Some impacts have not been analysed for the purpose of this report due to a lack of evidence to support an assessment of the likelihood or magnitude of the impacts including:</w:t>
      </w:r>
    </w:p>
    <w:p w14:paraId="6CA82434" w14:textId="77777777" w:rsidR="00EE1EA3" w:rsidRPr="00CC6B27" w:rsidRDefault="00EE1EA3" w:rsidP="00EE1EA3">
      <w:pPr>
        <w:pStyle w:val="Bullet"/>
        <w:rPr>
          <w:rFonts w:eastAsia="Calibri"/>
        </w:rPr>
      </w:pPr>
      <w:r w:rsidRPr="00CC6B27">
        <w:rPr>
          <w:rFonts w:eastAsia="Calibri"/>
        </w:rPr>
        <w:t>Changes in demand for goods and service that may result from increased trust in product quality.</w:t>
      </w:r>
    </w:p>
    <w:p w14:paraId="0981C7F2" w14:textId="77777777" w:rsidR="00EE1EA3" w:rsidRPr="00CC6B27" w:rsidRDefault="00EE1EA3" w:rsidP="00EE1EA3">
      <w:pPr>
        <w:pStyle w:val="Bullet"/>
        <w:rPr>
          <w:rFonts w:eastAsia="Calibri"/>
        </w:rPr>
      </w:pPr>
      <w:r w:rsidRPr="00CC6B27">
        <w:rPr>
          <w:rFonts w:eastAsia="Calibri"/>
        </w:rPr>
        <w:t>Improvements in production quality, or a reduction in the number of product failures.</w:t>
      </w:r>
    </w:p>
    <w:p w14:paraId="52E03580" w14:textId="77777777" w:rsidR="00EE1EA3" w:rsidRPr="00CC6B27" w:rsidRDefault="00EE1EA3" w:rsidP="00EE1EA3">
      <w:pPr>
        <w:pStyle w:val="Bullet"/>
        <w:rPr>
          <w:rFonts w:eastAsia="Calibri"/>
        </w:rPr>
      </w:pPr>
      <w:r w:rsidRPr="00CC6B27">
        <w:rPr>
          <w:rFonts w:eastAsia="Calibri"/>
        </w:rPr>
        <w:t>Changes in the price of goods due to the cost of failure being passed on from producers to consumers.</w:t>
      </w:r>
    </w:p>
    <w:p w14:paraId="7E715E3E" w14:textId="77777777" w:rsidR="00EE1EA3" w:rsidRPr="00CC6B27" w:rsidRDefault="00EE1EA3" w:rsidP="00EE1EA3">
      <w:pPr>
        <w:pStyle w:val="Bullet"/>
        <w:rPr>
          <w:rFonts w:eastAsia="Calibri"/>
        </w:rPr>
      </w:pPr>
      <w:r w:rsidRPr="00CC6B27">
        <w:rPr>
          <w:rFonts w:eastAsia="Calibri"/>
        </w:rPr>
        <w:t>Changes in economic growth or industry activity due to economic downturn.</w:t>
      </w:r>
    </w:p>
    <w:p w14:paraId="5E395C32" w14:textId="77777777" w:rsidR="00EE1EA3" w:rsidRPr="00CC6B27" w:rsidRDefault="00EE1EA3" w:rsidP="00EE1EA3">
      <w:pPr>
        <w:pStyle w:val="Bullet"/>
        <w:rPr>
          <w:rFonts w:eastAsia="Calibri"/>
        </w:rPr>
      </w:pPr>
      <w:r w:rsidRPr="00CC6B27">
        <w:rPr>
          <w:rFonts w:eastAsia="Calibri"/>
        </w:rPr>
        <w:t>The ability for businesses who do comply with the current regulation to compete on a level playing field with those businesses who do not comply.</w:t>
      </w:r>
    </w:p>
    <w:p w14:paraId="5992C4C0" w14:textId="77777777" w:rsidR="00EE1EA3" w:rsidRPr="007705D8" w:rsidRDefault="00EE1EA3" w:rsidP="00EE1EA3">
      <w:pPr>
        <w:pStyle w:val="Heading3"/>
        <w:rPr>
          <w:rStyle w:val="Bold"/>
          <w:b w:val="0"/>
        </w:rPr>
      </w:pPr>
      <w:bookmarkStart w:id="244" w:name="_Toc88753118"/>
      <w:bookmarkStart w:id="245" w:name="_Toc89700950"/>
      <w:r w:rsidRPr="007705D8">
        <w:rPr>
          <w:rStyle w:val="Bold"/>
          <w:b w:val="0"/>
        </w:rPr>
        <w:t>Assumptions and sources</w:t>
      </w:r>
      <w:bookmarkEnd w:id="244"/>
      <w:bookmarkEnd w:id="245"/>
    </w:p>
    <w:p w14:paraId="6E92EABD" w14:textId="77777777" w:rsidR="00EE1EA3" w:rsidRDefault="00EE1EA3" w:rsidP="00EE1EA3">
      <w:r>
        <w:t>Four primary data sources inform the calculations in the modelling of the CBA:</w:t>
      </w:r>
    </w:p>
    <w:p w14:paraId="15445192" w14:textId="77777777" w:rsidR="00EE1EA3" w:rsidRDefault="00EE1EA3" w:rsidP="00EE1EA3">
      <w:pPr>
        <w:pStyle w:val="ListBullet"/>
      </w:pPr>
      <w:r>
        <w:t>Deloitte Access Economics Business Outlook and Retail Forecasts publications and forecasts</w:t>
      </w:r>
    </w:p>
    <w:p w14:paraId="78F9F9B8" w14:textId="77777777" w:rsidR="00EE1EA3" w:rsidRDefault="00EE1EA3" w:rsidP="00EE1EA3">
      <w:pPr>
        <w:pStyle w:val="ListBullet"/>
      </w:pPr>
      <w:r>
        <w:t>The Australian Consumer Survey</w:t>
      </w:r>
    </w:p>
    <w:p w14:paraId="28EE0414" w14:textId="77777777" w:rsidR="00EE1EA3" w:rsidRDefault="00EE1EA3" w:rsidP="00EE1EA3">
      <w:pPr>
        <w:pStyle w:val="ListBullet"/>
      </w:pPr>
      <w:r>
        <w:t>Australian Bureau of Statistics historical data on wages, consumer price index (CPI), household expenditure and dwelling construction activity</w:t>
      </w:r>
    </w:p>
    <w:p w14:paraId="4E1F2D09" w14:textId="77777777" w:rsidR="00EE1EA3" w:rsidRPr="00305009" w:rsidRDefault="00EE1EA3" w:rsidP="00EE1EA3">
      <w:pPr>
        <w:pStyle w:val="ListBullet"/>
      </w:pPr>
      <w:r w:rsidRPr="00305009">
        <w:t>The 201</w:t>
      </w:r>
      <w:r>
        <w:t>8</w:t>
      </w:r>
      <w:r w:rsidRPr="00305009">
        <w:t xml:space="preserve"> cost benefit analysis conducted for the Department of the Treasury by Deloitte Access Economics in relation to options to of four proposed changes to the Australian Consumer Law.</w:t>
      </w:r>
    </w:p>
    <w:p w14:paraId="24CED149" w14:textId="77777777" w:rsidR="00EE1EA3" w:rsidRDefault="00EE1EA3" w:rsidP="00EE1EA3">
      <w:r>
        <w:t xml:space="preserve">The impacts of each option is measured as a change relative to what would occur if nothing changed - the status quo. </w:t>
      </w:r>
    </w:p>
    <w:p w14:paraId="2D3FA4A1" w14:textId="77777777" w:rsidR="00EE1EA3" w:rsidRDefault="00EE1EA3" w:rsidP="00EE1EA3">
      <w:pPr>
        <w:rPr>
          <w:rFonts w:eastAsia="Calibri"/>
        </w:rPr>
      </w:pPr>
      <w:r w:rsidRPr="00E51A65">
        <w:rPr>
          <w:rFonts w:eastAsia="Calibri"/>
        </w:rPr>
        <w:t>The status quo case is forward looking over the period from 2020-21 to 2030-31. The level of problems with goods and services is assumed to continue into the future and grow in line with the industry relating to the production and delivery of goods and services respectively.</w:t>
      </w:r>
    </w:p>
    <w:p w14:paraId="78C0FCDE" w14:textId="0EC62355" w:rsidR="00EE1EA3" w:rsidRPr="00CC6B27" w:rsidRDefault="00EE1EA3" w:rsidP="00EE1EA3">
      <w:pPr>
        <w:pStyle w:val="Bullet"/>
        <w:numPr>
          <w:ilvl w:val="0"/>
          <w:numId w:val="0"/>
        </w:numPr>
        <w:rPr>
          <w:rFonts w:eastAsia="Calibri"/>
        </w:rPr>
      </w:pPr>
      <w:r>
        <w:lastRenderedPageBreak/>
        <w:t xml:space="preserve">Assumptions are provided in </w:t>
      </w:r>
      <w:r w:rsidRPr="00CC6B27">
        <w:fldChar w:fldCharType="begin"/>
      </w:r>
      <w:r w:rsidRPr="00CC6B27">
        <w:instrText xml:space="preserve"> REF _Ref88139848 \h  \* MERGEFORMAT </w:instrText>
      </w:r>
      <w:r w:rsidRPr="00CC6B27">
        <w:fldChar w:fldCharType="separate"/>
      </w:r>
      <w:r w:rsidR="00001633" w:rsidRPr="001B4246">
        <w:rPr>
          <w:b/>
          <w:bCs/>
          <w:szCs w:val="22"/>
        </w:rPr>
        <w:t xml:space="preserve">Table </w:t>
      </w:r>
      <w:r w:rsidR="00001633" w:rsidRPr="00001633">
        <w:rPr>
          <w:b/>
          <w:bCs/>
          <w:noProof/>
          <w:szCs w:val="22"/>
        </w:rPr>
        <w:t>22</w:t>
      </w:r>
      <w:r w:rsidR="00001633" w:rsidRPr="001B4246">
        <w:rPr>
          <w:b/>
          <w:bCs/>
          <w:szCs w:val="22"/>
        </w:rPr>
        <w:t>: Summary of assumptions, status quo</w:t>
      </w:r>
      <w:r w:rsidRPr="00CC6B27">
        <w:fldChar w:fldCharType="end"/>
      </w:r>
      <w:r w:rsidRPr="00CC6B27">
        <w:t>.</w:t>
      </w:r>
      <w:r>
        <w:t xml:space="preserve"> Some of these figures are sourced from the 2018 Deloitte cost benefit </w:t>
      </w:r>
      <w:r w:rsidRPr="00CC6B27">
        <w:rPr>
          <w:rFonts w:eastAsia="Calibri"/>
        </w:rPr>
        <w:t xml:space="preserve">analysis of four proposed changes to the Australian Consumer Law, prepared for the Commonwealth Treasury. Others were derived for the purpose of this analysis. </w:t>
      </w:r>
      <w:r>
        <w:rPr>
          <w:rFonts w:eastAsia="Calibri"/>
        </w:rPr>
        <w:t xml:space="preserve"> </w:t>
      </w:r>
      <w:r w:rsidRPr="00CC6B27">
        <w:rPr>
          <w:rFonts w:eastAsia="Calibri"/>
        </w:rPr>
        <w:t>The following assumptions remain consistent across all options and problems:</w:t>
      </w:r>
    </w:p>
    <w:p w14:paraId="1EB1BE59" w14:textId="77777777" w:rsidR="00EE1EA3" w:rsidRPr="00CC6B27" w:rsidRDefault="00EE1EA3" w:rsidP="00EE1EA3">
      <w:pPr>
        <w:pStyle w:val="Bullet"/>
        <w:rPr>
          <w:rFonts w:eastAsia="Calibri"/>
        </w:rPr>
      </w:pPr>
      <w:r w:rsidRPr="00CC6B27">
        <w:rPr>
          <w:rFonts w:eastAsia="Calibri"/>
        </w:rPr>
        <w:t>Assumptions for prices of goods and services</w:t>
      </w:r>
    </w:p>
    <w:p w14:paraId="23E00CD0" w14:textId="77777777" w:rsidR="00EE1EA3" w:rsidRPr="00CC6B27" w:rsidRDefault="00EE1EA3" w:rsidP="00EE1EA3">
      <w:pPr>
        <w:pStyle w:val="Bullet"/>
        <w:rPr>
          <w:rFonts w:eastAsia="Calibri"/>
        </w:rPr>
      </w:pPr>
      <w:r w:rsidRPr="00CC6B27">
        <w:rPr>
          <w:rFonts w:eastAsia="Calibri"/>
        </w:rPr>
        <w:t>Assumptions for likelihood of an issue occurring</w:t>
      </w:r>
    </w:p>
    <w:p w14:paraId="65584F0B" w14:textId="77777777" w:rsidR="00EE1EA3" w:rsidRPr="00CC6B27" w:rsidRDefault="00EE1EA3" w:rsidP="00EE1EA3">
      <w:pPr>
        <w:pStyle w:val="Bullet"/>
        <w:rPr>
          <w:rFonts w:eastAsia="Calibri"/>
        </w:rPr>
      </w:pPr>
      <w:r w:rsidRPr="00CC6B27">
        <w:rPr>
          <w:rFonts w:eastAsia="Calibri"/>
        </w:rPr>
        <w:t>Share of products where multiple failures equal a major failure</w:t>
      </w:r>
    </w:p>
    <w:p w14:paraId="07DD3DC7" w14:textId="77777777" w:rsidR="00EE1EA3" w:rsidRPr="00CC6B27" w:rsidRDefault="00EE1EA3" w:rsidP="00EE1EA3">
      <w:pPr>
        <w:pStyle w:val="Bullet"/>
        <w:rPr>
          <w:rFonts w:eastAsia="Calibri"/>
        </w:rPr>
      </w:pPr>
      <w:r w:rsidRPr="00CC6B27">
        <w:rPr>
          <w:rFonts w:eastAsia="Calibri"/>
        </w:rPr>
        <w:t>Share of total products between $40k and $100k</w:t>
      </w:r>
    </w:p>
    <w:p w14:paraId="4D97BA88" w14:textId="77777777" w:rsidR="00EE1EA3" w:rsidRPr="00CC6B27" w:rsidRDefault="00EE1EA3" w:rsidP="00EE1EA3">
      <w:pPr>
        <w:pStyle w:val="Bullet"/>
        <w:rPr>
          <w:rFonts w:eastAsia="Calibri"/>
        </w:rPr>
      </w:pPr>
      <w:r w:rsidRPr="00CC6B27">
        <w:rPr>
          <w:rFonts w:eastAsia="Calibri"/>
        </w:rPr>
        <w:t>Percentage of remedies that are provided as refunds/replacements</w:t>
      </w:r>
      <w:r>
        <w:rPr>
          <w:rFonts w:eastAsia="Calibri"/>
        </w:rPr>
        <w:t>.</w:t>
      </w:r>
    </w:p>
    <w:p w14:paraId="50DBD8EF" w14:textId="203E2FFA" w:rsidR="00EE1EA3" w:rsidRPr="001B4246" w:rsidRDefault="00EE1EA3" w:rsidP="00EE1EA3">
      <w:pPr>
        <w:pStyle w:val="Caption"/>
        <w:rPr>
          <w:b/>
          <w:bCs/>
          <w:i w:val="0"/>
          <w:iCs w:val="0"/>
          <w:sz w:val="22"/>
          <w:szCs w:val="22"/>
        </w:rPr>
      </w:pPr>
      <w:bookmarkStart w:id="246" w:name="_Ref88139852"/>
      <w:bookmarkStart w:id="247" w:name="_Ref88139848"/>
      <w:bookmarkStart w:id="248" w:name="_Toc89700894"/>
      <w:r w:rsidRPr="001B4246">
        <w:rPr>
          <w:b/>
          <w:bCs/>
          <w:i w:val="0"/>
          <w:iCs w:val="0"/>
          <w:sz w:val="22"/>
          <w:szCs w:val="22"/>
        </w:rPr>
        <w:t xml:space="preserve">Table </w:t>
      </w:r>
      <w:r w:rsidRPr="001B4246">
        <w:rPr>
          <w:b/>
          <w:bCs/>
          <w:szCs w:val="22"/>
        </w:rPr>
        <w:fldChar w:fldCharType="begin"/>
      </w:r>
      <w:r w:rsidRPr="001B4246">
        <w:rPr>
          <w:b/>
          <w:bCs/>
          <w:i w:val="0"/>
          <w:iCs w:val="0"/>
          <w:sz w:val="22"/>
          <w:szCs w:val="22"/>
        </w:rPr>
        <w:instrText xml:space="preserve"> SEQ Table \* ARABIC </w:instrText>
      </w:r>
      <w:r w:rsidRPr="001B4246">
        <w:rPr>
          <w:b/>
          <w:bCs/>
          <w:szCs w:val="22"/>
        </w:rPr>
        <w:fldChar w:fldCharType="separate"/>
      </w:r>
      <w:r w:rsidR="00001633">
        <w:rPr>
          <w:b/>
          <w:bCs/>
          <w:i w:val="0"/>
          <w:iCs w:val="0"/>
          <w:noProof/>
          <w:sz w:val="22"/>
          <w:szCs w:val="22"/>
        </w:rPr>
        <w:t>22</w:t>
      </w:r>
      <w:r w:rsidRPr="001B4246">
        <w:rPr>
          <w:b/>
          <w:bCs/>
          <w:szCs w:val="22"/>
        </w:rPr>
        <w:fldChar w:fldCharType="end"/>
      </w:r>
      <w:bookmarkEnd w:id="246"/>
      <w:r w:rsidRPr="001B4246">
        <w:rPr>
          <w:b/>
          <w:bCs/>
          <w:i w:val="0"/>
          <w:iCs w:val="0"/>
          <w:sz w:val="22"/>
          <w:szCs w:val="22"/>
        </w:rPr>
        <w:t>: Summary of assumptions, status quo</w:t>
      </w:r>
      <w:bookmarkEnd w:id="247"/>
      <w:bookmarkEnd w:id="248"/>
    </w:p>
    <w:tbl>
      <w:tblPr>
        <w:tblStyle w:val="TableGrid"/>
        <w:tblW w:w="5000" w:type="pct"/>
        <w:tblLook w:val="04A0" w:firstRow="1" w:lastRow="0" w:firstColumn="1" w:lastColumn="0" w:noHBand="0" w:noVBand="1"/>
      </w:tblPr>
      <w:tblGrid>
        <w:gridCol w:w="5474"/>
        <w:gridCol w:w="1047"/>
        <w:gridCol w:w="2549"/>
      </w:tblGrid>
      <w:tr w:rsidR="00EE1EA3" w:rsidRPr="001B4246" w14:paraId="4CBE75B2" w14:textId="77777777" w:rsidTr="00D14821">
        <w:trPr>
          <w:trHeight w:val="188"/>
          <w:tblHeader/>
        </w:trPr>
        <w:tc>
          <w:tcPr>
            <w:tcW w:w="3018" w:type="pct"/>
            <w:shd w:val="clear" w:color="auto" w:fill="B690C9" w:themeFill="accent6" w:themeFillTint="99"/>
            <w:hideMark/>
          </w:tcPr>
          <w:p w14:paraId="1D1E2763" w14:textId="77777777" w:rsidR="00EE1EA3" w:rsidRPr="001B4246" w:rsidRDefault="00EE1EA3" w:rsidP="00D14821">
            <w:pPr>
              <w:spacing w:after="0"/>
              <w:rPr>
                <w:b/>
                <w:bCs/>
                <w:color w:val="000000" w:themeColor="text1"/>
                <w:lang w:val="en-GB"/>
              </w:rPr>
            </w:pPr>
            <w:r w:rsidRPr="001B4246">
              <w:rPr>
                <w:b/>
                <w:bCs/>
                <w:color w:val="000000" w:themeColor="text1"/>
                <w:lang w:val="en-GB"/>
              </w:rPr>
              <w:t>Sector</w:t>
            </w:r>
          </w:p>
        </w:tc>
        <w:tc>
          <w:tcPr>
            <w:tcW w:w="577" w:type="pct"/>
            <w:shd w:val="clear" w:color="auto" w:fill="B690C9" w:themeFill="accent6" w:themeFillTint="99"/>
            <w:hideMark/>
          </w:tcPr>
          <w:p w14:paraId="28D9BD49" w14:textId="77777777" w:rsidR="00EE1EA3" w:rsidRPr="001B4246" w:rsidRDefault="00EE1EA3" w:rsidP="00D14821">
            <w:pPr>
              <w:spacing w:after="0"/>
              <w:rPr>
                <w:b/>
                <w:bCs/>
                <w:color w:val="000000" w:themeColor="text1"/>
                <w:lang w:val="en-GB"/>
              </w:rPr>
            </w:pPr>
            <w:r w:rsidRPr="001B4246">
              <w:rPr>
                <w:b/>
                <w:bCs/>
                <w:color w:val="000000" w:themeColor="text1"/>
                <w:lang w:val="en-GB"/>
              </w:rPr>
              <w:t>Value</w:t>
            </w:r>
          </w:p>
        </w:tc>
        <w:tc>
          <w:tcPr>
            <w:tcW w:w="1405" w:type="pct"/>
            <w:shd w:val="clear" w:color="auto" w:fill="B690C9" w:themeFill="accent6" w:themeFillTint="99"/>
            <w:hideMark/>
          </w:tcPr>
          <w:p w14:paraId="443F5576" w14:textId="77777777" w:rsidR="00EE1EA3" w:rsidRPr="001B4246" w:rsidRDefault="00EE1EA3" w:rsidP="00D14821">
            <w:pPr>
              <w:spacing w:after="0"/>
              <w:rPr>
                <w:b/>
                <w:bCs/>
                <w:color w:val="000000" w:themeColor="text1"/>
                <w:lang w:val="en-GB"/>
              </w:rPr>
            </w:pPr>
            <w:r w:rsidRPr="001B4246">
              <w:rPr>
                <w:b/>
                <w:bCs/>
                <w:color w:val="000000" w:themeColor="text1"/>
                <w:lang w:val="en-GB"/>
              </w:rPr>
              <w:t>Source</w:t>
            </w:r>
          </w:p>
        </w:tc>
      </w:tr>
      <w:tr w:rsidR="00EE1EA3" w14:paraId="11F70983" w14:textId="77777777" w:rsidTr="00D14821">
        <w:trPr>
          <w:trHeight w:val="20"/>
        </w:trPr>
        <w:tc>
          <w:tcPr>
            <w:tcW w:w="3018" w:type="pct"/>
            <w:hideMark/>
          </w:tcPr>
          <w:p w14:paraId="41B601BC" w14:textId="77777777" w:rsidR="00EE1EA3" w:rsidRPr="001B4246" w:rsidRDefault="00EE1EA3" w:rsidP="00D14821">
            <w:pPr>
              <w:spacing w:after="0"/>
              <w:rPr>
                <w:rFonts w:asciiTheme="majorHAnsi" w:hAnsiTheme="majorHAnsi"/>
                <w:b/>
                <w:bCs/>
                <w:color w:val="000000" w:themeColor="text1"/>
                <w:lang w:val="en-GB"/>
              </w:rPr>
            </w:pPr>
            <w:r w:rsidRPr="001B4246">
              <w:rPr>
                <w:rFonts w:asciiTheme="majorHAnsi" w:hAnsiTheme="majorHAnsi"/>
                <w:b/>
                <w:bCs/>
                <w:color w:val="000000" w:themeColor="text1"/>
                <w:lang w:val="en-GB"/>
              </w:rPr>
              <w:t>Assumptions for prices of goods and services</w:t>
            </w:r>
          </w:p>
        </w:tc>
        <w:tc>
          <w:tcPr>
            <w:tcW w:w="577" w:type="pct"/>
          </w:tcPr>
          <w:p w14:paraId="7E6D5B7D" w14:textId="77777777" w:rsidR="00EE1EA3" w:rsidRPr="001B4246" w:rsidRDefault="00EE1EA3" w:rsidP="00D14821">
            <w:pPr>
              <w:spacing w:after="0"/>
              <w:rPr>
                <w:rFonts w:asciiTheme="majorHAnsi" w:hAnsiTheme="majorHAnsi"/>
                <w:b/>
                <w:bCs/>
                <w:color w:val="000000" w:themeColor="text1"/>
                <w:lang w:val="en-GB"/>
              </w:rPr>
            </w:pPr>
          </w:p>
        </w:tc>
        <w:tc>
          <w:tcPr>
            <w:tcW w:w="1405" w:type="pct"/>
          </w:tcPr>
          <w:p w14:paraId="445BD494" w14:textId="77777777" w:rsidR="00EE1EA3" w:rsidRPr="001B4246" w:rsidRDefault="00EE1EA3" w:rsidP="00D14821">
            <w:pPr>
              <w:spacing w:after="0"/>
              <w:rPr>
                <w:rFonts w:asciiTheme="majorHAnsi" w:hAnsiTheme="majorHAnsi"/>
                <w:color w:val="000000" w:themeColor="text1"/>
                <w:lang w:val="en-GB"/>
              </w:rPr>
            </w:pPr>
          </w:p>
        </w:tc>
      </w:tr>
      <w:tr w:rsidR="00EE1EA3" w14:paraId="3FF896E9" w14:textId="77777777" w:rsidTr="00D14821">
        <w:trPr>
          <w:trHeight w:val="20"/>
        </w:trPr>
        <w:tc>
          <w:tcPr>
            <w:tcW w:w="3018" w:type="pct"/>
            <w:hideMark/>
          </w:tcPr>
          <w:p w14:paraId="4D348E9A"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Motor vehicles</w:t>
            </w:r>
          </w:p>
        </w:tc>
        <w:tc>
          <w:tcPr>
            <w:tcW w:w="577" w:type="pct"/>
            <w:hideMark/>
          </w:tcPr>
          <w:p w14:paraId="744F83A2"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$38,903</w:t>
            </w:r>
          </w:p>
        </w:tc>
        <w:tc>
          <w:tcPr>
            <w:tcW w:w="1405" w:type="pct"/>
            <w:hideMark/>
          </w:tcPr>
          <w:p w14:paraId="2979C7F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4FEDB691" w14:textId="77777777" w:rsidTr="00D14821">
        <w:trPr>
          <w:trHeight w:val="20"/>
        </w:trPr>
        <w:tc>
          <w:tcPr>
            <w:tcW w:w="3018" w:type="pct"/>
            <w:hideMark/>
          </w:tcPr>
          <w:p w14:paraId="3EC2361F"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Food retailing</w:t>
            </w:r>
          </w:p>
        </w:tc>
        <w:tc>
          <w:tcPr>
            <w:tcW w:w="577" w:type="pct"/>
            <w:hideMark/>
          </w:tcPr>
          <w:p w14:paraId="3BA3160F"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$5</w:t>
            </w:r>
          </w:p>
        </w:tc>
        <w:tc>
          <w:tcPr>
            <w:tcW w:w="1405" w:type="pct"/>
            <w:hideMark/>
          </w:tcPr>
          <w:p w14:paraId="7A920C4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Deloitte analysis</w:t>
            </w:r>
          </w:p>
        </w:tc>
      </w:tr>
      <w:tr w:rsidR="00EE1EA3" w14:paraId="2E9B8136" w14:textId="77777777" w:rsidTr="00D14821">
        <w:trPr>
          <w:trHeight w:val="20"/>
        </w:trPr>
        <w:tc>
          <w:tcPr>
            <w:tcW w:w="3018" w:type="pct"/>
            <w:hideMark/>
          </w:tcPr>
          <w:p w14:paraId="6D81AA1F"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Household goods retailing</w:t>
            </w:r>
          </w:p>
        </w:tc>
        <w:tc>
          <w:tcPr>
            <w:tcW w:w="577" w:type="pct"/>
            <w:hideMark/>
          </w:tcPr>
          <w:p w14:paraId="2268521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$679</w:t>
            </w:r>
          </w:p>
        </w:tc>
        <w:tc>
          <w:tcPr>
            <w:tcW w:w="1405" w:type="pct"/>
            <w:hideMark/>
          </w:tcPr>
          <w:p w14:paraId="1722D6EA"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7B9B6CA8" w14:textId="77777777" w:rsidTr="00D14821">
        <w:trPr>
          <w:trHeight w:val="20"/>
        </w:trPr>
        <w:tc>
          <w:tcPr>
            <w:tcW w:w="3018" w:type="pct"/>
            <w:hideMark/>
          </w:tcPr>
          <w:p w14:paraId="1EB8C2E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Clothing, footwear and personal accessory retailing</w:t>
            </w:r>
          </w:p>
        </w:tc>
        <w:tc>
          <w:tcPr>
            <w:tcW w:w="577" w:type="pct"/>
            <w:hideMark/>
          </w:tcPr>
          <w:p w14:paraId="311A841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$61</w:t>
            </w:r>
          </w:p>
        </w:tc>
        <w:tc>
          <w:tcPr>
            <w:tcW w:w="1405" w:type="pct"/>
            <w:hideMark/>
          </w:tcPr>
          <w:p w14:paraId="614A5493"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25279BBD" w14:textId="77777777" w:rsidTr="00D14821">
        <w:trPr>
          <w:trHeight w:val="20"/>
        </w:trPr>
        <w:tc>
          <w:tcPr>
            <w:tcW w:w="3018" w:type="pct"/>
            <w:hideMark/>
          </w:tcPr>
          <w:p w14:paraId="14A4606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Department stores</w:t>
            </w:r>
          </w:p>
        </w:tc>
        <w:tc>
          <w:tcPr>
            <w:tcW w:w="577" w:type="pct"/>
            <w:hideMark/>
          </w:tcPr>
          <w:p w14:paraId="0112C3CF"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$97</w:t>
            </w:r>
          </w:p>
        </w:tc>
        <w:tc>
          <w:tcPr>
            <w:tcW w:w="1405" w:type="pct"/>
            <w:hideMark/>
          </w:tcPr>
          <w:p w14:paraId="47EE89C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5C630D52" w14:textId="77777777" w:rsidTr="00D14821">
        <w:trPr>
          <w:trHeight w:val="20"/>
        </w:trPr>
        <w:tc>
          <w:tcPr>
            <w:tcW w:w="3018" w:type="pct"/>
            <w:hideMark/>
          </w:tcPr>
          <w:p w14:paraId="7B8E72CE"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Other retailing</w:t>
            </w:r>
          </w:p>
        </w:tc>
        <w:tc>
          <w:tcPr>
            <w:tcW w:w="577" w:type="pct"/>
            <w:hideMark/>
          </w:tcPr>
          <w:p w14:paraId="22D73E2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$99</w:t>
            </w:r>
          </w:p>
        </w:tc>
        <w:tc>
          <w:tcPr>
            <w:tcW w:w="1405" w:type="pct"/>
            <w:hideMark/>
          </w:tcPr>
          <w:p w14:paraId="3679093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426EF9A4" w14:textId="77777777" w:rsidTr="00D14821">
        <w:trPr>
          <w:trHeight w:val="20"/>
        </w:trPr>
        <w:tc>
          <w:tcPr>
            <w:tcW w:w="3018" w:type="pct"/>
            <w:hideMark/>
          </w:tcPr>
          <w:p w14:paraId="5F02DF2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Services</w:t>
            </w:r>
          </w:p>
        </w:tc>
        <w:tc>
          <w:tcPr>
            <w:tcW w:w="577" w:type="pct"/>
            <w:hideMark/>
          </w:tcPr>
          <w:p w14:paraId="0C3899C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$166</w:t>
            </w:r>
          </w:p>
        </w:tc>
        <w:tc>
          <w:tcPr>
            <w:tcW w:w="1405" w:type="pct"/>
            <w:hideMark/>
          </w:tcPr>
          <w:p w14:paraId="726FB49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Deloitte analysis</w:t>
            </w:r>
          </w:p>
        </w:tc>
      </w:tr>
      <w:tr w:rsidR="00EE1EA3" w14:paraId="1F6F8D68" w14:textId="77777777" w:rsidTr="00D14821">
        <w:trPr>
          <w:trHeight w:val="20"/>
        </w:trPr>
        <w:tc>
          <w:tcPr>
            <w:tcW w:w="3018" w:type="pct"/>
            <w:hideMark/>
          </w:tcPr>
          <w:p w14:paraId="366BCFD6"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Construction (building, renovations etc.)</w:t>
            </w:r>
          </w:p>
        </w:tc>
        <w:tc>
          <w:tcPr>
            <w:tcW w:w="577" w:type="pct"/>
            <w:hideMark/>
          </w:tcPr>
          <w:p w14:paraId="6111149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$151,740</w:t>
            </w:r>
          </w:p>
        </w:tc>
        <w:tc>
          <w:tcPr>
            <w:tcW w:w="1405" w:type="pct"/>
            <w:hideMark/>
          </w:tcPr>
          <w:p w14:paraId="6750BD0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Deloitte analysis</w:t>
            </w:r>
          </w:p>
        </w:tc>
      </w:tr>
      <w:tr w:rsidR="00EE1EA3" w14:paraId="3CF94041" w14:textId="77777777" w:rsidTr="00D14821">
        <w:trPr>
          <w:trHeight w:val="188"/>
        </w:trPr>
        <w:tc>
          <w:tcPr>
            <w:tcW w:w="3018" w:type="pct"/>
            <w:hideMark/>
          </w:tcPr>
          <w:p w14:paraId="1590918C" w14:textId="77777777" w:rsidR="00EE1EA3" w:rsidRPr="001B4246" w:rsidRDefault="00EE1EA3" w:rsidP="00D14821">
            <w:pPr>
              <w:spacing w:after="0"/>
              <w:rPr>
                <w:b/>
                <w:bCs/>
                <w:color w:val="000000" w:themeColor="text1"/>
                <w:lang w:val="en-GB"/>
              </w:rPr>
            </w:pPr>
            <w:r w:rsidRPr="001B4246">
              <w:rPr>
                <w:b/>
                <w:bCs/>
                <w:color w:val="000000" w:themeColor="text1"/>
                <w:lang w:val="en-GB"/>
              </w:rPr>
              <w:t>Assumptions for likelihood of an issue occurring</w:t>
            </w:r>
          </w:p>
        </w:tc>
        <w:tc>
          <w:tcPr>
            <w:tcW w:w="577" w:type="pct"/>
          </w:tcPr>
          <w:p w14:paraId="662C5544" w14:textId="77777777" w:rsidR="00EE1EA3" w:rsidRPr="001B4246" w:rsidRDefault="00EE1EA3" w:rsidP="00D14821">
            <w:pPr>
              <w:spacing w:after="0"/>
              <w:rPr>
                <w:b/>
                <w:bCs/>
                <w:color w:val="000000" w:themeColor="text1"/>
                <w:lang w:val="en-GB"/>
              </w:rPr>
            </w:pPr>
          </w:p>
        </w:tc>
        <w:tc>
          <w:tcPr>
            <w:tcW w:w="1405" w:type="pct"/>
          </w:tcPr>
          <w:p w14:paraId="4DCFEE64" w14:textId="77777777" w:rsidR="00EE1EA3" w:rsidRPr="001B4246" w:rsidRDefault="00EE1EA3" w:rsidP="00D14821">
            <w:pPr>
              <w:spacing w:after="0"/>
              <w:rPr>
                <w:b/>
                <w:bCs/>
                <w:color w:val="000000" w:themeColor="text1"/>
                <w:lang w:val="en-GB"/>
              </w:rPr>
            </w:pPr>
          </w:p>
        </w:tc>
      </w:tr>
      <w:tr w:rsidR="00EE1EA3" w14:paraId="3A7B0735" w14:textId="77777777" w:rsidTr="00D14821">
        <w:trPr>
          <w:trHeight w:val="20"/>
        </w:trPr>
        <w:tc>
          <w:tcPr>
            <w:tcW w:w="3018" w:type="pct"/>
            <w:hideMark/>
          </w:tcPr>
          <w:p w14:paraId="4122D3D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Motor vehicles</w:t>
            </w:r>
          </w:p>
        </w:tc>
        <w:tc>
          <w:tcPr>
            <w:tcW w:w="577" w:type="pct"/>
            <w:hideMark/>
          </w:tcPr>
          <w:p w14:paraId="7026550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3.4%</w:t>
            </w:r>
          </w:p>
        </w:tc>
        <w:tc>
          <w:tcPr>
            <w:tcW w:w="1405" w:type="pct"/>
            <w:vMerge w:val="restart"/>
            <w:hideMark/>
          </w:tcPr>
          <w:p w14:paraId="09988034" w14:textId="77777777" w:rsidR="00EE1EA3" w:rsidRPr="001B4246" w:rsidRDefault="00EE1EA3" w:rsidP="00D14821">
            <w:pPr>
              <w:spacing w:after="0"/>
              <w:rPr>
                <w:rFonts w:asciiTheme="majorHAnsi" w:hAnsiTheme="majorHAnsi"/>
                <w:highlight w:val="yellow"/>
                <w:lang w:val="en-GB"/>
              </w:rPr>
            </w:pPr>
            <w:r w:rsidRPr="001B4246">
              <w:rPr>
                <w:rFonts w:asciiTheme="majorHAnsi" w:hAnsiTheme="majorHAnsi"/>
                <w:lang w:val="en-GB"/>
              </w:rPr>
              <w:t>ACL Consumer Survey and Deloitte/Treasury assumptions</w:t>
            </w:r>
          </w:p>
        </w:tc>
      </w:tr>
      <w:tr w:rsidR="00EE1EA3" w14:paraId="33F910FC" w14:textId="77777777" w:rsidTr="00D14821">
        <w:trPr>
          <w:trHeight w:val="20"/>
        </w:trPr>
        <w:tc>
          <w:tcPr>
            <w:tcW w:w="3018" w:type="pct"/>
            <w:hideMark/>
          </w:tcPr>
          <w:p w14:paraId="1CD05E9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Food retailing</w:t>
            </w:r>
          </w:p>
        </w:tc>
        <w:tc>
          <w:tcPr>
            <w:tcW w:w="577" w:type="pct"/>
            <w:hideMark/>
          </w:tcPr>
          <w:p w14:paraId="00C879C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6.6%</w:t>
            </w:r>
          </w:p>
        </w:tc>
        <w:tc>
          <w:tcPr>
            <w:tcW w:w="1405" w:type="pct"/>
            <w:vMerge/>
            <w:hideMark/>
          </w:tcPr>
          <w:p w14:paraId="25F49B5D" w14:textId="77777777" w:rsidR="00EE1EA3" w:rsidRPr="001B4246" w:rsidRDefault="00EE1EA3" w:rsidP="00D14821">
            <w:pPr>
              <w:spacing w:after="0"/>
              <w:rPr>
                <w:rFonts w:asciiTheme="majorHAnsi" w:hAnsiTheme="majorHAnsi"/>
                <w:highlight w:val="yellow"/>
                <w:lang w:val="en-GB"/>
              </w:rPr>
            </w:pPr>
          </w:p>
        </w:tc>
      </w:tr>
      <w:tr w:rsidR="00EE1EA3" w14:paraId="41CA609E" w14:textId="77777777" w:rsidTr="00D14821">
        <w:trPr>
          <w:trHeight w:val="20"/>
        </w:trPr>
        <w:tc>
          <w:tcPr>
            <w:tcW w:w="3018" w:type="pct"/>
            <w:hideMark/>
          </w:tcPr>
          <w:p w14:paraId="750D5C7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Household goods retailing</w:t>
            </w:r>
          </w:p>
        </w:tc>
        <w:tc>
          <w:tcPr>
            <w:tcW w:w="577" w:type="pct"/>
            <w:hideMark/>
          </w:tcPr>
          <w:p w14:paraId="1CA20DC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4.8%</w:t>
            </w:r>
          </w:p>
        </w:tc>
        <w:tc>
          <w:tcPr>
            <w:tcW w:w="1405" w:type="pct"/>
            <w:vMerge/>
            <w:hideMark/>
          </w:tcPr>
          <w:p w14:paraId="0FF84060" w14:textId="77777777" w:rsidR="00EE1EA3" w:rsidRPr="001B4246" w:rsidRDefault="00EE1EA3" w:rsidP="00D14821">
            <w:pPr>
              <w:spacing w:after="0"/>
              <w:rPr>
                <w:rFonts w:asciiTheme="majorHAnsi" w:hAnsiTheme="majorHAnsi"/>
                <w:highlight w:val="yellow"/>
                <w:lang w:val="en-GB"/>
              </w:rPr>
            </w:pPr>
          </w:p>
        </w:tc>
      </w:tr>
      <w:tr w:rsidR="00EE1EA3" w14:paraId="339645BA" w14:textId="77777777" w:rsidTr="00D14821">
        <w:trPr>
          <w:trHeight w:val="20"/>
        </w:trPr>
        <w:tc>
          <w:tcPr>
            <w:tcW w:w="3018" w:type="pct"/>
            <w:hideMark/>
          </w:tcPr>
          <w:p w14:paraId="0BE95AA7"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Clothing, footwear and personal accessory retailing</w:t>
            </w:r>
          </w:p>
        </w:tc>
        <w:tc>
          <w:tcPr>
            <w:tcW w:w="577" w:type="pct"/>
            <w:hideMark/>
          </w:tcPr>
          <w:p w14:paraId="1247769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5.3%</w:t>
            </w:r>
          </w:p>
        </w:tc>
        <w:tc>
          <w:tcPr>
            <w:tcW w:w="1405" w:type="pct"/>
            <w:vMerge/>
            <w:hideMark/>
          </w:tcPr>
          <w:p w14:paraId="5A9C2723" w14:textId="77777777" w:rsidR="00EE1EA3" w:rsidRPr="001B4246" w:rsidRDefault="00EE1EA3" w:rsidP="00D14821">
            <w:pPr>
              <w:spacing w:after="0"/>
              <w:rPr>
                <w:rFonts w:asciiTheme="majorHAnsi" w:hAnsiTheme="majorHAnsi"/>
                <w:highlight w:val="yellow"/>
                <w:lang w:val="en-GB"/>
              </w:rPr>
            </w:pPr>
          </w:p>
        </w:tc>
      </w:tr>
      <w:tr w:rsidR="00EE1EA3" w14:paraId="7C27FD66" w14:textId="77777777" w:rsidTr="00D14821">
        <w:trPr>
          <w:trHeight w:val="20"/>
        </w:trPr>
        <w:tc>
          <w:tcPr>
            <w:tcW w:w="3018" w:type="pct"/>
            <w:hideMark/>
          </w:tcPr>
          <w:p w14:paraId="26FDCC82"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Department stores</w:t>
            </w:r>
          </w:p>
        </w:tc>
        <w:tc>
          <w:tcPr>
            <w:tcW w:w="577" w:type="pct"/>
            <w:hideMark/>
          </w:tcPr>
          <w:p w14:paraId="719B6C3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4.3%</w:t>
            </w:r>
          </w:p>
        </w:tc>
        <w:tc>
          <w:tcPr>
            <w:tcW w:w="1405" w:type="pct"/>
            <w:vMerge/>
            <w:hideMark/>
          </w:tcPr>
          <w:p w14:paraId="72929340" w14:textId="77777777" w:rsidR="00EE1EA3" w:rsidRPr="001B4246" w:rsidRDefault="00EE1EA3" w:rsidP="00D14821">
            <w:pPr>
              <w:spacing w:after="0"/>
              <w:rPr>
                <w:rFonts w:asciiTheme="majorHAnsi" w:hAnsiTheme="majorHAnsi"/>
                <w:highlight w:val="yellow"/>
                <w:lang w:val="en-GB"/>
              </w:rPr>
            </w:pPr>
          </w:p>
        </w:tc>
      </w:tr>
      <w:tr w:rsidR="00EE1EA3" w14:paraId="11A2AA55" w14:textId="77777777" w:rsidTr="00D14821">
        <w:trPr>
          <w:trHeight w:val="20"/>
        </w:trPr>
        <w:tc>
          <w:tcPr>
            <w:tcW w:w="3018" w:type="pct"/>
            <w:hideMark/>
          </w:tcPr>
          <w:p w14:paraId="25313BB3"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Other retailing</w:t>
            </w:r>
          </w:p>
        </w:tc>
        <w:tc>
          <w:tcPr>
            <w:tcW w:w="577" w:type="pct"/>
            <w:hideMark/>
          </w:tcPr>
          <w:p w14:paraId="6CCC0F6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2.7%</w:t>
            </w:r>
          </w:p>
        </w:tc>
        <w:tc>
          <w:tcPr>
            <w:tcW w:w="1405" w:type="pct"/>
            <w:vMerge/>
            <w:hideMark/>
          </w:tcPr>
          <w:p w14:paraId="6B78BAC9" w14:textId="77777777" w:rsidR="00EE1EA3" w:rsidRPr="001B4246" w:rsidRDefault="00EE1EA3" w:rsidP="00D14821">
            <w:pPr>
              <w:spacing w:after="0"/>
              <w:rPr>
                <w:rFonts w:asciiTheme="majorHAnsi" w:hAnsiTheme="majorHAnsi"/>
                <w:highlight w:val="yellow"/>
                <w:lang w:val="en-GB"/>
              </w:rPr>
            </w:pPr>
          </w:p>
        </w:tc>
      </w:tr>
      <w:tr w:rsidR="00EE1EA3" w14:paraId="3893D77D" w14:textId="77777777" w:rsidTr="00D14821">
        <w:trPr>
          <w:trHeight w:val="20"/>
        </w:trPr>
        <w:tc>
          <w:tcPr>
            <w:tcW w:w="3018" w:type="pct"/>
            <w:hideMark/>
          </w:tcPr>
          <w:p w14:paraId="286D355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Services</w:t>
            </w:r>
          </w:p>
        </w:tc>
        <w:tc>
          <w:tcPr>
            <w:tcW w:w="577" w:type="pct"/>
            <w:hideMark/>
          </w:tcPr>
          <w:p w14:paraId="00A4999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3.9%</w:t>
            </w:r>
          </w:p>
        </w:tc>
        <w:tc>
          <w:tcPr>
            <w:tcW w:w="1405" w:type="pct"/>
            <w:vMerge/>
            <w:hideMark/>
          </w:tcPr>
          <w:p w14:paraId="45A3D0F3" w14:textId="77777777" w:rsidR="00EE1EA3" w:rsidRPr="001B4246" w:rsidRDefault="00EE1EA3" w:rsidP="00D14821">
            <w:pPr>
              <w:spacing w:after="0"/>
              <w:rPr>
                <w:rFonts w:asciiTheme="majorHAnsi" w:hAnsiTheme="majorHAnsi"/>
                <w:highlight w:val="yellow"/>
                <w:lang w:val="en-GB"/>
              </w:rPr>
            </w:pPr>
          </w:p>
        </w:tc>
      </w:tr>
      <w:tr w:rsidR="00EE1EA3" w14:paraId="50FE57D1" w14:textId="77777777" w:rsidTr="00D14821">
        <w:trPr>
          <w:trHeight w:val="202"/>
        </w:trPr>
        <w:tc>
          <w:tcPr>
            <w:tcW w:w="3018" w:type="pct"/>
            <w:hideMark/>
          </w:tcPr>
          <w:p w14:paraId="1ABEBA3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lastRenderedPageBreak/>
              <w:t>Construction (building, renovations etc.)</w:t>
            </w:r>
          </w:p>
        </w:tc>
        <w:tc>
          <w:tcPr>
            <w:tcW w:w="577" w:type="pct"/>
            <w:hideMark/>
          </w:tcPr>
          <w:p w14:paraId="21FAA7B9"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7.2%</w:t>
            </w:r>
          </w:p>
        </w:tc>
        <w:tc>
          <w:tcPr>
            <w:tcW w:w="1405" w:type="pct"/>
            <w:vMerge/>
            <w:hideMark/>
          </w:tcPr>
          <w:p w14:paraId="28013295" w14:textId="77777777" w:rsidR="00EE1EA3" w:rsidRPr="001B4246" w:rsidRDefault="00EE1EA3" w:rsidP="00D14821">
            <w:pPr>
              <w:spacing w:after="0"/>
              <w:rPr>
                <w:rFonts w:asciiTheme="majorHAnsi" w:hAnsiTheme="majorHAnsi"/>
                <w:highlight w:val="yellow"/>
                <w:lang w:val="en-GB"/>
              </w:rPr>
            </w:pPr>
          </w:p>
        </w:tc>
      </w:tr>
      <w:tr w:rsidR="00EE1EA3" w14:paraId="431D396E" w14:textId="77777777" w:rsidTr="00D14821">
        <w:trPr>
          <w:trHeight w:val="326"/>
        </w:trPr>
        <w:tc>
          <w:tcPr>
            <w:tcW w:w="3018" w:type="pct"/>
            <w:hideMark/>
          </w:tcPr>
          <w:p w14:paraId="487BD706" w14:textId="77777777" w:rsidR="00EE1EA3" w:rsidRPr="001B4246" w:rsidRDefault="00EE1EA3" w:rsidP="00D14821">
            <w:pPr>
              <w:spacing w:after="0"/>
              <w:rPr>
                <w:rFonts w:asciiTheme="majorHAnsi" w:hAnsiTheme="majorHAnsi"/>
                <w:b/>
                <w:bCs/>
                <w:color w:val="000000" w:themeColor="text1"/>
                <w:lang w:val="en-GB"/>
              </w:rPr>
            </w:pPr>
            <w:r w:rsidRPr="001B4246">
              <w:rPr>
                <w:rFonts w:asciiTheme="majorHAnsi" w:hAnsiTheme="majorHAnsi"/>
                <w:b/>
                <w:bCs/>
                <w:color w:val="000000" w:themeColor="text1"/>
                <w:lang w:val="en-GB"/>
              </w:rPr>
              <w:t>General assumptions</w:t>
            </w:r>
          </w:p>
        </w:tc>
        <w:tc>
          <w:tcPr>
            <w:tcW w:w="577" w:type="pct"/>
          </w:tcPr>
          <w:p w14:paraId="51F4E2CF" w14:textId="77777777" w:rsidR="00EE1EA3" w:rsidRPr="001B4246" w:rsidRDefault="00EE1EA3" w:rsidP="00D14821">
            <w:pPr>
              <w:spacing w:after="0"/>
              <w:rPr>
                <w:rFonts w:asciiTheme="majorHAnsi" w:hAnsiTheme="majorHAnsi"/>
                <w:b/>
                <w:bCs/>
                <w:color w:val="000000" w:themeColor="text1"/>
                <w:lang w:val="en-GB"/>
              </w:rPr>
            </w:pPr>
          </w:p>
        </w:tc>
        <w:tc>
          <w:tcPr>
            <w:tcW w:w="1405" w:type="pct"/>
          </w:tcPr>
          <w:p w14:paraId="3AAE130A" w14:textId="77777777" w:rsidR="00EE1EA3" w:rsidRPr="001B4246" w:rsidRDefault="00EE1EA3" w:rsidP="00D14821">
            <w:pPr>
              <w:spacing w:after="0"/>
              <w:rPr>
                <w:rFonts w:asciiTheme="majorHAnsi" w:hAnsiTheme="majorHAnsi"/>
                <w:b/>
                <w:bCs/>
                <w:color w:val="000000" w:themeColor="text1"/>
                <w:lang w:val="en-GB"/>
              </w:rPr>
            </w:pPr>
          </w:p>
        </w:tc>
      </w:tr>
      <w:tr w:rsidR="00EE1EA3" w14:paraId="64B78BCC" w14:textId="77777777" w:rsidTr="00D14821">
        <w:trPr>
          <w:trHeight w:val="326"/>
        </w:trPr>
        <w:tc>
          <w:tcPr>
            <w:tcW w:w="3018" w:type="pct"/>
            <w:hideMark/>
          </w:tcPr>
          <w:p w14:paraId="5330FFC9"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Proportion of consumers who experience an issue and address the problem (For every 100 CG issues, consumers will attempt to address 82 of them)</w:t>
            </w:r>
          </w:p>
        </w:tc>
        <w:tc>
          <w:tcPr>
            <w:tcW w:w="577" w:type="pct"/>
            <w:hideMark/>
          </w:tcPr>
          <w:p w14:paraId="19D19F2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82%</w:t>
            </w:r>
          </w:p>
        </w:tc>
        <w:tc>
          <w:tcPr>
            <w:tcW w:w="1405" w:type="pct"/>
            <w:hideMark/>
          </w:tcPr>
          <w:p w14:paraId="19D392E8" w14:textId="77777777" w:rsidR="00EE1EA3" w:rsidRPr="001B4246" w:rsidRDefault="00EE1EA3" w:rsidP="00D14821">
            <w:pPr>
              <w:spacing w:after="0"/>
              <w:rPr>
                <w:rFonts w:asciiTheme="majorHAnsi" w:hAnsiTheme="majorHAnsi"/>
                <w:lang w:val="en-GB"/>
              </w:rPr>
            </w:pPr>
            <w:r w:rsidRPr="001B4246">
              <w:rPr>
                <w:rFonts w:asciiTheme="majorHAnsi" w:hAnsiTheme="majorHAnsi"/>
                <w:lang w:val="en-GB"/>
              </w:rPr>
              <w:t>ACL Consumer Survey</w:t>
            </w:r>
          </w:p>
        </w:tc>
      </w:tr>
      <w:tr w:rsidR="00EE1EA3" w14:paraId="70CDE765" w14:textId="77777777" w:rsidTr="00D14821">
        <w:trPr>
          <w:trHeight w:val="326"/>
        </w:trPr>
        <w:tc>
          <w:tcPr>
            <w:tcW w:w="3018" w:type="pct"/>
            <w:hideMark/>
          </w:tcPr>
          <w:p w14:paraId="707AEFD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Proportion of consumers who address a problem and access a remedy to their satisfaction, or are in the process of doing so (For every 100 problems that are addressed by consumers, 71 are resolved to the satisfaction of the consumer)</w:t>
            </w:r>
          </w:p>
        </w:tc>
        <w:tc>
          <w:tcPr>
            <w:tcW w:w="577" w:type="pct"/>
            <w:hideMark/>
          </w:tcPr>
          <w:p w14:paraId="374F158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71%</w:t>
            </w:r>
          </w:p>
        </w:tc>
        <w:tc>
          <w:tcPr>
            <w:tcW w:w="1405" w:type="pct"/>
            <w:hideMark/>
          </w:tcPr>
          <w:p w14:paraId="6FFA4FA2" w14:textId="77777777" w:rsidR="00EE1EA3" w:rsidRPr="001B4246" w:rsidRDefault="00EE1EA3" w:rsidP="00D14821">
            <w:pPr>
              <w:spacing w:after="0"/>
              <w:rPr>
                <w:rFonts w:asciiTheme="majorHAnsi" w:hAnsiTheme="majorHAnsi"/>
                <w:lang w:val="en-GB"/>
              </w:rPr>
            </w:pPr>
            <w:r w:rsidRPr="001B4246">
              <w:rPr>
                <w:rFonts w:asciiTheme="majorHAnsi" w:hAnsiTheme="majorHAnsi"/>
                <w:lang w:val="en-GB"/>
              </w:rPr>
              <w:t>ACL Consumer Survey and Deloitte/Treasury assumption</w:t>
            </w:r>
          </w:p>
        </w:tc>
      </w:tr>
      <w:tr w:rsidR="00EE1EA3" w14:paraId="3346A58B" w14:textId="77777777" w:rsidTr="00D14821">
        <w:trPr>
          <w:trHeight w:val="20"/>
        </w:trPr>
        <w:tc>
          <w:tcPr>
            <w:tcW w:w="3018" w:type="pct"/>
            <w:hideMark/>
          </w:tcPr>
          <w:p w14:paraId="2632FD1D" w14:textId="77777777" w:rsidR="00EE1EA3" w:rsidRPr="001B4246" w:rsidRDefault="00EE1EA3" w:rsidP="00D14821">
            <w:pPr>
              <w:spacing w:after="0"/>
              <w:rPr>
                <w:rFonts w:asciiTheme="majorHAnsi" w:hAnsiTheme="majorHAnsi"/>
                <w:color w:val="000000" w:themeColor="text1"/>
                <w:lang w:val="en-GB"/>
              </w:rPr>
            </w:pPr>
            <w:r w:rsidRPr="001B4246">
              <w:rPr>
                <w:b/>
                <w:bCs/>
                <w:color w:val="000000" w:themeColor="text1"/>
                <w:lang w:val="en-GB"/>
              </w:rPr>
              <w:t>Rate of refund/replacement with multiple failures</w:t>
            </w:r>
          </w:p>
        </w:tc>
        <w:tc>
          <w:tcPr>
            <w:tcW w:w="577" w:type="pct"/>
          </w:tcPr>
          <w:p w14:paraId="0D24F8E9" w14:textId="77777777" w:rsidR="00EE1EA3" w:rsidRPr="001B4246" w:rsidRDefault="00EE1EA3" w:rsidP="00D14821">
            <w:pPr>
              <w:spacing w:after="0"/>
              <w:rPr>
                <w:rFonts w:asciiTheme="majorHAnsi" w:hAnsiTheme="majorHAnsi"/>
                <w:lang w:val="en-GB"/>
              </w:rPr>
            </w:pPr>
          </w:p>
        </w:tc>
        <w:tc>
          <w:tcPr>
            <w:tcW w:w="1405" w:type="pct"/>
          </w:tcPr>
          <w:p w14:paraId="5E6DBF09" w14:textId="77777777" w:rsidR="00EE1EA3" w:rsidRPr="001B4246" w:rsidRDefault="00EE1EA3" w:rsidP="00D14821">
            <w:pPr>
              <w:spacing w:after="0"/>
              <w:rPr>
                <w:rFonts w:asciiTheme="majorHAnsi" w:hAnsiTheme="majorHAnsi"/>
                <w:lang w:val="en-GB"/>
              </w:rPr>
            </w:pPr>
          </w:p>
        </w:tc>
      </w:tr>
      <w:tr w:rsidR="00EE1EA3" w14:paraId="2A476DB9" w14:textId="77777777" w:rsidTr="00D14821">
        <w:trPr>
          <w:trHeight w:val="20"/>
        </w:trPr>
        <w:tc>
          <w:tcPr>
            <w:tcW w:w="3018" w:type="pct"/>
            <w:hideMark/>
          </w:tcPr>
          <w:p w14:paraId="3849A73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Three failures</w:t>
            </w:r>
          </w:p>
        </w:tc>
        <w:tc>
          <w:tcPr>
            <w:tcW w:w="577" w:type="pct"/>
            <w:hideMark/>
          </w:tcPr>
          <w:p w14:paraId="7CA04A5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90%</w:t>
            </w:r>
          </w:p>
        </w:tc>
        <w:tc>
          <w:tcPr>
            <w:tcW w:w="1405" w:type="pct"/>
            <w:hideMark/>
          </w:tcPr>
          <w:p w14:paraId="2C5093EB" w14:textId="77777777" w:rsidR="00EE1EA3" w:rsidRPr="001B4246" w:rsidRDefault="00EE1EA3" w:rsidP="00D14821">
            <w:pPr>
              <w:spacing w:after="0"/>
              <w:rPr>
                <w:rFonts w:asciiTheme="majorHAnsi" w:hAnsiTheme="majorHAnsi"/>
                <w:lang w:val="en-GB"/>
              </w:rPr>
            </w:pPr>
            <w:r w:rsidRPr="001B4246">
              <w:rPr>
                <w:rFonts w:asciiTheme="majorHAnsi" w:hAnsiTheme="majorHAnsi"/>
                <w:lang w:val="en-GB"/>
              </w:rPr>
              <w:t>2018 Deloitte CBA</w:t>
            </w:r>
          </w:p>
        </w:tc>
      </w:tr>
      <w:tr w:rsidR="00EE1EA3" w14:paraId="77D5651F" w14:textId="77777777" w:rsidTr="00D14821">
        <w:trPr>
          <w:trHeight w:val="20"/>
        </w:trPr>
        <w:tc>
          <w:tcPr>
            <w:tcW w:w="3018" w:type="pct"/>
            <w:hideMark/>
          </w:tcPr>
          <w:p w14:paraId="11491366" w14:textId="77777777" w:rsidR="00EE1EA3" w:rsidRPr="001B4246" w:rsidRDefault="00EE1EA3" w:rsidP="00D14821">
            <w:pPr>
              <w:spacing w:after="0"/>
              <w:rPr>
                <w:rFonts w:asciiTheme="majorHAnsi" w:hAnsiTheme="majorHAnsi"/>
                <w:b/>
                <w:bCs/>
                <w:color w:val="000000" w:themeColor="text1"/>
                <w:lang w:val="en-GB"/>
              </w:rPr>
            </w:pPr>
            <w:r w:rsidRPr="001B4246">
              <w:rPr>
                <w:rFonts w:asciiTheme="majorHAnsi" w:hAnsiTheme="majorHAnsi"/>
                <w:b/>
                <w:bCs/>
                <w:color w:val="000000" w:themeColor="text1"/>
                <w:lang w:val="en-GB"/>
              </w:rPr>
              <w:t>Share of total products between $40k and $100k</w:t>
            </w:r>
          </w:p>
        </w:tc>
        <w:tc>
          <w:tcPr>
            <w:tcW w:w="577" w:type="pct"/>
          </w:tcPr>
          <w:p w14:paraId="3B79E494" w14:textId="77777777" w:rsidR="00EE1EA3" w:rsidRPr="001B4246" w:rsidRDefault="00EE1EA3" w:rsidP="00D14821">
            <w:pPr>
              <w:spacing w:after="0"/>
              <w:rPr>
                <w:rFonts w:asciiTheme="majorHAnsi" w:hAnsiTheme="majorHAnsi"/>
                <w:b/>
                <w:bCs/>
                <w:color w:val="000000" w:themeColor="text1"/>
                <w:lang w:val="en-GB"/>
              </w:rPr>
            </w:pPr>
          </w:p>
        </w:tc>
        <w:tc>
          <w:tcPr>
            <w:tcW w:w="1405" w:type="pct"/>
          </w:tcPr>
          <w:p w14:paraId="4E42E844" w14:textId="77777777" w:rsidR="00EE1EA3" w:rsidRPr="001B4246" w:rsidRDefault="00EE1EA3" w:rsidP="00D14821">
            <w:pPr>
              <w:spacing w:after="0"/>
              <w:rPr>
                <w:rFonts w:asciiTheme="majorHAnsi" w:hAnsiTheme="majorHAnsi"/>
                <w:b/>
                <w:bCs/>
                <w:color w:val="000000" w:themeColor="text1"/>
                <w:lang w:val="en-GB"/>
              </w:rPr>
            </w:pPr>
          </w:p>
        </w:tc>
      </w:tr>
      <w:tr w:rsidR="00EE1EA3" w14:paraId="30F01679" w14:textId="77777777" w:rsidTr="00D14821">
        <w:trPr>
          <w:trHeight w:val="20"/>
        </w:trPr>
        <w:tc>
          <w:tcPr>
            <w:tcW w:w="3018" w:type="pct"/>
            <w:hideMark/>
          </w:tcPr>
          <w:p w14:paraId="5095501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Motor vehicles</w:t>
            </w:r>
          </w:p>
        </w:tc>
        <w:tc>
          <w:tcPr>
            <w:tcW w:w="577" w:type="pct"/>
            <w:hideMark/>
          </w:tcPr>
          <w:p w14:paraId="0B2E900C" w14:textId="77777777" w:rsidR="00EE1EA3" w:rsidRPr="001B4246" w:rsidRDefault="00EE1EA3" w:rsidP="00D14821">
            <w:pPr>
              <w:spacing w:after="0"/>
              <w:rPr>
                <w:rFonts w:asciiTheme="majorHAnsi" w:hAnsiTheme="majorHAnsi"/>
                <w:color w:val="000000" w:themeColor="text1"/>
                <w:lang w:val="en-GB"/>
              </w:rPr>
            </w:pPr>
            <w:r w:rsidRPr="001B4246">
              <w:rPr>
                <w:lang w:val="en-GB"/>
              </w:rPr>
              <w:t>50.00%</w:t>
            </w:r>
          </w:p>
        </w:tc>
        <w:tc>
          <w:tcPr>
            <w:tcW w:w="1405" w:type="pct"/>
            <w:hideMark/>
          </w:tcPr>
          <w:p w14:paraId="1458E258"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60541403" w14:textId="77777777" w:rsidTr="00D14821">
        <w:trPr>
          <w:trHeight w:val="20"/>
        </w:trPr>
        <w:tc>
          <w:tcPr>
            <w:tcW w:w="3018" w:type="pct"/>
            <w:hideMark/>
          </w:tcPr>
          <w:p w14:paraId="059AE4E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Food retailing</w:t>
            </w:r>
          </w:p>
        </w:tc>
        <w:tc>
          <w:tcPr>
            <w:tcW w:w="577" w:type="pct"/>
            <w:hideMark/>
          </w:tcPr>
          <w:p w14:paraId="224BDCDE" w14:textId="77777777" w:rsidR="00EE1EA3" w:rsidRPr="001B4246" w:rsidRDefault="00EE1EA3" w:rsidP="00D14821">
            <w:pPr>
              <w:spacing w:after="0"/>
              <w:rPr>
                <w:rFonts w:asciiTheme="majorHAnsi" w:hAnsiTheme="majorHAnsi"/>
                <w:color w:val="000000" w:themeColor="text1"/>
                <w:lang w:val="en-GB"/>
              </w:rPr>
            </w:pPr>
            <w:r w:rsidRPr="001B4246">
              <w:rPr>
                <w:lang w:val="en-GB"/>
              </w:rPr>
              <w:t>0.00%</w:t>
            </w:r>
          </w:p>
        </w:tc>
        <w:tc>
          <w:tcPr>
            <w:tcW w:w="1405" w:type="pct"/>
            <w:hideMark/>
          </w:tcPr>
          <w:p w14:paraId="5364E28D" w14:textId="77777777" w:rsidR="00EE1EA3" w:rsidRPr="001B4246" w:rsidRDefault="00EE1EA3" w:rsidP="00D14821">
            <w:pPr>
              <w:spacing w:after="0"/>
              <w:rPr>
                <w:lang w:val="en-GB"/>
              </w:rPr>
            </w:pPr>
            <w:r w:rsidRPr="001B4246">
              <w:rPr>
                <w:lang w:val="en-GB"/>
              </w:rPr>
              <w:t>Deloitte assumption</w:t>
            </w:r>
          </w:p>
        </w:tc>
      </w:tr>
      <w:tr w:rsidR="00EE1EA3" w14:paraId="66A72998" w14:textId="77777777" w:rsidTr="00D14821">
        <w:trPr>
          <w:trHeight w:val="247"/>
        </w:trPr>
        <w:tc>
          <w:tcPr>
            <w:tcW w:w="3018" w:type="pct"/>
            <w:hideMark/>
          </w:tcPr>
          <w:p w14:paraId="14909A4C"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Household goods retailing</w:t>
            </w:r>
          </w:p>
        </w:tc>
        <w:tc>
          <w:tcPr>
            <w:tcW w:w="577" w:type="pct"/>
            <w:hideMark/>
          </w:tcPr>
          <w:p w14:paraId="0A7C1BF8" w14:textId="77777777" w:rsidR="00EE1EA3" w:rsidRPr="001B4246" w:rsidRDefault="00EE1EA3" w:rsidP="00D14821">
            <w:pPr>
              <w:spacing w:after="0"/>
              <w:rPr>
                <w:rFonts w:asciiTheme="majorHAnsi" w:hAnsiTheme="majorHAnsi"/>
                <w:color w:val="000000" w:themeColor="text1"/>
                <w:lang w:val="en-GB"/>
              </w:rPr>
            </w:pPr>
            <w:r w:rsidRPr="001B4246">
              <w:rPr>
                <w:lang w:val="en-GB"/>
              </w:rPr>
              <w:t>0.23%</w:t>
            </w:r>
          </w:p>
        </w:tc>
        <w:tc>
          <w:tcPr>
            <w:tcW w:w="1405" w:type="pct"/>
            <w:hideMark/>
          </w:tcPr>
          <w:p w14:paraId="5649C213"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622CF251" w14:textId="77777777" w:rsidTr="00D14821">
        <w:trPr>
          <w:trHeight w:val="20"/>
        </w:trPr>
        <w:tc>
          <w:tcPr>
            <w:tcW w:w="3018" w:type="pct"/>
            <w:hideMark/>
          </w:tcPr>
          <w:p w14:paraId="35F38C2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Clothing, footwear and personal accessory retailing</w:t>
            </w:r>
          </w:p>
        </w:tc>
        <w:tc>
          <w:tcPr>
            <w:tcW w:w="577" w:type="pct"/>
            <w:hideMark/>
          </w:tcPr>
          <w:p w14:paraId="5B5394A5" w14:textId="77777777" w:rsidR="00EE1EA3" w:rsidRPr="001B4246" w:rsidRDefault="00EE1EA3" w:rsidP="00D14821">
            <w:pPr>
              <w:spacing w:after="0"/>
              <w:rPr>
                <w:rFonts w:asciiTheme="majorHAnsi" w:hAnsiTheme="majorHAnsi"/>
                <w:color w:val="000000" w:themeColor="text1"/>
                <w:lang w:val="en-GB"/>
              </w:rPr>
            </w:pPr>
            <w:r w:rsidRPr="001B4246">
              <w:rPr>
                <w:lang w:val="en-GB"/>
              </w:rPr>
              <w:t>0.00%</w:t>
            </w:r>
          </w:p>
        </w:tc>
        <w:tc>
          <w:tcPr>
            <w:tcW w:w="1405" w:type="pct"/>
            <w:hideMark/>
          </w:tcPr>
          <w:p w14:paraId="307A62CC"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1BC1645B" w14:textId="77777777" w:rsidTr="00D14821">
        <w:trPr>
          <w:trHeight w:val="20"/>
        </w:trPr>
        <w:tc>
          <w:tcPr>
            <w:tcW w:w="3018" w:type="pct"/>
            <w:hideMark/>
          </w:tcPr>
          <w:p w14:paraId="7158EED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Department stores</w:t>
            </w:r>
          </w:p>
        </w:tc>
        <w:tc>
          <w:tcPr>
            <w:tcW w:w="577" w:type="pct"/>
            <w:hideMark/>
          </w:tcPr>
          <w:p w14:paraId="7BCF404F" w14:textId="77777777" w:rsidR="00EE1EA3" w:rsidRPr="001B4246" w:rsidRDefault="00EE1EA3" w:rsidP="00D14821">
            <w:pPr>
              <w:spacing w:after="0"/>
              <w:rPr>
                <w:rFonts w:asciiTheme="majorHAnsi" w:hAnsiTheme="majorHAnsi"/>
                <w:color w:val="000000" w:themeColor="text1"/>
                <w:lang w:val="en-GB"/>
              </w:rPr>
            </w:pPr>
            <w:r w:rsidRPr="001B4246">
              <w:rPr>
                <w:lang w:val="en-GB"/>
              </w:rPr>
              <w:t>0.01%</w:t>
            </w:r>
          </w:p>
        </w:tc>
        <w:tc>
          <w:tcPr>
            <w:tcW w:w="1405" w:type="pct"/>
            <w:hideMark/>
          </w:tcPr>
          <w:p w14:paraId="58E31C4C"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07CF757F" w14:textId="77777777" w:rsidTr="00D14821">
        <w:trPr>
          <w:trHeight w:val="20"/>
        </w:trPr>
        <w:tc>
          <w:tcPr>
            <w:tcW w:w="3018" w:type="pct"/>
            <w:hideMark/>
          </w:tcPr>
          <w:p w14:paraId="6533BB3E"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Other retailing</w:t>
            </w:r>
          </w:p>
        </w:tc>
        <w:tc>
          <w:tcPr>
            <w:tcW w:w="577" w:type="pct"/>
            <w:hideMark/>
          </w:tcPr>
          <w:p w14:paraId="0CA31E9B" w14:textId="77777777" w:rsidR="00EE1EA3" w:rsidRPr="001B4246" w:rsidRDefault="00EE1EA3" w:rsidP="00D14821">
            <w:pPr>
              <w:spacing w:after="0"/>
              <w:rPr>
                <w:rFonts w:asciiTheme="majorHAnsi" w:hAnsiTheme="majorHAnsi"/>
                <w:color w:val="000000" w:themeColor="text1"/>
                <w:lang w:val="en-GB"/>
              </w:rPr>
            </w:pPr>
            <w:r w:rsidRPr="001B4246">
              <w:rPr>
                <w:lang w:val="en-GB"/>
              </w:rPr>
              <w:t>0.01%</w:t>
            </w:r>
          </w:p>
        </w:tc>
        <w:tc>
          <w:tcPr>
            <w:tcW w:w="1405" w:type="pct"/>
            <w:hideMark/>
          </w:tcPr>
          <w:p w14:paraId="68D9D50E"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30F5137F" w14:textId="77777777" w:rsidTr="00D14821">
        <w:trPr>
          <w:trHeight w:val="20"/>
        </w:trPr>
        <w:tc>
          <w:tcPr>
            <w:tcW w:w="3018" w:type="pct"/>
            <w:hideMark/>
          </w:tcPr>
          <w:p w14:paraId="3CDB42D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Services</w:t>
            </w:r>
          </w:p>
        </w:tc>
        <w:tc>
          <w:tcPr>
            <w:tcW w:w="577" w:type="pct"/>
            <w:hideMark/>
          </w:tcPr>
          <w:p w14:paraId="429FB9F9" w14:textId="77777777" w:rsidR="00EE1EA3" w:rsidRPr="001B4246" w:rsidRDefault="00EE1EA3" w:rsidP="00D14821">
            <w:pPr>
              <w:spacing w:after="0"/>
              <w:rPr>
                <w:rFonts w:asciiTheme="majorHAnsi" w:hAnsiTheme="majorHAnsi"/>
                <w:color w:val="000000" w:themeColor="text1"/>
                <w:lang w:val="en-GB"/>
              </w:rPr>
            </w:pPr>
            <w:r w:rsidRPr="001B4246">
              <w:rPr>
                <w:lang w:val="en-GB"/>
              </w:rPr>
              <w:t>0.01%</w:t>
            </w:r>
          </w:p>
        </w:tc>
        <w:tc>
          <w:tcPr>
            <w:tcW w:w="1405" w:type="pct"/>
            <w:hideMark/>
          </w:tcPr>
          <w:p w14:paraId="04AE6213" w14:textId="77777777" w:rsidR="00EE1EA3" w:rsidRPr="001B4246" w:rsidRDefault="00EE1EA3" w:rsidP="00D14821">
            <w:pPr>
              <w:spacing w:after="0"/>
              <w:rPr>
                <w:lang w:val="en-GB"/>
              </w:rPr>
            </w:pPr>
            <w:r w:rsidRPr="001B4246">
              <w:rPr>
                <w:lang w:val="en-GB"/>
              </w:rPr>
              <w:t>Deloitte assumption</w:t>
            </w:r>
          </w:p>
        </w:tc>
      </w:tr>
      <w:tr w:rsidR="00EE1EA3" w14:paraId="4935A9E7" w14:textId="77777777" w:rsidTr="00D14821">
        <w:trPr>
          <w:trHeight w:val="20"/>
        </w:trPr>
        <w:tc>
          <w:tcPr>
            <w:tcW w:w="3018" w:type="pct"/>
            <w:hideMark/>
          </w:tcPr>
          <w:p w14:paraId="44F9C98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Construction (building, renovations etc.)</w:t>
            </w:r>
          </w:p>
        </w:tc>
        <w:tc>
          <w:tcPr>
            <w:tcW w:w="577" w:type="pct"/>
            <w:hideMark/>
          </w:tcPr>
          <w:p w14:paraId="3DB40F96" w14:textId="77777777" w:rsidR="00EE1EA3" w:rsidRPr="001B4246" w:rsidRDefault="00EE1EA3" w:rsidP="00D14821">
            <w:pPr>
              <w:spacing w:after="0"/>
              <w:rPr>
                <w:rFonts w:asciiTheme="majorHAnsi" w:hAnsiTheme="majorHAnsi"/>
                <w:color w:val="000000" w:themeColor="text1"/>
                <w:lang w:val="en-GB"/>
              </w:rPr>
            </w:pPr>
            <w:r w:rsidRPr="001B4246">
              <w:rPr>
                <w:lang w:val="en-GB"/>
              </w:rPr>
              <w:t>50.00%</w:t>
            </w:r>
          </w:p>
        </w:tc>
        <w:tc>
          <w:tcPr>
            <w:tcW w:w="1405" w:type="pct"/>
            <w:hideMark/>
          </w:tcPr>
          <w:p w14:paraId="3FC6D066" w14:textId="77777777" w:rsidR="00EE1EA3" w:rsidRPr="001B4246" w:rsidRDefault="00EE1EA3" w:rsidP="00D14821">
            <w:pPr>
              <w:spacing w:after="0"/>
              <w:rPr>
                <w:lang w:val="en-GB"/>
              </w:rPr>
            </w:pPr>
            <w:r w:rsidRPr="001B4246">
              <w:rPr>
                <w:lang w:val="en-GB"/>
              </w:rPr>
              <w:t>Deloitte assumption</w:t>
            </w:r>
          </w:p>
        </w:tc>
      </w:tr>
      <w:tr w:rsidR="00EE1EA3" w14:paraId="2BE08A60" w14:textId="77777777" w:rsidTr="00D14821">
        <w:trPr>
          <w:trHeight w:val="20"/>
        </w:trPr>
        <w:tc>
          <w:tcPr>
            <w:tcW w:w="3018" w:type="pct"/>
            <w:hideMark/>
          </w:tcPr>
          <w:p w14:paraId="2AC3DC62"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b/>
                <w:bCs/>
                <w:color w:val="000000" w:themeColor="text1"/>
                <w:lang w:val="en-GB"/>
              </w:rPr>
              <w:t>Manufacturer indemnification and retaliation assumptions</w:t>
            </w:r>
          </w:p>
        </w:tc>
        <w:tc>
          <w:tcPr>
            <w:tcW w:w="577" w:type="pct"/>
          </w:tcPr>
          <w:p w14:paraId="36EA70CC" w14:textId="77777777" w:rsidR="00EE1EA3" w:rsidRPr="001B4246" w:rsidRDefault="00EE1EA3" w:rsidP="00D14821">
            <w:pPr>
              <w:spacing w:after="0"/>
              <w:rPr>
                <w:lang w:val="en-GB"/>
              </w:rPr>
            </w:pPr>
          </w:p>
        </w:tc>
        <w:tc>
          <w:tcPr>
            <w:tcW w:w="1405" w:type="pct"/>
          </w:tcPr>
          <w:p w14:paraId="5AF609BD" w14:textId="77777777" w:rsidR="00EE1EA3" w:rsidRPr="001B4246" w:rsidRDefault="00EE1EA3" w:rsidP="00D14821">
            <w:pPr>
              <w:spacing w:after="0"/>
              <w:rPr>
                <w:lang w:val="en-GB"/>
              </w:rPr>
            </w:pPr>
          </w:p>
        </w:tc>
      </w:tr>
      <w:tr w:rsidR="00EE1EA3" w14:paraId="48D2C6B4" w14:textId="77777777" w:rsidTr="00D14821">
        <w:trPr>
          <w:trHeight w:val="20"/>
        </w:trPr>
        <w:tc>
          <w:tcPr>
            <w:tcW w:w="3018" w:type="pct"/>
            <w:hideMark/>
          </w:tcPr>
          <w:p w14:paraId="6029623C"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Likelihood of manufacturer retaliation where indemnification is requested</w:t>
            </w:r>
          </w:p>
        </w:tc>
        <w:tc>
          <w:tcPr>
            <w:tcW w:w="577" w:type="pct"/>
            <w:hideMark/>
          </w:tcPr>
          <w:p w14:paraId="2EAA7E13" w14:textId="77777777" w:rsidR="00EE1EA3" w:rsidRPr="001B4246" w:rsidRDefault="00EE1EA3" w:rsidP="00D14821">
            <w:pPr>
              <w:spacing w:after="0"/>
              <w:rPr>
                <w:rFonts w:asciiTheme="majorHAnsi" w:hAnsiTheme="majorHAnsi"/>
                <w:color w:val="000000" w:themeColor="text1"/>
                <w:lang w:val="en-GB"/>
              </w:rPr>
            </w:pPr>
            <w:r w:rsidRPr="001B4246">
              <w:rPr>
                <w:lang w:val="en-GB"/>
              </w:rPr>
              <w:t>10%</w:t>
            </w:r>
          </w:p>
        </w:tc>
        <w:tc>
          <w:tcPr>
            <w:tcW w:w="1405" w:type="pct"/>
            <w:hideMark/>
          </w:tcPr>
          <w:p w14:paraId="5DB3766B" w14:textId="77777777" w:rsidR="00EE1EA3" w:rsidRPr="001B4246" w:rsidRDefault="00EE1EA3" w:rsidP="00D14821">
            <w:pPr>
              <w:spacing w:after="0"/>
              <w:rPr>
                <w:lang w:val="en-GB"/>
              </w:rPr>
            </w:pPr>
            <w:r w:rsidRPr="001B4246">
              <w:rPr>
                <w:lang w:val="en-GB"/>
              </w:rPr>
              <w:t>Deloitte assumption</w:t>
            </w:r>
          </w:p>
        </w:tc>
      </w:tr>
      <w:tr w:rsidR="00EE1EA3" w14:paraId="73F02ACD" w14:textId="77777777" w:rsidTr="00D14821">
        <w:trPr>
          <w:trHeight w:val="20"/>
        </w:trPr>
        <w:tc>
          <w:tcPr>
            <w:tcW w:w="3018" w:type="pct"/>
            <w:hideMark/>
          </w:tcPr>
          <w:p w14:paraId="591DCD7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Resulting likelihood that a supplier seeks indemnification</w:t>
            </w:r>
          </w:p>
        </w:tc>
        <w:tc>
          <w:tcPr>
            <w:tcW w:w="577" w:type="pct"/>
            <w:hideMark/>
          </w:tcPr>
          <w:p w14:paraId="675F5106" w14:textId="77777777" w:rsidR="00EE1EA3" w:rsidRPr="001B4246" w:rsidRDefault="00EE1EA3" w:rsidP="00D14821">
            <w:pPr>
              <w:spacing w:after="0"/>
              <w:rPr>
                <w:rFonts w:asciiTheme="majorHAnsi" w:hAnsiTheme="majorHAnsi"/>
                <w:color w:val="000000" w:themeColor="text1"/>
                <w:lang w:val="en-GB"/>
              </w:rPr>
            </w:pPr>
            <w:r w:rsidRPr="001B4246">
              <w:rPr>
                <w:lang w:val="en-GB"/>
              </w:rPr>
              <w:t>90%</w:t>
            </w:r>
          </w:p>
        </w:tc>
        <w:tc>
          <w:tcPr>
            <w:tcW w:w="1405" w:type="pct"/>
            <w:hideMark/>
          </w:tcPr>
          <w:p w14:paraId="4EB43F60" w14:textId="77777777" w:rsidR="00EE1EA3" w:rsidRPr="001B4246" w:rsidRDefault="00EE1EA3" w:rsidP="00D14821">
            <w:pPr>
              <w:spacing w:after="0"/>
              <w:rPr>
                <w:lang w:val="en-GB"/>
              </w:rPr>
            </w:pPr>
            <w:r w:rsidRPr="001B4246">
              <w:rPr>
                <w:lang w:val="en-GB"/>
              </w:rPr>
              <w:t>Deloitte assumption</w:t>
            </w:r>
          </w:p>
        </w:tc>
      </w:tr>
      <w:tr w:rsidR="00EE1EA3" w14:paraId="100A2A7F" w14:textId="77777777" w:rsidTr="00D14821">
        <w:trPr>
          <w:trHeight w:val="20"/>
        </w:trPr>
        <w:tc>
          <w:tcPr>
            <w:tcW w:w="3018" w:type="pct"/>
            <w:hideMark/>
          </w:tcPr>
          <w:p w14:paraId="5FA6EE03"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Propensity for manufacturer to indemnify supplier</w:t>
            </w:r>
          </w:p>
        </w:tc>
        <w:tc>
          <w:tcPr>
            <w:tcW w:w="577" w:type="pct"/>
            <w:hideMark/>
          </w:tcPr>
          <w:p w14:paraId="2205C687" w14:textId="77777777" w:rsidR="00EE1EA3" w:rsidRPr="001B4246" w:rsidRDefault="00EE1EA3" w:rsidP="00D14821">
            <w:pPr>
              <w:spacing w:after="0"/>
              <w:rPr>
                <w:lang w:val="en-GB"/>
              </w:rPr>
            </w:pPr>
            <w:r w:rsidRPr="001B4246">
              <w:rPr>
                <w:lang w:val="en-GB"/>
              </w:rPr>
              <w:t>80%</w:t>
            </w:r>
          </w:p>
        </w:tc>
        <w:tc>
          <w:tcPr>
            <w:tcW w:w="1405" w:type="pct"/>
            <w:hideMark/>
          </w:tcPr>
          <w:p w14:paraId="529DEFED" w14:textId="77777777" w:rsidR="00EE1EA3" w:rsidRPr="001B4246" w:rsidRDefault="00EE1EA3" w:rsidP="00D14821">
            <w:pPr>
              <w:spacing w:after="0"/>
              <w:rPr>
                <w:lang w:val="en-GB"/>
              </w:rPr>
            </w:pPr>
            <w:r w:rsidRPr="001B4246">
              <w:rPr>
                <w:lang w:val="en-GB"/>
              </w:rPr>
              <w:t>Deloitte assumption</w:t>
            </w:r>
          </w:p>
        </w:tc>
      </w:tr>
      <w:tr w:rsidR="00EE1EA3" w14:paraId="2E5158C6" w14:textId="77777777" w:rsidTr="00D14821">
        <w:trPr>
          <w:trHeight w:val="20"/>
        </w:trPr>
        <w:tc>
          <w:tcPr>
            <w:tcW w:w="3018" w:type="pct"/>
            <w:hideMark/>
          </w:tcPr>
          <w:p w14:paraId="710D03F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Resulting likelihood indemnification for each remedy</w:t>
            </w:r>
          </w:p>
        </w:tc>
        <w:tc>
          <w:tcPr>
            <w:tcW w:w="577" w:type="pct"/>
            <w:hideMark/>
          </w:tcPr>
          <w:p w14:paraId="1B5E96B8" w14:textId="77777777" w:rsidR="00EE1EA3" w:rsidRPr="001B4246" w:rsidRDefault="00EE1EA3" w:rsidP="00D14821">
            <w:pPr>
              <w:spacing w:after="0"/>
              <w:rPr>
                <w:lang w:val="en-GB"/>
              </w:rPr>
            </w:pPr>
            <w:r w:rsidRPr="001B4246">
              <w:rPr>
                <w:lang w:val="en-GB"/>
              </w:rPr>
              <w:t>72%</w:t>
            </w:r>
          </w:p>
        </w:tc>
        <w:tc>
          <w:tcPr>
            <w:tcW w:w="1405" w:type="pct"/>
            <w:hideMark/>
          </w:tcPr>
          <w:p w14:paraId="16C8BEED" w14:textId="77777777" w:rsidR="00EE1EA3" w:rsidRPr="001B4246" w:rsidRDefault="00EE1EA3" w:rsidP="00D14821">
            <w:pPr>
              <w:spacing w:after="0"/>
              <w:rPr>
                <w:lang w:val="en-GB"/>
              </w:rPr>
            </w:pPr>
            <w:r w:rsidRPr="001B4246">
              <w:rPr>
                <w:lang w:val="en-GB"/>
              </w:rPr>
              <w:t>Deloitte assumption</w:t>
            </w:r>
          </w:p>
        </w:tc>
      </w:tr>
      <w:tr w:rsidR="00EE1EA3" w14:paraId="4A5F32A8" w14:textId="77777777" w:rsidTr="00D14821">
        <w:trPr>
          <w:trHeight w:val="20"/>
        </w:trPr>
        <w:tc>
          <w:tcPr>
            <w:tcW w:w="3018" w:type="pct"/>
            <w:hideMark/>
          </w:tcPr>
          <w:p w14:paraId="01C77322" w14:textId="77777777" w:rsidR="00EE1EA3" w:rsidRPr="001B4246" w:rsidRDefault="00EE1EA3" w:rsidP="00D14821">
            <w:pPr>
              <w:spacing w:after="0"/>
              <w:rPr>
                <w:rFonts w:asciiTheme="majorHAnsi" w:hAnsiTheme="majorHAnsi"/>
                <w:b/>
                <w:bCs/>
                <w:color w:val="000000" w:themeColor="text1"/>
                <w:lang w:val="en-GB"/>
              </w:rPr>
            </w:pPr>
            <w:r w:rsidRPr="001B4246">
              <w:rPr>
                <w:rFonts w:asciiTheme="majorHAnsi" w:hAnsiTheme="majorHAnsi"/>
                <w:b/>
                <w:bCs/>
                <w:color w:val="000000" w:themeColor="text1"/>
                <w:lang w:val="en-GB"/>
              </w:rPr>
              <w:t>Likelihood for suppliers to provide remedies as refunds/replacements</w:t>
            </w:r>
          </w:p>
        </w:tc>
        <w:tc>
          <w:tcPr>
            <w:tcW w:w="577" w:type="pct"/>
          </w:tcPr>
          <w:p w14:paraId="5B98929A" w14:textId="77777777" w:rsidR="00EE1EA3" w:rsidRPr="001B4246" w:rsidRDefault="00EE1EA3" w:rsidP="00D14821">
            <w:pPr>
              <w:spacing w:after="0"/>
              <w:rPr>
                <w:lang w:val="en-GB"/>
              </w:rPr>
            </w:pPr>
          </w:p>
        </w:tc>
        <w:tc>
          <w:tcPr>
            <w:tcW w:w="1405" w:type="pct"/>
          </w:tcPr>
          <w:p w14:paraId="073D0115" w14:textId="77777777" w:rsidR="00EE1EA3" w:rsidRPr="001B4246" w:rsidRDefault="00EE1EA3" w:rsidP="00D14821">
            <w:pPr>
              <w:spacing w:after="0"/>
              <w:rPr>
                <w:lang w:val="en-GB"/>
              </w:rPr>
            </w:pPr>
          </w:p>
        </w:tc>
      </w:tr>
      <w:tr w:rsidR="00EE1EA3" w14:paraId="4ECDA4C4" w14:textId="77777777" w:rsidTr="00D14821">
        <w:trPr>
          <w:trHeight w:val="20"/>
        </w:trPr>
        <w:tc>
          <w:tcPr>
            <w:tcW w:w="3018" w:type="pct"/>
            <w:hideMark/>
          </w:tcPr>
          <w:p w14:paraId="4127416E"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Motor vehicles</w:t>
            </w:r>
          </w:p>
        </w:tc>
        <w:tc>
          <w:tcPr>
            <w:tcW w:w="577" w:type="pct"/>
            <w:hideMark/>
          </w:tcPr>
          <w:p w14:paraId="1A05F01B" w14:textId="77777777" w:rsidR="00EE1EA3" w:rsidRPr="001B4246" w:rsidRDefault="00EE1EA3" w:rsidP="00D14821">
            <w:pPr>
              <w:spacing w:after="0"/>
              <w:rPr>
                <w:lang w:val="en-GB"/>
              </w:rPr>
            </w:pPr>
            <w:r w:rsidRPr="001B4246">
              <w:rPr>
                <w:lang w:val="en-GB"/>
              </w:rPr>
              <w:t>10%</w:t>
            </w:r>
          </w:p>
        </w:tc>
        <w:tc>
          <w:tcPr>
            <w:tcW w:w="1405" w:type="pct"/>
            <w:hideMark/>
          </w:tcPr>
          <w:p w14:paraId="70D8F8CC" w14:textId="77777777" w:rsidR="00EE1EA3" w:rsidRPr="001B4246" w:rsidRDefault="00EE1EA3" w:rsidP="00D14821">
            <w:pPr>
              <w:spacing w:after="0"/>
              <w:rPr>
                <w:lang w:val="en-GB"/>
              </w:rPr>
            </w:pPr>
            <w:r w:rsidRPr="001B4246">
              <w:rPr>
                <w:lang w:val="en-GB"/>
              </w:rPr>
              <w:t>Deloitte assumption</w:t>
            </w:r>
          </w:p>
        </w:tc>
      </w:tr>
      <w:tr w:rsidR="00EE1EA3" w14:paraId="409098E8" w14:textId="77777777" w:rsidTr="00D14821">
        <w:trPr>
          <w:trHeight w:val="20"/>
        </w:trPr>
        <w:tc>
          <w:tcPr>
            <w:tcW w:w="3018" w:type="pct"/>
            <w:hideMark/>
          </w:tcPr>
          <w:p w14:paraId="4236DA6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lastRenderedPageBreak/>
              <w:t>Food retailing</w:t>
            </w:r>
          </w:p>
        </w:tc>
        <w:tc>
          <w:tcPr>
            <w:tcW w:w="577" w:type="pct"/>
            <w:hideMark/>
          </w:tcPr>
          <w:p w14:paraId="4D6499A6" w14:textId="77777777" w:rsidR="00EE1EA3" w:rsidRPr="001B4246" w:rsidRDefault="00EE1EA3" w:rsidP="00D14821">
            <w:pPr>
              <w:spacing w:after="0"/>
              <w:rPr>
                <w:lang w:val="en-GB"/>
              </w:rPr>
            </w:pPr>
            <w:r w:rsidRPr="001B4246">
              <w:rPr>
                <w:lang w:val="en-GB"/>
              </w:rPr>
              <w:t>100%</w:t>
            </w:r>
          </w:p>
        </w:tc>
        <w:tc>
          <w:tcPr>
            <w:tcW w:w="1405" w:type="pct"/>
            <w:hideMark/>
          </w:tcPr>
          <w:p w14:paraId="27674A0D" w14:textId="77777777" w:rsidR="00EE1EA3" w:rsidRPr="001B4246" w:rsidRDefault="00EE1EA3" w:rsidP="00D14821">
            <w:pPr>
              <w:spacing w:after="0"/>
              <w:rPr>
                <w:lang w:val="en-GB"/>
              </w:rPr>
            </w:pPr>
            <w:r w:rsidRPr="001B4246">
              <w:rPr>
                <w:lang w:val="en-GB"/>
              </w:rPr>
              <w:t>Deloitte assumption</w:t>
            </w:r>
          </w:p>
        </w:tc>
      </w:tr>
      <w:tr w:rsidR="00EE1EA3" w14:paraId="2B1BA09F" w14:textId="77777777" w:rsidTr="00D14821">
        <w:trPr>
          <w:trHeight w:val="20"/>
        </w:trPr>
        <w:tc>
          <w:tcPr>
            <w:tcW w:w="3018" w:type="pct"/>
            <w:hideMark/>
          </w:tcPr>
          <w:p w14:paraId="0646E15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Household goods retailing</w:t>
            </w:r>
          </w:p>
        </w:tc>
        <w:tc>
          <w:tcPr>
            <w:tcW w:w="577" w:type="pct"/>
            <w:hideMark/>
          </w:tcPr>
          <w:p w14:paraId="68406188" w14:textId="77777777" w:rsidR="00EE1EA3" w:rsidRPr="001B4246" w:rsidRDefault="00EE1EA3" w:rsidP="00D14821">
            <w:pPr>
              <w:spacing w:after="0"/>
              <w:rPr>
                <w:lang w:val="en-GB"/>
              </w:rPr>
            </w:pPr>
            <w:r w:rsidRPr="001B4246">
              <w:rPr>
                <w:lang w:val="en-GB"/>
              </w:rPr>
              <w:t>60%</w:t>
            </w:r>
          </w:p>
        </w:tc>
        <w:tc>
          <w:tcPr>
            <w:tcW w:w="1405" w:type="pct"/>
            <w:hideMark/>
          </w:tcPr>
          <w:p w14:paraId="08EA99D1" w14:textId="77777777" w:rsidR="00EE1EA3" w:rsidRPr="001B4246" w:rsidRDefault="00EE1EA3" w:rsidP="00D14821">
            <w:pPr>
              <w:spacing w:after="0"/>
              <w:rPr>
                <w:lang w:val="en-GB"/>
              </w:rPr>
            </w:pPr>
            <w:r w:rsidRPr="001B4246">
              <w:rPr>
                <w:lang w:val="en-GB"/>
              </w:rPr>
              <w:t>Deloitte assumption</w:t>
            </w:r>
          </w:p>
        </w:tc>
      </w:tr>
      <w:tr w:rsidR="00EE1EA3" w14:paraId="3B82A16A" w14:textId="77777777" w:rsidTr="00D14821">
        <w:trPr>
          <w:trHeight w:val="20"/>
        </w:trPr>
        <w:tc>
          <w:tcPr>
            <w:tcW w:w="3018" w:type="pct"/>
            <w:hideMark/>
          </w:tcPr>
          <w:p w14:paraId="5DEDC85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Clothing, footwear and personal accessory retailing</w:t>
            </w:r>
          </w:p>
        </w:tc>
        <w:tc>
          <w:tcPr>
            <w:tcW w:w="577" w:type="pct"/>
            <w:hideMark/>
          </w:tcPr>
          <w:p w14:paraId="062C27AC" w14:textId="77777777" w:rsidR="00EE1EA3" w:rsidRPr="001B4246" w:rsidRDefault="00EE1EA3" w:rsidP="00D14821">
            <w:pPr>
              <w:spacing w:after="0"/>
              <w:rPr>
                <w:lang w:val="en-GB"/>
              </w:rPr>
            </w:pPr>
            <w:r w:rsidRPr="001B4246">
              <w:rPr>
                <w:lang w:val="en-GB"/>
              </w:rPr>
              <w:t>60%</w:t>
            </w:r>
          </w:p>
        </w:tc>
        <w:tc>
          <w:tcPr>
            <w:tcW w:w="1405" w:type="pct"/>
            <w:hideMark/>
          </w:tcPr>
          <w:p w14:paraId="66FAB870" w14:textId="77777777" w:rsidR="00EE1EA3" w:rsidRPr="001B4246" w:rsidRDefault="00EE1EA3" w:rsidP="00D14821">
            <w:pPr>
              <w:spacing w:after="0"/>
              <w:rPr>
                <w:lang w:val="en-GB"/>
              </w:rPr>
            </w:pPr>
            <w:r w:rsidRPr="001B4246">
              <w:rPr>
                <w:lang w:val="en-GB"/>
              </w:rPr>
              <w:t>Deloitte assumption</w:t>
            </w:r>
          </w:p>
        </w:tc>
      </w:tr>
      <w:tr w:rsidR="00EE1EA3" w14:paraId="619B486C" w14:textId="77777777" w:rsidTr="00D14821">
        <w:trPr>
          <w:trHeight w:val="20"/>
        </w:trPr>
        <w:tc>
          <w:tcPr>
            <w:tcW w:w="3018" w:type="pct"/>
            <w:hideMark/>
          </w:tcPr>
          <w:p w14:paraId="1D773B99"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Department stores</w:t>
            </w:r>
          </w:p>
        </w:tc>
        <w:tc>
          <w:tcPr>
            <w:tcW w:w="577" w:type="pct"/>
            <w:hideMark/>
          </w:tcPr>
          <w:p w14:paraId="02361921" w14:textId="77777777" w:rsidR="00EE1EA3" w:rsidRPr="001B4246" w:rsidRDefault="00EE1EA3" w:rsidP="00D14821">
            <w:pPr>
              <w:spacing w:after="0"/>
              <w:rPr>
                <w:lang w:val="en-GB"/>
              </w:rPr>
            </w:pPr>
            <w:r w:rsidRPr="001B4246">
              <w:rPr>
                <w:lang w:val="en-GB"/>
              </w:rPr>
              <w:t>60%</w:t>
            </w:r>
          </w:p>
        </w:tc>
        <w:tc>
          <w:tcPr>
            <w:tcW w:w="1405" w:type="pct"/>
            <w:hideMark/>
          </w:tcPr>
          <w:p w14:paraId="706EB178" w14:textId="77777777" w:rsidR="00EE1EA3" w:rsidRPr="001B4246" w:rsidRDefault="00EE1EA3" w:rsidP="00D14821">
            <w:pPr>
              <w:spacing w:after="0"/>
              <w:rPr>
                <w:lang w:val="en-GB"/>
              </w:rPr>
            </w:pPr>
            <w:r w:rsidRPr="001B4246">
              <w:rPr>
                <w:lang w:val="en-GB"/>
              </w:rPr>
              <w:t>Deloitte assumption</w:t>
            </w:r>
          </w:p>
        </w:tc>
      </w:tr>
      <w:tr w:rsidR="00EE1EA3" w14:paraId="40911ADA" w14:textId="77777777" w:rsidTr="00D14821">
        <w:trPr>
          <w:trHeight w:val="20"/>
        </w:trPr>
        <w:tc>
          <w:tcPr>
            <w:tcW w:w="3018" w:type="pct"/>
            <w:hideMark/>
          </w:tcPr>
          <w:p w14:paraId="1D364382"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Other retailing</w:t>
            </w:r>
          </w:p>
        </w:tc>
        <w:tc>
          <w:tcPr>
            <w:tcW w:w="577" w:type="pct"/>
            <w:hideMark/>
          </w:tcPr>
          <w:p w14:paraId="45C897C3" w14:textId="77777777" w:rsidR="00EE1EA3" w:rsidRPr="001B4246" w:rsidRDefault="00EE1EA3" w:rsidP="00D14821">
            <w:pPr>
              <w:spacing w:after="0"/>
              <w:rPr>
                <w:lang w:val="en-GB"/>
              </w:rPr>
            </w:pPr>
            <w:r w:rsidRPr="001B4246">
              <w:rPr>
                <w:lang w:val="en-GB"/>
              </w:rPr>
              <w:t>60%</w:t>
            </w:r>
          </w:p>
        </w:tc>
        <w:tc>
          <w:tcPr>
            <w:tcW w:w="1405" w:type="pct"/>
            <w:hideMark/>
          </w:tcPr>
          <w:p w14:paraId="3B72DCE5" w14:textId="77777777" w:rsidR="00EE1EA3" w:rsidRPr="001B4246" w:rsidRDefault="00EE1EA3" w:rsidP="00D14821">
            <w:pPr>
              <w:spacing w:after="0"/>
              <w:rPr>
                <w:lang w:val="en-GB"/>
              </w:rPr>
            </w:pPr>
            <w:r w:rsidRPr="001B4246">
              <w:rPr>
                <w:lang w:val="en-GB"/>
              </w:rPr>
              <w:t>Deloitte assumption</w:t>
            </w:r>
          </w:p>
        </w:tc>
      </w:tr>
      <w:tr w:rsidR="00EE1EA3" w14:paraId="2E173C20" w14:textId="77777777" w:rsidTr="00D14821">
        <w:trPr>
          <w:trHeight w:val="20"/>
        </w:trPr>
        <w:tc>
          <w:tcPr>
            <w:tcW w:w="3018" w:type="pct"/>
            <w:hideMark/>
          </w:tcPr>
          <w:p w14:paraId="19BFF8FC"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Services</w:t>
            </w:r>
          </w:p>
        </w:tc>
        <w:tc>
          <w:tcPr>
            <w:tcW w:w="577" w:type="pct"/>
            <w:hideMark/>
          </w:tcPr>
          <w:p w14:paraId="74BFA293" w14:textId="77777777" w:rsidR="00EE1EA3" w:rsidRPr="001B4246" w:rsidRDefault="00EE1EA3" w:rsidP="00D14821">
            <w:pPr>
              <w:spacing w:after="0"/>
              <w:rPr>
                <w:lang w:val="en-GB"/>
              </w:rPr>
            </w:pPr>
            <w:r w:rsidRPr="001B4246">
              <w:rPr>
                <w:lang w:val="en-GB"/>
              </w:rPr>
              <w:t>60%</w:t>
            </w:r>
          </w:p>
        </w:tc>
        <w:tc>
          <w:tcPr>
            <w:tcW w:w="1405" w:type="pct"/>
            <w:hideMark/>
          </w:tcPr>
          <w:p w14:paraId="76CCE918" w14:textId="77777777" w:rsidR="00EE1EA3" w:rsidRPr="001B4246" w:rsidRDefault="00EE1EA3" w:rsidP="00D14821">
            <w:pPr>
              <w:spacing w:after="0"/>
              <w:rPr>
                <w:lang w:val="en-GB"/>
              </w:rPr>
            </w:pPr>
            <w:r w:rsidRPr="001B4246">
              <w:rPr>
                <w:lang w:val="en-GB"/>
              </w:rPr>
              <w:t>Deloitte assumption</w:t>
            </w:r>
          </w:p>
        </w:tc>
      </w:tr>
      <w:tr w:rsidR="00EE1EA3" w14:paraId="52EFEFB7" w14:textId="77777777" w:rsidTr="00D14821">
        <w:trPr>
          <w:trHeight w:val="20"/>
        </w:trPr>
        <w:tc>
          <w:tcPr>
            <w:tcW w:w="3018" w:type="pct"/>
            <w:hideMark/>
          </w:tcPr>
          <w:p w14:paraId="4C6A5B96"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Construction (building, renovations etc.)</w:t>
            </w:r>
          </w:p>
        </w:tc>
        <w:tc>
          <w:tcPr>
            <w:tcW w:w="577" w:type="pct"/>
            <w:hideMark/>
          </w:tcPr>
          <w:p w14:paraId="274859AB" w14:textId="77777777" w:rsidR="00EE1EA3" w:rsidRPr="001B4246" w:rsidRDefault="00EE1EA3" w:rsidP="00D14821">
            <w:pPr>
              <w:spacing w:after="0"/>
              <w:rPr>
                <w:lang w:val="en-GB"/>
              </w:rPr>
            </w:pPr>
            <w:r w:rsidRPr="001B4246">
              <w:rPr>
                <w:lang w:val="en-GB"/>
              </w:rPr>
              <w:t>0%</w:t>
            </w:r>
          </w:p>
        </w:tc>
        <w:tc>
          <w:tcPr>
            <w:tcW w:w="1405" w:type="pct"/>
            <w:hideMark/>
          </w:tcPr>
          <w:p w14:paraId="1DA4B63C" w14:textId="77777777" w:rsidR="00EE1EA3" w:rsidRPr="001B4246" w:rsidRDefault="00EE1EA3" w:rsidP="00D14821">
            <w:pPr>
              <w:spacing w:after="0"/>
              <w:rPr>
                <w:lang w:val="en-GB"/>
              </w:rPr>
            </w:pPr>
            <w:r w:rsidRPr="001B4246">
              <w:rPr>
                <w:lang w:val="en-GB"/>
              </w:rPr>
              <w:t>Deloitte assumption</w:t>
            </w:r>
          </w:p>
        </w:tc>
      </w:tr>
    </w:tbl>
    <w:p w14:paraId="59CC2A1A" w14:textId="77777777" w:rsidR="00EE1EA3" w:rsidRDefault="00EE1EA3" w:rsidP="00EE1EA3">
      <w:pPr>
        <w:spacing w:before="0" w:after="0" w:line="240" w:lineRule="auto"/>
        <w:rPr>
          <w:sz w:val="20"/>
        </w:rPr>
      </w:pPr>
      <w:r>
        <w:rPr>
          <w:sz w:val="20"/>
        </w:rPr>
        <w:t> </w:t>
      </w:r>
    </w:p>
    <w:p w14:paraId="0878137F" w14:textId="77777777" w:rsidR="00EE1EA3" w:rsidRPr="00CC6B27" w:rsidRDefault="00EE1EA3" w:rsidP="00EE1EA3">
      <w:pPr>
        <w:pStyle w:val="Heading3"/>
        <w:rPr>
          <w:rStyle w:val="Bold"/>
          <w:b w:val="0"/>
        </w:rPr>
      </w:pPr>
      <w:bookmarkStart w:id="249" w:name="_Toc89700951"/>
      <w:r>
        <w:rPr>
          <w:rStyle w:val="Bold"/>
          <w:b w:val="0"/>
        </w:rPr>
        <w:t>Methodology and assumptions of the regulatory cost</w:t>
      </w:r>
      <w:bookmarkEnd w:id="249"/>
      <w:r>
        <w:rPr>
          <w:rStyle w:val="Bold"/>
          <w:b w:val="0"/>
        </w:rPr>
        <w:t xml:space="preserve"> </w:t>
      </w:r>
    </w:p>
    <w:p w14:paraId="01909FC5" w14:textId="6060A1D3" w:rsidR="00EE1EA3" w:rsidRDefault="00EE1EA3" w:rsidP="00EE1EA3">
      <w:r>
        <w:t>It is anticipated that Part A – Option 3 and Part B – Option 3 and 4 will have an average compliance cost impact, averaged over 10 years of $4.48 million to business.</w:t>
      </w:r>
      <w:r>
        <w:rPr>
          <w:rStyle w:val="FootnoteReference"/>
        </w:rPr>
        <w:footnoteReference w:id="104"/>
      </w:r>
      <w:r>
        <w:t xml:space="preserve"> The cost relates to one-off staff training on the new regulatory requirements. While the underlying obligation has not changed, it has been assumed staff undergo training on the consequences of non-compliance to support the change in behaviour. It is the same for all options where training is required. </w:t>
      </w:r>
    </w:p>
    <w:p w14:paraId="5E216B4C" w14:textId="77777777" w:rsidR="00EE1EA3" w:rsidRDefault="00EE1EA3" w:rsidP="00EE1EA3">
      <w:r>
        <w:t xml:space="preserve">The cost estimate is based on the following assumptions: </w:t>
      </w:r>
    </w:p>
    <w:p w14:paraId="431E3477" w14:textId="77777777" w:rsidR="00EE1EA3" w:rsidRDefault="00EE1EA3" w:rsidP="00EE1EA3">
      <w:pPr>
        <w:pStyle w:val="Bullet"/>
      </w:pPr>
      <w:r>
        <w:t xml:space="preserve">Deloitte Access Economics forecasts for sectoral employment for retail trade have been used to understand the number of employees affected by any change and who would subsequently require some training. This is estimated to be approximately 1.227 million retail staff. </w:t>
      </w:r>
    </w:p>
    <w:p w14:paraId="78CF7FF6" w14:textId="77777777" w:rsidR="00EE1EA3" w:rsidRDefault="00EE1EA3" w:rsidP="00EE1EA3">
      <w:pPr>
        <w:pStyle w:val="Bullet"/>
      </w:pPr>
      <w:r>
        <w:t>30 minutes of one-off training required by every retail employee, at the expense of the business.</w:t>
      </w:r>
    </w:p>
    <w:p w14:paraId="4B6CEC30" w14:textId="0B7DC315" w:rsidR="00EE1EA3" w:rsidRPr="00C936A1" w:rsidRDefault="00EE1EA3" w:rsidP="00EE1EA3">
      <w:pPr>
        <w:pStyle w:val="Bullet"/>
      </w:pPr>
      <w:r>
        <w:t>A work-related labour cost (including on-costs) of $73.05 per hour is applied to the time required for this training.</w:t>
      </w:r>
    </w:p>
    <w:p w14:paraId="618C8DE2" w14:textId="77777777" w:rsidR="00EE1EA3" w:rsidRDefault="00EE1EA3">
      <w:pPr>
        <w:spacing w:before="0" w:after="160" w:line="259" w:lineRule="auto"/>
        <w:rPr>
          <w:rFonts w:cs="Arial"/>
          <w:color w:val="002C47" w:themeColor="accent1"/>
          <w:kern w:val="32"/>
          <w:sz w:val="48"/>
          <w:szCs w:val="36"/>
        </w:rPr>
      </w:pPr>
      <w:r>
        <w:br w:type="page"/>
      </w:r>
    </w:p>
    <w:p w14:paraId="0FC8005D" w14:textId="0521176E" w:rsidR="00E35AB1" w:rsidRDefault="00E35AB1" w:rsidP="00D012B4">
      <w:pPr>
        <w:pStyle w:val="Heading1"/>
      </w:pPr>
      <w:bookmarkStart w:id="250" w:name="_Toc89700952"/>
      <w:r>
        <w:lastRenderedPageBreak/>
        <w:t>Appendix B</w:t>
      </w:r>
      <w:r w:rsidR="00314F51">
        <w:t xml:space="preserve"> – Figures and </w:t>
      </w:r>
      <w:r w:rsidR="00191DA4">
        <w:t>t</w:t>
      </w:r>
      <w:r w:rsidR="00314F51">
        <w:t>ables</w:t>
      </w:r>
      <w:bookmarkEnd w:id="250"/>
      <w:r w:rsidR="00314F51">
        <w:t xml:space="preserve"> </w:t>
      </w:r>
    </w:p>
    <w:p w14:paraId="45B8CBC7" w14:textId="47ACC211" w:rsidR="001924FA" w:rsidRDefault="001924FA" w:rsidP="001924FA">
      <w:pPr>
        <w:pStyle w:val="Heading3"/>
      </w:pPr>
      <w:bookmarkStart w:id="251" w:name="_Toc89700953"/>
      <w:r>
        <w:t>Figures</w:t>
      </w:r>
      <w:bookmarkEnd w:id="251"/>
      <w:r>
        <w:t xml:space="preserve"> </w:t>
      </w:r>
    </w:p>
    <w:p w14:paraId="553E2FF4" w14:textId="188F4F52" w:rsidR="00474933" w:rsidRPr="00474933" w:rsidRDefault="001924FA">
      <w:pPr>
        <w:pStyle w:val="TableofFigures"/>
        <w:tabs>
          <w:tab w:val="right" w:leader="dot" w:pos="9060"/>
        </w:tabs>
        <w:rPr>
          <w:rFonts w:asciiTheme="minorHAnsi" w:eastAsiaTheme="minorEastAsia" w:hAnsiTheme="minorHAnsi" w:cstheme="minorBidi"/>
          <w:noProof/>
          <w:szCs w:val="22"/>
        </w:rPr>
      </w:pPr>
      <w:r w:rsidRPr="00474933">
        <w:fldChar w:fldCharType="begin"/>
      </w:r>
      <w:r w:rsidRPr="00474933">
        <w:instrText xml:space="preserve"> TOC \h \z \c "Figure" </w:instrText>
      </w:r>
      <w:r w:rsidRPr="00474933">
        <w:fldChar w:fldCharType="separate"/>
      </w:r>
      <w:hyperlink w:anchor="_Toc88729414" w:history="1">
        <w:r w:rsidR="00474933" w:rsidRPr="00474933">
          <w:rPr>
            <w:rStyle w:val="Hyperlink"/>
            <w:noProof/>
          </w:rPr>
          <w:t xml:space="preserve">Figure 1: </w:t>
        </w:r>
        <w:r w:rsidR="00474933" w:rsidRPr="00474933">
          <w:rPr>
            <w:rStyle w:val="Hyperlink"/>
            <w:noProof/>
            <w:lang w:val="en-US"/>
          </w:rPr>
          <w:t xml:space="preserve">Consumer guarantee issues reported to the ACCC </w:t>
        </w:r>
        <w:r w:rsidR="00474933" w:rsidRPr="00474933">
          <w:rPr>
            <w:noProof/>
            <w:webHidden/>
          </w:rPr>
          <w:tab/>
        </w:r>
        <w:r w:rsidR="00474933" w:rsidRPr="00474933">
          <w:rPr>
            <w:noProof/>
            <w:webHidden/>
          </w:rPr>
          <w:fldChar w:fldCharType="begin"/>
        </w:r>
        <w:r w:rsidR="00474933" w:rsidRPr="00474933">
          <w:rPr>
            <w:noProof/>
            <w:webHidden/>
          </w:rPr>
          <w:instrText xml:space="preserve"> PAGEREF _Toc88729414 \h </w:instrText>
        </w:r>
        <w:r w:rsidR="00474933" w:rsidRPr="00474933">
          <w:rPr>
            <w:noProof/>
            <w:webHidden/>
          </w:rPr>
        </w:r>
        <w:r w:rsidR="00474933" w:rsidRPr="00474933">
          <w:rPr>
            <w:noProof/>
            <w:webHidden/>
          </w:rPr>
          <w:fldChar w:fldCharType="separate"/>
        </w:r>
        <w:r w:rsidR="00001633">
          <w:rPr>
            <w:noProof/>
            <w:webHidden/>
          </w:rPr>
          <w:t>23</w:t>
        </w:r>
        <w:r w:rsidR="00474933" w:rsidRPr="00474933">
          <w:rPr>
            <w:noProof/>
            <w:webHidden/>
          </w:rPr>
          <w:fldChar w:fldCharType="end"/>
        </w:r>
      </w:hyperlink>
    </w:p>
    <w:p w14:paraId="06C2A06B" w14:textId="4DC28280" w:rsidR="00E35AB1" w:rsidRPr="00E15AF5" w:rsidRDefault="001924FA" w:rsidP="00E35AB1">
      <w:pPr>
        <w:pStyle w:val="Heading3"/>
      </w:pPr>
      <w:r w:rsidRPr="00474933">
        <w:fldChar w:fldCharType="end"/>
      </w:r>
      <w:bookmarkStart w:id="252" w:name="_Toc89700954"/>
      <w:r w:rsidR="00E35AB1" w:rsidRPr="00E15AF5">
        <w:t>Tables</w:t>
      </w:r>
      <w:bookmarkEnd w:id="252"/>
      <w:r w:rsidR="00E35AB1" w:rsidRPr="00E15AF5">
        <w:t xml:space="preserve"> </w:t>
      </w:r>
    </w:p>
    <w:p w14:paraId="38FF2E77" w14:textId="70F61922" w:rsidR="00ED4D59" w:rsidRPr="00ED4D59" w:rsidRDefault="00E35AB1">
      <w:pPr>
        <w:pStyle w:val="TableofFigures"/>
        <w:tabs>
          <w:tab w:val="right" w:leader="dot" w:pos="9060"/>
        </w:tabs>
        <w:rPr>
          <w:rFonts w:asciiTheme="minorHAnsi" w:eastAsiaTheme="minorEastAsia" w:hAnsiTheme="minorHAnsi" w:cstheme="minorBidi"/>
          <w:noProof/>
          <w:szCs w:val="22"/>
        </w:rPr>
      </w:pPr>
      <w:r w:rsidRPr="00ED4D59">
        <w:fldChar w:fldCharType="begin"/>
      </w:r>
      <w:r w:rsidRPr="00ED4D59">
        <w:instrText xml:space="preserve"> TOC \h \z \c "Table" </w:instrText>
      </w:r>
      <w:r w:rsidRPr="00ED4D59">
        <w:fldChar w:fldCharType="separate"/>
      </w:r>
      <w:hyperlink w:anchor="_Toc89700873" w:history="1">
        <w:r w:rsidR="00ED4D59" w:rsidRPr="00ED4D59">
          <w:rPr>
            <w:rStyle w:val="Hyperlink"/>
            <w:noProof/>
          </w:rPr>
          <w:t>Table 1: Major failure criteria</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_Toc89700873 \h </w:instrText>
        </w:r>
        <w:r w:rsidR="00ED4D59" w:rsidRPr="00ED4D59">
          <w:rPr>
            <w:noProof/>
            <w:webHidden/>
          </w:rPr>
        </w:r>
        <w:r w:rsidR="00ED4D59" w:rsidRPr="00ED4D59">
          <w:rPr>
            <w:noProof/>
            <w:webHidden/>
          </w:rPr>
          <w:fldChar w:fldCharType="separate"/>
        </w:r>
        <w:r w:rsidR="00001633">
          <w:rPr>
            <w:noProof/>
            <w:webHidden/>
          </w:rPr>
          <w:t>12</w:t>
        </w:r>
        <w:r w:rsidR="00ED4D59" w:rsidRPr="00ED4D59">
          <w:rPr>
            <w:noProof/>
            <w:webHidden/>
          </w:rPr>
          <w:fldChar w:fldCharType="end"/>
        </w:r>
      </w:hyperlink>
    </w:p>
    <w:p w14:paraId="30A657BC" w14:textId="26CE6AF6"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74" w:history="1">
        <w:r w:rsidR="00ED4D59" w:rsidRPr="00ED4D59">
          <w:rPr>
            <w:rStyle w:val="Hyperlink"/>
            <w:noProof/>
          </w:rPr>
          <w:t>Table 2: Summary of benefits and costs of Part A, Option 1</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_Toc89700874 \h </w:instrText>
        </w:r>
        <w:r w:rsidR="00ED4D59" w:rsidRPr="00ED4D59">
          <w:rPr>
            <w:noProof/>
            <w:webHidden/>
          </w:rPr>
        </w:r>
        <w:r w:rsidR="00ED4D59" w:rsidRPr="00ED4D59">
          <w:rPr>
            <w:noProof/>
            <w:webHidden/>
          </w:rPr>
          <w:fldChar w:fldCharType="separate"/>
        </w:r>
        <w:r w:rsidR="00001633">
          <w:rPr>
            <w:noProof/>
            <w:webHidden/>
          </w:rPr>
          <w:t>38</w:t>
        </w:r>
        <w:r w:rsidR="00ED4D59" w:rsidRPr="00ED4D59">
          <w:rPr>
            <w:noProof/>
            <w:webHidden/>
          </w:rPr>
          <w:fldChar w:fldCharType="end"/>
        </w:r>
      </w:hyperlink>
    </w:p>
    <w:p w14:paraId="78808C3A" w14:textId="4CCA38A5"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75" w:history="1">
        <w:r w:rsidR="00ED4D59" w:rsidRPr="00ED4D59">
          <w:rPr>
            <w:rStyle w:val="Hyperlink"/>
            <w:noProof/>
          </w:rPr>
          <w:t>Table 3: Likely net benefit of an education and guidance campaign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_Toc89700875 \h </w:instrText>
        </w:r>
        <w:r w:rsidR="00ED4D59" w:rsidRPr="00ED4D59">
          <w:rPr>
            <w:noProof/>
            <w:webHidden/>
          </w:rPr>
        </w:r>
        <w:r w:rsidR="00ED4D59" w:rsidRPr="00ED4D59">
          <w:rPr>
            <w:noProof/>
            <w:webHidden/>
          </w:rPr>
          <w:fldChar w:fldCharType="separate"/>
        </w:r>
        <w:r w:rsidR="00001633">
          <w:rPr>
            <w:noProof/>
            <w:webHidden/>
          </w:rPr>
          <w:t>42</w:t>
        </w:r>
        <w:r w:rsidR="00ED4D59" w:rsidRPr="00ED4D59">
          <w:rPr>
            <w:noProof/>
            <w:webHidden/>
          </w:rPr>
          <w:fldChar w:fldCharType="end"/>
        </w:r>
      </w:hyperlink>
    </w:p>
    <w:p w14:paraId="76909177" w14:textId="6AB57E55"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76" w:history="1">
        <w:r w:rsidR="00ED4D59" w:rsidRPr="00ED4D59">
          <w:rPr>
            <w:rStyle w:val="Hyperlink"/>
            <w:noProof/>
          </w:rPr>
          <w:t>Table 4: Likely net benefit of an education and guidance campaign over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_Toc89700876 \h </w:instrText>
        </w:r>
        <w:r w:rsidR="00ED4D59" w:rsidRPr="00ED4D59">
          <w:rPr>
            <w:noProof/>
            <w:webHidden/>
          </w:rPr>
        </w:r>
        <w:r w:rsidR="00ED4D59" w:rsidRPr="00ED4D59">
          <w:rPr>
            <w:noProof/>
            <w:webHidden/>
          </w:rPr>
          <w:fldChar w:fldCharType="separate"/>
        </w:r>
        <w:r w:rsidR="00001633">
          <w:rPr>
            <w:noProof/>
            <w:webHidden/>
          </w:rPr>
          <w:t>42</w:t>
        </w:r>
        <w:r w:rsidR="00ED4D59" w:rsidRPr="00ED4D59">
          <w:rPr>
            <w:noProof/>
            <w:webHidden/>
          </w:rPr>
          <w:fldChar w:fldCharType="end"/>
        </w:r>
      </w:hyperlink>
    </w:p>
    <w:p w14:paraId="232980F0" w14:textId="0D2BB7BF"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77" w:history="1">
        <w:r w:rsidR="00ED4D59" w:rsidRPr="00ED4D59">
          <w:rPr>
            <w:rStyle w:val="Hyperlink"/>
            <w:noProof/>
          </w:rPr>
          <w:t>Table 5 : Summary of benefits and costs of Part A, Option 2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_Toc89700877 \h </w:instrText>
        </w:r>
        <w:r w:rsidR="00ED4D59" w:rsidRPr="00ED4D59">
          <w:rPr>
            <w:noProof/>
            <w:webHidden/>
          </w:rPr>
        </w:r>
        <w:r w:rsidR="00ED4D59" w:rsidRPr="00ED4D59">
          <w:rPr>
            <w:noProof/>
            <w:webHidden/>
          </w:rPr>
          <w:fldChar w:fldCharType="separate"/>
        </w:r>
        <w:r w:rsidR="00001633">
          <w:rPr>
            <w:noProof/>
            <w:webHidden/>
          </w:rPr>
          <w:t>43</w:t>
        </w:r>
        <w:r w:rsidR="00ED4D59" w:rsidRPr="00ED4D59">
          <w:rPr>
            <w:noProof/>
            <w:webHidden/>
          </w:rPr>
          <w:fldChar w:fldCharType="end"/>
        </w:r>
      </w:hyperlink>
    </w:p>
    <w:p w14:paraId="0A4430A9" w14:textId="40D05435"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78" w:history="1">
        <w:r w:rsidR="00ED4D59" w:rsidRPr="00ED4D59">
          <w:rPr>
            <w:rStyle w:val="Hyperlink"/>
            <w:noProof/>
          </w:rPr>
          <w:t>Table 6: Regulatory burden estimate table for Part A, Option 3</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_Toc89700878 \h </w:instrText>
        </w:r>
        <w:r w:rsidR="00ED4D59" w:rsidRPr="00ED4D59">
          <w:rPr>
            <w:noProof/>
            <w:webHidden/>
          </w:rPr>
        </w:r>
        <w:r w:rsidR="00ED4D59" w:rsidRPr="00ED4D59">
          <w:rPr>
            <w:noProof/>
            <w:webHidden/>
          </w:rPr>
          <w:fldChar w:fldCharType="separate"/>
        </w:r>
        <w:r w:rsidR="00001633">
          <w:rPr>
            <w:noProof/>
            <w:webHidden/>
          </w:rPr>
          <w:t>47</w:t>
        </w:r>
        <w:r w:rsidR="00ED4D59" w:rsidRPr="00ED4D59">
          <w:rPr>
            <w:noProof/>
            <w:webHidden/>
          </w:rPr>
          <w:fldChar w:fldCharType="end"/>
        </w:r>
      </w:hyperlink>
    </w:p>
    <w:p w14:paraId="750B8315" w14:textId="6741A746"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79" w:history="1">
        <w:r w:rsidR="00ED4D59" w:rsidRPr="00ED4D59">
          <w:rPr>
            <w:rStyle w:val="Hyperlink"/>
            <w:noProof/>
          </w:rPr>
          <w:t>Table 7: Likely net benefit of a civil prohibition on failing to provide a consumer guarantees remedy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_Toc89700879 \h </w:instrText>
        </w:r>
        <w:r w:rsidR="00ED4D59" w:rsidRPr="00ED4D59">
          <w:rPr>
            <w:noProof/>
            <w:webHidden/>
          </w:rPr>
        </w:r>
        <w:r w:rsidR="00ED4D59" w:rsidRPr="00ED4D59">
          <w:rPr>
            <w:noProof/>
            <w:webHidden/>
          </w:rPr>
          <w:fldChar w:fldCharType="separate"/>
        </w:r>
        <w:r w:rsidR="00001633">
          <w:rPr>
            <w:noProof/>
            <w:webHidden/>
          </w:rPr>
          <w:t>47</w:t>
        </w:r>
        <w:r w:rsidR="00ED4D59" w:rsidRPr="00ED4D59">
          <w:rPr>
            <w:noProof/>
            <w:webHidden/>
          </w:rPr>
          <w:fldChar w:fldCharType="end"/>
        </w:r>
      </w:hyperlink>
    </w:p>
    <w:p w14:paraId="55B0A59A" w14:textId="10E219BF"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0" w:history="1">
        <w:r w:rsidR="00ED4D59" w:rsidRPr="00ED4D59">
          <w:rPr>
            <w:rStyle w:val="Hyperlink"/>
            <w:noProof/>
          </w:rPr>
          <w:t>Table 8: Likely net benefit of a civil prohibition on failing to provide a consumer guarantees remedy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_Toc89700880 \h </w:instrText>
        </w:r>
        <w:r w:rsidR="00ED4D59" w:rsidRPr="00ED4D59">
          <w:rPr>
            <w:noProof/>
            <w:webHidden/>
          </w:rPr>
        </w:r>
        <w:r w:rsidR="00ED4D59" w:rsidRPr="00ED4D59">
          <w:rPr>
            <w:noProof/>
            <w:webHidden/>
          </w:rPr>
          <w:fldChar w:fldCharType="separate"/>
        </w:r>
        <w:r w:rsidR="00001633">
          <w:rPr>
            <w:noProof/>
            <w:webHidden/>
          </w:rPr>
          <w:t>48</w:t>
        </w:r>
        <w:r w:rsidR="00ED4D59" w:rsidRPr="00ED4D59">
          <w:rPr>
            <w:noProof/>
            <w:webHidden/>
          </w:rPr>
          <w:fldChar w:fldCharType="end"/>
        </w:r>
      </w:hyperlink>
    </w:p>
    <w:p w14:paraId="74CDF137" w14:textId="6FF87F39"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1" w:history="1">
        <w:r w:rsidR="00ED4D59" w:rsidRPr="00ED4D59">
          <w:rPr>
            <w:rStyle w:val="Hyperlink"/>
            <w:noProof/>
          </w:rPr>
          <w:t>Table 9: Summary of benefits and costs of Part A, Option 3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_Toc89700881 \h </w:instrText>
        </w:r>
        <w:r w:rsidR="00ED4D59" w:rsidRPr="00ED4D59">
          <w:rPr>
            <w:noProof/>
            <w:webHidden/>
          </w:rPr>
        </w:r>
        <w:r w:rsidR="00ED4D59" w:rsidRPr="00ED4D59">
          <w:rPr>
            <w:noProof/>
            <w:webHidden/>
          </w:rPr>
          <w:fldChar w:fldCharType="separate"/>
        </w:r>
        <w:r w:rsidR="00001633">
          <w:rPr>
            <w:noProof/>
            <w:webHidden/>
          </w:rPr>
          <w:t>48</w:t>
        </w:r>
        <w:r w:rsidR="00ED4D59" w:rsidRPr="00ED4D59">
          <w:rPr>
            <w:noProof/>
            <w:webHidden/>
          </w:rPr>
          <w:fldChar w:fldCharType="end"/>
        </w:r>
      </w:hyperlink>
    </w:p>
    <w:p w14:paraId="1BABB6E1" w14:textId="42AE943A"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2" w:history="1">
        <w:r w:rsidR="00ED4D59" w:rsidRPr="00ED4D59">
          <w:rPr>
            <w:rStyle w:val="Hyperlink"/>
            <w:noProof/>
          </w:rPr>
          <w:t>Table 10: S</w:t>
        </w:r>
        <w:r w:rsidR="00ED4D59" w:rsidRPr="00ED4D59">
          <w:rPr>
            <w:rStyle w:val="Hyperlink"/>
            <w:rFonts w:eastAsiaTheme="majorEastAsia"/>
            <w:noProof/>
          </w:rPr>
          <w:t>ummary of benefits and costs of Part B, Option 1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_Toc89700882 \h </w:instrText>
        </w:r>
        <w:r w:rsidR="00ED4D59" w:rsidRPr="00ED4D59">
          <w:rPr>
            <w:noProof/>
            <w:webHidden/>
          </w:rPr>
        </w:r>
        <w:r w:rsidR="00ED4D59" w:rsidRPr="00ED4D59">
          <w:rPr>
            <w:noProof/>
            <w:webHidden/>
          </w:rPr>
          <w:fldChar w:fldCharType="separate"/>
        </w:r>
        <w:r w:rsidR="00001633">
          <w:rPr>
            <w:noProof/>
            <w:webHidden/>
          </w:rPr>
          <w:t>60</w:t>
        </w:r>
        <w:r w:rsidR="00ED4D59" w:rsidRPr="00ED4D59">
          <w:rPr>
            <w:noProof/>
            <w:webHidden/>
          </w:rPr>
          <w:fldChar w:fldCharType="end"/>
        </w:r>
      </w:hyperlink>
    </w:p>
    <w:p w14:paraId="25939ECC" w14:textId="4CE3C8B0"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3" w:history="1">
        <w:r w:rsidR="00ED4D59" w:rsidRPr="00ED4D59">
          <w:rPr>
            <w:rStyle w:val="Hyperlink"/>
            <w:noProof/>
          </w:rPr>
          <w:t>Table 11: Likely net benefit of an education and guidance campaign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_Toc89700883 \h </w:instrText>
        </w:r>
        <w:r w:rsidR="00ED4D59" w:rsidRPr="00ED4D59">
          <w:rPr>
            <w:noProof/>
            <w:webHidden/>
          </w:rPr>
        </w:r>
        <w:r w:rsidR="00ED4D59" w:rsidRPr="00ED4D59">
          <w:rPr>
            <w:noProof/>
            <w:webHidden/>
          </w:rPr>
          <w:fldChar w:fldCharType="separate"/>
        </w:r>
        <w:r w:rsidR="00001633">
          <w:rPr>
            <w:noProof/>
            <w:webHidden/>
          </w:rPr>
          <w:t>63</w:t>
        </w:r>
        <w:r w:rsidR="00ED4D59" w:rsidRPr="00ED4D59">
          <w:rPr>
            <w:noProof/>
            <w:webHidden/>
          </w:rPr>
          <w:fldChar w:fldCharType="end"/>
        </w:r>
      </w:hyperlink>
    </w:p>
    <w:p w14:paraId="2B3FAF68" w14:textId="0FAA9B13"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4" w:history="1">
        <w:r w:rsidR="00ED4D59" w:rsidRPr="00ED4D59">
          <w:rPr>
            <w:rStyle w:val="Hyperlink"/>
            <w:noProof/>
          </w:rPr>
          <w:t>Table 12:  Likely net benefit of an education and guidance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_Toc89700884 \h </w:instrText>
        </w:r>
        <w:r w:rsidR="00ED4D59" w:rsidRPr="00ED4D59">
          <w:rPr>
            <w:noProof/>
            <w:webHidden/>
          </w:rPr>
        </w:r>
        <w:r w:rsidR="00ED4D59" w:rsidRPr="00ED4D59">
          <w:rPr>
            <w:noProof/>
            <w:webHidden/>
          </w:rPr>
          <w:fldChar w:fldCharType="separate"/>
        </w:r>
        <w:r w:rsidR="00001633">
          <w:rPr>
            <w:noProof/>
            <w:webHidden/>
          </w:rPr>
          <w:t>64</w:t>
        </w:r>
        <w:r w:rsidR="00ED4D59" w:rsidRPr="00ED4D59">
          <w:rPr>
            <w:noProof/>
            <w:webHidden/>
          </w:rPr>
          <w:fldChar w:fldCharType="end"/>
        </w:r>
      </w:hyperlink>
    </w:p>
    <w:p w14:paraId="45390492" w14:textId="27DFE7E6"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5" w:history="1">
        <w:r w:rsidR="00ED4D59" w:rsidRPr="00ED4D59">
          <w:rPr>
            <w:rStyle w:val="Hyperlink"/>
            <w:noProof/>
          </w:rPr>
          <w:t>Table 13: S</w:t>
        </w:r>
        <w:r w:rsidR="00ED4D59" w:rsidRPr="00ED4D59">
          <w:rPr>
            <w:rStyle w:val="Hyperlink"/>
            <w:rFonts w:eastAsiaTheme="majorEastAsia"/>
            <w:noProof/>
          </w:rPr>
          <w:t>ummary of benefits and costs of Part B, Option 2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_Toc89700885 \h </w:instrText>
        </w:r>
        <w:r w:rsidR="00ED4D59" w:rsidRPr="00ED4D59">
          <w:rPr>
            <w:noProof/>
            <w:webHidden/>
          </w:rPr>
        </w:r>
        <w:r w:rsidR="00ED4D59" w:rsidRPr="00ED4D59">
          <w:rPr>
            <w:noProof/>
            <w:webHidden/>
          </w:rPr>
          <w:fldChar w:fldCharType="separate"/>
        </w:r>
        <w:r w:rsidR="00001633">
          <w:rPr>
            <w:noProof/>
            <w:webHidden/>
          </w:rPr>
          <w:t>64</w:t>
        </w:r>
        <w:r w:rsidR="00ED4D59" w:rsidRPr="00ED4D59">
          <w:rPr>
            <w:noProof/>
            <w:webHidden/>
          </w:rPr>
          <w:fldChar w:fldCharType="end"/>
        </w:r>
      </w:hyperlink>
    </w:p>
    <w:p w14:paraId="37711C12" w14:textId="7525B1D2"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6" w:history="1">
        <w:r w:rsidR="00ED4D59" w:rsidRPr="00ED4D59">
          <w:rPr>
            <w:rStyle w:val="Hyperlink"/>
            <w:noProof/>
          </w:rPr>
          <w:t>Table 14: Regulatory burden estimate table for Part B, Option 3</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_Toc89700886 \h </w:instrText>
        </w:r>
        <w:r w:rsidR="00ED4D59" w:rsidRPr="00ED4D59">
          <w:rPr>
            <w:noProof/>
            <w:webHidden/>
          </w:rPr>
        </w:r>
        <w:r w:rsidR="00ED4D59" w:rsidRPr="00ED4D59">
          <w:rPr>
            <w:noProof/>
            <w:webHidden/>
          </w:rPr>
          <w:fldChar w:fldCharType="separate"/>
        </w:r>
        <w:r w:rsidR="00001633">
          <w:rPr>
            <w:noProof/>
            <w:webHidden/>
          </w:rPr>
          <w:t>67</w:t>
        </w:r>
        <w:r w:rsidR="00ED4D59" w:rsidRPr="00ED4D59">
          <w:rPr>
            <w:noProof/>
            <w:webHidden/>
          </w:rPr>
          <w:fldChar w:fldCharType="end"/>
        </w:r>
      </w:hyperlink>
    </w:p>
    <w:p w14:paraId="094EBFE0" w14:textId="6E6E0659"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7" w:history="1">
        <w:r w:rsidR="00ED4D59" w:rsidRPr="00ED4D59">
          <w:rPr>
            <w:rStyle w:val="Hyperlink"/>
            <w:noProof/>
          </w:rPr>
          <w:t>Table 15: Likely net benefit of a civil prohibition on failing to indemnify suppliers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_Toc89700887 \h </w:instrText>
        </w:r>
        <w:r w:rsidR="00ED4D59" w:rsidRPr="00ED4D59">
          <w:rPr>
            <w:noProof/>
            <w:webHidden/>
          </w:rPr>
        </w:r>
        <w:r w:rsidR="00ED4D59" w:rsidRPr="00ED4D59">
          <w:rPr>
            <w:noProof/>
            <w:webHidden/>
          </w:rPr>
          <w:fldChar w:fldCharType="separate"/>
        </w:r>
        <w:r w:rsidR="00001633">
          <w:rPr>
            <w:noProof/>
            <w:webHidden/>
          </w:rPr>
          <w:t>68</w:t>
        </w:r>
        <w:r w:rsidR="00ED4D59" w:rsidRPr="00ED4D59">
          <w:rPr>
            <w:noProof/>
            <w:webHidden/>
          </w:rPr>
          <w:fldChar w:fldCharType="end"/>
        </w:r>
      </w:hyperlink>
    </w:p>
    <w:p w14:paraId="2D23A5FB" w14:textId="41C39612"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8" w:history="1">
        <w:r w:rsidR="00ED4D59" w:rsidRPr="00ED4D59">
          <w:rPr>
            <w:rStyle w:val="Hyperlink"/>
            <w:noProof/>
          </w:rPr>
          <w:t>Table 16: Likely net benefit of a civil prohibition on failing to indemnify suppliers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_Toc89700888 \h </w:instrText>
        </w:r>
        <w:r w:rsidR="00ED4D59" w:rsidRPr="00ED4D59">
          <w:rPr>
            <w:noProof/>
            <w:webHidden/>
          </w:rPr>
        </w:r>
        <w:r w:rsidR="00ED4D59" w:rsidRPr="00ED4D59">
          <w:rPr>
            <w:noProof/>
            <w:webHidden/>
          </w:rPr>
          <w:fldChar w:fldCharType="separate"/>
        </w:r>
        <w:r w:rsidR="00001633">
          <w:rPr>
            <w:noProof/>
            <w:webHidden/>
          </w:rPr>
          <w:t>68</w:t>
        </w:r>
        <w:r w:rsidR="00ED4D59" w:rsidRPr="00ED4D59">
          <w:rPr>
            <w:noProof/>
            <w:webHidden/>
          </w:rPr>
          <w:fldChar w:fldCharType="end"/>
        </w:r>
      </w:hyperlink>
    </w:p>
    <w:p w14:paraId="4BA34B1A" w14:textId="30B29E98"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89" w:history="1">
        <w:r w:rsidR="00ED4D59" w:rsidRPr="00ED4D59">
          <w:rPr>
            <w:rStyle w:val="Hyperlink"/>
            <w:noProof/>
          </w:rPr>
          <w:t>Table 17: S</w:t>
        </w:r>
        <w:r w:rsidR="00ED4D59" w:rsidRPr="00ED4D59">
          <w:rPr>
            <w:rStyle w:val="Hyperlink"/>
            <w:rFonts w:eastAsiaTheme="majorEastAsia"/>
            <w:noProof/>
          </w:rPr>
          <w:t>ummary of benefits and costs of Part B, Option 3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_Toc89700889 \h </w:instrText>
        </w:r>
        <w:r w:rsidR="00ED4D59" w:rsidRPr="00ED4D59">
          <w:rPr>
            <w:noProof/>
            <w:webHidden/>
          </w:rPr>
        </w:r>
        <w:r w:rsidR="00ED4D59" w:rsidRPr="00ED4D59">
          <w:rPr>
            <w:noProof/>
            <w:webHidden/>
          </w:rPr>
          <w:fldChar w:fldCharType="separate"/>
        </w:r>
        <w:r w:rsidR="00001633">
          <w:rPr>
            <w:noProof/>
            <w:webHidden/>
          </w:rPr>
          <w:t>69</w:t>
        </w:r>
        <w:r w:rsidR="00ED4D59" w:rsidRPr="00ED4D59">
          <w:rPr>
            <w:noProof/>
            <w:webHidden/>
          </w:rPr>
          <w:fldChar w:fldCharType="end"/>
        </w:r>
      </w:hyperlink>
    </w:p>
    <w:p w14:paraId="5284F1C5" w14:textId="3A4124DC"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90" w:history="1">
        <w:r w:rsidR="00ED4D59" w:rsidRPr="00ED4D59">
          <w:rPr>
            <w:rStyle w:val="Hyperlink"/>
            <w:noProof/>
          </w:rPr>
          <w:t>Table 18: Regulatory burden estimate table for Part B, Option 4</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_Toc89700890 \h </w:instrText>
        </w:r>
        <w:r w:rsidR="00ED4D59" w:rsidRPr="00ED4D59">
          <w:rPr>
            <w:noProof/>
            <w:webHidden/>
          </w:rPr>
        </w:r>
        <w:r w:rsidR="00ED4D59" w:rsidRPr="00ED4D59">
          <w:rPr>
            <w:noProof/>
            <w:webHidden/>
          </w:rPr>
          <w:fldChar w:fldCharType="separate"/>
        </w:r>
        <w:r w:rsidR="00001633">
          <w:rPr>
            <w:noProof/>
            <w:webHidden/>
          </w:rPr>
          <w:t>72</w:t>
        </w:r>
        <w:r w:rsidR="00ED4D59" w:rsidRPr="00ED4D59">
          <w:rPr>
            <w:noProof/>
            <w:webHidden/>
          </w:rPr>
          <w:fldChar w:fldCharType="end"/>
        </w:r>
      </w:hyperlink>
    </w:p>
    <w:p w14:paraId="513BFDCA" w14:textId="778E6705"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91" w:history="1">
        <w:r w:rsidR="00ED4D59" w:rsidRPr="00ED4D59">
          <w:rPr>
            <w:rStyle w:val="Hyperlink"/>
            <w:noProof/>
          </w:rPr>
          <w:t>Table 19: Likely net benefit of a civil prohibition on retribution by manufacturers against suppliers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_Toc89700891 \h </w:instrText>
        </w:r>
        <w:r w:rsidR="00ED4D59" w:rsidRPr="00ED4D59">
          <w:rPr>
            <w:noProof/>
            <w:webHidden/>
          </w:rPr>
        </w:r>
        <w:r w:rsidR="00ED4D59" w:rsidRPr="00ED4D59">
          <w:rPr>
            <w:noProof/>
            <w:webHidden/>
          </w:rPr>
          <w:fldChar w:fldCharType="separate"/>
        </w:r>
        <w:r w:rsidR="00001633">
          <w:rPr>
            <w:noProof/>
            <w:webHidden/>
          </w:rPr>
          <w:t>72</w:t>
        </w:r>
        <w:r w:rsidR="00ED4D59" w:rsidRPr="00ED4D59">
          <w:rPr>
            <w:noProof/>
            <w:webHidden/>
          </w:rPr>
          <w:fldChar w:fldCharType="end"/>
        </w:r>
      </w:hyperlink>
    </w:p>
    <w:p w14:paraId="05840574" w14:textId="50D10E4F"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92" w:history="1">
        <w:r w:rsidR="00ED4D59" w:rsidRPr="00ED4D59">
          <w:rPr>
            <w:rStyle w:val="Hyperlink"/>
            <w:rFonts w:asciiTheme="majorHAnsi" w:hAnsiTheme="majorHAnsi" w:cstheme="majorHAnsi"/>
            <w:noProof/>
          </w:rPr>
          <w:t>Table 20:  Likely net benefit of a civil prohibition on retribution by manufacturers against suppliers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_Toc89700892 \h </w:instrText>
        </w:r>
        <w:r w:rsidR="00ED4D59" w:rsidRPr="00ED4D59">
          <w:rPr>
            <w:noProof/>
            <w:webHidden/>
          </w:rPr>
        </w:r>
        <w:r w:rsidR="00ED4D59" w:rsidRPr="00ED4D59">
          <w:rPr>
            <w:noProof/>
            <w:webHidden/>
          </w:rPr>
          <w:fldChar w:fldCharType="separate"/>
        </w:r>
        <w:r w:rsidR="00001633">
          <w:rPr>
            <w:noProof/>
            <w:webHidden/>
          </w:rPr>
          <w:t>73</w:t>
        </w:r>
        <w:r w:rsidR="00ED4D59" w:rsidRPr="00ED4D59">
          <w:rPr>
            <w:noProof/>
            <w:webHidden/>
          </w:rPr>
          <w:fldChar w:fldCharType="end"/>
        </w:r>
      </w:hyperlink>
    </w:p>
    <w:p w14:paraId="34D1E92A" w14:textId="59FE55F3"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93" w:history="1">
        <w:r w:rsidR="00ED4D59" w:rsidRPr="00ED4D59">
          <w:rPr>
            <w:rStyle w:val="Hyperlink"/>
            <w:noProof/>
          </w:rPr>
          <w:t>Table 21: Summary of benefits and costs of Part B, Option 4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_Toc89700893 \h </w:instrText>
        </w:r>
        <w:r w:rsidR="00ED4D59" w:rsidRPr="00ED4D59">
          <w:rPr>
            <w:noProof/>
            <w:webHidden/>
          </w:rPr>
        </w:r>
        <w:r w:rsidR="00ED4D59" w:rsidRPr="00ED4D59">
          <w:rPr>
            <w:noProof/>
            <w:webHidden/>
          </w:rPr>
          <w:fldChar w:fldCharType="separate"/>
        </w:r>
        <w:r w:rsidR="00001633">
          <w:rPr>
            <w:noProof/>
            <w:webHidden/>
          </w:rPr>
          <w:t>73</w:t>
        </w:r>
        <w:r w:rsidR="00ED4D59" w:rsidRPr="00ED4D59">
          <w:rPr>
            <w:noProof/>
            <w:webHidden/>
          </w:rPr>
          <w:fldChar w:fldCharType="end"/>
        </w:r>
      </w:hyperlink>
    </w:p>
    <w:p w14:paraId="73EAC8AC" w14:textId="28DC0F65" w:rsidR="00ED4D59" w:rsidRPr="00ED4D59" w:rsidRDefault="006C7D5F">
      <w:pPr>
        <w:pStyle w:val="TableofFigures"/>
        <w:tabs>
          <w:tab w:val="right" w:leader="dot" w:pos="9060"/>
        </w:tabs>
        <w:rPr>
          <w:rFonts w:asciiTheme="minorHAnsi" w:eastAsiaTheme="minorEastAsia" w:hAnsiTheme="minorHAnsi" w:cstheme="minorBidi"/>
          <w:noProof/>
          <w:szCs w:val="22"/>
        </w:rPr>
      </w:pPr>
      <w:hyperlink w:anchor="_Toc89700894" w:history="1">
        <w:r w:rsidR="00ED4D59" w:rsidRPr="00ED4D59">
          <w:rPr>
            <w:rStyle w:val="Hyperlink"/>
            <w:noProof/>
          </w:rPr>
          <w:t>Table 22: Summary of assumptions, status quo</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_Toc89700894 \h </w:instrText>
        </w:r>
        <w:r w:rsidR="00ED4D59" w:rsidRPr="00ED4D59">
          <w:rPr>
            <w:noProof/>
            <w:webHidden/>
          </w:rPr>
        </w:r>
        <w:r w:rsidR="00ED4D59" w:rsidRPr="00ED4D59">
          <w:rPr>
            <w:noProof/>
            <w:webHidden/>
          </w:rPr>
          <w:fldChar w:fldCharType="separate"/>
        </w:r>
        <w:r w:rsidR="00001633">
          <w:rPr>
            <w:noProof/>
            <w:webHidden/>
          </w:rPr>
          <w:t>76</w:t>
        </w:r>
        <w:r w:rsidR="00ED4D59" w:rsidRPr="00ED4D59">
          <w:rPr>
            <w:noProof/>
            <w:webHidden/>
          </w:rPr>
          <w:fldChar w:fldCharType="end"/>
        </w:r>
      </w:hyperlink>
    </w:p>
    <w:p w14:paraId="7EFA6221" w14:textId="11215537" w:rsidR="00E35AB1" w:rsidRPr="00ED4D59" w:rsidRDefault="00E35AB1" w:rsidP="00E35AB1">
      <w:pPr>
        <w:pStyle w:val="Heading3"/>
      </w:pPr>
      <w:r w:rsidRPr="00ED4D59">
        <w:fldChar w:fldCharType="end"/>
      </w:r>
      <w:r w:rsidRPr="00ED4D59">
        <w:t xml:space="preserve"> </w:t>
      </w:r>
    </w:p>
    <w:p w14:paraId="7390EEED" w14:textId="66938658" w:rsidR="00E35AB1" w:rsidRPr="00ED4D59" w:rsidRDefault="00E35AB1" w:rsidP="00E35AB1">
      <w:pPr>
        <w:spacing w:before="0" w:after="160" w:line="259" w:lineRule="auto"/>
      </w:pPr>
    </w:p>
    <w:sectPr w:rsidR="00E35AB1" w:rsidRPr="00ED4D59" w:rsidSect="00F62A32">
      <w:headerReference w:type="even" r:id="rId40"/>
      <w:headerReference w:type="default" r:id="rId41"/>
      <w:footerReference w:type="even" r:id="rId42"/>
      <w:footerReference w:type="default" r:id="rId43"/>
      <w:headerReference w:type="first" r:id="rId44"/>
      <w:footerReference w:type="first" r:id="rId45"/>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D716C" w14:textId="77777777" w:rsidR="006C7D5F" w:rsidRDefault="006C7D5F">
      <w:pPr>
        <w:spacing w:before="0" w:after="0"/>
      </w:pPr>
      <w:r>
        <w:separator/>
      </w:r>
    </w:p>
  </w:endnote>
  <w:endnote w:type="continuationSeparator" w:id="0">
    <w:p w14:paraId="101221DA" w14:textId="77777777" w:rsidR="006C7D5F" w:rsidRDefault="006C7D5F">
      <w:pPr>
        <w:spacing w:before="0" w:after="0"/>
      </w:pPr>
      <w:r>
        <w:continuationSeparator/>
      </w:r>
    </w:p>
  </w:endnote>
  <w:endnote w:type="continuationNotice" w:id="1">
    <w:p w14:paraId="587ECC84" w14:textId="77777777" w:rsidR="006C7D5F" w:rsidRDefault="006C7D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207C7" w14:textId="77777777" w:rsidR="003D2ADD" w:rsidRPr="00E77C89" w:rsidRDefault="003D2ADD"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C42F2" w14:textId="77777777" w:rsidR="003D2ADD" w:rsidRPr="00E77C89" w:rsidRDefault="003D2ADD"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3487D" w14:textId="7A237890" w:rsidR="003D2ADD" w:rsidRPr="00E1136B" w:rsidRDefault="003D2ADD" w:rsidP="00E1136B">
    <w:pPr>
      <w:pStyle w:val="Footer"/>
    </w:pPr>
    <w:r>
      <w:fldChar w:fldCharType="begin"/>
    </w:r>
    <w:r>
      <w:instrText xml:space="preserve"> PAGE   \* MERGEFORMAT </w:instrText>
    </w:r>
    <w:r>
      <w:fldChar w:fldCharType="separate"/>
    </w:r>
    <w:r>
      <w:rPr>
        <w:noProof/>
      </w:rPr>
      <w:t>76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06C9" w14:textId="77777777" w:rsidR="003D2ADD" w:rsidRDefault="003D2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54E32" w14:textId="77777777" w:rsidR="006C7D5F" w:rsidRDefault="006C7D5F">
      <w:pPr>
        <w:spacing w:before="0" w:after="0"/>
      </w:pPr>
      <w:r>
        <w:separator/>
      </w:r>
    </w:p>
  </w:footnote>
  <w:footnote w:type="continuationSeparator" w:id="0">
    <w:p w14:paraId="3E3DF90C" w14:textId="77777777" w:rsidR="006C7D5F" w:rsidRDefault="006C7D5F">
      <w:pPr>
        <w:spacing w:before="0" w:after="0"/>
      </w:pPr>
      <w:r>
        <w:continuationSeparator/>
      </w:r>
    </w:p>
  </w:footnote>
  <w:footnote w:type="continuationNotice" w:id="1">
    <w:p w14:paraId="0032601A" w14:textId="77777777" w:rsidR="006C7D5F" w:rsidRDefault="006C7D5F">
      <w:pPr>
        <w:spacing w:before="0" w:after="0" w:line="240" w:lineRule="auto"/>
      </w:pPr>
    </w:p>
  </w:footnote>
  <w:footnote w:id="2">
    <w:p w14:paraId="3AEC8574" w14:textId="57838D0D" w:rsidR="003D2ADD" w:rsidRDefault="003D2ADD">
      <w:pPr>
        <w:pStyle w:val="FootnoteText"/>
      </w:pPr>
      <w:r w:rsidRPr="007210DF">
        <w:rPr>
          <w:rStyle w:val="FootnoteReference"/>
          <w:sz w:val="16"/>
          <w:szCs w:val="16"/>
        </w:rPr>
        <w:footnoteRef/>
      </w:r>
      <w:r w:rsidRPr="007210DF">
        <w:rPr>
          <w:sz w:val="16"/>
          <w:szCs w:val="16"/>
        </w:rPr>
        <w:t xml:space="preserve"> This CRIS </w:t>
      </w:r>
      <w:r>
        <w:rPr>
          <w:sz w:val="16"/>
          <w:szCs w:val="16"/>
        </w:rPr>
        <w:t xml:space="preserve">builds on </w:t>
      </w:r>
      <w:r w:rsidRPr="007210DF">
        <w:rPr>
          <w:sz w:val="16"/>
          <w:szCs w:val="16"/>
        </w:rPr>
        <w:t xml:space="preserve">past reports on similar matters such as the </w:t>
      </w:r>
      <w:hyperlink r:id="rId1" w:history="1">
        <w:r w:rsidRPr="007210DF">
          <w:rPr>
            <w:rStyle w:val="Hyperlink"/>
            <w:sz w:val="16"/>
            <w:szCs w:val="16"/>
          </w:rPr>
          <w:t>2009 Consumer rights: reforming statutory implied conditions and warranties</w:t>
        </w:r>
      </w:hyperlink>
      <w:r>
        <w:rPr>
          <w:sz w:val="16"/>
          <w:szCs w:val="16"/>
        </w:rPr>
        <w:t xml:space="preserve">, final report by the former Commonwealth Consumer Affairs Advisory Council. </w:t>
      </w:r>
      <w:r w:rsidRPr="007210DF">
        <w:rPr>
          <w:sz w:val="16"/>
          <w:szCs w:val="16"/>
        </w:rPr>
        <w:t xml:space="preserve"> </w:t>
      </w:r>
    </w:p>
  </w:footnote>
  <w:footnote w:id="3">
    <w:p w14:paraId="4E70D15D" w14:textId="7D2BC484" w:rsidR="003D2ADD" w:rsidRDefault="003D2ADD" w:rsidP="00160496">
      <w:pPr>
        <w:pStyle w:val="FootnoteText"/>
      </w:pPr>
      <w:r w:rsidRPr="00AA7917">
        <w:rPr>
          <w:rStyle w:val="FootnoteReference"/>
          <w:sz w:val="16"/>
        </w:rPr>
        <w:footnoteRef/>
      </w:r>
      <w:r w:rsidRPr="00AA7917">
        <w:rPr>
          <w:sz w:val="16"/>
        </w:rPr>
        <w:t xml:space="preserve"> </w:t>
      </w:r>
      <w:r>
        <w:rPr>
          <w:sz w:val="16"/>
        </w:rPr>
        <w:t xml:space="preserve">Consumer Affairs Australia and New Zealand 2017, </w:t>
      </w:r>
      <w:r w:rsidRPr="000534ED">
        <w:rPr>
          <w:i/>
          <w:iCs/>
          <w:sz w:val="16"/>
        </w:rPr>
        <w:t>Australian Consumer Law Review (ACL Review) – Final Report</w:t>
      </w:r>
      <w:r>
        <w:rPr>
          <w:sz w:val="16"/>
        </w:rPr>
        <w:t>,</w:t>
      </w:r>
      <w:r w:rsidRPr="00AA7917">
        <w:rPr>
          <w:sz w:val="16"/>
        </w:rPr>
        <w:t xml:space="preserve"> p.16. </w:t>
      </w:r>
    </w:p>
  </w:footnote>
  <w:footnote w:id="4">
    <w:p w14:paraId="591CC828" w14:textId="708A560F" w:rsidR="003D2ADD" w:rsidRDefault="003D2ADD" w:rsidP="00160496">
      <w:pPr>
        <w:pStyle w:val="FootnoteText"/>
      </w:pPr>
      <w:r>
        <w:rPr>
          <w:rStyle w:val="FootnoteReference"/>
        </w:rPr>
        <w:footnoteRef/>
      </w:r>
      <w:r>
        <w:t xml:space="preserve"> </w:t>
      </w:r>
      <w:r w:rsidRPr="00BB0306">
        <w:rPr>
          <w:sz w:val="16"/>
        </w:rPr>
        <w:t>The 2016 Australian Consumer Survey revealed that consumers experience problems with new motor vehicles in approximately 8</w:t>
      </w:r>
      <w:r>
        <w:rPr>
          <w:sz w:val="16"/>
        </w:rPr>
        <w:t xml:space="preserve"> per cent</w:t>
      </w:r>
      <w:r w:rsidRPr="00BB0306">
        <w:rPr>
          <w:sz w:val="16"/>
        </w:rPr>
        <w:t xml:space="preserve"> of new motor vehicle purchases.  Further, in 45</w:t>
      </w:r>
      <w:r>
        <w:rPr>
          <w:sz w:val="16"/>
        </w:rPr>
        <w:t xml:space="preserve"> per cent</w:t>
      </w:r>
      <w:r w:rsidRPr="00BB0306">
        <w:rPr>
          <w:sz w:val="16"/>
        </w:rPr>
        <w:t xml:space="preserve"> of these instances, consumer problems had either not been resolved or were resolved but not to their satisfaction. </w:t>
      </w:r>
      <w:r>
        <w:rPr>
          <w:sz w:val="16"/>
        </w:rPr>
        <w:t xml:space="preserve">See: </w:t>
      </w:r>
      <w:r w:rsidRPr="00AA7917">
        <w:rPr>
          <w:sz w:val="16"/>
        </w:rPr>
        <w:t>EY Sweeney, Australian Consumer Survey 2016, p</w:t>
      </w:r>
      <w:r>
        <w:rPr>
          <w:sz w:val="16"/>
        </w:rPr>
        <w:t>p</w:t>
      </w:r>
      <w:r w:rsidRPr="00AA7917">
        <w:rPr>
          <w:sz w:val="16"/>
        </w:rPr>
        <w:t>. 40</w:t>
      </w:r>
      <w:r>
        <w:rPr>
          <w:sz w:val="16"/>
        </w:rPr>
        <w:t xml:space="preserve"> and 50</w:t>
      </w:r>
      <w:r w:rsidRPr="00AA7917">
        <w:rPr>
          <w:sz w:val="16"/>
        </w:rPr>
        <w:t>.</w:t>
      </w:r>
    </w:p>
  </w:footnote>
  <w:footnote w:id="5">
    <w:p w14:paraId="4192FF5C" w14:textId="77777777" w:rsidR="003D2ADD" w:rsidRPr="003F2F9D" w:rsidRDefault="003D2ADD" w:rsidP="00D27ABC">
      <w:pPr>
        <w:pStyle w:val="FootnoteText"/>
        <w:rPr>
          <w:sz w:val="16"/>
        </w:rPr>
      </w:pPr>
      <w:r w:rsidRPr="008F252A">
        <w:rPr>
          <w:rStyle w:val="FootnoteReference"/>
          <w:sz w:val="16"/>
        </w:rPr>
        <w:footnoteRef/>
      </w:r>
      <w:r w:rsidRPr="008F252A">
        <w:rPr>
          <w:sz w:val="16"/>
        </w:rPr>
        <w:t xml:space="preserve"> The ACL is set out in Schedule 2 of the </w:t>
      </w:r>
      <w:r w:rsidRPr="003F2F9D">
        <w:rPr>
          <w:i/>
          <w:sz w:val="16"/>
        </w:rPr>
        <w:t>Competition and Consumer Act 2010</w:t>
      </w:r>
      <w:r w:rsidRPr="003F2F9D">
        <w:rPr>
          <w:sz w:val="16"/>
        </w:rPr>
        <w:t xml:space="preserve"> (Cth)</w:t>
      </w:r>
    </w:p>
  </w:footnote>
  <w:footnote w:id="6">
    <w:p w14:paraId="3F5B4D01" w14:textId="77777777" w:rsidR="003D2ADD" w:rsidRDefault="003D2ADD" w:rsidP="00D27ABC">
      <w:pPr>
        <w:pStyle w:val="FootnoteText"/>
      </w:pPr>
      <w:r w:rsidRPr="008F252A">
        <w:rPr>
          <w:rStyle w:val="FootnoteReference"/>
          <w:sz w:val="16"/>
        </w:rPr>
        <w:footnoteRef/>
      </w:r>
      <w:r w:rsidRPr="008F252A">
        <w:rPr>
          <w:sz w:val="16"/>
        </w:rPr>
        <w:t xml:space="preserve"> Part 3-2 of the ACL.</w:t>
      </w:r>
    </w:p>
  </w:footnote>
  <w:footnote w:id="7">
    <w:p w14:paraId="687F55A9" w14:textId="77777777" w:rsidR="003D2ADD" w:rsidRPr="008F252A" w:rsidRDefault="003D2ADD" w:rsidP="007661B0">
      <w:pPr>
        <w:pStyle w:val="FootnoteText"/>
        <w:rPr>
          <w:sz w:val="16"/>
        </w:rPr>
      </w:pPr>
      <w:r w:rsidRPr="008F252A">
        <w:rPr>
          <w:rStyle w:val="FootnoteReference"/>
          <w:sz w:val="16"/>
        </w:rPr>
        <w:footnoteRef/>
      </w:r>
      <w:r w:rsidRPr="008F252A">
        <w:rPr>
          <w:sz w:val="16"/>
        </w:rPr>
        <w:t xml:space="preserve"> The full criteria for the term ‘consumer is set out in section 3 of the ACL.</w:t>
      </w:r>
    </w:p>
  </w:footnote>
  <w:footnote w:id="8">
    <w:p w14:paraId="78063259" w14:textId="77777777" w:rsidR="003D2ADD" w:rsidRDefault="003D2ADD" w:rsidP="007661B0">
      <w:pPr>
        <w:pStyle w:val="FootnoteText"/>
      </w:pPr>
      <w:r w:rsidRPr="00673E08">
        <w:rPr>
          <w:rStyle w:val="FootnoteReference"/>
          <w:sz w:val="16"/>
        </w:rPr>
        <w:footnoteRef/>
      </w:r>
      <w:r w:rsidRPr="00673E08">
        <w:rPr>
          <w:sz w:val="16"/>
        </w:rPr>
        <w:t xml:space="preserve"> Or because the </w:t>
      </w:r>
      <w:r>
        <w:rPr>
          <w:sz w:val="16"/>
        </w:rPr>
        <w:t xml:space="preserve">good </w:t>
      </w:r>
      <w:r w:rsidRPr="00673E08">
        <w:rPr>
          <w:sz w:val="16"/>
        </w:rPr>
        <w:t xml:space="preserve">being acquired </w:t>
      </w:r>
      <w:r>
        <w:rPr>
          <w:sz w:val="16"/>
        </w:rPr>
        <w:t>is</w:t>
      </w:r>
      <w:r w:rsidRPr="00673E08">
        <w:rPr>
          <w:sz w:val="16"/>
        </w:rPr>
        <w:t xml:space="preserve"> a vehicle or trailer acquired for use principally in the transport of goods on public roads.</w:t>
      </w:r>
    </w:p>
  </w:footnote>
  <w:footnote w:id="9">
    <w:p w14:paraId="20C66723" w14:textId="16C4DAD8" w:rsidR="003D2ADD" w:rsidRDefault="003D2ADD" w:rsidP="007661B0">
      <w:pPr>
        <w:pStyle w:val="FootnoteText"/>
      </w:pPr>
      <w:r w:rsidRPr="008F252A">
        <w:rPr>
          <w:rStyle w:val="FootnoteReference"/>
          <w:sz w:val="16"/>
        </w:rPr>
        <w:footnoteRef/>
      </w:r>
      <w:r w:rsidRPr="008F252A">
        <w:rPr>
          <w:sz w:val="16"/>
        </w:rPr>
        <w:t xml:space="preserve"> For example, that goods are not acquired for resupply (i.e., resale); or transformation in manufacture or repair/treating other goods or fixtures on land.</w:t>
      </w:r>
      <w:r>
        <w:rPr>
          <w:sz w:val="16"/>
        </w:rPr>
        <w:t xml:space="preserve"> </w:t>
      </w:r>
      <w:r w:rsidRPr="00C3209B">
        <w:rPr>
          <w:sz w:val="16"/>
        </w:rPr>
        <w:t>Recent changes to the ACL mean</w:t>
      </w:r>
      <w:r>
        <w:rPr>
          <w:sz w:val="16"/>
        </w:rPr>
        <w:t>t</w:t>
      </w:r>
      <w:r w:rsidRPr="00C3209B">
        <w:rPr>
          <w:sz w:val="16"/>
        </w:rPr>
        <w:t xml:space="preserve"> that from 1 July 2021</w:t>
      </w:r>
      <w:r>
        <w:rPr>
          <w:sz w:val="16"/>
        </w:rPr>
        <w:t xml:space="preserve"> the </w:t>
      </w:r>
      <w:r w:rsidRPr="00C3209B">
        <w:rPr>
          <w:sz w:val="16"/>
        </w:rPr>
        <w:t>threshold increase</w:t>
      </w:r>
      <w:r>
        <w:rPr>
          <w:sz w:val="16"/>
        </w:rPr>
        <w:t>d</w:t>
      </w:r>
      <w:r w:rsidRPr="00C3209B">
        <w:rPr>
          <w:sz w:val="16"/>
        </w:rPr>
        <w:t xml:space="preserve"> from $40,000 to $100,000.   </w:t>
      </w:r>
    </w:p>
  </w:footnote>
  <w:footnote w:id="10">
    <w:p w14:paraId="3DDC019C" w14:textId="2AB6765D" w:rsidR="003D2ADD" w:rsidRDefault="003D2ADD">
      <w:pPr>
        <w:pStyle w:val="FootnoteText"/>
      </w:pPr>
      <w:r>
        <w:rPr>
          <w:rStyle w:val="FootnoteReference"/>
        </w:rPr>
        <w:footnoteRef/>
      </w:r>
      <w:r>
        <w:t xml:space="preserve"> </w:t>
      </w:r>
      <w:r>
        <w:rPr>
          <w:sz w:val="16"/>
        </w:rPr>
        <w:t>Consumers can also seek a remedy directly from the manufacturer or importer in certain circumstances.</w:t>
      </w:r>
    </w:p>
  </w:footnote>
  <w:footnote w:id="11">
    <w:p w14:paraId="4C590B2E" w14:textId="3029E901" w:rsidR="003D2ADD" w:rsidRPr="008F252A" w:rsidRDefault="003D2ADD" w:rsidP="00193DC3">
      <w:pPr>
        <w:pStyle w:val="FootnoteText"/>
        <w:rPr>
          <w:sz w:val="16"/>
        </w:rPr>
      </w:pPr>
      <w:r w:rsidRPr="008F252A">
        <w:rPr>
          <w:rStyle w:val="FootnoteReference"/>
          <w:sz w:val="16"/>
        </w:rPr>
        <w:footnoteRef/>
      </w:r>
      <w:r w:rsidRPr="008F252A">
        <w:rPr>
          <w:sz w:val="16"/>
        </w:rPr>
        <w:t xml:space="preserve"> ACL</w:t>
      </w:r>
      <w:r>
        <w:rPr>
          <w:sz w:val="16"/>
        </w:rPr>
        <w:t>, section 15</w:t>
      </w:r>
      <w:r w:rsidRPr="008F252A">
        <w:rPr>
          <w:sz w:val="16"/>
        </w:rPr>
        <w:t>.</w:t>
      </w:r>
    </w:p>
  </w:footnote>
  <w:footnote w:id="12">
    <w:p w14:paraId="6B6E2DAD" w14:textId="77777777" w:rsidR="003D2ADD" w:rsidRDefault="003D2ADD" w:rsidP="0079292C">
      <w:pPr>
        <w:pStyle w:val="FootnoteText"/>
      </w:pPr>
      <w:r>
        <w:rPr>
          <w:rStyle w:val="FootnoteReference"/>
        </w:rPr>
        <w:footnoteRef/>
      </w:r>
      <w:r>
        <w:t xml:space="preserve"> </w:t>
      </w:r>
      <w:r w:rsidRPr="00A43EFB">
        <w:rPr>
          <w:sz w:val="16"/>
          <w:szCs w:val="16"/>
        </w:rPr>
        <w:t>Section 259 of the ACL.</w:t>
      </w:r>
    </w:p>
  </w:footnote>
  <w:footnote w:id="13">
    <w:p w14:paraId="6CCAC4B7" w14:textId="5F6FA141" w:rsidR="003D2ADD" w:rsidRDefault="003D2ADD">
      <w:pPr>
        <w:pStyle w:val="FootnoteText"/>
      </w:pPr>
      <w:r w:rsidRPr="008F252A">
        <w:rPr>
          <w:rStyle w:val="FootnoteReference"/>
          <w:sz w:val="16"/>
        </w:rPr>
        <w:footnoteRef/>
      </w:r>
      <w:r w:rsidRPr="008F252A">
        <w:rPr>
          <w:sz w:val="16"/>
        </w:rPr>
        <w:t xml:space="preserve"> </w:t>
      </w:r>
      <w:r w:rsidRPr="003F2F9D">
        <w:rPr>
          <w:i/>
          <w:sz w:val="16"/>
        </w:rPr>
        <w:t>Treasury Laws Amendment (2020 Measures No. 6) Act 2020</w:t>
      </w:r>
      <w:r w:rsidRPr="003F2F9D">
        <w:rPr>
          <w:sz w:val="16"/>
        </w:rPr>
        <w:t>.</w:t>
      </w:r>
    </w:p>
  </w:footnote>
  <w:footnote w:id="14">
    <w:p w14:paraId="24143411" w14:textId="4637B96C" w:rsidR="003D2ADD" w:rsidRDefault="003D2ADD" w:rsidP="00570F36">
      <w:pPr>
        <w:pStyle w:val="FootnoteText"/>
      </w:pPr>
      <w:r w:rsidRPr="002616A3">
        <w:rPr>
          <w:rStyle w:val="FootnoteReference"/>
          <w:sz w:val="16"/>
        </w:rPr>
        <w:footnoteRef/>
      </w:r>
      <w:r w:rsidRPr="002616A3">
        <w:rPr>
          <w:sz w:val="16"/>
        </w:rPr>
        <w:t xml:space="preserve"> Where the manufacturer of a good does not have a place of business in Australia, section 7 of the ACL defines the term ‘manufacturer’ to include a person who imports goods into Australia. A reference to “manufacturer” in this Consultation RIS should be read as including “importer”.</w:t>
      </w:r>
      <w:r>
        <w:rPr>
          <w:sz w:val="16"/>
        </w:rPr>
        <w:t xml:space="preserve"> </w:t>
      </w:r>
    </w:p>
  </w:footnote>
  <w:footnote w:id="15">
    <w:p w14:paraId="7CFAC052" w14:textId="589B9EA4" w:rsidR="003D2ADD" w:rsidRPr="008F252A" w:rsidRDefault="003D2ADD" w:rsidP="00D27ABC">
      <w:pPr>
        <w:pStyle w:val="FootnoteText"/>
        <w:rPr>
          <w:sz w:val="16"/>
        </w:rPr>
      </w:pPr>
      <w:r w:rsidRPr="008F252A">
        <w:rPr>
          <w:rStyle w:val="FootnoteReference"/>
          <w:sz w:val="16"/>
        </w:rPr>
        <w:footnoteRef/>
      </w:r>
      <w:r w:rsidRPr="008F252A">
        <w:rPr>
          <w:sz w:val="16"/>
        </w:rPr>
        <w:t xml:space="preserve"> Section 64 of the ACL ensures such provisions are void.</w:t>
      </w:r>
    </w:p>
  </w:footnote>
  <w:footnote w:id="16">
    <w:p w14:paraId="3AB0FBAE" w14:textId="0CBCE189" w:rsidR="003D2ADD" w:rsidRPr="008F252A" w:rsidRDefault="003D2ADD" w:rsidP="00D27ABC">
      <w:pPr>
        <w:pStyle w:val="FootnoteText"/>
        <w:rPr>
          <w:sz w:val="16"/>
        </w:rPr>
      </w:pPr>
      <w:r w:rsidRPr="008F252A">
        <w:rPr>
          <w:rStyle w:val="FootnoteReference"/>
          <w:sz w:val="16"/>
        </w:rPr>
        <w:footnoteRef/>
      </w:r>
      <w:r w:rsidRPr="008F252A">
        <w:rPr>
          <w:sz w:val="16"/>
        </w:rPr>
        <w:t xml:space="preserve"> These </w:t>
      </w:r>
      <w:r>
        <w:rPr>
          <w:sz w:val="16"/>
        </w:rPr>
        <w:t>prohibitions</w:t>
      </w:r>
      <w:r w:rsidRPr="008F252A">
        <w:rPr>
          <w:sz w:val="16"/>
        </w:rPr>
        <w:t xml:space="preserve"> are set out in sections 29(1)(m) and (n) of the ACL.</w:t>
      </w:r>
    </w:p>
  </w:footnote>
  <w:footnote w:id="17">
    <w:p w14:paraId="03CFAB47" w14:textId="77777777" w:rsidR="003D2ADD" w:rsidRPr="00AA7917" w:rsidRDefault="003D2ADD" w:rsidP="00BB4528">
      <w:pPr>
        <w:pStyle w:val="FootnoteText"/>
        <w:rPr>
          <w:sz w:val="16"/>
        </w:rPr>
      </w:pPr>
      <w:r w:rsidRPr="00AA7917">
        <w:rPr>
          <w:rStyle w:val="FootnoteReference"/>
          <w:sz w:val="16"/>
        </w:rPr>
        <w:footnoteRef/>
      </w:r>
      <w:r w:rsidRPr="00AA7917">
        <w:rPr>
          <w:sz w:val="16"/>
        </w:rPr>
        <w:t xml:space="preserve"> ACL Review, p16.</w:t>
      </w:r>
    </w:p>
  </w:footnote>
  <w:footnote w:id="18">
    <w:p w14:paraId="50EA86FA" w14:textId="604AC3ED" w:rsidR="003D2ADD" w:rsidRPr="00AA7917" w:rsidRDefault="003D2ADD" w:rsidP="00BB4528">
      <w:pPr>
        <w:pStyle w:val="FootnoteText"/>
        <w:rPr>
          <w:sz w:val="16"/>
        </w:rPr>
      </w:pPr>
      <w:r w:rsidRPr="00AA7917">
        <w:rPr>
          <w:rStyle w:val="FootnoteReference"/>
          <w:sz w:val="16"/>
        </w:rPr>
        <w:footnoteRef/>
      </w:r>
      <w:r w:rsidRPr="00AA7917">
        <w:rPr>
          <w:sz w:val="16"/>
        </w:rPr>
        <w:t xml:space="preserve"> The test for this clarification also requires a ‘reasonable consumer’ would not have acquired the good at the time of supply if they were aware of the nature and extent of the failures - taken as a whole.</w:t>
      </w:r>
    </w:p>
  </w:footnote>
  <w:footnote w:id="19">
    <w:p w14:paraId="0046264B" w14:textId="5C0D05B0" w:rsidR="003D2ADD" w:rsidRPr="00AA7917" w:rsidRDefault="003D2ADD" w:rsidP="0009287B">
      <w:pPr>
        <w:pStyle w:val="FootnoteText"/>
        <w:rPr>
          <w:sz w:val="16"/>
        </w:rPr>
      </w:pPr>
      <w:r w:rsidRPr="00AA7917">
        <w:rPr>
          <w:rStyle w:val="FootnoteReference"/>
          <w:sz w:val="16"/>
        </w:rPr>
        <w:footnoteRef/>
      </w:r>
      <w:r w:rsidRPr="00AA7917">
        <w:rPr>
          <w:sz w:val="16"/>
        </w:rPr>
        <w:t xml:space="preserve"> ACL, s 274.</w:t>
      </w:r>
    </w:p>
  </w:footnote>
  <w:footnote w:id="20">
    <w:p w14:paraId="51CA0E2C" w14:textId="4DDB2992"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54.</w:t>
      </w:r>
    </w:p>
  </w:footnote>
  <w:footnote w:id="21">
    <w:p w14:paraId="4F8E8546" w14:textId="2383EF21"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56.</w:t>
      </w:r>
    </w:p>
  </w:footnote>
  <w:footnote w:id="22">
    <w:p w14:paraId="299BBFB9" w14:textId="2B796E9C"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55.</w:t>
      </w:r>
    </w:p>
  </w:footnote>
  <w:footnote w:id="23">
    <w:p w14:paraId="24D913D4" w14:textId="2F4E0779"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274(1).</w:t>
      </w:r>
    </w:p>
  </w:footnote>
  <w:footnote w:id="24">
    <w:p w14:paraId="76E3C486" w14:textId="07848D21"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276. </w:t>
      </w:r>
      <w:r w:rsidRPr="00AA7917">
        <w:rPr>
          <w:rFonts w:eastAsia="Calibri"/>
          <w:sz w:val="16"/>
        </w:rPr>
        <w:t>However, a term of a contract is not taken to do so unless the term does this expressly or the term is inconsistent with a provision in Part 5-4 of the ACL (s</w:t>
      </w:r>
      <w:r w:rsidRPr="00AA7917">
        <w:rPr>
          <w:sz w:val="16"/>
        </w:rPr>
        <w:t>s 276(2)).</w:t>
      </w:r>
    </w:p>
  </w:footnote>
  <w:footnote w:id="25">
    <w:p w14:paraId="1AF7369A" w14:textId="46C88289" w:rsidR="003D2ADD" w:rsidRDefault="003D2ADD" w:rsidP="002B641A">
      <w:pPr>
        <w:pStyle w:val="FootnoteText"/>
      </w:pPr>
      <w:r w:rsidRPr="00AA7917">
        <w:rPr>
          <w:rStyle w:val="FootnoteReference"/>
          <w:sz w:val="16"/>
        </w:rPr>
        <w:footnoteRef/>
      </w:r>
      <w:r w:rsidRPr="00AA7917">
        <w:rPr>
          <w:sz w:val="16"/>
        </w:rPr>
        <w:t xml:space="preserve"> </w:t>
      </w:r>
      <w:r>
        <w:rPr>
          <w:sz w:val="16"/>
        </w:rPr>
        <w:t>ACL, s</w:t>
      </w:r>
      <w:r w:rsidRPr="00AA7917">
        <w:rPr>
          <w:sz w:val="16"/>
        </w:rPr>
        <w:t xml:space="preserve"> 276A.</w:t>
      </w:r>
    </w:p>
  </w:footnote>
  <w:footnote w:id="26">
    <w:p w14:paraId="18F67768" w14:textId="77777777" w:rsidR="003D2ADD" w:rsidRPr="00AA7917" w:rsidRDefault="003D2ADD" w:rsidP="002B641A">
      <w:pPr>
        <w:pStyle w:val="FootnoteText"/>
        <w:rPr>
          <w:sz w:val="16"/>
        </w:rPr>
      </w:pPr>
      <w:r w:rsidRPr="00AA7917">
        <w:rPr>
          <w:rStyle w:val="FootnoteReference"/>
          <w:sz w:val="16"/>
        </w:rPr>
        <w:footnoteRef/>
      </w:r>
      <w:r w:rsidRPr="00AA7917">
        <w:rPr>
          <w:sz w:val="16"/>
        </w:rPr>
        <w:t xml:space="preserve"> ACL, ss. 274(4).</w:t>
      </w:r>
    </w:p>
  </w:footnote>
  <w:footnote w:id="27">
    <w:p w14:paraId="1F7BEA71" w14:textId="77777777" w:rsidR="003D2ADD" w:rsidRPr="004E5C80" w:rsidRDefault="003D2ADD" w:rsidP="003F1537">
      <w:pPr>
        <w:pStyle w:val="FootnoteText"/>
      </w:pPr>
      <w:r w:rsidRPr="00AA7917">
        <w:rPr>
          <w:rStyle w:val="FootnoteReference"/>
          <w:sz w:val="16"/>
        </w:rPr>
        <w:footnoteRef/>
      </w:r>
      <w:r w:rsidRPr="00AA7917">
        <w:rPr>
          <w:sz w:val="16"/>
        </w:rPr>
        <w:t xml:space="preserve"> EY Sweeney, Australian Consumer Survey 2016.</w:t>
      </w:r>
    </w:p>
  </w:footnote>
  <w:footnote w:id="28">
    <w:p w14:paraId="6FDDC4E5" w14:textId="11831DF0" w:rsidR="003D2ADD" w:rsidRPr="00AA7917" w:rsidRDefault="003D2ADD" w:rsidP="003F1537">
      <w:pPr>
        <w:pStyle w:val="FootnoteText"/>
        <w:rPr>
          <w:sz w:val="16"/>
        </w:rPr>
      </w:pPr>
      <w:r w:rsidRPr="000D17F9">
        <w:rPr>
          <w:rStyle w:val="FootnoteReference"/>
          <w:sz w:val="16"/>
        </w:rPr>
        <w:footnoteRef/>
      </w:r>
      <w:r w:rsidRPr="000D17F9">
        <w:rPr>
          <w:sz w:val="16"/>
        </w:rPr>
        <w:t xml:space="preserve"> EY Sweeney, Australian Consumer Survey 2016</w:t>
      </w:r>
      <w:r w:rsidRPr="008773AE">
        <w:rPr>
          <w:sz w:val="16"/>
        </w:rPr>
        <w:t>, page 65</w:t>
      </w:r>
      <w:r w:rsidRPr="00677A50">
        <w:rPr>
          <w:sz w:val="16"/>
        </w:rPr>
        <w:t xml:space="preserve"> (Table 4).</w:t>
      </w:r>
      <w:r>
        <w:rPr>
          <w:sz w:val="16"/>
        </w:rPr>
        <w:t xml:space="preserve"> </w:t>
      </w:r>
      <w:r w:rsidRPr="003041C7">
        <w:rPr>
          <w:sz w:val="16"/>
        </w:rPr>
        <w:t>Cost of time calculated using Australian Government default non</w:t>
      </w:r>
      <w:r>
        <w:rPr>
          <w:sz w:val="16"/>
        </w:rPr>
        <w:t xml:space="preserve"> </w:t>
      </w:r>
      <w:r w:rsidRPr="003041C7">
        <w:rPr>
          <w:sz w:val="16"/>
        </w:rPr>
        <w:t>work-related labour rates based on ABS average weekly earnings data ($29.00 per hour)</w:t>
      </w:r>
      <w:r>
        <w:rPr>
          <w:sz w:val="16"/>
        </w:rPr>
        <w:t>.</w:t>
      </w:r>
    </w:p>
  </w:footnote>
  <w:footnote w:id="29">
    <w:p w14:paraId="29D768D9" w14:textId="53055229" w:rsidR="003D2ADD" w:rsidRDefault="003D2ADD" w:rsidP="003F1537">
      <w:pPr>
        <w:pStyle w:val="FootnoteText"/>
      </w:pPr>
      <w:r w:rsidRPr="00AA7917">
        <w:rPr>
          <w:rStyle w:val="FootnoteReference"/>
          <w:sz w:val="16"/>
        </w:rPr>
        <w:footnoteRef/>
      </w:r>
      <w:r w:rsidRPr="00AA7917">
        <w:rPr>
          <w:sz w:val="16"/>
        </w:rPr>
        <w:t xml:space="preserve"> For example, the Victorian Civil and Administrative Tribunal charges application fees of </w:t>
      </w:r>
      <w:r>
        <w:rPr>
          <w:sz w:val="16"/>
        </w:rPr>
        <w:t>$66.30</w:t>
      </w:r>
      <w:r w:rsidRPr="00AA7917">
        <w:rPr>
          <w:sz w:val="16"/>
        </w:rPr>
        <w:t xml:space="preserve"> for claims below $3,000, </w:t>
      </w:r>
      <w:r>
        <w:rPr>
          <w:sz w:val="16"/>
        </w:rPr>
        <w:t xml:space="preserve">$220.90 </w:t>
      </w:r>
      <w:r w:rsidRPr="00AA7917">
        <w:rPr>
          <w:sz w:val="16"/>
        </w:rPr>
        <w:t xml:space="preserve">for claims between $3,001 and $15,000 and </w:t>
      </w:r>
      <w:r>
        <w:rPr>
          <w:sz w:val="16"/>
        </w:rPr>
        <w:t>$494.50</w:t>
      </w:r>
      <w:r w:rsidRPr="00AA7917">
        <w:rPr>
          <w:sz w:val="16"/>
        </w:rPr>
        <w:t xml:space="preserve"> for claims between $15,001 and $100,000. See the Tribunal’s website: </w:t>
      </w:r>
      <w:hyperlink r:id="rId2" w:history="1">
        <w:r w:rsidRPr="00D23B5A">
          <w:rPr>
            <w:rStyle w:val="Hyperlink"/>
            <w:sz w:val="16"/>
          </w:rPr>
          <w:t>https://www.vcat.vic.gov.au/fees</w:t>
        </w:r>
      </w:hyperlink>
      <w:r w:rsidRPr="00AA7917">
        <w:rPr>
          <w:sz w:val="16"/>
        </w:rPr>
        <w:t xml:space="preserve"> [accessed </w:t>
      </w:r>
      <w:r>
        <w:rPr>
          <w:sz w:val="16"/>
        </w:rPr>
        <w:t>9</w:t>
      </w:r>
      <w:r w:rsidRPr="00AA7917">
        <w:rPr>
          <w:sz w:val="16"/>
        </w:rPr>
        <w:t> </w:t>
      </w:r>
      <w:r>
        <w:rPr>
          <w:sz w:val="16"/>
        </w:rPr>
        <w:t>November 2021</w:t>
      </w:r>
      <w:r w:rsidRPr="00AA7917">
        <w:rPr>
          <w:sz w:val="16"/>
        </w:rPr>
        <w:t>].</w:t>
      </w:r>
    </w:p>
  </w:footnote>
  <w:footnote w:id="30">
    <w:p w14:paraId="53A1A206" w14:textId="30A7AE36" w:rsidR="003D2ADD" w:rsidRDefault="003D2ADD">
      <w:pPr>
        <w:pStyle w:val="FootnoteText"/>
      </w:pPr>
      <w:r>
        <w:rPr>
          <w:rStyle w:val="FootnoteReference"/>
        </w:rPr>
        <w:footnoteRef/>
      </w:r>
      <w:r>
        <w:t xml:space="preserve"> </w:t>
      </w:r>
      <w:r w:rsidRPr="00AA7917">
        <w:rPr>
          <w:sz w:val="16"/>
        </w:rPr>
        <w:t xml:space="preserve">Choice’s </w:t>
      </w:r>
      <w:hyperlink r:id="rId3" w:history="1">
        <w:r w:rsidRPr="00D23B5A">
          <w:rPr>
            <w:rStyle w:val="Hyperlink"/>
            <w:sz w:val="16"/>
          </w:rPr>
          <w:t>submission to the 2018 consultation</w:t>
        </w:r>
      </w:hyperlink>
      <w:r w:rsidRPr="00AA7917">
        <w:rPr>
          <w:sz w:val="16"/>
        </w:rPr>
        <w:t xml:space="preserve"> (pp. 3-4) noted ‘In a surprising number of everyday disputes, we see frustrated consumers seeking support from experts including consumer advocates, lawyers, public servants and various specialists such as electricians, mechanics and computer technicians.’</w:t>
      </w:r>
    </w:p>
  </w:footnote>
  <w:footnote w:id="31">
    <w:p w14:paraId="47DE16C9" w14:textId="77777777" w:rsidR="003D2ADD" w:rsidRPr="00E823F1" w:rsidRDefault="003D2ADD" w:rsidP="003F1537">
      <w:pPr>
        <w:pStyle w:val="FootnoteText"/>
      </w:pPr>
      <w:r w:rsidRPr="00AA7917">
        <w:rPr>
          <w:rStyle w:val="FootnoteReference"/>
          <w:sz w:val="16"/>
        </w:rPr>
        <w:footnoteRef/>
      </w:r>
      <w:r w:rsidRPr="00AA7917">
        <w:rPr>
          <w:sz w:val="16"/>
        </w:rPr>
        <w:t xml:space="preserve"> Legal Aid Queensland, </w:t>
      </w:r>
      <w:hyperlink r:id="rId4" w:history="1">
        <w:r w:rsidRPr="00AA7917">
          <w:rPr>
            <w:rStyle w:val="Hyperlink"/>
            <w:sz w:val="16"/>
          </w:rPr>
          <w:t>submission to the 2018 consultation</w:t>
        </w:r>
      </w:hyperlink>
      <w:r w:rsidRPr="00AA7917">
        <w:rPr>
          <w:sz w:val="16"/>
        </w:rPr>
        <w:t>, p. 6.</w:t>
      </w:r>
    </w:p>
  </w:footnote>
  <w:footnote w:id="32">
    <w:p w14:paraId="124885FC" w14:textId="4C3DC07C" w:rsidR="003D2ADD" w:rsidRPr="00AA7917" w:rsidRDefault="003D2ADD" w:rsidP="003F1537">
      <w:pPr>
        <w:pStyle w:val="FootnoteText"/>
        <w:rPr>
          <w:sz w:val="16"/>
        </w:rPr>
      </w:pPr>
      <w:r w:rsidRPr="00AA7917">
        <w:rPr>
          <w:rStyle w:val="FootnoteReference"/>
          <w:sz w:val="16"/>
        </w:rPr>
        <w:footnoteRef/>
      </w:r>
      <w:r w:rsidRPr="00AA7917">
        <w:rPr>
          <w:sz w:val="16"/>
        </w:rPr>
        <w:t xml:space="preserve"> As 18</w:t>
      </w:r>
      <w:r>
        <w:rPr>
          <w:sz w:val="16"/>
        </w:rPr>
        <w:t xml:space="preserve"> per cent</w:t>
      </w:r>
      <w:r w:rsidRPr="00AA7917">
        <w:rPr>
          <w:sz w:val="16"/>
        </w:rPr>
        <w:t xml:space="preserve"> of consumers in the 2016 Australian Consumer Survey advised they did not seek a remedy, they are not included in the analysis as having been denied one. However, there are numerous reasons why a consumer may not seek a remedy even when entitled, for example past experiences with suppliers not providing remedies.</w:t>
      </w:r>
    </w:p>
  </w:footnote>
  <w:footnote w:id="33">
    <w:p w14:paraId="0348DC08" w14:textId="725062C0" w:rsidR="003D2ADD" w:rsidRPr="00AA7917" w:rsidRDefault="003D2ADD" w:rsidP="003F1537">
      <w:pPr>
        <w:pStyle w:val="FootnoteText"/>
        <w:rPr>
          <w:sz w:val="16"/>
        </w:rPr>
      </w:pPr>
      <w:r w:rsidRPr="00AA7917">
        <w:rPr>
          <w:rStyle w:val="FootnoteReference"/>
          <w:sz w:val="16"/>
        </w:rPr>
        <w:footnoteRef/>
      </w:r>
      <w:r w:rsidRPr="00AA7917">
        <w:rPr>
          <w:sz w:val="16"/>
        </w:rPr>
        <w:t xml:space="preserve"> Consistent with the 2016 Australian Consumer Survey, 55</w:t>
      </w:r>
      <w:r>
        <w:rPr>
          <w:sz w:val="16"/>
        </w:rPr>
        <w:t xml:space="preserve"> per cent</w:t>
      </w:r>
      <w:r w:rsidRPr="00AA7917">
        <w:rPr>
          <w:sz w:val="16"/>
        </w:rPr>
        <w:t xml:space="preserve"> of consumers who had sought a remedy indicated they were either satisfied the problem was resolved or were in the process of resolving the issue. The latter group (8</w:t>
      </w:r>
      <w:r>
        <w:rPr>
          <w:sz w:val="16"/>
        </w:rPr>
        <w:t xml:space="preserve"> per cent</w:t>
      </w:r>
      <w:r w:rsidRPr="00AA7917">
        <w:rPr>
          <w:sz w:val="16"/>
        </w:rPr>
        <w:t>) may overstate compliance levels.</w:t>
      </w:r>
    </w:p>
  </w:footnote>
  <w:footnote w:id="34">
    <w:p w14:paraId="3F50413D" w14:textId="10E95697" w:rsidR="003D2ADD" w:rsidRDefault="003D2ADD">
      <w:pPr>
        <w:pStyle w:val="FootnoteText"/>
      </w:pPr>
      <w:r w:rsidRPr="008773AE">
        <w:rPr>
          <w:rStyle w:val="FootnoteReference"/>
          <w:sz w:val="16"/>
        </w:rPr>
        <w:footnoteRef/>
      </w:r>
      <w:r w:rsidRPr="008773AE">
        <w:rPr>
          <w:sz w:val="16"/>
        </w:rPr>
        <w:t xml:space="preserve"> It should be noted the Australian Consumer Survey only captures data for consumer behaviour and not consumer entitlements.</w:t>
      </w:r>
    </w:p>
  </w:footnote>
  <w:footnote w:id="35">
    <w:p w14:paraId="1D2DDD53" w14:textId="2048C379" w:rsidR="003D2ADD" w:rsidRPr="00AA7917" w:rsidRDefault="003D2ADD" w:rsidP="003F1537">
      <w:pPr>
        <w:pStyle w:val="FootnoteText"/>
        <w:rPr>
          <w:sz w:val="16"/>
        </w:rPr>
      </w:pPr>
      <w:r w:rsidRPr="00AA7917">
        <w:rPr>
          <w:rStyle w:val="FootnoteReference"/>
          <w:sz w:val="16"/>
        </w:rPr>
        <w:footnoteRef/>
      </w:r>
      <w:r w:rsidRPr="00AA7917">
        <w:rPr>
          <w:sz w:val="16"/>
        </w:rPr>
        <w:t xml:space="preserve"> Consistent with the 2016 Australian Consumer Survey, 45</w:t>
      </w:r>
      <w:r>
        <w:rPr>
          <w:sz w:val="16"/>
        </w:rPr>
        <w:t xml:space="preserve"> per cent</w:t>
      </w:r>
      <w:r w:rsidRPr="00AA7917">
        <w:rPr>
          <w:sz w:val="16"/>
        </w:rPr>
        <w:t xml:space="preserve"> of consumers indicated the problem was resolved but not to their satisfaction or the problem was unresolved</w:t>
      </w:r>
      <w:r>
        <w:rPr>
          <w:sz w:val="16"/>
        </w:rPr>
        <w:t xml:space="preserve"> or </w:t>
      </w:r>
      <w:r w:rsidRPr="00AA7917">
        <w:rPr>
          <w:sz w:val="16"/>
        </w:rPr>
        <w:t xml:space="preserve">unlikely to be resolved. </w:t>
      </w:r>
      <w:r>
        <w:rPr>
          <w:sz w:val="16"/>
        </w:rPr>
        <w:t>I</w:t>
      </w:r>
      <w:r w:rsidRPr="00AA7917">
        <w:rPr>
          <w:sz w:val="16"/>
        </w:rPr>
        <w:t xml:space="preserve">n </w:t>
      </w:r>
      <w:r>
        <w:rPr>
          <w:sz w:val="16"/>
        </w:rPr>
        <w:t xml:space="preserve">the </w:t>
      </w:r>
      <w:r w:rsidRPr="00AA7917">
        <w:rPr>
          <w:sz w:val="16"/>
        </w:rPr>
        <w:t xml:space="preserve">absence of more reliable data, </w:t>
      </w:r>
      <w:r>
        <w:rPr>
          <w:sz w:val="16"/>
        </w:rPr>
        <w:t xml:space="preserve">in this Consultation RIS </w:t>
      </w:r>
      <w:r w:rsidRPr="00AA7917">
        <w:rPr>
          <w:sz w:val="16"/>
        </w:rPr>
        <w:t xml:space="preserve">half of these consumers are assumed to have genuine consumer guarantee failures </w:t>
      </w:r>
      <w:r>
        <w:rPr>
          <w:sz w:val="16"/>
        </w:rPr>
        <w:t xml:space="preserve">entitling </w:t>
      </w:r>
      <w:r w:rsidRPr="00AA7917">
        <w:rPr>
          <w:sz w:val="16"/>
        </w:rPr>
        <w:t xml:space="preserve">them to remedies. </w:t>
      </w:r>
    </w:p>
  </w:footnote>
  <w:footnote w:id="36">
    <w:p w14:paraId="03907866" w14:textId="625445E4" w:rsidR="003D2ADD" w:rsidRDefault="003D2ADD" w:rsidP="003F1537">
      <w:pPr>
        <w:pStyle w:val="FootnoteText"/>
      </w:pPr>
      <w:r w:rsidRPr="00AA7917">
        <w:rPr>
          <w:rStyle w:val="FootnoteReference"/>
          <w:sz w:val="16"/>
        </w:rPr>
        <w:footnoteRef/>
      </w:r>
      <w:r w:rsidRPr="00AA7917">
        <w:rPr>
          <w:sz w:val="16"/>
        </w:rPr>
        <w:t xml:space="preserve"> This figure is derived by dividing the percentage </w:t>
      </w:r>
      <w:r>
        <w:rPr>
          <w:sz w:val="16"/>
        </w:rPr>
        <w:t>who</w:t>
      </w:r>
      <w:r w:rsidRPr="00AA7917">
        <w:rPr>
          <w:sz w:val="16"/>
        </w:rPr>
        <w:t xml:space="preserve"> don’t receive a remedy by the total percentage entitled to a remedy: 22.5</w:t>
      </w:r>
      <w:r>
        <w:rPr>
          <w:sz w:val="16"/>
        </w:rPr>
        <w:t xml:space="preserve"> per cent</w:t>
      </w:r>
      <w:r w:rsidRPr="00AA7917">
        <w:rPr>
          <w:sz w:val="16"/>
        </w:rPr>
        <w:t>% / (55</w:t>
      </w:r>
      <w:r>
        <w:rPr>
          <w:sz w:val="16"/>
        </w:rPr>
        <w:t xml:space="preserve"> per cent</w:t>
      </w:r>
      <w:r w:rsidRPr="00AA7917">
        <w:rPr>
          <w:sz w:val="16"/>
        </w:rPr>
        <w:t xml:space="preserve"> + 22.5</w:t>
      </w:r>
      <w:r>
        <w:rPr>
          <w:sz w:val="16"/>
        </w:rPr>
        <w:t xml:space="preserve"> per cent</w:t>
      </w:r>
      <w:r w:rsidRPr="00AA7917">
        <w:rPr>
          <w:sz w:val="16"/>
        </w:rPr>
        <w:t>).</w:t>
      </w:r>
    </w:p>
  </w:footnote>
  <w:footnote w:id="37">
    <w:p w14:paraId="2DB9E0A2" w14:textId="77777777" w:rsidR="003D2ADD" w:rsidRPr="00AA7917" w:rsidRDefault="003D2ADD" w:rsidP="0006354A">
      <w:pPr>
        <w:pStyle w:val="FootnoteText"/>
        <w:rPr>
          <w:sz w:val="16"/>
        </w:rPr>
      </w:pPr>
      <w:r w:rsidRPr="00AA7917">
        <w:rPr>
          <w:rStyle w:val="FootnoteReference"/>
          <w:sz w:val="16"/>
        </w:rPr>
        <w:footnoteRef/>
      </w:r>
      <w:r w:rsidRPr="00AA7917">
        <w:rPr>
          <w:sz w:val="16"/>
        </w:rPr>
        <w:t xml:space="preserve"> Caravan Council of Australia, </w:t>
      </w:r>
      <w:hyperlink r:id="rId5" w:history="1">
        <w:r w:rsidRPr="00AA7917">
          <w:rPr>
            <w:rStyle w:val="Hyperlink"/>
            <w:sz w:val="16"/>
          </w:rPr>
          <w:t>Submission to the 2018 consultation</w:t>
        </w:r>
      </w:hyperlink>
      <w:r w:rsidRPr="00AA7917">
        <w:rPr>
          <w:sz w:val="16"/>
        </w:rPr>
        <w:t>, p. 2.</w:t>
      </w:r>
    </w:p>
  </w:footnote>
  <w:footnote w:id="38">
    <w:p w14:paraId="4EEB6EDB" w14:textId="3638C291" w:rsidR="003D2ADD" w:rsidRPr="00AA7917" w:rsidRDefault="003D2ADD" w:rsidP="0006354A">
      <w:pPr>
        <w:pStyle w:val="FootnoteText"/>
        <w:rPr>
          <w:sz w:val="16"/>
        </w:rPr>
      </w:pPr>
      <w:r w:rsidRPr="00AA7917">
        <w:rPr>
          <w:rStyle w:val="FootnoteReference"/>
          <w:sz w:val="16"/>
        </w:rPr>
        <w:footnoteRef/>
      </w:r>
      <w:r w:rsidRPr="00AA7917">
        <w:rPr>
          <w:sz w:val="16"/>
        </w:rPr>
        <w:t xml:space="preserve"> C</w:t>
      </w:r>
      <w:r>
        <w:rPr>
          <w:sz w:val="16"/>
        </w:rPr>
        <w:t>HOICE</w:t>
      </w:r>
      <w:r w:rsidRPr="00AA7917">
        <w:rPr>
          <w:sz w:val="16"/>
        </w:rPr>
        <w:t>,</w:t>
      </w:r>
      <w:r w:rsidRPr="00AA7917">
        <w:rPr>
          <w:i/>
          <w:sz w:val="16"/>
        </w:rPr>
        <w:t xml:space="preserve"> </w:t>
      </w:r>
      <w:hyperlink r:id="rId6" w:history="1">
        <w:r w:rsidRPr="00AA7917">
          <w:rPr>
            <w:rStyle w:val="Hyperlink"/>
            <w:sz w:val="16"/>
          </w:rPr>
          <w:t>Submission to the 2018 consultation</w:t>
        </w:r>
      </w:hyperlink>
      <w:r w:rsidRPr="00AA7917">
        <w:rPr>
          <w:i/>
          <w:sz w:val="16"/>
        </w:rPr>
        <w:t xml:space="preserve">, </w:t>
      </w:r>
      <w:r w:rsidRPr="00AA7917">
        <w:rPr>
          <w:sz w:val="16"/>
        </w:rPr>
        <w:t xml:space="preserve">23 April 2018, p.3. </w:t>
      </w:r>
      <w:r>
        <w:rPr>
          <w:sz w:val="16"/>
        </w:rPr>
        <w:t xml:space="preserve">The submission made by Choice was based on </w:t>
      </w:r>
      <w:r w:rsidRPr="000D17F9">
        <w:rPr>
          <w:sz w:val="16"/>
        </w:rPr>
        <w:t>stories submitted to their dispute resolution and information services in the previous month.</w:t>
      </w:r>
    </w:p>
  </w:footnote>
  <w:footnote w:id="39">
    <w:p w14:paraId="1E57D2DF" w14:textId="77777777" w:rsidR="003D2ADD" w:rsidRPr="00AA7917" w:rsidRDefault="003D2ADD" w:rsidP="0006354A">
      <w:pPr>
        <w:pStyle w:val="FootnoteText"/>
        <w:rPr>
          <w:sz w:val="16"/>
        </w:rPr>
      </w:pPr>
      <w:r w:rsidRPr="00AA7917">
        <w:rPr>
          <w:rStyle w:val="FootnoteReference"/>
          <w:sz w:val="16"/>
        </w:rPr>
        <w:footnoteRef/>
      </w:r>
      <w:r w:rsidRPr="00AA7917">
        <w:rPr>
          <w:sz w:val="16"/>
        </w:rPr>
        <w:t xml:space="preserve"> Choice,</w:t>
      </w:r>
      <w:r w:rsidRPr="00AA7917">
        <w:rPr>
          <w:i/>
          <w:sz w:val="16"/>
        </w:rPr>
        <w:t xml:space="preserve"> </w:t>
      </w:r>
      <w:hyperlink r:id="rId7" w:history="1">
        <w:r w:rsidRPr="00AA7917">
          <w:rPr>
            <w:rStyle w:val="Hyperlink"/>
            <w:sz w:val="16"/>
          </w:rPr>
          <w:t>Submission to the 2018 consultation</w:t>
        </w:r>
      </w:hyperlink>
      <w:r w:rsidRPr="00AA7917">
        <w:rPr>
          <w:sz w:val="16"/>
        </w:rPr>
        <w:t>, 23 April 2018, p.5.</w:t>
      </w:r>
    </w:p>
  </w:footnote>
  <w:footnote w:id="40">
    <w:p w14:paraId="2A4176CD" w14:textId="77777777" w:rsidR="003D2ADD" w:rsidRDefault="003D2ADD" w:rsidP="0006354A">
      <w:pPr>
        <w:pStyle w:val="FootnoteText"/>
      </w:pPr>
      <w:r w:rsidRPr="00AA7917">
        <w:rPr>
          <w:rStyle w:val="FootnoteReference"/>
          <w:sz w:val="16"/>
        </w:rPr>
        <w:footnoteRef/>
      </w:r>
      <w:r w:rsidRPr="00AA7917">
        <w:rPr>
          <w:sz w:val="16"/>
        </w:rPr>
        <w:t xml:space="preserve"> Legal Aid New South Wales, </w:t>
      </w:r>
      <w:hyperlink r:id="rId8" w:history="1">
        <w:r w:rsidRPr="00AA7917">
          <w:rPr>
            <w:rStyle w:val="Hyperlink"/>
            <w:sz w:val="16"/>
          </w:rPr>
          <w:t>Submission to the 2018 consultation</w:t>
        </w:r>
      </w:hyperlink>
      <w:r w:rsidRPr="00AA7917">
        <w:rPr>
          <w:sz w:val="16"/>
        </w:rPr>
        <w:t>, April 2018, p. 4.</w:t>
      </w:r>
    </w:p>
  </w:footnote>
  <w:footnote w:id="41">
    <w:p w14:paraId="7BC23A15" w14:textId="77777777" w:rsidR="003D2ADD" w:rsidRPr="00AA7917" w:rsidRDefault="003D2ADD" w:rsidP="0051029D">
      <w:pPr>
        <w:pStyle w:val="FootnoteText"/>
        <w:rPr>
          <w:sz w:val="16"/>
        </w:rPr>
      </w:pPr>
      <w:r w:rsidRPr="00AA7917">
        <w:rPr>
          <w:rStyle w:val="FootnoteReference"/>
          <w:sz w:val="16"/>
        </w:rPr>
        <w:footnoteRef/>
      </w:r>
      <w:r w:rsidRPr="00AA7917">
        <w:rPr>
          <w:sz w:val="16"/>
        </w:rPr>
        <w:t xml:space="preserve"> Data was not available from all states and territories, but there were at least another 100,000 contracts to state and territory ACL regulators in the year to October 2019.</w:t>
      </w:r>
    </w:p>
  </w:footnote>
  <w:footnote w:id="42">
    <w:p w14:paraId="653B3189" w14:textId="3BAF28BA" w:rsidR="003D2ADD" w:rsidRPr="00AA7917" w:rsidRDefault="003D2ADD" w:rsidP="0051029D">
      <w:pPr>
        <w:pStyle w:val="FootnoteText"/>
        <w:rPr>
          <w:sz w:val="16"/>
        </w:rPr>
      </w:pPr>
      <w:r w:rsidRPr="00AA7917">
        <w:rPr>
          <w:rStyle w:val="FootnoteReference"/>
          <w:sz w:val="16"/>
        </w:rPr>
        <w:footnoteRef/>
      </w:r>
      <w:r w:rsidRPr="00AA7917">
        <w:rPr>
          <w:sz w:val="16"/>
        </w:rPr>
        <w:t xml:space="preserve"> For example, the Consumer Action Law Centre’s </w:t>
      </w:r>
      <w:hyperlink r:id="rId9" w:history="1">
        <w:r w:rsidRPr="00AA7917">
          <w:rPr>
            <w:rStyle w:val="Hyperlink"/>
            <w:sz w:val="16"/>
          </w:rPr>
          <w:t>submission to the 2018 consultation</w:t>
        </w:r>
      </w:hyperlink>
      <w:r w:rsidRPr="00AA7917">
        <w:rPr>
          <w:sz w:val="16"/>
        </w:rPr>
        <w:t>, noted it had received 926 calls to its legal advice line between April 2017 and April 2018 where ‘Consumer Guarantees Breach’ was flagged as an issue.</w:t>
      </w:r>
    </w:p>
  </w:footnote>
  <w:footnote w:id="43">
    <w:p w14:paraId="5D62557E" w14:textId="77777777" w:rsidR="003D2ADD" w:rsidRPr="00AA7917" w:rsidRDefault="003D2ADD" w:rsidP="001F1195">
      <w:pPr>
        <w:pStyle w:val="FootnoteText"/>
        <w:rPr>
          <w:sz w:val="16"/>
        </w:rPr>
      </w:pPr>
      <w:r w:rsidRPr="00AA7917">
        <w:rPr>
          <w:rStyle w:val="FootnoteReference"/>
          <w:sz w:val="16"/>
        </w:rPr>
        <w:footnoteRef/>
      </w:r>
      <w:r w:rsidRPr="00AA7917">
        <w:rPr>
          <w:sz w:val="16"/>
        </w:rPr>
        <w:t xml:space="preserve"> See for example: ACCC Media Release 71/18, </w:t>
      </w:r>
      <w:hyperlink r:id="rId10" w:history="1">
        <w:r w:rsidRPr="00AA7917">
          <w:rPr>
            <w:rStyle w:val="Hyperlink"/>
            <w:i/>
            <w:sz w:val="16"/>
          </w:rPr>
          <w:t>Court orders Ford to pay $10 million penalty for unconscionable conduct</w:t>
        </w:r>
      </w:hyperlink>
      <w:r w:rsidRPr="00AA7917">
        <w:rPr>
          <w:sz w:val="16"/>
        </w:rPr>
        <w:t>, 26 April 2018.</w:t>
      </w:r>
    </w:p>
  </w:footnote>
  <w:footnote w:id="44">
    <w:p w14:paraId="2076B557" w14:textId="77777777" w:rsidR="003D2ADD" w:rsidRDefault="003D2ADD" w:rsidP="001F1195">
      <w:pPr>
        <w:pStyle w:val="FootnoteText"/>
      </w:pPr>
      <w:r w:rsidRPr="00AA7917">
        <w:rPr>
          <w:rStyle w:val="FootnoteReference"/>
          <w:sz w:val="16"/>
        </w:rPr>
        <w:footnoteRef/>
      </w:r>
      <w:r w:rsidRPr="00AA7917">
        <w:rPr>
          <w:sz w:val="16"/>
        </w:rPr>
        <w:t xml:space="preserve"> See for example: ACCC Media Release 182/17, </w:t>
      </w:r>
      <w:hyperlink r:id="rId11" w:history="1">
        <w:r w:rsidRPr="00AA7917">
          <w:rPr>
            <w:rStyle w:val="Hyperlink"/>
            <w:i/>
            <w:sz w:val="16"/>
          </w:rPr>
          <w:t>MSY Technology ordered to pay penalties of $750,000 for consumer guarantee misrepresentations</w:t>
        </w:r>
      </w:hyperlink>
      <w:r w:rsidRPr="00AA7917">
        <w:rPr>
          <w:sz w:val="16"/>
        </w:rPr>
        <w:t>, 25 October 2017.</w:t>
      </w:r>
    </w:p>
  </w:footnote>
  <w:footnote w:id="45">
    <w:p w14:paraId="05179A09" w14:textId="10855020" w:rsidR="003D2ADD" w:rsidRPr="005C3283" w:rsidRDefault="003D2ADD" w:rsidP="001F1195">
      <w:pPr>
        <w:pStyle w:val="FootnoteText"/>
        <w:rPr>
          <w:sz w:val="16"/>
        </w:rPr>
      </w:pPr>
      <w:r w:rsidRPr="00AA7917">
        <w:rPr>
          <w:rStyle w:val="FootnoteReference"/>
          <w:sz w:val="16"/>
        </w:rPr>
        <w:footnoteRef/>
      </w:r>
      <w:r w:rsidRPr="00AA7917">
        <w:rPr>
          <w:sz w:val="16"/>
        </w:rPr>
        <w:t xml:space="preserve"> See further: </w:t>
      </w:r>
      <w:hyperlink r:id="rId12" w:history="1">
        <w:r w:rsidRPr="00AA7917">
          <w:rPr>
            <w:rStyle w:val="Hyperlink"/>
            <w:sz w:val="16"/>
          </w:rPr>
          <w:t>https://www.fairtrading.nsw.gov.au/about-fair-trading/our-services/consumer-guarantee-directions</w:t>
        </w:r>
      </w:hyperlink>
      <w:r w:rsidRPr="00AA7917">
        <w:rPr>
          <w:sz w:val="16"/>
        </w:rPr>
        <w:t xml:space="preserve">. The direction power has a limited scope. For example, it only applies to certain consumer guarantee failures relating to goods, certain goods purchased within 6 </w:t>
      </w:r>
      <w:r w:rsidRPr="005C3283">
        <w:rPr>
          <w:sz w:val="16"/>
        </w:rPr>
        <w:t>months of a consumer making a complaint to NSW Fair Trading, and to goods with a purchase price between $25 and $3,000</w:t>
      </w:r>
      <w:r>
        <w:rPr>
          <w:sz w:val="16"/>
        </w:rPr>
        <w:t xml:space="preserve"> (excluding GST)</w:t>
      </w:r>
      <w:r w:rsidRPr="005C3283">
        <w:rPr>
          <w:sz w:val="16"/>
        </w:rPr>
        <w:t>.</w:t>
      </w:r>
    </w:p>
  </w:footnote>
  <w:footnote w:id="46">
    <w:p w14:paraId="4D7F52A2" w14:textId="77777777" w:rsidR="003D2ADD" w:rsidRPr="00AA7917" w:rsidRDefault="003D2ADD" w:rsidP="002619BF">
      <w:pPr>
        <w:pStyle w:val="FootnoteText"/>
        <w:rPr>
          <w:sz w:val="16"/>
          <w:szCs w:val="16"/>
        </w:rPr>
      </w:pPr>
      <w:r w:rsidRPr="00883485">
        <w:rPr>
          <w:rStyle w:val="FootnoteReference"/>
          <w:sz w:val="16"/>
          <w:szCs w:val="16"/>
        </w:rPr>
        <w:footnoteRef/>
      </w:r>
      <w:r w:rsidRPr="005C3283">
        <w:rPr>
          <w:sz w:val="16"/>
          <w:szCs w:val="16"/>
        </w:rPr>
        <w:t xml:space="preserve"> ACCCount, 1 April to 30 June 2020, available from </w:t>
      </w:r>
      <w:hyperlink r:id="rId13" w:history="1">
        <w:r w:rsidRPr="005C3283">
          <w:rPr>
            <w:rStyle w:val="Hyperlink"/>
            <w:sz w:val="16"/>
            <w:szCs w:val="16"/>
          </w:rPr>
          <w:t>https://www.accc.gov.au/publications/acccount</w:t>
        </w:r>
      </w:hyperlink>
      <w:r w:rsidRPr="005C3283">
        <w:rPr>
          <w:sz w:val="16"/>
          <w:szCs w:val="16"/>
        </w:rPr>
        <w:t>.</w:t>
      </w:r>
    </w:p>
  </w:footnote>
  <w:footnote w:id="47">
    <w:p w14:paraId="7FA2F5CA" w14:textId="505355AF" w:rsidR="003D2ADD" w:rsidRDefault="003D2ADD" w:rsidP="001F1195">
      <w:pPr>
        <w:pStyle w:val="FootnoteText"/>
      </w:pPr>
      <w:r w:rsidRPr="00AA7917">
        <w:rPr>
          <w:rStyle w:val="FootnoteReference"/>
          <w:sz w:val="16"/>
          <w:szCs w:val="16"/>
        </w:rPr>
        <w:footnoteRef/>
      </w:r>
      <w:r w:rsidRPr="00AA7917">
        <w:rPr>
          <w:sz w:val="16"/>
          <w:szCs w:val="16"/>
        </w:rPr>
        <w:t xml:space="preserve"> This guide was published in 2016 and is currently in the process of being reviewed and updated.</w:t>
      </w:r>
    </w:p>
  </w:footnote>
  <w:footnote w:id="48">
    <w:p w14:paraId="29BC3D39" w14:textId="0384362D" w:rsidR="003D2ADD" w:rsidRPr="00AA7917" w:rsidRDefault="003D2ADD" w:rsidP="001F1195">
      <w:pPr>
        <w:pStyle w:val="FootnoteText"/>
        <w:rPr>
          <w:sz w:val="16"/>
        </w:rPr>
      </w:pPr>
      <w:r w:rsidRPr="00AA7917">
        <w:rPr>
          <w:rStyle w:val="FootnoteReference"/>
          <w:sz w:val="16"/>
        </w:rPr>
        <w:footnoteRef/>
      </w:r>
      <w:r w:rsidRPr="00AA7917">
        <w:rPr>
          <w:sz w:val="16"/>
        </w:rPr>
        <w:t xml:space="preserve"> For example, the </w:t>
      </w:r>
      <w:hyperlink r:id="rId14" w:history="1">
        <w:r w:rsidRPr="00AA7917">
          <w:rPr>
            <w:rStyle w:val="Hyperlink"/>
            <w:i/>
            <w:sz w:val="16"/>
          </w:rPr>
          <w:t>My Consumer Rights Campaign</w:t>
        </w:r>
      </w:hyperlink>
      <w:r w:rsidRPr="00AA7917">
        <w:rPr>
          <w:sz w:val="16"/>
        </w:rPr>
        <w:t xml:space="preserve"> includes a set of animated videos on YouTube discussing rights and responsibilities when buying goods and services, including consumer guarantees. Similarly, the </w:t>
      </w:r>
      <w:hyperlink r:id="rId15" w:history="1">
        <w:r w:rsidRPr="00AA7917">
          <w:rPr>
            <w:rStyle w:val="Hyperlink"/>
            <w:sz w:val="16"/>
          </w:rPr>
          <w:t>Be Smart – Buy Smart</w:t>
        </w:r>
      </w:hyperlink>
      <w:r w:rsidRPr="00AA7917">
        <w:rPr>
          <w:sz w:val="16"/>
        </w:rPr>
        <w:t xml:space="preserve"> campaign provided tips and information about shopping rights and responsibilities focusing on issues relevant to Indigenous Australians.</w:t>
      </w:r>
    </w:p>
  </w:footnote>
  <w:footnote w:id="49">
    <w:p w14:paraId="35856A7B" w14:textId="77777777" w:rsidR="003D2ADD" w:rsidRPr="00AA7917" w:rsidRDefault="003D2ADD" w:rsidP="001F1195">
      <w:pPr>
        <w:pStyle w:val="FootnoteText"/>
        <w:rPr>
          <w:sz w:val="16"/>
        </w:rPr>
      </w:pPr>
      <w:r w:rsidRPr="00AA7917">
        <w:rPr>
          <w:rStyle w:val="FootnoteReference"/>
          <w:sz w:val="16"/>
        </w:rPr>
        <w:footnoteRef/>
      </w:r>
      <w:r w:rsidRPr="00AA7917">
        <w:rPr>
          <w:sz w:val="16"/>
        </w:rPr>
        <w:t xml:space="preserve"> This included </w:t>
      </w:r>
      <w:hyperlink r:id="rId16" w:history="1">
        <w:r w:rsidRPr="00AA7917">
          <w:rPr>
            <w:rStyle w:val="Hyperlink"/>
            <w:sz w:val="16"/>
          </w:rPr>
          <w:t>guides</w:t>
        </w:r>
      </w:hyperlink>
      <w:r w:rsidRPr="00AA7917">
        <w:rPr>
          <w:sz w:val="16"/>
        </w:rPr>
        <w:t xml:space="preserve"> developed for both consumers and aged care providers.</w:t>
      </w:r>
    </w:p>
  </w:footnote>
  <w:footnote w:id="50">
    <w:p w14:paraId="5A52C20E" w14:textId="77777777" w:rsidR="003D2ADD" w:rsidRPr="00AA7917" w:rsidRDefault="003D2ADD" w:rsidP="001F1195">
      <w:pPr>
        <w:pStyle w:val="FootnoteText"/>
        <w:rPr>
          <w:sz w:val="16"/>
        </w:rPr>
      </w:pPr>
      <w:r w:rsidRPr="00AA7917">
        <w:rPr>
          <w:rStyle w:val="FootnoteReference"/>
          <w:sz w:val="16"/>
        </w:rPr>
        <w:footnoteRef/>
      </w:r>
      <w:r w:rsidRPr="00AA7917">
        <w:rPr>
          <w:sz w:val="16"/>
        </w:rPr>
        <w:t xml:space="preserve"> The </w:t>
      </w:r>
      <w:hyperlink r:id="rId17" w:history="1">
        <w:r w:rsidRPr="00AA7917">
          <w:rPr>
            <w:rStyle w:val="Hyperlink"/>
            <w:sz w:val="16"/>
          </w:rPr>
          <w:t>Making Share Fair</w:t>
        </w:r>
      </w:hyperlink>
      <w:r w:rsidRPr="00AA7917">
        <w:rPr>
          <w:sz w:val="16"/>
        </w:rPr>
        <w:t xml:space="preserve"> campaign includes YouTube videos and links to guides.</w:t>
      </w:r>
    </w:p>
  </w:footnote>
  <w:footnote w:id="51">
    <w:p w14:paraId="33EB76F7" w14:textId="77777777" w:rsidR="003D2ADD" w:rsidRPr="00DD3B43" w:rsidRDefault="003D2ADD" w:rsidP="001F1195">
      <w:pPr>
        <w:pStyle w:val="FootnoteText"/>
      </w:pPr>
      <w:r w:rsidRPr="00AA7917">
        <w:rPr>
          <w:rStyle w:val="FootnoteReference"/>
          <w:sz w:val="16"/>
        </w:rPr>
        <w:footnoteRef/>
      </w:r>
      <w:r w:rsidRPr="00AA7917">
        <w:rPr>
          <w:sz w:val="16"/>
        </w:rPr>
        <w:t xml:space="preserve"> For example, guidance for consumers purchasing tickets to </w:t>
      </w:r>
      <w:hyperlink r:id="rId18" w:history="1">
        <w:r w:rsidRPr="00AA7917">
          <w:rPr>
            <w:rStyle w:val="Hyperlink"/>
            <w:sz w:val="16"/>
          </w:rPr>
          <w:t>music festivals</w:t>
        </w:r>
      </w:hyperlink>
      <w:r w:rsidRPr="00AA7917">
        <w:rPr>
          <w:sz w:val="16"/>
        </w:rPr>
        <w:t>.</w:t>
      </w:r>
    </w:p>
  </w:footnote>
  <w:footnote w:id="52">
    <w:p w14:paraId="084F4DCD" w14:textId="77777777" w:rsidR="003D2ADD" w:rsidRPr="00AA7917" w:rsidRDefault="003D2ADD" w:rsidP="00C304A1">
      <w:pPr>
        <w:pStyle w:val="FootnoteText"/>
        <w:rPr>
          <w:sz w:val="16"/>
        </w:rPr>
      </w:pPr>
      <w:r w:rsidRPr="00AA7917">
        <w:rPr>
          <w:rStyle w:val="FootnoteReference"/>
          <w:sz w:val="16"/>
        </w:rPr>
        <w:footnoteRef/>
      </w:r>
      <w:r w:rsidRPr="00AA7917">
        <w:rPr>
          <w:sz w:val="16"/>
        </w:rPr>
        <w:t xml:space="preserve"> EY Sweeney, Australian Consumer Survey 2016, p. 40.</w:t>
      </w:r>
    </w:p>
  </w:footnote>
  <w:footnote w:id="53">
    <w:p w14:paraId="656856EF" w14:textId="77777777" w:rsidR="003D2ADD" w:rsidRPr="00AA7917" w:rsidRDefault="003D2ADD" w:rsidP="00C304A1">
      <w:pPr>
        <w:pStyle w:val="FootnoteText"/>
        <w:rPr>
          <w:sz w:val="16"/>
        </w:rPr>
      </w:pPr>
      <w:r w:rsidRPr="00AA7917">
        <w:rPr>
          <w:rStyle w:val="FootnoteReference"/>
          <w:sz w:val="16"/>
        </w:rPr>
        <w:footnoteRef/>
      </w:r>
      <w:r w:rsidRPr="00AA7917">
        <w:rPr>
          <w:sz w:val="16"/>
        </w:rPr>
        <w:t xml:space="preserve"> EY Sweeney, Australian Consumer Survey 2016, p. 50.</w:t>
      </w:r>
    </w:p>
  </w:footnote>
  <w:footnote w:id="54">
    <w:p w14:paraId="65808F1E" w14:textId="560A2540" w:rsidR="003D2ADD" w:rsidRPr="00AA7917" w:rsidRDefault="003D2ADD" w:rsidP="00AF1343">
      <w:pPr>
        <w:pStyle w:val="FootnoteText"/>
        <w:rPr>
          <w:sz w:val="16"/>
        </w:rPr>
      </w:pPr>
      <w:r w:rsidRPr="00AA7917">
        <w:rPr>
          <w:rStyle w:val="FootnoteReference"/>
          <w:sz w:val="16"/>
        </w:rPr>
        <w:footnoteRef/>
      </w:r>
      <w:r w:rsidRPr="00AA7917">
        <w:rPr>
          <w:sz w:val="16"/>
        </w:rPr>
        <w:t xml:space="preserve"> See CHOICE </w:t>
      </w:r>
      <w:hyperlink r:id="rId19" w:history="1">
        <w:r w:rsidRPr="00AA7917">
          <w:rPr>
            <w:rStyle w:val="Hyperlink"/>
            <w:sz w:val="16"/>
          </w:rPr>
          <w:t>submission to the 2018 consultation</w:t>
        </w:r>
      </w:hyperlink>
      <w:r w:rsidRPr="00AA7917">
        <w:rPr>
          <w:sz w:val="16"/>
        </w:rPr>
        <w:t xml:space="preserve">, pp. 10-11; and </w:t>
      </w:r>
      <w:r>
        <w:rPr>
          <w:sz w:val="16"/>
        </w:rPr>
        <w:t>AAA</w:t>
      </w:r>
      <w:r w:rsidRPr="00AA7917">
        <w:rPr>
          <w:sz w:val="16"/>
        </w:rPr>
        <w:t xml:space="preserve">, </w:t>
      </w:r>
      <w:hyperlink r:id="rId20" w:history="1">
        <w:r w:rsidRPr="00AA7917">
          <w:rPr>
            <w:rStyle w:val="Hyperlink"/>
            <w:sz w:val="16"/>
          </w:rPr>
          <w:t>submission to the 2018 consultation</w:t>
        </w:r>
      </w:hyperlink>
      <w:r w:rsidRPr="00AA7917">
        <w:rPr>
          <w:sz w:val="16"/>
        </w:rPr>
        <w:t>, p. 4-12.</w:t>
      </w:r>
    </w:p>
  </w:footnote>
  <w:footnote w:id="55">
    <w:p w14:paraId="579FCA90" w14:textId="77777777" w:rsidR="003D2ADD" w:rsidRDefault="003D2ADD" w:rsidP="004F53EC">
      <w:pPr>
        <w:pStyle w:val="FootnoteText"/>
      </w:pPr>
      <w:r w:rsidRPr="00AA7917">
        <w:rPr>
          <w:rStyle w:val="FootnoteReference"/>
          <w:sz w:val="16"/>
        </w:rPr>
        <w:footnoteRef/>
      </w:r>
      <w:r w:rsidRPr="00AA7917">
        <w:rPr>
          <w:sz w:val="16"/>
        </w:rPr>
        <w:t xml:space="preserve"> 15 March 2016, CHOICE, ‘Turning lemons into lemonade: consumer experiences in the new car market’.</w:t>
      </w:r>
    </w:p>
  </w:footnote>
  <w:footnote w:id="56">
    <w:p w14:paraId="0F9F7695" w14:textId="7089D864" w:rsidR="003D2ADD" w:rsidRPr="00AA7917" w:rsidRDefault="003D2ADD" w:rsidP="00C304A1">
      <w:pPr>
        <w:pStyle w:val="FootnoteText"/>
        <w:rPr>
          <w:sz w:val="16"/>
        </w:rPr>
      </w:pPr>
      <w:r w:rsidRPr="00AA7917">
        <w:rPr>
          <w:rStyle w:val="FootnoteReference"/>
          <w:sz w:val="16"/>
        </w:rPr>
        <w:footnoteRef/>
      </w:r>
      <w:r w:rsidRPr="00AA7917">
        <w:rPr>
          <w:sz w:val="16"/>
        </w:rPr>
        <w:t xml:space="preserve"> By comparison, the </w:t>
      </w:r>
      <w:r>
        <w:rPr>
          <w:sz w:val="16"/>
        </w:rPr>
        <w:t xml:space="preserve">AAA’s </w:t>
      </w:r>
      <w:r w:rsidRPr="00AA7917">
        <w:rPr>
          <w:sz w:val="16"/>
        </w:rPr>
        <w:t xml:space="preserve"> </w:t>
      </w:r>
      <w:hyperlink r:id="rId21" w:history="1">
        <w:r w:rsidRPr="00AA7917">
          <w:rPr>
            <w:rStyle w:val="Hyperlink"/>
            <w:sz w:val="16"/>
          </w:rPr>
          <w:t>submission to the 2018 consultation</w:t>
        </w:r>
      </w:hyperlink>
      <w:r w:rsidRPr="00AA7917">
        <w:rPr>
          <w:sz w:val="16"/>
        </w:rPr>
        <w:t xml:space="preserve"> (p. 5) cites a cost of $1 970.</w:t>
      </w:r>
    </w:p>
  </w:footnote>
  <w:footnote w:id="57">
    <w:p w14:paraId="7394EBD2" w14:textId="64EBF4ED" w:rsidR="003D2ADD" w:rsidRPr="00AA7917" w:rsidRDefault="003D2ADD" w:rsidP="00C304A1">
      <w:pPr>
        <w:pStyle w:val="FootnoteText"/>
        <w:rPr>
          <w:sz w:val="16"/>
        </w:rPr>
      </w:pPr>
      <w:r w:rsidRPr="00AA7917">
        <w:rPr>
          <w:rStyle w:val="FootnoteReference"/>
          <w:sz w:val="16"/>
        </w:rPr>
        <w:footnoteRef/>
      </w:r>
      <w:r w:rsidRPr="00AA7917">
        <w:rPr>
          <w:sz w:val="16"/>
        </w:rPr>
        <w:t xml:space="preserve"> For example, the </w:t>
      </w:r>
      <w:r>
        <w:rPr>
          <w:sz w:val="16"/>
        </w:rPr>
        <w:t>AAA’s</w:t>
      </w:r>
      <w:r w:rsidRPr="00AA7917">
        <w:rPr>
          <w:sz w:val="16"/>
        </w:rPr>
        <w:t xml:space="preserve"> </w:t>
      </w:r>
      <w:hyperlink r:id="rId22" w:history="1">
        <w:r w:rsidRPr="00AA7917">
          <w:rPr>
            <w:rStyle w:val="Hyperlink"/>
            <w:sz w:val="16"/>
          </w:rPr>
          <w:t>submission to the 2018 consultation</w:t>
        </w:r>
      </w:hyperlink>
      <w:r w:rsidRPr="00AA7917">
        <w:rPr>
          <w:sz w:val="16"/>
        </w:rPr>
        <w:t xml:space="preserve"> (p. 2) notes member clubs often cite where favourable outcomes are only provided by manufacturers or dealers after third party advocacy and, often by this stage, significant resources have already been expended by the consumer.</w:t>
      </w:r>
    </w:p>
  </w:footnote>
  <w:footnote w:id="58">
    <w:p w14:paraId="3327D23F" w14:textId="4B2015F1" w:rsidR="003D2ADD" w:rsidRPr="00AA7917" w:rsidRDefault="003D2ADD" w:rsidP="00C304A1">
      <w:pPr>
        <w:pStyle w:val="FootnoteText"/>
        <w:rPr>
          <w:sz w:val="16"/>
        </w:rPr>
      </w:pPr>
      <w:r w:rsidRPr="00AA7917">
        <w:rPr>
          <w:rStyle w:val="FootnoteReference"/>
          <w:sz w:val="16"/>
        </w:rPr>
        <w:footnoteRef/>
      </w:r>
      <w:r w:rsidRPr="00AA7917">
        <w:rPr>
          <w:sz w:val="16"/>
        </w:rPr>
        <w:t xml:space="preserve"> </w:t>
      </w:r>
      <w:r>
        <w:rPr>
          <w:sz w:val="16"/>
        </w:rPr>
        <w:t>AAA</w:t>
      </w:r>
      <w:r w:rsidRPr="00AA7917">
        <w:rPr>
          <w:sz w:val="16"/>
        </w:rPr>
        <w:t xml:space="preserve">, </w:t>
      </w:r>
      <w:hyperlink r:id="rId23" w:history="1">
        <w:r w:rsidRPr="00AA7917">
          <w:rPr>
            <w:rStyle w:val="Hyperlink"/>
            <w:sz w:val="16"/>
          </w:rPr>
          <w:t>submission to the 2018 consultation</w:t>
        </w:r>
      </w:hyperlink>
      <w:r w:rsidRPr="00AA7917">
        <w:rPr>
          <w:sz w:val="16"/>
        </w:rPr>
        <w:t>, April 2018, p. 4.</w:t>
      </w:r>
    </w:p>
  </w:footnote>
  <w:footnote w:id="59">
    <w:p w14:paraId="19B99793" w14:textId="28F6A355" w:rsidR="003D2ADD" w:rsidRDefault="003D2ADD" w:rsidP="00C304A1">
      <w:pPr>
        <w:pStyle w:val="FootnoteText"/>
      </w:pPr>
      <w:r w:rsidRPr="00AA7917">
        <w:rPr>
          <w:rStyle w:val="FootnoteReference"/>
          <w:sz w:val="16"/>
        </w:rPr>
        <w:footnoteRef/>
      </w:r>
      <w:r w:rsidRPr="00AA7917">
        <w:rPr>
          <w:sz w:val="16"/>
        </w:rPr>
        <w:t xml:space="preserve"> </w:t>
      </w:r>
      <w:r>
        <w:rPr>
          <w:sz w:val="16"/>
        </w:rPr>
        <w:t>AAA</w:t>
      </w:r>
      <w:r w:rsidRPr="00AA7917">
        <w:rPr>
          <w:sz w:val="16"/>
        </w:rPr>
        <w:t xml:space="preserve">, </w:t>
      </w:r>
      <w:hyperlink r:id="rId24" w:history="1">
        <w:r w:rsidRPr="00AA7917">
          <w:rPr>
            <w:rStyle w:val="Hyperlink"/>
            <w:sz w:val="16"/>
          </w:rPr>
          <w:t>submission to the 2018 consultation</w:t>
        </w:r>
      </w:hyperlink>
      <w:r w:rsidRPr="00AA7917">
        <w:rPr>
          <w:sz w:val="16"/>
        </w:rPr>
        <w:t>, April 2018, p. 5.</w:t>
      </w:r>
    </w:p>
  </w:footnote>
  <w:footnote w:id="60">
    <w:p w14:paraId="7FF8B053" w14:textId="77777777" w:rsidR="003D2ADD" w:rsidRPr="00AA7917" w:rsidRDefault="003D2ADD" w:rsidP="00C304A1">
      <w:pPr>
        <w:pStyle w:val="FootnoteText"/>
        <w:rPr>
          <w:sz w:val="16"/>
        </w:rPr>
      </w:pPr>
      <w:r w:rsidRPr="00AA7917">
        <w:rPr>
          <w:rStyle w:val="FootnoteReference"/>
          <w:sz w:val="16"/>
        </w:rPr>
        <w:footnoteRef/>
      </w:r>
      <w:r w:rsidRPr="00AA7917">
        <w:rPr>
          <w:sz w:val="16"/>
        </w:rPr>
        <w:t xml:space="preserve"> Australian Automotive Aftermarket Association, </w:t>
      </w:r>
      <w:hyperlink r:id="rId25" w:history="1">
        <w:r w:rsidRPr="00AA7917">
          <w:rPr>
            <w:rStyle w:val="Hyperlink"/>
            <w:sz w:val="16"/>
          </w:rPr>
          <w:t>submission to the 2018 consultation</w:t>
        </w:r>
      </w:hyperlink>
      <w:r w:rsidRPr="00AA7917">
        <w:rPr>
          <w:sz w:val="16"/>
        </w:rPr>
        <w:t>, April 2018, pp. 2-3.</w:t>
      </w:r>
    </w:p>
  </w:footnote>
  <w:footnote w:id="61">
    <w:p w14:paraId="02915CC3" w14:textId="77777777" w:rsidR="003D2ADD" w:rsidRPr="00AA7917" w:rsidRDefault="003D2ADD" w:rsidP="00C304A1">
      <w:pPr>
        <w:pStyle w:val="FootnoteText"/>
        <w:rPr>
          <w:sz w:val="16"/>
        </w:rPr>
      </w:pPr>
      <w:r w:rsidRPr="00AA7917">
        <w:rPr>
          <w:rStyle w:val="FootnoteReference"/>
          <w:sz w:val="16"/>
        </w:rPr>
        <w:footnoteRef/>
      </w:r>
      <w:r w:rsidRPr="00AA7917">
        <w:rPr>
          <w:sz w:val="16"/>
        </w:rPr>
        <w:t xml:space="preserve"> ACCC, New car retailing industry market study: </w:t>
      </w:r>
      <w:hyperlink r:id="rId26" w:history="1">
        <w:r w:rsidRPr="00AA7917">
          <w:rPr>
            <w:rStyle w:val="Hyperlink"/>
            <w:sz w:val="16"/>
          </w:rPr>
          <w:t>https://www.accc.gov.au/publications/new-car-retailing-industry-market-study-final-report</w:t>
        </w:r>
      </w:hyperlink>
      <w:r w:rsidRPr="00AA7917">
        <w:rPr>
          <w:sz w:val="16"/>
        </w:rPr>
        <w:t xml:space="preserve">. </w:t>
      </w:r>
    </w:p>
  </w:footnote>
  <w:footnote w:id="62">
    <w:p w14:paraId="1DA05B04" w14:textId="77777777" w:rsidR="003D2ADD" w:rsidRDefault="003D2ADD" w:rsidP="00C304A1">
      <w:pPr>
        <w:pStyle w:val="FootnoteText"/>
      </w:pPr>
      <w:r w:rsidRPr="00AA7917">
        <w:rPr>
          <w:rStyle w:val="FootnoteReference"/>
          <w:sz w:val="16"/>
        </w:rPr>
        <w:footnoteRef/>
      </w:r>
      <w:r w:rsidRPr="00AA7917">
        <w:rPr>
          <w:sz w:val="16"/>
        </w:rPr>
        <w:t xml:space="preserve"> Australian Automotive Dealers Association, </w:t>
      </w:r>
      <w:hyperlink r:id="rId27" w:history="1">
        <w:r w:rsidRPr="00AA7917">
          <w:rPr>
            <w:rStyle w:val="Hyperlink"/>
            <w:sz w:val="16"/>
          </w:rPr>
          <w:t>submission to the 2018 consultation</w:t>
        </w:r>
      </w:hyperlink>
      <w:r w:rsidRPr="00AA7917">
        <w:rPr>
          <w:sz w:val="16"/>
        </w:rPr>
        <w:t>, p. 16.</w:t>
      </w:r>
    </w:p>
  </w:footnote>
  <w:footnote w:id="63">
    <w:p w14:paraId="2BD06872" w14:textId="77777777" w:rsidR="003D2ADD" w:rsidRDefault="003D2ADD" w:rsidP="00C304A1">
      <w:pPr>
        <w:pStyle w:val="FootnoteText"/>
      </w:pPr>
      <w:r w:rsidRPr="00AA7917">
        <w:rPr>
          <w:rStyle w:val="FootnoteReference"/>
          <w:sz w:val="16"/>
        </w:rPr>
        <w:footnoteRef/>
      </w:r>
      <w:r w:rsidRPr="00AA7917">
        <w:rPr>
          <w:sz w:val="16"/>
        </w:rPr>
        <w:t xml:space="preserve"> Consumer Law Centre of the ACT, </w:t>
      </w:r>
      <w:hyperlink r:id="rId28" w:history="1">
        <w:r w:rsidRPr="00AA7917">
          <w:rPr>
            <w:rStyle w:val="Hyperlink"/>
            <w:sz w:val="16"/>
          </w:rPr>
          <w:t>submission to the 2018 consultation</w:t>
        </w:r>
      </w:hyperlink>
      <w:r w:rsidRPr="00AA7917">
        <w:rPr>
          <w:sz w:val="16"/>
        </w:rPr>
        <w:t>, p. 5.</w:t>
      </w:r>
    </w:p>
  </w:footnote>
  <w:footnote w:id="64">
    <w:p w14:paraId="129B4064" w14:textId="77777777" w:rsidR="003D2ADD" w:rsidRPr="00AA7917" w:rsidRDefault="003D2ADD" w:rsidP="00A3481A">
      <w:pPr>
        <w:pStyle w:val="FootnoteText"/>
        <w:rPr>
          <w:sz w:val="16"/>
        </w:rPr>
      </w:pPr>
      <w:r w:rsidRPr="00AA7917">
        <w:rPr>
          <w:rStyle w:val="FootnoteReference"/>
          <w:sz w:val="16"/>
        </w:rPr>
        <w:footnoteRef/>
      </w:r>
      <w:r w:rsidRPr="00AA7917">
        <w:rPr>
          <w:sz w:val="16"/>
        </w:rPr>
        <w:t xml:space="preserve"> ACCC, New car retailing industry market study: </w:t>
      </w:r>
      <w:hyperlink r:id="rId29" w:history="1">
        <w:r w:rsidRPr="00AA7917">
          <w:rPr>
            <w:rStyle w:val="Hyperlink"/>
            <w:sz w:val="16"/>
          </w:rPr>
          <w:t>https://www.accc.gov.au/publications/new-car-retailing-industry-market-study-final-report</w:t>
        </w:r>
      </w:hyperlink>
      <w:r w:rsidRPr="00AA7917">
        <w:rPr>
          <w:sz w:val="16"/>
        </w:rPr>
        <w:t>, p. 7.</w:t>
      </w:r>
    </w:p>
  </w:footnote>
  <w:footnote w:id="65">
    <w:p w14:paraId="0DE63343" w14:textId="07894334" w:rsidR="003D2ADD" w:rsidRDefault="003D2ADD">
      <w:pPr>
        <w:pStyle w:val="FootnoteText"/>
      </w:pPr>
      <w:r w:rsidRPr="00AA7917">
        <w:rPr>
          <w:rStyle w:val="FootnoteReference"/>
          <w:sz w:val="16"/>
        </w:rPr>
        <w:footnoteRef/>
      </w:r>
      <w:r w:rsidRPr="00AA7917">
        <w:rPr>
          <w:sz w:val="16"/>
        </w:rPr>
        <w:t xml:space="preserve"> Australian Automobile Association, </w:t>
      </w:r>
      <w:hyperlink r:id="rId30" w:history="1">
        <w:r w:rsidRPr="00AA7917">
          <w:rPr>
            <w:rStyle w:val="Hyperlink"/>
            <w:sz w:val="16"/>
          </w:rPr>
          <w:t>submission to the 2018 consultation</w:t>
        </w:r>
      </w:hyperlink>
      <w:r w:rsidRPr="00AA7917">
        <w:rPr>
          <w:sz w:val="16"/>
        </w:rPr>
        <w:t>, April 2018, p. 9.</w:t>
      </w:r>
    </w:p>
  </w:footnote>
  <w:footnote w:id="66">
    <w:p w14:paraId="7E444A4A" w14:textId="77777777" w:rsidR="003D2ADD" w:rsidRPr="00FC3722" w:rsidRDefault="003D2ADD" w:rsidP="007159CE">
      <w:pPr>
        <w:pStyle w:val="FootnoteText"/>
        <w:rPr>
          <w:sz w:val="16"/>
          <w:szCs w:val="16"/>
        </w:rPr>
      </w:pPr>
      <w:r w:rsidRPr="00FC3722">
        <w:rPr>
          <w:rStyle w:val="FootnoteReference"/>
          <w:sz w:val="16"/>
          <w:szCs w:val="16"/>
        </w:rPr>
        <w:footnoteRef/>
      </w:r>
      <w:r w:rsidRPr="00FC3722">
        <w:rPr>
          <w:sz w:val="16"/>
          <w:szCs w:val="16"/>
        </w:rPr>
        <w:t xml:space="preserve"> ACCC Media Release, </w:t>
      </w:r>
      <w:hyperlink r:id="rId31" w:history="1">
        <w:r w:rsidRPr="00FC3722">
          <w:rPr>
            <w:rStyle w:val="Hyperlink"/>
            <w:i/>
            <w:sz w:val="16"/>
            <w:szCs w:val="16"/>
          </w:rPr>
          <w:t>Court orders Ford to pay $10 million penalty for unconscionable conduct</w:t>
        </w:r>
      </w:hyperlink>
      <w:r w:rsidRPr="00FC3722">
        <w:rPr>
          <w:sz w:val="16"/>
          <w:szCs w:val="16"/>
        </w:rPr>
        <w:t>, 26 April 2018.</w:t>
      </w:r>
    </w:p>
  </w:footnote>
  <w:footnote w:id="67">
    <w:p w14:paraId="339314D0" w14:textId="21F36403" w:rsidR="003D2ADD" w:rsidRDefault="003D2ADD" w:rsidP="007159CE">
      <w:pPr>
        <w:pStyle w:val="FootnoteText"/>
      </w:pPr>
      <w:r w:rsidRPr="00FC3722">
        <w:rPr>
          <w:rStyle w:val="FootnoteReference"/>
          <w:sz w:val="16"/>
          <w:szCs w:val="16"/>
        </w:rPr>
        <w:footnoteRef/>
      </w:r>
      <w:r w:rsidRPr="00FC3722">
        <w:rPr>
          <w:sz w:val="16"/>
          <w:szCs w:val="16"/>
        </w:rPr>
        <w:t xml:space="preserve"> ACCC Media Release,</w:t>
      </w:r>
      <w:r>
        <w:rPr>
          <w:sz w:val="16"/>
          <w:szCs w:val="16"/>
        </w:rPr>
        <w:t xml:space="preserve"> </w:t>
      </w:r>
      <w:hyperlink r:id="rId32" w:history="1">
        <w:r w:rsidRPr="0042752B">
          <w:rPr>
            <w:rStyle w:val="Hyperlink"/>
            <w:i/>
            <w:iCs/>
            <w:sz w:val="16"/>
            <w:szCs w:val="16"/>
          </w:rPr>
          <w:t>Mazda misled consumers about their rights over refund or replacement for faulty cars</w:t>
        </w:r>
      </w:hyperlink>
      <w:r w:rsidRPr="00FC3722">
        <w:rPr>
          <w:sz w:val="16"/>
          <w:szCs w:val="16"/>
        </w:rPr>
        <w:t>, 3</w:t>
      </w:r>
      <w:r>
        <w:rPr>
          <w:sz w:val="16"/>
          <w:szCs w:val="16"/>
        </w:rPr>
        <w:t>0 November 2021</w:t>
      </w:r>
      <w:r w:rsidRPr="00FC3722">
        <w:rPr>
          <w:sz w:val="16"/>
          <w:szCs w:val="16"/>
        </w:rPr>
        <w:t>.</w:t>
      </w:r>
    </w:p>
  </w:footnote>
  <w:footnote w:id="68">
    <w:p w14:paraId="413B2ACD" w14:textId="18E4B31F" w:rsidR="003D2ADD" w:rsidRPr="00AA7917" w:rsidRDefault="003D2ADD" w:rsidP="00562442">
      <w:pPr>
        <w:pStyle w:val="FootnoteText"/>
        <w:rPr>
          <w:sz w:val="16"/>
        </w:rPr>
      </w:pPr>
      <w:r w:rsidRPr="00AA7917">
        <w:rPr>
          <w:rStyle w:val="FootnoteReference"/>
          <w:sz w:val="16"/>
        </w:rPr>
        <w:footnoteRef/>
      </w:r>
      <w:r w:rsidRPr="00AA7917">
        <w:rPr>
          <w:sz w:val="16"/>
        </w:rPr>
        <w:t xml:space="preserve"> Australian </w:t>
      </w:r>
      <w:r>
        <w:rPr>
          <w:sz w:val="16"/>
        </w:rPr>
        <w:t>Automotive</w:t>
      </w:r>
      <w:r w:rsidRPr="00AA7917">
        <w:rPr>
          <w:sz w:val="16"/>
        </w:rPr>
        <w:t xml:space="preserve"> Dealer Association, </w:t>
      </w:r>
      <w:hyperlink r:id="rId33" w:history="1">
        <w:r w:rsidRPr="00AA7917">
          <w:rPr>
            <w:rStyle w:val="Hyperlink"/>
            <w:sz w:val="16"/>
          </w:rPr>
          <w:t>submission to the 2018 consultation</w:t>
        </w:r>
      </w:hyperlink>
      <w:r w:rsidRPr="00AA7917">
        <w:rPr>
          <w:sz w:val="16"/>
        </w:rPr>
        <w:t>, p. 12.</w:t>
      </w:r>
    </w:p>
  </w:footnote>
  <w:footnote w:id="69">
    <w:p w14:paraId="15E5DFEE" w14:textId="77777777" w:rsidR="003D2ADD" w:rsidRDefault="003D2ADD" w:rsidP="00562442">
      <w:pPr>
        <w:pStyle w:val="FootnoteText"/>
      </w:pPr>
      <w:r w:rsidRPr="00AA7917">
        <w:rPr>
          <w:rStyle w:val="FootnoteReference"/>
          <w:sz w:val="16"/>
        </w:rPr>
        <w:footnoteRef/>
      </w:r>
      <w:r w:rsidRPr="00AA7917">
        <w:rPr>
          <w:sz w:val="16"/>
        </w:rPr>
        <w:t xml:space="preserve"> Federal Chamber of Automotive Industries, submission to the ACL Review, 2016, p. 6</w:t>
      </w:r>
    </w:p>
  </w:footnote>
  <w:footnote w:id="70">
    <w:p w14:paraId="2350807E" w14:textId="75FE1327" w:rsidR="003D2ADD" w:rsidRPr="00B21616" w:rsidRDefault="003D2ADD">
      <w:pPr>
        <w:pStyle w:val="FootnoteText"/>
        <w:rPr>
          <w:sz w:val="16"/>
          <w:szCs w:val="16"/>
        </w:rPr>
      </w:pPr>
      <w:r w:rsidRPr="00B21616">
        <w:rPr>
          <w:rStyle w:val="FootnoteReference"/>
          <w:sz w:val="16"/>
          <w:szCs w:val="16"/>
        </w:rPr>
        <w:footnoteRef/>
      </w:r>
      <w:r w:rsidRPr="00B21616">
        <w:rPr>
          <w:sz w:val="16"/>
          <w:szCs w:val="16"/>
        </w:rPr>
        <w:t xml:space="preserve"> Manufacturers have the same obligation where they directly supply goods to consumers. Further, manufacturers have a similar obligation in relation to consumer guarantee failures relating to the availability of repairs and spare parts (section 58) and express warranties (section 59). Specifically, if manufacturers refuse to repair or replace the goods involved or fail to do so within a reasonable time, a consumer </w:t>
      </w:r>
      <w:r>
        <w:rPr>
          <w:sz w:val="16"/>
          <w:szCs w:val="16"/>
        </w:rPr>
        <w:t>can</w:t>
      </w:r>
      <w:r w:rsidRPr="00B21616">
        <w:rPr>
          <w:sz w:val="16"/>
          <w:szCs w:val="16"/>
        </w:rPr>
        <w:t xml:space="preserve"> take legal action to recover damages from the manufacturer (subsections 271(5) and (6)).</w:t>
      </w:r>
    </w:p>
  </w:footnote>
  <w:footnote w:id="71">
    <w:p w14:paraId="43FC8CA8" w14:textId="77777777" w:rsidR="003D2ADD" w:rsidRDefault="003D2ADD" w:rsidP="005D44E5">
      <w:pPr>
        <w:pStyle w:val="FootnoteText"/>
      </w:pPr>
      <w:r w:rsidRPr="00AA7917">
        <w:rPr>
          <w:rStyle w:val="FootnoteReference"/>
          <w:sz w:val="16"/>
        </w:rPr>
        <w:footnoteRef/>
      </w:r>
      <w:r w:rsidRPr="00AA7917">
        <w:rPr>
          <w:sz w:val="16"/>
        </w:rPr>
        <w:t xml:space="preserve"> Asymmetric information occurs where market participants do not have access to the same information. This prevents parties from making informed decisions and bargaining on a level playing field.</w:t>
      </w:r>
    </w:p>
  </w:footnote>
  <w:footnote w:id="72">
    <w:p w14:paraId="3CED86CF" w14:textId="5B6C7A61" w:rsidR="003D2ADD" w:rsidRPr="00B00389" w:rsidRDefault="003D2ADD">
      <w:pPr>
        <w:pStyle w:val="FootnoteText"/>
      </w:pPr>
      <w:r w:rsidRPr="00AA7917">
        <w:rPr>
          <w:rStyle w:val="FootnoteReference"/>
          <w:sz w:val="16"/>
        </w:rPr>
        <w:footnoteRef/>
      </w:r>
      <w:r w:rsidRPr="00AA7917">
        <w:rPr>
          <w:rFonts w:cstheme="minorBidi"/>
          <w:sz w:val="16"/>
        </w:rPr>
        <w:t>.</w:t>
      </w:r>
      <w:r w:rsidRPr="00AA7917">
        <w:rPr>
          <w:sz w:val="16"/>
        </w:rPr>
        <w:t xml:space="preserve"> EY Sweeney, Australian Consumer Survey 2016.</w:t>
      </w:r>
    </w:p>
  </w:footnote>
  <w:footnote w:id="73">
    <w:p w14:paraId="0B956EAF" w14:textId="77777777" w:rsidR="003D2ADD" w:rsidRDefault="003D2ADD" w:rsidP="00EA76C2">
      <w:pPr>
        <w:pStyle w:val="FootnoteText"/>
      </w:pPr>
      <w:r w:rsidRPr="00AA7917">
        <w:rPr>
          <w:rStyle w:val="FootnoteReference"/>
          <w:sz w:val="16"/>
        </w:rPr>
        <w:footnoteRef/>
      </w:r>
      <w:r w:rsidRPr="00AA7917">
        <w:rPr>
          <w:sz w:val="16"/>
        </w:rPr>
        <w:t xml:space="preserve"> ACL Review Final Report, pp. 16-17.</w:t>
      </w:r>
    </w:p>
  </w:footnote>
  <w:footnote w:id="74">
    <w:p w14:paraId="17F719EB" w14:textId="77777777" w:rsidR="003D2ADD" w:rsidRDefault="003D2ADD" w:rsidP="00B7303A">
      <w:pPr>
        <w:pStyle w:val="FootnoteText"/>
      </w:pPr>
      <w:r w:rsidRPr="00AA7917">
        <w:rPr>
          <w:rStyle w:val="FootnoteReference"/>
          <w:sz w:val="16"/>
        </w:rPr>
        <w:footnoteRef/>
      </w:r>
      <w:r w:rsidRPr="00AA7917">
        <w:rPr>
          <w:sz w:val="16"/>
        </w:rPr>
        <w:t xml:space="preserve"> For example, see </w:t>
      </w:r>
      <w:hyperlink r:id="rId34" w:history="1">
        <w:r w:rsidRPr="00AA7917">
          <w:rPr>
            <w:rStyle w:val="Hyperlink"/>
            <w:sz w:val="16"/>
          </w:rPr>
          <w:t>https://www.accc.gov.au/publications/just-bought-a-new-car</w:t>
        </w:r>
      </w:hyperlink>
      <w:r w:rsidRPr="00AA7917">
        <w:rPr>
          <w:sz w:val="16"/>
        </w:rPr>
        <w:t xml:space="preserve"> and </w:t>
      </w:r>
      <w:hyperlink r:id="rId35" w:history="1">
        <w:r w:rsidRPr="00AA7917">
          <w:rPr>
            <w:rStyle w:val="Hyperlink"/>
            <w:sz w:val="16"/>
          </w:rPr>
          <w:t>https://www.accc.gov.au/publications/motor-vehicle-sales-repairs-an-industry-guide-to-the-australian-consumer-law</w:t>
        </w:r>
      </w:hyperlink>
      <w:r w:rsidRPr="00AA7917">
        <w:rPr>
          <w:rStyle w:val="Hyperlink"/>
          <w:sz w:val="16"/>
        </w:rPr>
        <w:t>.</w:t>
      </w:r>
    </w:p>
  </w:footnote>
  <w:footnote w:id="75">
    <w:p w14:paraId="0C6CDC34" w14:textId="77777777" w:rsidR="003D2ADD" w:rsidRDefault="003D2ADD" w:rsidP="000409A4">
      <w:pPr>
        <w:pStyle w:val="FootnoteText"/>
      </w:pPr>
      <w:r w:rsidRPr="00FB4A38">
        <w:rPr>
          <w:rStyle w:val="FootnoteReference"/>
          <w:sz w:val="16"/>
          <w:szCs w:val="16"/>
        </w:rPr>
        <w:footnoteRef/>
      </w:r>
      <w:r w:rsidRPr="00FB4A38">
        <w:rPr>
          <w:sz w:val="16"/>
          <w:szCs w:val="16"/>
        </w:rPr>
        <w:t xml:space="preserve"> If this option were to be progressed, consideration would need to be given to how this might be applied given the different infringement notice regimes in states and territories and the limitations around some of these regimes.</w:t>
      </w:r>
    </w:p>
  </w:footnote>
  <w:footnote w:id="76">
    <w:p w14:paraId="3BFDAA7A" w14:textId="70733A6D" w:rsidR="003D2ADD" w:rsidRPr="0031530A" w:rsidRDefault="003D2ADD">
      <w:pPr>
        <w:pStyle w:val="FootnoteText"/>
        <w:rPr>
          <w:sz w:val="16"/>
          <w:szCs w:val="16"/>
        </w:rPr>
      </w:pPr>
      <w:r w:rsidRPr="0031530A">
        <w:rPr>
          <w:rStyle w:val="FootnoteReference"/>
          <w:sz w:val="16"/>
          <w:szCs w:val="16"/>
        </w:rPr>
        <w:footnoteRef/>
      </w:r>
      <w:r w:rsidRPr="0031530A">
        <w:rPr>
          <w:sz w:val="16"/>
          <w:szCs w:val="16"/>
        </w:rPr>
        <w:t xml:space="preserve"> ACL, s 224.</w:t>
      </w:r>
    </w:p>
  </w:footnote>
  <w:footnote w:id="77">
    <w:p w14:paraId="439FFF4A" w14:textId="77777777" w:rsidR="003D2ADD" w:rsidRPr="00B62687" w:rsidRDefault="003D2ADD" w:rsidP="007C2604">
      <w:pPr>
        <w:pStyle w:val="FootnoteText"/>
        <w:rPr>
          <w:sz w:val="16"/>
          <w:szCs w:val="16"/>
        </w:rPr>
      </w:pPr>
      <w:r w:rsidRPr="00B62687">
        <w:rPr>
          <w:rStyle w:val="FootnoteReference"/>
          <w:sz w:val="16"/>
          <w:szCs w:val="16"/>
        </w:rPr>
        <w:footnoteRef/>
      </w:r>
      <w:r w:rsidRPr="00B62687">
        <w:rPr>
          <w:sz w:val="16"/>
          <w:szCs w:val="16"/>
        </w:rPr>
        <w:t xml:space="preserve"> Decision Regulation Impact Statement, </w:t>
      </w:r>
      <w:hyperlink r:id="rId36" w:history="1">
        <w:r w:rsidRPr="00B62687">
          <w:rPr>
            <w:rStyle w:val="Hyperlink"/>
            <w:i/>
            <w:sz w:val="16"/>
            <w:szCs w:val="16"/>
          </w:rPr>
          <w:t>Australian Consumer Law Review: Clarification, simplification and modernisation of the consumer guarantee framework</w:t>
        </w:r>
      </w:hyperlink>
      <w:r w:rsidRPr="00B62687">
        <w:rPr>
          <w:sz w:val="16"/>
          <w:szCs w:val="16"/>
        </w:rPr>
        <w:t>, 2018, p. 31.</w:t>
      </w:r>
    </w:p>
  </w:footnote>
  <w:footnote w:id="78">
    <w:p w14:paraId="7020988B" w14:textId="795DB2F3" w:rsidR="003D2ADD" w:rsidRPr="001922C7" w:rsidRDefault="003D2ADD" w:rsidP="001922C7">
      <w:pPr>
        <w:rPr>
          <w:sz w:val="16"/>
          <w:szCs w:val="16"/>
        </w:rPr>
      </w:pPr>
      <w:r w:rsidRPr="001922C7">
        <w:rPr>
          <w:rStyle w:val="FootnoteReference"/>
          <w:sz w:val="16"/>
          <w:szCs w:val="16"/>
        </w:rPr>
        <w:footnoteRef/>
      </w:r>
      <w:r w:rsidRPr="001922C7">
        <w:rPr>
          <w:sz w:val="16"/>
          <w:szCs w:val="16"/>
        </w:rPr>
        <w:t xml:space="preserve"> Note: the regulatory burden measure has been estimated across whole-of-economy. The regulatory burden is anticipated to be less if applied to new motor vehicles only.  </w:t>
      </w:r>
    </w:p>
    <w:p w14:paraId="4A7304EA" w14:textId="2D88EFA1" w:rsidR="003D2ADD" w:rsidRDefault="003D2ADD">
      <w:pPr>
        <w:pStyle w:val="FootnoteText"/>
      </w:pPr>
    </w:p>
  </w:footnote>
  <w:footnote w:id="79">
    <w:p w14:paraId="416B9F61" w14:textId="1883514A" w:rsidR="003D2ADD" w:rsidRPr="00AA7917" w:rsidRDefault="003D2ADD" w:rsidP="00B13342">
      <w:pPr>
        <w:pStyle w:val="FootnoteText"/>
        <w:rPr>
          <w:sz w:val="16"/>
        </w:rPr>
      </w:pPr>
      <w:r w:rsidRPr="00AA7917">
        <w:rPr>
          <w:rStyle w:val="FootnoteReference"/>
          <w:sz w:val="16"/>
        </w:rPr>
        <w:footnoteRef/>
      </w:r>
      <w:r w:rsidRPr="00AA7917">
        <w:rPr>
          <w:sz w:val="16"/>
        </w:rPr>
        <w:t xml:space="preserve"> Manufacturer faults’ is used as a general term throughout the paper to refer to consumer guarantee failures for which the manufacturer would be liable </w:t>
      </w:r>
      <w:r w:rsidRPr="00F322CB">
        <w:rPr>
          <w:sz w:val="16"/>
        </w:rPr>
        <w:t>to indemnify a sup</w:t>
      </w:r>
      <w:r>
        <w:rPr>
          <w:sz w:val="16"/>
        </w:rPr>
        <w:t>plier under s 274 of the ACL.</w:t>
      </w:r>
    </w:p>
  </w:footnote>
  <w:footnote w:id="80">
    <w:p w14:paraId="48B01747" w14:textId="77777777" w:rsidR="003D2ADD" w:rsidRPr="00AA7917" w:rsidRDefault="003D2ADD" w:rsidP="00F13996">
      <w:pPr>
        <w:pStyle w:val="FootnoteText"/>
        <w:rPr>
          <w:sz w:val="16"/>
        </w:rPr>
      </w:pPr>
      <w:r w:rsidRPr="00AA7917">
        <w:rPr>
          <w:rStyle w:val="FootnoteReference"/>
          <w:sz w:val="16"/>
        </w:rPr>
        <w:footnoteRef/>
      </w:r>
      <w:r w:rsidRPr="00AA7917">
        <w:rPr>
          <w:sz w:val="16"/>
        </w:rPr>
        <w:t xml:space="preserve"> ACL, section 274.</w:t>
      </w:r>
    </w:p>
  </w:footnote>
  <w:footnote w:id="81">
    <w:p w14:paraId="063FDB5C" w14:textId="40F8507D" w:rsidR="003D2ADD" w:rsidRPr="00AA7917" w:rsidRDefault="003D2ADD">
      <w:pPr>
        <w:pStyle w:val="FootnoteText"/>
        <w:rPr>
          <w:sz w:val="16"/>
        </w:rPr>
      </w:pPr>
      <w:r w:rsidRPr="00AA7917">
        <w:rPr>
          <w:rStyle w:val="FootnoteReference"/>
          <w:sz w:val="16"/>
        </w:rPr>
        <w:footnoteRef/>
      </w:r>
      <w:r w:rsidRPr="00AA7917">
        <w:rPr>
          <w:sz w:val="16"/>
        </w:rPr>
        <w:t xml:space="preserve"> Australian Retailers Association, </w:t>
      </w:r>
      <w:hyperlink r:id="rId37" w:history="1">
        <w:r w:rsidRPr="00AA7917">
          <w:rPr>
            <w:rStyle w:val="Hyperlink"/>
            <w:sz w:val="16"/>
          </w:rPr>
          <w:t>submission to the 2018 consultation</w:t>
        </w:r>
      </w:hyperlink>
      <w:r w:rsidRPr="00AA7917">
        <w:rPr>
          <w:sz w:val="16"/>
        </w:rPr>
        <w:t>, p. 4.</w:t>
      </w:r>
    </w:p>
  </w:footnote>
  <w:footnote w:id="82">
    <w:p w14:paraId="7FC2E5C1" w14:textId="77777777" w:rsidR="003D2ADD" w:rsidRDefault="003D2ADD" w:rsidP="00F228E6">
      <w:pPr>
        <w:pStyle w:val="FootnoteText"/>
      </w:pPr>
      <w:r w:rsidRPr="00AA7917">
        <w:rPr>
          <w:rStyle w:val="FootnoteReference"/>
          <w:sz w:val="16"/>
        </w:rPr>
        <w:footnoteRef/>
      </w:r>
      <w:r w:rsidRPr="00AA7917">
        <w:rPr>
          <w:sz w:val="16"/>
        </w:rPr>
        <w:t xml:space="preserve"> Australian Retailers Association, </w:t>
      </w:r>
      <w:hyperlink r:id="rId38" w:history="1">
        <w:r w:rsidRPr="00AA7917">
          <w:rPr>
            <w:rStyle w:val="Hyperlink"/>
            <w:sz w:val="16"/>
          </w:rPr>
          <w:t>submission to the 2018 consultation</w:t>
        </w:r>
      </w:hyperlink>
      <w:r w:rsidRPr="00AA7917">
        <w:rPr>
          <w:sz w:val="16"/>
        </w:rPr>
        <w:t>, p. 4.</w:t>
      </w:r>
    </w:p>
  </w:footnote>
  <w:footnote w:id="83">
    <w:p w14:paraId="137AD3F7" w14:textId="13ADAF84" w:rsidR="003D2ADD" w:rsidRPr="00AA7917" w:rsidRDefault="003D2ADD">
      <w:pPr>
        <w:pStyle w:val="FootnoteText"/>
        <w:rPr>
          <w:sz w:val="16"/>
        </w:rPr>
      </w:pPr>
      <w:r w:rsidRPr="00AA7917">
        <w:rPr>
          <w:rStyle w:val="FootnoteReference"/>
          <w:sz w:val="16"/>
        </w:rPr>
        <w:footnoteRef/>
      </w:r>
      <w:r w:rsidRPr="00AA7917">
        <w:rPr>
          <w:sz w:val="16"/>
        </w:rPr>
        <w:t xml:space="preserve"> </w:t>
      </w:r>
      <w:r w:rsidRPr="00F06FB4">
        <w:rPr>
          <w:sz w:val="16"/>
        </w:rPr>
        <w:t>ACL, s 259(4)</w:t>
      </w:r>
    </w:p>
  </w:footnote>
  <w:footnote w:id="84">
    <w:p w14:paraId="57C09E1D" w14:textId="6EC0BAE7" w:rsidR="003D2ADD" w:rsidRDefault="003D2ADD">
      <w:pPr>
        <w:pStyle w:val="FootnoteText"/>
      </w:pPr>
      <w:r w:rsidRPr="00AA7917">
        <w:rPr>
          <w:rStyle w:val="FootnoteReference"/>
          <w:sz w:val="16"/>
        </w:rPr>
        <w:footnoteRef/>
      </w:r>
      <w:r w:rsidRPr="00AA7917">
        <w:rPr>
          <w:sz w:val="16"/>
        </w:rPr>
        <w:t xml:space="preserve"> ACL</w:t>
      </w:r>
      <w:r w:rsidRPr="00F06FB4">
        <w:rPr>
          <w:sz w:val="16"/>
        </w:rPr>
        <w:t>, s 263(3)</w:t>
      </w:r>
    </w:p>
  </w:footnote>
  <w:footnote w:id="85">
    <w:p w14:paraId="381CE058" w14:textId="361EAD69" w:rsidR="003D2ADD" w:rsidRPr="00C941BD" w:rsidRDefault="003D2ADD">
      <w:pPr>
        <w:pStyle w:val="FootnoteText"/>
        <w:rPr>
          <w:sz w:val="16"/>
        </w:rPr>
      </w:pPr>
      <w:r w:rsidRPr="00C941BD">
        <w:rPr>
          <w:rStyle w:val="FootnoteReference"/>
          <w:sz w:val="16"/>
        </w:rPr>
        <w:footnoteRef/>
      </w:r>
      <w:r w:rsidRPr="00C941BD">
        <w:rPr>
          <w:sz w:val="16"/>
        </w:rPr>
        <w:t xml:space="preserve"> Australian Retailers Association, </w:t>
      </w:r>
      <w:hyperlink r:id="rId39" w:history="1">
        <w:r w:rsidRPr="00C941BD">
          <w:rPr>
            <w:rStyle w:val="Hyperlink"/>
            <w:sz w:val="16"/>
          </w:rPr>
          <w:t>submission to the 2018 consultation</w:t>
        </w:r>
      </w:hyperlink>
      <w:r w:rsidRPr="00C941BD">
        <w:rPr>
          <w:sz w:val="16"/>
        </w:rPr>
        <w:t>, p. 4.</w:t>
      </w:r>
    </w:p>
  </w:footnote>
  <w:footnote w:id="86">
    <w:p w14:paraId="5384938D" w14:textId="77777777" w:rsidR="003D2ADD" w:rsidRPr="00C941BD" w:rsidRDefault="003D2ADD" w:rsidP="00865F1A">
      <w:pPr>
        <w:pStyle w:val="FootnoteText"/>
        <w:rPr>
          <w:sz w:val="16"/>
        </w:rPr>
      </w:pPr>
      <w:r w:rsidRPr="00C941BD">
        <w:rPr>
          <w:rStyle w:val="FootnoteReference"/>
          <w:sz w:val="16"/>
        </w:rPr>
        <w:footnoteRef/>
      </w:r>
      <w:r w:rsidRPr="00C941BD">
        <w:rPr>
          <w:sz w:val="16"/>
        </w:rPr>
        <w:t xml:space="preserve"> As an example of evidentiary issues that arise in such cases, see the discussion of ACCC v Woolworths in: &lt;</w:t>
      </w:r>
      <w:hyperlink r:id="rId40" w:history="1">
        <w:r w:rsidRPr="00C941BD">
          <w:rPr>
            <w:rStyle w:val="Hyperlink"/>
            <w:sz w:val="16"/>
          </w:rPr>
          <w:t>https://www.gtlaw.com.au/insights/accc-v-woolworths-distinguishing-unconscionable-conduct-when-dealing-suppliers</w:t>
        </w:r>
      </w:hyperlink>
      <w:r w:rsidRPr="00C941BD">
        <w:rPr>
          <w:sz w:val="16"/>
        </w:rPr>
        <w:t xml:space="preserve">&gt; </w:t>
      </w:r>
    </w:p>
  </w:footnote>
  <w:footnote w:id="87">
    <w:p w14:paraId="4AE54A0D" w14:textId="2F31C837" w:rsidR="003D2ADD" w:rsidRDefault="003D2ADD" w:rsidP="005A24C5">
      <w:pPr>
        <w:pStyle w:val="FootnoteText"/>
      </w:pPr>
      <w:r w:rsidRPr="00C941BD">
        <w:rPr>
          <w:rStyle w:val="FootnoteReference"/>
          <w:sz w:val="16"/>
        </w:rPr>
        <w:footnoteRef/>
      </w:r>
      <w:r w:rsidRPr="00C941BD">
        <w:rPr>
          <w:sz w:val="16"/>
        </w:rPr>
        <w:t xml:space="preserve"> For example, the Consumer Electronics Suppliers Association </w:t>
      </w:r>
      <w:hyperlink r:id="rId41" w:history="1">
        <w:r w:rsidRPr="00C941BD">
          <w:rPr>
            <w:rStyle w:val="Hyperlink"/>
            <w:sz w:val="16"/>
          </w:rPr>
          <w:t>submission to 2018 consultation</w:t>
        </w:r>
      </w:hyperlink>
      <w:r w:rsidRPr="00C941BD">
        <w:rPr>
          <w:sz w:val="16"/>
        </w:rPr>
        <w:t xml:space="preserve"> (p. 6) noted ‘The whitegoods and cooking markets in Australia are very competitive, with 50-75 brands competing in a mature market. Consumer service performance is a long-term brand value proposition, and electrical retailers do not support brands with weak service for long.’</w:t>
      </w:r>
    </w:p>
  </w:footnote>
  <w:footnote w:id="88">
    <w:p w14:paraId="788BA4A5" w14:textId="528BAF91" w:rsidR="003D2ADD" w:rsidRPr="00C941BD" w:rsidRDefault="003D2ADD" w:rsidP="00080277">
      <w:pPr>
        <w:pStyle w:val="FootnoteText"/>
        <w:rPr>
          <w:sz w:val="16"/>
        </w:rPr>
      </w:pPr>
      <w:r w:rsidRPr="00C941BD">
        <w:rPr>
          <w:rStyle w:val="FootnoteReference"/>
          <w:sz w:val="16"/>
        </w:rPr>
        <w:footnoteRef/>
      </w:r>
      <w:r w:rsidRPr="00C941BD">
        <w:rPr>
          <w:sz w:val="16"/>
        </w:rPr>
        <w:t xml:space="preserve"> As an example, ACL regulators have published ‘</w:t>
      </w:r>
      <w:hyperlink r:id="rId42" w:history="1">
        <w:r w:rsidRPr="00C941BD">
          <w:rPr>
            <w:rStyle w:val="Hyperlink"/>
            <w:sz w:val="16"/>
          </w:rPr>
          <w:t>Motor vehicle sales and repairs: An industry guide to the Australian Consumer Law</w:t>
        </w:r>
      </w:hyperlink>
      <w:r w:rsidRPr="00C941BD">
        <w:rPr>
          <w:sz w:val="16"/>
        </w:rPr>
        <w:t xml:space="preserve">’ which explains the difference between damage caused by abnormal use, and gradual deterioration (also called ‘wear and tear’) caused by a consumer’s normal use of a vehicle. It notes ‘wear and tear involve the eventual wearing out of parts to the point where they no longer work, as well as such things as scuffing, scratching or discolouration that would predictably occur over time when the vehicle is used normally. Normal wear and tear is not a minor or major failure’. Cited examples of abnormal use include: 1. a soft-top vehicle is left out in the rain with its roof open, resulting in damage to the interior and 2. a two-wheel drive vehicle being consistently driven in lower traction over rough surfaces that are better suited for four-wheel-drive vehicles. </w:t>
      </w:r>
    </w:p>
  </w:footnote>
  <w:footnote w:id="89">
    <w:p w14:paraId="17A31294" w14:textId="77777777" w:rsidR="003D2ADD" w:rsidRPr="00C941BD" w:rsidRDefault="003D2ADD" w:rsidP="008F28E9">
      <w:pPr>
        <w:pStyle w:val="FootnoteText"/>
        <w:rPr>
          <w:sz w:val="16"/>
        </w:rPr>
      </w:pPr>
      <w:r w:rsidRPr="00C941BD">
        <w:rPr>
          <w:rStyle w:val="FootnoteReference"/>
          <w:sz w:val="16"/>
        </w:rPr>
        <w:footnoteRef/>
      </w:r>
      <w:r w:rsidRPr="00C941BD">
        <w:rPr>
          <w:sz w:val="16"/>
        </w:rPr>
        <w:t xml:space="preserve"> The Australian Industry Group, </w:t>
      </w:r>
      <w:hyperlink r:id="rId43" w:history="1">
        <w:r w:rsidRPr="00C941BD">
          <w:rPr>
            <w:rStyle w:val="Hyperlink"/>
            <w:sz w:val="16"/>
          </w:rPr>
          <w:t>submission to the 2018 consultation</w:t>
        </w:r>
      </w:hyperlink>
      <w:r w:rsidRPr="00C941BD">
        <w:rPr>
          <w:sz w:val="16"/>
        </w:rPr>
        <w:t xml:space="preserve">, 24 April 2018, p. 6. </w:t>
      </w:r>
    </w:p>
  </w:footnote>
  <w:footnote w:id="90">
    <w:p w14:paraId="299C6FDB" w14:textId="77777777" w:rsidR="003D2ADD" w:rsidRDefault="003D2ADD" w:rsidP="00080277">
      <w:pPr>
        <w:pStyle w:val="FootnoteText"/>
      </w:pPr>
      <w:r w:rsidRPr="00C941BD">
        <w:rPr>
          <w:rStyle w:val="FootnoteReference"/>
          <w:sz w:val="16"/>
        </w:rPr>
        <w:footnoteRef/>
      </w:r>
      <w:r w:rsidRPr="00C941BD">
        <w:rPr>
          <w:sz w:val="16"/>
        </w:rPr>
        <w:t xml:space="preserve"> The Australian Industry Group, </w:t>
      </w:r>
      <w:hyperlink r:id="rId44" w:history="1">
        <w:r w:rsidRPr="00C941BD">
          <w:rPr>
            <w:rStyle w:val="Hyperlink"/>
            <w:sz w:val="16"/>
          </w:rPr>
          <w:t>submission to the 2018 consultation</w:t>
        </w:r>
      </w:hyperlink>
      <w:r w:rsidRPr="00C941BD">
        <w:rPr>
          <w:sz w:val="16"/>
        </w:rPr>
        <w:t>, 24 April 2018, p. 6.</w:t>
      </w:r>
    </w:p>
  </w:footnote>
  <w:footnote w:id="91">
    <w:p w14:paraId="717BE18C" w14:textId="2E499249" w:rsidR="003D2ADD" w:rsidRPr="004E5C80" w:rsidRDefault="003D2ADD" w:rsidP="00080277">
      <w:pPr>
        <w:pStyle w:val="FootnoteText"/>
        <w:rPr>
          <w:rFonts w:cstheme="minorHAnsi"/>
        </w:rPr>
      </w:pPr>
      <w:r w:rsidRPr="00C941BD">
        <w:rPr>
          <w:rStyle w:val="FootnoteReference"/>
          <w:sz w:val="16"/>
        </w:rPr>
        <w:footnoteRef/>
      </w:r>
      <w:r w:rsidRPr="00C941BD">
        <w:rPr>
          <w:sz w:val="16"/>
        </w:rPr>
        <w:t xml:space="preserve"> </w:t>
      </w:r>
      <w:r w:rsidRPr="00C941BD">
        <w:rPr>
          <w:rFonts w:eastAsiaTheme="majorEastAsia" w:cstheme="majorBidi"/>
          <w:bCs/>
          <w:sz w:val="16"/>
        </w:rPr>
        <w:t>Some comparable jurisdictions rely on contractual arrangements.</w:t>
      </w:r>
      <w:r w:rsidRPr="00C941BD">
        <w:rPr>
          <w:rFonts w:eastAsia="Calibri" w:cstheme="minorHAnsi"/>
          <w:sz w:val="16"/>
        </w:rPr>
        <w:t xml:space="preserve"> The New Zealand Commerce Commission advised there is nothing in New Zealand’s </w:t>
      </w:r>
      <w:r w:rsidRPr="00C941BD">
        <w:rPr>
          <w:rFonts w:eastAsia="Calibri" w:cstheme="minorHAnsi"/>
          <w:i/>
          <w:sz w:val="16"/>
        </w:rPr>
        <w:t>Consumer Guarantees Act 1993</w:t>
      </w:r>
      <w:r w:rsidRPr="00C941BD">
        <w:rPr>
          <w:rFonts w:eastAsia="Calibri" w:cstheme="minorHAnsi"/>
          <w:sz w:val="16"/>
        </w:rPr>
        <w:t xml:space="preserve"> that indemnifies a retailer for the cost of faulty goods against a manufacturer. Supplier indemnification is treated as a contractual matter between the manufacturer and supplier. The Canadian Competition Bureau advised under Canada’s Constitution, provincial governments are responsible for contractual matters, including consumer protections. The Canadian Competition Bureau advised the consumer laws of provincial governments do not give suppliers indemnification rights. Rather, they take the position this is a private matter for suppliers and manufacturers to address between themselves.</w:t>
      </w:r>
    </w:p>
  </w:footnote>
  <w:footnote w:id="92">
    <w:p w14:paraId="3888B285" w14:textId="0DE1A648" w:rsidR="003D2ADD" w:rsidRPr="00DD3B43" w:rsidRDefault="003D2ADD" w:rsidP="00080277">
      <w:pPr>
        <w:pStyle w:val="FootnoteText"/>
      </w:pPr>
      <w:r w:rsidRPr="00C941BD">
        <w:rPr>
          <w:rStyle w:val="FootnoteReference"/>
          <w:sz w:val="16"/>
        </w:rPr>
        <w:footnoteRef/>
      </w:r>
      <w:r w:rsidRPr="00C941BD">
        <w:rPr>
          <w:sz w:val="16"/>
        </w:rPr>
        <w:t xml:space="preserve"> The </w:t>
      </w:r>
      <w:r>
        <w:rPr>
          <w:sz w:val="16"/>
        </w:rPr>
        <w:t>AI</w:t>
      </w:r>
      <w:r w:rsidRPr="00C941BD">
        <w:rPr>
          <w:sz w:val="16"/>
        </w:rPr>
        <w:t xml:space="preserve"> Group, </w:t>
      </w:r>
      <w:hyperlink r:id="rId45" w:history="1">
        <w:r w:rsidRPr="00C941BD">
          <w:rPr>
            <w:rStyle w:val="Hyperlink"/>
            <w:sz w:val="16"/>
          </w:rPr>
          <w:t>submission to interim report of the ACL Review</w:t>
        </w:r>
      </w:hyperlink>
      <w:r w:rsidRPr="00C941BD">
        <w:rPr>
          <w:sz w:val="16"/>
        </w:rPr>
        <w:t>, 24 April 2018, p. 3.</w:t>
      </w:r>
    </w:p>
  </w:footnote>
  <w:footnote w:id="93">
    <w:p w14:paraId="444F07D3" w14:textId="77777777" w:rsidR="003D2ADD" w:rsidRPr="00C941BD" w:rsidRDefault="003D2ADD" w:rsidP="00080277">
      <w:pPr>
        <w:pStyle w:val="FootnoteText"/>
        <w:rPr>
          <w:rFonts w:cstheme="minorHAnsi"/>
          <w:sz w:val="16"/>
        </w:rPr>
      </w:pPr>
      <w:r w:rsidRPr="00C941BD">
        <w:rPr>
          <w:rStyle w:val="FootnoteReference"/>
          <w:rFonts w:cstheme="minorHAnsi"/>
          <w:sz w:val="16"/>
        </w:rPr>
        <w:footnoteRef/>
      </w:r>
      <w:r w:rsidRPr="00C941BD">
        <w:rPr>
          <w:rFonts w:cstheme="minorHAnsi"/>
          <w:sz w:val="16"/>
        </w:rPr>
        <w:t xml:space="preserve"> AADA submission, </w:t>
      </w:r>
      <w:hyperlink r:id="rId46" w:history="1">
        <w:r w:rsidRPr="00C941BD">
          <w:rPr>
            <w:rStyle w:val="Hyperlink"/>
            <w:rFonts w:cstheme="minorHAnsi"/>
            <w:sz w:val="16"/>
          </w:rPr>
          <w:t>submission to the 2018 consultation</w:t>
        </w:r>
      </w:hyperlink>
      <w:r w:rsidRPr="00C941BD">
        <w:rPr>
          <w:rFonts w:cstheme="minorHAnsi"/>
          <w:sz w:val="16"/>
        </w:rPr>
        <w:t xml:space="preserve">, p. 16; and Victorian Automobile Chamber of Commerce, </w:t>
      </w:r>
      <w:hyperlink r:id="rId47" w:history="1">
        <w:r w:rsidRPr="00C941BD">
          <w:rPr>
            <w:rStyle w:val="Hyperlink"/>
            <w:rFonts w:cstheme="minorHAnsi"/>
            <w:sz w:val="16"/>
          </w:rPr>
          <w:t>submission to the 2018 consultation</w:t>
        </w:r>
      </w:hyperlink>
      <w:r w:rsidRPr="00C941BD">
        <w:rPr>
          <w:rFonts w:cstheme="minorHAnsi"/>
          <w:sz w:val="16"/>
        </w:rPr>
        <w:t>, p. 10.</w:t>
      </w:r>
    </w:p>
  </w:footnote>
  <w:footnote w:id="94">
    <w:p w14:paraId="26EBFED9" w14:textId="77777777" w:rsidR="003D2ADD" w:rsidRPr="00C941BD" w:rsidRDefault="003D2ADD" w:rsidP="00080277">
      <w:pPr>
        <w:pStyle w:val="FootnoteText"/>
        <w:rPr>
          <w:sz w:val="16"/>
        </w:rPr>
      </w:pPr>
      <w:r w:rsidRPr="00C941BD">
        <w:rPr>
          <w:rStyle w:val="FootnoteReference"/>
          <w:sz w:val="16"/>
        </w:rPr>
        <w:footnoteRef/>
      </w:r>
      <w:r w:rsidRPr="00C941BD">
        <w:rPr>
          <w:sz w:val="16"/>
        </w:rPr>
        <w:t xml:space="preserve"> Motor Trades Association of Australia, </w:t>
      </w:r>
      <w:hyperlink r:id="rId48" w:history="1">
        <w:r w:rsidRPr="00C941BD">
          <w:rPr>
            <w:rStyle w:val="Hyperlink"/>
            <w:sz w:val="16"/>
          </w:rPr>
          <w:t>submission to the 2018 consultation</w:t>
        </w:r>
      </w:hyperlink>
      <w:r w:rsidRPr="00C941BD">
        <w:rPr>
          <w:sz w:val="16"/>
        </w:rPr>
        <w:t>, p. 11.</w:t>
      </w:r>
    </w:p>
  </w:footnote>
  <w:footnote w:id="95">
    <w:p w14:paraId="469C9277" w14:textId="77777777" w:rsidR="003D2ADD" w:rsidRPr="004E5C80" w:rsidRDefault="003D2ADD" w:rsidP="00080277">
      <w:pPr>
        <w:pStyle w:val="FootnoteText"/>
      </w:pPr>
      <w:r w:rsidRPr="00C941BD">
        <w:rPr>
          <w:rStyle w:val="FootnoteReference"/>
          <w:sz w:val="16"/>
        </w:rPr>
        <w:footnoteRef/>
      </w:r>
      <w:r w:rsidRPr="00C941BD">
        <w:rPr>
          <w:sz w:val="16"/>
        </w:rPr>
        <w:t xml:space="preserve"> </w:t>
      </w:r>
      <w:hyperlink r:id="rId49" w:history="1">
        <w:r w:rsidRPr="00C941BD">
          <w:rPr>
            <w:rStyle w:val="Hyperlink"/>
            <w:i/>
            <w:sz w:val="16"/>
          </w:rPr>
          <w:t>Australian Consumer Law Review Final Report</w:t>
        </w:r>
      </w:hyperlink>
      <w:r w:rsidRPr="00C941BD">
        <w:rPr>
          <w:sz w:val="16"/>
        </w:rPr>
        <w:t>, March 2017, p. 30.</w:t>
      </w:r>
    </w:p>
  </w:footnote>
  <w:footnote w:id="96">
    <w:p w14:paraId="59D02D2D" w14:textId="69E4166D" w:rsidR="003D2ADD" w:rsidRPr="00FB725B" w:rsidRDefault="003D2ADD" w:rsidP="003F76BC">
      <w:pPr>
        <w:pStyle w:val="FootnoteText"/>
      </w:pPr>
      <w:r w:rsidRPr="00C941BD">
        <w:rPr>
          <w:rStyle w:val="FootnoteReference"/>
          <w:sz w:val="16"/>
        </w:rPr>
        <w:footnoteRef/>
      </w:r>
      <w:r w:rsidRPr="00C941BD">
        <w:rPr>
          <w:sz w:val="16"/>
        </w:rPr>
        <w:t xml:space="preserve"> Imperfect competition can occur when there are relatively few manufacturers compared with suppliers in a market, or vice versa. This can result in </w:t>
      </w:r>
      <w:r>
        <w:rPr>
          <w:sz w:val="16"/>
        </w:rPr>
        <w:t xml:space="preserve">bargaining power </w:t>
      </w:r>
      <w:r w:rsidRPr="00C941BD">
        <w:rPr>
          <w:sz w:val="16"/>
        </w:rPr>
        <w:t>imbalance</w:t>
      </w:r>
      <w:r>
        <w:rPr>
          <w:sz w:val="16"/>
        </w:rPr>
        <w:t>s</w:t>
      </w:r>
      <w:r w:rsidRPr="00C941BD">
        <w:rPr>
          <w:sz w:val="16"/>
        </w:rPr>
        <w:t xml:space="preserve"> between the parties and lead to inappropriate costs and risks being shifted to the weaker party. The lack of enforcement or use of this right by suppliers may be attributed to the </w:t>
      </w:r>
      <w:r>
        <w:rPr>
          <w:sz w:val="16"/>
        </w:rPr>
        <w:t xml:space="preserve">power </w:t>
      </w:r>
      <w:r w:rsidRPr="00C941BD">
        <w:rPr>
          <w:sz w:val="16"/>
        </w:rPr>
        <w:t>imbalance that often exists between manufacturers and suppliers in markets.</w:t>
      </w:r>
    </w:p>
  </w:footnote>
  <w:footnote w:id="97">
    <w:p w14:paraId="79A440EF" w14:textId="452E6E1A" w:rsidR="003D2ADD" w:rsidRPr="00C941BD" w:rsidRDefault="003D2ADD" w:rsidP="009A16AA">
      <w:pPr>
        <w:pStyle w:val="FootnoteText"/>
        <w:rPr>
          <w:sz w:val="16"/>
        </w:rPr>
      </w:pPr>
      <w:r w:rsidRPr="00C941BD">
        <w:rPr>
          <w:rStyle w:val="FootnoteReference"/>
          <w:sz w:val="16"/>
        </w:rPr>
        <w:footnoteRef/>
      </w:r>
      <w:r w:rsidRPr="00C941BD">
        <w:rPr>
          <w:sz w:val="16"/>
        </w:rPr>
        <w:t xml:space="preserve"> Consumer Affairs Australia and New Zealand</w:t>
      </w:r>
      <w:r w:rsidRPr="00C941BD">
        <w:rPr>
          <w:i/>
          <w:sz w:val="16"/>
        </w:rPr>
        <w:t xml:space="preserve">, </w:t>
      </w:r>
      <w:hyperlink r:id="rId50" w:history="1">
        <w:r w:rsidRPr="00BC4F0D">
          <w:rPr>
            <w:rStyle w:val="Hyperlink"/>
            <w:i/>
            <w:sz w:val="16"/>
          </w:rPr>
          <w:t>Consumer guarantees: A guide for businesses and legal practitioners</w:t>
        </w:r>
        <w:r w:rsidRPr="00BC4F0D">
          <w:rPr>
            <w:rStyle w:val="Hyperlink"/>
            <w:sz w:val="16"/>
          </w:rPr>
          <w:t>,</w:t>
        </w:r>
      </w:hyperlink>
      <w:r w:rsidRPr="00C941BD">
        <w:rPr>
          <w:sz w:val="16"/>
        </w:rPr>
        <w:t xml:space="preserve"> March 2016, p. 36. Note that this guidance is currently in the process of being reviewed and updated.</w:t>
      </w:r>
    </w:p>
  </w:footnote>
  <w:footnote w:id="98">
    <w:p w14:paraId="26F5853A" w14:textId="77777777" w:rsidR="003D2ADD" w:rsidRPr="00C941BD" w:rsidRDefault="003D2ADD" w:rsidP="00ED74BA">
      <w:pPr>
        <w:spacing w:after="0"/>
        <w:rPr>
          <w:rFonts w:eastAsia="Calibri"/>
          <w:sz w:val="16"/>
        </w:rPr>
      </w:pPr>
      <w:r w:rsidRPr="00C941BD">
        <w:rPr>
          <w:rStyle w:val="FootnoteReference"/>
          <w:sz w:val="16"/>
        </w:rPr>
        <w:footnoteRef/>
      </w:r>
      <w:r w:rsidRPr="00C941BD">
        <w:rPr>
          <w:sz w:val="16"/>
        </w:rPr>
        <w:t xml:space="preserve"> </w:t>
      </w:r>
      <w:r w:rsidRPr="00C941BD">
        <w:rPr>
          <w:rFonts w:eastAsia="Calibri"/>
          <w:i/>
          <w:sz w:val="16"/>
        </w:rPr>
        <w:t>Ipstar Australia Pty Ltd v APS Satellite Pty Ltd</w:t>
      </w:r>
      <w:r w:rsidRPr="00C941BD">
        <w:rPr>
          <w:rFonts w:eastAsia="Calibri"/>
          <w:sz w:val="16"/>
        </w:rPr>
        <w:t xml:space="preserve"> [2018] NSWCA 15 is an example of how retributory action for claiming indemnification can amount to unconscionable conduct.</w:t>
      </w:r>
    </w:p>
  </w:footnote>
  <w:footnote w:id="99">
    <w:p w14:paraId="3404C655" w14:textId="77777777" w:rsidR="003D2ADD" w:rsidRPr="00FB725B" w:rsidRDefault="003D2ADD" w:rsidP="00ED74BA">
      <w:pPr>
        <w:pStyle w:val="FootnoteText"/>
      </w:pPr>
      <w:r w:rsidRPr="00C941BD">
        <w:rPr>
          <w:rStyle w:val="FootnoteReference"/>
          <w:sz w:val="16"/>
        </w:rPr>
        <w:footnoteRef/>
      </w:r>
      <w:r w:rsidRPr="00C941BD">
        <w:rPr>
          <w:sz w:val="16"/>
        </w:rPr>
        <w:t xml:space="preserve"> Western Australian Small Business Development Corporation, </w:t>
      </w:r>
      <w:hyperlink r:id="rId51" w:history="1">
        <w:r w:rsidRPr="00C941BD">
          <w:rPr>
            <w:rStyle w:val="Hyperlink"/>
            <w:sz w:val="16"/>
          </w:rPr>
          <w:t>submission to ACL Review Interim Report</w:t>
        </w:r>
      </w:hyperlink>
      <w:r w:rsidRPr="00C941BD">
        <w:rPr>
          <w:sz w:val="16"/>
        </w:rPr>
        <w:t>, December 2016, p. 19.</w:t>
      </w:r>
    </w:p>
  </w:footnote>
  <w:footnote w:id="100">
    <w:p w14:paraId="741D785E" w14:textId="35D1894E" w:rsidR="003D2ADD" w:rsidRPr="008B0F7E" w:rsidRDefault="003D2ADD">
      <w:pPr>
        <w:pStyle w:val="FootnoteText"/>
        <w:rPr>
          <w:sz w:val="16"/>
          <w:szCs w:val="16"/>
        </w:rPr>
      </w:pPr>
      <w:r w:rsidRPr="008B0F7E">
        <w:rPr>
          <w:rStyle w:val="FootnoteReference"/>
          <w:sz w:val="16"/>
          <w:szCs w:val="16"/>
        </w:rPr>
        <w:footnoteRef/>
      </w:r>
      <w:r w:rsidRPr="008B0F7E">
        <w:rPr>
          <w:sz w:val="16"/>
          <w:szCs w:val="16"/>
        </w:rPr>
        <w:t xml:space="preserve"> Note: the regulatory burden measure has been estimated across whole-of-economy. The regulatory burden is anticipated to be less if applied to new motor vehicles only.  </w:t>
      </w:r>
    </w:p>
  </w:footnote>
  <w:footnote w:id="101">
    <w:p w14:paraId="55EF3455" w14:textId="7F6229D0" w:rsidR="003D2ADD" w:rsidRPr="004073CD" w:rsidRDefault="003D2ADD">
      <w:pPr>
        <w:pStyle w:val="FootnoteText"/>
        <w:rPr>
          <w:sz w:val="16"/>
          <w:szCs w:val="16"/>
        </w:rPr>
      </w:pPr>
      <w:r w:rsidRPr="004073CD">
        <w:rPr>
          <w:rStyle w:val="FootnoteReference"/>
          <w:sz w:val="16"/>
          <w:szCs w:val="16"/>
        </w:rPr>
        <w:footnoteRef/>
      </w:r>
      <w:r w:rsidRPr="004073CD">
        <w:rPr>
          <w:sz w:val="16"/>
          <w:szCs w:val="16"/>
        </w:rPr>
        <w:t xml:space="preserve"> ACCC, </w:t>
      </w:r>
      <w:hyperlink r:id="rId52" w:history="1">
        <w:r w:rsidRPr="004073CD">
          <w:rPr>
            <w:rStyle w:val="Hyperlink"/>
            <w:sz w:val="16"/>
            <w:szCs w:val="16"/>
          </w:rPr>
          <w:t>New car retailing industry market study</w:t>
        </w:r>
      </w:hyperlink>
      <w:r w:rsidRPr="004073CD">
        <w:rPr>
          <w:sz w:val="16"/>
          <w:szCs w:val="16"/>
        </w:rPr>
        <w:t>,</w:t>
      </w:r>
      <w:r>
        <w:rPr>
          <w:sz w:val="16"/>
          <w:szCs w:val="16"/>
        </w:rPr>
        <w:t xml:space="preserve"> Final Report, </w:t>
      </w:r>
      <w:r w:rsidRPr="004073CD">
        <w:rPr>
          <w:sz w:val="16"/>
          <w:szCs w:val="16"/>
        </w:rPr>
        <w:t>December 2017.</w:t>
      </w:r>
    </w:p>
  </w:footnote>
  <w:footnote w:id="102">
    <w:p w14:paraId="5714BFAD" w14:textId="77777777" w:rsidR="003D2ADD" w:rsidRPr="00FB725B" w:rsidRDefault="003D2ADD" w:rsidP="00A87003">
      <w:pPr>
        <w:pStyle w:val="FootnoteText"/>
      </w:pPr>
      <w:r w:rsidRPr="00C941BD">
        <w:rPr>
          <w:rStyle w:val="FootnoteReference"/>
          <w:sz w:val="16"/>
        </w:rPr>
        <w:footnoteRef/>
      </w:r>
      <w:r w:rsidRPr="00C941BD">
        <w:rPr>
          <w:sz w:val="16"/>
        </w:rPr>
        <w:t xml:space="preserve"> </w:t>
      </w:r>
      <w:r w:rsidRPr="00C941BD">
        <w:rPr>
          <w:i/>
          <w:sz w:val="16"/>
        </w:rPr>
        <w:t>Public Interest Disclosure Act 2013</w:t>
      </w:r>
      <w:r w:rsidRPr="00C941BD">
        <w:rPr>
          <w:sz w:val="16"/>
        </w:rPr>
        <w:t xml:space="preserve"> (Cth) s 13; and </w:t>
      </w:r>
      <w:r w:rsidRPr="00C941BD">
        <w:rPr>
          <w:i/>
          <w:sz w:val="16"/>
        </w:rPr>
        <w:t xml:space="preserve">Corporations Act 2001 </w:t>
      </w:r>
      <w:r w:rsidRPr="00C941BD">
        <w:rPr>
          <w:sz w:val="16"/>
        </w:rPr>
        <w:t>(Cth) s 1317AB (protection from legal liability and contract termination) and s 1317AC (protection from causing detriment and threatening to cause detriment).</w:t>
      </w:r>
    </w:p>
  </w:footnote>
  <w:footnote w:id="103">
    <w:p w14:paraId="2C137503" w14:textId="7F3FA4C9" w:rsidR="003D2ADD" w:rsidRPr="008B0F7E" w:rsidRDefault="003D2ADD">
      <w:pPr>
        <w:pStyle w:val="FootnoteText"/>
        <w:rPr>
          <w:sz w:val="16"/>
          <w:szCs w:val="16"/>
        </w:rPr>
      </w:pPr>
      <w:r w:rsidRPr="008B0F7E">
        <w:rPr>
          <w:rStyle w:val="FootnoteReference"/>
          <w:sz w:val="16"/>
          <w:szCs w:val="16"/>
        </w:rPr>
        <w:footnoteRef/>
      </w:r>
      <w:r w:rsidRPr="008B0F7E">
        <w:rPr>
          <w:sz w:val="16"/>
          <w:szCs w:val="16"/>
        </w:rPr>
        <w:t xml:space="preserve"> Note: the regulatory burden measure has been estimated across whole-of-economy. The regulatory burden is anticipated to be less if applied to new motor vehicles only.  </w:t>
      </w:r>
    </w:p>
  </w:footnote>
  <w:footnote w:id="104">
    <w:p w14:paraId="23F6271E" w14:textId="763748A7" w:rsidR="003D2ADD" w:rsidRDefault="003D2ADD" w:rsidP="002F6462">
      <w:r w:rsidRPr="00871902">
        <w:rPr>
          <w:rStyle w:val="FootnoteReference"/>
          <w:sz w:val="16"/>
          <w:szCs w:val="16"/>
        </w:rPr>
        <w:footnoteRef/>
      </w:r>
      <w:r w:rsidRPr="00871902">
        <w:rPr>
          <w:sz w:val="16"/>
          <w:szCs w:val="16"/>
        </w:rPr>
        <w:t xml:space="preserve"> </w:t>
      </w:r>
      <w:r>
        <w:rPr>
          <w:sz w:val="16"/>
          <w:szCs w:val="16"/>
        </w:rPr>
        <w:t xml:space="preserve">Note: the regulatory burden measure has been estimated across whole-of-economy. The regulatory burden is anticipated to be less if applied to new motor vehicles only.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2D6C" w14:textId="77777777" w:rsidR="003D2ADD" w:rsidRDefault="003D2ADD">
    <w:pPr>
      <w:pStyle w:val="Header"/>
    </w:pPr>
    <w:r>
      <w:rPr>
        <w:noProof/>
      </w:rPr>
      <w:drawing>
        <wp:anchor distT="0" distB="0" distL="114300" distR="114300" simplePos="0" relativeHeight="251658240" behindDoc="1" locked="0" layoutInCell="1" allowOverlap="1" wp14:anchorId="59766874" wp14:editId="2E92010F">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B219A" w14:textId="77777777" w:rsidR="003D2ADD" w:rsidRPr="001F3912" w:rsidRDefault="003D2ADD"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26AFE" w14:textId="77777777" w:rsidR="003D2ADD" w:rsidRPr="001F3912" w:rsidRDefault="003D2ADD"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5295D" w14:textId="77777777" w:rsidR="003D2ADD" w:rsidRPr="001F3912" w:rsidRDefault="003D2ADD"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7ED4A" w14:textId="30A81BE5" w:rsidR="003D2ADD" w:rsidRPr="001F3912" w:rsidRDefault="003D2ADD" w:rsidP="00C871E1">
    <w:pPr>
      <w:pStyle w:val="Header"/>
      <w:jc w:val="center"/>
    </w:pPr>
    <w:r>
      <w:rPr>
        <w:noProof/>
      </w:rPr>
      <w:t>Improving the effectiveness of the consumer guarantee and supplier indemnification provisions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3F3FF" w14:textId="77777777" w:rsidR="003D2ADD" w:rsidRDefault="003D2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2708C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C80A0C"/>
    <w:multiLevelType w:val="multilevel"/>
    <w:tmpl w:val="B3626C4E"/>
    <w:lvl w:ilvl="0">
      <w:start w:val="1"/>
      <w:numFmt w:val="bullet"/>
      <w:pStyle w:val="ListBulletLevel1"/>
      <w:lvlText w:val=""/>
      <w:lvlJc w:val="left"/>
      <w:pPr>
        <w:tabs>
          <w:tab w:val="num" w:pos="596"/>
        </w:tabs>
        <w:ind w:left="596" w:hanging="454"/>
      </w:pPr>
      <w:rPr>
        <w:rFonts w:ascii="Symbol" w:hAnsi="Symbol" w:hint="default"/>
        <w:color w:val="auto"/>
        <w:sz w:val="16"/>
        <w:szCs w:val="16"/>
      </w:rPr>
    </w:lvl>
    <w:lvl w:ilvl="1">
      <w:start w:val="1"/>
      <w:numFmt w:val="bullet"/>
      <w:pStyle w:val="ListBulletLevel2"/>
      <w:lvlText w:val=""/>
      <w:lvlJc w:val="left"/>
      <w:pPr>
        <w:tabs>
          <w:tab w:val="num" w:pos="1049"/>
        </w:tabs>
        <w:ind w:left="1049" w:hanging="453"/>
      </w:pPr>
      <w:rPr>
        <w:rFonts w:ascii="Symbol" w:hAnsi="Symbol" w:hint="default"/>
        <w:color w:val="auto"/>
        <w:sz w:val="16"/>
        <w:szCs w:val="16"/>
      </w:rPr>
    </w:lvl>
    <w:lvl w:ilvl="2">
      <w:start w:val="1"/>
      <w:numFmt w:val="none"/>
      <w:lvlText w:val=""/>
      <w:lvlJc w:val="left"/>
      <w:pPr>
        <w:tabs>
          <w:tab w:val="num" w:pos="1503"/>
        </w:tabs>
        <w:ind w:left="1503" w:hanging="454"/>
      </w:pPr>
    </w:lvl>
    <w:lvl w:ilvl="3">
      <w:start w:val="1"/>
      <w:numFmt w:val="none"/>
      <w:lvlText w:val=""/>
      <w:lvlJc w:val="left"/>
      <w:pPr>
        <w:ind w:left="1582" w:hanging="360"/>
      </w:pPr>
    </w:lvl>
    <w:lvl w:ilvl="4">
      <w:start w:val="1"/>
      <w:numFmt w:val="none"/>
      <w:lvlText w:val=""/>
      <w:lvlJc w:val="left"/>
      <w:pPr>
        <w:ind w:left="1942" w:hanging="360"/>
      </w:pPr>
    </w:lvl>
    <w:lvl w:ilvl="5">
      <w:start w:val="1"/>
      <w:numFmt w:val="none"/>
      <w:lvlText w:val=""/>
      <w:lvlJc w:val="left"/>
      <w:pPr>
        <w:ind w:left="2302" w:hanging="360"/>
      </w:pPr>
    </w:lvl>
    <w:lvl w:ilvl="6">
      <w:start w:val="1"/>
      <w:numFmt w:val="none"/>
      <w:lvlText w:val=""/>
      <w:lvlJc w:val="left"/>
      <w:pPr>
        <w:ind w:left="2662" w:hanging="360"/>
      </w:pPr>
    </w:lvl>
    <w:lvl w:ilvl="7">
      <w:start w:val="1"/>
      <w:numFmt w:val="none"/>
      <w:lvlText w:val=""/>
      <w:lvlJc w:val="left"/>
      <w:pPr>
        <w:ind w:left="3022" w:hanging="360"/>
      </w:pPr>
    </w:lvl>
    <w:lvl w:ilvl="8">
      <w:start w:val="1"/>
      <w:numFmt w:val="none"/>
      <w:lvlText w:val=""/>
      <w:lvlJc w:val="left"/>
      <w:pPr>
        <w:ind w:left="3382" w:hanging="360"/>
      </w:pPr>
    </w:lvl>
  </w:abstractNum>
  <w:abstractNum w:abstractNumId="3" w15:restartNumberingAfterBreak="0">
    <w:nsid w:val="07340950"/>
    <w:multiLevelType w:val="hybridMultilevel"/>
    <w:tmpl w:val="0A3E2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5" w15:restartNumberingAfterBreak="0">
    <w:nsid w:val="095A6F0F"/>
    <w:multiLevelType w:val="multilevel"/>
    <w:tmpl w:val="B9A6B306"/>
    <w:name w:val="StandardNumberedList"/>
    <w:lvl w:ilvl="0">
      <w:start w:val="1"/>
      <w:numFmt w:val="decimal"/>
      <w:pStyle w:val="OutlineNumbered1"/>
      <w:lvlText w:val="%1."/>
      <w:lvlJc w:val="left"/>
      <w:pPr>
        <w:tabs>
          <w:tab w:val="num" w:pos="520"/>
        </w:tabs>
        <w:ind w:left="520" w:hanging="520"/>
      </w:pPr>
      <w:rPr>
        <w:rFonts w:hint="default"/>
      </w:rPr>
    </w:lvl>
    <w:lvl w:ilvl="1">
      <w:start w:val="1"/>
      <w:numFmt w:val="decimal"/>
      <w:pStyle w:val="OutlineNumbered2"/>
      <w:lvlText w:val="%1.%2."/>
      <w:lvlJc w:val="left"/>
      <w:pPr>
        <w:tabs>
          <w:tab w:val="num" w:pos="1040"/>
        </w:tabs>
        <w:ind w:left="1040" w:hanging="520"/>
      </w:pPr>
      <w:rPr>
        <w:rFonts w:hint="default"/>
      </w:rPr>
    </w:lvl>
    <w:lvl w:ilvl="2">
      <w:start w:val="1"/>
      <w:numFmt w:val="decimal"/>
      <w:pStyle w:val="OutlineNumbered3"/>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BF714A"/>
    <w:multiLevelType w:val="hybridMultilevel"/>
    <w:tmpl w:val="85FE00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683CFD"/>
    <w:multiLevelType w:val="multilevel"/>
    <w:tmpl w:val="78C808DC"/>
    <w:lvl w:ilvl="0">
      <w:start w:val="1"/>
      <w:numFmt w:val="lowerLetter"/>
      <w:lvlText w:val="%1."/>
      <w:lvlJc w:val="left"/>
      <w:pPr>
        <w:tabs>
          <w:tab w:val="num" w:pos="850"/>
        </w:tabs>
        <w:ind w:left="850" w:hanging="425"/>
      </w:pPr>
      <w:rPr>
        <w:rFonts w:hint="default"/>
        <w:b w:val="0"/>
        <w:i w:val="0"/>
      </w:rPr>
    </w:lvl>
    <w:lvl w:ilvl="1">
      <w:start w:val="1"/>
      <w:numFmt w:val="bullet"/>
      <w:lvlText w:val="–"/>
      <w:lvlJc w:val="left"/>
      <w:pPr>
        <w:tabs>
          <w:tab w:val="num" w:pos="282"/>
        </w:tabs>
        <w:ind w:left="282" w:hanging="284"/>
      </w:pPr>
      <w:rPr>
        <w:rFonts w:ascii="Times New Roman" w:hAnsi="Times New Roman" w:cs="Times New Roman" w:hint="default"/>
        <w:b w:val="0"/>
        <w:i w:val="0"/>
      </w:rPr>
    </w:lvl>
    <w:lvl w:ilvl="2">
      <w:start w:val="1"/>
      <w:numFmt w:val="bullet"/>
      <w:lvlText w:val=""/>
      <w:lvlJc w:val="left"/>
      <w:pPr>
        <w:tabs>
          <w:tab w:val="num" w:pos="565"/>
        </w:tabs>
        <w:ind w:left="565" w:hanging="283"/>
      </w:pPr>
      <w:rPr>
        <w:rFonts w:ascii="Symbol" w:hAnsi="Symbol" w:hint="default"/>
        <w:b w:val="0"/>
        <w:i w:val="0"/>
      </w:rPr>
    </w:lvl>
    <w:lvl w:ilvl="3">
      <w:start w:val="1"/>
      <w:numFmt w:val="decimal"/>
      <w:lvlText w:val="(%4)"/>
      <w:lvlJc w:val="left"/>
      <w:pPr>
        <w:tabs>
          <w:tab w:val="num" w:pos="1155"/>
        </w:tabs>
        <w:ind w:left="1155" w:hanging="360"/>
      </w:pPr>
      <w:rPr>
        <w:rFonts w:hint="default"/>
        <w:b w:val="0"/>
        <w:i w:val="0"/>
      </w:rPr>
    </w:lvl>
    <w:lvl w:ilvl="4">
      <w:start w:val="1"/>
      <w:numFmt w:val="lowerLetter"/>
      <w:lvlText w:val="(%5)"/>
      <w:lvlJc w:val="left"/>
      <w:pPr>
        <w:tabs>
          <w:tab w:val="num" w:pos="1515"/>
        </w:tabs>
        <w:ind w:left="1515" w:hanging="360"/>
      </w:pPr>
      <w:rPr>
        <w:rFonts w:hint="default"/>
        <w:b w:val="0"/>
        <w:i w:val="0"/>
      </w:rPr>
    </w:lvl>
    <w:lvl w:ilvl="5">
      <w:start w:val="1"/>
      <w:numFmt w:val="lowerRoman"/>
      <w:lvlText w:val="(%6)"/>
      <w:lvlJc w:val="left"/>
      <w:pPr>
        <w:tabs>
          <w:tab w:val="num" w:pos="1875"/>
        </w:tabs>
        <w:ind w:left="1875" w:hanging="360"/>
      </w:pPr>
      <w:rPr>
        <w:rFonts w:hint="default"/>
        <w:b w:val="0"/>
        <w:i w:val="0"/>
      </w:rPr>
    </w:lvl>
    <w:lvl w:ilvl="6">
      <w:start w:val="1"/>
      <w:numFmt w:val="decimal"/>
      <w:lvlText w:val="%7."/>
      <w:lvlJc w:val="left"/>
      <w:pPr>
        <w:tabs>
          <w:tab w:val="num" w:pos="2235"/>
        </w:tabs>
        <w:ind w:left="2235" w:hanging="360"/>
      </w:pPr>
      <w:rPr>
        <w:rFonts w:hint="default"/>
        <w:b w:val="0"/>
        <w:i w:val="0"/>
      </w:rPr>
    </w:lvl>
    <w:lvl w:ilvl="7">
      <w:start w:val="1"/>
      <w:numFmt w:val="lowerLetter"/>
      <w:lvlText w:val="%8."/>
      <w:lvlJc w:val="left"/>
      <w:pPr>
        <w:tabs>
          <w:tab w:val="num" w:pos="2595"/>
        </w:tabs>
        <w:ind w:left="2595" w:hanging="360"/>
      </w:pPr>
      <w:rPr>
        <w:rFonts w:hint="default"/>
        <w:b w:val="0"/>
        <w:i w:val="0"/>
      </w:rPr>
    </w:lvl>
    <w:lvl w:ilvl="8">
      <w:start w:val="1"/>
      <w:numFmt w:val="lowerRoman"/>
      <w:lvlText w:val="%9."/>
      <w:lvlJc w:val="left"/>
      <w:pPr>
        <w:tabs>
          <w:tab w:val="num" w:pos="2955"/>
        </w:tabs>
        <w:ind w:left="2955" w:hanging="360"/>
      </w:pPr>
      <w:rPr>
        <w:rFonts w:hint="default"/>
        <w:b w:val="0"/>
        <w:i w:val="0"/>
      </w:rPr>
    </w:lvl>
  </w:abstractNum>
  <w:abstractNum w:abstractNumId="8"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694C2C"/>
    <w:multiLevelType w:val="hybridMultilevel"/>
    <w:tmpl w:val="E2E88A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9B2A5F"/>
    <w:multiLevelType w:val="hybridMultilevel"/>
    <w:tmpl w:val="88DAA95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2B1FF1"/>
    <w:multiLevelType w:val="hybridMultilevel"/>
    <w:tmpl w:val="E2E88A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CC4E5D"/>
    <w:multiLevelType w:val="multilevel"/>
    <w:tmpl w:val="D10E9CF6"/>
    <w:numStyleLink w:val="OneLevelList"/>
  </w:abstractNum>
  <w:abstractNum w:abstractNumId="13"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7FF4A5C"/>
    <w:multiLevelType w:val="multilevel"/>
    <w:tmpl w:val="D3EEEE7A"/>
    <w:lvl w:ilvl="0">
      <w:start w:val="1"/>
      <w:numFmt w:val="decimal"/>
      <w:lvlText w:val="%1."/>
      <w:lvlJc w:val="left"/>
      <w:pPr>
        <w:tabs>
          <w:tab w:val="num" w:pos="425"/>
        </w:tabs>
        <w:ind w:left="425" w:hanging="425"/>
      </w:pPr>
      <w:rPr>
        <w:rFonts w:hint="default"/>
        <w:b w:val="0"/>
        <w:i w:val="0"/>
      </w:rPr>
    </w:lvl>
    <w:lvl w:ilvl="1">
      <w:start w:val="1"/>
      <w:numFmt w:val="bullet"/>
      <w:lvlText w:val="–"/>
      <w:lvlJc w:val="left"/>
      <w:pPr>
        <w:tabs>
          <w:tab w:val="num" w:pos="-143"/>
        </w:tabs>
        <w:ind w:left="-143" w:hanging="284"/>
      </w:pPr>
      <w:rPr>
        <w:rFonts w:ascii="Times New Roman" w:hAnsi="Times New Roman" w:cs="Times New Roman" w:hint="default"/>
        <w:b w:val="0"/>
        <w:i w:val="0"/>
      </w:rPr>
    </w:lvl>
    <w:lvl w:ilvl="2">
      <w:start w:val="1"/>
      <w:numFmt w:val="bullet"/>
      <w:lvlText w:val=""/>
      <w:lvlJc w:val="left"/>
      <w:pPr>
        <w:tabs>
          <w:tab w:val="num" w:pos="140"/>
        </w:tabs>
        <w:ind w:left="140" w:hanging="283"/>
      </w:pPr>
      <w:rPr>
        <w:rFonts w:ascii="Symbol" w:hAnsi="Symbol" w:hint="default"/>
        <w:b w:val="0"/>
        <w:i w:val="0"/>
      </w:rPr>
    </w:lvl>
    <w:lvl w:ilvl="3">
      <w:start w:val="1"/>
      <w:numFmt w:val="bullet"/>
      <w:lvlText w:val="o"/>
      <w:lvlJc w:val="left"/>
      <w:pPr>
        <w:tabs>
          <w:tab w:val="num" w:pos="730"/>
        </w:tabs>
        <w:ind w:left="730" w:hanging="360"/>
      </w:pPr>
      <w:rPr>
        <w:rFonts w:ascii="Courier New" w:hAnsi="Courier New" w:cs="Courier New" w:hint="default"/>
        <w:b w:val="0"/>
        <w:i w:val="0"/>
      </w:rPr>
    </w:lvl>
    <w:lvl w:ilvl="4">
      <w:start w:val="1"/>
      <w:numFmt w:val="lowerLetter"/>
      <w:lvlText w:val="(%5)"/>
      <w:lvlJc w:val="left"/>
      <w:pPr>
        <w:tabs>
          <w:tab w:val="num" w:pos="1090"/>
        </w:tabs>
        <w:ind w:left="1090" w:hanging="360"/>
      </w:pPr>
      <w:rPr>
        <w:rFonts w:hint="default"/>
        <w:b w:val="0"/>
        <w:i w:val="0"/>
      </w:rPr>
    </w:lvl>
    <w:lvl w:ilvl="5">
      <w:start w:val="1"/>
      <w:numFmt w:val="lowerRoman"/>
      <w:lvlText w:val="(%6)"/>
      <w:lvlJc w:val="left"/>
      <w:pPr>
        <w:tabs>
          <w:tab w:val="num" w:pos="1450"/>
        </w:tabs>
        <w:ind w:left="1450" w:hanging="360"/>
      </w:pPr>
      <w:rPr>
        <w:rFonts w:hint="default"/>
        <w:b w:val="0"/>
        <w:i w:val="0"/>
      </w:rPr>
    </w:lvl>
    <w:lvl w:ilvl="6">
      <w:start w:val="1"/>
      <w:numFmt w:val="decimal"/>
      <w:lvlText w:val="%7."/>
      <w:lvlJc w:val="left"/>
      <w:pPr>
        <w:tabs>
          <w:tab w:val="num" w:pos="1810"/>
        </w:tabs>
        <w:ind w:left="1810" w:hanging="360"/>
      </w:pPr>
      <w:rPr>
        <w:rFonts w:hint="default"/>
        <w:b w:val="0"/>
        <w:i w:val="0"/>
      </w:rPr>
    </w:lvl>
    <w:lvl w:ilvl="7">
      <w:start w:val="1"/>
      <w:numFmt w:val="lowerLetter"/>
      <w:lvlText w:val="%8."/>
      <w:lvlJc w:val="left"/>
      <w:pPr>
        <w:tabs>
          <w:tab w:val="num" w:pos="2170"/>
        </w:tabs>
        <w:ind w:left="2170" w:hanging="360"/>
      </w:pPr>
      <w:rPr>
        <w:rFonts w:hint="default"/>
        <w:b w:val="0"/>
        <w:i w:val="0"/>
      </w:rPr>
    </w:lvl>
    <w:lvl w:ilvl="8">
      <w:start w:val="1"/>
      <w:numFmt w:val="lowerRoman"/>
      <w:lvlText w:val="%9."/>
      <w:lvlJc w:val="left"/>
      <w:pPr>
        <w:tabs>
          <w:tab w:val="num" w:pos="2530"/>
        </w:tabs>
        <w:ind w:left="2530" w:hanging="360"/>
      </w:pPr>
      <w:rPr>
        <w:rFonts w:hint="default"/>
        <w:b w:val="0"/>
        <w:i w:val="0"/>
      </w:rPr>
    </w:lvl>
  </w:abstractNum>
  <w:abstractNum w:abstractNumId="15" w15:restartNumberingAfterBreak="0">
    <w:nsid w:val="19C8543F"/>
    <w:multiLevelType w:val="hybridMultilevel"/>
    <w:tmpl w:val="6FBAC86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962E64"/>
    <w:multiLevelType w:val="hybridMultilevel"/>
    <w:tmpl w:val="E2E88A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DE0333"/>
    <w:multiLevelType w:val="hybridMultilevel"/>
    <w:tmpl w:val="DEDC274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B93848"/>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FC0641"/>
    <w:multiLevelType w:val="multilevel"/>
    <w:tmpl w:val="55DE81EA"/>
    <w:lvl w:ilvl="0">
      <w:start w:val="1"/>
      <w:numFmt w:val="bullet"/>
      <w:lvlText w:val=""/>
      <w:lvlJc w:val="left"/>
      <w:pPr>
        <w:tabs>
          <w:tab w:val="num" w:pos="1040"/>
        </w:tabs>
        <w:ind w:left="1040" w:hanging="520"/>
      </w:pPr>
      <w:rPr>
        <w:rFonts w:ascii="Symbol" w:hAnsi="Symbol" w:hint="default"/>
      </w:rPr>
    </w:lvl>
    <w:lvl w:ilvl="1">
      <w:start w:val="1"/>
      <w:numFmt w:val="decimal"/>
      <w:lvlText w:val="%1.%2."/>
      <w:lvlJc w:val="left"/>
      <w:pPr>
        <w:tabs>
          <w:tab w:val="num" w:pos="1560"/>
        </w:tabs>
        <w:ind w:left="1560" w:hanging="520"/>
      </w:pPr>
      <w:rPr>
        <w:rFonts w:hint="default"/>
      </w:rPr>
    </w:lvl>
    <w:lvl w:ilvl="2">
      <w:start w:val="1"/>
      <w:numFmt w:val="decimal"/>
      <w:lvlText w:val="%1.%2.%3."/>
      <w:lvlJc w:val="left"/>
      <w:pPr>
        <w:tabs>
          <w:tab w:val="num" w:pos="2080"/>
        </w:tabs>
        <w:ind w:left="2080" w:hanging="520"/>
      </w:pPr>
      <w:rPr>
        <w:rFonts w:hint="default"/>
      </w:rPr>
    </w:lvl>
    <w:lvl w:ilvl="3">
      <w:start w:val="1"/>
      <w:numFmt w:val="decimal"/>
      <w:lvlText w:val="(%4)"/>
      <w:lvlJc w:val="left"/>
      <w:pPr>
        <w:ind w:left="1960" w:hanging="360"/>
      </w:pPr>
      <w:rPr>
        <w:rFonts w:hint="default"/>
      </w:rPr>
    </w:lvl>
    <w:lvl w:ilvl="4">
      <w:start w:val="1"/>
      <w:numFmt w:val="lowerLetter"/>
      <w:lvlText w:val="(%5)"/>
      <w:lvlJc w:val="left"/>
      <w:pPr>
        <w:ind w:left="2320" w:hanging="360"/>
      </w:pPr>
      <w:rPr>
        <w:rFonts w:hint="default"/>
      </w:rPr>
    </w:lvl>
    <w:lvl w:ilvl="5">
      <w:start w:val="1"/>
      <w:numFmt w:val="lowerRoman"/>
      <w:lvlText w:val="(%6)"/>
      <w:lvlJc w:val="left"/>
      <w:pPr>
        <w:ind w:left="2680" w:hanging="360"/>
      </w:pPr>
      <w:rPr>
        <w:rFonts w:hint="default"/>
      </w:rPr>
    </w:lvl>
    <w:lvl w:ilvl="6">
      <w:start w:val="1"/>
      <w:numFmt w:val="decimal"/>
      <w:lvlText w:val="%7."/>
      <w:lvlJc w:val="left"/>
      <w:pPr>
        <w:ind w:left="3040" w:hanging="360"/>
      </w:pPr>
      <w:rPr>
        <w:rFonts w:hint="default"/>
      </w:rPr>
    </w:lvl>
    <w:lvl w:ilvl="7">
      <w:start w:val="1"/>
      <w:numFmt w:val="lowerLetter"/>
      <w:lvlText w:val="%8."/>
      <w:lvlJc w:val="left"/>
      <w:pPr>
        <w:ind w:left="3400" w:hanging="360"/>
      </w:pPr>
      <w:rPr>
        <w:rFonts w:hint="default"/>
      </w:rPr>
    </w:lvl>
    <w:lvl w:ilvl="8">
      <w:start w:val="1"/>
      <w:numFmt w:val="lowerRoman"/>
      <w:lvlText w:val="%9."/>
      <w:lvlJc w:val="left"/>
      <w:pPr>
        <w:ind w:left="3760" w:hanging="360"/>
      </w:pPr>
      <w:rPr>
        <w:rFonts w:hint="default"/>
      </w:rPr>
    </w:lvl>
  </w:abstractNum>
  <w:abstractNum w:abstractNumId="21" w15:restartNumberingAfterBreak="0">
    <w:nsid w:val="29F01C96"/>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08C2710"/>
    <w:multiLevelType w:val="multilevel"/>
    <w:tmpl w:val="EE001A18"/>
    <w:styleLink w:val="BulletedList"/>
    <w:lvl w:ilvl="0">
      <w:start w:val="1"/>
      <w:numFmt w:val="bullet"/>
      <w:pStyle w:val="Bullet"/>
      <w:lvlText w:val="•"/>
      <w:lvlJc w:val="left"/>
      <w:pPr>
        <w:ind w:left="360" w:hanging="360"/>
      </w:pPr>
      <w:rPr>
        <w:rFonts w:hint="default"/>
        <w:b w:val="0"/>
        <w:i w:val="0"/>
      </w:rPr>
    </w:lvl>
    <w:lvl w:ilvl="1">
      <w:start w:val="1"/>
      <w:numFmt w:val="bullet"/>
      <w:pStyle w:val="Dash"/>
      <w:lvlText w:val=""/>
      <w:lvlJc w:val="left"/>
      <w:pPr>
        <w:tabs>
          <w:tab w:val="num" w:pos="567"/>
        </w:tabs>
        <w:ind w:left="567" w:hanging="284"/>
      </w:pPr>
      <w:rPr>
        <w:rFonts w:ascii="Symbol" w:hAnsi="Symbol" w:hint="default"/>
        <w:b w:val="0"/>
        <w:i w:val="0"/>
      </w:rPr>
    </w:lvl>
    <w:lvl w:ilvl="2">
      <w:start w:val="1"/>
      <w:numFmt w:val="bullet"/>
      <w:pStyle w:val="DoubleDot"/>
      <w:lvlText w:val=""/>
      <w:lvlJc w:val="left"/>
      <w:pPr>
        <w:tabs>
          <w:tab w:val="num" w:pos="850"/>
        </w:tabs>
        <w:ind w:left="850" w:hanging="283"/>
      </w:pPr>
      <w:rPr>
        <w:rFonts w:ascii="Wingdings" w:hAnsi="Wingding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3F156C7"/>
    <w:multiLevelType w:val="hybridMultilevel"/>
    <w:tmpl w:val="BA2A8B9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DC023F"/>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EB14B2F"/>
    <w:multiLevelType w:val="multilevel"/>
    <w:tmpl w:val="0C80C89C"/>
    <w:lvl w:ilvl="0">
      <w:start w:val="3"/>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F863437"/>
    <w:multiLevelType w:val="hybridMultilevel"/>
    <w:tmpl w:val="593020E8"/>
    <w:lvl w:ilvl="0" w:tplc="F9F03212">
      <w:numFmt w:val="bullet"/>
      <w:lvlText w:val=""/>
      <w:lvlJc w:val="left"/>
      <w:pPr>
        <w:ind w:left="405" w:hanging="360"/>
      </w:pPr>
      <w:rPr>
        <w:rFonts w:ascii="Symbol" w:eastAsia="Times New Roman" w:hAnsi="Symbol"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9" w15:restartNumberingAfterBreak="0">
    <w:nsid w:val="451578A7"/>
    <w:multiLevelType w:val="multilevel"/>
    <w:tmpl w:val="1356211C"/>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0" w15:restartNumberingAfterBreak="0">
    <w:nsid w:val="4A92106C"/>
    <w:multiLevelType w:val="hybridMultilevel"/>
    <w:tmpl w:val="6D8AE536"/>
    <w:name w:val="StandardNumberedList2"/>
    <w:lvl w:ilvl="0" w:tplc="0F5EECAE">
      <w:start w:val="1"/>
      <w:numFmt w:val="decimal"/>
      <w:pStyle w:val="OutlineNumbered1-CH2"/>
      <w:lvlText w:val="2.%1."/>
      <w:lvlJc w:val="left"/>
      <w:pPr>
        <w:tabs>
          <w:tab w:val="num" w:pos="709"/>
        </w:tabs>
        <w:ind w:left="709" w:hanging="709"/>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0D2021"/>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88B14E5"/>
    <w:multiLevelType w:val="multilevel"/>
    <w:tmpl w:val="78C808DC"/>
    <w:lvl w:ilvl="0">
      <w:start w:val="1"/>
      <w:numFmt w:val="lowerLetter"/>
      <w:lvlText w:val="%1."/>
      <w:lvlJc w:val="left"/>
      <w:pPr>
        <w:tabs>
          <w:tab w:val="num" w:pos="850"/>
        </w:tabs>
        <w:ind w:left="850" w:hanging="425"/>
      </w:pPr>
      <w:rPr>
        <w:rFonts w:hint="default"/>
        <w:b w:val="0"/>
        <w:i w:val="0"/>
      </w:rPr>
    </w:lvl>
    <w:lvl w:ilvl="1">
      <w:start w:val="1"/>
      <w:numFmt w:val="bullet"/>
      <w:lvlText w:val="–"/>
      <w:lvlJc w:val="left"/>
      <w:pPr>
        <w:tabs>
          <w:tab w:val="num" w:pos="282"/>
        </w:tabs>
        <w:ind w:left="282" w:hanging="284"/>
      </w:pPr>
      <w:rPr>
        <w:rFonts w:ascii="Times New Roman" w:hAnsi="Times New Roman" w:cs="Times New Roman" w:hint="default"/>
        <w:b w:val="0"/>
        <w:i w:val="0"/>
      </w:rPr>
    </w:lvl>
    <w:lvl w:ilvl="2">
      <w:start w:val="1"/>
      <w:numFmt w:val="bullet"/>
      <w:lvlText w:val=""/>
      <w:lvlJc w:val="left"/>
      <w:pPr>
        <w:tabs>
          <w:tab w:val="num" w:pos="565"/>
        </w:tabs>
        <w:ind w:left="565" w:hanging="283"/>
      </w:pPr>
      <w:rPr>
        <w:rFonts w:ascii="Symbol" w:hAnsi="Symbol" w:hint="default"/>
        <w:b w:val="0"/>
        <w:i w:val="0"/>
      </w:rPr>
    </w:lvl>
    <w:lvl w:ilvl="3">
      <w:start w:val="1"/>
      <w:numFmt w:val="decimal"/>
      <w:lvlText w:val="(%4)"/>
      <w:lvlJc w:val="left"/>
      <w:pPr>
        <w:tabs>
          <w:tab w:val="num" w:pos="1155"/>
        </w:tabs>
        <w:ind w:left="1155" w:hanging="360"/>
      </w:pPr>
      <w:rPr>
        <w:rFonts w:hint="default"/>
        <w:b w:val="0"/>
        <w:i w:val="0"/>
      </w:rPr>
    </w:lvl>
    <w:lvl w:ilvl="4">
      <w:start w:val="1"/>
      <w:numFmt w:val="lowerLetter"/>
      <w:lvlText w:val="(%5)"/>
      <w:lvlJc w:val="left"/>
      <w:pPr>
        <w:tabs>
          <w:tab w:val="num" w:pos="1515"/>
        </w:tabs>
        <w:ind w:left="1515" w:hanging="360"/>
      </w:pPr>
      <w:rPr>
        <w:rFonts w:hint="default"/>
        <w:b w:val="0"/>
        <w:i w:val="0"/>
      </w:rPr>
    </w:lvl>
    <w:lvl w:ilvl="5">
      <w:start w:val="1"/>
      <w:numFmt w:val="lowerRoman"/>
      <w:lvlText w:val="(%6)"/>
      <w:lvlJc w:val="left"/>
      <w:pPr>
        <w:tabs>
          <w:tab w:val="num" w:pos="1875"/>
        </w:tabs>
        <w:ind w:left="1875" w:hanging="360"/>
      </w:pPr>
      <w:rPr>
        <w:rFonts w:hint="default"/>
        <w:b w:val="0"/>
        <w:i w:val="0"/>
      </w:rPr>
    </w:lvl>
    <w:lvl w:ilvl="6">
      <w:start w:val="1"/>
      <w:numFmt w:val="decimal"/>
      <w:lvlText w:val="%7."/>
      <w:lvlJc w:val="left"/>
      <w:pPr>
        <w:tabs>
          <w:tab w:val="num" w:pos="2235"/>
        </w:tabs>
        <w:ind w:left="2235" w:hanging="360"/>
      </w:pPr>
      <w:rPr>
        <w:rFonts w:hint="default"/>
        <w:b w:val="0"/>
        <w:i w:val="0"/>
      </w:rPr>
    </w:lvl>
    <w:lvl w:ilvl="7">
      <w:start w:val="1"/>
      <w:numFmt w:val="lowerLetter"/>
      <w:lvlText w:val="%8."/>
      <w:lvlJc w:val="left"/>
      <w:pPr>
        <w:tabs>
          <w:tab w:val="num" w:pos="2595"/>
        </w:tabs>
        <w:ind w:left="2595" w:hanging="360"/>
      </w:pPr>
      <w:rPr>
        <w:rFonts w:hint="default"/>
        <w:b w:val="0"/>
        <w:i w:val="0"/>
      </w:rPr>
    </w:lvl>
    <w:lvl w:ilvl="8">
      <w:start w:val="1"/>
      <w:numFmt w:val="lowerRoman"/>
      <w:lvlText w:val="%9."/>
      <w:lvlJc w:val="left"/>
      <w:pPr>
        <w:tabs>
          <w:tab w:val="num" w:pos="2955"/>
        </w:tabs>
        <w:ind w:left="2955" w:hanging="360"/>
      </w:pPr>
      <w:rPr>
        <w:rFonts w:hint="default"/>
        <w:b w:val="0"/>
        <w:i w:val="0"/>
      </w:rPr>
    </w:lvl>
  </w:abstractNum>
  <w:abstractNum w:abstractNumId="33" w15:restartNumberingAfterBreak="0">
    <w:nsid w:val="5DEB393A"/>
    <w:multiLevelType w:val="hybridMultilevel"/>
    <w:tmpl w:val="39B432D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FD3A36"/>
    <w:multiLevelType w:val="hybridMultilevel"/>
    <w:tmpl w:val="E2E61480"/>
    <w:lvl w:ilvl="0" w:tplc="FFD2A552">
      <w:start w:val="1"/>
      <w:numFmt w:val="decimal"/>
      <w:pStyle w:val="boxNumbering"/>
      <w:lvlText w:val="%1."/>
      <w:lvlJc w:val="left"/>
      <w:pPr>
        <w:tabs>
          <w:tab w:val="num" w:pos="454"/>
        </w:tabs>
        <w:ind w:left="454" w:hanging="454"/>
      </w:pPr>
      <w:rPr>
        <w:rFonts w:hint="default"/>
      </w:rPr>
    </w:lvl>
    <w:lvl w:ilvl="1" w:tplc="E548B630">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DF71B3"/>
    <w:multiLevelType w:val="hybridMultilevel"/>
    <w:tmpl w:val="E7FA082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B20779"/>
    <w:multiLevelType w:val="multilevel"/>
    <w:tmpl w:val="C7B85B24"/>
    <w:lvl w:ilvl="0">
      <w:start w:val="1"/>
      <w:numFmt w:val="decimal"/>
      <w:pStyle w:val="ListNumberedLevel1"/>
      <w:lvlText w:val="%1."/>
      <w:lvlJc w:val="left"/>
      <w:pPr>
        <w:tabs>
          <w:tab w:val="num" w:pos="454"/>
        </w:tabs>
        <w:ind w:left="454" w:hanging="454"/>
      </w:pPr>
    </w:lvl>
    <w:lvl w:ilvl="1">
      <w:start w:val="1"/>
      <w:numFmt w:val="lowerLetter"/>
      <w:pStyle w:val="ListNumberedLevel2"/>
      <w:lvlText w:val="%2."/>
      <w:lvlJc w:val="left"/>
      <w:pPr>
        <w:tabs>
          <w:tab w:val="num" w:pos="907"/>
        </w:tabs>
        <w:ind w:left="907" w:hanging="453"/>
      </w:pPr>
    </w:lvl>
    <w:lvl w:ilvl="2">
      <w:start w:val="1"/>
      <w:numFmt w:val="lowerRoman"/>
      <w:pStyle w:val="ListNumberedLevel3"/>
      <w:lvlText w:val="%3."/>
      <w:lvlJc w:val="left"/>
      <w:pPr>
        <w:tabs>
          <w:tab w:val="num" w:pos="1361"/>
        </w:tabs>
        <w:ind w:left="1361" w:hanging="454"/>
      </w:pPr>
    </w:lvl>
    <w:lvl w:ilvl="3">
      <w:start w:val="1"/>
      <w:numFmt w:val="none"/>
      <w:lvlText w:val=""/>
      <w:lvlJc w:val="left"/>
      <w:pPr>
        <w:ind w:left="3120" w:hanging="283"/>
      </w:pPr>
    </w:lvl>
    <w:lvl w:ilvl="4">
      <w:start w:val="1"/>
      <w:numFmt w:val="none"/>
      <w:lvlText w:val=""/>
      <w:lvlJc w:val="left"/>
      <w:pPr>
        <w:ind w:left="3971" w:hanging="283"/>
      </w:pPr>
    </w:lvl>
    <w:lvl w:ilvl="5">
      <w:start w:val="1"/>
      <w:numFmt w:val="none"/>
      <w:lvlText w:val=""/>
      <w:lvlJc w:val="left"/>
      <w:pPr>
        <w:ind w:left="4822" w:hanging="283"/>
      </w:pPr>
    </w:lvl>
    <w:lvl w:ilvl="6">
      <w:start w:val="1"/>
      <w:numFmt w:val="none"/>
      <w:lvlText w:val=""/>
      <w:lvlJc w:val="left"/>
      <w:pPr>
        <w:ind w:left="5673" w:hanging="283"/>
      </w:pPr>
    </w:lvl>
    <w:lvl w:ilvl="7">
      <w:start w:val="1"/>
      <w:numFmt w:val="none"/>
      <w:lvlText w:val=""/>
      <w:lvlJc w:val="left"/>
      <w:pPr>
        <w:ind w:left="6524" w:hanging="283"/>
      </w:pPr>
    </w:lvl>
    <w:lvl w:ilvl="8">
      <w:start w:val="1"/>
      <w:numFmt w:val="none"/>
      <w:lvlText w:val=""/>
      <w:lvlJc w:val="left"/>
      <w:pPr>
        <w:ind w:left="7375" w:hanging="283"/>
      </w:pPr>
    </w:lvl>
  </w:abstractNum>
  <w:abstractNum w:abstractNumId="37" w15:restartNumberingAfterBreak="0">
    <w:nsid w:val="7AF97028"/>
    <w:multiLevelType w:val="hybridMultilevel"/>
    <w:tmpl w:val="E2E88A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A60DDF"/>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DA75060"/>
    <w:multiLevelType w:val="multilevel"/>
    <w:tmpl w:val="23C003E6"/>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F2046BB"/>
    <w:multiLevelType w:val="hybridMultilevel"/>
    <w:tmpl w:val="60A04388"/>
    <w:lvl w:ilvl="0" w:tplc="452E589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24"/>
  </w:num>
  <w:num w:numId="4">
    <w:abstractNumId w:val="8"/>
  </w:num>
  <w:num w:numId="5">
    <w:abstractNumId w:val="12"/>
  </w:num>
  <w:num w:numId="6">
    <w:abstractNumId w:val="2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13"/>
  </w:num>
  <w:num w:numId="8">
    <w:abstractNumId w:val="19"/>
  </w:num>
  <w:num w:numId="9">
    <w:abstractNumId w:val="23"/>
  </w:num>
  <w:num w:numId="10">
    <w:abstractNumId w:val="35"/>
  </w:num>
  <w:num w:numId="11">
    <w:abstractNumId w:val="30"/>
  </w:num>
  <w:num w:numId="12">
    <w:abstractNumId w:val="39"/>
  </w:num>
  <w:num w:numId="13">
    <w:abstractNumId w:val="5"/>
  </w:num>
  <w:num w:numId="14">
    <w:abstractNumId w:val="34"/>
  </w:num>
  <w:num w:numId="15">
    <w:abstractNumId w:val="9"/>
  </w:num>
  <w:num w:numId="16">
    <w:abstractNumId w:val="32"/>
  </w:num>
  <w:num w:numId="17">
    <w:abstractNumId w:val="6"/>
  </w:num>
  <w:num w:numId="18">
    <w:abstractNumId w:val="11"/>
  </w:num>
  <w:num w:numId="19">
    <w:abstractNumId w:val="7"/>
  </w:num>
  <w:num w:numId="20">
    <w:abstractNumId w:val="37"/>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26"/>
  </w:num>
  <w:num w:numId="24">
    <w:abstractNumId w:val="18"/>
  </w:num>
  <w:num w:numId="25">
    <w:abstractNumId w:val="38"/>
  </w:num>
  <w:num w:numId="26">
    <w:abstractNumId w:val="21"/>
  </w:num>
  <w:num w:numId="27">
    <w:abstractNumId w:val="27"/>
  </w:num>
  <w:num w:numId="28">
    <w:abstractNumId w:val="10"/>
  </w:num>
  <w:num w:numId="29">
    <w:abstractNumId w:val="15"/>
  </w:num>
  <w:num w:numId="30">
    <w:abstractNumId w:val="17"/>
  </w:num>
  <w:num w:numId="31">
    <w:abstractNumId w:val="25"/>
  </w:num>
  <w:num w:numId="32">
    <w:abstractNumId w:val="20"/>
  </w:num>
  <w:num w:numId="33">
    <w:abstractNumId w:val="33"/>
  </w:num>
  <w:num w:numId="34">
    <w:abstractNumId w:val="16"/>
  </w:num>
  <w:num w:numId="35">
    <w:abstractNumId w:val="0"/>
  </w:num>
  <w:num w:numId="36">
    <w:abstractNumId w:val="28"/>
  </w:num>
  <w:num w:numId="37">
    <w:abstractNumId w:val="14"/>
  </w:num>
  <w:num w:numId="3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
  </w:num>
  <w:num w:numId="42">
    <w:abstractNumId w:val="29"/>
  </w:num>
  <w:num w:numId="43">
    <w:abstractNumId w:val="22"/>
  </w:num>
  <w:num w:numId="44">
    <w:abstractNumId w:val="22"/>
  </w:num>
  <w:num w:numId="45">
    <w:abstractNumId w:val="40"/>
  </w:num>
  <w:num w:numId="46">
    <w:abstractNumId w:val="22"/>
  </w:num>
  <w:num w:numId="47">
    <w:abstractNumId w:val="22"/>
  </w:num>
  <w:num w:numId="48">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1F3"/>
    <w:rsid w:val="00000877"/>
    <w:rsid w:val="00001633"/>
    <w:rsid w:val="000027DC"/>
    <w:rsid w:val="000029D9"/>
    <w:rsid w:val="00003DAB"/>
    <w:rsid w:val="00004178"/>
    <w:rsid w:val="0000475E"/>
    <w:rsid w:val="00010260"/>
    <w:rsid w:val="00010853"/>
    <w:rsid w:val="00011725"/>
    <w:rsid w:val="00011A84"/>
    <w:rsid w:val="00012C62"/>
    <w:rsid w:val="00013CD1"/>
    <w:rsid w:val="00014662"/>
    <w:rsid w:val="00015CF1"/>
    <w:rsid w:val="00016B36"/>
    <w:rsid w:val="00017E91"/>
    <w:rsid w:val="0002042F"/>
    <w:rsid w:val="00020442"/>
    <w:rsid w:val="00020F87"/>
    <w:rsid w:val="000210B3"/>
    <w:rsid w:val="00021159"/>
    <w:rsid w:val="00021773"/>
    <w:rsid w:val="00022308"/>
    <w:rsid w:val="00023F9E"/>
    <w:rsid w:val="00024281"/>
    <w:rsid w:val="000248AC"/>
    <w:rsid w:val="0002544D"/>
    <w:rsid w:val="00025BEA"/>
    <w:rsid w:val="000265DD"/>
    <w:rsid w:val="00026F51"/>
    <w:rsid w:val="00030362"/>
    <w:rsid w:val="00030A85"/>
    <w:rsid w:val="00031413"/>
    <w:rsid w:val="00031550"/>
    <w:rsid w:val="0003230C"/>
    <w:rsid w:val="00033CD9"/>
    <w:rsid w:val="000350FA"/>
    <w:rsid w:val="000409A4"/>
    <w:rsid w:val="00040E78"/>
    <w:rsid w:val="00041A8B"/>
    <w:rsid w:val="0004274D"/>
    <w:rsid w:val="00044406"/>
    <w:rsid w:val="00044C0A"/>
    <w:rsid w:val="00046053"/>
    <w:rsid w:val="00046383"/>
    <w:rsid w:val="000469BF"/>
    <w:rsid w:val="00046EDA"/>
    <w:rsid w:val="00050575"/>
    <w:rsid w:val="00051429"/>
    <w:rsid w:val="000519AA"/>
    <w:rsid w:val="00052318"/>
    <w:rsid w:val="00052644"/>
    <w:rsid w:val="000534ED"/>
    <w:rsid w:val="00053D40"/>
    <w:rsid w:val="00055D18"/>
    <w:rsid w:val="00056880"/>
    <w:rsid w:val="00056F2D"/>
    <w:rsid w:val="000570AB"/>
    <w:rsid w:val="000575EF"/>
    <w:rsid w:val="0006056F"/>
    <w:rsid w:val="00060CDE"/>
    <w:rsid w:val="0006354A"/>
    <w:rsid w:val="00063E64"/>
    <w:rsid w:val="00064AA4"/>
    <w:rsid w:val="00066992"/>
    <w:rsid w:val="0006751E"/>
    <w:rsid w:val="000675D1"/>
    <w:rsid w:val="0007064C"/>
    <w:rsid w:val="00070737"/>
    <w:rsid w:val="0007102C"/>
    <w:rsid w:val="000720F9"/>
    <w:rsid w:val="00072352"/>
    <w:rsid w:val="00073521"/>
    <w:rsid w:val="000738CE"/>
    <w:rsid w:val="00076593"/>
    <w:rsid w:val="00076C21"/>
    <w:rsid w:val="00077556"/>
    <w:rsid w:val="000775DE"/>
    <w:rsid w:val="00080277"/>
    <w:rsid w:val="00080859"/>
    <w:rsid w:val="00082A33"/>
    <w:rsid w:val="00084983"/>
    <w:rsid w:val="000858F2"/>
    <w:rsid w:val="00085A72"/>
    <w:rsid w:val="00087FAF"/>
    <w:rsid w:val="000924FF"/>
    <w:rsid w:val="0009287B"/>
    <w:rsid w:val="00092EE9"/>
    <w:rsid w:val="000949DA"/>
    <w:rsid w:val="00095CFA"/>
    <w:rsid w:val="00096497"/>
    <w:rsid w:val="00096B7F"/>
    <w:rsid w:val="00096EA3"/>
    <w:rsid w:val="000A01F2"/>
    <w:rsid w:val="000A0C59"/>
    <w:rsid w:val="000A182C"/>
    <w:rsid w:val="000A3ADF"/>
    <w:rsid w:val="000A3FBE"/>
    <w:rsid w:val="000A4953"/>
    <w:rsid w:val="000A6228"/>
    <w:rsid w:val="000A6C9A"/>
    <w:rsid w:val="000B0761"/>
    <w:rsid w:val="000B1904"/>
    <w:rsid w:val="000B1F6D"/>
    <w:rsid w:val="000B5C4A"/>
    <w:rsid w:val="000B5E6F"/>
    <w:rsid w:val="000B7150"/>
    <w:rsid w:val="000C19B1"/>
    <w:rsid w:val="000C19B7"/>
    <w:rsid w:val="000C1F98"/>
    <w:rsid w:val="000C2AF4"/>
    <w:rsid w:val="000C403B"/>
    <w:rsid w:val="000C586C"/>
    <w:rsid w:val="000C5F40"/>
    <w:rsid w:val="000C63AF"/>
    <w:rsid w:val="000C6401"/>
    <w:rsid w:val="000C6964"/>
    <w:rsid w:val="000D078E"/>
    <w:rsid w:val="000D07CA"/>
    <w:rsid w:val="000D0945"/>
    <w:rsid w:val="000D17F9"/>
    <w:rsid w:val="000D1815"/>
    <w:rsid w:val="000D1B7D"/>
    <w:rsid w:val="000D2892"/>
    <w:rsid w:val="000D2D1E"/>
    <w:rsid w:val="000D3BD7"/>
    <w:rsid w:val="000D4636"/>
    <w:rsid w:val="000D4A74"/>
    <w:rsid w:val="000D71F8"/>
    <w:rsid w:val="000E09B1"/>
    <w:rsid w:val="000E0B74"/>
    <w:rsid w:val="000E12D4"/>
    <w:rsid w:val="000E2955"/>
    <w:rsid w:val="000E2F34"/>
    <w:rsid w:val="000E399D"/>
    <w:rsid w:val="000E656C"/>
    <w:rsid w:val="000E7824"/>
    <w:rsid w:val="000F0BF8"/>
    <w:rsid w:val="000F1655"/>
    <w:rsid w:val="000F19FA"/>
    <w:rsid w:val="000F3043"/>
    <w:rsid w:val="000F3331"/>
    <w:rsid w:val="000F38B3"/>
    <w:rsid w:val="000F4097"/>
    <w:rsid w:val="000F412E"/>
    <w:rsid w:val="000F50D7"/>
    <w:rsid w:val="000F5726"/>
    <w:rsid w:val="000F57B3"/>
    <w:rsid w:val="000F6413"/>
    <w:rsid w:val="000F7083"/>
    <w:rsid w:val="000F7517"/>
    <w:rsid w:val="000F7F46"/>
    <w:rsid w:val="001006E2"/>
    <w:rsid w:val="00101B70"/>
    <w:rsid w:val="0010208F"/>
    <w:rsid w:val="001030AE"/>
    <w:rsid w:val="0010342D"/>
    <w:rsid w:val="001038BD"/>
    <w:rsid w:val="001042AB"/>
    <w:rsid w:val="00105E5B"/>
    <w:rsid w:val="00105EBE"/>
    <w:rsid w:val="001072F9"/>
    <w:rsid w:val="001075BD"/>
    <w:rsid w:val="001075BE"/>
    <w:rsid w:val="00111168"/>
    <w:rsid w:val="00113258"/>
    <w:rsid w:val="001134F6"/>
    <w:rsid w:val="0011365E"/>
    <w:rsid w:val="00113CA1"/>
    <w:rsid w:val="00113CFE"/>
    <w:rsid w:val="001156DD"/>
    <w:rsid w:val="0011645C"/>
    <w:rsid w:val="00117211"/>
    <w:rsid w:val="00123001"/>
    <w:rsid w:val="00123928"/>
    <w:rsid w:val="001258BC"/>
    <w:rsid w:val="00127518"/>
    <w:rsid w:val="00130CCE"/>
    <w:rsid w:val="00131C41"/>
    <w:rsid w:val="00134162"/>
    <w:rsid w:val="00135D8E"/>
    <w:rsid w:val="0013663F"/>
    <w:rsid w:val="00136E3F"/>
    <w:rsid w:val="0014091C"/>
    <w:rsid w:val="00141C63"/>
    <w:rsid w:val="00142861"/>
    <w:rsid w:val="001429E6"/>
    <w:rsid w:val="00144C4E"/>
    <w:rsid w:val="00145409"/>
    <w:rsid w:val="00150561"/>
    <w:rsid w:val="00150C15"/>
    <w:rsid w:val="00150E60"/>
    <w:rsid w:val="00151537"/>
    <w:rsid w:val="00151AAD"/>
    <w:rsid w:val="001540B5"/>
    <w:rsid w:val="0015440F"/>
    <w:rsid w:val="00154634"/>
    <w:rsid w:val="001558B3"/>
    <w:rsid w:val="00156745"/>
    <w:rsid w:val="001568BF"/>
    <w:rsid w:val="00160496"/>
    <w:rsid w:val="0016061E"/>
    <w:rsid w:val="001606CF"/>
    <w:rsid w:val="00161197"/>
    <w:rsid w:val="0016128D"/>
    <w:rsid w:val="00161422"/>
    <w:rsid w:val="00162170"/>
    <w:rsid w:val="00162577"/>
    <w:rsid w:val="00162ACC"/>
    <w:rsid w:val="0016334D"/>
    <w:rsid w:val="00165CE3"/>
    <w:rsid w:val="001661F3"/>
    <w:rsid w:val="0017089D"/>
    <w:rsid w:val="00171CFB"/>
    <w:rsid w:val="001721E4"/>
    <w:rsid w:val="001731DC"/>
    <w:rsid w:val="00173C2F"/>
    <w:rsid w:val="00174438"/>
    <w:rsid w:val="00174E00"/>
    <w:rsid w:val="00175172"/>
    <w:rsid w:val="00176158"/>
    <w:rsid w:val="00176AB3"/>
    <w:rsid w:val="001778FD"/>
    <w:rsid w:val="001802F2"/>
    <w:rsid w:val="00181423"/>
    <w:rsid w:val="001827E2"/>
    <w:rsid w:val="00182F74"/>
    <w:rsid w:val="00183CAC"/>
    <w:rsid w:val="001848F2"/>
    <w:rsid w:val="00185883"/>
    <w:rsid w:val="00186A40"/>
    <w:rsid w:val="001870D5"/>
    <w:rsid w:val="001879F1"/>
    <w:rsid w:val="00187FDA"/>
    <w:rsid w:val="001901B3"/>
    <w:rsid w:val="0019101A"/>
    <w:rsid w:val="00191808"/>
    <w:rsid w:val="00191B39"/>
    <w:rsid w:val="00191DA4"/>
    <w:rsid w:val="001922C7"/>
    <w:rsid w:val="001924FA"/>
    <w:rsid w:val="001929AA"/>
    <w:rsid w:val="00193DC3"/>
    <w:rsid w:val="00194314"/>
    <w:rsid w:val="00194A98"/>
    <w:rsid w:val="001968BE"/>
    <w:rsid w:val="0019713B"/>
    <w:rsid w:val="001A0590"/>
    <w:rsid w:val="001A0CFE"/>
    <w:rsid w:val="001A1E0D"/>
    <w:rsid w:val="001A559D"/>
    <w:rsid w:val="001A5A52"/>
    <w:rsid w:val="001A7C0B"/>
    <w:rsid w:val="001A7DCE"/>
    <w:rsid w:val="001B10D6"/>
    <w:rsid w:val="001B1839"/>
    <w:rsid w:val="001B1973"/>
    <w:rsid w:val="001B390F"/>
    <w:rsid w:val="001B3F58"/>
    <w:rsid w:val="001B4246"/>
    <w:rsid w:val="001B4EA9"/>
    <w:rsid w:val="001B608A"/>
    <w:rsid w:val="001B6D75"/>
    <w:rsid w:val="001B741A"/>
    <w:rsid w:val="001C0CC2"/>
    <w:rsid w:val="001C2170"/>
    <w:rsid w:val="001C358D"/>
    <w:rsid w:val="001C44EB"/>
    <w:rsid w:val="001C4508"/>
    <w:rsid w:val="001C4B84"/>
    <w:rsid w:val="001C6D66"/>
    <w:rsid w:val="001C71EC"/>
    <w:rsid w:val="001D03B8"/>
    <w:rsid w:val="001D0C33"/>
    <w:rsid w:val="001D1DD7"/>
    <w:rsid w:val="001D3661"/>
    <w:rsid w:val="001D3A29"/>
    <w:rsid w:val="001D4008"/>
    <w:rsid w:val="001D4EAA"/>
    <w:rsid w:val="001E10F4"/>
    <w:rsid w:val="001E15BD"/>
    <w:rsid w:val="001E2CF1"/>
    <w:rsid w:val="001E3C05"/>
    <w:rsid w:val="001E41D6"/>
    <w:rsid w:val="001E46A8"/>
    <w:rsid w:val="001E4BA9"/>
    <w:rsid w:val="001E5374"/>
    <w:rsid w:val="001E53D7"/>
    <w:rsid w:val="001E5A11"/>
    <w:rsid w:val="001E5F6F"/>
    <w:rsid w:val="001E67A4"/>
    <w:rsid w:val="001E7AEF"/>
    <w:rsid w:val="001F1165"/>
    <w:rsid w:val="001F1195"/>
    <w:rsid w:val="001F21BD"/>
    <w:rsid w:val="001F245C"/>
    <w:rsid w:val="001F43CC"/>
    <w:rsid w:val="001F4B68"/>
    <w:rsid w:val="001F5FDB"/>
    <w:rsid w:val="0020003D"/>
    <w:rsid w:val="002041C5"/>
    <w:rsid w:val="00204808"/>
    <w:rsid w:val="00206198"/>
    <w:rsid w:val="00207297"/>
    <w:rsid w:val="00207CE9"/>
    <w:rsid w:val="00207F86"/>
    <w:rsid w:val="0021003C"/>
    <w:rsid w:val="00210513"/>
    <w:rsid w:val="00210867"/>
    <w:rsid w:val="00211278"/>
    <w:rsid w:val="002119A8"/>
    <w:rsid w:val="002144B5"/>
    <w:rsid w:val="00215D48"/>
    <w:rsid w:val="00217104"/>
    <w:rsid w:val="002173DD"/>
    <w:rsid w:val="00220CF8"/>
    <w:rsid w:val="00220F8D"/>
    <w:rsid w:val="002216DC"/>
    <w:rsid w:val="00221805"/>
    <w:rsid w:val="0022190E"/>
    <w:rsid w:val="0022222E"/>
    <w:rsid w:val="00222402"/>
    <w:rsid w:val="0022286B"/>
    <w:rsid w:val="0022318D"/>
    <w:rsid w:val="002241F7"/>
    <w:rsid w:val="00224789"/>
    <w:rsid w:val="00224847"/>
    <w:rsid w:val="00225082"/>
    <w:rsid w:val="00225C53"/>
    <w:rsid w:val="00225D3A"/>
    <w:rsid w:val="00226206"/>
    <w:rsid w:val="0023089A"/>
    <w:rsid w:val="00230AC1"/>
    <w:rsid w:val="00231049"/>
    <w:rsid w:val="00231353"/>
    <w:rsid w:val="002314D2"/>
    <w:rsid w:val="00231B75"/>
    <w:rsid w:val="00232E07"/>
    <w:rsid w:val="00233711"/>
    <w:rsid w:val="00233C41"/>
    <w:rsid w:val="002343CF"/>
    <w:rsid w:val="00236710"/>
    <w:rsid w:val="002372A6"/>
    <w:rsid w:val="002414CD"/>
    <w:rsid w:val="00241F8E"/>
    <w:rsid w:val="00242093"/>
    <w:rsid w:val="00242168"/>
    <w:rsid w:val="00242BB8"/>
    <w:rsid w:val="00245494"/>
    <w:rsid w:val="0024576E"/>
    <w:rsid w:val="00247953"/>
    <w:rsid w:val="0024795C"/>
    <w:rsid w:val="00250E83"/>
    <w:rsid w:val="00251F5B"/>
    <w:rsid w:val="0025420D"/>
    <w:rsid w:val="0025450F"/>
    <w:rsid w:val="002549C6"/>
    <w:rsid w:val="002561B6"/>
    <w:rsid w:val="00257AEE"/>
    <w:rsid w:val="00257C6E"/>
    <w:rsid w:val="00261197"/>
    <w:rsid w:val="002616A3"/>
    <w:rsid w:val="002619BF"/>
    <w:rsid w:val="00261D53"/>
    <w:rsid w:val="002632AB"/>
    <w:rsid w:val="00263A58"/>
    <w:rsid w:val="00263B6C"/>
    <w:rsid w:val="00264EA2"/>
    <w:rsid w:val="00265147"/>
    <w:rsid w:val="002664E5"/>
    <w:rsid w:val="00266846"/>
    <w:rsid w:val="00271106"/>
    <w:rsid w:val="00271D8B"/>
    <w:rsid w:val="00272DBD"/>
    <w:rsid w:val="0027590B"/>
    <w:rsid w:val="00275948"/>
    <w:rsid w:val="00276167"/>
    <w:rsid w:val="00277249"/>
    <w:rsid w:val="00280E41"/>
    <w:rsid w:val="00281337"/>
    <w:rsid w:val="00282B99"/>
    <w:rsid w:val="00283771"/>
    <w:rsid w:val="00283B24"/>
    <w:rsid w:val="00285969"/>
    <w:rsid w:val="00285F4E"/>
    <w:rsid w:val="00286E15"/>
    <w:rsid w:val="00287683"/>
    <w:rsid w:val="00291F58"/>
    <w:rsid w:val="00293843"/>
    <w:rsid w:val="002940EC"/>
    <w:rsid w:val="00294798"/>
    <w:rsid w:val="00295532"/>
    <w:rsid w:val="00296259"/>
    <w:rsid w:val="00296506"/>
    <w:rsid w:val="00296ED5"/>
    <w:rsid w:val="002A0DA2"/>
    <w:rsid w:val="002A1E12"/>
    <w:rsid w:val="002A3E1F"/>
    <w:rsid w:val="002A4A5B"/>
    <w:rsid w:val="002A51DE"/>
    <w:rsid w:val="002A675B"/>
    <w:rsid w:val="002A6ADC"/>
    <w:rsid w:val="002A75C3"/>
    <w:rsid w:val="002B19DF"/>
    <w:rsid w:val="002B3829"/>
    <w:rsid w:val="002B4B41"/>
    <w:rsid w:val="002B4D4D"/>
    <w:rsid w:val="002B5BC3"/>
    <w:rsid w:val="002B5C39"/>
    <w:rsid w:val="002B641A"/>
    <w:rsid w:val="002B6D90"/>
    <w:rsid w:val="002B7BFC"/>
    <w:rsid w:val="002B7E96"/>
    <w:rsid w:val="002C3E39"/>
    <w:rsid w:val="002C45FE"/>
    <w:rsid w:val="002C4ADF"/>
    <w:rsid w:val="002C4DC5"/>
    <w:rsid w:val="002D0498"/>
    <w:rsid w:val="002D1838"/>
    <w:rsid w:val="002D44C7"/>
    <w:rsid w:val="002D488F"/>
    <w:rsid w:val="002D49FF"/>
    <w:rsid w:val="002D5F63"/>
    <w:rsid w:val="002D6244"/>
    <w:rsid w:val="002D6E0C"/>
    <w:rsid w:val="002E2CFC"/>
    <w:rsid w:val="002E384A"/>
    <w:rsid w:val="002E41C2"/>
    <w:rsid w:val="002E45B0"/>
    <w:rsid w:val="002E520E"/>
    <w:rsid w:val="002E62C5"/>
    <w:rsid w:val="002E631A"/>
    <w:rsid w:val="002E714C"/>
    <w:rsid w:val="002F0D2E"/>
    <w:rsid w:val="002F484F"/>
    <w:rsid w:val="002F53F2"/>
    <w:rsid w:val="002F5EEB"/>
    <w:rsid w:val="002F617F"/>
    <w:rsid w:val="002F62D5"/>
    <w:rsid w:val="002F6462"/>
    <w:rsid w:val="002F6C7B"/>
    <w:rsid w:val="002F7550"/>
    <w:rsid w:val="002F7CF5"/>
    <w:rsid w:val="0030160F"/>
    <w:rsid w:val="00301C2D"/>
    <w:rsid w:val="00301EB4"/>
    <w:rsid w:val="00302239"/>
    <w:rsid w:val="0030271E"/>
    <w:rsid w:val="0030337D"/>
    <w:rsid w:val="003038F2"/>
    <w:rsid w:val="00303B56"/>
    <w:rsid w:val="00303EE4"/>
    <w:rsid w:val="003041C7"/>
    <w:rsid w:val="00304545"/>
    <w:rsid w:val="0030468D"/>
    <w:rsid w:val="003054B8"/>
    <w:rsid w:val="00305B6A"/>
    <w:rsid w:val="003065D2"/>
    <w:rsid w:val="0031056B"/>
    <w:rsid w:val="00311C35"/>
    <w:rsid w:val="003122F4"/>
    <w:rsid w:val="0031342B"/>
    <w:rsid w:val="00314115"/>
    <w:rsid w:val="00314F51"/>
    <w:rsid w:val="00315043"/>
    <w:rsid w:val="0031530A"/>
    <w:rsid w:val="003164AB"/>
    <w:rsid w:val="00316984"/>
    <w:rsid w:val="00317D6A"/>
    <w:rsid w:val="00320C61"/>
    <w:rsid w:val="00320FAF"/>
    <w:rsid w:val="00321216"/>
    <w:rsid w:val="00321B63"/>
    <w:rsid w:val="00322597"/>
    <w:rsid w:val="00323001"/>
    <w:rsid w:val="003243BD"/>
    <w:rsid w:val="00324ECF"/>
    <w:rsid w:val="00325003"/>
    <w:rsid w:val="00325449"/>
    <w:rsid w:val="003268D5"/>
    <w:rsid w:val="00331FF1"/>
    <w:rsid w:val="003374E2"/>
    <w:rsid w:val="00340429"/>
    <w:rsid w:val="00340A05"/>
    <w:rsid w:val="003432E4"/>
    <w:rsid w:val="00343654"/>
    <w:rsid w:val="00344779"/>
    <w:rsid w:val="00344AB6"/>
    <w:rsid w:val="00344BD2"/>
    <w:rsid w:val="003458A4"/>
    <w:rsid w:val="00346C7C"/>
    <w:rsid w:val="00347846"/>
    <w:rsid w:val="003511CC"/>
    <w:rsid w:val="0035316E"/>
    <w:rsid w:val="003538DB"/>
    <w:rsid w:val="00354D27"/>
    <w:rsid w:val="00354FBB"/>
    <w:rsid w:val="0035565C"/>
    <w:rsid w:val="00357355"/>
    <w:rsid w:val="00357D19"/>
    <w:rsid w:val="003605ED"/>
    <w:rsid w:val="00361196"/>
    <w:rsid w:val="003615C9"/>
    <w:rsid w:val="00361662"/>
    <w:rsid w:val="00362118"/>
    <w:rsid w:val="0036434A"/>
    <w:rsid w:val="0036465A"/>
    <w:rsid w:val="00365C02"/>
    <w:rsid w:val="00365FDC"/>
    <w:rsid w:val="00367131"/>
    <w:rsid w:val="003674AA"/>
    <w:rsid w:val="00373101"/>
    <w:rsid w:val="00374D80"/>
    <w:rsid w:val="003753A2"/>
    <w:rsid w:val="00375634"/>
    <w:rsid w:val="00377461"/>
    <w:rsid w:val="00380519"/>
    <w:rsid w:val="00380BA8"/>
    <w:rsid w:val="00382FCF"/>
    <w:rsid w:val="0038324B"/>
    <w:rsid w:val="003834A0"/>
    <w:rsid w:val="003839F0"/>
    <w:rsid w:val="00383AF7"/>
    <w:rsid w:val="00383ED8"/>
    <w:rsid w:val="00384155"/>
    <w:rsid w:val="0038492F"/>
    <w:rsid w:val="003858A6"/>
    <w:rsid w:val="00390CA7"/>
    <w:rsid w:val="00392DCC"/>
    <w:rsid w:val="003933A7"/>
    <w:rsid w:val="003935AF"/>
    <w:rsid w:val="0039575D"/>
    <w:rsid w:val="00397524"/>
    <w:rsid w:val="003977CD"/>
    <w:rsid w:val="003A0374"/>
    <w:rsid w:val="003A09B7"/>
    <w:rsid w:val="003A1185"/>
    <w:rsid w:val="003A11CE"/>
    <w:rsid w:val="003A2289"/>
    <w:rsid w:val="003A2717"/>
    <w:rsid w:val="003A2D73"/>
    <w:rsid w:val="003A305C"/>
    <w:rsid w:val="003A3167"/>
    <w:rsid w:val="003A4097"/>
    <w:rsid w:val="003A4585"/>
    <w:rsid w:val="003A48A8"/>
    <w:rsid w:val="003A5FC4"/>
    <w:rsid w:val="003B03F9"/>
    <w:rsid w:val="003B0807"/>
    <w:rsid w:val="003B28D7"/>
    <w:rsid w:val="003B4B77"/>
    <w:rsid w:val="003B5ECD"/>
    <w:rsid w:val="003B634C"/>
    <w:rsid w:val="003B732E"/>
    <w:rsid w:val="003B74A4"/>
    <w:rsid w:val="003B7792"/>
    <w:rsid w:val="003C08AB"/>
    <w:rsid w:val="003C2D62"/>
    <w:rsid w:val="003C3067"/>
    <w:rsid w:val="003C37B1"/>
    <w:rsid w:val="003C6169"/>
    <w:rsid w:val="003C6641"/>
    <w:rsid w:val="003C6BC2"/>
    <w:rsid w:val="003D088F"/>
    <w:rsid w:val="003D1037"/>
    <w:rsid w:val="003D1D9C"/>
    <w:rsid w:val="003D2A31"/>
    <w:rsid w:val="003D2ADD"/>
    <w:rsid w:val="003D37F5"/>
    <w:rsid w:val="003D490C"/>
    <w:rsid w:val="003D52B3"/>
    <w:rsid w:val="003D67CF"/>
    <w:rsid w:val="003D6C34"/>
    <w:rsid w:val="003E0292"/>
    <w:rsid w:val="003E140F"/>
    <w:rsid w:val="003E2827"/>
    <w:rsid w:val="003E28D5"/>
    <w:rsid w:val="003E29C4"/>
    <w:rsid w:val="003E2DB8"/>
    <w:rsid w:val="003E38B0"/>
    <w:rsid w:val="003E3DEA"/>
    <w:rsid w:val="003E4D87"/>
    <w:rsid w:val="003E5998"/>
    <w:rsid w:val="003E5F89"/>
    <w:rsid w:val="003E6205"/>
    <w:rsid w:val="003E66CD"/>
    <w:rsid w:val="003E66E5"/>
    <w:rsid w:val="003E69FB"/>
    <w:rsid w:val="003F04C5"/>
    <w:rsid w:val="003F0E0B"/>
    <w:rsid w:val="003F152E"/>
    <w:rsid w:val="003F1537"/>
    <w:rsid w:val="003F1A5D"/>
    <w:rsid w:val="003F1B25"/>
    <w:rsid w:val="003F2921"/>
    <w:rsid w:val="003F2F9D"/>
    <w:rsid w:val="003F2FDA"/>
    <w:rsid w:val="003F67C8"/>
    <w:rsid w:val="003F6CF5"/>
    <w:rsid w:val="003F71F2"/>
    <w:rsid w:val="003F76BC"/>
    <w:rsid w:val="003F7B5B"/>
    <w:rsid w:val="0040163D"/>
    <w:rsid w:val="004024D9"/>
    <w:rsid w:val="00402865"/>
    <w:rsid w:val="00402CCA"/>
    <w:rsid w:val="00402FA1"/>
    <w:rsid w:val="004032ED"/>
    <w:rsid w:val="00404037"/>
    <w:rsid w:val="00404527"/>
    <w:rsid w:val="0040472D"/>
    <w:rsid w:val="00404AED"/>
    <w:rsid w:val="00407236"/>
    <w:rsid w:val="004073CD"/>
    <w:rsid w:val="00410DE3"/>
    <w:rsid w:val="00410DF4"/>
    <w:rsid w:val="004129DE"/>
    <w:rsid w:val="00412BB6"/>
    <w:rsid w:val="00412EE7"/>
    <w:rsid w:val="0041511A"/>
    <w:rsid w:val="00415E61"/>
    <w:rsid w:val="00416176"/>
    <w:rsid w:val="00416762"/>
    <w:rsid w:val="00420026"/>
    <w:rsid w:val="004202C8"/>
    <w:rsid w:val="004204C4"/>
    <w:rsid w:val="0042132B"/>
    <w:rsid w:val="00421351"/>
    <w:rsid w:val="00421808"/>
    <w:rsid w:val="0042310B"/>
    <w:rsid w:val="004247BA"/>
    <w:rsid w:val="004249E9"/>
    <w:rsid w:val="00424C5F"/>
    <w:rsid w:val="00424D7D"/>
    <w:rsid w:val="0042583A"/>
    <w:rsid w:val="004266B2"/>
    <w:rsid w:val="0042676D"/>
    <w:rsid w:val="0042752B"/>
    <w:rsid w:val="00434F22"/>
    <w:rsid w:val="00434F3F"/>
    <w:rsid w:val="00436245"/>
    <w:rsid w:val="00436AE0"/>
    <w:rsid w:val="00437DAD"/>
    <w:rsid w:val="00440276"/>
    <w:rsid w:val="0044163B"/>
    <w:rsid w:val="00441B50"/>
    <w:rsid w:val="0044424D"/>
    <w:rsid w:val="00445265"/>
    <w:rsid w:val="004506D6"/>
    <w:rsid w:val="00451A36"/>
    <w:rsid w:val="00453012"/>
    <w:rsid w:val="004559CE"/>
    <w:rsid w:val="00455D57"/>
    <w:rsid w:val="00457B56"/>
    <w:rsid w:val="00461167"/>
    <w:rsid w:val="00461476"/>
    <w:rsid w:val="00462073"/>
    <w:rsid w:val="00462937"/>
    <w:rsid w:val="00464192"/>
    <w:rsid w:val="004671F0"/>
    <w:rsid w:val="00470168"/>
    <w:rsid w:val="004720CA"/>
    <w:rsid w:val="00474933"/>
    <w:rsid w:val="00474A49"/>
    <w:rsid w:val="0047547B"/>
    <w:rsid w:val="00475B7B"/>
    <w:rsid w:val="00475EB3"/>
    <w:rsid w:val="00475F4D"/>
    <w:rsid w:val="004760B8"/>
    <w:rsid w:val="004760E8"/>
    <w:rsid w:val="00476712"/>
    <w:rsid w:val="00476E9C"/>
    <w:rsid w:val="00476F1C"/>
    <w:rsid w:val="00477327"/>
    <w:rsid w:val="00477B26"/>
    <w:rsid w:val="00477E95"/>
    <w:rsid w:val="0048007A"/>
    <w:rsid w:val="00482AD1"/>
    <w:rsid w:val="00482D8D"/>
    <w:rsid w:val="00483049"/>
    <w:rsid w:val="00483501"/>
    <w:rsid w:val="0048366F"/>
    <w:rsid w:val="004918C9"/>
    <w:rsid w:val="00492FCB"/>
    <w:rsid w:val="004932F0"/>
    <w:rsid w:val="004938D1"/>
    <w:rsid w:val="004951A8"/>
    <w:rsid w:val="00496EB0"/>
    <w:rsid w:val="004A077D"/>
    <w:rsid w:val="004A16B8"/>
    <w:rsid w:val="004A29B3"/>
    <w:rsid w:val="004A3FDA"/>
    <w:rsid w:val="004A4DF5"/>
    <w:rsid w:val="004A5658"/>
    <w:rsid w:val="004A5D82"/>
    <w:rsid w:val="004A61AB"/>
    <w:rsid w:val="004A6A65"/>
    <w:rsid w:val="004A71A3"/>
    <w:rsid w:val="004A7524"/>
    <w:rsid w:val="004A7823"/>
    <w:rsid w:val="004A7BC2"/>
    <w:rsid w:val="004B1834"/>
    <w:rsid w:val="004B1CD3"/>
    <w:rsid w:val="004B3A08"/>
    <w:rsid w:val="004B481D"/>
    <w:rsid w:val="004B5D92"/>
    <w:rsid w:val="004B6405"/>
    <w:rsid w:val="004B6493"/>
    <w:rsid w:val="004C06DC"/>
    <w:rsid w:val="004C4206"/>
    <w:rsid w:val="004C54E7"/>
    <w:rsid w:val="004C5DB4"/>
    <w:rsid w:val="004C6E34"/>
    <w:rsid w:val="004C6FCE"/>
    <w:rsid w:val="004C72DE"/>
    <w:rsid w:val="004D0922"/>
    <w:rsid w:val="004D0942"/>
    <w:rsid w:val="004D14CA"/>
    <w:rsid w:val="004D16EA"/>
    <w:rsid w:val="004D3BB4"/>
    <w:rsid w:val="004D3C08"/>
    <w:rsid w:val="004D404E"/>
    <w:rsid w:val="004D507F"/>
    <w:rsid w:val="004D5D9B"/>
    <w:rsid w:val="004D6756"/>
    <w:rsid w:val="004D71D2"/>
    <w:rsid w:val="004E147B"/>
    <w:rsid w:val="004E2D23"/>
    <w:rsid w:val="004E2E02"/>
    <w:rsid w:val="004E330F"/>
    <w:rsid w:val="004E368E"/>
    <w:rsid w:val="004E3AA0"/>
    <w:rsid w:val="004F05C7"/>
    <w:rsid w:val="004F1164"/>
    <w:rsid w:val="004F2293"/>
    <w:rsid w:val="004F3590"/>
    <w:rsid w:val="004F5316"/>
    <w:rsid w:val="004F53EC"/>
    <w:rsid w:val="004F54A3"/>
    <w:rsid w:val="00500ECE"/>
    <w:rsid w:val="005011DD"/>
    <w:rsid w:val="00502768"/>
    <w:rsid w:val="005053B1"/>
    <w:rsid w:val="005056E0"/>
    <w:rsid w:val="0050630A"/>
    <w:rsid w:val="00507B0C"/>
    <w:rsid w:val="00507D77"/>
    <w:rsid w:val="005101FD"/>
    <w:rsid w:val="0051029D"/>
    <w:rsid w:val="00511A1B"/>
    <w:rsid w:val="005127C0"/>
    <w:rsid w:val="00514977"/>
    <w:rsid w:val="00514BCC"/>
    <w:rsid w:val="005154A5"/>
    <w:rsid w:val="00516785"/>
    <w:rsid w:val="005167D9"/>
    <w:rsid w:val="005167FE"/>
    <w:rsid w:val="00516FA5"/>
    <w:rsid w:val="00521153"/>
    <w:rsid w:val="00521388"/>
    <w:rsid w:val="00522318"/>
    <w:rsid w:val="0052237E"/>
    <w:rsid w:val="0052419D"/>
    <w:rsid w:val="005246E4"/>
    <w:rsid w:val="00525AB1"/>
    <w:rsid w:val="00525C11"/>
    <w:rsid w:val="00526937"/>
    <w:rsid w:val="00526B61"/>
    <w:rsid w:val="00527D34"/>
    <w:rsid w:val="005301F8"/>
    <w:rsid w:val="00530C2F"/>
    <w:rsid w:val="005312FC"/>
    <w:rsid w:val="005315CE"/>
    <w:rsid w:val="0053339F"/>
    <w:rsid w:val="0053477E"/>
    <w:rsid w:val="005348E4"/>
    <w:rsid w:val="0053603D"/>
    <w:rsid w:val="005370CE"/>
    <w:rsid w:val="005374F0"/>
    <w:rsid w:val="0053753C"/>
    <w:rsid w:val="00540017"/>
    <w:rsid w:val="00540A6E"/>
    <w:rsid w:val="0054125C"/>
    <w:rsid w:val="00542170"/>
    <w:rsid w:val="00542F33"/>
    <w:rsid w:val="00550841"/>
    <w:rsid w:val="005518C6"/>
    <w:rsid w:val="00551991"/>
    <w:rsid w:val="005521B9"/>
    <w:rsid w:val="00552F43"/>
    <w:rsid w:val="00553497"/>
    <w:rsid w:val="005538AA"/>
    <w:rsid w:val="00553F52"/>
    <w:rsid w:val="0055405D"/>
    <w:rsid w:val="00555022"/>
    <w:rsid w:val="0055506C"/>
    <w:rsid w:val="00555091"/>
    <w:rsid w:val="00555240"/>
    <w:rsid w:val="0055562E"/>
    <w:rsid w:val="005563DF"/>
    <w:rsid w:val="005574A3"/>
    <w:rsid w:val="0055763D"/>
    <w:rsid w:val="00560CFC"/>
    <w:rsid w:val="00561639"/>
    <w:rsid w:val="00562081"/>
    <w:rsid w:val="00562442"/>
    <w:rsid w:val="00562D3B"/>
    <w:rsid w:val="00563236"/>
    <w:rsid w:val="00563A45"/>
    <w:rsid w:val="00563B25"/>
    <w:rsid w:val="005646A5"/>
    <w:rsid w:val="00564FD8"/>
    <w:rsid w:val="00565CC8"/>
    <w:rsid w:val="005668E0"/>
    <w:rsid w:val="00570BD9"/>
    <w:rsid w:val="00570F36"/>
    <w:rsid w:val="00570FDE"/>
    <w:rsid w:val="00572A26"/>
    <w:rsid w:val="00574A2D"/>
    <w:rsid w:val="00574DD8"/>
    <w:rsid w:val="0057573F"/>
    <w:rsid w:val="00575AD4"/>
    <w:rsid w:val="00581E2C"/>
    <w:rsid w:val="0058201E"/>
    <w:rsid w:val="005828E7"/>
    <w:rsid w:val="00582E9A"/>
    <w:rsid w:val="00583B57"/>
    <w:rsid w:val="00584810"/>
    <w:rsid w:val="0058589B"/>
    <w:rsid w:val="005868DE"/>
    <w:rsid w:val="00587195"/>
    <w:rsid w:val="00587538"/>
    <w:rsid w:val="005900EC"/>
    <w:rsid w:val="00590237"/>
    <w:rsid w:val="0059128C"/>
    <w:rsid w:val="00593BA1"/>
    <w:rsid w:val="0059498C"/>
    <w:rsid w:val="00596D0F"/>
    <w:rsid w:val="005A0A25"/>
    <w:rsid w:val="005A0CFC"/>
    <w:rsid w:val="005A13B9"/>
    <w:rsid w:val="005A1DCE"/>
    <w:rsid w:val="005A24C5"/>
    <w:rsid w:val="005A3E87"/>
    <w:rsid w:val="005A40F2"/>
    <w:rsid w:val="005A43DE"/>
    <w:rsid w:val="005A4509"/>
    <w:rsid w:val="005A5072"/>
    <w:rsid w:val="005A55E3"/>
    <w:rsid w:val="005A5D06"/>
    <w:rsid w:val="005A7B53"/>
    <w:rsid w:val="005B03BD"/>
    <w:rsid w:val="005B0483"/>
    <w:rsid w:val="005B0B64"/>
    <w:rsid w:val="005B14EC"/>
    <w:rsid w:val="005B1E7C"/>
    <w:rsid w:val="005B2339"/>
    <w:rsid w:val="005B23EB"/>
    <w:rsid w:val="005B36BE"/>
    <w:rsid w:val="005B39C3"/>
    <w:rsid w:val="005B39C5"/>
    <w:rsid w:val="005B487A"/>
    <w:rsid w:val="005B55A8"/>
    <w:rsid w:val="005B749A"/>
    <w:rsid w:val="005C12E6"/>
    <w:rsid w:val="005C21D2"/>
    <w:rsid w:val="005C2724"/>
    <w:rsid w:val="005C3283"/>
    <w:rsid w:val="005C45C3"/>
    <w:rsid w:val="005C577F"/>
    <w:rsid w:val="005C5EE3"/>
    <w:rsid w:val="005C61E5"/>
    <w:rsid w:val="005C76E6"/>
    <w:rsid w:val="005D0635"/>
    <w:rsid w:val="005D13A5"/>
    <w:rsid w:val="005D1EF1"/>
    <w:rsid w:val="005D2CC3"/>
    <w:rsid w:val="005D2FEB"/>
    <w:rsid w:val="005D3AB2"/>
    <w:rsid w:val="005D3CCE"/>
    <w:rsid w:val="005D433A"/>
    <w:rsid w:val="005D44E5"/>
    <w:rsid w:val="005D567B"/>
    <w:rsid w:val="005D76E2"/>
    <w:rsid w:val="005E0C99"/>
    <w:rsid w:val="005E1D62"/>
    <w:rsid w:val="005E32C4"/>
    <w:rsid w:val="005E3D67"/>
    <w:rsid w:val="005E50B8"/>
    <w:rsid w:val="005E56DE"/>
    <w:rsid w:val="005E7244"/>
    <w:rsid w:val="005F1C05"/>
    <w:rsid w:val="005F420A"/>
    <w:rsid w:val="005F4324"/>
    <w:rsid w:val="005F5842"/>
    <w:rsid w:val="005F5A02"/>
    <w:rsid w:val="0060015F"/>
    <w:rsid w:val="006011BD"/>
    <w:rsid w:val="00601259"/>
    <w:rsid w:val="006019F5"/>
    <w:rsid w:val="00601C69"/>
    <w:rsid w:val="006023FF"/>
    <w:rsid w:val="00602CE3"/>
    <w:rsid w:val="006048E0"/>
    <w:rsid w:val="0060595B"/>
    <w:rsid w:val="00605AFD"/>
    <w:rsid w:val="00606190"/>
    <w:rsid w:val="006061BA"/>
    <w:rsid w:val="0060691B"/>
    <w:rsid w:val="006075DA"/>
    <w:rsid w:val="00607C7C"/>
    <w:rsid w:val="00607E47"/>
    <w:rsid w:val="006123D4"/>
    <w:rsid w:val="00612593"/>
    <w:rsid w:val="00614ACE"/>
    <w:rsid w:val="00615651"/>
    <w:rsid w:val="0061632B"/>
    <w:rsid w:val="00616342"/>
    <w:rsid w:val="00616F7E"/>
    <w:rsid w:val="006172BE"/>
    <w:rsid w:val="006207B0"/>
    <w:rsid w:val="00622B38"/>
    <w:rsid w:val="00623D36"/>
    <w:rsid w:val="0062439A"/>
    <w:rsid w:val="006251D0"/>
    <w:rsid w:val="00626711"/>
    <w:rsid w:val="006328F3"/>
    <w:rsid w:val="006362C7"/>
    <w:rsid w:val="00637021"/>
    <w:rsid w:val="00637B8B"/>
    <w:rsid w:val="00637C14"/>
    <w:rsid w:val="00642648"/>
    <w:rsid w:val="006428F1"/>
    <w:rsid w:val="0064342D"/>
    <w:rsid w:val="006437A4"/>
    <w:rsid w:val="00643E8C"/>
    <w:rsid w:val="00646601"/>
    <w:rsid w:val="006467D8"/>
    <w:rsid w:val="006474B8"/>
    <w:rsid w:val="00647D07"/>
    <w:rsid w:val="00650D9C"/>
    <w:rsid w:val="00651098"/>
    <w:rsid w:val="00651BD9"/>
    <w:rsid w:val="00651C6F"/>
    <w:rsid w:val="00655441"/>
    <w:rsid w:val="00656356"/>
    <w:rsid w:val="00657FD8"/>
    <w:rsid w:val="00660C9A"/>
    <w:rsid w:val="0066240B"/>
    <w:rsid w:val="00663B23"/>
    <w:rsid w:val="00664615"/>
    <w:rsid w:val="00665456"/>
    <w:rsid w:val="006655B1"/>
    <w:rsid w:val="00665976"/>
    <w:rsid w:val="006673D2"/>
    <w:rsid w:val="006711C8"/>
    <w:rsid w:val="00672926"/>
    <w:rsid w:val="00673749"/>
    <w:rsid w:val="00673BA5"/>
    <w:rsid w:val="00673E08"/>
    <w:rsid w:val="00673EA9"/>
    <w:rsid w:val="006755BF"/>
    <w:rsid w:val="0067715D"/>
    <w:rsid w:val="00677294"/>
    <w:rsid w:val="00677A50"/>
    <w:rsid w:val="00680131"/>
    <w:rsid w:val="006811CD"/>
    <w:rsid w:val="00681479"/>
    <w:rsid w:val="0068168D"/>
    <w:rsid w:val="00682302"/>
    <w:rsid w:val="00682F5E"/>
    <w:rsid w:val="0068445F"/>
    <w:rsid w:val="00684E52"/>
    <w:rsid w:val="00685759"/>
    <w:rsid w:val="00685BB5"/>
    <w:rsid w:val="00686165"/>
    <w:rsid w:val="00687D67"/>
    <w:rsid w:val="0069016F"/>
    <w:rsid w:val="00690D90"/>
    <w:rsid w:val="0069116C"/>
    <w:rsid w:val="006919C9"/>
    <w:rsid w:val="00691C24"/>
    <w:rsid w:val="00691C73"/>
    <w:rsid w:val="00691CB5"/>
    <w:rsid w:val="00691F5D"/>
    <w:rsid w:val="006923C9"/>
    <w:rsid w:val="0069320D"/>
    <w:rsid w:val="00693ECB"/>
    <w:rsid w:val="0069602D"/>
    <w:rsid w:val="00697FD3"/>
    <w:rsid w:val="006A0219"/>
    <w:rsid w:val="006A18D5"/>
    <w:rsid w:val="006A1B7A"/>
    <w:rsid w:val="006A4F7C"/>
    <w:rsid w:val="006A50BD"/>
    <w:rsid w:val="006A577E"/>
    <w:rsid w:val="006A6EE1"/>
    <w:rsid w:val="006B0472"/>
    <w:rsid w:val="006B0612"/>
    <w:rsid w:val="006B1509"/>
    <w:rsid w:val="006B304E"/>
    <w:rsid w:val="006B334A"/>
    <w:rsid w:val="006B4775"/>
    <w:rsid w:val="006B5E7C"/>
    <w:rsid w:val="006B6195"/>
    <w:rsid w:val="006B6F4D"/>
    <w:rsid w:val="006C0C27"/>
    <w:rsid w:val="006C0CE0"/>
    <w:rsid w:val="006C18B6"/>
    <w:rsid w:val="006C1C46"/>
    <w:rsid w:val="006C2A43"/>
    <w:rsid w:val="006C3B62"/>
    <w:rsid w:val="006C51D3"/>
    <w:rsid w:val="006C645D"/>
    <w:rsid w:val="006C6F50"/>
    <w:rsid w:val="006C7916"/>
    <w:rsid w:val="006C7D5F"/>
    <w:rsid w:val="006D0565"/>
    <w:rsid w:val="006D08D5"/>
    <w:rsid w:val="006D0A27"/>
    <w:rsid w:val="006D2179"/>
    <w:rsid w:val="006D2560"/>
    <w:rsid w:val="006D256F"/>
    <w:rsid w:val="006D3371"/>
    <w:rsid w:val="006D3F08"/>
    <w:rsid w:val="006D42C7"/>
    <w:rsid w:val="006D44AA"/>
    <w:rsid w:val="006D4912"/>
    <w:rsid w:val="006D56F1"/>
    <w:rsid w:val="006D74D0"/>
    <w:rsid w:val="006D7D82"/>
    <w:rsid w:val="006E156B"/>
    <w:rsid w:val="006E1E4D"/>
    <w:rsid w:val="006E2674"/>
    <w:rsid w:val="006E3CC3"/>
    <w:rsid w:val="006E7437"/>
    <w:rsid w:val="006F0756"/>
    <w:rsid w:val="006F101D"/>
    <w:rsid w:val="006F25B6"/>
    <w:rsid w:val="006F27AD"/>
    <w:rsid w:val="006F3B4E"/>
    <w:rsid w:val="006F4780"/>
    <w:rsid w:val="006F656C"/>
    <w:rsid w:val="006F6722"/>
    <w:rsid w:val="006F685F"/>
    <w:rsid w:val="006F6C22"/>
    <w:rsid w:val="006F7FBE"/>
    <w:rsid w:val="007016C8"/>
    <w:rsid w:val="00701FA7"/>
    <w:rsid w:val="00702A0B"/>
    <w:rsid w:val="00702A68"/>
    <w:rsid w:val="00702CA4"/>
    <w:rsid w:val="00702D3C"/>
    <w:rsid w:val="00704B83"/>
    <w:rsid w:val="007050DD"/>
    <w:rsid w:val="00705EF6"/>
    <w:rsid w:val="0070630D"/>
    <w:rsid w:val="00706741"/>
    <w:rsid w:val="00707014"/>
    <w:rsid w:val="00711181"/>
    <w:rsid w:val="0071121A"/>
    <w:rsid w:val="007116D3"/>
    <w:rsid w:val="007116FF"/>
    <w:rsid w:val="00713784"/>
    <w:rsid w:val="007159CE"/>
    <w:rsid w:val="0071703A"/>
    <w:rsid w:val="007179A0"/>
    <w:rsid w:val="00717BBF"/>
    <w:rsid w:val="007210DF"/>
    <w:rsid w:val="0072145C"/>
    <w:rsid w:val="00723E1A"/>
    <w:rsid w:val="00725958"/>
    <w:rsid w:val="007265B3"/>
    <w:rsid w:val="00730445"/>
    <w:rsid w:val="00731310"/>
    <w:rsid w:val="00731AD4"/>
    <w:rsid w:val="00734F43"/>
    <w:rsid w:val="00736387"/>
    <w:rsid w:val="007366DB"/>
    <w:rsid w:val="00737BCE"/>
    <w:rsid w:val="007409DB"/>
    <w:rsid w:val="00741D0E"/>
    <w:rsid w:val="00741F62"/>
    <w:rsid w:val="007422FB"/>
    <w:rsid w:val="00743BB9"/>
    <w:rsid w:val="00744340"/>
    <w:rsid w:val="00744C61"/>
    <w:rsid w:val="00745A87"/>
    <w:rsid w:val="00745ECD"/>
    <w:rsid w:val="0074765E"/>
    <w:rsid w:val="007500FF"/>
    <w:rsid w:val="00750759"/>
    <w:rsid w:val="00750DFC"/>
    <w:rsid w:val="00750F83"/>
    <w:rsid w:val="007513BE"/>
    <w:rsid w:val="007535AD"/>
    <w:rsid w:val="00754458"/>
    <w:rsid w:val="00754DC9"/>
    <w:rsid w:val="00756876"/>
    <w:rsid w:val="00757816"/>
    <w:rsid w:val="00760128"/>
    <w:rsid w:val="0076039C"/>
    <w:rsid w:val="00760678"/>
    <w:rsid w:val="0076124D"/>
    <w:rsid w:val="00761400"/>
    <w:rsid w:val="00762A36"/>
    <w:rsid w:val="00762B88"/>
    <w:rsid w:val="00764E77"/>
    <w:rsid w:val="0076579C"/>
    <w:rsid w:val="007661B0"/>
    <w:rsid w:val="00766519"/>
    <w:rsid w:val="00767A6D"/>
    <w:rsid w:val="007705D8"/>
    <w:rsid w:val="007709C5"/>
    <w:rsid w:val="00770B7B"/>
    <w:rsid w:val="007721AA"/>
    <w:rsid w:val="00772A86"/>
    <w:rsid w:val="0077388E"/>
    <w:rsid w:val="007739DC"/>
    <w:rsid w:val="00776528"/>
    <w:rsid w:val="00776A0F"/>
    <w:rsid w:val="00780644"/>
    <w:rsid w:val="00782DE8"/>
    <w:rsid w:val="0078482D"/>
    <w:rsid w:val="00784D29"/>
    <w:rsid w:val="0078509F"/>
    <w:rsid w:val="0078591D"/>
    <w:rsid w:val="00785D89"/>
    <w:rsid w:val="0078723A"/>
    <w:rsid w:val="0078746D"/>
    <w:rsid w:val="00787F1D"/>
    <w:rsid w:val="00791EEF"/>
    <w:rsid w:val="0079292C"/>
    <w:rsid w:val="00792D38"/>
    <w:rsid w:val="007932DC"/>
    <w:rsid w:val="00793572"/>
    <w:rsid w:val="00793806"/>
    <w:rsid w:val="0079400B"/>
    <w:rsid w:val="00794499"/>
    <w:rsid w:val="007944CE"/>
    <w:rsid w:val="00795241"/>
    <w:rsid w:val="00797C6D"/>
    <w:rsid w:val="007A0893"/>
    <w:rsid w:val="007A1F40"/>
    <w:rsid w:val="007A2EDE"/>
    <w:rsid w:val="007A3D83"/>
    <w:rsid w:val="007A4F89"/>
    <w:rsid w:val="007A53E1"/>
    <w:rsid w:val="007A55D6"/>
    <w:rsid w:val="007A6C4C"/>
    <w:rsid w:val="007B0991"/>
    <w:rsid w:val="007B0EFB"/>
    <w:rsid w:val="007B4ABD"/>
    <w:rsid w:val="007B5F97"/>
    <w:rsid w:val="007B6181"/>
    <w:rsid w:val="007B6DD1"/>
    <w:rsid w:val="007B7279"/>
    <w:rsid w:val="007C073B"/>
    <w:rsid w:val="007C10D5"/>
    <w:rsid w:val="007C1171"/>
    <w:rsid w:val="007C2604"/>
    <w:rsid w:val="007C378A"/>
    <w:rsid w:val="007C37E3"/>
    <w:rsid w:val="007C4E4A"/>
    <w:rsid w:val="007C777F"/>
    <w:rsid w:val="007D07FC"/>
    <w:rsid w:val="007D086F"/>
    <w:rsid w:val="007D49F6"/>
    <w:rsid w:val="007D5AA6"/>
    <w:rsid w:val="007D7F0A"/>
    <w:rsid w:val="007E0AA1"/>
    <w:rsid w:val="007E1F0B"/>
    <w:rsid w:val="007E28BC"/>
    <w:rsid w:val="007E2AB9"/>
    <w:rsid w:val="007E5300"/>
    <w:rsid w:val="007E5A04"/>
    <w:rsid w:val="007E6456"/>
    <w:rsid w:val="007E7593"/>
    <w:rsid w:val="007F0392"/>
    <w:rsid w:val="007F0829"/>
    <w:rsid w:val="007F1D09"/>
    <w:rsid w:val="007F2D39"/>
    <w:rsid w:val="007F4D83"/>
    <w:rsid w:val="007F58E9"/>
    <w:rsid w:val="00800BFE"/>
    <w:rsid w:val="0080143D"/>
    <w:rsid w:val="008048D9"/>
    <w:rsid w:val="00804F5E"/>
    <w:rsid w:val="008069E9"/>
    <w:rsid w:val="00807F00"/>
    <w:rsid w:val="00810B48"/>
    <w:rsid w:val="008116C9"/>
    <w:rsid w:val="00812852"/>
    <w:rsid w:val="00813772"/>
    <w:rsid w:val="00813FD0"/>
    <w:rsid w:val="00815958"/>
    <w:rsid w:val="00817213"/>
    <w:rsid w:val="0081798F"/>
    <w:rsid w:val="00817AAD"/>
    <w:rsid w:val="008204C2"/>
    <w:rsid w:val="00820662"/>
    <w:rsid w:val="008249B7"/>
    <w:rsid w:val="00825862"/>
    <w:rsid w:val="008305AB"/>
    <w:rsid w:val="008332F3"/>
    <w:rsid w:val="0083390A"/>
    <w:rsid w:val="00834243"/>
    <w:rsid w:val="00835D8D"/>
    <w:rsid w:val="008361B4"/>
    <w:rsid w:val="00836532"/>
    <w:rsid w:val="008369B6"/>
    <w:rsid w:val="008371CB"/>
    <w:rsid w:val="00837E9F"/>
    <w:rsid w:val="0084044E"/>
    <w:rsid w:val="00840AD2"/>
    <w:rsid w:val="00847599"/>
    <w:rsid w:val="00850272"/>
    <w:rsid w:val="008504A9"/>
    <w:rsid w:val="00850E57"/>
    <w:rsid w:val="00851501"/>
    <w:rsid w:val="00851CAD"/>
    <w:rsid w:val="008526E4"/>
    <w:rsid w:val="00852CA2"/>
    <w:rsid w:val="008545C7"/>
    <w:rsid w:val="008548B4"/>
    <w:rsid w:val="00855618"/>
    <w:rsid w:val="0085576D"/>
    <w:rsid w:val="00855956"/>
    <w:rsid w:val="008573E7"/>
    <w:rsid w:val="00857969"/>
    <w:rsid w:val="00861987"/>
    <w:rsid w:val="00861FA6"/>
    <w:rsid w:val="00862533"/>
    <w:rsid w:val="008626EC"/>
    <w:rsid w:val="008643A4"/>
    <w:rsid w:val="008657E2"/>
    <w:rsid w:val="00865F1A"/>
    <w:rsid w:val="00865F78"/>
    <w:rsid w:val="00867329"/>
    <w:rsid w:val="00867E67"/>
    <w:rsid w:val="00870825"/>
    <w:rsid w:val="0087110C"/>
    <w:rsid w:val="00871902"/>
    <w:rsid w:val="00871E62"/>
    <w:rsid w:val="00872BC4"/>
    <w:rsid w:val="00873473"/>
    <w:rsid w:val="00874D01"/>
    <w:rsid w:val="00874EA5"/>
    <w:rsid w:val="008773AE"/>
    <w:rsid w:val="00877C60"/>
    <w:rsid w:val="00880369"/>
    <w:rsid w:val="00880EFE"/>
    <w:rsid w:val="00881E4C"/>
    <w:rsid w:val="00883485"/>
    <w:rsid w:val="00883FB0"/>
    <w:rsid w:val="00884094"/>
    <w:rsid w:val="00884A89"/>
    <w:rsid w:val="00885E69"/>
    <w:rsid w:val="008865DD"/>
    <w:rsid w:val="00886A33"/>
    <w:rsid w:val="00886C8D"/>
    <w:rsid w:val="00887805"/>
    <w:rsid w:val="0089078D"/>
    <w:rsid w:val="00890DCF"/>
    <w:rsid w:val="008911E0"/>
    <w:rsid w:val="00891735"/>
    <w:rsid w:val="00893787"/>
    <w:rsid w:val="008940CD"/>
    <w:rsid w:val="00894BE3"/>
    <w:rsid w:val="00896BC1"/>
    <w:rsid w:val="008A1187"/>
    <w:rsid w:val="008A1406"/>
    <w:rsid w:val="008A1E40"/>
    <w:rsid w:val="008A222B"/>
    <w:rsid w:val="008A4022"/>
    <w:rsid w:val="008A5491"/>
    <w:rsid w:val="008A6085"/>
    <w:rsid w:val="008A769B"/>
    <w:rsid w:val="008B0351"/>
    <w:rsid w:val="008B0F7E"/>
    <w:rsid w:val="008B1499"/>
    <w:rsid w:val="008B1D3A"/>
    <w:rsid w:val="008B272A"/>
    <w:rsid w:val="008B2820"/>
    <w:rsid w:val="008B3625"/>
    <w:rsid w:val="008B37B2"/>
    <w:rsid w:val="008B3DE2"/>
    <w:rsid w:val="008B5611"/>
    <w:rsid w:val="008B6238"/>
    <w:rsid w:val="008B68B5"/>
    <w:rsid w:val="008B7495"/>
    <w:rsid w:val="008C2A36"/>
    <w:rsid w:val="008C3C40"/>
    <w:rsid w:val="008C446E"/>
    <w:rsid w:val="008C4ABC"/>
    <w:rsid w:val="008C7693"/>
    <w:rsid w:val="008D1705"/>
    <w:rsid w:val="008D1F94"/>
    <w:rsid w:val="008D2A7F"/>
    <w:rsid w:val="008D3033"/>
    <w:rsid w:val="008D32E8"/>
    <w:rsid w:val="008D339F"/>
    <w:rsid w:val="008D5EA5"/>
    <w:rsid w:val="008D7F38"/>
    <w:rsid w:val="008E17A0"/>
    <w:rsid w:val="008E3364"/>
    <w:rsid w:val="008E4500"/>
    <w:rsid w:val="008E61E9"/>
    <w:rsid w:val="008E6292"/>
    <w:rsid w:val="008E7F7C"/>
    <w:rsid w:val="008E7FA8"/>
    <w:rsid w:val="008F009B"/>
    <w:rsid w:val="008F1369"/>
    <w:rsid w:val="008F252A"/>
    <w:rsid w:val="008F28DA"/>
    <w:rsid w:val="008F28E9"/>
    <w:rsid w:val="008F2A84"/>
    <w:rsid w:val="008F3FBC"/>
    <w:rsid w:val="008F5228"/>
    <w:rsid w:val="008F5F84"/>
    <w:rsid w:val="008F676B"/>
    <w:rsid w:val="009007D3"/>
    <w:rsid w:val="009040FB"/>
    <w:rsid w:val="00904454"/>
    <w:rsid w:val="00905466"/>
    <w:rsid w:val="00905479"/>
    <w:rsid w:val="00905DD2"/>
    <w:rsid w:val="0090649D"/>
    <w:rsid w:val="0090679B"/>
    <w:rsid w:val="009076D0"/>
    <w:rsid w:val="009102E3"/>
    <w:rsid w:val="00910537"/>
    <w:rsid w:val="0091141A"/>
    <w:rsid w:val="0091149A"/>
    <w:rsid w:val="00911557"/>
    <w:rsid w:val="0091289E"/>
    <w:rsid w:val="00912BBE"/>
    <w:rsid w:val="00913416"/>
    <w:rsid w:val="009138C2"/>
    <w:rsid w:val="00913A8E"/>
    <w:rsid w:val="00914B74"/>
    <w:rsid w:val="0091662C"/>
    <w:rsid w:val="0092013E"/>
    <w:rsid w:val="00921050"/>
    <w:rsid w:val="00922D6B"/>
    <w:rsid w:val="00924673"/>
    <w:rsid w:val="00925AA5"/>
    <w:rsid w:val="00925F00"/>
    <w:rsid w:val="00926A1B"/>
    <w:rsid w:val="00930F8B"/>
    <w:rsid w:val="009311E8"/>
    <w:rsid w:val="009313CF"/>
    <w:rsid w:val="00932DFC"/>
    <w:rsid w:val="009346B4"/>
    <w:rsid w:val="00934C15"/>
    <w:rsid w:val="009369D6"/>
    <w:rsid w:val="00937A32"/>
    <w:rsid w:val="0094019D"/>
    <w:rsid w:val="009404CD"/>
    <w:rsid w:val="00942882"/>
    <w:rsid w:val="00942C11"/>
    <w:rsid w:val="00943F86"/>
    <w:rsid w:val="0094596F"/>
    <w:rsid w:val="00945A55"/>
    <w:rsid w:val="00946152"/>
    <w:rsid w:val="00946865"/>
    <w:rsid w:val="009468D2"/>
    <w:rsid w:val="00947AC6"/>
    <w:rsid w:val="00950508"/>
    <w:rsid w:val="0095085A"/>
    <w:rsid w:val="009515FC"/>
    <w:rsid w:val="009526FA"/>
    <w:rsid w:val="00953317"/>
    <w:rsid w:val="009535BB"/>
    <w:rsid w:val="00954528"/>
    <w:rsid w:val="00954B58"/>
    <w:rsid w:val="00956C3B"/>
    <w:rsid w:val="009575EE"/>
    <w:rsid w:val="00960872"/>
    <w:rsid w:val="00960DEF"/>
    <w:rsid w:val="00961741"/>
    <w:rsid w:val="009622BE"/>
    <w:rsid w:val="0096250D"/>
    <w:rsid w:val="00962692"/>
    <w:rsid w:val="0096429C"/>
    <w:rsid w:val="00964E08"/>
    <w:rsid w:val="00965D47"/>
    <w:rsid w:val="00966A41"/>
    <w:rsid w:val="00966CF4"/>
    <w:rsid w:val="009676C1"/>
    <w:rsid w:val="00967DDE"/>
    <w:rsid w:val="00970591"/>
    <w:rsid w:val="0097109C"/>
    <w:rsid w:val="009732EC"/>
    <w:rsid w:val="00973E26"/>
    <w:rsid w:val="00973EE6"/>
    <w:rsid w:val="00976388"/>
    <w:rsid w:val="009766C7"/>
    <w:rsid w:val="009769D4"/>
    <w:rsid w:val="00977D48"/>
    <w:rsid w:val="00980299"/>
    <w:rsid w:val="00980999"/>
    <w:rsid w:val="009821CE"/>
    <w:rsid w:val="009827EF"/>
    <w:rsid w:val="00982CB5"/>
    <w:rsid w:val="0098326A"/>
    <w:rsid w:val="0098487D"/>
    <w:rsid w:val="0098498C"/>
    <w:rsid w:val="009852CF"/>
    <w:rsid w:val="009875D2"/>
    <w:rsid w:val="009927AF"/>
    <w:rsid w:val="00992C1C"/>
    <w:rsid w:val="009934AD"/>
    <w:rsid w:val="00993893"/>
    <w:rsid w:val="00994611"/>
    <w:rsid w:val="00995337"/>
    <w:rsid w:val="0099561A"/>
    <w:rsid w:val="009958BF"/>
    <w:rsid w:val="00995C5C"/>
    <w:rsid w:val="00996A10"/>
    <w:rsid w:val="009A0220"/>
    <w:rsid w:val="009A0498"/>
    <w:rsid w:val="009A16AA"/>
    <w:rsid w:val="009A26A0"/>
    <w:rsid w:val="009A375C"/>
    <w:rsid w:val="009A4BA3"/>
    <w:rsid w:val="009A597F"/>
    <w:rsid w:val="009A5ACD"/>
    <w:rsid w:val="009A658F"/>
    <w:rsid w:val="009A668A"/>
    <w:rsid w:val="009A7132"/>
    <w:rsid w:val="009A72BD"/>
    <w:rsid w:val="009A77BF"/>
    <w:rsid w:val="009B009B"/>
    <w:rsid w:val="009B1EDD"/>
    <w:rsid w:val="009B3CB8"/>
    <w:rsid w:val="009B4BE9"/>
    <w:rsid w:val="009B54A3"/>
    <w:rsid w:val="009B5B7B"/>
    <w:rsid w:val="009B6308"/>
    <w:rsid w:val="009B7BE9"/>
    <w:rsid w:val="009C044B"/>
    <w:rsid w:val="009C16E9"/>
    <w:rsid w:val="009C197E"/>
    <w:rsid w:val="009C2A3E"/>
    <w:rsid w:val="009C2F26"/>
    <w:rsid w:val="009C364F"/>
    <w:rsid w:val="009C448E"/>
    <w:rsid w:val="009C48FA"/>
    <w:rsid w:val="009C57DB"/>
    <w:rsid w:val="009C5969"/>
    <w:rsid w:val="009C5FD6"/>
    <w:rsid w:val="009C65CC"/>
    <w:rsid w:val="009D0AD9"/>
    <w:rsid w:val="009D1485"/>
    <w:rsid w:val="009D1AFA"/>
    <w:rsid w:val="009D216D"/>
    <w:rsid w:val="009D31CA"/>
    <w:rsid w:val="009D3FAA"/>
    <w:rsid w:val="009D44BB"/>
    <w:rsid w:val="009D6501"/>
    <w:rsid w:val="009D6764"/>
    <w:rsid w:val="009D6988"/>
    <w:rsid w:val="009D78AD"/>
    <w:rsid w:val="009D78AF"/>
    <w:rsid w:val="009E0370"/>
    <w:rsid w:val="009E0818"/>
    <w:rsid w:val="009E2C75"/>
    <w:rsid w:val="009E45D2"/>
    <w:rsid w:val="009E749E"/>
    <w:rsid w:val="009E78AC"/>
    <w:rsid w:val="009E7BB9"/>
    <w:rsid w:val="009F0620"/>
    <w:rsid w:val="009F0796"/>
    <w:rsid w:val="009F1B37"/>
    <w:rsid w:val="009F4DA1"/>
    <w:rsid w:val="009F59D1"/>
    <w:rsid w:val="009F5D77"/>
    <w:rsid w:val="009F6455"/>
    <w:rsid w:val="00A00D64"/>
    <w:rsid w:val="00A039DE"/>
    <w:rsid w:val="00A05E5C"/>
    <w:rsid w:val="00A100E5"/>
    <w:rsid w:val="00A1057F"/>
    <w:rsid w:val="00A10E9E"/>
    <w:rsid w:val="00A113DD"/>
    <w:rsid w:val="00A11523"/>
    <w:rsid w:val="00A118B4"/>
    <w:rsid w:val="00A11B38"/>
    <w:rsid w:val="00A137B2"/>
    <w:rsid w:val="00A141EA"/>
    <w:rsid w:val="00A1447D"/>
    <w:rsid w:val="00A1471B"/>
    <w:rsid w:val="00A156FB"/>
    <w:rsid w:val="00A162B9"/>
    <w:rsid w:val="00A16E03"/>
    <w:rsid w:val="00A17A24"/>
    <w:rsid w:val="00A17C49"/>
    <w:rsid w:val="00A17FDC"/>
    <w:rsid w:val="00A2010A"/>
    <w:rsid w:val="00A20351"/>
    <w:rsid w:val="00A2064F"/>
    <w:rsid w:val="00A20EC3"/>
    <w:rsid w:val="00A24A7D"/>
    <w:rsid w:val="00A24AE6"/>
    <w:rsid w:val="00A24AFE"/>
    <w:rsid w:val="00A24B02"/>
    <w:rsid w:val="00A258E8"/>
    <w:rsid w:val="00A260CD"/>
    <w:rsid w:val="00A261EE"/>
    <w:rsid w:val="00A264B9"/>
    <w:rsid w:val="00A26680"/>
    <w:rsid w:val="00A26780"/>
    <w:rsid w:val="00A273E9"/>
    <w:rsid w:val="00A27631"/>
    <w:rsid w:val="00A30477"/>
    <w:rsid w:val="00A3168D"/>
    <w:rsid w:val="00A31A74"/>
    <w:rsid w:val="00A31FEE"/>
    <w:rsid w:val="00A343E3"/>
    <w:rsid w:val="00A3481A"/>
    <w:rsid w:val="00A360AA"/>
    <w:rsid w:val="00A36972"/>
    <w:rsid w:val="00A3749B"/>
    <w:rsid w:val="00A40282"/>
    <w:rsid w:val="00A40760"/>
    <w:rsid w:val="00A41A84"/>
    <w:rsid w:val="00A41D07"/>
    <w:rsid w:val="00A41DCD"/>
    <w:rsid w:val="00A421D2"/>
    <w:rsid w:val="00A42487"/>
    <w:rsid w:val="00A43B4E"/>
    <w:rsid w:val="00A43EFB"/>
    <w:rsid w:val="00A45A28"/>
    <w:rsid w:val="00A467E1"/>
    <w:rsid w:val="00A46B75"/>
    <w:rsid w:val="00A477DA"/>
    <w:rsid w:val="00A500CA"/>
    <w:rsid w:val="00A50DDA"/>
    <w:rsid w:val="00A511B5"/>
    <w:rsid w:val="00A5313F"/>
    <w:rsid w:val="00A531E8"/>
    <w:rsid w:val="00A549AB"/>
    <w:rsid w:val="00A55182"/>
    <w:rsid w:val="00A5581D"/>
    <w:rsid w:val="00A5699E"/>
    <w:rsid w:val="00A57A82"/>
    <w:rsid w:val="00A57CD4"/>
    <w:rsid w:val="00A60697"/>
    <w:rsid w:val="00A62131"/>
    <w:rsid w:val="00A62E42"/>
    <w:rsid w:val="00A64A71"/>
    <w:rsid w:val="00A6684A"/>
    <w:rsid w:val="00A67582"/>
    <w:rsid w:val="00A701E1"/>
    <w:rsid w:val="00A7148F"/>
    <w:rsid w:val="00A72734"/>
    <w:rsid w:val="00A732F3"/>
    <w:rsid w:val="00A734D8"/>
    <w:rsid w:val="00A7545F"/>
    <w:rsid w:val="00A7558F"/>
    <w:rsid w:val="00A755AC"/>
    <w:rsid w:val="00A75C4D"/>
    <w:rsid w:val="00A76D90"/>
    <w:rsid w:val="00A76DD7"/>
    <w:rsid w:val="00A81209"/>
    <w:rsid w:val="00A813DF"/>
    <w:rsid w:val="00A81BC8"/>
    <w:rsid w:val="00A82BAA"/>
    <w:rsid w:val="00A849B6"/>
    <w:rsid w:val="00A84EB7"/>
    <w:rsid w:val="00A861E4"/>
    <w:rsid w:val="00A86F78"/>
    <w:rsid w:val="00A87003"/>
    <w:rsid w:val="00A87E4D"/>
    <w:rsid w:val="00A91CE2"/>
    <w:rsid w:val="00A92880"/>
    <w:rsid w:val="00A93B3C"/>
    <w:rsid w:val="00A9481A"/>
    <w:rsid w:val="00A96230"/>
    <w:rsid w:val="00A9707F"/>
    <w:rsid w:val="00A9727C"/>
    <w:rsid w:val="00AA01DC"/>
    <w:rsid w:val="00AA051A"/>
    <w:rsid w:val="00AA1987"/>
    <w:rsid w:val="00AA1C26"/>
    <w:rsid w:val="00AA1DBA"/>
    <w:rsid w:val="00AA23CB"/>
    <w:rsid w:val="00AA32B2"/>
    <w:rsid w:val="00AA335F"/>
    <w:rsid w:val="00AA3518"/>
    <w:rsid w:val="00AA4AFB"/>
    <w:rsid w:val="00AA6BDD"/>
    <w:rsid w:val="00AA6BFE"/>
    <w:rsid w:val="00AA711A"/>
    <w:rsid w:val="00AA743A"/>
    <w:rsid w:val="00AA7917"/>
    <w:rsid w:val="00AB0276"/>
    <w:rsid w:val="00AB3A9C"/>
    <w:rsid w:val="00AB5123"/>
    <w:rsid w:val="00AB5C86"/>
    <w:rsid w:val="00AB6BDF"/>
    <w:rsid w:val="00AC094E"/>
    <w:rsid w:val="00AC19D6"/>
    <w:rsid w:val="00AC19DD"/>
    <w:rsid w:val="00AC1D23"/>
    <w:rsid w:val="00AC2C30"/>
    <w:rsid w:val="00AC2C6D"/>
    <w:rsid w:val="00AC3F5C"/>
    <w:rsid w:val="00AC3F62"/>
    <w:rsid w:val="00AC52C9"/>
    <w:rsid w:val="00AC73AC"/>
    <w:rsid w:val="00AD03E8"/>
    <w:rsid w:val="00AD08B6"/>
    <w:rsid w:val="00AD0CC2"/>
    <w:rsid w:val="00AD1F07"/>
    <w:rsid w:val="00AD2350"/>
    <w:rsid w:val="00AD237B"/>
    <w:rsid w:val="00AD3AE3"/>
    <w:rsid w:val="00AD4299"/>
    <w:rsid w:val="00AD5A87"/>
    <w:rsid w:val="00AE1ECC"/>
    <w:rsid w:val="00AE2F90"/>
    <w:rsid w:val="00AE3807"/>
    <w:rsid w:val="00AE3842"/>
    <w:rsid w:val="00AE3FC4"/>
    <w:rsid w:val="00AE429B"/>
    <w:rsid w:val="00AE58A3"/>
    <w:rsid w:val="00AE5B38"/>
    <w:rsid w:val="00AE6C8A"/>
    <w:rsid w:val="00AE71FA"/>
    <w:rsid w:val="00AF0877"/>
    <w:rsid w:val="00AF1096"/>
    <w:rsid w:val="00AF11C2"/>
    <w:rsid w:val="00AF1343"/>
    <w:rsid w:val="00AF1F05"/>
    <w:rsid w:val="00AF22D2"/>
    <w:rsid w:val="00AF2A61"/>
    <w:rsid w:val="00AF41B4"/>
    <w:rsid w:val="00AF4F33"/>
    <w:rsid w:val="00AF712B"/>
    <w:rsid w:val="00AF73F4"/>
    <w:rsid w:val="00AF7524"/>
    <w:rsid w:val="00B00389"/>
    <w:rsid w:val="00B0199E"/>
    <w:rsid w:val="00B0252F"/>
    <w:rsid w:val="00B05055"/>
    <w:rsid w:val="00B05442"/>
    <w:rsid w:val="00B05B93"/>
    <w:rsid w:val="00B07B7A"/>
    <w:rsid w:val="00B1088C"/>
    <w:rsid w:val="00B10ED0"/>
    <w:rsid w:val="00B11CC7"/>
    <w:rsid w:val="00B124CC"/>
    <w:rsid w:val="00B12AF9"/>
    <w:rsid w:val="00B13342"/>
    <w:rsid w:val="00B13E84"/>
    <w:rsid w:val="00B14559"/>
    <w:rsid w:val="00B14905"/>
    <w:rsid w:val="00B20514"/>
    <w:rsid w:val="00B20812"/>
    <w:rsid w:val="00B20A26"/>
    <w:rsid w:val="00B210E0"/>
    <w:rsid w:val="00B21616"/>
    <w:rsid w:val="00B21837"/>
    <w:rsid w:val="00B21C18"/>
    <w:rsid w:val="00B22209"/>
    <w:rsid w:val="00B2274B"/>
    <w:rsid w:val="00B23C67"/>
    <w:rsid w:val="00B24F6B"/>
    <w:rsid w:val="00B26000"/>
    <w:rsid w:val="00B30908"/>
    <w:rsid w:val="00B30DF7"/>
    <w:rsid w:val="00B3149D"/>
    <w:rsid w:val="00B317CE"/>
    <w:rsid w:val="00B3197F"/>
    <w:rsid w:val="00B36AFE"/>
    <w:rsid w:val="00B411F9"/>
    <w:rsid w:val="00B422AC"/>
    <w:rsid w:val="00B42A26"/>
    <w:rsid w:val="00B43EA4"/>
    <w:rsid w:val="00B44CEA"/>
    <w:rsid w:val="00B46B26"/>
    <w:rsid w:val="00B46B35"/>
    <w:rsid w:val="00B471C7"/>
    <w:rsid w:val="00B47A5C"/>
    <w:rsid w:val="00B47E8E"/>
    <w:rsid w:val="00B51525"/>
    <w:rsid w:val="00B52C88"/>
    <w:rsid w:val="00B52D31"/>
    <w:rsid w:val="00B55B06"/>
    <w:rsid w:val="00B5607C"/>
    <w:rsid w:val="00B5631A"/>
    <w:rsid w:val="00B563F2"/>
    <w:rsid w:val="00B56826"/>
    <w:rsid w:val="00B601C7"/>
    <w:rsid w:val="00B6073D"/>
    <w:rsid w:val="00B62687"/>
    <w:rsid w:val="00B63191"/>
    <w:rsid w:val="00B6467D"/>
    <w:rsid w:val="00B7131D"/>
    <w:rsid w:val="00B7303A"/>
    <w:rsid w:val="00B7360C"/>
    <w:rsid w:val="00B73CB9"/>
    <w:rsid w:val="00B75AEB"/>
    <w:rsid w:val="00B765EE"/>
    <w:rsid w:val="00B76ED5"/>
    <w:rsid w:val="00B770FF"/>
    <w:rsid w:val="00B82EF9"/>
    <w:rsid w:val="00B85F47"/>
    <w:rsid w:val="00B86319"/>
    <w:rsid w:val="00B866CB"/>
    <w:rsid w:val="00B87927"/>
    <w:rsid w:val="00B908BF"/>
    <w:rsid w:val="00B91331"/>
    <w:rsid w:val="00B923AA"/>
    <w:rsid w:val="00B92619"/>
    <w:rsid w:val="00B933C6"/>
    <w:rsid w:val="00B93E5F"/>
    <w:rsid w:val="00B93E64"/>
    <w:rsid w:val="00B94840"/>
    <w:rsid w:val="00B94EB8"/>
    <w:rsid w:val="00B96C44"/>
    <w:rsid w:val="00B97892"/>
    <w:rsid w:val="00BA039A"/>
    <w:rsid w:val="00BA13DA"/>
    <w:rsid w:val="00BA50CB"/>
    <w:rsid w:val="00BA525E"/>
    <w:rsid w:val="00BA5AC9"/>
    <w:rsid w:val="00BA67D9"/>
    <w:rsid w:val="00BB0011"/>
    <w:rsid w:val="00BB0C51"/>
    <w:rsid w:val="00BB15AF"/>
    <w:rsid w:val="00BB34D6"/>
    <w:rsid w:val="00BB3554"/>
    <w:rsid w:val="00BB3646"/>
    <w:rsid w:val="00BB37CE"/>
    <w:rsid w:val="00BB4528"/>
    <w:rsid w:val="00BB630E"/>
    <w:rsid w:val="00BB6B1E"/>
    <w:rsid w:val="00BB791A"/>
    <w:rsid w:val="00BC06A3"/>
    <w:rsid w:val="00BC4F0D"/>
    <w:rsid w:val="00BC6A88"/>
    <w:rsid w:val="00BC702D"/>
    <w:rsid w:val="00BD00EA"/>
    <w:rsid w:val="00BD193B"/>
    <w:rsid w:val="00BD386F"/>
    <w:rsid w:val="00BD390F"/>
    <w:rsid w:val="00BD3B1D"/>
    <w:rsid w:val="00BD40CE"/>
    <w:rsid w:val="00BD53A9"/>
    <w:rsid w:val="00BD5650"/>
    <w:rsid w:val="00BD6A76"/>
    <w:rsid w:val="00BD6ADB"/>
    <w:rsid w:val="00BE0941"/>
    <w:rsid w:val="00BE12C4"/>
    <w:rsid w:val="00BE156B"/>
    <w:rsid w:val="00BE1CD3"/>
    <w:rsid w:val="00BE1F39"/>
    <w:rsid w:val="00BE2294"/>
    <w:rsid w:val="00BE41C8"/>
    <w:rsid w:val="00BE43B7"/>
    <w:rsid w:val="00BE4572"/>
    <w:rsid w:val="00BE687C"/>
    <w:rsid w:val="00BE6909"/>
    <w:rsid w:val="00BE725A"/>
    <w:rsid w:val="00BF4D96"/>
    <w:rsid w:val="00BF5776"/>
    <w:rsid w:val="00BF7572"/>
    <w:rsid w:val="00BF75C4"/>
    <w:rsid w:val="00C0111B"/>
    <w:rsid w:val="00C01E4D"/>
    <w:rsid w:val="00C03AB6"/>
    <w:rsid w:val="00C04EDD"/>
    <w:rsid w:val="00C05C3A"/>
    <w:rsid w:val="00C078CC"/>
    <w:rsid w:val="00C07B27"/>
    <w:rsid w:val="00C07C4A"/>
    <w:rsid w:val="00C10D87"/>
    <w:rsid w:val="00C11A40"/>
    <w:rsid w:val="00C130EC"/>
    <w:rsid w:val="00C13491"/>
    <w:rsid w:val="00C137A0"/>
    <w:rsid w:val="00C1650C"/>
    <w:rsid w:val="00C17354"/>
    <w:rsid w:val="00C17AD1"/>
    <w:rsid w:val="00C20E86"/>
    <w:rsid w:val="00C22456"/>
    <w:rsid w:val="00C2250F"/>
    <w:rsid w:val="00C230CB"/>
    <w:rsid w:val="00C23FF7"/>
    <w:rsid w:val="00C24728"/>
    <w:rsid w:val="00C24CC8"/>
    <w:rsid w:val="00C25DD8"/>
    <w:rsid w:val="00C2738C"/>
    <w:rsid w:val="00C277A0"/>
    <w:rsid w:val="00C277DD"/>
    <w:rsid w:val="00C27C8E"/>
    <w:rsid w:val="00C30297"/>
    <w:rsid w:val="00C304A1"/>
    <w:rsid w:val="00C31DB1"/>
    <w:rsid w:val="00C33741"/>
    <w:rsid w:val="00C33766"/>
    <w:rsid w:val="00C337A4"/>
    <w:rsid w:val="00C347C4"/>
    <w:rsid w:val="00C35159"/>
    <w:rsid w:val="00C35EF0"/>
    <w:rsid w:val="00C3618C"/>
    <w:rsid w:val="00C36AF4"/>
    <w:rsid w:val="00C36D80"/>
    <w:rsid w:val="00C36E97"/>
    <w:rsid w:val="00C377C3"/>
    <w:rsid w:val="00C407CC"/>
    <w:rsid w:val="00C408CB"/>
    <w:rsid w:val="00C41475"/>
    <w:rsid w:val="00C41DFA"/>
    <w:rsid w:val="00C42918"/>
    <w:rsid w:val="00C44AB1"/>
    <w:rsid w:val="00C450F7"/>
    <w:rsid w:val="00C46614"/>
    <w:rsid w:val="00C50246"/>
    <w:rsid w:val="00C505A1"/>
    <w:rsid w:val="00C5083A"/>
    <w:rsid w:val="00C5185E"/>
    <w:rsid w:val="00C51E21"/>
    <w:rsid w:val="00C53131"/>
    <w:rsid w:val="00C54E4E"/>
    <w:rsid w:val="00C54F2F"/>
    <w:rsid w:val="00C55984"/>
    <w:rsid w:val="00C56555"/>
    <w:rsid w:val="00C57718"/>
    <w:rsid w:val="00C601C1"/>
    <w:rsid w:val="00C62563"/>
    <w:rsid w:val="00C62B2E"/>
    <w:rsid w:val="00C62CB6"/>
    <w:rsid w:val="00C6314D"/>
    <w:rsid w:val="00C631CA"/>
    <w:rsid w:val="00C65801"/>
    <w:rsid w:val="00C663AB"/>
    <w:rsid w:val="00C6644D"/>
    <w:rsid w:val="00C702EF"/>
    <w:rsid w:val="00C74CAB"/>
    <w:rsid w:val="00C75C88"/>
    <w:rsid w:val="00C76B32"/>
    <w:rsid w:val="00C76F9C"/>
    <w:rsid w:val="00C7769C"/>
    <w:rsid w:val="00C81340"/>
    <w:rsid w:val="00C817E1"/>
    <w:rsid w:val="00C82B6A"/>
    <w:rsid w:val="00C83A36"/>
    <w:rsid w:val="00C84934"/>
    <w:rsid w:val="00C85314"/>
    <w:rsid w:val="00C871E1"/>
    <w:rsid w:val="00C877CF"/>
    <w:rsid w:val="00C87C09"/>
    <w:rsid w:val="00C91BDC"/>
    <w:rsid w:val="00C91E55"/>
    <w:rsid w:val="00C92C4D"/>
    <w:rsid w:val="00C936A1"/>
    <w:rsid w:val="00C9400A"/>
    <w:rsid w:val="00C941BD"/>
    <w:rsid w:val="00C95DFC"/>
    <w:rsid w:val="00C968F9"/>
    <w:rsid w:val="00C96BB0"/>
    <w:rsid w:val="00CA174A"/>
    <w:rsid w:val="00CA24DB"/>
    <w:rsid w:val="00CA396E"/>
    <w:rsid w:val="00CA46D6"/>
    <w:rsid w:val="00CA4BC0"/>
    <w:rsid w:val="00CA522A"/>
    <w:rsid w:val="00CA7901"/>
    <w:rsid w:val="00CB09E7"/>
    <w:rsid w:val="00CB0AC0"/>
    <w:rsid w:val="00CB1F82"/>
    <w:rsid w:val="00CB2842"/>
    <w:rsid w:val="00CB2A44"/>
    <w:rsid w:val="00CB31DD"/>
    <w:rsid w:val="00CB31E0"/>
    <w:rsid w:val="00CB36C1"/>
    <w:rsid w:val="00CB558A"/>
    <w:rsid w:val="00CB5B70"/>
    <w:rsid w:val="00CB64EE"/>
    <w:rsid w:val="00CB7631"/>
    <w:rsid w:val="00CC18B4"/>
    <w:rsid w:val="00CC2A66"/>
    <w:rsid w:val="00CC2EE4"/>
    <w:rsid w:val="00CC559D"/>
    <w:rsid w:val="00CC6B27"/>
    <w:rsid w:val="00CC73ED"/>
    <w:rsid w:val="00CD0D6D"/>
    <w:rsid w:val="00CD27EF"/>
    <w:rsid w:val="00CD3678"/>
    <w:rsid w:val="00CD49F8"/>
    <w:rsid w:val="00CD4E1F"/>
    <w:rsid w:val="00CD56F0"/>
    <w:rsid w:val="00CD654B"/>
    <w:rsid w:val="00CD6BD4"/>
    <w:rsid w:val="00CD72B1"/>
    <w:rsid w:val="00CD7639"/>
    <w:rsid w:val="00CE0978"/>
    <w:rsid w:val="00CE1F32"/>
    <w:rsid w:val="00CE223E"/>
    <w:rsid w:val="00CE3268"/>
    <w:rsid w:val="00CE5B0C"/>
    <w:rsid w:val="00CE5B1D"/>
    <w:rsid w:val="00CE5BC8"/>
    <w:rsid w:val="00CE5EB8"/>
    <w:rsid w:val="00CE6140"/>
    <w:rsid w:val="00CE75CB"/>
    <w:rsid w:val="00CF0296"/>
    <w:rsid w:val="00CF0A94"/>
    <w:rsid w:val="00CF0D0A"/>
    <w:rsid w:val="00CF24DE"/>
    <w:rsid w:val="00CF32CA"/>
    <w:rsid w:val="00CF3BDA"/>
    <w:rsid w:val="00CF49BC"/>
    <w:rsid w:val="00CF566C"/>
    <w:rsid w:val="00D012B4"/>
    <w:rsid w:val="00D01D59"/>
    <w:rsid w:val="00D024FA"/>
    <w:rsid w:val="00D0435B"/>
    <w:rsid w:val="00D05296"/>
    <w:rsid w:val="00D054AA"/>
    <w:rsid w:val="00D0631D"/>
    <w:rsid w:val="00D0775C"/>
    <w:rsid w:val="00D07946"/>
    <w:rsid w:val="00D07AC6"/>
    <w:rsid w:val="00D10E06"/>
    <w:rsid w:val="00D145F5"/>
    <w:rsid w:val="00D14821"/>
    <w:rsid w:val="00D15020"/>
    <w:rsid w:val="00D178F7"/>
    <w:rsid w:val="00D20EF2"/>
    <w:rsid w:val="00D23B5A"/>
    <w:rsid w:val="00D2409A"/>
    <w:rsid w:val="00D25B29"/>
    <w:rsid w:val="00D26983"/>
    <w:rsid w:val="00D26B9A"/>
    <w:rsid w:val="00D27221"/>
    <w:rsid w:val="00D27ABC"/>
    <w:rsid w:val="00D3017A"/>
    <w:rsid w:val="00D31C9F"/>
    <w:rsid w:val="00D33190"/>
    <w:rsid w:val="00D33E73"/>
    <w:rsid w:val="00D3431B"/>
    <w:rsid w:val="00D3470E"/>
    <w:rsid w:val="00D34865"/>
    <w:rsid w:val="00D34A60"/>
    <w:rsid w:val="00D34C3F"/>
    <w:rsid w:val="00D355F0"/>
    <w:rsid w:val="00D368FF"/>
    <w:rsid w:val="00D379FE"/>
    <w:rsid w:val="00D41E13"/>
    <w:rsid w:val="00D42FE1"/>
    <w:rsid w:val="00D430AB"/>
    <w:rsid w:val="00D4314A"/>
    <w:rsid w:val="00D44BC9"/>
    <w:rsid w:val="00D457F6"/>
    <w:rsid w:val="00D45AF8"/>
    <w:rsid w:val="00D4688A"/>
    <w:rsid w:val="00D47557"/>
    <w:rsid w:val="00D47DCB"/>
    <w:rsid w:val="00D50644"/>
    <w:rsid w:val="00D51C05"/>
    <w:rsid w:val="00D5372A"/>
    <w:rsid w:val="00D5438B"/>
    <w:rsid w:val="00D55767"/>
    <w:rsid w:val="00D55DA8"/>
    <w:rsid w:val="00D564C8"/>
    <w:rsid w:val="00D56E6D"/>
    <w:rsid w:val="00D60010"/>
    <w:rsid w:val="00D6509C"/>
    <w:rsid w:val="00D65A13"/>
    <w:rsid w:val="00D65AFA"/>
    <w:rsid w:val="00D668B3"/>
    <w:rsid w:val="00D67C41"/>
    <w:rsid w:val="00D718DC"/>
    <w:rsid w:val="00D73E7A"/>
    <w:rsid w:val="00D76C67"/>
    <w:rsid w:val="00D770E4"/>
    <w:rsid w:val="00D83B22"/>
    <w:rsid w:val="00D83BD9"/>
    <w:rsid w:val="00D84D7C"/>
    <w:rsid w:val="00D85577"/>
    <w:rsid w:val="00D85B41"/>
    <w:rsid w:val="00D85C50"/>
    <w:rsid w:val="00D85D3A"/>
    <w:rsid w:val="00D92056"/>
    <w:rsid w:val="00D920E7"/>
    <w:rsid w:val="00D92781"/>
    <w:rsid w:val="00D93A60"/>
    <w:rsid w:val="00D946F3"/>
    <w:rsid w:val="00D94947"/>
    <w:rsid w:val="00D95FB9"/>
    <w:rsid w:val="00DA0803"/>
    <w:rsid w:val="00DA0F13"/>
    <w:rsid w:val="00DA19A1"/>
    <w:rsid w:val="00DA36B7"/>
    <w:rsid w:val="00DA383C"/>
    <w:rsid w:val="00DA44F9"/>
    <w:rsid w:val="00DA686B"/>
    <w:rsid w:val="00DA7580"/>
    <w:rsid w:val="00DB0CAB"/>
    <w:rsid w:val="00DB34BB"/>
    <w:rsid w:val="00DB4207"/>
    <w:rsid w:val="00DB4C99"/>
    <w:rsid w:val="00DB77E1"/>
    <w:rsid w:val="00DB7D66"/>
    <w:rsid w:val="00DB7F09"/>
    <w:rsid w:val="00DC00E8"/>
    <w:rsid w:val="00DC02C8"/>
    <w:rsid w:val="00DC02D1"/>
    <w:rsid w:val="00DC13F5"/>
    <w:rsid w:val="00DC188B"/>
    <w:rsid w:val="00DC44AF"/>
    <w:rsid w:val="00DC489F"/>
    <w:rsid w:val="00DC53E1"/>
    <w:rsid w:val="00DC699E"/>
    <w:rsid w:val="00DC6E2E"/>
    <w:rsid w:val="00DC75EF"/>
    <w:rsid w:val="00DC78B6"/>
    <w:rsid w:val="00DC7DBA"/>
    <w:rsid w:val="00DD0220"/>
    <w:rsid w:val="00DD0540"/>
    <w:rsid w:val="00DD1A15"/>
    <w:rsid w:val="00DD2FFE"/>
    <w:rsid w:val="00DE0474"/>
    <w:rsid w:val="00DE065C"/>
    <w:rsid w:val="00DE0A7E"/>
    <w:rsid w:val="00DE0BD0"/>
    <w:rsid w:val="00DE0C70"/>
    <w:rsid w:val="00DE306F"/>
    <w:rsid w:val="00DE4713"/>
    <w:rsid w:val="00DE5509"/>
    <w:rsid w:val="00DE59B5"/>
    <w:rsid w:val="00DE6453"/>
    <w:rsid w:val="00DE716B"/>
    <w:rsid w:val="00DE7B7C"/>
    <w:rsid w:val="00DF1F7B"/>
    <w:rsid w:val="00DF225E"/>
    <w:rsid w:val="00DF2418"/>
    <w:rsid w:val="00DF3F37"/>
    <w:rsid w:val="00DF448F"/>
    <w:rsid w:val="00DF451C"/>
    <w:rsid w:val="00DF6749"/>
    <w:rsid w:val="00E006E3"/>
    <w:rsid w:val="00E01432"/>
    <w:rsid w:val="00E01581"/>
    <w:rsid w:val="00E01AA8"/>
    <w:rsid w:val="00E0228B"/>
    <w:rsid w:val="00E02497"/>
    <w:rsid w:val="00E024FC"/>
    <w:rsid w:val="00E040A1"/>
    <w:rsid w:val="00E05A6D"/>
    <w:rsid w:val="00E10544"/>
    <w:rsid w:val="00E10D39"/>
    <w:rsid w:val="00E10DDC"/>
    <w:rsid w:val="00E1136B"/>
    <w:rsid w:val="00E115AB"/>
    <w:rsid w:val="00E13616"/>
    <w:rsid w:val="00E137E0"/>
    <w:rsid w:val="00E13CD2"/>
    <w:rsid w:val="00E157DF"/>
    <w:rsid w:val="00E15AF5"/>
    <w:rsid w:val="00E20D5F"/>
    <w:rsid w:val="00E2127F"/>
    <w:rsid w:val="00E21DB1"/>
    <w:rsid w:val="00E222D3"/>
    <w:rsid w:val="00E22AB6"/>
    <w:rsid w:val="00E22B89"/>
    <w:rsid w:val="00E22D51"/>
    <w:rsid w:val="00E24B91"/>
    <w:rsid w:val="00E26686"/>
    <w:rsid w:val="00E26FFE"/>
    <w:rsid w:val="00E30330"/>
    <w:rsid w:val="00E30D3B"/>
    <w:rsid w:val="00E3157F"/>
    <w:rsid w:val="00E34760"/>
    <w:rsid w:val="00E35035"/>
    <w:rsid w:val="00E35AB1"/>
    <w:rsid w:val="00E35FA1"/>
    <w:rsid w:val="00E364D1"/>
    <w:rsid w:val="00E415DA"/>
    <w:rsid w:val="00E43982"/>
    <w:rsid w:val="00E43A09"/>
    <w:rsid w:val="00E43C5C"/>
    <w:rsid w:val="00E44CEB"/>
    <w:rsid w:val="00E45F0E"/>
    <w:rsid w:val="00E46168"/>
    <w:rsid w:val="00E505E2"/>
    <w:rsid w:val="00E50E7C"/>
    <w:rsid w:val="00E50ECE"/>
    <w:rsid w:val="00E5100A"/>
    <w:rsid w:val="00E51545"/>
    <w:rsid w:val="00E51A65"/>
    <w:rsid w:val="00E52AF3"/>
    <w:rsid w:val="00E52EFF"/>
    <w:rsid w:val="00E538F9"/>
    <w:rsid w:val="00E550BD"/>
    <w:rsid w:val="00E55326"/>
    <w:rsid w:val="00E55A88"/>
    <w:rsid w:val="00E60B45"/>
    <w:rsid w:val="00E61291"/>
    <w:rsid w:val="00E6168C"/>
    <w:rsid w:val="00E6218F"/>
    <w:rsid w:val="00E63425"/>
    <w:rsid w:val="00E6407C"/>
    <w:rsid w:val="00E649C4"/>
    <w:rsid w:val="00E66275"/>
    <w:rsid w:val="00E6645C"/>
    <w:rsid w:val="00E7029E"/>
    <w:rsid w:val="00E70496"/>
    <w:rsid w:val="00E70AAE"/>
    <w:rsid w:val="00E711D7"/>
    <w:rsid w:val="00E72532"/>
    <w:rsid w:val="00E73C9D"/>
    <w:rsid w:val="00E7446B"/>
    <w:rsid w:val="00E81D18"/>
    <w:rsid w:val="00E835A0"/>
    <w:rsid w:val="00E84B7B"/>
    <w:rsid w:val="00E84E44"/>
    <w:rsid w:val="00E865C0"/>
    <w:rsid w:val="00E87EE4"/>
    <w:rsid w:val="00E90049"/>
    <w:rsid w:val="00E902B0"/>
    <w:rsid w:val="00E902E8"/>
    <w:rsid w:val="00E91026"/>
    <w:rsid w:val="00E93079"/>
    <w:rsid w:val="00E968F6"/>
    <w:rsid w:val="00E96D10"/>
    <w:rsid w:val="00E97255"/>
    <w:rsid w:val="00E97D56"/>
    <w:rsid w:val="00EA07A3"/>
    <w:rsid w:val="00EA1696"/>
    <w:rsid w:val="00EA206D"/>
    <w:rsid w:val="00EA22BF"/>
    <w:rsid w:val="00EA4FF5"/>
    <w:rsid w:val="00EA5B49"/>
    <w:rsid w:val="00EA6434"/>
    <w:rsid w:val="00EA76C2"/>
    <w:rsid w:val="00EB030F"/>
    <w:rsid w:val="00EB0F3B"/>
    <w:rsid w:val="00EB438A"/>
    <w:rsid w:val="00EB48A2"/>
    <w:rsid w:val="00EB48DF"/>
    <w:rsid w:val="00EB513D"/>
    <w:rsid w:val="00EB6AC6"/>
    <w:rsid w:val="00EC00B1"/>
    <w:rsid w:val="00EC06E4"/>
    <w:rsid w:val="00EC1C43"/>
    <w:rsid w:val="00EC2798"/>
    <w:rsid w:val="00EC463D"/>
    <w:rsid w:val="00EC4688"/>
    <w:rsid w:val="00EC4C66"/>
    <w:rsid w:val="00EC610D"/>
    <w:rsid w:val="00EC6B16"/>
    <w:rsid w:val="00EC776B"/>
    <w:rsid w:val="00EC7C4D"/>
    <w:rsid w:val="00ED3FDF"/>
    <w:rsid w:val="00ED4B78"/>
    <w:rsid w:val="00ED4D59"/>
    <w:rsid w:val="00ED51D5"/>
    <w:rsid w:val="00ED71CD"/>
    <w:rsid w:val="00ED74BA"/>
    <w:rsid w:val="00ED7EFD"/>
    <w:rsid w:val="00EE0DE0"/>
    <w:rsid w:val="00EE145D"/>
    <w:rsid w:val="00EE1EA3"/>
    <w:rsid w:val="00EE2763"/>
    <w:rsid w:val="00EE52E9"/>
    <w:rsid w:val="00EE6110"/>
    <w:rsid w:val="00EE6619"/>
    <w:rsid w:val="00EE677F"/>
    <w:rsid w:val="00EE6CFA"/>
    <w:rsid w:val="00EF06AC"/>
    <w:rsid w:val="00EF0A15"/>
    <w:rsid w:val="00EF0EED"/>
    <w:rsid w:val="00EF1021"/>
    <w:rsid w:val="00EF1C6A"/>
    <w:rsid w:val="00EF1D71"/>
    <w:rsid w:val="00EF1F66"/>
    <w:rsid w:val="00EF2D94"/>
    <w:rsid w:val="00EF2FBF"/>
    <w:rsid w:val="00EF38D0"/>
    <w:rsid w:val="00EF59A3"/>
    <w:rsid w:val="00EF653E"/>
    <w:rsid w:val="00EF7206"/>
    <w:rsid w:val="00F00203"/>
    <w:rsid w:val="00F0082D"/>
    <w:rsid w:val="00F008BA"/>
    <w:rsid w:val="00F00F4C"/>
    <w:rsid w:val="00F0214D"/>
    <w:rsid w:val="00F02ED3"/>
    <w:rsid w:val="00F038AA"/>
    <w:rsid w:val="00F04340"/>
    <w:rsid w:val="00F04C79"/>
    <w:rsid w:val="00F06FB4"/>
    <w:rsid w:val="00F07C90"/>
    <w:rsid w:val="00F11124"/>
    <w:rsid w:val="00F11483"/>
    <w:rsid w:val="00F11A57"/>
    <w:rsid w:val="00F134C1"/>
    <w:rsid w:val="00F13996"/>
    <w:rsid w:val="00F20469"/>
    <w:rsid w:val="00F20FEF"/>
    <w:rsid w:val="00F210E8"/>
    <w:rsid w:val="00F221BF"/>
    <w:rsid w:val="00F228E6"/>
    <w:rsid w:val="00F245BA"/>
    <w:rsid w:val="00F25AD0"/>
    <w:rsid w:val="00F2658F"/>
    <w:rsid w:val="00F26790"/>
    <w:rsid w:val="00F26792"/>
    <w:rsid w:val="00F27561"/>
    <w:rsid w:val="00F276D1"/>
    <w:rsid w:val="00F27A67"/>
    <w:rsid w:val="00F27E60"/>
    <w:rsid w:val="00F304AA"/>
    <w:rsid w:val="00F31D3C"/>
    <w:rsid w:val="00F322CB"/>
    <w:rsid w:val="00F332FE"/>
    <w:rsid w:val="00F33476"/>
    <w:rsid w:val="00F33E38"/>
    <w:rsid w:val="00F35B43"/>
    <w:rsid w:val="00F363D2"/>
    <w:rsid w:val="00F40356"/>
    <w:rsid w:val="00F404B7"/>
    <w:rsid w:val="00F40625"/>
    <w:rsid w:val="00F408F8"/>
    <w:rsid w:val="00F418F0"/>
    <w:rsid w:val="00F42618"/>
    <w:rsid w:val="00F42836"/>
    <w:rsid w:val="00F447C7"/>
    <w:rsid w:val="00F44C39"/>
    <w:rsid w:val="00F45183"/>
    <w:rsid w:val="00F46F87"/>
    <w:rsid w:val="00F501C1"/>
    <w:rsid w:val="00F515F9"/>
    <w:rsid w:val="00F5248F"/>
    <w:rsid w:val="00F53215"/>
    <w:rsid w:val="00F53716"/>
    <w:rsid w:val="00F53A23"/>
    <w:rsid w:val="00F53AAF"/>
    <w:rsid w:val="00F54318"/>
    <w:rsid w:val="00F5440B"/>
    <w:rsid w:val="00F54F99"/>
    <w:rsid w:val="00F55E47"/>
    <w:rsid w:val="00F56802"/>
    <w:rsid w:val="00F56C77"/>
    <w:rsid w:val="00F578EE"/>
    <w:rsid w:val="00F60566"/>
    <w:rsid w:val="00F6123B"/>
    <w:rsid w:val="00F6159B"/>
    <w:rsid w:val="00F61C69"/>
    <w:rsid w:val="00F61D4C"/>
    <w:rsid w:val="00F624C0"/>
    <w:rsid w:val="00F62A32"/>
    <w:rsid w:val="00F640DA"/>
    <w:rsid w:val="00F64CFD"/>
    <w:rsid w:val="00F64EF1"/>
    <w:rsid w:val="00F65C8E"/>
    <w:rsid w:val="00F668DA"/>
    <w:rsid w:val="00F66B9F"/>
    <w:rsid w:val="00F707E0"/>
    <w:rsid w:val="00F70877"/>
    <w:rsid w:val="00F7155B"/>
    <w:rsid w:val="00F71A0E"/>
    <w:rsid w:val="00F72836"/>
    <w:rsid w:val="00F72E3C"/>
    <w:rsid w:val="00F72FE4"/>
    <w:rsid w:val="00F74F10"/>
    <w:rsid w:val="00F75B37"/>
    <w:rsid w:val="00F77A17"/>
    <w:rsid w:val="00F81C9C"/>
    <w:rsid w:val="00F833D1"/>
    <w:rsid w:val="00F83644"/>
    <w:rsid w:val="00F84355"/>
    <w:rsid w:val="00F84539"/>
    <w:rsid w:val="00F84FF3"/>
    <w:rsid w:val="00F852F1"/>
    <w:rsid w:val="00F86B1B"/>
    <w:rsid w:val="00F86C69"/>
    <w:rsid w:val="00F86F73"/>
    <w:rsid w:val="00F90AD0"/>
    <w:rsid w:val="00F92279"/>
    <w:rsid w:val="00F92ABA"/>
    <w:rsid w:val="00F93BD9"/>
    <w:rsid w:val="00F93C50"/>
    <w:rsid w:val="00F954C0"/>
    <w:rsid w:val="00F96929"/>
    <w:rsid w:val="00FA402D"/>
    <w:rsid w:val="00FA52E3"/>
    <w:rsid w:val="00FA5D4F"/>
    <w:rsid w:val="00FA71BB"/>
    <w:rsid w:val="00FA7A1C"/>
    <w:rsid w:val="00FB262C"/>
    <w:rsid w:val="00FB4411"/>
    <w:rsid w:val="00FB4A38"/>
    <w:rsid w:val="00FB4B0D"/>
    <w:rsid w:val="00FB64AA"/>
    <w:rsid w:val="00FB6C70"/>
    <w:rsid w:val="00FB7573"/>
    <w:rsid w:val="00FC03F9"/>
    <w:rsid w:val="00FC0607"/>
    <w:rsid w:val="00FC3722"/>
    <w:rsid w:val="00FC4B3D"/>
    <w:rsid w:val="00FC6ADA"/>
    <w:rsid w:val="00FD20ED"/>
    <w:rsid w:val="00FE03FB"/>
    <w:rsid w:val="00FE0654"/>
    <w:rsid w:val="00FE0CDC"/>
    <w:rsid w:val="00FE16EF"/>
    <w:rsid w:val="00FE3096"/>
    <w:rsid w:val="00FE3274"/>
    <w:rsid w:val="00FE397A"/>
    <w:rsid w:val="00FE41B9"/>
    <w:rsid w:val="00FE46F4"/>
    <w:rsid w:val="00FE4A20"/>
    <w:rsid w:val="00FE5DD3"/>
    <w:rsid w:val="00FE64E6"/>
    <w:rsid w:val="00FE782A"/>
    <w:rsid w:val="00FE7EE8"/>
    <w:rsid w:val="00FF1176"/>
    <w:rsid w:val="00FF26CA"/>
    <w:rsid w:val="00FF26D1"/>
    <w:rsid w:val="00FF564A"/>
    <w:rsid w:val="00FF6163"/>
    <w:rsid w:val="00FF6D2F"/>
    <w:rsid w:val="00FF7E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BC707"/>
  <w15:docId w15:val="{F2134FB6-204C-4F4B-9E18-EAD66DB6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A52"/>
    <w:pPr>
      <w:spacing w:before="120" w:after="120" w:line="360" w:lineRule="auto"/>
    </w:pPr>
    <w:rPr>
      <w:rFonts w:ascii="Calibri" w:eastAsia="Times New Roman" w:hAnsi="Calibri" w:cs="Times New Roman"/>
      <w:szCs w:val="20"/>
      <w:lang w:eastAsia="en-AU"/>
    </w:rPr>
  </w:style>
  <w:style w:type="paragraph" w:styleId="Heading1">
    <w:name w:val="heading 1"/>
    <w:basedOn w:val="HeadingBase"/>
    <w:next w:val="Normal"/>
    <w:link w:val="Heading1Char"/>
    <w:uiPriority w:val="1"/>
    <w:qFormat/>
    <w:rsid w:val="00354FBB"/>
    <w:pPr>
      <w:spacing w:before="480"/>
      <w:outlineLvl w:val="0"/>
    </w:pPr>
    <w:rPr>
      <w:bCs w:val="0"/>
      <w:color w:val="002C47" w:themeColor="accent1"/>
      <w:sz w:val="48"/>
    </w:rPr>
  </w:style>
  <w:style w:type="paragraph" w:styleId="Heading2">
    <w:name w:val="heading 2"/>
    <w:basedOn w:val="HeadingBase"/>
    <w:next w:val="Normal"/>
    <w:link w:val="Heading2Char"/>
    <w:uiPriority w:val="1"/>
    <w:qFormat/>
    <w:rsid w:val="000E0B74"/>
    <w:pPr>
      <w:spacing w:before="360"/>
      <w:outlineLvl w:val="1"/>
    </w:pPr>
    <w:rPr>
      <w:bCs w:val="0"/>
      <w:iCs/>
      <w:sz w:val="36"/>
      <w:szCs w:val="28"/>
    </w:rPr>
  </w:style>
  <w:style w:type="paragraph" w:styleId="Heading3">
    <w:name w:val="heading 3"/>
    <w:basedOn w:val="HeadingBase"/>
    <w:next w:val="Normal"/>
    <w:link w:val="Heading3Char"/>
    <w:uiPriority w:val="1"/>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uiPriority w:val="1"/>
    <w:qFormat/>
    <w:rsid w:val="00B42A26"/>
    <w:pPr>
      <w:spacing w:before="200"/>
      <w:outlineLvl w:val="3"/>
    </w:pPr>
    <w:rPr>
      <w:b/>
      <w:bCs w:val="0"/>
      <w:color w:val="3A6FAF" w:themeColor="accent2"/>
      <w:sz w:val="26"/>
      <w:szCs w:val="26"/>
    </w:rPr>
  </w:style>
  <w:style w:type="paragraph" w:styleId="Heading5">
    <w:name w:val="heading 5"/>
    <w:basedOn w:val="HeadingBase"/>
    <w:next w:val="Normal"/>
    <w:link w:val="Heading5Char"/>
    <w:uiPriority w:val="1"/>
    <w:qFormat/>
    <w:rsid w:val="003E4D87"/>
    <w:pPr>
      <w:outlineLvl w:val="4"/>
    </w:pPr>
    <w:rPr>
      <w:b/>
      <w:bCs w:val="0"/>
      <w:iCs/>
    </w:rPr>
  </w:style>
  <w:style w:type="paragraph" w:styleId="Heading6">
    <w:name w:val="heading 6"/>
    <w:basedOn w:val="HeadingBase"/>
    <w:next w:val="Normal"/>
    <w:link w:val="Heading6Char"/>
    <w:uiPriority w:val="1"/>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B42A26"/>
    <w:rPr>
      <w:rFonts w:ascii="Calibri" w:eastAsia="Times New Roman" w:hAnsi="Calibri" w:cs="Arial"/>
      <w:b/>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8"/>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b + line,b1,level 1"/>
    <w:basedOn w:val="Normal"/>
    <w:link w:val="BulletChar"/>
    <w:qFormat/>
    <w:rsid w:val="004720CA"/>
    <w:pPr>
      <w:numPr>
        <w:numId w:val="1"/>
      </w:numPr>
      <w:spacing w:before="0"/>
    </w:pPr>
  </w:style>
  <w:style w:type="paragraph" w:customStyle="1" w:styleId="ChartandTableFootnoteAlpha">
    <w:name w:val="Chart and Table Footnote Alpha"/>
    <w:rsid w:val="002D488F"/>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qFormat/>
    <w:rsid w:val="000E0B74"/>
    <w:pPr>
      <w:numPr>
        <w:ilvl w:val="1"/>
        <w:numId w:val="1"/>
      </w:numPr>
      <w:spacing w:before="0"/>
    </w:pPr>
  </w:style>
  <w:style w:type="paragraph" w:customStyle="1" w:styleId="DoubleDot">
    <w:name w:val="Double Dot"/>
    <w:basedOn w:val="Normal"/>
    <w:qFormat/>
    <w:rsid w:val="000E0B74"/>
    <w:pPr>
      <w:numPr>
        <w:ilvl w:val="2"/>
        <w:numId w:val="1"/>
      </w:numPr>
      <w:spacing w:before="0"/>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13"/>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13"/>
      </w:numPr>
      <w:spacing w:before="0"/>
    </w:pPr>
  </w:style>
  <w:style w:type="paragraph" w:customStyle="1" w:styleId="OutlineNumbered3">
    <w:name w:val="Outline Numbered 3"/>
    <w:basedOn w:val="Normal"/>
    <w:rsid w:val="000E0B74"/>
    <w:pPr>
      <w:numPr>
        <w:ilvl w:val="2"/>
        <w:numId w:val="13"/>
      </w:numPr>
      <w:spacing w:before="0"/>
    </w:pPr>
  </w:style>
  <w:style w:type="paragraph" w:customStyle="1" w:styleId="Romannumeral">
    <w:name w:val="Roman numeral"/>
    <w:basedOn w:val="Normal"/>
    <w:rsid w:val="00E35FA1"/>
    <w:pPr>
      <w:numPr>
        <w:numId w:val="8"/>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uiPriority w:val="5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qFormat/>
    <w:rsid w:val="000E0B74"/>
    <w:pPr>
      <w:numPr>
        <w:ilvl w:val="2"/>
        <w:numId w:val="7"/>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Normal"/>
    <w:next w:val="TableGraphic"/>
    <w:qFormat/>
    <w:rsid w:val="001B6D75"/>
    <w:pPr>
      <w:keepNext/>
    </w:pPr>
    <w:rPr>
      <w:b/>
      <w:i/>
      <w:sz w:val="20"/>
    </w:rPr>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rsid w:val="0060595B"/>
    <w:pPr>
      <w:spacing w:before="0" w:after="0"/>
    </w:pPr>
    <w:rPr>
      <w:sz w:val="20"/>
    </w:rPr>
  </w:style>
  <w:style w:type="character" w:customStyle="1" w:styleId="FootnoteTextChar">
    <w:name w:val="Footnote Text Char"/>
    <w:basedOn w:val="DefaultParagraphFont"/>
    <w:link w:val="FootnoteText"/>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customStyle="1" w:styleId="ChapterHeading">
    <w:name w:val="Chapter Heading"/>
    <w:basedOn w:val="Heading1"/>
    <w:link w:val="ChapterHeadingChar"/>
    <w:qFormat/>
    <w:rsid w:val="001661F3"/>
    <w:pPr>
      <w:keepLines/>
      <w:pBdr>
        <w:bottom w:val="single" w:sz="12" w:space="1" w:color="5F5F5F" w:themeColor="text2"/>
      </w:pBdr>
      <w:spacing w:before="240" w:after="240" w:line="276" w:lineRule="auto"/>
    </w:pPr>
    <w:rPr>
      <w:rFonts w:eastAsiaTheme="majorEastAsia" w:cstheme="majorBidi"/>
      <w:b/>
      <w:color w:val="5F5F5F" w:themeColor="text2"/>
      <w:szCs w:val="32"/>
    </w:rPr>
  </w:style>
  <w:style w:type="character" w:customStyle="1" w:styleId="ChapterHeadingChar">
    <w:name w:val="Chapter Heading Char"/>
    <w:basedOn w:val="Heading1Char"/>
    <w:link w:val="ChapterHeading"/>
    <w:rsid w:val="001661F3"/>
    <w:rPr>
      <w:rFonts w:ascii="Calibri" w:eastAsiaTheme="majorEastAsia" w:hAnsi="Calibri" w:cstheme="majorBidi"/>
      <w:b/>
      <w:color w:val="5F5F5F" w:themeColor="text2"/>
      <w:kern w:val="32"/>
      <w:sz w:val="48"/>
      <w:szCs w:val="32"/>
      <w:lang w:eastAsia="en-AU"/>
    </w:rPr>
  </w:style>
  <w:style w:type="paragraph" w:styleId="ListParagraph">
    <w:name w:val="List Paragraph"/>
    <w:aliases w:val="Recommendation,List Paragraph1,List Paragraph11,List Paragraph2,Figure_name,Bullet- First level,Listenabsatz1,Bullet point,List Paragraph Number,L,List Bullet 1,Body Bullets 1,Bullet Point,Bullet points,Bulleted Para,Content descriptions"/>
    <w:basedOn w:val="Normal"/>
    <w:link w:val="ListParagraphChar"/>
    <w:uiPriority w:val="34"/>
    <w:qFormat/>
    <w:rsid w:val="000D1B7D"/>
    <w:pPr>
      <w:ind w:left="720"/>
      <w:contextualSpacing/>
    </w:pPr>
  </w:style>
  <w:style w:type="character" w:styleId="CommentReference">
    <w:name w:val="annotation reference"/>
    <w:basedOn w:val="DefaultParagraphFont"/>
    <w:uiPriority w:val="99"/>
    <w:semiHidden/>
    <w:unhideWhenUsed/>
    <w:rsid w:val="00A9481A"/>
    <w:rPr>
      <w:sz w:val="16"/>
      <w:szCs w:val="16"/>
    </w:rPr>
  </w:style>
  <w:style w:type="paragraph" w:styleId="CommentText">
    <w:name w:val="annotation text"/>
    <w:basedOn w:val="Normal"/>
    <w:link w:val="CommentTextChar"/>
    <w:uiPriority w:val="99"/>
    <w:unhideWhenUsed/>
    <w:rsid w:val="00A9481A"/>
    <w:pPr>
      <w:spacing w:line="240" w:lineRule="auto"/>
    </w:pPr>
    <w:rPr>
      <w:sz w:val="20"/>
    </w:rPr>
  </w:style>
  <w:style w:type="character" w:customStyle="1" w:styleId="CommentTextChar">
    <w:name w:val="Comment Text Char"/>
    <w:basedOn w:val="DefaultParagraphFont"/>
    <w:link w:val="CommentText"/>
    <w:uiPriority w:val="99"/>
    <w:rsid w:val="00A9481A"/>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9481A"/>
    <w:rPr>
      <w:b/>
      <w:bCs/>
    </w:rPr>
  </w:style>
  <w:style w:type="character" w:customStyle="1" w:styleId="CommentSubjectChar">
    <w:name w:val="Comment Subject Char"/>
    <w:basedOn w:val="CommentTextChar"/>
    <w:link w:val="CommentSubject"/>
    <w:uiPriority w:val="99"/>
    <w:semiHidden/>
    <w:rsid w:val="00A9481A"/>
    <w:rPr>
      <w:rFonts w:ascii="Calibri" w:eastAsia="Times New Roman" w:hAnsi="Calibri" w:cs="Times New Roman"/>
      <w:b/>
      <w:bCs/>
      <w:sz w:val="20"/>
      <w:szCs w:val="20"/>
      <w:lang w:eastAsia="en-AU"/>
    </w:rPr>
  </w:style>
  <w:style w:type="character" w:customStyle="1" w:styleId="BulletChar">
    <w:name w:val="Bullet Char"/>
    <w:aliases w:val="Body Char,b Char,b + line Char,b1 Char,level 1 Char"/>
    <w:basedOn w:val="DefaultParagraphFont"/>
    <w:link w:val="Bullet"/>
    <w:rsid w:val="004720CA"/>
    <w:rPr>
      <w:rFonts w:ascii="Calibri" w:eastAsia="Times New Roman" w:hAnsi="Calibri" w:cs="Times New Roman"/>
      <w:szCs w:val="20"/>
      <w:lang w:eastAsia="en-AU"/>
    </w:rPr>
  </w:style>
  <w:style w:type="paragraph" w:customStyle="1" w:styleId="OutlineNumbered1-CH2">
    <w:name w:val="Outline Numbered 1 - CH2"/>
    <w:rsid w:val="00861987"/>
    <w:pPr>
      <w:numPr>
        <w:numId w:val="11"/>
      </w:numPr>
      <w:spacing w:after="240" w:line="280" w:lineRule="exact"/>
      <w:jc w:val="both"/>
    </w:pPr>
  </w:style>
  <w:style w:type="table" w:styleId="GridTable1Light-Accent6">
    <w:name w:val="Grid Table 1 Light Accent 6"/>
    <w:basedOn w:val="TableNormal"/>
    <w:uiPriority w:val="46"/>
    <w:rsid w:val="000B1904"/>
    <w:pPr>
      <w:spacing w:after="0" w:line="240" w:lineRule="auto"/>
    </w:pPr>
    <w:tblPr>
      <w:tblStyleRowBandSize w:val="1"/>
      <w:tblStyleColBandSize w:val="1"/>
      <w:tblBorders>
        <w:top w:val="single" w:sz="4" w:space="0" w:color="CEB5DB" w:themeColor="accent6" w:themeTint="66"/>
        <w:left w:val="single" w:sz="4" w:space="0" w:color="CEB5DB" w:themeColor="accent6" w:themeTint="66"/>
        <w:bottom w:val="single" w:sz="4" w:space="0" w:color="CEB5DB" w:themeColor="accent6" w:themeTint="66"/>
        <w:right w:val="single" w:sz="4" w:space="0" w:color="CEB5DB" w:themeColor="accent6" w:themeTint="66"/>
        <w:insideH w:val="single" w:sz="4" w:space="0" w:color="CEB5DB" w:themeColor="accent6" w:themeTint="66"/>
        <w:insideV w:val="single" w:sz="4" w:space="0" w:color="CEB5DB" w:themeColor="accent6" w:themeTint="66"/>
      </w:tblBorders>
    </w:tblPr>
    <w:tblStylePr w:type="firstRow">
      <w:rPr>
        <w:b/>
        <w:bCs/>
      </w:rPr>
      <w:tblPr/>
      <w:tcPr>
        <w:tcBorders>
          <w:bottom w:val="single" w:sz="12" w:space="0" w:color="B690C9" w:themeColor="accent6" w:themeTint="99"/>
        </w:tcBorders>
      </w:tcPr>
    </w:tblStylePr>
    <w:tblStylePr w:type="lastRow">
      <w:rPr>
        <w:b/>
        <w:bCs/>
      </w:rPr>
      <w:tblPr/>
      <w:tcPr>
        <w:tcBorders>
          <w:top w:val="double" w:sz="2" w:space="0" w:color="B690C9"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734F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DA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4D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4D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4D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4D9E" w:themeFill="accent6"/>
      </w:tcPr>
    </w:tblStylePr>
    <w:tblStylePr w:type="band1Vert">
      <w:tblPr/>
      <w:tcPr>
        <w:shd w:val="clear" w:color="auto" w:fill="CEB5DB" w:themeFill="accent6" w:themeFillTint="66"/>
      </w:tcPr>
    </w:tblStylePr>
    <w:tblStylePr w:type="band1Horz">
      <w:tblPr/>
      <w:tcPr>
        <w:shd w:val="clear" w:color="auto" w:fill="CEB5DB" w:themeFill="accent6" w:themeFillTint="66"/>
      </w:tcPr>
    </w:tblStylePr>
  </w:style>
  <w:style w:type="table" w:styleId="GridTable5Dark-Accent2">
    <w:name w:val="Grid Table 5 Dark Accent 2"/>
    <w:basedOn w:val="TableNormal"/>
    <w:uiPriority w:val="50"/>
    <w:rsid w:val="00734F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1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6F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6F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6F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6FAF" w:themeFill="accent2"/>
      </w:tcPr>
    </w:tblStylePr>
    <w:tblStylePr w:type="band1Vert">
      <w:tblPr/>
      <w:tcPr>
        <w:shd w:val="clear" w:color="auto" w:fill="ABC4E3" w:themeFill="accent2" w:themeFillTint="66"/>
      </w:tcPr>
    </w:tblStylePr>
    <w:tblStylePr w:type="band1Horz">
      <w:tblPr/>
      <w:tcPr>
        <w:shd w:val="clear" w:color="auto" w:fill="ABC4E3" w:themeFill="accent2" w:themeFillTint="66"/>
      </w:tcPr>
    </w:tblStylePr>
  </w:style>
  <w:style w:type="paragraph" w:customStyle="1" w:styleId="boxNumbering">
    <w:name w:val="boxNumbering"/>
    <w:basedOn w:val="Normal"/>
    <w:qFormat/>
    <w:rsid w:val="00142861"/>
    <w:pPr>
      <w:numPr>
        <w:numId w:val="14"/>
      </w:numPr>
      <w:tabs>
        <w:tab w:val="left" w:pos="425"/>
      </w:tabs>
      <w:spacing w:line="280" w:lineRule="exact"/>
      <w:jc w:val="both"/>
    </w:pPr>
    <w:rPr>
      <w:rFonts w:ascii="Arial" w:hAnsi="Arial" w:cs="Arial"/>
      <w:color w:val="000000"/>
      <w:sz w:val="20"/>
    </w:rPr>
  </w:style>
  <w:style w:type="paragraph" w:customStyle="1" w:styleId="Numbered">
    <w:name w:val="Numbered"/>
    <w:basedOn w:val="ListParagraph"/>
    <w:qFormat/>
    <w:rsid w:val="003F1537"/>
    <w:pPr>
      <w:spacing w:before="0" w:after="180" w:line="240" w:lineRule="auto"/>
      <w:ind w:left="0"/>
      <w:contextualSpacing w:val="0"/>
    </w:pPr>
    <w:rPr>
      <w:rFonts w:asciiTheme="minorHAnsi" w:eastAsiaTheme="minorHAnsi" w:hAnsiTheme="minorHAnsi" w:cstheme="minorBidi"/>
      <w:color w:val="000000" w:themeColor="text1"/>
      <w:sz w:val="24"/>
      <w:szCs w:val="22"/>
      <w:lang w:eastAsia="en-US"/>
    </w:rPr>
  </w:style>
  <w:style w:type="paragraph" w:customStyle="1" w:styleId="Default">
    <w:name w:val="Default"/>
    <w:rsid w:val="009F5D77"/>
    <w:pPr>
      <w:autoSpaceDE w:val="0"/>
      <w:autoSpaceDN w:val="0"/>
      <w:adjustRightInd w:val="0"/>
      <w:spacing w:after="0" w:line="240" w:lineRule="auto"/>
    </w:pPr>
    <w:rPr>
      <w:rFonts w:ascii="Verdana" w:hAnsi="Verdana" w:cs="Verdana"/>
      <w:color w:val="000000"/>
      <w:sz w:val="24"/>
      <w:szCs w:val="24"/>
    </w:rPr>
  </w:style>
  <w:style w:type="character" w:styleId="FollowedHyperlink">
    <w:name w:val="FollowedHyperlink"/>
    <w:basedOn w:val="DefaultParagraphFont"/>
    <w:uiPriority w:val="99"/>
    <w:semiHidden/>
    <w:unhideWhenUsed/>
    <w:rsid w:val="00B43EA4"/>
    <w:rPr>
      <w:color w:val="E61E26" w:themeColor="followedHyperlink"/>
      <w:u w:val="single"/>
    </w:rPr>
  </w:style>
  <w:style w:type="table" w:styleId="GridTable6Colorful-Accent6">
    <w:name w:val="Grid Table 6 Colorful Accent 6"/>
    <w:basedOn w:val="TableNormal"/>
    <w:uiPriority w:val="51"/>
    <w:rsid w:val="008F676B"/>
    <w:pPr>
      <w:spacing w:after="0" w:line="240" w:lineRule="auto"/>
    </w:pPr>
    <w:rPr>
      <w:color w:val="623976" w:themeColor="accent6" w:themeShade="BF"/>
    </w:rPr>
    <w:tblPr>
      <w:tblStyleRowBandSize w:val="1"/>
      <w:tblStyleColBandSize w:val="1"/>
      <w:tblBorders>
        <w:top w:val="single" w:sz="4" w:space="0" w:color="B690C9" w:themeColor="accent6" w:themeTint="99"/>
        <w:left w:val="single" w:sz="4" w:space="0" w:color="B690C9" w:themeColor="accent6" w:themeTint="99"/>
        <w:bottom w:val="single" w:sz="4" w:space="0" w:color="B690C9" w:themeColor="accent6" w:themeTint="99"/>
        <w:right w:val="single" w:sz="4" w:space="0" w:color="B690C9" w:themeColor="accent6" w:themeTint="99"/>
        <w:insideH w:val="single" w:sz="4" w:space="0" w:color="B690C9" w:themeColor="accent6" w:themeTint="99"/>
        <w:insideV w:val="single" w:sz="4" w:space="0" w:color="B690C9" w:themeColor="accent6" w:themeTint="99"/>
      </w:tblBorders>
    </w:tblPr>
    <w:tblStylePr w:type="firstRow">
      <w:rPr>
        <w:b/>
        <w:bCs/>
      </w:rPr>
      <w:tblPr/>
      <w:tcPr>
        <w:tcBorders>
          <w:bottom w:val="single" w:sz="12" w:space="0" w:color="B690C9" w:themeColor="accent6" w:themeTint="99"/>
        </w:tcBorders>
      </w:tcPr>
    </w:tblStylePr>
    <w:tblStylePr w:type="lastRow">
      <w:rPr>
        <w:b/>
        <w:bCs/>
      </w:rPr>
      <w:tblPr/>
      <w:tcPr>
        <w:tcBorders>
          <w:top w:val="double" w:sz="4" w:space="0" w:color="B690C9" w:themeColor="accent6" w:themeTint="99"/>
        </w:tcBorders>
      </w:tcPr>
    </w:tblStylePr>
    <w:tblStylePr w:type="firstCol">
      <w:rPr>
        <w:b/>
        <w:bCs/>
      </w:rPr>
    </w:tblStylePr>
    <w:tblStylePr w:type="lastCol">
      <w:rPr>
        <w:b/>
        <w:bCs/>
      </w:rPr>
    </w:tblStylePr>
    <w:tblStylePr w:type="band1Vert">
      <w:tblPr/>
      <w:tcPr>
        <w:shd w:val="clear" w:color="auto" w:fill="E6DAED" w:themeFill="accent6" w:themeFillTint="33"/>
      </w:tcPr>
    </w:tblStylePr>
    <w:tblStylePr w:type="band1Horz">
      <w:tblPr/>
      <w:tcPr>
        <w:shd w:val="clear" w:color="auto" w:fill="E6DAED" w:themeFill="accent6" w:themeFillTint="33"/>
      </w:tcPr>
    </w:tblStylePr>
  </w:style>
  <w:style w:type="table" w:customStyle="1" w:styleId="TableGrid1">
    <w:name w:val="Table Grid1"/>
    <w:basedOn w:val="TableNormal"/>
    <w:next w:val="TableGrid"/>
    <w:uiPriority w:val="59"/>
    <w:rsid w:val="00105E5B"/>
    <w:pPr>
      <w:spacing w:after="240" w:line="260" w:lineRule="exact"/>
      <w:jc w:val="both"/>
    </w:pPr>
    <w:rPr>
      <w:rFonts w:ascii="Times New Roman" w:eastAsia="Times New Roman" w:hAnsi="Times New Roman" w:cs="Times New Roman"/>
      <w:sz w:val="20"/>
      <w:szCs w:val="20"/>
    </w:rPr>
    <w:tblPr>
      <w:tblInd w:w="0" w:type="nil"/>
    </w:tblPr>
    <w:tcPr>
      <w:shd w:val="clear" w:color="auto" w:fill="E6E6E6"/>
    </w:tcPr>
  </w:style>
  <w:style w:type="paragraph" w:styleId="Revision">
    <w:name w:val="Revision"/>
    <w:hidden/>
    <w:uiPriority w:val="99"/>
    <w:semiHidden/>
    <w:rsid w:val="002A1E12"/>
    <w:pPr>
      <w:spacing w:after="0" w:line="240" w:lineRule="auto"/>
    </w:pPr>
    <w:rPr>
      <w:rFonts w:ascii="Calibri" w:eastAsia="Times New Roman" w:hAnsi="Calibri" w:cs="Times New Roman"/>
      <w:szCs w:val="20"/>
      <w:lang w:eastAsia="en-AU"/>
    </w:rPr>
  </w:style>
  <w:style w:type="table" w:styleId="GridTable4-Accent2">
    <w:name w:val="Grid Table 4 Accent 2"/>
    <w:basedOn w:val="TableNormal"/>
    <w:uiPriority w:val="49"/>
    <w:rsid w:val="00F62A32"/>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insideV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insideV w:val="nil"/>
        </w:tcBorders>
        <w:shd w:val="clear" w:color="auto" w:fill="3A6FAF" w:themeFill="accent2"/>
      </w:tcPr>
    </w:tblStylePr>
    <w:tblStylePr w:type="lastRow">
      <w:rPr>
        <w:b/>
        <w:bCs/>
      </w:rPr>
      <w:tblPr/>
      <w:tcPr>
        <w:tcBorders>
          <w:top w:val="double" w:sz="4" w:space="0" w:color="3A6FAF" w:themeColor="accent2"/>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table" w:styleId="GridTable4-Accent1">
    <w:name w:val="Grid Table 4 Accent 1"/>
    <w:basedOn w:val="TableNormal"/>
    <w:uiPriority w:val="49"/>
    <w:rsid w:val="00F62A32"/>
    <w:pPr>
      <w:spacing w:after="0" w:line="240" w:lineRule="auto"/>
    </w:pPr>
    <w:tblPr>
      <w:tblStyleRowBandSize w:val="1"/>
      <w:tblStyleColBandSize w:val="1"/>
      <w:tblBorders>
        <w:top w:val="single" w:sz="4" w:space="0" w:color="0098F6" w:themeColor="accent1" w:themeTint="99"/>
        <w:left w:val="single" w:sz="4" w:space="0" w:color="0098F6" w:themeColor="accent1" w:themeTint="99"/>
        <w:bottom w:val="single" w:sz="4" w:space="0" w:color="0098F6" w:themeColor="accent1" w:themeTint="99"/>
        <w:right w:val="single" w:sz="4" w:space="0" w:color="0098F6" w:themeColor="accent1" w:themeTint="99"/>
        <w:insideH w:val="single" w:sz="4" w:space="0" w:color="0098F6" w:themeColor="accent1" w:themeTint="99"/>
        <w:insideV w:val="single" w:sz="4" w:space="0" w:color="0098F6" w:themeColor="accent1" w:themeTint="99"/>
      </w:tblBorders>
    </w:tblPr>
    <w:tblStylePr w:type="firstRow">
      <w:rPr>
        <w:b/>
        <w:bCs/>
        <w:color w:val="FFFFFF" w:themeColor="background1"/>
      </w:rPr>
      <w:tbl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cBorders>
        <w:shd w:val="clear" w:color="auto" w:fill="002C47" w:themeFill="accent1"/>
      </w:tcPr>
    </w:tblStylePr>
    <w:tblStylePr w:type="lastRow">
      <w:rPr>
        <w:b/>
        <w:bCs/>
      </w:rPr>
      <w:tblPr/>
      <w:tcPr>
        <w:tcBorders>
          <w:top w:val="double" w:sz="4" w:space="0" w:color="002C47" w:themeColor="accent1"/>
        </w:tcBorders>
      </w:tcPr>
    </w:tblStylePr>
    <w:tblStylePr w:type="firstCol">
      <w:rPr>
        <w:b/>
        <w:bCs/>
      </w:rPr>
    </w:tblStylePr>
    <w:tblStylePr w:type="lastCol">
      <w:rPr>
        <w:b/>
        <w:bCs/>
      </w:rPr>
    </w:tblStylePr>
    <w:tblStylePr w:type="band1Vert">
      <w:tblPr/>
      <w:tcPr>
        <w:shd w:val="clear" w:color="auto" w:fill="A7DDFF" w:themeFill="accent1" w:themeFillTint="33"/>
      </w:tcPr>
    </w:tblStylePr>
    <w:tblStylePr w:type="band1Horz">
      <w:tblPr/>
      <w:tcPr>
        <w:shd w:val="clear" w:color="auto" w:fill="A7DDFF" w:themeFill="accent1" w:themeFillTint="33"/>
      </w:tcPr>
    </w:tblStylePr>
  </w:style>
  <w:style w:type="table" w:styleId="ListTable3-Accent2">
    <w:name w:val="List Table 3 Accent 2"/>
    <w:basedOn w:val="TableNormal"/>
    <w:uiPriority w:val="48"/>
    <w:rsid w:val="00F62A32"/>
    <w:pPr>
      <w:spacing w:after="0" w:line="240" w:lineRule="auto"/>
    </w:pPr>
    <w:tblPr>
      <w:tblStyleRowBandSize w:val="1"/>
      <w:tblStyleColBandSize w:val="1"/>
      <w:tblBorders>
        <w:top w:val="single" w:sz="4" w:space="0" w:color="3A6FAF" w:themeColor="accent2"/>
        <w:left w:val="single" w:sz="4" w:space="0" w:color="3A6FAF" w:themeColor="accent2"/>
        <w:bottom w:val="single" w:sz="4" w:space="0" w:color="3A6FAF" w:themeColor="accent2"/>
        <w:right w:val="single" w:sz="4" w:space="0" w:color="3A6FAF" w:themeColor="accent2"/>
      </w:tblBorders>
    </w:tblPr>
    <w:tblStylePr w:type="firstRow">
      <w:rPr>
        <w:b/>
        <w:bCs/>
        <w:color w:val="FFFFFF" w:themeColor="background1"/>
      </w:rPr>
      <w:tblPr/>
      <w:tcPr>
        <w:shd w:val="clear" w:color="auto" w:fill="3A6FAF" w:themeFill="accent2"/>
      </w:tcPr>
    </w:tblStylePr>
    <w:tblStylePr w:type="lastRow">
      <w:rPr>
        <w:b/>
        <w:bCs/>
      </w:rPr>
      <w:tblPr/>
      <w:tcPr>
        <w:tcBorders>
          <w:top w:val="double" w:sz="4" w:space="0" w:color="3A6F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6FAF" w:themeColor="accent2"/>
          <w:right w:val="single" w:sz="4" w:space="0" w:color="3A6FAF" w:themeColor="accent2"/>
        </w:tcBorders>
      </w:tcPr>
    </w:tblStylePr>
    <w:tblStylePr w:type="band1Horz">
      <w:tblPr/>
      <w:tcPr>
        <w:tcBorders>
          <w:top w:val="single" w:sz="4" w:space="0" w:color="3A6FAF" w:themeColor="accent2"/>
          <w:bottom w:val="single" w:sz="4" w:space="0" w:color="3A6F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6FAF" w:themeColor="accent2"/>
          <w:left w:val="nil"/>
        </w:tcBorders>
      </w:tcPr>
    </w:tblStylePr>
    <w:tblStylePr w:type="swCell">
      <w:tblPr/>
      <w:tcPr>
        <w:tcBorders>
          <w:top w:val="double" w:sz="4" w:space="0" w:color="3A6FAF" w:themeColor="accent2"/>
          <w:right w:val="nil"/>
        </w:tcBorders>
      </w:tcPr>
    </w:tblStylePr>
  </w:style>
  <w:style w:type="table" w:styleId="GridTable7Colorful">
    <w:name w:val="Grid Table 7 Colorful"/>
    <w:basedOn w:val="TableNormal"/>
    <w:uiPriority w:val="52"/>
    <w:rsid w:val="0026119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5">
    <w:name w:val="List Table 2 Accent 5"/>
    <w:basedOn w:val="TableNormal"/>
    <w:uiPriority w:val="47"/>
    <w:rsid w:val="00261197"/>
    <w:pPr>
      <w:spacing w:after="0" w:line="240" w:lineRule="auto"/>
    </w:pPr>
    <w:tblPr>
      <w:tblStyleRowBandSize w:val="1"/>
      <w:tblStyleColBandSize w:val="1"/>
      <w:tblInd w:w="0" w:type="nil"/>
      <w:tblBorders>
        <w:top w:val="single" w:sz="4" w:space="0" w:color="22E9FF" w:themeColor="accent5" w:themeTint="99"/>
        <w:bottom w:val="single" w:sz="4" w:space="0" w:color="22E9FF" w:themeColor="accent5" w:themeTint="99"/>
        <w:insideH w:val="single" w:sz="4" w:space="0" w:color="22E9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7FF" w:themeFill="accent5" w:themeFillTint="33"/>
      </w:tcPr>
    </w:tblStylePr>
    <w:tblStylePr w:type="band1Horz">
      <w:tblPr/>
      <w:tcPr>
        <w:shd w:val="clear" w:color="auto" w:fill="B5F7FF" w:themeFill="accent5" w:themeFillTint="33"/>
      </w:tcPr>
    </w:tblStylePr>
  </w:style>
  <w:style w:type="table" w:styleId="ListTable1Light-Accent6">
    <w:name w:val="List Table 1 Light Accent 6"/>
    <w:basedOn w:val="TableNormal"/>
    <w:uiPriority w:val="46"/>
    <w:rsid w:val="00261197"/>
    <w:pPr>
      <w:spacing w:after="0" w:line="240" w:lineRule="auto"/>
    </w:pPr>
    <w:tblPr>
      <w:tblStyleRowBandSize w:val="1"/>
      <w:tblStyleColBandSize w:val="1"/>
    </w:tblPr>
    <w:tblStylePr w:type="firstRow">
      <w:rPr>
        <w:b/>
        <w:bCs/>
      </w:rPr>
      <w:tblPr/>
      <w:tcPr>
        <w:tcBorders>
          <w:bottom w:val="single" w:sz="4" w:space="0" w:color="B690C9" w:themeColor="accent6" w:themeTint="99"/>
        </w:tcBorders>
      </w:tcPr>
    </w:tblStylePr>
    <w:tblStylePr w:type="lastRow">
      <w:rPr>
        <w:b/>
        <w:bCs/>
      </w:rPr>
      <w:tblPr/>
      <w:tcPr>
        <w:tcBorders>
          <w:top w:val="single" w:sz="4" w:space="0" w:color="B690C9" w:themeColor="accent6" w:themeTint="99"/>
        </w:tcBorders>
      </w:tcPr>
    </w:tblStylePr>
    <w:tblStylePr w:type="firstCol">
      <w:rPr>
        <w:b/>
        <w:bCs/>
      </w:rPr>
    </w:tblStylePr>
    <w:tblStylePr w:type="lastCol">
      <w:rPr>
        <w:b/>
        <w:bCs/>
      </w:rPr>
    </w:tblStylePr>
    <w:tblStylePr w:type="band1Vert">
      <w:tblPr/>
      <w:tcPr>
        <w:shd w:val="clear" w:color="auto" w:fill="E6DAED" w:themeFill="accent6" w:themeFillTint="33"/>
      </w:tcPr>
    </w:tblStylePr>
    <w:tblStylePr w:type="band1Horz">
      <w:tblPr/>
      <w:tcPr>
        <w:shd w:val="clear" w:color="auto" w:fill="E6DAED" w:themeFill="accent6" w:themeFillTint="33"/>
      </w:tcPr>
    </w:tblStylePr>
  </w:style>
  <w:style w:type="character" w:styleId="Emphasis">
    <w:name w:val="Emphasis"/>
    <w:basedOn w:val="DefaultParagraphFont"/>
    <w:uiPriority w:val="20"/>
    <w:qFormat/>
    <w:rsid w:val="00AC73AC"/>
    <w:rPr>
      <w:i/>
      <w:iCs/>
    </w:rPr>
  </w:style>
  <w:style w:type="table" w:customStyle="1" w:styleId="Deloittetable">
    <w:name w:val="Deloitte table"/>
    <w:basedOn w:val="TableNormal"/>
    <w:uiPriority w:val="99"/>
    <w:rsid w:val="00AC73AC"/>
    <w:pPr>
      <w:spacing w:after="0" w:line="240" w:lineRule="atLeast"/>
    </w:pPr>
    <w:rPr>
      <w:rFonts w:ascii="Verdana" w:hAnsi="Verdana"/>
      <w:sz w:val="17"/>
      <w:szCs w:val="18"/>
      <w:lang w:val="en-GB"/>
    </w:rPr>
    <w:tblPr>
      <w:tblBorders>
        <w:top w:val="single" w:sz="4" w:space="0" w:color="008569"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008569" w:themeColor="accent3"/>
        </w:tcBorders>
      </w:tcPr>
    </w:tblStylePr>
  </w:style>
  <w:style w:type="paragraph" w:customStyle="1" w:styleId="TabletextLeft0">
    <w:name w:val="Table text Left"/>
    <w:basedOn w:val="Normal"/>
    <w:uiPriority w:val="5"/>
    <w:rsid w:val="00AC73AC"/>
    <w:pPr>
      <w:spacing w:before="0" w:after="0" w:line="200" w:lineRule="atLeast"/>
      <w:ind w:right="57"/>
    </w:pPr>
    <w:rPr>
      <w:rFonts w:ascii="Verdana" w:eastAsiaTheme="minorHAnsi" w:hAnsi="Verdana" w:cstheme="minorBidi"/>
      <w:sz w:val="17"/>
      <w:szCs w:val="18"/>
      <w:lang w:eastAsia="en-US"/>
    </w:rPr>
  </w:style>
  <w:style w:type="paragraph" w:styleId="ListBullet5">
    <w:name w:val="List Bullet 5"/>
    <w:basedOn w:val="Normal"/>
    <w:uiPriority w:val="99"/>
    <w:semiHidden/>
    <w:rsid w:val="00AC73AC"/>
    <w:pPr>
      <w:numPr>
        <w:numId w:val="35"/>
      </w:numPr>
      <w:spacing w:before="0" w:after="170" w:line="240" w:lineRule="atLeast"/>
      <w:contextualSpacing/>
    </w:pPr>
    <w:rPr>
      <w:rFonts w:ascii="Verdana" w:eastAsiaTheme="minorHAnsi" w:hAnsi="Verdana" w:cstheme="minorBidi"/>
      <w:sz w:val="18"/>
      <w:szCs w:val="18"/>
      <w:lang w:eastAsia="en-US"/>
    </w:rPr>
  </w:style>
  <w:style w:type="character" w:styleId="UnresolvedMention">
    <w:name w:val="Unresolved Mention"/>
    <w:basedOn w:val="DefaultParagraphFont"/>
    <w:uiPriority w:val="99"/>
    <w:semiHidden/>
    <w:unhideWhenUsed/>
    <w:rsid w:val="00DF6749"/>
    <w:rPr>
      <w:color w:val="605E5C"/>
      <w:shd w:val="clear" w:color="auto" w:fill="E1DFDD"/>
    </w:rPr>
  </w:style>
  <w:style w:type="paragraph" w:customStyle="1" w:styleId="xmsolistparagraph">
    <w:name w:val="x_msolistparagraph"/>
    <w:basedOn w:val="Normal"/>
    <w:rsid w:val="00861FA6"/>
    <w:pPr>
      <w:spacing w:before="0" w:after="0" w:line="240" w:lineRule="auto"/>
    </w:pPr>
    <w:rPr>
      <w:rFonts w:eastAsiaTheme="minorHAnsi" w:cs="Calibri"/>
      <w:szCs w:val="22"/>
    </w:rPr>
  </w:style>
  <w:style w:type="paragraph" w:styleId="Caption">
    <w:name w:val="caption"/>
    <w:basedOn w:val="Normal"/>
    <w:next w:val="Normal"/>
    <w:uiPriority w:val="3"/>
    <w:unhideWhenUsed/>
    <w:qFormat/>
    <w:rsid w:val="0091141A"/>
    <w:pPr>
      <w:spacing w:before="0" w:after="200" w:line="240" w:lineRule="auto"/>
    </w:pPr>
    <w:rPr>
      <w:i/>
      <w:iCs/>
      <w:color w:val="5F5F5F" w:themeColor="text2"/>
      <w:sz w:val="18"/>
      <w:szCs w:val="18"/>
    </w:rPr>
  </w:style>
  <w:style w:type="paragraph" w:styleId="NormalWeb">
    <w:name w:val="Normal (Web)"/>
    <w:basedOn w:val="Normal"/>
    <w:uiPriority w:val="99"/>
    <w:semiHidden/>
    <w:unhideWhenUsed/>
    <w:rsid w:val="00B46B35"/>
    <w:pPr>
      <w:spacing w:before="100" w:beforeAutospacing="1" w:after="100" w:afterAutospacing="1" w:line="240" w:lineRule="auto"/>
    </w:pPr>
    <w:rPr>
      <w:rFonts w:ascii="Times New Roman" w:hAnsi="Times New Roman"/>
      <w:sz w:val="24"/>
      <w:szCs w:val="24"/>
    </w:rPr>
  </w:style>
  <w:style w:type="paragraph" w:styleId="TableofFigures">
    <w:name w:val="table of figures"/>
    <w:basedOn w:val="Normal"/>
    <w:next w:val="Normal"/>
    <w:uiPriority w:val="99"/>
    <w:unhideWhenUsed/>
    <w:rsid w:val="00762A36"/>
    <w:pPr>
      <w:spacing w:after="0"/>
    </w:pPr>
  </w:style>
  <w:style w:type="table" w:styleId="GridTable4-Accent6">
    <w:name w:val="Grid Table 4 Accent 6"/>
    <w:basedOn w:val="TableNormal"/>
    <w:uiPriority w:val="49"/>
    <w:rsid w:val="005646A5"/>
    <w:pPr>
      <w:spacing w:after="0" w:line="240" w:lineRule="auto"/>
    </w:pPr>
    <w:tblPr>
      <w:tblStyleRowBandSize w:val="1"/>
      <w:tblStyleColBandSize w:val="1"/>
      <w:tblBorders>
        <w:top w:val="single" w:sz="4" w:space="0" w:color="B690C9" w:themeColor="accent6" w:themeTint="99"/>
        <w:left w:val="single" w:sz="4" w:space="0" w:color="B690C9" w:themeColor="accent6" w:themeTint="99"/>
        <w:bottom w:val="single" w:sz="4" w:space="0" w:color="B690C9" w:themeColor="accent6" w:themeTint="99"/>
        <w:right w:val="single" w:sz="4" w:space="0" w:color="B690C9" w:themeColor="accent6" w:themeTint="99"/>
        <w:insideH w:val="single" w:sz="4" w:space="0" w:color="B690C9" w:themeColor="accent6" w:themeTint="99"/>
        <w:insideV w:val="single" w:sz="4" w:space="0" w:color="B690C9" w:themeColor="accent6" w:themeTint="99"/>
      </w:tblBorders>
    </w:tblPr>
    <w:tblStylePr w:type="firstRow">
      <w:rPr>
        <w:b/>
        <w:bCs/>
        <w:color w:val="FFFFFF" w:themeColor="background1"/>
      </w:rPr>
      <w:tblPr/>
      <w:tcPr>
        <w:tcBorders>
          <w:top w:val="single" w:sz="4" w:space="0" w:color="844D9E" w:themeColor="accent6"/>
          <w:left w:val="single" w:sz="4" w:space="0" w:color="844D9E" w:themeColor="accent6"/>
          <w:bottom w:val="single" w:sz="4" w:space="0" w:color="844D9E" w:themeColor="accent6"/>
          <w:right w:val="single" w:sz="4" w:space="0" w:color="844D9E" w:themeColor="accent6"/>
          <w:insideH w:val="nil"/>
          <w:insideV w:val="nil"/>
        </w:tcBorders>
        <w:shd w:val="clear" w:color="auto" w:fill="844D9E" w:themeFill="accent6"/>
      </w:tcPr>
    </w:tblStylePr>
    <w:tblStylePr w:type="lastRow">
      <w:rPr>
        <w:b/>
        <w:bCs/>
      </w:rPr>
      <w:tblPr/>
      <w:tcPr>
        <w:tcBorders>
          <w:top w:val="double" w:sz="4" w:space="0" w:color="844D9E" w:themeColor="accent6"/>
        </w:tcBorders>
      </w:tcPr>
    </w:tblStylePr>
    <w:tblStylePr w:type="firstCol">
      <w:rPr>
        <w:b/>
        <w:bCs/>
      </w:rPr>
    </w:tblStylePr>
    <w:tblStylePr w:type="lastCol">
      <w:rPr>
        <w:b/>
        <w:bCs/>
      </w:rPr>
    </w:tblStylePr>
    <w:tblStylePr w:type="band1Vert">
      <w:tblPr/>
      <w:tcPr>
        <w:shd w:val="clear" w:color="auto" w:fill="E6DAED" w:themeFill="accent6" w:themeFillTint="33"/>
      </w:tcPr>
    </w:tblStylePr>
    <w:tblStylePr w:type="band1Horz">
      <w:tblPr/>
      <w:tcPr>
        <w:shd w:val="clear" w:color="auto" w:fill="E6DAED" w:themeFill="accent6" w:themeFillTint="33"/>
      </w:tcPr>
    </w:tblStylePr>
  </w:style>
  <w:style w:type="paragraph" w:styleId="BodyText">
    <w:name w:val="Body Text"/>
    <w:basedOn w:val="Normal"/>
    <w:link w:val="BodyTextChar"/>
    <w:semiHidden/>
    <w:unhideWhenUsed/>
    <w:qFormat/>
    <w:rsid w:val="00191DA4"/>
    <w:pPr>
      <w:spacing w:before="180" w:line="280" w:lineRule="atLeast"/>
    </w:pPr>
    <w:rPr>
      <w:rFonts w:ascii="Arial" w:eastAsia="Times" w:hAnsi="Arial" w:cs="Arial"/>
      <w:color w:val="FF0000"/>
      <w:sz w:val="24"/>
      <w:szCs w:val="24"/>
    </w:rPr>
  </w:style>
  <w:style w:type="character" w:customStyle="1" w:styleId="BodyTextChar">
    <w:name w:val="Body Text Char"/>
    <w:basedOn w:val="DefaultParagraphFont"/>
    <w:link w:val="BodyText"/>
    <w:semiHidden/>
    <w:rsid w:val="00191DA4"/>
    <w:rPr>
      <w:rFonts w:ascii="Arial" w:eastAsia="Times" w:hAnsi="Arial" w:cs="Arial"/>
      <w:color w:val="FF0000"/>
      <w:sz w:val="24"/>
      <w:szCs w:val="24"/>
      <w:lang w:eastAsia="en-AU"/>
    </w:rPr>
  </w:style>
  <w:style w:type="character" w:customStyle="1" w:styleId="ListBulletLevel1Char">
    <w:name w:val="List Bullet Level 1 Char"/>
    <w:link w:val="ListBulletLevel1"/>
    <w:locked/>
    <w:rsid w:val="00191DA4"/>
    <w:rPr>
      <w:rFonts w:ascii="Arial" w:eastAsia="Times New Roman" w:hAnsi="Arial" w:cs="Arial"/>
      <w:sz w:val="24"/>
      <w:szCs w:val="24"/>
      <w:lang w:eastAsia="en-AU"/>
    </w:rPr>
  </w:style>
  <w:style w:type="paragraph" w:customStyle="1" w:styleId="ListBulletLevel1">
    <w:name w:val="List Bullet Level 1"/>
    <w:basedOn w:val="BodyText"/>
    <w:link w:val="ListBulletLevel1Char"/>
    <w:qFormat/>
    <w:rsid w:val="00191DA4"/>
    <w:pPr>
      <w:numPr>
        <w:numId w:val="38"/>
      </w:numPr>
      <w:suppressAutoHyphens/>
      <w:spacing w:before="140" w:after="140" w:line="336" w:lineRule="auto"/>
    </w:pPr>
    <w:rPr>
      <w:rFonts w:eastAsia="Times New Roman"/>
      <w:color w:val="auto"/>
    </w:rPr>
  </w:style>
  <w:style w:type="paragraph" w:customStyle="1" w:styleId="ListBulletLevel2">
    <w:name w:val="List Bullet Level 2"/>
    <w:basedOn w:val="ListBulletLevel1"/>
    <w:qFormat/>
    <w:rsid w:val="00191DA4"/>
    <w:pPr>
      <w:numPr>
        <w:ilvl w:val="1"/>
      </w:numPr>
      <w:tabs>
        <w:tab w:val="clear" w:pos="1049"/>
        <w:tab w:val="num" w:pos="360"/>
        <w:tab w:val="left" w:pos="454"/>
        <w:tab w:val="num" w:pos="567"/>
      </w:tabs>
      <w:spacing w:before="0"/>
      <w:ind w:left="567" w:hanging="284"/>
    </w:pPr>
  </w:style>
  <w:style w:type="character" w:customStyle="1" w:styleId="ListNumberedLevel1Char">
    <w:name w:val="List Numbered Level 1 Char"/>
    <w:link w:val="ListNumberedLevel1"/>
    <w:locked/>
    <w:rsid w:val="00191DA4"/>
    <w:rPr>
      <w:rFonts w:ascii="Arial" w:eastAsia="Times" w:hAnsi="Arial" w:cs="Arial"/>
      <w:sz w:val="24"/>
      <w:szCs w:val="24"/>
      <w:lang w:eastAsia="en-AU"/>
    </w:rPr>
  </w:style>
  <w:style w:type="paragraph" w:customStyle="1" w:styleId="ListNumberedLevel1">
    <w:name w:val="List Numbered Level 1"/>
    <w:basedOn w:val="BodyText"/>
    <w:link w:val="ListNumberedLevel1Char"/>
    <w:qFormat/>
    <w:rsid w:val="00191DA4"/>
    <w:pPr>
      <w:numPr>
        <w:numId w:val="39"/>
      </w:numPr>
      <w:suppressAutoHyphens/>
      <w:spacing w:before="140" w:after="140" w:line="336" w:lineRule="auto"/>
    </w:pPr>
    <w:rPr>
      <w:color w:val="auto"/>
    </w:rPr>
  </w:style>
  <w:style w:type="paragraph" w:customStyle="1" w:styleId="ListNumberedLevel2">
    <w:name w:val="List Numbered Level 2"/>
    <w:basedOn w:val="ListNumberedLevel1"/>
    <w:qFormat/>
    <w:rsid w:val="00191DA4"/>
    <w:pPr>
      <w:numPr>
        <w:ilvl w:val="1"/>
      </w:numPr>
      <w:tabs>
        <w:tab w:val="clear" w:pos="907"/>
        <w:tab w:val="num" w:pos="360"/>
        <w:tab w:val="num" w:pos="567"/>
      </w:tabs>
      <w:spacing w:before="0"/>
      <w:ind w:left="567" w:hanging="284"/>
    </w:pPr>
  </w:style>
  <w:style w:type="paragraph" w:customStyle="1" w:styleId="BodyTextemphasised">
    <w:name w:val="Body Text emphasised"/>
    <w:basedOn w:val="BodyText"/>
    <w:qFormat/>
    <w:rsid w:val="00191DA4"/>
    <w:pPr>
      <w:suppressAutoHyphens/>
      <w:spacing w:before="0" w:after="0" w:line="336" w:lineRule="auto"/>
    </w:pPr>
    <w:rPr>
      <w:b/>
      <w:color w:val="303030"/>
    </w:rPr>
  </w:style>
  <w:style w:type="paragraph" w:customStyle="1" w:styleId="ListNumberedLevel3">
    <w:name w:val="List Numbered Level 3"/>
    <w:basedOn w:val="ListNumberedLevel2"/>
    <w:qFormat/>
    <w:rsid w:val="00191DA4"/>
    <w:pPr>
      <w:numPr>
        <w:ilvl w:val="2"/>
      </w:numPr>
      <w:tabs>
        <w:tab w:val="clear" w:pos="1361"/>
        <w:tab w:val="num" w:pos="360"/>
        <w:tab w:val="num" w:pos="567"/>
        <w:tab w:val="num" w:pos="850"/>
      </w:tabs>
      <w:ind w:left="850" w:hanging="283"/>
    </w:pPr>
  </w:style>
  <w:style w:type="character" w:customStyle="1" w:styleId="Bold">
    <w:name w:val="Bold"/>
    <w:qFormat/>
    <w:rsid w:val="00191DA4"/>
    <w:rPr>
      <w:b/>
      <w:bCs w:val="0"/>
    </w:rPr>
  </w:style>
  <w:style w:type="paragraph" w:styleId="ListBullet">
    <w:name w:val="List Bullet"/>
    <w:basedOn w:val="Normal"/>
    <w:uiPriority w:val="3"/>
    <w:unhideWhenUsed/>
    <w:qFormat/>
    <w:rsid w:val="000C2AF4"/>
    <w:pPr>
      <w:numPr>
        <w:numId w:val="40"/>
      </w:numPr>
      <w:contextualSpacing/>
    </w:pPr>
  </w:style>
  <w:style w:type="paragraph" w:styleId="HTMLAddress">
    <w:name w:val="HTML Address"/>
    <w:basedOn w:val="Normal"/>
    <w:link w:val="HTMLAddressChar"/>
    <w:uiPriority w:val="99"/>
    <w:semiHidden/>
    <w:rsid w:val="000C2AF4"/>
    <w:pPr>
      <w:spacing w:before="0" w:after="170" w:line="240" w:lineRule="auto"/>
    </w:pPr>
    <w:rPr>
      <w:rFonts w:ascii="Verdana" w:eastAsiaTheme="minorHAnsi" w:hAnsi="Verdana" w:cstheme="minorBidi"/>
      <w:i/>
      <w:iCs/>
      <w:sz w:val="18"/>
      <w:szCs w:val="18"/>
      <w:lang w:eastAsia="en-US"/>
    </w:rPr>
  </w:style>
  <w:style w:type="character" w:customStyle="1" w:styleId="HTMLAddressChar">
    <w:name w:val="HTML Address Char"/>
    <w:basedOn w:val="DefaultParagraphFont"/>
    <w:link w:val="HTMLAddress"/>
    <w:uiPriority w:val="99"/>
    <w:semiHidden/>
    <w:rsid w:val="000C2AF4"/>
    <w:rPr>
      <w:rFonts w:ascii="Verdana" w:hAnsi="Verdana"/>
      <w:i/>
      <w:iCs/>
      <w:sz w:val="18"/>
      <w:szCs w:val="18"/>
    </w:rPr>
  </w:style>
  <w:style w:type="character" w:customStyle="1" w:styleId="ListParagraphChar">
    <w:name w:val="List Paragraph Char"/>
    <w:aliases w:val="Recommendation Char,List Paragraph1 Char,List Paragraph11 Char,List Paragraph2 Char,Figure_name Char,Bullet- First level Char,Listenabsatz1 Char,Bullet point Char,List Paragraph Number Char,L Char,List Bullet 1 Char,Bullet Point Char"/>
    <w:basedOn w:val="DefaultParagraphFont"/>
    <w:link w:val="ListParagraph"/>
    <w:uiPriority w:val="34"/>
    <w:qFormat/>
    <w:locked/>
    <w:rsid w:val="000C2AF4"/>
    <w:rPr>
      <w:rFonts w:ascii="Calibri" w:eastAsia="Times New Roman" w:hAnsi="Calibri" w:cs="Times New Roman"/>
      <w:szCs w:val="20"/>
      <w:lang w:eastAsia="en-AU"/>
    </w:rPr>
  </w:style>
  <w:style w:type="paragraph" w:customStyle="1" w:styleId="CaptionTable">
    <w:name w:val="Caption_Table"/>
    <w:basedOn w:val="Normal"/>
    <w:next w:val="Normal"/>
    <w:uiPriority w:val="4"/>
    <w:rsid w:val="00F72E3C"/>
    <w:pPr>
      <w:keepNext/>
      <w:keepLines/>
      <w:spacing w:before="240" w:after="240" w:line="240" w:lineRule="atLeast"/>
    </w:pPr>
    <w:rPr>
      <w:rFonts w:ascii="Verdana" w:hAnsi="Verdana"/>
      <w:color w:val="844D9E" w:themeColor="accent6"/>
      <w:sz w:val="17"/>
      <w:lang w:eastAsia="en-US"/>
    </w:rPr>
  </w:style>
  <w:style w:type="paragraph" w:customStyle="1" w:styleId="CaptionFigure">
    <w:name w:val="Caption_Figure"/>
    <w:basedOn w:val="Normal"/>
    <w:next w:val="Normal"/>
    <w:uiPriority w:val="4"/>
    <w:rsid w:val="00F72E3C"/>
    <w:pPr>
      <w:keepNext/>
      <w:keepLines/>
      <w:spacing w:before="0" w:after="170" w:line="240" w:lineRule="atLeast"/>
    </w:pPr>
    <w:rPr>
      <w:rFonts w:ascii="Verdana" w:eastAsiaTheme="minorHAnsi" w:hAnsi="Verdana" w:cstheme="minorBidi"/>
      <w:bCs/>
      <w:color w:val="844D9E" w:themeColor="accent6"/>
      <w:sz w:val="17"/>
      <w:szCs w:val="22"/>
      <w:lang w:eastAsia="en-US"/>
    </w:rPr>
  </w:style>
  <w:style w:type="paragraph" w:customStyle="1" w:styleId="CaptionChart">
    <w:name w:val="Caption_Chart"/>
    <w:basedOn w:val="Normal"/>
    <w:next w:val="Normal"/>
    <w:uiPriority w:val="4"/>
    <w:rsid w:val="00F72E3C"/>
    <w:pPr>
      <w:keepNext/>
      <w:keepLines/>
      <w:spacing w:before="0" w:after="170" w:line="240" w:lineRule="atLeast"/>
      <w:ind w:left="2720" w:hanging="340"/>
    </w:pPr>
    <w:rPr>
      <w:rFonts w:ascii="Verdana" w:eastAsiaTheme="minorHAnsi" w:hAnsi="Verdana" w:cstheme="minorBidi"/>
      <w:color w:val="844D9E" w:themeColor="accent6"/>
      <w:sz w:val="17"/>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50480">
      <w:bodyDiv w:val="1"/>
      <w:marLeft w:val="0"/>
      <w:marRight w:val="0"/>
      <w:marTop w:val="0"/>
      <w:marBottom w:val="0"/>
      <w:divBdr>
        <w:top w:val="none" w:sz="0" w:space="0" w:color="auto"/>
        <w:left w:val="none" w:sz="0" w:space="0" w:color="auto"/>
        <w:bottom w:val="none" w:sz="0" w:space="0" w:color="auto"/>
        <w:right w:val="none" w:sz="0" w:space="0" w:color="auto"/>
      </w:divBdr>
    </w:div>
    <w:div w:id="27264341">
      <w:bodyDiv w:val="1"/>
      <w:marLeft w:val="0"/>
      <w:marRight w:val="0"/>
      <w:marTop w:val="0"/>
      <w:marBottom w:val="0"/>
      <w:divBdr>
        <w:top w:val="none" w:sz="0" w:space="0" w:color="auto"/>
        <w:left w:val="none" w:sz="0" w:space="0" w:color="auto"/>
        <w:bottom w:val="none" w:sz="0" w:space="0" w:color="auto"/>
        <w:right w:val="none" w:sz="0" w:space="0" w:color="auto"/>
      </w:divBdr>
    </w:div>
    <w:div w:id="30810244">
      <w:bodyDiv w:val="1"/>
      <w:marLeft w:val="0"/>
      <w:marRight w:val="0"/>
      <w:marTop w:val="0"/>
      <w:marBottom w:val="0"/>
      <w:divBdr>
        <w:top w:val="none" w:sz="0" w:space="0" w:color="auto"/>
        <w:left w:val="none" w:sz="0" w:space="0" w:color="auto"/>
        <w:bottom w:val="none" w:sz="0" w:space="0" w:color="auto"/>
        <w:right w:val="none" w:sz="0" w:space="0" w:color="auto"/>
      </w:divBdr>
    </w:div>
    <w:div w:id="189606883">
      <w:bodyDiv w:val="1"/>
      <w:marLeft w:val="0"/>
      <w:marRight w:val="0"/>
      <w:marTop w:val="0"/>
      <w:marBottom w:val="0"/>
      <w:divBdr>
        <w:top w:val="none" w:sz="0" w:space="0" w:color="auto"/>
        <w:left w:val="none" w:sz="0" w:space="0" w:color="auto"/>
        <w:bottom w:val="none" w:sz="0" w:space="0" w:color="auto"/>
        <w:right w:val="none" w:sz="0" w:space="0" w:color="auto"/>
      </w:divBdr>
    </w:div>
    <w:div w:id="189875596">
      <w:bodyDiv w:val="1"/>
      <w:marLeft w:val="0"/>
      <w:marRight w:val="0"/>
      <w:marTop w:val="0"/>
      <w:marBottom w:val="0"/>
      <w:divBdr>
        <w:top w:val="none" w:sz="0" w:space="0" w:color="auto"/>
        <w:left w:val="none" w:sz="0" w:space="0" w:color="auto"/>
        <w:bottom w:val="none" w:sz="0" w:space="0" w:color="auto"/>
        <w:right w:val="none" w:sz="0" w:space="0" w:color="auto"/>
      </w:divBdr>
    </w:div>
    <w:div w:id="251206061">
      <w:bodyDiv w:val="1"/>
      <w:marLeft w:val="0"/>
      <w:marRight w:val="0"/>
      <w:marTop w:val="0"/>
      <w:marBottom w:val="0"/>
      <w:divBdr>
        <w:top w:val="none" w:sz="0" w:space="0" w:color="auto"/>
        <w:left w:val="none" w:sz="0" w:space="0" w:color="auto"/>
        <w:bottom w:val="none" w:sz="0" w:space="0" w:color="auto"/>
        <w:right w:val="none" w:sz="0" w:space="0" w:color="auto"/>
      </w:divBdr>
      <w:divsChild>
        <w:div w:id="44918321">
          <w:marLeft w:val="0"/>
          <w:marRight w:val="0"/>
          <w:marTop w:val="0"/>
          <w:marBottom w:val="0"/>
          <w:divBdr>
            <w:top w:val="none" w:sz="0" w:space="0" w:color="auto"/>
            <w:left w:val="none" w:sz="0" w:space="0" w:color="auto"/>
            <w:bottom w:val="none" w:sz="0" w:space="0" w:color="auto"/>
            <w:right w:val="none" w:sz="0" w:space="0" w:color="auto"/>
          </w:divBdr>
          <w:divsChild>
            <w:div w:id="1266424325">
              <w:marLeft w:val="0"/>
              <w:marRight w:val="0"/>
              <w:marTop w:val="0"/>
              <w:marBottom w:val="0"/>
              <w:divBdr>
                <w:top w:val="none" w:sz="0" w:space="0" w:color="auto"/>
                <w:left w:val="none" w:sz="0" w:space="0" w:color="auto"/>
                <w:bottom w:val="none" w:sz="0" w:space="0" w:color="auto"/>
                <w:right w:val="none" w:sz="0" w:space="0" w:color="auto"/>
              </w:divBdr>
            </w:div>
            <w:div w:id="13986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1204">
      <w:bodyDiv w:val="1"/>
      <w:marLeft w:val="0"/>
      <w:marRight w:val="0"/>
      <w:marTop w:val="0"/>
      <w:marBottom w:val="0"/>
      <w:divBdr>
        <w:top w:val="none" w:sz="0" w:space="0" w:color="auto"/>
        <w:left w:val="none" w:sz="0" w:space="0" w:color="auto"/>
        <w:bottom w:val="none" w:sz="0" w:space="0" w:color="auto"/>
        <w:right w:val="none" w:sz="0" w:space="0" w:color="auto"/>
      </w:divBdr>
    </w:div>
    <w:div w:id="270170018">
      <w:bodyDiv w:val="1"/>
      <w:marLeft w:val="0"/>
      <w:marRight w:val="0"/>
      <w:marTop w:val="0"/>
      <w:marBottom w:val="0"/>
      <w:divBdr>
        <w:top w:val="none" w:sz="0" w:space="0" w:color="auto"/>
        <w:left w:val="none" w:sz="0" w:space="0" w:color="auto"/>
        <w:bottom w:val="none" w:sz="0" w:space="0" w:color="auto"/>
        <w:right w:val="none" w:sz="0" w:space="0" w:color="auto"/>
      </w:divBdr>
    </w:div>
    <w:div w:id="309529758">
      <w:bodyDiv w:val="1"/>
      <w:marLeft w:val="0"/>
      <w:marRight w:val="0"/>
      <w:marTop w:val="0"/>
      <w:marBottom w:val="0"/>
      <w:divBdr>
        <w:top w:val="none" w:sz="0" w:space="0" w:color="auto"/>
        <w:left w:val="none" w:sz="0" w:space="0" w:color="auto"/>
        <w:bottom w:val="none" w:sz="0" w:space="0" w:color="auto"/>
        <w:right w:val="none" w:sz="0" w:space="0" w:color="auto"/>
      </w:divBdr>
    </w:div>
    <w:div w:id="314918121">
      <w:bodyDiv w:val="1"/>
      <w:marLeft w:val="0"/>
      <w:marRight w:val="0"/>
      <w:marTop w:val="0"/>
      <w:marBottom w:val="0"/>
      <w:divBdr>
        <w:top w:val="none" w:sz="0" w:space="0" w:color="auto"/>
        <w:left w:val="none" w:sz="0" w:space="0" w:color="auto"/>
        <w:bottom w:val="none" w:sz="0" w:space="0" w:color="auto"/>
        <w:right w:val="none" w:sz="0" w:space="0" w:color="auto"/>
      </w:divBdr>
    </w:div>
    <w:div w:id="335033481">
      <w:bodyDiv w:val="1"/>
      <w:marLeft w:val="0"/>
      <w:marRight w:val="0"/>
      <w:marTop w:val="0"/>
      <w:marBottom w:val="0"/>
      <w:divBdr>
        <w:top w:val="none" w:sz="0" w:space="0" w:color="auto"/>
        <w:left w:val="none" w:sz="0" w:space="0" w:color="auto"/>
        <w:bottom w:val="none" w:sz="0" w:space="0" w:color="auto"/>
        <w:right w:val="none" w:sz="0" w:space="0" w:color="auto"/>
      </w:divBdr>
    </w:div>
    <w:div w:id="435291899">
      <w:bodyDiv w:val="1"/>
      <w:marLeft w:val="0"/>
      <w:marRight w:val="0"/>
      <w:marTop w:val="0"/>
      <w:marBottom w:val="0"/>
      <w:divBdr>
        <w:top w:val="none" w:sz="0" w:space="0" w:color="auto"/>
        <w:left w:val="none" w:sz="0" w:space="0" w:color="auto"/>
        <w:bottom w:val="none" w:sz="0" w:space="0" w:color="auto"/>
        <w:right w:val="none" w:sz="0" w:space="0" w:color="auto"/>
      </w:divBdr>
    </w:div>
    <w:div w:id="510610259">
      <w:bodyDiv w:val="1"/>
      <w:marLeft w:val="0"/>
      <w:marRight w:val="0"/>
      <w:marTop w:val="0"/>
      <w:marBottom w:val="0"/>
      <w:divBdr>
        <w:top w:val="none" w:sz="0" w:space="0" w:color="auto"/>
        <w:left w:val="none" w:sz="0" w:space="0" w:color="auto"/>
        <w:bottom w:val="none" w:sz="0" w:space="0" w:color="auto"/>
        <w:right w:val="none" w:sz="0" w:space="0" w:color="auto"/>
      </w:divBdr>
    </w:div>
    <w:div w:id="545525182">
      <w:bodyDiv w:val="1"/>
      <w:marLeft w:val="0"/>
      <w:marRight w:val="0"/>
      <w:marTop w:val="0"/>
      <w:marBottom w:val="0"/>
      <w:divBdr>
        <w:top w:val="none" w:sz="0" w:space="0" w:color="auto"/>
        <w:left w:val="none" w:sz="0" w:space="0" w:color="auto"/>
        <w:bottom w:val="none" w:sz="0" w:space="0" w:color="auto"/>
        <w:right w:val="none" w:sz="0" w:space="0" w:color="auto"/>
      </w:divBdr>
    </w:div>
    <w:div w:id="558050420">
      <w:bodyDiv w:val="1"/>
      <w:marLeft w:val="0"/>
      <w:marRight w:val="0"/>
      <w:marTop w:val="0"/>
      <w:marBottom w:val="0"/>
      <w:divBdr>
        <w:top w:val="none" w:sz="0" w:space="0" w:color="auto"/>
        <w:left w:val="none" w:sz="0" w:space="0" w:color="auto"/>
        <w:bottom w:val="none" w:sz="0" w:space="0" w:color="auto"/>
        <w:right w:val="none" w:sz="0" w:space="0" w:color="auto"/>
      </w:divBdr>
    </w:div>
    <w:div w:id="569779241">
      <w:bodyDiv w:val="1"/>
      <w:marLeft w:val="0"/>
      <w:marRight w:val="0"/>
      <w:marTop w:val="0"/>
      <w:marBottom w:val="0"/>
      <w:divBdr>
        <w:top w:val="none" w:sz="0" w:space="0" w:color="auto"/>
        <w:left w:val="none" w:sz="0" w:space="0" w:color="auto"/>
        <w:bottom w:val="none" w:sz="0" w:space="0" w:color="auto"/>
        <w:right w:val="none" w:sz="0" w:space="0" w:color="auto"/>
      </w:divBdr>
    </w:div>
    <w:div w:id="659239810">
      <w:bodyDiv w:val="1"/>
      <w:marLeft w:val="0"/>
      <w:marRight w:val="0"/>
      <w:marTop w:val="0"/>
      <w:marBottom w:val="0"/>
      <w:divBdr>
        <w:top w:val="none" w:sz="0" w:space="0" w:color="auto"/>
        <w:left w:val="none" w:sz="0" w:space="0" w:color="auto"/>
        <w:bottom w:val="none" w:sz="0" w:space="0" w:color="auto"/>
        <w:right w:val="none" w:sz="0" w:space="0" w:color="auto"/>
      </w:divBdr>
    </w:div>
    <w:div w:id="667829546">
      <w:bodyDiv w:val="1"/>
      <w:marLeft w:val="0"/>
      <w:marRight w:val="0"/>
      <w:marTop w:val="0"/>
      <w:marBottom w:val="0"/>
      <w:divBdr>
        <w:top w:val="none" w:sz="0" w:space="0" w:color="auto"/>
        <w:left w:val="none" w:sz="0" w:space="0" w:color="auto"/>
        <w:bottom w:val="none" w:sz="0" w:space="0" w:color="auto"/>
        <w:right w:val="none" w:sz="0" w:space="0" w:color="auto"/>
      </w:divBdr>
    </w:div>
    <w:div w:id="691608786">
      <w:bodyDiv w:val="1"/>
      <w:marLeft w:val="0"/>
      <w:marRight w:val="0"/>
      <w:marTop w:val="0"/>
      <w:marBottom w:val="0"/>
      <w:divBdr>
        <w:top w:val="none" w:sz="0" w:space="0" w:color="auto"/>
        <w:left w:val="none" w:sz="0" w:space="0" w:color="auto"/>
        <w:bottom w:val="none" w:sz="0" w:space="0" w:color="auto"/>
        <w:right w:val="none" w:sz="0" w:space="0" w:color="auto"/>
      </w:divBdr>
    </w:div>
    <w:div w:id="739980691">
      <w:bodyDiv w:val="1"/>
      <w:marLeft w:val="0"/>
      <w:marRight w:val="0"/>
      <w:marTop w:val="0"/>
      <w:marBottom w:val="0"/>
      <w:divBdr>
        <w:top w:val="none" w:sz="0" w:space="0" w:color="auto"/>
        <w:left w:val="none" w:sz="0" w:space="0" w:color="auto"/>
        <w:bottom w:val="none" w:sz="0" w:space="0" w:color="auto"/>
        <w:right w:val="none" w:sz="0" w:space="0" w:color="auto"/>
      </w:divBdr>
    </w:div>
    <w:div w:id="747582408">
      <w:bodyDiv w:val="1"/>
      <w:marLeft w:val="0"/>
      <w:marRight w:val="0"/>
      <w:marTop w:val="0"/>
      <w:marBottom w:val="0"/>
      <w:divBdr>
        <w:top w:val="none" w:sz="0" w:space="0" w:color="auto"/>
        <w:left w:val="none" w:sz="0" w:space="0" w:color="auto"/>
        <w:bottom w:val="none" w:sz="0" w:space="0" w:color="auto"/>
        <w:right w:val="none" w:sz="0" w:space="0" w:color="auto"/>
      </w:divBdr>
    </w:div>
    <w:div w:id="761412821">
      <w:bodyDiv w:val="1"/>
      <w:marLeft w:val="0"/>
      <w:marRight w:val="0"/>
      <w:marTop w:val="0"/>
      <w:marBottom w:val="0"/>
      <w:divBdr>
        <w:top w:val="none" w:sz="0" w:space="0" w:color="auto"/>
        <w:left w:val="none" w:sz="0" w:space="0" w:color="auto"/>
        <w:bottom w:val="none" w:sz="0" w:space="0" w:color="auto"/>
        <w:right w:val="none" w:sz="0" w:space="0" w:color="auto"/>
      </w:divBdr>
    </w:div>
    <w:div w:id="767193572">
      <w:bodyDiv w:val="1"/>
      <w:marLeft w:val="0"/>
      <w:marRight w:val="0"/>
      <w:marTop w:val="0"/>
      <w:marBottom w:val="0"/>
      <w:divBdr>
        <w:top w:val="none" w:sz="0" w:space="0" w:color="auto"/>
        <w:left w:val="none" w:sz="0" w:space="0" w:color="auto"/>
        <w:bottom w:val="none" w:sz="0" w:space="0" w:color="auto"/>
        <w:right w:val="none" w:sz="0" w:space="0" w:color="auto"/>
      </w:divBdr>
    </w:div>
    <w:div w:id="803621181">
      <w:bodyDiv w:val="1"/>
      <w:marLeft w:val="0"/>
      <w:marRight w:val="0"/>
      <w:marTop w:val="0"/>
      <w:marBottom w:val="0"/>
      <w:divBdr>
        <w:top w:val="none" w:sz="0" w:space="0" w:color="auto"/>
        <w:left w:val="none" w:sz="0" w:space="0" w:color="auto"/>
        <w:bottom w:val="none" w:sz="0" w:space="0" w:color="auto"/>
        <w:right w:val="none" w:sz="0" w:space="0" w:color="auto"/>
      </w:divBdr>
    </w:div>
    <w:div w:id="818838301">
      <w:bodyDiv w:val="1"/>
      <w:marLeft w:val="0"/>
      <w:marRight w:val="0"/>
      <w:marTop w:val="0"/>
      <w:marBottom w:val="0"/>
      <w:divBdr>
        <w:top w:val="none" w:sz="0" w:space="0" w:color="auto"/>
        <w:left w:val="none" w:sz="0" w:space="0" w:color="auto"/>
        <w:bottom w:val="none" w:sz="0" w:space="0" w:color="auto"/>
        <w:right w:val="none" w:sz="0" w:space="0" w:color="auto"/>
      </w:divBdr>
    </w:div>
    <w:div w:id="928151589">
      <w:bodyDiv w:val="1"/>
      <w:marLeft w:val="0"/>
      <w:marRight w:val="0"/>
      <w:marTop w:val="0"/>
      <w:marBottom w:val="0"/>
      <w:divBdr>
        <w:top w:val="none" w:sz="0" w:space="0" w:color="auto"/>
        <w:left w:val="none" w:sz="0" w:space="0" w:color="auto"/>
        <w:bottom w:val="none" w:sz="0" w:space="0" w:color="auto"/>
        <w:right w:val="none" w:sz="0" w:space="0" w:color="auto"/>
      </w:divBdr>
    </w:div>
    <w:div w:id="928201155">
      <w:bodyDiv w:val="1"/>
      <w:marLeft w:val="0"/>
      <w:marRight w:val="0"/>
      <w:marTop w:val="0"/>
      <w:marBottom w:val="0"/>
      <w:divBdr>
        <w:top w:val="none" w:sz="0" w:space="0" w:color="auto"/>
        <w:left w:val="none" w:sz="0" w:space="0" w:color="auto"/>
        <w:bottom w:val="none" w:sz="0" w:space="0" w:color="auto"/>
        <w:right w:val="none" w:sz="0" w:space="0" w:color="auto"/>
      </w:divBdr>
    </w:div>
    <w:div w:id="934944747">
      <w:bodyDiv w:val="1"/>
      <w:marLeft w:val="0"/>
      <w:marRight w:val="0"/>
      <w:marTop w:val="0"/>
      <w:marBottom w:val="0"/>
      <w:divBdr>
        <w:top w:val="none" w:sz="0" w:space="0" w:color="auto"/>
        <w:left w:val="none" w:sz="0" w:space="0" w:color="auto"/>
        <w:bottom w:val="none" w:sz="0" w:space="0" w:color="auto"/>
        <w:right w:val="none" w:sz="0" w:space="0" w:color="auto"/>
      </w:divBdr>
    </w:div>
    <w:div w:id="939608028">
      <w:bodyDiv w:val="1"/>
      <w:marLeft w:val="0"/>
      <w:marRight w:val="0"/>
      <w:marTop w:val="0"/>
      <w:marBottom w:val="0"/>
      <w:divBdr>
        <w:top w:val="none" w:sz="0" w:space="0" w:color="auto"/>
        <w:left w:val="none" w:sz="0" w:space="0" w:color="auto"/>
        <w:bottom w:val="none" w:sz="0" w:space="0" w:color="auto"/>
        <w:right w:val="none" w:sz="0" w:space="0" w:color="auto"/>
      </w:divBdr>
    </w:div>
    <w:div w:id="1008479102">
      <w:bodyDiv w:val="1"/>
      <w:marLeft w:val="0"/>
      <w:marRight w:val="0"/>
      <w:marTop w:val="0"/>
      <w:marBottom w:val="0"/>
      <w:divBdr>
        <w:top w:val="none" w:sz="0" w:space="0" w:color="auto"/>
        <w:left w:val="none" w:sz="0" w:space="0" w:color="auto"/>
        <w:bottom w:val="none" w:sz="0" w:space="0" w:color="auto"/>
        <w:right w:val="none" w:sz="0" w:space="0" w:color="auto"/>
      </w:divBdr>
    </w:div>
    <w:div w:id="1014113301">
      <w:bodyDiv w:val="1"/>
      <w:marLeft w:val="0"/>
      <w:marRight w:val="0"/>
      <w:marTop w:val="0"/>
      <w:marBottom w:val="0"/>
      <w:divBdr>
        <w:top w:val="none" w:sz="0" w:space="0" w:color="auto"/>
        <w:left w:val="none" w:sz="0" w:space="0" w:color="auto"/>
        <w:bottom w:val="none" w:sz="0" w:space="0" w:color="auto"/>
        <w:right w:val="none" w:sz="0" w:space="0" w:color="auto"/>
      </w:divBdr>
    </w:div>
    <w:div w:id="1040865301">
      <w:bodyDiv w:val="1"/>
      <w:marLeft w:val="0"/>
      <w:marRight w:val="0"/>
      <w:marTop w:val="0"/>
      <w:marBottom w:val="0"/>
      <w:divBdr>
        <w:top w:val="none" w:sz="0" w:space="0" w:color="auto"/>
        <w:left w:val="none" w:sz="0" w:space="0" w:color="auto"/>
        <w:bottom w:val="none" w:sz="0" w:space="0" w:color="auto"/>
        <w:right w:val="none" w:sz="0" w:space="0" w:color="auto"/>
      </w:divBdr>
    </w:div>
    <w:div w:id="1075054747">
      <w:bodyDiv w:val="1"/>
      <w:marLeft w:val="0"/>
      <w:marRight w:val="0"/>
      <w:marTop w:val="0"/>
      <w:marBottom w:val="0"/>
      <w:divBdr>
        <w:top w:val="none" w:sz="0" w:space="0" w:color="auto"/>
        <w:left w:val="none" w:sz="0" w:space="0" w:color="auto"/>
        <w:bottom w:val="none" w:sz="0" w:space="0" w:color="auto"/>
        <w:right w:val="none" w:sz="0" w:space="0" w:color="auto"/>
      </w:divBdr>
    </w:div>
    <w:div w:id="1086878577">
      <w:bodyDiv w:val="1"/>
      <w:marLeft w:val="0"/>
      <w:marRight w:val="0"/>
      <w:marTop w:val="0"/>
      <w:marBottom w:val="0"/>
      <w:divBdr>
        <w:top w:val="none" w:sz="0" w:space="0" w:color="auto"/>
        <w:left w:val="none" w:sz="0" w:space="0" w:color="auto"/>
        <w:bottom w:val="none" w:sz="0" w:space="0" w:color="auto"/>
        <w:right w:val="none" w:sz="0" w:space="0" w:color="auto"/>
      </w:divBdr>
    </w:div>
    <w:div w:id="1092165179">
      <w:bodyDiv w:val="1"/>
      <w:marLeft w:val="0"/>
      <w:marRight w:val="0"/>
      <w:marTop w:val="0"/>
      <w:marBottom w:val="0"/>
      <w:divBdr>
        <w:top w:val="none" w:sz="0" w:space="0" w:color="auto"/>
        <w:left w:val="none" w:sz="0" w:space="0" w:color="auto"/>
        <w:bottom w:val="none" w:sz="0" w:space="0" w:color="auto"/>
        <w:right w:val="none" w:sz="0" w:space="0" w:color="auto"/>
      </w:divBdr>
    </w:div>
    <w:div w:id="1171221145">
      <w:bodyDiv w:val="1"/>
      <w:marLeft w:val="0"/>
      <w:marRight w:val="0"/>
      <w:marTop w:val="0"/>
      <w:marBottom w:val="0"/>
      <w:divBdr>
        <w:top w:val="none" w:sz="0" w:space="0" w:color="auto"/>
        <w:left w:val="none" w:sz="0" w:space="0" w:color="auto"/>
        <w:bottom w:val="none" w:sz="0" w:space="0" w:color="auto"/>
        <w:right w:val="none" w:sz="0" w:space="0" w:color="auto"/>
      </w:divBdr>
    </w:div>
    <w:div w:id="1250506019">
      <w:bodyDiv w:val="1"/>
      <w:marLeft w:val="0"/>
      <w:marRight w:val="0"/>
      <w:marTop w:val="0"/>
      <w:marBottom w:val="0"/>
      <w:divBdr>
        <w:top w:val="none" w:sz="0" w:space="0" w:color="auto"/>
        <w:left w:val="none" w:sz="0" w:space="0" w:color="auto"/>
        <w:bottom w:val="none" w:sz="0" w:space="0" w:color="auto"/>
        <w:right w:val="none" w:sz="0" w:space="0" w:color="auto"/>
      </w:divBdr>
    </w:div>
    <w:div w:id="1358387913">
      <w:bodyDiv w:val="1"/>
      <w:marLeft w:val="0"/>
      <w:marRight w:val="0"/>
      <w:marTop w:val="0"/>
      <w:marBottom w:val="0"/>
      <w:divBdr>
        <w:top w:val="none" w:sz="0" w:space="0" w:color="auto"/>
        <w:left w:val="none" w:sz="0" w:space="0" w:color="auto"/>
        <w:bottom w:val="none" w:sz="0" w:space="0" w:color="auto"/>
        <w:right w:val="none" w:sz="0" w:space="0" w:color="auto"/>
      </w:divBdr>
    </w:div>
    <w:div w:id="1478768053">
      <w:bodyDiv w:val="1"/>
      <w:marLeft w:val="0"/>
      <w:marRight w:val="0"/>
      <w:marTop w:val="0"/>
      <w:marBottom w:val="0"/>
      <w:divBdr>
        <w:top w:val="none" w:sz="0" w:space="0" w:color="auto"/>
        <w:left w:val="none" w:sz="0" w:space="0" w:color="auto"/>
        <w:bottom w:val="none" w:sz="0" w:space="0" w:color="auto"/>
        <w:right w:val="none" w:sz="0" w:space="0" w:color="auto"/>
      </w:divBdr>
    </w:div>
    <w:div w:id="1520199114">
      <w:bodyDiv w:val="1"/>
      <w:marLeft w:val="0"/>
      <w:marRight w:val="0"/>
      <w:marTop w:val="0"/>
      <w:marBottom w:val="0"/>
      <w:divBdr>
        <w:top w:val="none" w:sz="0" w:space="0" w:color="auto"/>
        <w:left w:val="none" w:sz="0" w:space="0" w:color="auto"/>
        <w:bottom w:val="none" w:sz="0" w:space="0" w:color="auto"/>
        <w:right w:val="none" w:sz="0" w:space="0" w:color="auto"/>
      </w:divBdr>
    </w:div>
    <w:div w:id="1532063026">
      <w:bodyDiv w:val="1"/>
      <w:marLeft w:val="0"/>
      <w:marRight w:val="0"/>
      <w:marTop w:val="0"/>
      <w:marBottom w:val="0"/>
      <w:divBdr>
        <w:top w:val="none" w:sz="0" w:space="0" w:color="auto"/>
        <w:left w:val="none" w:sz="0" w:space="0" w:color="auto"/>
        <w:bottom w:val="none" w:sz="0" w:space="0" w:color="auto"/>
        <w:right w:val="none" w:sz="0" w:space="0" w:color="auto"/>
      </w:divBdr>
    </w:div>
    <w:div w:id="1581870002">
      <w:bodyDiv w:val="1"/>
      <w:marLeft w:val="0"/>
      <w:marRight w:val="0"/>
      <w:marTop w:val="0"/>
      <w:marBottom w:val="0"/>
      <w:divBdr>
        <w:top w:val="none" w:sz="0" w:space="0" w:color="auto"/>
        <w:left w:val="none" w:sz="0" w:space="0" w:color="auto"/>
        <w:bottom w:val="none" w:sz="0" w:space="0" w:color="auto"/>
        <w:right w:val="none" w:sz="0" w:space="0" w:color="auto"/>
      </w:divBdr>
    </w:div>
    <w:div w:id="1630622430">
      <w:bodyDiv w:val="1"/>
      <w:marLeft w:val="0"/>
      <w:marRight w:val="0"/>
      <w:marTop w:val="0"/>
      <w:marBottom w:val="0"/>
      <w:divBdr>
        <w:top w:val="none" w:sz="0" w:space="0" w:color="auto"/>
        <w:left w:val="none" w:sz="0" w:space="0" w:color="auto"/>
        <w:bottom w:val="none" w:sz="0" w:space="0" w:color="auto"/>
        <w:right w:val="none" w:sz="0" w:space="0" w:color="auto"/>
      </w:divBdr>
    </w:div>
    <w:div w:id="1870413078">
      <w:bodyDiv w:val="1"/>
      <w:marLeft w:val="0"/>
      <w:marRight w:val="0"/>
      <w:marTop w:val="0"/>
      <w:marBottom w:val="0"/>
      <w:divBdr>
        <w:top w:val="none" w:sz="0" w:space="0" w:color="auto"/>
        <w:left w:val="none" w:sz="0" w:space="0" w:color="auto"/>
        <w:bottom w:val="none" w:sz="0" w:space="0" w:color="auto"/>
        <w:right w:val="none" w:sz="0" w:space="0" w:color="auto"/>
      </w:divBdr>
    </w:div>
    <w:div w:id="1891502241">
      <w:bodyDiv w:val="1"/>
      <w:marLeft w:val="0"/>
      <w:marRight w:val="0"/>
      <w:marTop w:val="0"/>
      <w:marBottom w:val="0"/>
      <w:divBdr>
        <w:top w:val="none" w:sz="0" w:space="0" w:color="auto"/>
        <w:left w:val="none" w:sz="0" w:space="0" w:color="auto"/>
        <w:bottom w:val="none" w:sz="0" w:space="0" w:color="auto"/>
        <w:right w:val="none" w:sz="0" w:space="0" w:color="auto"/>
      </w:divBdr>
    </w:div>
    <w:div w:id="1939562813">
      <w:bodyDiv w:val="1"/>
      <w:marLeft w:val="0"/>
      <w:marRight w:val="0"/>
      <w:marTop w:val="0"/>
      <w:marBottom w:val="0"/>
      <w:divBdr>
        <w:top w:val="none" w:sz="0" w:space="0" w:color="auto"/>
        <w:left w:val="none" w:sz="0" w:space="0" w:color="auto"/>
        <w:bottom w:val="none" w:sz="0" w:space="0" w:color="auto"/>
        <w:right w:val="none" w:sz="0" w:space="0" w:color="auto"/>
      </w:divBdr>
    </w:div>
    <w:div w:id="1944535576">
      <w:bodyDiv w:val="1"/>
      <w:marLeft w:val="0"/>
      <w:marRight w:val="0"/>
      <w:marTop w:val="0"/>
      <w:marBottom w:val="0"/>
      <w:divBdr>
        <w:top w:val="none" w:sz="0" w:space="0" w:color="auto"/>
        <w:left w:val="none" w:sz="0" w:space="0" w:color="auto"/>
        <w:bottom w:val="none" w:sz="0" w:space="0" w:color="auto"/>
        <w:right w:val="none" w:sz="0" w:space="0" w:color="auto"/>
      </w:divBdr>
    </w:div>
    <w:div w:id="1949697207">
      <w:bodyDiv w:val="1"/>
      <w:marLeft w:val="0"/>
      <w:marRight w:val="0"/>
      <w:marTop w:val="0"/>
      <w:marBottom w:val="0"/>
      <w:divBdr>
        <w:top w:val="none" w:sz="0" w:space="0" w:color="auto"/>
        <w:left w:val="none" w:sz="0" w:space="0" w:color="auto"/>
        <w:bottom w:val="none" w:sz="0" w:space="0" w:color="auto"/>
        <w:right w:val="none" w:sz="0" w:space="0" w:color="auto"/>
      </w:divBdr>
    </w:div>
    <w:div w:id="1956473987">
      <w:bodyDiv w:val="1"/>
      <w:marLeft w:val="0"/>
      <w:marRight w:val="0"/>
      <w:marTop w:val="0"/>
      <w:marBottom w:val="0"/>
      <w:divBdr>
        <w:top w:val="none" w:sz="0" w:space="0" w:color="auto"/>
        <w:left w:val="none" w:sz="0" w:space="0" w:color="auto"/>
        <w:bottom w:val="none" w:sz="0" w:space="0" w:color="auto"/>
        <w:right w:val="none" w:sz="0" w:space="0" w:color="auto"/>
      </w:divBdr>
    </w:div>
    <w:div w:id="1994023935">
      <w:bodyDiv w:val="1"/>
      <w:marLeft w:val="0"/>
      <w:marRight w:val="0"/>
      <w:marTop w:val="0"/>
      <w:marBottom w:val="0"/>
      <w:divBdr>
        <w:top w:val="none" w:sz="0" w:space="0" w:color="auto"/>
        <w:left w:val="none" w:sz="0" w:space="0" w:color="auto"/>
        <w:bottom w:val="none" w:sz="0" w:space="0" w:color="auto"/>
        <w:right w:val="none" w:sz="0" w:space="0" w:color="auto"/>
      </w:divBdr>
    </w:div>
    <w:div w:id="2030832843">
      <w:bodyDiv w:val="1"/>
      <w:marLeft w:val="0"/>
      <w:marRight w:val="0"/>
      <w:marTop w:val="0"/>
      <w:marBottom w:val="0"/>
      <w:divBdr>
        <w:top w:val="none" w:sz="0" w:space="0" w:color="auto"/>
        <w:left w:val="none" w:sz="0" w:space="0" w:color="auto"/>
        <w:bottom w:val="none" w:sz="0" w:space="0" w:color="auto"/>
        <w:right w:val="none" w:sz="0" w:space="0" w:color="auto"/>
      </w:divBdr>
    </w:div>
    <w:div w:id="2062439667">
      <w:bodyDiv w:val="1"/>
      <w:marLeft w:val="0"/>
      <w:marRight w:val="0"/>
      <w:marTop w:val="0"/>
      <w:marBottom w:val="0"/>
      <w:divBdr>
        <w:top w:val="none" w:sz="0" w:space="0" w:color="auto"/>
        <w:left w:val="none" w:sz="0" w:space="0" w:color="auto"/>
        <w:bottom w:val="none" w:sz="0" w:space="0" w:color="auto"/>
        <w:right w:val="none" w:sz="0" w:space="0" w:color="auto"/>
      </w:divBdr>
    </w:div>
    <w:div w:id="2064064204">
      <w:bodyDiv w:val="1"/>
      <w:marLeft w:val="0"/>
      <w:marRight w:val="0"/>
      <w:marTop w:val="0"/>
      <w:marBottom w:val="0"/>
      <w:divBdr>
        <w:top w:val="none" w:sz="0" w:space="0" w:color="auto"/>
        <w:left w:val="none" w:sz="0" w:space="0" w:color="auto"/>
        <w:bottom w:val="none" w:sz="0" w:space="0" w:color="auto"/>
        <w:right w:val="none" w:sz="0" w:space="0" w:color="auto"/>
      </w:divBdr>
    </w:div>
    <w:div w:id="2093429276">
      <w:bodyDiv w:val="1"/>
      <w:marLeft w:val="0"/>
      <w:marRight w:val="0"/>
      <w:marTop w:val="0"/>
      <w:marBottom w:val="0"/>
      <w:divBdr>
        <w:top w:val="none" w:sz="0" w:space="0" w:color="auto"/>
        <w:left w:val="none" w:sz="0" w:space="0" w:color="auto"/>
        <w:bottom w:val="none" w:sz="0" w:space="0" w:color="auto"/>
        <w:right w:val="none" w:sz="0" w:space="0" w:color="auto"/>
      </w:divBdr>
    </w:div>
    <w:div w:id="21115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 TargetMode="External"/><Relationship Id="rId26" Type="http://schemas.openxmlformats.org/officeDocument/2006/relationships/hyperlink" Target="https://ris.pmc.gov.au/2018/11/29/consumer-guarantees" TargetMode="External"/><Relationship Id="rId39" Type="http://schemas.openxmlformats.org/officeDocument/2006/relationships/hyperlink" Target="https://obpr.pmc.gov.au/resources/guidance-assessing-impacts/regulatory-burden-measurement-framework"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accc.gov.au/public-registers/undertakings-registers/s87b-undertakings-register/gm-holden-ltd-s87b-undertaking"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yperlink" Target="mailto:consumerlaw@treasury.gov.au" TargetMode="External"/><Relationship Id="rId33" Type="http://schemas.openxmlformats.org/officeDocument/2006/relationships/hyperlink" Target="https://www.accc.gov.au/media-release/chrysler-undertakes-to-remedy-customer-service-complaints-following-accc-investigation" TargetMode="External"/><Relationship Id="rId38" Type="http://schemas.openxmlformats.org/officeDocument/2006/relationships/hyperlink" Target="https://www.accc.gov.au/consumers/consumer-rights-guarantees/repair-replace-refund"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hyperlink" Target="http://www.consumerlaw.gov.au"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onsumerlaw@treasury.gov.au" TargetMode="External"/><Relationship Id="rId32" Type="http://schemas.openxmlformats.org/officeDocument/2006/relationships/hyperlink" Target="https://consumerlaw.gov.au/sites/consumer/files/inline-files/ACL-guidance-safe.pdf" TargetMode="External"/><Relationship Id="rId37" Type="http://schemas.openxmlformats.org/officeDocument/2006/relationships/hyperlink" Target="https://www.accc.gov.au/public-registers/undertakings-registers/toyota-motor-corporation-australia-limited" TargetMode="External"/><Relationship Id="rId40" Type="http://schemas.openxmlformats.org/officeDocument/2006/relationships/header" Target="header4.xm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https://obpr.pmc.gov.au/published-impact-analyses-and-reports/consumer-guarantees" TargetMode="External"/><Relationship Id="rId28" Type="http://schemas.openxmlformats.org/officeDocument/2006/relationships/hyperlink" Target="https://www.accc.gov.au/consumers/consumer-rights-guarantees/repair-replace-refund" TargetMode="External"/><Relationship Id="rId36" Type="http://schemas.openxmlformats.org/officeDocument/2006/relationships/hyperlink" Target="https://www.accc.gov.au/public-registers/undertakings-registers/volkswagen-group-australia-pty-ltd" TargetMode="Externa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hyperlink" Target="https://consumerlaw.gov.au/sites/consumer/files/inline-files/ACL-guidance-durability_0.pdf"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chart" Target="charts/chart1.xml"/><Relationship Id="rId30" Type="http://schemas.openxmlformats.org/officeDocument/2006/relationships/hyperlink" Target="https://consumer.gov.au/sites/consumer/files/2016/05/0553FT_ACL-guides_Guarantees_web.pdf" TargetMode="External"/><Relationship Id="rId35" Type="http://schemas.openxmlformats.org/officeDocument/2006/relationships/hyperlink" Target="https://www.accc.gov.au/public-registers/undertakings-registers/s87b-undertakings-register/hyundai-motor-company-australia-pty-ltd-s87b-undertaking" TargetMode="Externa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s://www.accc.gov.au/publications/acccount" TargetMode="External"/><Relationship Id="rId18" Type="http://schemas.openxmlformats.org/officeDocument/2006/relationships/hyperlink" Target="https://consumerlaw.gov.au/consumers-and-acl/tips/music-festivals" TargetMode="External"/><Relationship Id="rId26" Type="http://schemas.openxmlformats.org/officeDocument/2006/relationships/hyperlink" Target="https://www.accc.gov.au/publications/new-car-retailing-industry-market-study-final-report" TargetMode="External"/><Relationship Id="rId39" Type="http://schemas.openxmlformats.org/officeDocument/2006/relationships/hyperlink" Target="https://consult.treasury.gov.au/market-and-competition-policy-division/c2018-t271629/consultation/view_respondent?uuId=394413895" TargetMode="External"/><Relationship Id="rId3" Type="http://schemas.openxmlformats.org/officeDocument/2006/relationships/hyperlink" Target="https://consult.treasury.gov.au/market-and-competition-policy-division/c2018-t271629/consultation/view_respondent?uuId=5850123" TargetMode="External"/><Relationship Id="rId21" Type="http://schemas.openxmlformats.org/officeDocument/2006/relationships/hyperlink" Target="https://consult.treasury.gov.au/market-and-competition-policy-division/c2018-t271629/consultation/view_respondent?uuId=380230136" TargetMode="External"/><Relationship Id="rId34" Type="http://schemas.openxmlformats.org/officeDocument/2006/relationships/hyperlink" Target="https://www.accc.gov.au/publications/just-bought-a-new-car" TargetMode="External"/><Relationship Id="rId42" Type="http://schemas.openxmlformats.org/officeDocument/2006/relationships/hyperlink" Target="https://www.accc.gov.au/system/files/1449_ACL%20Motor%20vehicle%20sales%20and%20repairs_FA_WEB.pdf" TargetMode="External"/><Relationship Id="rId47" Type="http://schemas.openxmlformats.org/officeDocument/2006/relationships/hyperlink" Target="https://consult.treasury.gov.au/market-and-competition-policy-division/c2018-t271629/consultation/view_respondent?uuId=410702728" TargetMode="External"/><Relationship Id="rId50" Type="http://schemas.openxmlformats.org/officeDocument/2006/relationships/hyperlink" Target="https://consumer.gov.au/sites/consumer/files/2016/05/0553FT_ACL-guides_Guarantees_web.pdf" TargetMode="External"/><Relationship Id="rId7" Type="http://schemas.openxmlformats.org/officeDocument/2006/relationships/hyperlink" Target="https://consult.treasury.gov.au/market-and-competition-policy-division/c2018-t271629/consultation/view_respondent?uuId=5850123" TargetMode="External"/><Relationship Id="rId12" Type="http://schemas.openxmlformats.org/officeDocument/2006/relationships/hyperlink" Target="https://www.fairtrading.nsw.gov.au/about-fair-trading/our-services/consumer-guarantee-directions" TargetMode="External"/><Relationship Id="rId17" Type="http://schemas.openxmlformats.org/officeDocument/2006/relationships/hyperlink" Target="https://consumerlaw.gov.au/resources-and-guides/sharing-economy-platforms" TargetMode="External"/><Relationship Id="rId25" Type="http://schemas.openxmlformats.org/officeDocument/2006/relationships/hyperlink" Target="https://consult.treasury.gov.au/market-and-competition-policy-division/c2018-t271629/consultation/view_respondent?uuId=84908668" TargetMode="External"/><Relationship Id="rId33" Type="http://schemas.openxmlformats.org/officeDocument/2006/relationships/hyperlink" Target="https://consult.treasury.gov.au/market-and-competition-policy-division/c2018-t271629/consultation/view_respondent?uuId=294771009" TargetMode="External"/><Relationship Id="rId38" Type="http://schemas.openxmlformats.org/officeDocument/2006/relationships/hyperlink" Target="https://consult.treasury.gov.au/market-and-competition-policy-division/c2018-t271629/consultation/view_respondent?uuId=394413895" TargetMode="External"/><Relationship Id="rId46" Type="http://schemas.openxmlformats.org/officeDocument/2006/relationships/hyperlink" Target="https://consult.treasury.gov.au/market-and-competition-policy-division/c2018-t271629/consultation/view_respondent?uuId=294771009" TargetMode="External"/><Relationship Id="rId2" Type="http://schemas.openxmlformats.org/officeDocument/2006/relationships/hyperlink" Target="https://www.vcat.vic.gov.au/fees" TargetMode="External"/><Relationship Id="rId16" Type="http://schemas.openxmlformats.org/officeDocument/2006/relationships/hyperlink" Target="https://www.accc.gov.au/update/aged-care" TargetMode="External"/><Relationship Id="rId20" Type="http://schemas.openxmlformats.org/officeDocument/2006/relationships/hyperlink" Target="https://consult.treasury.gov.au/market-and-competition-policy-division/c2018-t271629/consultation/view_respondent?uuId=380230136" TargetMode="External"/><Relationship Id="rId29" Type="http://schemas.openxmlformats.org/officeDocument/2006/relationships/hyperlink" Target="https://www.accc.gov.au/publications/new-car-retailing-industry-market-study-final-report" TargetMode="External"/><Relationship Id="rId41" Type="http://schemas.openxmlformats.org/officeDocument/2006/relationships/hyperlink" Target="https://consult.treasury.gov.au/market-and-competition-policy-division/c2018-t271629/consultation/view_respondent?uuId=381425484" TargetMode="External"/><Relationship Id="rId1" Type="http://schemas.openxmlformats.org/officeDocument/2006/relationships/hyperlink" Target="https://treasury.gov.au/sites/default/files/2019-03/Consumer-Rights-Report.pdf" TargetMode="External"/><Relationship Id="rId6" Type="http://schemas.openxmlformats.org/officeDocument/2006/relationships/hyperlink" Target="https://consult.treasury.gov.au/market-and-competition-policy-division/c2018-t271629/consultation/view_respondent?uuId=5850123" TargetMode="External"/><Relationship Id="rId11" Type="http://schemas.openxmlformats.org/officeDocument/2006/relationships/hyperlink" Target="https://www.accc.gov.au/media-release/msy-technology-ordered-to-pay-penalties-of-750000-for-consumer-guarantee-misrepresentations" TargetMode="External"/><Relationship Id="rId24" Type="http://schemas.openxmlformats.org/officeDocument/2006/relationships/hyperlink" Target="https://consult.treasury.gov.au/market-and-competition-policy-division/c2018-t271629/consultation/view_respondent?uuId=380230136" TargetMode="External"/><Relationship Id="rId32" Type="http://schemas.openxmlformats.org/officeDocument/2006/relationships/hyperlink" Target="https://www.accc.gov.au/media-release/mazda-misled-consumers-about-their-rights-over-refund-or-replacement-for-faulty-cars" TargetMode="External"/><Relationship Id="rId37" Type="http://schemas.openxmlformats.org/officeDocument/2006/relationships/hyperlink" Target="https://consult.treasury.gov.au/market-and-competition-policy-division/c2018-t271629/consultation/view_respondent?uuId=394413895" TargetMode="External"/><Relationship Id="rId40" Type="http://schemas.openxmlformats.org/officeDocument/2006/relationships/hyperlink" Target="https://www.gtlaw.com.au/insights/accc-v-woolworths-distinguishing-unconscionable-conduct-when-dealing-suppliers" TargetMode="External"/><Relationship Id="rId45" Type="http://schemas.openxmlformats.org/officeDocument/2006/relationships/hyperlink" Target="https://consumerlaw.gov.au/sites/consumer/files/2016/12/Australian-Industry-Group.pdf" TargetMode="External"/><Relationship Id="rId5" Type="http://schemas.openxmlformats.org/officeDocument/2006/relationships/hyperlink" Target="https://consult.treasury.gov.au/market-and-competition-policy-division/c2018-t271629/consultation/view_respondent?uuId=814022266" TargetMode="External"/><Relationship Id="rId15" Type="http://schemas.openxmlformats.org/officeDocument/2006/relationships/hyperlink" Target="https://www.accc.gov.au/publications/be-smart-buy-smart" TargetMode="External"/><Relationship Id="rId23" Type="http://schemas.openxmlformats.org/officeDocument/2006/relationships/hyperlink" Target="https://consult.treasury.gov.au/market-and-competition-policy-division/c2018-t271629/consultation/view_respondent?uuId=380230136" TargetMode="External"/><Relationship Id="rId28" Type="http://schemas.openxmlformats.org/officeDocument/2006/relationships/hyperlink" Target="https://consult.treasury.gov.au/market-and-competition-policy-division/c2018-t271629/consultation/view_respondent?uuId=708762173" TargetMode="External"/><Relationship Id="rId36" Type="http://schemas.openxmlformats.org/officeDocument/2006/relationships/hyperlink" Target="https://ris.pmc.gov.au/sites/default/files/posts/2018/11/2_consumer_guarantee_framework_decision_ris.docx" TargetMode="External"/><Relationship Id="rId49" Type="http://schemas.openxmlformats.org/officeDocument/2006/relationships/hyperlink" Target="https://cdn.tspace.gov.au/uploads/sites/86/2017/04/ACL_Review_Final_Report.pdf" TargetMode="External"/><Relationship Id="rId10" Type="http://schemas.openxmlformats.org/officeDocument/2006/relationships/hyperlink" Target="https://www.accc.gov.au/media-release/court-orders-ford-to-pay-10-million-penalty-for-unconscionable-conduct" TargetMode="External"/><Relationship Id="rId19" Type="http://schemas.openxmlformats.org/officeDocument/2006/relationships/hyperlink" Target="https://consult.treasury.gov.au/market-and-competition-policy-division/c2018-t271629/consultation/view_respondent?uuId=5850123" TargetMode="External"/><Relationship Id="rId31" Type="http://schemas.openxmlformats.org/officeDocument/2006/relationships/hyperlink" Target="https://www.accc.gov.au/media-release/court-orders-ford-to-pay-10-million-penalty-for-unconscionable-conduct" TargetMode="External"/><Relationship Id="rId44" Type="http://schemas.openxmlformats.org/officeDocument/2006/relationships/hyperlink" Target="https://consult.treasury.gov.au/market-and-competition-policy-division/c2018-t271629/consultation/view_respondent?uuId=62096997" TargetMode="External"/><Relationship Id="rId52" Type="http://schemas.openxmlformats.org/officeDocument/2006/relationships/hyperlink" Target="https://www.accc.gov.au/focus-areas/market-studies/new-car-retailing-industry-market-study/final-report" TargetMode="External"/><Relationship Id="rId4" Type="http://schemas.openxmlformats.org/officeDocument/2006/relationships/hyperlink" Target="https://consult.treasury.gov.au/market-and-competition-policy-division/c2018-t271629/consultation/view_respondent?uuId=97815662" TargetMode="External"/><Relationship Id="rId9" Type="http://schemas.openxmlformats.org/officeDocument/2006/relationships/hyperlink" Target="https://consult.treasury.gov.au/market-and-competition-policy-division/c2018-t271629/consultation/view_respondent?uuId=886548778" TargetMode="External"/><Relationship Id="rId14" Type="http://schemas.openxmlformats.org/officeDocument/2006/relationships/hyperlink" Target="https://www.fairtrading.nsw.gov.au/help-centre/video-and-audio/my-consumer-rights" TargetMode="External"/><Relationship Id="rId22" Type="http://schemas.openxmlformats.org/officeDocument/2006/relationships/hyperlink" Target="https://consult.treasury.gov.au/market-and-competition-policy-division/c2018-t271629/consultation/view_respondent?uuId=380230136" TargetMode="External"/><Relationship Id="rId27" Type="http://schemas.openxmlformats.org/officeDocument/2006/relationships/hyperlink" Target="https://consult.treasury.gov.au/market-and-competition-policy-division/c2018-t271629/consultation/view_respondent?uuId=294771009" TargetMode="External"/><Relationship Id="rId30" Type="http://schemas.openxmlformats.org/officeDocument/2006/relationships/hyperlink" Target="https://consult.treasury.gov.au/market-and-competition-policy-division/c2018-t271629/consultation/view_respondent?uuId=380230136" TargetMode="External"/><Relationship Id="rId35" Type="http://schemas.openxmlformats.org/officeDocument/2006/relationships/hyperlink" Target="https://www.accc.gov.au/publications/motor-vehicle-sales-repairs-an-industry-guide-to-the-australian-consumer-law" TargetMode="External"/><Relationship Id="rId43" Type="http://schemas.openxmlformats.org/officeDocument/2006/relationships/hyperlink" Target="https://consult.treasury.gov.au/market-and-competition-policy-division/c2018-t271629/consultation/view_respondent?uuId=62096997" TargetMode="External"/><Relationship Id="rId48" Type="http://schemas.openxmlformats.org/officeDocument/2006/relationships/hyperlink" Target="https://consult.treasury.gov.au/market-and-competition-policy-division/c2018-t271629/consultation/view_respondent?uuId=471514598" TargetMode="External"/><Relationship Id="rId8" Type="http://schemas.openxmlformats.org/officeDocument/2006/relationships/hyperlink" Target="https://consult.treasury.gov.au/market-and-competition-policy-division/c2018-t271629/consultation/view_respondent?uuId=895050386" TargetMode="External"/><Relationship Id="rId51" Type="http://schemas.openxmlformats.org/officeDocument/2006/relationships/hyperlink" Target="https://cdn.tspace.gov.au/uploads/sites/60/2016/12/Small-Business-Development-Corporation-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34854252489966E-2"/>
          <c:y val="6.1273885350318469E-2"/>
          <c:w val="0.90916514574751006"/>
          <c:h val="0.86145109249878782"/>
        </c:manualLayout>
      </c:layout>
      <c:lineChart>
        <c:grouping val="standard"/>
        <c:varyColors val="0"/>
        <c:ser>
          <c:idx val="0"/>
          <c:order val="0"/>
          <c:tx>
            <c:strRef>
              <c:f>Sheet1!$F$13</c:f>
              <c:strCache>
                <c:ptCount val="1"/>
                <c:pt idx="0">
                  <c:v>Consumer guarantee issues reported to the ACCC</c:v>
                </c:pt>
              </c:strCache>
            </c:strRef>
          </c:tx>
          <c:spPr>
            <a:ln w="28575" cap="rnd">
              <a:solidFill>
                <a:schemeClr val="accent1"/>
              </a:solidFill>
              <a:round/>
            </a:ln>
            <a:effectLst/>
          </c:spPr>
          <c:marker>
            <c:symbol val="none"/>
          </c:marker>
          <c:dLbls>
            <c:dLbl>
              <c:idx val="0"/>
              <c:layout>
                <c:manualLayout>
                  <c:x val="-4.670904753368176E-3"/>
                  <c:y val="1.1120485950910393E-2"/>
                </c:manualLayout>
              </c:layout>
              <c:tx>
                <c:rich>
                  <a:bodyPr/>
                  <a:lstStyle/>
                  <a:p>
                    <a:r>
                      <a:rPr lang="en-US"/>
                      <a:t>21,413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7F6-4C9E-A2B5-19E3BA777782}"/>
                </c:ext>
              </c:extLst>
            </c:dLbl>
            <c:dLbl>
              <c:idx val="1"/>
              <c:layout>
                <c:manualLayout>
                  <c:x val="-7.0060719290051376E-3"/>
                  <c:y val="2.7874564459930227E-2"/>
                </c:manualLayout>
              </c:layout>
              <c:tx>
                <c:rich>
                  <a:bodyPr/>
                  <a:lstStyle/>
                  <a:p>
                    <a:r>
                      <a:rPr lang="en-US"/>
                      <a:t>29,397</a:t>
                    </a:r>
                  </a:p>
                  <a:p>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7F6-4C9E-A2B5-19E3BA777782}"/>
                </c:ext>
              </c:extLst>
            </c:dLbl>
            <c:dLbl>
              <c:idx val="2"/>
              <c:layout>
                <c:manualLayout>
                  <c:x val="-1.6347501167678739E-2"/>
                  <c:y val="2.7874564459930314E-2"/>
                </c:manualLayout>
              </c:layout>
              <c:tx>
                <c:rich>
                  <a:bodyPr/>
                  <a:lstStyle/>
                  <a:p>
                    <a:r>
                      <a:rPr lang="en-US"/>
                      <a:t>34,515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7F6-4C9E-A2B5-19E3BA777782}"/>
                </c:ext>
              </c:extLst>
            </c:dLbl>
            <c:dLbl>
              <c:idx val="3"/>
              <c:layout>
                <c:manualLayout>
                  <c:x val="-3.1948791314677615E-2"/>
                  <c:y val="3.2520325203252036E-2"/>
                </c:manualLayout>
              </c:layout>
              <c:tx>
                <c:rich>
                  <a:bodyPr/>
                  <a:lstStyle/>
                  <a:p>
                    <a:r>
                      <a:rPr lang="en-US"/>
                      <a:t>38,101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7F6-4C9E-A2B5-19E3BA777782}"/>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Sheet1!$E$14:$E$17</c:f>
              <c:numCache>
                <c:formatCode>General</c:formatCode>
                <c:ptCount val="4"/>
                <c:pt idx="0">
                  <c:v>2016</c:v>
                </c:pt>
                <c:pt idx="1">
                  <c:v>2017</c:v>
                </c:pt>
                <c:pt idx="2">
                  <c:v>2018</c:v>
                </c:pt>
                <c:pt idx="3">
                  <c:v>2019</c:v>
                </c:pt>
              </c:numCache>
            </c:numRef>
          </c:cat>
          <c:val>
            <c:numRef>
              <c:f>Sheet1!$F$14:$F$17</c:f>
              <c:numCache>
                <c:formatCode>General</c:formatCode>
                <c:ptCount val="4"/>
                <c:pt idx="0">
                  <c:v>21413</c:v>
                </c:pt>
                <c:pt idx="1">
                  <c:v>29397</c:v>
                </c:pt>
                <c:pt idx="2">
                  <c:v>34515</c:v>
                </c:pt>
                <c:pt idx="3">
                  <c:v>38101</c:v>
                </c:pt>
              </c:numCache>
            </c:numRef>
          </c:val>
          <c:smooth val="0"/>
          <c:extLst>
            <c:ext xmlns:c16="http://schemas.microsoft.com/office/drawing/2014/chart" uri="{C3380CC4-5D6E-409C-BE32-E72D297353CC}">
              <c16:uniqueId val="{00000004-37F6-4C9E-A2B5-19E3BA777782}"/>
            </c:ext>
          </c:extLst>
        </c:ser>
        <c:dLbls>
          <c:showLegendKey val="0"/>
          <c:showVal val="0"/>
          <c:showCatName val="0"/>
          <c:showSerName val="0"/>
          <c:showPercent val="0"/>
          <c:showBubbleSize val="0"/>
        </c:dLbls>
        <c:smooth val="0"/>
        <c:axId val="593292408"/>
        <c:axId val="593292080"/>
      </c:lineChart>
      <c:catAx>
        <c:axId val="59329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3292080"/>
        <c:crosses val="autoZero"/>
        <c:auto val="1"/>
        <c:lblAlgn val="ctr"/>
        <c:lblOffset val="100"/>
        <c:noMultiLvlLbl val="0"/>
      </c:catAx>
      <c:valAx>
        <c:axId val="593292080"/>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3292408"/>
        <c:crosses val="autoZero"/>
        <c:crossBetween val="between"/>
        <c:majorUnit val="4000"/>
      </c:valAx>
      <c:spPr>
        <a:solidFill>
          <a:schemeClr val="tx2">
            <a:lumMod val="20000"/>
            <a:lumOff val="80000"/>
          </a:scheme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8BAE5E872871354B819D8DF98018236D" ma:contentTypeVersion="43015" ma:contentTypeDescription="" ma:contentTypeScope="" ma:versionID="503dcecfc9e83afb01fc5c0e903de5d5">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e5493da5fc33992c08cca7f7c97d7342"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8"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2021MG-134-19988</_dlc_DocId>
    <_dlc_DocIdUrl xmlns="0f563589-9cf9-4143-b1eb-fb0534803d38">
      <Url>http://tweb/sites/mg/sbccpd/_layouts/15/DocIdRedir.aspx?ID=2021MG-134-19988</Url>
      <Description>2021MG-134-19988</Description>
    </_dlc_DocIdUrl>
  </documentManagement>
</p:properties>
</file>

<file path=customXml/itemProps1.xml><?xml version="1.0" encoding="utf-8"?>
<ds:datastoreItem xmlns:ds="http://schemas.openxmlformats.org/officeDocument/2006/customXml" ds:itemID="{668144ED-440B-4511-A07F-FD1342370D43}">
  <ds:schemaRefs>
    <ds:schemaRef ds:uri="http://schemas.microsoft.com/sharepoint/v3/contenttype/forms"/>
  </ds:schemaRefs>
</ds:datastoreItem>
</file>

<file path=customXml/itemProps2.xml><?xml version="1.0" encoding="utf-8"?>
<ds:datastoreItem xmlns:ds="http://schemas.openxmlformats.org/officeDocument/2006/customXml" ds:itemID="{62EA0181-7CB4-4BA7-BEB2-AB17129F8547}">
  <ds:schemaRefs>
    <ds:schemaRef ds:uri="office.server.policy"/>
  </ds:schemaRefs>
</ds:datastoreItem>
</file>

<file path=customXml/itemProps3.xml><?xml version="1.0" encoding="utf-8"?>
<ds:datastoreItem xmlns:ds="http://schemas.openxmlformats.org/officeDocument/2006/customXml" ds:itemID="{941E3C16-7177-4D3E-A528-862D08447964}">
  <ds:schemaRefs>
    <ds:schemaRef ds:uri="http://schemas.openxmlformats.org/officeDocument/2006/bibliography"/>
  </ds:schemaRefs>
</ds:datastoreItem>
</file>

<file path=customXml/itemProps4.xml><?xml version="1.0" encoding="utf-8"?>
<ds:datastoreItem xmlns:ds="http://schemas.openxmlformats.org/officeDocument/2006/customXml" ds:itemID="{5BD89561-CADC-4FC0-A13B-C73B04153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CC54F5-41E3-496F-84A9-49FD137D42D5}">
  <ds:schemaRefs>
    <ds:schemaRef ds:uri="http://schemas.microsoft.com/sharepoint/events"/>
  </ds:schemaRefs>
</ds:datastoreItem>
</file>

<file path=customXml/itemProps6.xml><?xml version="1.0" encoding="utf-8"?>
<ds:datastoreItem xmlns:ds="http://schemas.openxmlformats.org/officeDocument/2006/customXml" ds:itemID="{663B4C00-D27C-40BA-9228-456402FECC3E}">
  <ds:schemaRefs>
    <ds:schemaRef ds:uri="http://schemas.microsoft.com/office/2006/metadata/properties"/>
    <ds:schemaRef ds:uri="http://schemas.microsoft.com/office/infopath/2007/PartnerControls"/>
    <ds:schemaRef ds:uri="d4dd4adf-ddb3-46a3-8d7c-fab3fb2a6bc7"/>
    <ds:schemaRef ds:uri="http://schemas.microsoft.com/sharepoint/v4"/>
    <ds:schemaRef ds:uri="0f563589-9cf9-4143-b1eb-fb0534803d38"/>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110</TotalTime>
  <Pages>85</Pages>
  <Words>24534</Words>
  <Characters>133471</Characters>
  <Application>Microsoft Office Word</Application>
  <DocSecurity>0</DocSecurity>
  <Lines>2669</Lines>
  <Paragraphs>1373</Paragraphs>
  <ScaleCrop>false</ScaleCrop>
  <HeadingPairs>
    <vt:vector size="2" baseType="variant">
      <vt:variant>
        <vt:lpstr>Title</vt:lpstr>
      </vt:variant>
      <vt:variant>
        <vt:i4>1</vt:i4>
      </vt:variant>
    </vt:vector>
  </HeadingPairs>
  <TitlesOfParts>
    <vt:vector size="1" baseType="lpstr">
      <vt:lpstr>Consultation Regulation Impact Statement: Improving the effectiveness of the consumer guarantee and supplier indemnification provisions under the Australian Consumer Law</vt:lpstr>
    </vt:vector>
  </TitlesOfParts>
  <Company>Australian Government - The Treasury</Company>
  <LinksUpToDate>false</LinksUpToDate>
  <CharactersWithSpaces>156632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Regulation Impact Statement: Improving the effectiveness of the consumer guarantee and supplier indemnification provisions under the Australian Consumer Law</dc:title>
  <dc:subject/>
  <dc:creator>The Treasury</dc:creator>
  <cp:keywords/>
  <dc:description/>
  <cp:lastModifiedBy>Smith, Matthew</cp:lastModifiedBy>
  <cp:revision>39</cp:revision>
  <cp:lastPrinted>2021-12-13T03:16:00Z</cp:lastPrinted>
  <dcterms:created xsi:type="dcterms:W3CDTF">2021-11-30T23:53:00Z</dcterms:created>
  <dcterms:modified xsi:type="dcterms:W3CDTF">2021-12-13T04:14:00Z</dcterms:modified>
  <cp:category/>
</cp:coreProperties>
</file>