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67970"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95D89D0" w14:textId="70FD6DCD"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8A5B9C295AC846ACB8EC3C023B16580B"/>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D11140">
            <w:rPr>
              <w:sz w:val="24"/>
              <w:szCs w:val="24"/>
            </w:rPr>
            <w:t>Assistant Treasurer, Minister for Housing and Minister for Homelessness, Social and Community Housing</w:t>
          </w:r>
        </w:sdtContent>
      </w:sdt>
    </w:p>
    <w:p w14:paraId="147CDF62" w14:textId="0C835D69" w:rsidR="00F109D4" w:rsidRDefault="008625AC" w:rsidP="003C7907">
      <w:pPr>
        <w:spacing w:before="240" w:after="240"/>
        <w:jc w:val="center"/>
        <w:rPr>
          <w:i/>
        </w:rPr>
      </w:pPr>
      <w:r w:rsidRPr="008625AC">
        <w:rPr>
          <w:i/>
        </w:rPr>
        <w:t xml:space="preserve">Income Tax Assessment </w:t>
      </w:r>
      <w:r>
        <w:rPr>
          <w:i/>
        </w:rPr>
        <w:t xml:space="preserve">Act </w:t>
      </w:r>
      <w:r w:rsidRPr="008625AC">
        <w:rPr>
          <w:i/>
        </w:rPr>
        <w:t>1997</w:t>
      </w:r>
    </w:p>
    <w:p w14:paraId="27CAC46F" w14:textId="28DE8F20" w:rsidR="001144B8" w:rsidRDefault="001144B8" w:rsidP="003C7907">
      <w:pPr>
        <w:spacing w:before="240" w:after="240"/>
        <w:jc w:val="center"/>
        <w:rPr>
          <w:i/>
          <w:iCs/>
        </w:rPr>
      </w:pPr>
      <w:r>
        <w:rPr>
          <w:i/>
          <w:iCs/>
        </w:rPr>
        <w:t>Retirement Savings Accounts Act 1997</w:t>
      </w:r>
    </w:p>
    <w:p w14:paraId="2EE8EECC" w14:textId="26A333D4" w:rsidR="00D72046" w:rsidRDefault="008625AC" w:rsidP="003C7907">
      <w:pPr>
        <w:spacing w:before="240" w:after="240"/>
        <w:jc w:val="center"/>
        <w:rPr>
          <w:i/>
        </w:rPr>
      </w:pPr>
      <w:r>
        <w:rPr>
          <w:i/>
          <w:iCs/>
        </w:rPr>
        <w:t xml:space="preserve">Superannuation </w:t>
      </w:r>
      <w:r w:rsidRPr="008625AC">
        <w:rPr>
          <w:i/>
          <w:iCs/>
        </w:rPr>
        <w:t>Industry (Supervision) Act 1993</w:t>
      </w:r>
    </w:p>
    <w:p w14:paraId="301D3401" w14:textId="54C35419" w:rsidR="00F109D4" w:rsidRDefault="00C55D29" w:rsidP="00647BB7">
      <w:pPr>
        <w:spacing w:before="240"/>
      </w:pPr>
      <w:r w:rsidRPr="00503E44">
        <w:t xml:space="preserve">Section </w:t>
      </w:r>
      <w:r w:rsidR="008625AC">
        <w:t>909</w:t>
      </w:r>
      <w:r w:rsidR="005F28F0">
        <w:t>-</w:t>
      </w:r>
      <w:r w:rsidR="008625AC">
        <w:t xml:space="preserve">1 of the </w:t>
      </w:r>
      <w:r w:rsidR="008625AC">
        <w:rPr>
          <w:i/>
          <w:iCs/>
        </w:rPr>
        <w:t>Income Tax Assessment Act 1997</w:t>
      </w:r>
      <w:r w:rsidR="009C479B">
        <w:t xml:space="preserve">, section 200 of the </w:t>
      </w:r>
      <w:r w:rsidR="009C479B" w:rsidRPr="009C479B">
        <w:rPr>
          <w:i/>
          <w:iCs/>
        </w:rPr>
        <w:t>Retirement Savings Accounts Act 1997</w:t>
      </w:r>
      <w:r w:rsidR="008625AC">
        <w:rPr>
          <w:i/>
          <w:iCs/>
        </w:rPr>
        <w:t xml:space="preserve"> </w:t>
      </w:r>
      <w:r w:rsidR="008625AC">
        <w:t>and section 353 o</w:t>
      </w:r>
      <w:r w:rsidR="009C479B">
        <w:t>f</w:t>
      </w:r>
      <w:r w:rsidR="008625AC">
        <w:t xml:space="preserve"> the </w:t>
      </w:r>
      <w:r w:rsidR="008625AC">
        <w:rPr>
          <w:i/>
          <w:iCs/>
        </w:rPr>
        <w:t xml:space="preserve">Superannuation Industry (Supervision) Act 1993 </w:t>
      </w:r>
      <w:r w:rsidR="00F109D4" w:rsidRPr="00503E44">
        <w:t>provides that the Governor-General may make regulations prescribing matters required or permitted by th</w:t>
      </w:r>
      <w:r w:rsidR="009F26C8">
        <w:t>ose</w:t>
      </w:r>
      <w:r w:rsidR="00F109D4" w:rsidRPr="00503E44">
        <w:t xml:space="preserve"> Act</w:t>
      </w:r>
      <w:r w:rsidR="009F26C8">
        <w:t>s</w:t>
      </w:r>
      <w:r w:rsidR="00F109D4" w:rsidRPr="00503E44">
        <w:t xml:space="preserve"> to be prescribed, or necessary or convenient to be prescribed for carrying out or giving effect to th</w:t>
      </w:r>
      <w:r w:rsidR="009F26C8">
        <w:t>ose</w:t>
      </w:r>
      <w:r w:rsidR="00F109D4" w:rsidRPr="00503E44">
        <w:t xml:space="preserve"> Act</w:t>
      </w:r>
      <w:r w:rsidR="009F26C8">
        <w:t>s</w:t>
      </w:r>
      <w:r w:rsidR="00F109D4" w:rsidRPr="00503E44">
        <w:t>.</w:t>
      </w:r>
    </w:p>
    <w:p w14:paraId="6B60CA46" w14:textId="50674952" w:rsidR="00F109D4" w:rsidRPr="006E2DC0" w:rsidRDefault="009F26C8" w:rsidP="006E2DC0">
      <w:pPr>
        <w:tabs>
          <w:tab w:val="left" w:pos="1418"/>
        </w:tabs>
        <w:spacing w:before="0" w:after="240"/>
        <w:rPr>
          <w:i/>
        </w:rPr>
      </w:pPr>
      <w:r w:rsidRPr="004A56CE">
        <w:rPr>
          <w:color w:val="000000"/>
          <w:szCs w:val="24"/>
        </w:rPr>
        <w:t>The purpose of the </w:t>
      </w:r>
      <w:r w:rsidR="003C53C9" w:rsidRPr="003C53C9">
        <w:rPr>
          <w:i/>
        </w:rPr>
        <w:t xml:space="preserve">Treasury Laws Amendment (Measures for Consultation) Regulations </w:t>
      </w:r>
      <w:r w:rsidR="003C53C9" w:rsidRPr="0059679E">
        <w:rPr>
          <w:i/>
        </w:rPr>
        <w:t>2021</w:t>
      </w:r>
      <w:r w:rsidR="003C53C9" w:rsidRPr="0059679E" w:rsidDel="003C53C9">
        <w:rPr>
          <w:i/>
        </w:rPr>
        <w:t xml:space="preserve"> </w:t>
      </w:r>
      <w:r w:rsidRPr="0059679E">
        <w:rPr>
          <w:color w:val="000000"/>
          <w:szCs w:val="24"/>
        </w:rPr>
        <w:t>(t</w:t>
      </w:r>
      <w:r w:rsidRPr="004A56CE">
        <w:rPr>
          <w:color w:val="000000"/>
          <w:szCs w:val="24"/>
        </w:rPr>
        <w:t>he Regulations) is to make minor and technical amendments in the Treasury portfolio</w:t>
      </w:r>
      <w:r w:rsidR="0014585A">
        <w:rPr>
          <w:color w:val="000000"/>
          <w:szCs w:val="24"/>
        </w:rPr>
        <w:t xml:space="preserve"> to </w:t>
      </w:r>
      <w:r w:rsidRPr="004A56CE">
        <w:rPr>
          <w:color w:val="000000"/>
          <w:szCs w:val="24"/>
        </w:rPr>
        <w:t xml:space="preserve">laws relating to </w:t>
      </w:r>
      <w:r>
        <w:rPr>
          <w:color w:val="000000"/>
          <w:szCs w:val="24"/>
        </w:rPr>
        <w:t>superannuation</w:t>
      </w:r>
      <w:r w:rsidRPr="004A56CE">
        <w:rPr>
          <w:color w:val="000000"/>
          <w:szCs w:val="24"/>
        </w:rPr>
        <w:t>.</w:t>
      </w:r>
    </w:p>
    <w:p w14:paraId="2DA021F0" w14:textId="06DD176E" w:rsidR="006E2DC0" w:rsidRPr="004A56CE" w:rsidRDefault="006E2DC0" w:rsidP="006E2DC0">
      <w:pPr>
        <w:shd w:val="clear" w:color="auto" w:fill="FFFFFF"/>
        <w:rPr>
          <w:color w:val="000000"/>
          <w:szCs w:val="24"/>
        </w:rPr>
      </w:pPr>
      <w:r>
        <w:rPr>
          <w:color w:val="000000"/>
          <w:shd w:val="clear" w:color="auto" w:fill="FFFFFF"/>
        </w:rPr>
        <w:t>Minor and technical amendments are periodically made to Treasury legislation to remove anomalies, update references, correct unintended outcomes and improve the quality of laws. The amendments are part of the Government’s commitment to the care and maintenance of Treasury portfolio legislation. </w:t>
      </w:r>
      <w:r w:rsidRPr="004A56CE">
        <w:rPr>
          <w:color w:val="000000"/>
          <w:szCs w:val="24"/>
        </w:rPr>
        <w:t>The process was first supported by a recommendation of the 2008 Tax Design Review Panel, which considered ways to improve the quality of tax law changes. It has since been expanded to all Treasury legislation.</w:t>
      </w:r>
      <w:r w:rsidR="003C53C9">
        <w:rPr>
          <w:color w:val="000000"/>
          <w:szCs w:val="24"/>
        </w:rPr>
        <w:t xml:space="preserve"> </w:t>
      </w:r>
    </w:p>
    <w:p w14:paraId="242E7776" w14:textId="5908FB6C" w:rsidR="006E2DC0" w:rsidRDefault="006E2DC0" w:rsidP="006E2DC0">
      <w:pPr>
        <w:shd w:val="clear" w:color="auto" w:fill="FFFFFF"/>
        <w:rPr>
          <w:color w:val="000000"/>
          <w:szCs w:val="24"/>
        </w:rPr>
      </w:pPr>
      <w:r w:rsidRPr="004A56CE">
        <w:rPr>
          <w:color w:val="000000"/>
          <w:szCs w:val="24"/>
        </w:rPr>
        <w:t xml:space="preserve">The Regulations amend </w:t>
      </w:r>
      <w:r w:rsidR="00DE02C7">
        <w:rPr>
          <w:color w:val="000000"/>
          <w:szCs w:val="24"/>
        </w:rPr>
        <w:t>three</w:t>
      </w:r>
      <w:r w:rsidR="00DE02C7" w:rsidRPr="004A56CE">
        <w:rPr>
          <w:color w:val="000000"/>
          <w:szCs w:val="24"/>
        </w:rPr>
        <w:t xml:space="preserve"> </w:t>
      </w:r>
      <w:r w:rsidRPr="004A56CE">
        <w:rPr>
          <w:color w:val="000000"/>
          <w:szCs w:val="24"/>
        </w:rPr>
        <w:t xml:space="preserve">Treasury portfolio regulations to make minor and technical changes that </w:t>
      </w:r>
      <w:r w:rsidRPr="00A97CD8">
        <w:rPr>
          <w:color w:val="000000"/>
          <w:szCs w:val="24"/>
        </w:rPr>
        <w:t>address unintended outcomes</w:t>
      </w:r>
      <w:r w:rsidR="00555D34" w:rsidRPr="00A97CD8">
        <w:rPr>
          <w:color w:val="000000"/>
          <w:szCs w:val="24"/>
        </w:rPr>
        <w:t xml:space="preserve"> arising from the inability of recipients of certain non-capped defined benefit income streams (that were commenced on or after 1 July 2017) to address excess transfer balance amounts.</w:t>
      </w:r>
      <w:r w:rsidRPr="004A56CE">
        <w:rPr>
          <w:color w:val="000000"/>
          <w:szCs w:val="24"/>
        </w:rPr>
        <w:t xml:space="preserve"> These changes ensure that the </w:t>
      </w:r>
      <w:r w:rsidR="00ED6FEB">
        <w:rPr>
          <w:color w:val="000000"/>
          <w:szCs w:val="24"/>
        </w:rPr>
        <w:t>relevant</w:t>
      </w:r>
      <w:r w:rsidR="00ED6FEB" w:rsidRPr="004A56CE">
        <w:rPr>
          <w:color w:val="000000"/>
          <w:szCs w:val="24"/>
        </w:rPr>
        <w:t xml:space="preserve"> </w:t>
      </w:r>
      <w:r w:rsidRPr="004A56CE">
        <w:rPr>
          <w:color w:val="000000"/>
          <w:szCs w:val="24"/>
        </w:rPr>
        <w:t>regulations operate as intended.</w:t>
      </w:r>
    </w:p>
    <w:p w14:paraId="32F11A90" w14:textId="236AB979" w:rsidR="006E2DC0" w:rsidRDefault="006E2DC0" w:rsidP="006E2DC0">
      <w:pPr>
        <w:spacing w:before="240"/>
      </w:pPr>
      <w:r>
        <w:t xml:space="preserve">Details of the Regulations are set out in </w:t>
      </w:r>
      <w:r w:rsidRPr="00317816">
        <w:rPr>
          <w:u w:val="single"/>
        </w:rPr>
        <w:t>Attachment</w:t>
      </w:r>
      <w:r>
        <w:rPr>
          <w:u w:val="single"/>
        </w:rPr>
        <w:t xml:space="preserve"> A</w:t>
      </w:r>
    </w:p>
    <w:p w14:paraId="57BEA2EB" w14:textId="0A4D47EE" w:rsidR="00B94C56" w:rsidRDefault="00B94C56" w:rsidP="006E2DC0">
      <w:pPr>
        <w:spacing w:before="240"/>
      </w:pPr>
      <w:r>
        <w:t>The Authorising Acts specify no conditions that n</w:t>
      </w:r>
      <w:r w:rsidR="00DF73B4">
        <w:t>e</w:t>
      </w:r>
      <w:r>
        <w:t xml:space="preserve">ed to be met before the power to make the Regulations may be exercised. </w:t>
      </w:r>
    </w:p>
    <w:p w14:paraId="595BD46C" w14:textId="23EA1061" w:rsidR="006E2DC0" w:rsidRDefault="006E2DC0" w:rsidP="00F31462">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32ECE0CD" w14:textId="644AB44B" w:rsidR="00904B89" w:rsidRDefault="00904B89" w:rsidP="00904B89">
      <w:pPr>
        <w:spacing w:before="240"/>
      </w:pPr>
      <w:r w:rsidRPr="00311D51">
        <w:t>Schedule 1 of the</w:t>
      </w:r>
      <w:r w:rsidRPr="00904B89">
        <w:t xml:space="preserve"> </w:t>
      </w:r>
      <w:r>
        <w:t>R</w:t>
      </w:r>
      <w:r w:rsidRPr="00904B89">
        <w:t xml:space="preserve">egulations commences the day after registration. </w:t>
      </w:r>
    </w:p>
    <w:p w14:paraId="65832F41" w14:textId="77777777" w:rsidR="00904B89" w:rsidRPr="004A56CE" w:rsidRDefault="00904B89" w:rsidP="00F31462">
      <w:pPr>
        <w:spacing w:before="240"/>
        <w:rPr>
          <w:color w:val="000000"/>
          <w:szCs w:val="24"/>
        </w:rPr>
      </w:pPr>
    </w:p>
    <w:p w14:paraId="3C13D94F" w14:textId="0055E289" w:rsidR="00EA4DD8" w:rsidRDefault="00EA4DD8" w:rsidP="00EA4DD8">
      <w:pPr>
        <w:pageBreakBefore/>
        <w:spacing w:before="240"/>
        <w:jc w:val="right"/>
        <w:rPr>
          <w:b/>
          <w:u w:val="single"/>
        </w:rPr>
      </w:pPr>
      <w:r w:rsidRPr="007B335E">
        <w:rPr>
          <w:b/>
          <w:u w:val="single"/>
        </w:rPr>
        <w:lastRenderedPageBreak/>
        <w:t xml:space="preserve">ATTACHMENT </w:t>
      </w:r>
      <w:r w:rsidR="006E2DC0">
        <w:rPr>
          <w:b/>
          <w:u w:val="single"/>
        </w:rPr>
        <w:t>A</w:t>
      </w:r>
    </w:p>
    <w:p w14:paraId="60847474" w14:textId="398BF83B" w:rsidR="00EA4DD8" w:rsidRDefault="00EA4DD8" w:rsidP="00EA4DD8">
      <w:pPr>
        <w:spacing w:before="240"/>
        <w:ind w:right="91"/>
        <w:rPr>
          <w:b/>
          <w:bCs/>
          <w:szCs w:val="24"/>
          <w:u w:val="single"/>
        </w:rPr>
      </w:pPr>
      <w:r>
        <w:rPr>
          <w:b/>
          <w:bCs/>
          <w:u w:val="single"/>
        </w:rPr>
        <w:t xml:space="preserve">Details of </w:t>
      </w:r>
      <w:r w:rsidRPr="004F7CF8">
        <w:rPr>
          <w:b/>
          <w:bCs/>
          <w:u w:val="single"/>
        </w:rPr>
        <w:t xml:space="preserve">the </w:t>
      </w:r>
      <w:r w:rsidR="003C53C9" w:rsidRPr="003C53C9">
        <w:rPr>
          <w:b/>
          <w:bCs/>
          <w:i/>
          <w:u w:val="single"/>
        </w:rPr>
        <w:t>Treasury Laws Amendment (Measures for Consultation) Regulations 2021</w:t>
      </w:r>
    </w:p>
    <w:p w14:paraId="5A7A41E8" w14:textId="04882BCB" w:rsidR="004F7CF8" w:rsidRDefault="004F7CF8" w:rsidP="00EA4DD8">
      <w:pPr>
        <w:spacing w:before="240"/>
        <w:ind w:right="91"/>
        <w:rPr>
          <w:u w:val="single"/>
        </w:rPr>
      </w:pPr>
      <w:r>
        <w:rPr>
          <w:u w:val="single"/>
        </w:rPr>
        <w:t>Section 1 – Name of the Regulations</w:t>
      </w:r>
    </w:p>
    <w:p w14:paraId="7704B3E1" w14:textId="12A691F7" w:rsidR="004F7CF8" w:rsidRPr="004F7CF8" w:rsidRDefault="004F7CF8" w:rsidP="00EA4DD8">
      <w:pPr>
        <w:spacing w:before="240"/>
        <w:ind w:right="91"/>
        <w:rPr>
          <w:i/>
          <w:iCs/>
        </w:rPr>
      </w:pPr>
      <w:r>
        <w:t xml:space="preserve">This section states that the name of the Regulations is the </w:t>
      </w:r>
      <w:r w:rsidR="003C53C9" w:rsidRPr="003C53C9">
        <w:rPr>
          <w:i/>
          <w:iCs/>
          <w:color w:val="000000"/>
          <w:shd w:val="clear" w:color="auto" w:fill="FFFFFF"/>
        </w:rPr>
        <w:t xml:space="preserve">Treasury Laws Amendment (Measures for Consultation) Regulations </w:t>
      </w:r>
      <w:r w:rsidR="003C53C9" w:rsidRPr="0059679E">
        <w:rPr>
          <w:i/>
          <w:iCs/>
          <w:color w:val="000000"/>
          <w:shd w:val="clear" w:color="auto" w:fill="FFFFFF"/>
        </w:rPr>
        <w:t>2021</w:t>
      </w:r>
      <w:r w:rsidR="003C53C9" w:rsidRPr="0059679E" w:rsidDel="003C53C9">
        <w:rPr>
          <w:i/>
          <w:iCs/>
          <w:color w:val="000000"/>
          <w:shd w:val="clear" w:color="auto" w:fill="FFFFFF"/>
        </w:rPr>
        <w:t xml:space="preserve"> </w:t>
      </w:r>
      <w:r w:rsidRPr="0059679E">
        <w:rPr>
          <w:color w:val="000000"/>
          <w:shd w:val="clear" w:color="auto" w:fill="FFFFFF"/>
        </w:rPr>
        <w:t>(t</w:t>
      </w:r>
      <w:r>
        <w:rPr>
          <w:color w:val="000000"/>
          <w:shd w:val="clear" w:color="auto" w:fill="FFFFFF"/>
        </w:rPr>
        <w:t xml:space="preserve">he Regulations). </w:t>
      </w:r>
    </w:p>
    <w:p w14:paraId="3B897A9C" w14:textId="2D3F9766" w:rsidR="004F7CF8" w:rsidRPr="004F7CF8" w:rsidRDefault="004F7CF8" w:rsidP="00EA4DD8">
      <w:pPr>
        <w:spacing w:before="240"/>
        <w:ind w:right="91"/>
        <w:rPr>
          <w:u w:val="single"/>
        </w:rPr>
      </w:pPr>
      <w:r>
        <w:rPr>
          <w:u w:val="single"/>
        </w:rPr>
        <w:t>Section 2 - Commencement</w:t>
      </w:r>
    </w:p>
    <w:p w14:paraId="1F4B73AD" w14:textId="1B3A5B98" w:rsidR="00A91FA3" w:rsidRDefault="00EA4DD8" w:rsidP="00EA4DD8">
      <w:pPr>
        <w:spacing w:before="240"/>
        <w:ind w:right="91"/>
        <w:rPr>
          <w:color w:val="000000" w:themeColor="text1"/>
        </w:rPr>
      </w:pPr>
      <w:r w:rsidRPr="00311D51">
        <w:t>Schedule 1 to</w:t>
      </w:r>
      <w:r>
        <w:t xml:space="preserve"> the Regulations commence</w:t>
      </w:r>
      <w:r w:rsidR="006E2DC0">
        <w:t>s</w:t>
      </w:r>
      <w:r>
        <w:t xml:space="preserve"> on </w:t>
      </w:r>
      <w:r w:rsidRPr="006E2DC0">
        <w:rPr>
          <w:color w:val="000000" w:themeColor="text1"/>
        </w:rPr>
        <w:t>the day after the instrument is registered</w:t>
      </w:r>
      <w:r w:rsidR="00A91FA3">
        <w:rPr>
          <w:color w:val="000000" w:themeColor="text1"/>
        </w:rPr>
        <w:t xml:space="preserve"> </w:t>
      </w:r>
      <w:r w:rsidR="00A91FA3">
        <w:t>on the Federal Register of Legislation</w:t>
      </w:r>
      <w:r w:rsidR="006E2DC0">
        <w:rPr>
          <w:color w:val="000000" w:themeColor="text1"/>
        </w:rPr>
        <w:t xml:space="preserve">. </w:t>
      </w:r>
    </w:p>
    <w:p w14:paraId="507E6B19" w14:textId="28BCDDBB" w:rsidR="004F7CF8" w:rsidRPr="004F7CF8" w:rsidRDefault="004F7CF8" w:rsidP="004F7CF8">
      <w:pPr>
        <w:spacing w:before="240"/>
        <w:rPr>
          <w:u w:val="single"/>
        </w:rPr>
      </w:pPr>
      <w:r>
        <w:rPr>
          <w:u w:val="single"/>
        </w:rPr>
        <w:t>Section 3 - Authority</w:t>
      </w:r>
    </w:p>
    <w:p w14:paraId="562CEB82" w14:textId="77777777" w:rsidR="004F7CF8" w:rsidRDefault="004F7CF8" w:rsidP="00A91FA3">
      <w:pPr>
        <w:spacing w:before="240" w:after="240"/>
      </w:pPr>
      <w:r>
        <w:t xml:space="preserve">This section states the Regulations are made under: </w:t>
      </w:r>
    </w:p>
    <w:p w14:paraId="02D7ECE3" w14:textId="1DC1A7E9" w:rsidR="00A953D1" w:rsidRPr="0007244F" w:rsidRDefault="001144B8" w:rsidP="0007244F">
      <w:pPr>
        <w:pStyle w:val="dotpoint0"/>
        <w:tabs>
          <w:tab w:val="clear" w:pos="2268"/>
        </w:tabs>
        <w:ind w:left="993"/>
        <w:rPr>
          <w:i/>
          <w:iCs/>
          <w:sz w:val="24"/>
          <w:szCs w:val="24"/>
        </w:rPr>
      </w:pPr>
      <w:bookmarkStart w:id="0" w:name="tempbookmark"/>
      <w:bookmarkEnd w:id="0"/>
      <w:r w:rsidRPr="001144B8">
        <w:rPr>
          <w:i/>
          <w:iCs/>
          <w:sz w:val="24"/>
          <w:szCs w:val="24"/>
        </w:rPr>
        <w:t>Income Tax Assessment Act 1997</w:t>
      </w:r>
    </w:p>
    <w:p w14:paraId="5ECB96EE" w14:textId="64760D92" w:rsidR="00A953D1" w:rsidRPr="0007244F" w:rsidRDefault="001144B8" w:rsidP="0007244F">
      <w:pPr>
        <w:pStyle w:val="dotpoint0"/>
        <w:tabs>
          <w:tab w:val="clear" w:pos="2268"/>
        </w:tabs>
        <w:ind w:left="993"/>
        <w:rPr>
          <w:i/>
          <w:iCs/>
          <w:sz w:val="24"/>
          <w:szCs w:val="24"/>
        </w:rPr>
      </w:pPr>
      <w:r w:rsidRPr="0007244F">
        <w:rPr>
          <w:i/>
          <w:iCs/>
          <w:sz w:val="24"/>
          <w:szCs w:val="24"/>
        </w:rPr>
        <w:t>Retirement Savings Accounts Act 1997</w:t>
      </w:r>
    </w:p>
    <w:p w14:paraId="7EF9DD29" w14:textId="47B09E97" w:rsidR="000157BC" w:rsidRDefault="001144B8" w:rsidP="0007244F">
      <w:pPr>
        <w:pStyle w:val="dotpoint0"/>
        <w:tabs>
          <w:tab w:val="clear" w:pos="2268"/>
        </w:tabs>
        <w:ind w:left="993"/>
        <w:rPr>
          <w:u w:val="single"/>
        </w:rPr>
      </w:pPr>
      <w:r w:rsidRPr="0007244F">
        <w:rPr>
          <w:i/>
          <w:iCs/>
          <w:sz w:val="24"/>
          <w:szCs w:val="24"/>
        </w:rPr>
        <w:t>Superannuation Industry (Supervision) Act 1993</w:t>
      </w:r>
      <w:r w:rsidRPr="00A953D1" w:rsidDel="008625AC">
        <w:rPr>
          <w:i/>
          <w:iCs/>
        </w:rPr>
        <w:t xml:space="preserve"> </w:t>
      </w:r>
    </w:p>
    <w:p w14:paraId="53B20D64" w14:textId="5C6E8A21" w:rsidR="000157BC" w:rsidRPr="000157BC" w:rsidRDefault="000157BC" w:rsidP="000157BC">
      <w:pPr>
        <w:pStyle w:val="base-text-paragraph"/>
        <w:ind w:left="0"/>
        <w:rPr>
          <w:u w:val="single"/>
        </w:rPr>
      </w:pPr>
      <w:r w:rsidRPr="000157BC">
        <w:rPr>
          <w:u w:val="single"/>
        </w:rPr>
        <w:t xml:space="preserve">Section 4 – Schedule </w:t>
      </w:r>
    </w:p>
    <w:p w14:paraId="74140DE2" w14:textId="1CC5698A" w:rsidR="000157BC" w:rsidRPr="000157BC" w:rsidRDefault="00A22A9F" w:rsidP="000157BC">
      <w:pPr>
        <w:pStyle w:val="dotpoint0"/>
        <w:numPr>
          <w:ilvl w:val="0"/>
          <w:numId w:val="0"/>
        </w:numPr>
        <w:rPr>
          <w:i/>
          <w:iCs/>
        </w:rPr>
      </w:pPr>
      <w:r w:rsidRPr="00A22A9F">
        <w:rPr>
          <w:color w:val="000000"/>
          <w:shd w:val="clear" w:color="auto" w:fill="FFFFFF"/>
        </w:rP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20D151F6" w14:textId="52A6609C" w:rsidR="00EA4DD8" w:rsidRPr="0059679E" w:rsidRDefault="00EA4DD8" w:rsidP="00B97FD6">
      <w:pPr>
        <w:spacing w:after="0"/>
        <w:ind w:right="91"/>
        <w:rPr>
          <w:color w:val="FF0000"/>
          <w:u w:val="single"/>
        </w:rPr>
      </w:pPr>
      <w:r w:rsidRPr="0059679E">
        <w:rPr>
          <w:u w:val="single"/>
        </w:rPr>
        <w:t>Schedule 1 – Amendments</w:t>
      </w:r>
    </w:p>
    <w:p w14:paraId="0826754D" w14:textId="0AC3E372" w:rsidR="00914D20" w:rsidRPr="0059679E" w:rsidRDefault="0007244F" w:rsidP="00914D20">
      <w:pPr>
        <w:rPr>
          <w:i/>
          <w:iCs/>
          <w:color w:val="000000"/>
          <w:shd w:val="clear" w:color="auto" w:fill="FFFFFF"/>
        </w:rPr>
      </w:pPr>
      <w:r w:rsidRPr="0059679E">
        <w:rPr>
          <w:i/>
          <w:iCs/>
          <w:color w:val="000000"/>
          <w:shd w:val="clear" w:color="auto" w:fill="FFFFFF"/>
        </w:rPr>
        <w:t>A</w:t>
      </w:r>
      <w:r w:rsidR="00914D20" w:rsidRPr="0059679E">
        <w:rPr>
          <w:i/>
          <w:iCs/>
          <w:color w:val="000000"/>
          <w:shd w:val="clear" w:color="auto" w:fill="FFFFFF"/>
        </w:rPr>
        <w:t xml:space="preserve">mendments to commutation rules </w:t>
      </w:r>
    </w:p>
    <w:p w14:paraId="5DE77046" w14:textId="32EEA375" w:rsidR="00C01E47" w:rsidRPr="00DA3494" w:rsidRDefault="00C01E47" w:rsidP="00C01E47">
      <w:pPr>
        <w:rPr>
          <w:color w:val="000000"/>
          <w:shd w:val="clear" w:color="auto" w:fill="FFFFFF"/>
        </w:rPr>
      </w:pPr>
      <w:r w:rsidRPr="006200E0">
        <w:rPr>
          <w:color w:val="000000"/>
          <w:shd w:val="clear" w:color="auto" w:fill="FFFFFF"/>
        </w:rPr>
        <w:t>Items 3 to 5, 8 to 11 and 14 to 19 add</w:t>
      </w:r>
      <w:r>
        <w:rPr>
          <w:color w:val="000000"/>
          <w:shd w:val="clear" w:color="auto" w:fill="FFFFFF"/>
        </w:rPr>
        <w:t xml:space="preserve"> exceptions to the commutation rules in the </w:t>
      </w:r>
      <w:r>
        <w:rPr>
          <w:i/>
          <w:iCs/>
          <w:color w:val="000000"/>
          <w:shd w:val="clear" w:color="auto" w:fill="FFFFFF"/>
        </w:rPr>
        <w:t xml:space="preserve">Superannuation Industry (Supervision) Regulations 1994 </w:t>
      </w:r>
      <w:r>
        <w:rPr>
          <w:color w:val="000000"/>
          <w:shd w:val="clear" w:color="auto" w:fill="FFFFFF"/>
        </w:rPr>
        <w:t xml:space="preserve">(SIS Regulations) and the </w:t>
      </w:r>
      <w:r>
        <w:rPr>
          <w:i/>
          <w:iCs/>
          <w:color w:val="000000"/>
          <w:shd w:val="clear" w:color="auto" w:fill="FFFFFF"/>
        </w:rPr>
        <w:t xml:space="preserve">Retirement Savings Account Regulations 1997 </w:t>
      </w:r>
      <w:r>
        <w:rPr>
          <w:color w:val="000000"/>
          <w:shd w:val="clear" w:color="auto" w:fill="FFFFFF"/>
        </w:rPr>
        <w:t>(RSA Regulations)</w:t>
      </w:r>
      <w:r>
        <w:rPr>
          <w:i/>
          <w:iCs/>
          <w:color w:val="000000"/>
          <w:shd w:val="clear" w:color="auto" w:fill="FFFFFF"/>
        </w:rPr>
        <w:t xml:space="preserve">. </w:t>
      </w:r>
    </w:p>
    <w:p w14:paraId="12CB28C4" w14:textId="17F936C1" w:rsidR="00C01E47" w:rsidRDefault="00C01E47" w:rsidP="00C01E47">
      <w:pPr>
        <w:rPr>
          <w:color w:val="000000"/>
          <w:shd w:val="clear" w:color="auto" w:fill="FFFFFF"/>
        </w:rPr>
      </w:pPr>
      <w:r>
        <w:rPr>
          <w:color w:val="000000"/>
          <w:shd w:val="clear" w:color="auto" w:fill="FFFFFF"/>
        </w:rPr>
        <w:t>The exceptions</w:t>
      </w:r>
      <w:r>
        <w:rPr>
          <w:i/>
          <w:iCs/>
          <w:color w:val="000000"/>
          <w:shd w:val="clear" w:color="auto" w:fill="FFFFFF"/>
        </w:rPr>
        <w:t xml:space="preserve"> </w:t>
      </w:r>
      <w:r>
        <w:rPr>
          <w:color w:val="000000"/>
          <w:shd w:val="clear" w:color="auto" w:fill="FFFFFF"/>
        </w:rPr>
        <w:t>allow commutations to occur to comply with commutation authorities. The commutation authorities would require recipients to address excess amounts above the transfer balance cap for certain products specified in the table in subsection</w:t>
      </w:r>
      <w:r w:rsidR="004F7500">
        <w:rPr>
          <w:color w:val="000000"/>
          <w:shd w:val="clear" w:color="auto" w:fill="FFFFFF"/>
        </w:rPr>
        <w:t> </w:t>
      </w:r>
      <w:r>
        <w:rPr>
          <w:color w:val="000000"/>
          <w:shd w:val="clear" w:color="auto" w:fill="FFFFFF"/>
        </w:rPr>
        <w:t xml:space="preserve">294-130(1) of the </w:t>
      </w:r>
      <w:r>
        <w:rPr>
          <w:i/>
          <w:iCs/>
          <w:color w:val="000000"/>
          <w:shd w:val="clear" w:color="auto" w:fill="FFFFFF"/>
        </w:rPr>
        <w:t xml:space="preserve">Income Tax Assessment Act 1997 </w:t>
      </w:r>
      <w:r>
        <w:rPr>
          <w:color w:val="000000"/>
          <w:shd w:val="clear" w:color="auto" w:fill="FFFFFF"/>
        </w:rPr>
        <w:t xml:space="preserve">(ITAA 1997) – namely, life expectancy pensions, life expectancy annuities, market linked pensions and market linked annuities (affected products). Previously, the exceptions contained in the SIS Regulations and the RSA Regulations did not permit for such commutations to occur. As such, retirement phase recipients of affected products were not able to address any existing excess transfer balance and were therefore unable to comply with transfer balance cap rules. </w:t>
      </w:r>
    </w:p>
    <w:p w14:paraId="16E799EF" w14:textId="4EB64645" w:rsidR="00C01E47" w:rsidRDefault="00C01E47" w:rsidP="00C01E47">
      <w:pPr>
        <w:rPr>
          <w:color w:val="000000"/>
          <w:shd w:val="clear" w:color="auto" w:fill="FFFFFF"/>
        </w:rPr>
      </w:pPr>
      <w:r>
        <w:rPr>
          <w:color w:val="000000"/>
          <w:shd w:val="clear" w:color="auto" w:fill="FFFFFF"/>
        </w:rPr>
        <w:t xml:space="preserve">The exceptions rectify this problem by enabling recipients of affected products that were commenced on or after 1 July 2017 to undertake commutations to resolve excess transfer balance amounts. Individuals who were previously recipients of a capped defined benefit income stream (including a person who was previously a recipient of a lifetime annuity or lifetime pension) and commuted a lump sum to directly purchase an affected product on or after 1 July 2017 can now commute up to the amount that </w:t>
      </w:r>
      <w:r>
        <w:rPr>
          <w:color w:val="000000"/>
          <w:shd w:val="clear" w:color="auto" w:fill="FFFFFF"/>
        </w:rPr>
        <w:lastRenderedPageBreak/>
        <w:t xml:space="preserve">they are </w:t>
      </w:r>
      <w:proofErr w:type="gramStart"/>
      <w:r>
        <w:rPr>
          <w:color w:val="000000"/>
          <w:shd w:val="clear" w:color="auto" w:fill="FFFFFF"/>
        </w:rPr>
        <w:t>in excess of</w:t>
      </w:r>
      <w:proofErr w:type="gramEnd"/>
      <w:r>
        <w:rPr>
          <w:color w:val="000000"/>
          <w:shd w:val="clear" w:color="auto" w:fill="FFFFFF"/>
        </w:rPr>
        <w:t xml:space="preserve"> the transfer balance cap from the commenced income stream. Accordingly, the lump sum that results from commuting the excess transfer balance would reduce a recipient’s transfer balance account. Commutation in this instance may only occur in response to a commutation authority that is issued after the Australian Taxation Office has determined the excess transfer balance for the individual. </w:t>
      </w:r>
    </w:p>
    <w:p w14:paraId="4E09182D" w14:textId="7F2BED88" w:rsidR="00C01E47" w:rsidRDefault="00C01E47" w:rsidP="00C01E47">
      <w:pPr>
        <w:rPr>
          <w:color w:val="000000"/>
          <w:shd w:val="clear" w:color="auto" w:fill="FFFFFF"/>
        </w:rPr>
      </w:pPr>
      <w:r>
        <w:rPr>
          <w:color w:val="000000"/>
          <w:shd w:val="clear" w:color="auto" w:fill="FFFFFF"/>
        </w:rPr>
        <w:t xml:space="preserve">Items </w:t>
      </w:r>
      <w:r w:rsidR="003C53C9" w:rsidRPr="006200E0">
        <w:rPr>
          <w:color w:val="000000"/>
          <w:shd w:val="clear" w:color="auto" w:fill="FFFFFF"/>
        </w:rPr>
        <w:t>6</w:t>
      </w:r>
      <w:r w:rsidR="006200E0" w:rsidRPr="006200E0">
        <w:rPr>
          <w:color w:val="000000"/>
          <w:shd w:val="clear" w:color="auto" w:fill="FFFFFF"/>
        </w:rPr>
        <w:t xml:space="preserve"> to</w:t>
      </w:r>
      <w:r w:rsidR="003C53C9" w:rsidRPr="006200E0">
        <w:rPr>
          <w:color w:val="000000"/>
          <w:shd w:val="clear" w:color="auto" w:fill="FFFFFF"/>
        </w:rPr>
        <w:t xml:space="preserve"> </w:t>
      </w:r>
      <w:r w:rsidRPr="006200E0">
        <w:rPr>
          <w:color w:val="000000"/>
          <w:shd w:val="clear" w:color="auto" w:fill="FFFFFF"/>
        </w:rPr>
        <w:t xml:space="preserve">7 and </w:t>
      </w:r>
      <w:r w:rsidR="006200E0" w:rsidRPr="006200E0">
        <w:rPr>
          <w:color w:val="000000"/>
          <w:shd w:val="clear" w:color="auto" w:fill="FFFFFF"/>
        </w:rPr>
        <w:t xml:space="preserve">12 to </w:t>
      </w:r>
      <w:r w:rsidRPr="006200E0">
        <w:rPr>
          <w:color w:val="000000"/>
          <w:shd w:val="clear" w:color="auto" w:fill="FFFFFF"/>
        </w:rPr>
        <w:t>13 provide</w:t>
      </w:r>
      <w:r w:rsidR="006200E0" w:rsidRPr="006200E0">
        <w:rPr>
          <w:color w:val="000000"/>
          <w:shd w:val="clear" w:color="auto" w:fill="FFFFFF"/>
        </w:rPr>
        <w:t>s</w:t>
      </w:r>
      <w:r>
        <w:rPr>
          <w:color w:val="000000"/>
          <w:shd w:val="clear" w:color="auto" w:fill="FFFFFF"/>
        </w:rPr>
        <w:t xml:space="preserve"> that total payment amounts to be made in a year to recipients of life expectancy annuities and life expectancy pensions may be varied to allow commutation to address an excess transfer balance. </w:t>
      </w:r>
      <w:r w:rsidR="006200E0">
        <w:rPr>
          <w:color w:val="000000"/>
          <w:shd w:val="clear" w:color="auto" w:fill="FFFFFF"/>
        </w:rPr>
        <w:t>These</w:t>
      </w:r>
      <w:r>
        <w:rPr>
          <w:color w:val="000000"/>
          <w:shd w:val="clear" w:color="auto" w:fill="FFFFFF"/>
        </w:rPr>
        <w:t xml:space="preserve"> amendment</w:t>
      </w:r>
      <w:r w:rsidR="006200E0">
        <w:rPr>
          <w:color w:val="000000"/>
          <w:shd w:val="clear" w:color="auto" w:fill="FFFFFF"/>
        </w:rPr>
        <w:t>s</w:t>
      </w:r>
      <w:r>
        <w:rPr>
          <w:color w:val="000000"/>
          <w:shd w:val="clear" w:color="auto" w:fill="FFFFFF"/>
        </w:rPr>
        <w:t xml:space="preserve"> ensure that funds can reduce annual payment amounts to avoid solvency problems that may arise following commutations which reduce the value of underlying assets which support these income streams. </w:t>
      </w:r>
    </w:p>
    <w:p w14:paraId="4DF15295" w14:textId="6E4DA153" w:rsidR="00C01E47" w:rsidRPr="006200E0" w:rsidRDefault="00C01E47" w:rsidP="00C01E47">
      <w:pPr>
        <w:rPr>
          <w:color w:val="000000"/>
          <w:shd w:val="clear" w:color="auto" w:fill="FFFFFF"/>
        </w:rPr>
      </w:pPr>
      <w:r w:rsidRPr="006200E0">
        <w:rPr>
          <w:color w:val="000000"/>
          <w:shd w:val="clear" w:color="auto" w:fill="FFFFFF"/>
        </w:rPr>
        <w:t>Item 20 permits the use of a pension valuation factor that exceeds the maximum prescribed in Schedule 1B to the SIS Regulations</w:t>
      </w:r>
      <w:r w:rsidRPr="006200E0">
        <w:rPr>
          <w:i/>
          <w:iCs/>
          <w:color w:val="000000"/>
          <w:shd w:val="clear" w:color="auto" w:fill="FFFFFF"/>
        </w:rPr>
        <w:t xml:space="preserve"> </w:t>
      </w:r>
      <w:r w:rsidRPr="006200E0">
        <w:rPr>
          <w:color w:val="000000"/>
          <w:shd w:val="clear" w:color="auto" w:fill="FFFFFF"/>
        </w:rPr>
        <w:t xml:space="preserve">for a conversion in relation to a commutation to address an excess transfer balance. This amendment ensures that funds can use a higher pension valuation factor to successfully commute a lump sum up to the amount that the member is </w:t>
      </w:r>
      <w:proofErr w:type="gramStart"/>
      <w:r w:rsidRPr="006200E0">
        <w:rPr>
          <w:color w:val="000000"/>
          <w:shd w:val="clear" w:color="auto" w:fill="FFFFFF"/>
        </w:rPr>
        <w:t>in excess of</w:t>
      </w:r>
      <w:proofErr w:type="gramEnd"/>
      <w:r w:rsidRPr="006200E0">
        <w:rPr>
          <w:color w:val="000000"/>
          <w:shd w:val="clear" w:color="auto" w:fill="FFFFFF"/>
        </w:rPr>
        <w:t xml:space="preserve"> the transfer balance cap.  </w:t>
      </w:r>
    </w:p>
    <w:p w14:paraId="3DFA0EF9" w14:textId="53447237" w:rsidR="00C01E47" w:rsidRDefault="00C01E47" w:rsidP="00C01E47">
      <w:pPr>
        <w:rPr>
          <w:color w:val="000000"/>
          <w:shd w:val="clear" w:color="auto" w:fill="FFFFFF"/>
        </w:rPr>
      </w:pPr>
      <w:r w:rsidRPr="006200E0">
        <w:rPr>
          <w:color w:val="000000"/>
          <w:shd w:val="clear" w:color="auto" w:fill="FFFFFF"/>
        </w:rPr>
        <w:t>Items 1 and 2 amend</w:t>
      </w:r>
      <w:r>
        <w:rPr>
          <w:color w:val="000000"/>
          <w:shd w:val="clear" w:color="auto" w:fill="FFFFFF"/>
        </w:rPr>
        <w:t xml:space="preserve"> the </w:t>
      </w:r>
      <w:r>
        <w:rPr>
          <w:i/>
          <w:iCs/>
          <w:color w:val="000000"/>
          <w:shd w:val="clear" w:color="auto" w:fill="FFFFFF"/>
        </w:rPr>
        <w:t xml:space="preserve">Income Tax Assessment (1997 Act) Regulations 2021 </w:t>
      </w:r>
      <w:r>
        <w:rPr>
          <w:color w:val="000000"/>
          <w:shd w:val="clear" w:color="auto" w:fill="FFFFFF"/>
        </w:rPr>
        <w:t xml:space="preserve">to ensure that the period in which affected individuals accrue excess transfer balance tax liabilities begins on or after the commencement of the Regulations. This will allow appropriate tax outcomes for these individuals given their prior inability to comply with the transfer balance cap rules. </w:t>
      </w:r>
    </w:p>
    <w:p w14:paraId="3D1D2F10" w14:textId="561E8910" w:rsidR="00C01E47" w:rsidRDefault="00C01E47" w:rsidP="00C01E47">
      <w:pPr>
        <w:rPr>
          <w:color w:val="000000"/>
          <w:shd w:val="clear" w:color="auto" w:fill="FFFFFF"/>
        </w:rPr>
      </w:pPr>
      <w:r>
        <w:rPr>
          <w:color w:val="000000"/>
          <w:shd w:val="clear" w:color="auto" w:fill="FFFFFF"/>
        </w:rPr>
        <w:t>Specifically, these amendments provide when the transfer balance credit and transfer balance debit arise in relation to calculating the excess transfer balance tax for an individual who commuted from a capped defined benefit income stream and commenced an affected product on or after 1 July 2017</w:t>
      </w:r>
      <w:r w:rsidR="00ED777C">
        <w:rPr>
          <w:color w:val="000000"/>
          <w:shd w:val="clear" w:color="auto" w:fill="FFFFFF"/>
        </w:rPr>
        <w:t>. That is</w:t>
      </w:r>
      <w:r>
        <w:rPr>
          <w:color w:val="000000"/>
          <w:shd w:val="clear" w:color="auto" w:fill="FFFFFF"/>
        </w:rPr>
        <w:t>:</w:t>
      </w:r>
    </w:p>
    <w:p w14:paraId="23A35307" w14:textId="3A36A41A" w:rsidR="00C01E47" w:rsidRDefault="00C01E47" w:rsidP="00C01E47">
      <w:pPr>
        <w:pStyle w:val="Bullet"/>
        <w:rPr>
          <w:shd w:val="clear" w:color="auto" w:fill="FFFFFF"/>
        </w:rPr>
      </w:pPr>
      <w:r>
        <w:rPr>
          <w:shd w:val="clear" w:color="auto" w:fill="FFFFFF"/>
        </w:rPr>
        <w:t>An individual’s transfer balance credit for a capped defined benefit income stream that they have commuted from normally arises under item 1 in the table in section 294-25(1) of the ITAA 1997 (</w:t>
      </w:r>
      <w:r w:rsidR="00582AB5">
        <w:rPr>
          <w:shd w:val="clear" w:color="auto" w:fill="FFFFFF"/>
        </w:rPr>
        <w:t xml:space="preserve">and this timing </w:t>
      </w:r>
      <w:r>
        <w:rPr>
          <w:shd w:val="clear" w:color="auto" w:fill="FFFFFF"/>
        </w:rPr>
        <w:t xml:space="preserve">is not modified by </w:t>
      </w:r>
      <w:r w:rsidRPr="006200E0">
        <w:rPr>
          <w:shd w:val="clear" w:color="auto" w:fill="FFFFFF"/>
        </w:rPr>
        <w:t>items</w:t>
      </w:r>
      <w:r w:rsidR="00582AB5">
        <w:rPr>
          <w:shd w:val="clear" w:color="auto" w:fill="FFFFFF"/>
        </w:rPr>
        <w:t> </w:t>
      </w:r>
      <w:r w:rsidRPr="006200E0">
        <w:rPr>
          <w:shd w:val="clear" w:color="auto" w:fill="FFFFFF"/>
        </w:rPr>
        <w:t>1 or 2</w:t>
      </w:r>
      <w:r w:rsidR="00204A34">
        <w:rPr>
          <w:shd w:val="clear" w:color="auto" w:fill="FFFFFF"/>
        </w:rPr>
        <w:t xml:space="preserve"> of the Regulations</w:t>
      </w:r>
      <w:r w:rsidRPr="006200E0">
        <w:rPr>
          <w:shd w:val="clear" w:color="auto" w:fill="FFFFFF"/>
        </w:rPr>
        <w:t>).</w:t>
      </w:r>
      <w:r>
        <w:rPr>
          <w:shd w:val="clear" w:color="auto" w:fill="FFFFFF"/>
        </w:rPr>
        <w:t xml:space="preserve"> </w:t>
      </w:r>
    </w:p>
    <w:p w14:paraId="4BB501B1" w14:textId="1EB0CD88" w:rsidR="00C01E47" w:rsidRPr="003606FA" w:rsidRDefault="00C01E47" w:rsidP="00C01E47">
      <w:pPr>
        <w:pStyle w:val="Bullet"/>
        <w:rPr>
          <w:shd w:val="clear" w:color="auto" w:fill="FFFFFF"/>
        </w:rPr>
      </w:pPr>
      <w:r w:rsidRPr="003606FA">
        <w:rPr>
          <w:color w:val="000000"/>
          <w:shd w:val="clear" w:color="auto" w:fill="FFFFFF"/>
        </w:rPr>
        <w:t xml:space="preserve">The transfer balance debit, for a commutation </w:t>
      </w:r>
      <w:r>
        <w:rPr>
          <w:color w:val="000000"/>
          <w:shd w:val="clear" w:color="auto" w:fill="FFFFFF"/>
        </w:rPr>
        <w:t>from</w:t>
      </w:r>
      <w:r w:rsidRPr="003606FA">
        <w:rPr>
          <w:color w:val="000000"/>
          <w:shd w:val="clear" w:color="auto" w:fill="FFFFFF"/>
        </w:rPr>
        <w:t xml:space="preserve"> a </w:t>
      </w:r>
      <w:r>
        <w:rPr>
          <w:color w:val="000000"/>
          <w:shd w:val="clear" w:color="auto" w:fill="FFFFFF"/>
        </w:rPr>
        <w:t>capped defined benefit income stream</w:t>
      </w:r>
      <w:r w:rsidRPr="003606FA">
        <w:rPr>
          <w:color w:val="000000"/>
          <w:shd w:val="clear" w:color="auto" w:fill="FFFFFF"/>
        </w:rPr>
        <w:t xml:space="preserve">, arises </w:t>
      </w:r>
      <w:r w:rsidR="006D27F2" w:rsidRPr="001E07DA">
        <w:t xml:space="preserve">immediately after the commencement of </w:t>
      </w:r>
      <w:r w:rsidR="006D27F2">
        <w:t xml:space="preserve">Schedule 1 </w:t>
      </w:r>
      <w:r w:rsidR="00582AB5">
        <w:t xml:space="preserve">to the Regulations </w:t>
      </w:r>
      <w:r w:rsidRPr="003606FA">
        <w:rPr>
          <w:color w:val="000000"/>
          <w:shd w:val="clear" w:color="auto" w:fill="FFFFFF"/>
        </w:rPr>
        <w:t xml:space="preserve">or </w:t>
      </w:r>
      <w:r w:rsidR="006D27F2" w:rsidRPr="001E07DA">
        <w:t xml:space="preserve">immediately </w:t>
      </w:r>
      <w:r w:rsidR="006D27F2">
        <w:t>after</w:t>
      </w:r>
      <w:r w:rsidR="006D27F2" w:rsidRPr="001E07DA">
        <w:t xml:space="preserve"> the </w:t>
      </w:r>
      <w:r w:rsidR="006D27F2">
        <w:t>commutation occurs</w:t>
      </w:r>
      <w:r w:rsidRPr="003606FA">
        <w:rPr>
          <w:color w:val="000000"/>
          <w:shd w:val="clear" w:color="auto" w:fill="FFFFFF"/>
        </w:rPr>
        <w:t xml:space="preserve">, whichever occurs later. This debit arises </w:t>
      </w:r>
      <w:r>
        <w:rPr>
          <w:color w:val="000000"/>
          <w:shd w:val="clear" w:color="auto" w:fill="FFFFFF"/>
        </w:rPr>
        <w:t>prior to</w:t>
      </w:r>
      <w:r w:rsidRPr="003606FA">
        <w:rPr>
          <w:color w:val="000000"/>
          <w:shd w:val="clear" w:color="auto" w:fill="FFFFFF"/>
        </w:rPr>
        <w:t xml:space="preserve"> </w:t>
      </w:r>
      <w:r>
        <w:rPr>
          <w:color w:val="000000"/>
          <w:shd w:val="clear" w:color="auto" w:fill="FFFFFF"/>
        </w:rPr>
        <w:t>the transfer balance credit (for commencing an affected product). The debit value arises once and is determined in accordance with item</w:t>
      </w:r>
      <w:r w:rsidR="00582AB5">
        <w:rPr>
          <w:color w:val="000000"/>
          <w:shd w:val="clear" w:color="auto" w:fill="FFFFFF"/>
        </w:rPr>
        <w:t> </w:t>
      </w:r>
      <w:r>
        <w:rPr>
          <w:color w:val="000000"/>
          <w:shd w:val="clear" w:color="auto" w:fill="FFFFFF"/>
        </w:rPr>
        <w:t>1 of the table in subsection 294</w:t>
      </w:r>
      <w:r w:rsidR="00ED777C">
        <w:rPr>
          <w:color w:val="000000"/>
          <w:shd w:val="clear" w:color="auto" w:fill="FFFFFF"/>
        </w:rPr>
        <w:noBreakHyphen/>
      </w:r>
      <w:r>
        <w:rPr>
          <w:color w:val="000000"/>
          <w:shd w:val="clear" w:color="auto" w:fill="FFFFFF"/>
        </w:rPr>
        <w:t xml:space="preserve">80(1) of the ITAA 1997.  </w:t>
      </w:r>
    </w:p>
    <w:p w14:paraId="7A0ECE72" w14:textId="6E5CE8A8" w:rsidR="00C01E47" w:rsidRPr="002462D4" w:rsidRDefault="00C01E47" w:rsidP="00C01E47">
      <w:pPr>
        <w:pStyle w:val="Bullet"/>
        <w:rPr>
          <w:shd w:val="clear" w:color="auto" w:fill="FFFFFF"/>
        </w:rPr>
      </w:pPr>
      <w:r w:rsidRPr="003606FA">
        <w:rPr>
          <w:color w:val="000000"/>
          <w:shd w:val="clear" w:color="auto" w:fill="FFFFFF"/>
        </w:rPr>
        <w:t xml:space="preserve">The transfer balance credit, for commencing an affected product, arises </w:t>
      </w:r>
      <w:r>
        <w:rPr>
          <w:color w:val="000000"/>
          <w:shd w:val="clear" w:color="auto" w:fill="FFFFFF"/>
        </w:rPr>
        <w:t>after the transfer balance debit (for a full commutation out of a product) so that any excess transfer balance tax liability accrues after the commencement of the Regulations. The credit value arises once and is determined in accordance with item</w:t>
      </w:r>
      <w:r w:rsidR="00582AB5">
        <w:rPr>
          <w:color w:val="000000"/>
          <w:shd w:val="clear" w:color="auto" w:fill="FFFFFF"/>
        </w:rPr>
        <w:t> </w:t>
      </w:r>
      <w:r>
        <w:rPr>
          <w:color w:val="000000"/>
          <w:shd w:val="clear" w:color="auto" w:fill="FFFFFF"/>
        </w:rPr>
        <w:t xml:space="preserve">2 of the table in subsection 294-25(1) of the ITAA 1997.  </w:t>
      </w:r>
    </w:p>
    <w:p w14:paraId="6D7B2E8B" w14:textId="3F00DAB5" w:rsidR="006D27F2" w:rsidRDefault="006D27F2" w:rsidP="005F28F0">
      <w:pPr>
        <w:pStyle w:val="Bullet"/>
        <w:numPr>
          <w:ilvl w:val="0"/>
          <w:numId w:val="0"/>
        </w:numPr>
        <w:rPr>
          <w:b/>
          <w:bCs/>
          <w:shd w:val="clear" w:color="auto" w:fill="FFFFFF"/>
        </w:rPr>
      </w:pPr>
      <w:r w:rsidRPr="002462D4">
        <w:rPr>
          <w:b/>
          <w:bCs/>
          <w:shd w:val="clear" w:color="auto" w:fill="FFFFFF"/>
        </w:rPr>
        <w:t>Example</w:t>
      </w:r>
    </w:p>
    <w:p w14:paraId="572942B2" w14:textId="35A0554B" w:rsidR="005F28F0" w:rsidRDefault="005F28F0" w:rsidP="005F28F0">
      <w:r>
        <w:t xml:space="preserve">On 1 July 2018 Steven purchased a market linked pension (the credit) directly from the lump sum resulting from a commutation of his CDBIS life-expectancy pension </w:t>
      </w:r>
      <w:r>
        <w:lastRenderedPageBreak/>
        <w:t xml:space="preserve">(the debit). As his new market-linked pension commenced after 1 July 2017, it was not classified as a CDBIS for transfer balance cap purposes. </w:t>
      </w:r>
    </w:p>
    <w:p w14:paraId="7933E9E5" w14:textId="2969E56D" w:rsidR="005F28F0" w:rsidRPr="002462D4" w:rsidRDefault="005F28F0" w:rsidP="005F28F0">
      <w:pPr>
        <w:rPr>
          <w:color w:val="000000"/>
        </w:rPr>
      </w:pPr>
      <w:r w:rsidRPr="00435CA5">
        <w:t xml:space="preserve">Under the Regulations, the </w:t>
      </w:r>
      <w:r>
        <w:t>debit</w:t>
      </w:r>
      <w:r w:rsidRPr="00435CA5">
        <w:t xml:space="preserve"> and credit for this commutation and commencement will arise in his transfer balance account on the date the Regulations commence. </w:t>
      </w:r>
      <w:r w:rsidRPr="00874E31">
        <w:rPr>
          <w:color w:val="000000"/>
        </w:rPr>
        <w:t>The debit arises prior to the transfer balance credit.</w:t>
      </w:r>
    </w:p>
    <w:p w14:paraId="53D760EC" w14:textId="3ACC0C1E" w:rsidR="005F28F0" w:rsidRDefault="005F28F0" w:rsidP="005F28F0">
      <w:r>
        <w:t xml:space="preserve">Steven will then have an excess transfer balance amount that he would have been unable to resolve if it arose before the commencement of the Regulations. </w:t>
      </w:r>
    </w:p>
    <w:p w14:paraId="1AF346C2" w14:textId="0AD1E5CB" w:rsidR="005F28F0" w:rsidRDefault="005F28F0" w:rsidP="005F28F0">
      <w:r>
        <w:t xml:space="preserve">Steven will then receive a determination of his excess transfer balance amount. </w:t>
      </w:r>
      <w:r w:rsidRPr="003B04B0">
        <w:t>The excess transfer balance amount on the determination will be the amount that exceeds Steven’s personal transfer balance cap and the deemed earnings that accrue after the Regulations commence.</w:t>
      </w:r>
      <w:r>
        <w:t xml:space="preserve"> Steven will not have accrued any transfer balance credits for deemed earnings between 1 July 2018 and the commencement of the Regulations. </w:t>
      </w:r>
    </w:p>
    <w:p w14:paraId="01EE3109" w14:textId="77777777" w:rsidR="005F28F0" w:rsidRDefault="005F28F0" w:rsidP="005F28F0">
      <w:r>
        <w:t xml:space="preserve">A commutation authority will enable Steven to commute the excess amount as a lump sum from his market-linked pension to an account in the accumulation phase, where it can be retained or be paid out as a lump sum. </w:t>
      </w:r>
    </w:p>
    <w:p w14:paraId="1ED32A06" w14:textId="7D565F0D" w:rsidR="006D27F2" w:rsidRPr="006D27F2" w:rsidRDefault="006D27F2" w:rsidP="002462D4">
      <w:pPr>
        <w:pStyle w:val="Bullet"/>
        <w:numPr>
          <w:ilvl w:val="0"/>
          <w:numId w:val="0"/>
        </w:numPr>
        <w:ind w:left="567"/>
        <w:rPr>
          <w:shd w:val="clear" w:color="auto" w:fill="FFFFFF"/>
        </w:rPr>
      </w:pPr>
    </w:p>
    <w:p w14:paraId="57C383A6" w14:textId="6A603F78" w:rsidR="00A22159" w:rsidRDefault="00A22159" w:rsidP="00EA4DD8">
      <w:pPr>
        <w:spacing w:before="0" w:after="0"/>
        <w:rPr>
          <w:b/>
          <w:kern w:val="28"/>
        </w:rPr>
      </w:pPr>
    </w:p>
    <w:sectPr w:rsidR="00A22159"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D59F2" w14:textId="77777777" w:rsidR="000D30C7" w:rsidRDefault="000D30C7" w:rsidP="00954679">
      <w:pPr>
        <w:spacing w:before="0" w:after="0"/>
      </w:pPr>
      <w:r>
        <w:separator/>
      </w:r>
    </w:p>
  </w:endnote>
  <w:endnote w:type="continuationSeparator" w:id="0">
    <w:p w14:paraId="5E9E7BA5" w14:textId="77777777" w:rsidR="000D30C7" w:rsidRDefault="000D30C7" w:rsidP="00954679">
      <w:pPr>
        <w:spacing w:before="0" w:after="0"/>
      </w:pPr>
      <w:r>
        <w:continuationSeparator/>
      </w:r>
    </w:p>
  </w:endnote>
  <w:endnote w:type="continuationNotice" w:id="1">
    <w:p w14:paraId="1C3FA010" w14:textId="77777777" w:rsidR="000D30C7" w:rsidRDefault="000D30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35F360B" w14:textId="24313E4E" w:rsidR="000D30C7" w:rsidRDefault="000D30C7"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B9A85" w14:textId="77777777" w:rsidR="000D30C7" w:rsidRDefault="000D30C7" w:rsidP="00954679">
      <w:pPr>
        <w:spacing w:before="0" w:after="0"/>
      </w:pPr>
      <w:r>
        <w:separator/>
      </w:r>
    </w:p>
  </w:footnote>
  <w:footnote w:type="continuationSeparator" w:id="0">
    <w:p w14:paraId="7DE37D19" w14:textId="77777777" w:rsidR="000D30C7" w:rsidRDefault="000D30C7" w:rsidP="00954679">
      <w:pPr>
        <w:spacing w:before="0" w:after="0"/>
      </w:pPr>
      <w:r>
        <w:continuationSeparator/>
      </w:r>
    </w:p>
  </w:footnote>
  <w:footnote w:type="continuationNotice" w:id="1">
    <w:p w14:paraId="7C5BB405" w14:textId="77777777" w:rsidR="000D30C7" w:rsidRDefault="000D30C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65DF6494"/>
    <w:multiLevelType w:val="multilevel"/>
    <w:tmpl w:val="A316FE50"/>
    <w:numStyleLink w:val="ChapterList"/>
  </w:abstractNum>
  <w:abstractNum w:abstractNumId="6" w15:restartNumberingAfterBreak="0">
    <w:nsid w:val="67A43C0B"/>
    <w:multiLevelType w:val="multilevel"/>
    <w:tmpl w:val="CF9E7C8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1"/>
  </w:num>
  <w:num w:numId="4">
    <w:abstractNumId w:val="0"/>
  </w:num>
  <w:num w:numId="5">
    <w:abstractNumId w:val="5"/>
    <w:lvlOverride w:ilvl="0">
      <w:lvl w:ilvl="0">
        <w:start w:val="1"/>
        <w:numFmt w:val="decimal"/>
        <w:lvlText w:val="Chapter %1"/>
        <w:lvlJc w:val="left"/>
        <w:pPr>
          <w:tabs>
            <w:tab w:val="num" w:pos="1134"/>
          </w:tabs>
          <w:ind w:left="0" w:firstLine="0"/>
        </w:pPr>
        <w:rPr>
          <w:rFonts w:hint="default"/>
        </w:rPr>
      </w:lvl>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E7"/>
    <w:rsid w:val="00003BE0"/>
    <w:rsid w:val="00013390"/>
    <w:rsid w:val="00014C42"/>
    <w:rsid w:val="000157BC"/>
    <w:rsid w:val="00016EA2"/>
    <w:rsid w:val="00024A32"/>
    <w:rsid w:val="00032A53"/>
    <w:rsid w:val="000364BD"/>
    <w:rsid w:val="0007244F"/>
    <w:rsid w:val="00076178"/>
    <w:rsid w:val="00095211"/>
    <w:rsid w:val="00097CFF"/>
    <w:rsid w:val="000A6B3E"/>
    <w:rsid w:val="000B00A6"/>
    <w:rsid w:val="000B39A1"/>
    <w:rsid w:val="000B550A"/>
    <w:rsid w:val="000C10DF"/>
    <w:rsid w:val="000C22DF"/>
    <w:rsid w:val="000C3D45"/>
    <w:rsid w:val="000C6935"/>
    <w:rsid w:val="000D0888"/>
    <w:rsid w:val="000D30C7"/>
    <w:rsid w:val="000D319C"/>
    <w:rsid w:val="000D7E3E"/>
    <w:rsid w:val="000E32E3"/>
    <w:rsid w:val="00113B45"/>
    <w:rsid w:val="001144B8"/>
    <w:rsid w:val="00133743"/>
    <w:rsid w:val="00143CB2"/>
    <w:rsid w:val="0014585A"/>
    <w:rsid w:val="00153162"/>
    <w:rsid w:val="0015586F"/>
    <w:rsid w:val="00180E7E"/>
    <w:rsid w:val="00182411"/>
    <w:rsid w:val="001925CE"/>
    <w:rsid w:val="00192703"/>
    <w:rsid w:val="001928DB"/>
    <w:rsid w:val="00195311"/>
    <w:rsid w:val="001A5740"/>
    <w:rsid w:val="001B706F"/>
    <w:rsid w:val="001B7535"/>
    <w:rsid w:val="001D369E"/>
    <w:rsid w:val="001D4B98"/>
    <w:rsid w:val="001E32A0"/>
    <w:rsid w:val="001E3EED"/>
    <w:rsid w:val="001E54E4"/>
    <w:rsid w:val="001E6A74"/>
    <w:rsid w:val="001F14AF"/>
    <w:rsid w:val="001F377F"/>
    <w:rsid w:val="001F41D0"/>
    <w:rsid w:val="00201CF8"/>
    <w:rsid w:val="002043C0"/>
    <w:rsid w:val="00204A34"/>
    <w:rsid w:val="0020705A"/>
    <w:rsid w:val="00220F16"/>
    <w:rsid w:val="00225DE9"/>
    <w:rsid w:val="002361D9"/>
    <w:rsid w:val="002361FC"/>
    <w:rsid w:val="00236211"/>
    <w:rsid w:val="0023716E"/>
    <w:rsid w:val="002462D4"/>
    <w:rsid w:val="002530DD"/>
    <w:rsid w:val="00254C5B"/>
    <w:rsid w:val="00263004"/>
    <w:rsid w:val="00265243"/>
    <w:rsid w:val="002A1930"/>
    <w:rsid w:val="002A7E1F"/>
    <w:rsid w:val="002C004E"/>
    <w:rsid w:val="002C106F"/>
    <w:rsid w:val="002C226C"/>
    <w:rsid w:val="002C3358"/>
    <w:rsid w:val="002E1EE3"/>
    <w:rsid w:val="002F4DFC"/>
    <w:rsid w:val="003041FA"/>
    <w:rsid w:val="0030505A"/>
    <w:rsid w:val="00311D51"/>
    <w:rsid w:val="003342CD"/>
    <w:rsid w:val="00335042"/>
    <w:rsid w:val="003471F6"/>
    <w:rsid w:val="00362A29"/>
    <w:rsid w:val="00362B70"/>
    <w:rsid w:val="00367AEB"/>
    <w:rsid w:val="00374C03"/>
    <w:rsid w:val="00392BBA"/>
    <w:rsid w:val="00395352"/>
    <w:rsid w:val="003954FD"/>
    <w:rsid w:val="003A3508"/>
    <w:rsid w:val="003C1C44"/>
    <w:rsid w:val="003C30AD"/>
    <w:rsid w:val="003C3D49"/>
    <w:rsid w:val="003C53C9"/>
    <w:rsid w:val="003C7907"/>
    <w:rsid w:val="003D2B25"/>
    <w:rsid w:val="003D41A3"/>
    <w:rsid w:val="003D60D7"/>
    <w:rsid w:val="003D677B"/>
    <w:rsid w:val="003D6C2C"/>
    <w:rsid w:val="003E1CE3"/>
    <w:rsid w:val="003E22B8"/>
    <w:rsid w:val="003E6173"/>
    <w:rsid w:val="003F0115"/>
    <w:rsid w:val="003F3020"/>
    <w:rsid w:val="003F7A0A"/>
    <w:rsid w:val="00401A94"/>
    <w:rsid w:val="004326E7"/>
    <w:rsid w:val="00435895"/>
    <w:rsid w:val="00445112"/>
    <w:rsid w:val="00450F71"/>
    <w:rsid w:val="0045189D"/>
    <w:rsid w:val="00454BD3"/>
    <w:rsid w:val="00462095"/>
    <w:rsid w:val="004637F4"/>
    <w:rsid w:val="00474779"/>
    <w:rsid w:val="00482B81"/>
    <w:rsid w:val="00482D4C"/>
    <w:rsid w:val="0048656A"/>
    <w:rsid w:val="004927F1"/>
    <w:rsid w:val="00495496"/>
    <w:rsid w:val="004A14B4"/>
    <w:rsid w:val="004B3C0F"/>
    <w:rsid w:val="004C05E4"/>
    <w:rsid w:val="004C4889"/>
    <w:rsid w:val="004C644B"/>
    <w:rsid w:val="004C69D1"/>
    <w:rsid w:val="004D4447"/>
    <w:rsid w:val="004D5793"/>
    <w:rsid w:val="004E39E1"/>
    <w:rsid w:val="004F0898"/>
    <w:rsid w:val="004F56D0"/>
    <w:rsid w:val="004F6C62"/>
    <w:rsid w:val="004F7500"/>
    <w:rsid w:val="004F7CF8"/>
    <w:rsid w:val="00503E44"/>
    <w:rsid w:val="00510A94"/>
    <w:rsid w:val="00510CD3"/>
    <w:rsid w:val="00515283"/>
    <w:rsid w:val="00533926"/>
    <w:rsid w:val="005347D3"/>
    <w:rsid w:val="00555D34"/>
    <w:rsid w:val="0055675D"/>
    <w:rsid w:val="0056438A"/>
    <w:rsid w:val="005657D7"/>
    <w:rsid w:val="00566E8F"/>
    <w:rsid w:val="00567A3D"/>
    <w:rsid w:val="0057422E"/>
    <w:rsid w:val="005808E2"/>
    <w:rsid w:val="00582AB5"/>
    <w:rsid w:val="005833BE"/>
    <w:rsid w:val="00586428"/>
    <w:rsid w:val="0059679E"/>
    <w:rsid w:val="005A1A78"/>
    <w:rsid w:val="005B1ED8"/>
    <w:rsid w:val="005B54FB"/>
    <w:rsid w:val="005D0A67"/>
    <w:rsid w:val="005D4DF4"/>
    <w:rsid w:val="005D7519"/>
    <w:rsid w:val="005D7D5A"/>
    <w:rsid w:val="005E3DDD"/>
    <w:rsid w:val="005E4BAC"/>
    <w:rsid w:val="005F28F0"/>
    <w:rsid w:val="005F6614"/>
    <w:rsid w:val="005F6C96"/>
    <w:rsid w:val="005F7338"/>
    <w:rsid w:val="005F7375"/>
    <w:rsid w:val="0060130D"/>
    <w:rsid w:val="00603153"/>
    <w:rsid w:val="00615FEB"/>
    <w:rsid w:val="006200E0"/>
    <w:rsid w:val="006339B9"/>
    <w:rsid w:val="0064129F"/>
    <w:rsid w:val="00641DC9"/>
    <w:rsid w:val="00647BB7"/>
    <w:rsid w:val="00654667"/>
    <w:rsid w:val="006675B5"/>
    <w:rsid w:val="00680297"/>
    <w:rsid w:val="00680301"/>
    <w:rsid w:val="00681B22"/>
    <w:rsid w:val="00684552"/>
    <w:rsid w:val="006873CE"/>
    <w:rsid w:val="006A0786"/>
    <w:rsid w:val="006A10CB"/>
    <w:rsid w:val="006B3538"/>
    <w:rsid w:val="006D27F2"/>
    <w:rsid w:val="006D680C"/>
    <w:rsid w:val="006D702D"/>
    <w:rsid w:val="006E0163"/>
    <w:rsid w:val="006E2DC0"/>
    <w:rsid w:val="006E652C"/>
    <w:rsid w:val="006F5294"/>
    <w:rsid w:val="00710E94"/>
    <w:rsid w:val="00727D8A"/>
    <w:rsid w:val="00730B93"/>
    <w:rsid w:val="00731FEA"/>
    <w:rsid w:val="00733034"/>
    <w:rsid w:val="00735057"/>
    <w:rsid w:val="00736F61"/>
    <w:rsid w:val="00742253"/>
    <w:rsid w:val="00744734"/>
    <w:rsid w:val="007537BB"/>
    <w:rsid w:val="007662C7"/>
    <w:rsid w:val="00767184"/>
    <w:rsid w:val="00776306"/>
    <w:rsid w:val="007764DA"/>
    <w:rsid w:val="00797D85"/>
    <w:rsid w:val="007A55A7"/>
    <w:rsid w:val="007B1F10"/>
    <w:rsid w:val="007B23A3"/>
    <w:rsid w:val="007B335E"/>
    <w:rsid w:val="007B638B"/>
    <w:rsid w:val="007B7869"/>
    <w:rsid w:val="007C4E2D"/>
    <w:rsid w:val="007C5D4B"/>
    <w:rsid w:val="007E018D"/>
    <w:rsid w:val="007E2F06"/>
    <w:rsid w:val="007F1B71"/>
    <w:rsid w:val="007F2433"/>
    <w:rsid w:val="008074B2"/>
    <w:rsid w:val="00807726"/>
    <w:rsid w:val="00807E7D"/>
    <w:rsid w:val="00824E74"/>
    <w:rsid w:val="008260EA"/>
    <w:rsid w:val="00831675"/>
    <w:rsid w:val="008401C2"/>
    <w:rsid w:val="008625AC"/>
    <w:rsid w:val="0088467C"/>
    <w:rsid w:val="00892ABF"/>
    <w:rsid w:val="00894579"/>
    <w:rsid w:val="00897035"/>
    <w:rsid w:val="008A5B67"/>
    <w:rsid w:val="008B42D7"/>
    <w:rsid w:val="008B4B3C"/>
    <w:rsid w:val="008B61AE"/>
    <w:rsid w:val="008B7186"/>
    <w:rsid w:val="008C12CD"/>
    <w:rsid w:val="008D16F7"/>
    <w:rsid w:val="008E1427"/>
    <w:rsid w:val="00904B89"/>
    <w:rsid w:val="00910E09"/>
    <w:rsid w:val="00913F66"/>
    <w:rsid w:val="009143A0"/>
    <w:rsid w:val="0091446B"/>
    <w:rsid w:val="00914D20"/>
    <w:rsid w:val="00922E81"/>
    <w:rsid w:val="009251EB"/>
    <w:rsid w:val="00930AB8"/>
    <w:rsid w:val="009364BD"/>
    <w:rsid w:val="00936902"/>
    <w:rsid w:val="00942D62"/>
    <w:rsid w:val="0094724E"/>
    <w:rsid w:val="00954679"/>
    <w:rsid w:val="009711C9"/>
    <w:rsid w:val="009937B2"/>
    <w:rsid w:val="009C479B"/>
    <w:rsid w:val="009C6A1E"/>
    <w:rsid w:val="009D719C"/>
    <w:rsid w:val="009E2F86"/>
    <w:rsid w:val="009F0FBE"/>
    <w:rsid w:val="009F1969"/>
    <w:rsid w:val="009F26C8"/>
    <w:rsid w:val="00A029B8"/>
    <w:rsid w:val="00A10087"/>
    <w:rsid w:val="00A12209"/>
    <w:rsid w:val="00A22159"/>
    <w:rsid w:val="00A22A9F"/>
    <w:rsid w:val="00A26114"/>
    <w:rsid w:val="00A36DF3"/>
    <w:rsid w:val="00A434CC"/>
    <w:rsid w:val="00A52D2B"/>
    <w:rsid w:val="00A532DD"/>
    <w:rsid w:val="00A56929"/>
    <w:rsid w:val="00A65753"/>
    <w:rsid w:val="00A6651A"/>
    <w:rsid w:val="00A71C3C"/>
    <w:rsid w:val="00A80BCF"/>
    <w:rsid w:val="00A81F90"/>
    <w:rsid w:val="00A8369C"/>
    <w:rsid w:val="00A91FA3"/>
    <w:rsid w:val="00A94309"/>
    <w:rsid w:val="00A953D1"/>
    <w:rsid w:val="00A97296"/>
    <w:rsid w:val="00A97CD8"/>
    <w:rsid w:val="00AA1689"/>
    <w:rsid w:val="00AA5770"/>
    <w:rsid w:val="00AC1D15"/>
    <w:rsid w:val="00AD3297"/>
    <w:rsid w:val="00AD3A8F"/>
    <w:rsid w:val="00AD5780"/>
    <w:rsid w:val="00AD5902"/>
    <w:rsid w:val="00B07B0C"/>
    <w:rsid w:val="00B136E1"/>
    <w:rsid w:val="00B25563"/>
    <w:rsid w:val="00B26D48"/>
    <w:rsid w:val="00B36E8D"/>
    <w:rsid w:val="00B429B4"/>
    <w:rsid w:val="00B42EE1"/>
    <w:rsid w:val="00B5501A"/>
    <w:rsid w:val="00B63FA1"/>
    <w:rsid w:val="00B70B67"/>
    <w:rsid w:val="00B731B8"/>
    <w:rsid w:val="00B73B5F"/>
    <w:rsid w:val="00B75EF9"/>
    <w:rsid w:val="00B8293D"/>
    <w:rsid w:val="00B83309"/>
    <w:rsid w:val="00B878D5"/>
    <w:rsid w:val="00B91B5C"/>
    <w:rsid w:val="00B92478"/>
    <w:rsid w:val="00B94C56"/>
    <w:rsid w:val="00B973D7"/>
    <w:rsid w:val="00B97FD6"/>
    <w:rsid w:val="00BA6188"/>
    <w:rsid w:val="00BC3A46"/>
    <w:rsid w:val="00BD61A2"/>
    <w:rsid w:val="00BD6903"/>
    <w:rsid w:val="00BD7BA6"/>
    <w:rsid w:val="00BE3500"/>
    <w:rsid w:val="00BE484D"/>
    <w:rsid w:val="00BE5664"/>
    <w:rsid w:val="00C01E47"/>
    <w:rsid w:val="00C16DC4"/>
    <w:rsid w:val="00C25300"/>
    <w:rsid w:val="00C26D75"/>
    <w:rsid w:val="00C37E05"/>
    <w:rsid w:val="00C40647"/>
    <w:rsid w:val="00C475EA"/>
    <w:rsid w:val="00C5179B"/>
    <w:rsid w:val="00C523FA"/>
    <w:rsid w:val="00C55D29"/>
    <w:rsid w:val="00C61742"/>
    <w:rsid w:val="00C703AE"/>
    <w:rsid w:val="00C86E3C"/>
    <w:rsid w:val="00C91B9A"/>
    <w:rsid w:val="00C978D3"/>
    <w:rsid w:val="00CA0BE9"/>
    <w:rsid w:val="00CA138D"/>
    <w:rsid w:val="00CA7DA6"/>
    <w:rsid w:val="00CB4565"/>
    <w:rsid w:val="00CC3ED1"/>
    <w:rsid w:val="00CC7641"/>
    <w:rsid w:val="00CE025B"/>
    <w:rsid w:val="00CF1724"/>
    <w:rsid w:val="00D05314"/>
    <w:rsid w:val="00D11140"/>
    <w:rsid w:val="00D13794"/>
    <w:rsid w:val="00D17D45"/>
    <w:rsid w:val="00D24052"/>
    <w:rsid w:val="00D24386"/>
    <w:rsid w:val="00D31575"/>
    <w:rsid w:val="00D316D9"/>
    <w:rsid w:val="00D32C61"/>
    <w:rsid w:val="00D33942"/>
    <w:rsid w:val="00D3408B"/>
    <w:rsid w:val="00D34626"/>
    <w:rsid w:val="00D34FB4"/>
    <w:rsid w:val="00D4257A"/>
    <w:rsid w:val="00D477F0"/>
    <w:rsid w:val="00D47B7F"/>
    <w:rsid w:val="00D5264F"/>
    <w:rsid w:val="00D53E5E"/>
    <w:rsid w:val="00D54F14"/>
    <w:rsid w:val="00D62665"/>
    <w:rsid w:val="00D72046"/>
    <w:rsid w:val="00D82E47"/>
    <w:rsid w:val="00D97A6A"/>
    <w:rsid w:val="00DA3494"/>
    <w:rsid w:val="00DA776D"/>
    <w:rsid w:val="00DB1C69"/>
    <w:rsid w:val="00DB6149"/>
    <w:rsid w:val="00DC0CDE"/>
    <w:rsid w:val="00DC4D72"/>
    <w:rsid w:val="00DD6A01"/>
    <w:rsid w:val="00DE02C7"/>
    <w:rsid w:val="00DE4DC7"/>
    <w:rsid w:val="00DF1467"/>
    <w:rsid w:val="00DF487F"/>
    <w:rsid w:val="00DF73B4"/>
    <w:rsid w:val="00E0624D"/>
    <w:rsid w:val="00E322ED"/>
    <w:rsid w:val="00E33D58"/>
    <w:rsid w:val="00E34AE8"/>
    <w:rsid w:val="00E4438C"/>
    <w:rsid w:val="00E457F3"/>
    <w:rsid w:val="00E46901"/>
    <w:rsid w:val="00E46DB7"/>
    <w:rsid w:val="00E61816"/>
    <w:rsid w:val="00E6314B"/>
    <w:rsid w:val="00E6394A"/>
    <w:rsid w:val="00E77C1C"/>
    <w:rsid w:val="00E956E2"/>
    <w:rsid w:val="00EA4DD8"/>
    <w:rsid w:val="00EB2AEF"/>
    <w:rsid w:val="00EB3C0B"/>
    <w:rsid w:val="00EB7E71"/>
    <w:rsid w:val="00ED6FEB"/>
    <w:rsid w:val="00ED777C"/>
    <w:rsid w:val="00EE79AE"/>
    <w:rsid w:val="00F109D4"/>
    <w:rsid w:val="00F12FFB"/>
    <w:rsid w:val="00F15EE9"/>
    <w:rsid w:val="00F31462"/>
    <w:rsid w:val="00F424B0"/>
    <w:rsid w:val="00F433E1"/>
    <w:rsid w:val="00F43FBC"/>
    <w:rsid w:val="00F47585"/>
    <w:rsid w:val="00F820CC"/>
    <w:rsid w:val="00F83CC7"/>
    <w:rsid w:val="00F85E6F"/>
    <w:rsid w:val="00F86E1D"/>
    <w:rsid w:val="00FA1C84"/>
    <w:rsid w:val="00FA1F50"/>
    <w:rsid w:val="00FB5CCC"/>
    <w:rsid w:val="00FB63FD"/>
    <w:rsid w:val="00FB7133"/>
    <w:rsid w:val="00FC0F68"/>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C9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D47B7F"/>
    <w:rPr>
      <w:sz w:val="24"/>
    </w:rPr>
  </w:style>
  <w:style w:type="paragraph" w:customStyle="1" w:styleId="ChapterHeading">
    <w:name w:val="Chapter Heading"/>
    <w:next w:val="Heading2"/>
    <w:rsid w:val="00D47B7F"/>
    <w:pPr>
      <w:numPr>
        <w:numId w:val="6"/>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47B7F"/>
    <w:pPr>
      <w:numPr>
        <w:numId w:val="6"/>
      </w:numPr>
    </w:pPr>
  </w:style>
  <w:style w:type="paragraph" w:customStyle="1" w:styleId="Diagram">
    <w:name w:val="Diagram"/>
    <w:basedOn w:val="Normal"/>
    <w:next w:val="Normal"/>
    <w:rsid w:val="00D47B7F"/>
    <w:pPr>
      <w:keepNext/>
      <w:numPr>
        <w:ilvl w:val="2"/>
        <w:numId w:val="6"/>
      </w:numPr>
      <w:spacing w:before="0" w:after="0"/>
    </w:pPr>
    <w:rPr>
      <w:b/>
      <w:sz w:val="22"/>
    </w:rPr>
  </w:style>
  <w:style w:type="paragraph" w:customStyle="1" w:styleId="dotpoint0">
    <w:name w:val="dot point"/>
    <w:basedOn w:val="Normal"/>
    <w:rsid w:val="00D47B7F"/>
    <w:pPr>
      <w:numPr>
        <w:numId w:val="7"/>
      </w:numPr>
    </w:pPr>
    <w:rPr>
      <w:sz w:val="22"/>
    </w:rPr>
  </w:style>
  <w:style w:type="paragraph" w:customStyle="1" w:styleId="ExampleHeading">
    <w:name w:val="Example Heading"/>
    <w:basedOn w:val="Normal"/>
    <w:next w:val="Normal"/>
    <w:rsid w:val="00D47B7F"/>
    <w:pPr>
      <w:keepNext/>
      <w:numPr>
        <w:ilvl w:val="3"/>
        <w:numId w:val="6"/>
      </w:numPr>
    </w:pPr>
    <w:rPr>
      <w:b/>
      <w:sz w:val="22"/>
    </w:rPr>
  </w:style>
  <w:style w:type="character" w:customStyle="1" w:styleId="Referencingstyle">
    <w:name w:val="Referencing style"/>
    <w:basedOn w:val="DefaultParagraphFont"/>
    <w:rsid w:val="00D47B7F"/>
    <w:rPr>
      <w:b/>
      <w:i/>
      <w:sz w:val="18"/>
    </w:rPr>
  </w:style>
  <w:style w:type="paragraph" w:customStyle="1" w:styleId="TableHeadingoutsidetable">
    <w:name w:val="Table Heading (outside table)"/>
    <w:basedOn w:val="Heading4"/>
    <w:rsid w:val="00D47B7F"/>
    <w:pPr>
      <w:numPr>
        <w:ilvl w:val="4"/>
        <w:numId w:val="6"/>
      </w:numPr>
      <w:tabs>
        <w:tab w:val="clear" w:pos="1987"/>
        <w:tab w:val="num" w:pos="360"/>
      </w:tabs>
      <w:spacing w:after="200"/>
    </w:pPr>
    <w:rPr>
      <w:b w:val="0"/>
      <w:iCs/>
      <w:kern w:val="0"/>
      <w:sz w:val="22"/>
    </w:rPr>
  </w:style>
  <w:style w:type="paragraph" w:styleId="Revision">
    <w:name w:val="Revision"/>
    <w:hidden/>
    <w:uiPriority w:val="99"/>
    <w:semiHidden/>
    <w:rsid w:val="00182411"/>
    <w:rPr>
      <w:sz w:val="24"/>
    </w:rPr>
  </w:style>
  <w:style w:type="character" w:styleId="UnresolvedMention">
    <w:name w:val="Unresolved Mention"/>
    <w:basedOn w:val="DefaultParagraphFont"/>
    <w:uiPriority w:val="99"/>
    <w:semiHidden/>
    <w:unhideWhenUsed/>
    <w:rsid w:val="00A71C3C"/>
    <w:rPr>
      <w:color w:val="605E5C"/>
      <w:shd w:val="clear" w:color="auto" w:fill="E1DFDD"/>
    </w:rPr>
  </w:style>
  <w:style w:type="paragraph" w:customStyle="1" w:styleId="subsection">
    <w:name w:val="subsection"/>
    <w:aliases w:val="ss,Subsection"/>
    <w:basedOn w:val="Normal"/>
    <w:link w:val="subsectionChar"/>
    <w:rsid w:val="000C22DF"/>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0C22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69960">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529220954">
      <w:bodyDiv w:val="1"/>
      <w:marLeft w:val="0"/>
      <w:marRight w:val="0"/>
      <w:marTop w:val="0"/>
      <w:marBottom w:val="0"/>
      <w:divBdr>
        <w:top w:val="none" w:sz="0" w:space="0" w:color="auto"/>
        <w:left w:val="none" w:sz="0" w:space="0" w:color="auto"/>
        <w:bottom w:val="none" w:sz="0" w:space="0" w:color="auto"/>
        <w:right w:val="none" w:sz="0" w:space="0" w:color="auto"/>
      </w:divBdr>
    </w:div>
    <w:div w:id="172969351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5B9C295AC846ACB8EC3C023B16580B"/>
        <w:category>
          <w:name w:val="General"/>
          <w:gallery w:val="placeholder"/>
        </w:category>
        <w:types>
          <w:type w:val="bbPlcHdr"/>
        </w:types>
        <w:behaviors>
          <w:behavior w:val="content"/>
        </w:behaviors>
        <w:guid w:val="{B789B3D0-C0E3-4E25-A7E3-51BEED236A95}"/>
      </w:docPartPr>
      <w:docPartBody>
        <w:p w:rsidR="00FC1E89" w:rsidRDefault="00FC1E89">
          <w:pPr>
            <w:pStyle w:val="8A5B9C295AC846ACB8EC3C023B16580B"/>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89"/>
    <w:rsid w:val="00636AA6"/>
    <w:rsid w:val="00E84E48"/>
    <w:rsid w:val="00FC1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5B9C295AC846ACB8EC3C023B16580B">
    <w:name w:val="8A5B9C295AC846ACB8EC3C023B165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Explanatory Materials: Treasury Laws Amendment (Measures for Consultation) Regulations 2021</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(Measures for Consultation) Regulations 2021</dc:title>
  <dc:subject/>
  <dc:creator/>
  <cp:keywords/>
  <cp:lastModifiedBy/>
  <cp:revision>1</cp:revision>
  <dcterms:created xsi:type="dcterms:W3CDTF">2021-11-30T23:45:00Z</dcterms:created>
  <dcterms:modified xsi:type="dcterms:W3CDTF">2021-12-01T05:54:00Z</dcterms:modified>
</cp:coreProperties>
</file>