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9DB1E" w14:textId="42632395" w:rsidR="00D75494" w:rsidRDefault="00AE7F95" w:rsidP="0024692E">
      <w:pPr>
        <w:pStyle w:val="Heading1"/>
      </w:pPr>
      <w:bookmarkStart w:id="0" w:name="_GoBack"/>
      <w:r>
        <w:t>Employee Share Schemes</w:t>
      </w:r>
      <w:r w:rsidR="00D75494">
        <w:br/>
      </w:r>
      <w:r>
        <w:t>Issue cap: ESS offers for consideration</w:t>
      </w:r>
    </w:p>
    <w:bookmarkEnd w:id="0"/>
    <w:p w14:paraId="7303374B" w14:textId="05806ED5" w:rsidR="00AE7F95" w:rsidRDefault="00A13E49" w:rsidP="00AE7F95">
      <w:pPr>
        <w:shd w:val="clear" w:color="auto" w:fill="FFFFFF"/>
        <w:rPr>
          <w:rFonts w:eastAsia="Times New Roman"/>
          <w:color w:val="000000"/>
        </w:rPr>
      </w:pPr>
      <w:r>
        <w:rPr>
          <w:rFonts w:eastAsia="Times New Roman"/>
          <w:color w:val="000000"/>
        </w:rPr>
        <w:t xml:space="preserve">The </w:t>
      </w:r>
      <w:r w:rsidR="00AE7F95">
        <w:rPr>
          <w:rFonts w:eastAsia="Times New Roman"/>
          <w:color w:val="000000"/>
        </w:rPr>
        <w:t xml:space="preserve">issue cap </w:t>
      </w:r>
      <w:r>
        <w:rPr>
          <w:rFonts w:eastAsia="Times New Roman"/>
          <w:color w:val="000000"/>
        </w:rPr>
        <w:t>(</w:t>
      </w:r>
      <w:r w:rsidR="00282361">
        <w:rPr>
          <w:rFonts w:eastAsia="Times New Roman"/>
          <w:color w:val="000000"/>
        </w:rPr>
        <w:t>section 1100</w:t>
      </w:r>
      <w:r w:rsidR="00E02F2F">
        <w:rPr>
          <w:rFonts w:eastAsia="Times New Roman"/>
          <w:color w:val="000000"/>
        </w:rPr>
        <w:t>Q</w:t>
      </w:r>
      <w:r w:rsidR="00282361">
        <w:rPr>
          <w:rFonts w:eastAsia="Times New Roman"/>
          <w:color w:val="000000"/>
        </w:rPr>
        <w:t xml:space="preserve">) </w:t>
      </w:r>
      <w:r w:rsidR="00AE7F95">
        <w:rPr>
          <w:rFonts w:eastAsia="Times New Roman"/>
          <w:color w:val="000000"/>
        </w:rPr>
        <w:t xml:space="preserve">limits the extent to which businesses can raise capital from employees relative to other shareholders, and thereby limits the extent to which shareholder value can be diluted and voting power can be concentrated in the hands of employees. </w:t>
      </w:r>
    </w:p>
    <w:p w14:paraId="3E4731B3" w14:textId="746005F3" w:rsidR="00AE7F95" w:rsidRDefault="00AE7F95" w:rsidP="00AE7F95">
      <w:pPr>
        <w:shd w:val="clear" w:color="auto" w:fill="FFFFFF"/>
        <w:rPr>
          <w:rFonts w:eastAsia="Times New Roman"/>
          <w:color w:val="000000"/>
        </w:rPr>
      </w:pPr>
      <w:r>
        <w:rPr>
          <w:rFonts w:eastAsia="Times New Roman"/>
          <w:color w:val="000000"/>
        </w:rPr>
        <w:t>Corporate governance arrangements - that is, company constitutions, and in the case of listed companies, market rules – provide a degree of protection to existing shareholders. For example, where the total number of shares in a company can only be modified by changes to the constitution or market rules limit new issuances over a period of time.</w:t>
      </w:r>
    </w:p>
    <w:p w14:paraId="60182C7C" w14:textId="22D125D4" w:rsidR="00AE7F95" w:rsidRDefault="00AE7F95" w:rsidP="00AE7F95">
      <w:pPr>
        <w:shd w:val="clear" w:color="auto" w:fill="FFFFFF"/>
        <w:rPr>
          <w:rFonts w:eastAsia="Times New Roman"/>
          <w:color w:val="000000"/>
        </w:rPr>
      </w:pPr>
      <w:r>
        <w:rPr>
          <w:rFonts w:eastAsia="Times New Roman"/>
          <w:color w:val="000000"/>
          <w:shd w:val="clear" w:color="auto" w:fill="FFFFFF"/>
        </w:rPr>
        <w:t>The issue cap makes it more difficult to implement an employee ownership model - where a business is fully owned by employees. Where it imposes a real constraint on new issuance, it can also result in offers being made to senior employees in preference to junior and mid-ranked employees, contrary to the intent of these reforms.</w:t>
      </w:r>
    </w:p>
    <w:p w14:paraId="3F223B1D" w14:textId="7058D4B5" w:rsidR="00AE7F95" w:rsidRDefault="00AE7F95" w:rsidP="00AE7F95">
      <w:pPr>
        <w:shd w:val="clear" w:color="auto" w:fill="FFFFFF"/>
        <w:rPr>
          <w:rFonts w:eastAsia="Times New Roman"/>
          <w:color w:val="000000"/>
        </w:rPr>
      </w:pPr>
      <w:r>
        <w:rPr>
          <w:rFonts w:eastAsia="Times New Roman"/>
          <w:color w:val="000000"/>
        </w:rPr>
        <w:t xml:space="preserve">There is a separate question regarding the extent to which it is appropriate for employers to raise capital from staff. In allowing employees to pay to participate in employee share schemes, it follows that a degree of capital raising from employees is acceptable. </w:t>
      </w:r>
    </w:p>
    <w:p w14:paraId="07865851" w14:textId="77777777" w:rsidR="00AE7F95" w:rsidRDefault="00AE7F95" w:rsidP="00AE7F95">
      <w:pPr>
        <w:shd w:val="clear" w:color="auto" w:fill="FFFFFF"/>
        <w:rPr>
          <w:rFonts w:eastAsia="Times New Roman"/>
          <w:color w:val="000000"/>
        </w:rPr>
      </w:pPr>
    </w:p>
    <w:p w14:paraId="5719755E" w14:textId="6F5344C9" w:rsidR="00AE7F95" w:rsidRPr="00AE7F95" w:rsidRDefault="00AE7F95" w:rsidP="00AE7F95">
      <w:pPr>
        <w:shd w:val="clear" w:color="auto" w:fill="FFFFFF"/>
        <w:rPr>
          <w:rFonts w:eastAsia="Times New Roman"/>
          <w:b/>
          <w:bCs/>
          <w:i/>
          <w:iCs/>
          <w:color w:val="000000"/>
        </w:rPr>
      </w:pPr>
      <w:r>
        <w:rPr>
          <w:rFonts w:eastAsia="Times New Roman"/>
          <w:b/>
          <w:bCs/>
          <w:i/>
          <w:iCs/>
          <w:color w:val="000000"/>
        </w:rPr>
        <w:t>Is there a need to restrict the extent of capital raising from employees? If so, on what basis?</w:t>
      </w:r>
    </w:p>
    <w:p w14:paraId="4577241E" w14:textId="0D2BE8B1" w:rsidR="00C11C15" w:rsidRDefault="00AE7F95" w:rsidP="00B620BD">
      <w:r>
        <w:t>What</w:t>
      </w:r>
      <w:r w:rsidR="00F11031">
        <w:t>, if any,</w:t>
      </w:r>
      <w:r>
        <w:t xml:space="preserve"> are the expected harms to employees from unrestricted capital raising?</w:t>
      </w:r>
      <w:r w:rsidR="00A13E49">
        <w:t xml:space="preserve"> </w:t>
      </w:r>
      <w:r w:rsidR="00B620BD">
        <w:t>For example, is it possible some employers may pressure employees into contributing capital in the absence of anti-hawking regulation</w:t>
      </w:r>
      <w:r w:rsidR="00F11031">
        <w:t>?</w:t>
      </w:r>
      <w:r w:rsidR="00B620BD">
        <w:t xml:space="preserve"> Alternatively, </w:t>
      </w:r>
      <w:r w:rsidR="00F11031">
        <w:t>could</w:t>
      </w:r>
      <w:r w:rsidR="00B620BD">
        <w:t xml:space="preserve"> employee funds </w:t>
      </w:r>
      <w:r w:rsidR="00F11031">
        <w:t>be used inappropriately such that employees may need protection (beyond the monetary cap that applies to offers by unlisted companies)</w:t>
      </w:r>
      <w:r w:rsidR="00C11C15">
        <w:t>?</w:t>
      </w:r>
    </w:p>
    <w:p w14:paraId="688A885E" w14:textId="77777777" w:rsidR="00EE49DE" w:rsidRDefault="00EE49DE" w:rsidP="00B620BD"/>
    <w:p w14:paraId="249EA4DD" w14:textId="6FA7F243" w:rsidR="00AE7F95" w:rsidRPr="00E7520F" w:rsidRDefault="00AE7F95" w:rsidP="00AE7F95">
      <w:r>
        <w:rPr>
          <w:b/>
          <w:bCs/>
          <w:i/>
          <w:iCs/>
        </w:rPr>
        <w:t xml:space="preserve">If capital raising from employees </w:t>
      </w:r>
      <w:r w:rsidR="00F11031">
        <w:rPr>
          <w:b/>
          <w:bCs/>
          <w:i/>
          <w:iCs/>
        </w:rPr>
        <w:t>should</w:t>
      </w:r>
      <w:r>
        <w:rPr>
          <w:b/>
          <w:bCs/>
          <w:i/>
          <w:iCs/>
        </w:rPr>
        <w:t xml:space="preserve"> be restricted, is the issue cap the appropriate regulatory tool for doing so? </w:t>
      </w:r>
    </w:p>
    <w:p w14:paraId="28280131" w14:textId="1E1E3E55" w:rsidR="00AE7F95" w:rsidRDefault="00172F7F" w:rsidP="00D75494">
      <w:r>
        <w:t xml:space="preserve">An issue cap is likely to provide less protection to employees of companies </w:t>
      </w:r>
      <w:r w:rsidR="00C11C15">
        <w:t>with a large number of shares already issued compared with employees of companies with few shares issued</w:t>
      </w:r>
      <w:r w:rsidR="0011027D">
        <w:t>. Is this an appropriate outcome (do employees of companies with fewer shares already issued face lower risks of harm from unrestricted capital raising)?</w:t>
      </w:r>
      <w:r w:rsidR="00B13991">
        <w:t xml:space="preserve"> </w:t>
      </w:r>
    </w:p>
    <w:p w14:paraId="4B11C37F" w14:textId="77777777" w:rsidR="00EE49DE" w:rsidRDefault="00EE49DE" w:rsidP="00D75494"/>
    <w:p w14:paraId="51C5806D" w14:textId="191E392E" w:rsidR="005E4C5E" w:rsidRDefault="00AE7F95" w:rsidP="00D75494">
      <w:r>
        <w:rPr>
          <w:b/>
          <w:bCs/>
          <w:i/>
          <w:iCs/>
        </w:rPr>
        <w:t>Should an alternative regulatory tool be considered instead?</w:t>
      </w:r>
    </w:p>
    <w:sectPr w:rsidR="005E4C5E" w:rsidSect="0024692E">
      <w:headerReference w:type="default" r:id="rId10"/>
      <w:footerReference w:type="default" r:id="rId11"/>
      <w:headerReference w:type="first" r:id="rId12"/>
      <w:footerReference w:type="first" r:id="rId13"/>
      <w:pgSz w:w="11906" w:h="16838"/>
      <w:pgMar w:top="2552"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68883" w14:textId="77777777" w:rsidR="00AE7F95" w:rsidRDefault="00AE7F95" w:rsidP="00D75494">
      <w:r>
        <w:separator/>
      </w:r>
    </w:p>
  </w:endnote>
  <w:endnote w:type="continuationSeparator" w:id="0">
    <w:p w14:paraId="2F38C2C5" w14:textId="77777777" w:rsidR="00AE7F95" w:rsidRDefault="00AE7F95" w:rsidP="00D7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B4F9" w14:textId="77777777" w:rsidR="005E4C5E" w:rsidRDefault="005E4C5E" w:rsidP="005E4C5E">
    <w:pPr>
      <w:pStyle w:val="Footer"/>
    </w:pPr>
    <w:r>
      <w:t xml:space="preserve">Page </w:t>
    </w:r>
    <w:r>
      <w:fldChar w:fldCharType="begin"/>
    </w:r>
    <w:r>
      <w:instrText xml:space="preserve"> PAGE   \* MERGEFORMAT </w:instrText>
    </w:r>
    <w:r>
      <w:fldChar w:fldCharType="separate"/>
    </w:r>
    <w:r w:rsidR="006B7AA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0684" w14:textId="77777777" w:rsidR="005E4C5E" w:rsidRDefault="005E4C5E">
    <w:pPr>
      <w:pStyle w:val="Footer"/>
    </w:pPr>
    <w:r>
      <w:t xml:space="preserve">Page </w:t>
    </w:r>
    <w:r>
      <w:fldChar w:fldCharType="begin"/>
    </w:r>
    <w:r>
      <w:instrText xml:space="preserve"> PAGE   \* MERGEFORMAT </w:instrText>
    </w:r>
    <w:r>
      <w:fldChar w:fldCharType="separate"/>
    </w:r>
    <w:r w:rsidR="006B7AA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A6F9" w14:textId="77777777" w:rsidR="00AE7F95" w:rsidRDefault="00AE7F95" w:rsidP="00D75494">
      <w:r>
        <w:separator/>
      </w:r>
    </w:p>
  </w:footnote>
  <w:footnote w:type="continuationSeparator" w:id="0">
    <w:p w14:paraId="781B3E2A" w14:textId="77777777" w:rsidR="00AE7F95" w:rsidRDefault="00AE7F95" w:rsidP="00D7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D5DB" w14:textId="77777777" w:rsidR="00D75494" w:rsidRPr="005E4C5E" w:rsidRDefault="005E4C5E">
    <w:pPr>
      <w:pStyle w:val="Header"/>
      <w:rPr>
        <w:color w:val="004A80" w:themeColor="background2"/>
        <w:sz w:val="24"/>
      </w:rPr>
    </w:pPr>
    <w:r w:rsidRPr="005E4C5E">
      <w:rPr>
        <w:noProof/>
        <w:color w:val="004A80" w:themeColor="background2"/>
        <w:sz w:val="24"/>
        <w:lang w:eastAsia="en-AU"/>
      </w:rPr>
      <w:drawing>
        <wp:anchor distT="0" distB="0" distL="114300" distR="114300" simplePos="0" relativeHeight="251660288" behindDoc="1" locked="0" layoutInCell="1" allowOverlap="1" wp14:anchorId="3B2931AE" wp14:editId="3663A60C">
          <wp:simplePos x="723900" y="447675"/>
          <wp:positionH relativeFrom="page">
            <wp:align>center</wp:align>
          </wp:positionH>
          <wp:positionV relativeFrom="page">
            <wp:align>top</wp:align>
          </wp:positionV>
          <wp:extent cx="7560360" cy="15710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Design Offic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571040"/>
                  </a:xfrm>
                  <a:prstGeom prst="rect">
                    <a:avLst/>
                  </a:prstGeom>
                </pic:spPr>
              </pic:pic>
            </a:graphicData>
          </a:graphic>
          <wp14:sizeRelH relativeFrom="margin">
            <wp14:pctWidth>0</wp14:pctWidth>
          </wp14:sizeRelH>
          <wp14:sizeRelV relativeFrom="margin">
            <wp14:pctHeight>0</wp14:pctHeight>
          </wp14:sizeRelV>
        </wp:anchor>
      </w:drawing>
    </w:r>
    <w:r w:rsidRPr="005E4C5E">
      <w:rPr>
        <w:color w:val="004A80" w:themeColor="background2"/>
        <w:sz w:val="24"/>
      </w:rPr>
      <w:t>THE TREASURY</w:t>
    </w:r>
    <w:r w:rsidRPr="005E4C5E">
      <w:rPr>
        <w:b/>
        <w:color w:val="004A80" w:themeColor="background2"/>
        <w:sz w:val="24"/>
      </w:rPr>
      <w:t xml:space="preserve"> Draft Legislation</w:t>
    </w:r>
    <w:r w:rsidRPr="005E4C5E">
      <w:rPr>
        <w:color w:val="004A80" w:themeColor="background2"/>
        <w:sz w:val="24"/>
      </w:rPr>
      <w:t xml:space="preserve">: </w:t>
    </w:r>
    <w:r w:rsidRPr="005E4C5E">
      <w:rPr>
        <w:color w:val="004A80" w:themeColor="background2"/>
        <w:sz w:val="24"/>
      </w:rPr>
      <w:fldChar w:fldCharType="begin"/>
    </w:r>
    <w:r w:rsidRPr="005E4C5E">
      <w:rPr>
        <w:color w:val="004A80" w:themeColor="background2"/>
        <w:sz w:val="24"/>
      </w:rPr>
      <w:instrText xml:space="preserve"> MACROBUTTON  AcceptAllChangesInDoc "[Insert Header]" </w:instrText>
    </w:r>
    <w:r w:rsidRPr="005E4C5E">
      <w:rPr>
        <w:color w:val="004A80" w:themeColor="background2"/>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EE83" w14:textId="77777777" w:rsidR="00B6678C" w:rsidRPr="000505BE" w:rsidRDefault="00B6678C" w:rsidP="0024692E">
    <w:pPr>
      <w:spacing w:after="0" w:line="480" w:lineRule="exact"/>
      <w:jc w:val="right"/>
      <w:rPr>
        <w:color w:val="004A80" w:themeColor="background2"/>
        <w:sz w:val="40"/>
      </w:rPr>
    </w:pPr>
    <w:r w:rsidRPr="000505BE">
      <w:rPr>
        <w:color w:val="004A80" w:themeColor="background2"/>
        <w:sz w:val="40"/>
      </w:rPr>
      <w:t>THE TREASURY</w:t>
    </w:r>
  </w:p>
  <w:p w14:paraId="1A2B0B48" w14:textId="77777777" w:rsidR="005E4C5E" w:rsidRDefault="00B6678C" w:rsidP="0024692E">
    <w:pPr>
      <w:spacing w:after="240" w:line="480" w:lineRule="exact"/>
      <w:jc w:val="right"/>
    </w:pPr>
    <w:r w:rsidRPr="00FC5CFB">
      <w:rPr>
        <w:b/>
        <w:color w:val="004A80" w:themeColor="background2"/>
        <w:sz w:val="48"/>
      </w:rPr>
      <w:t>Draft Legislation</w:t>
    </w:r>
    <w:r w:rsidR="005E4C5E">
      <w:rPr>
        <w:noProof/>
        <w:lang w:eastAsia="en-AU"/>
      </w:rPr>
      <w:drawing>
        <wp:anchor distT="0" distB="0" distL="114300" distR="114300" simplePos="0" relativeHeight="251659264" behindDoc="1" locked="0" layoutInCell="1" allowOverlap="1" wp14:anchorId="27E5D8ED" wp14:editId="37BFC946">
          <wp:simplePos x="723900" y="447675"/>
          <wp:positionH relativeFrom="page">
            <wp:align>center</wp:align>
          </wp:positionH>
          <wp:positionV relativeFrom="page">
            <wp:align>top</wp:align>
          </wp:positionV>
          <wp:extent cx="7560360" cy="1596240"/>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Design Office_headercrest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596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160D4"/>
    <w:multiLevelType w:val="multilevel"/>
    <w:tmpl w:val="18B0634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95"/>
    <w:rsid w:val="000421F9"/>
    <w:rsid w:val="000505BE"/>
    <w:rsid w:val="0011027D"/>
    <w:rsid w:val="00172F7F"/>
    <w:rsid w:val="0024692E"/>
    <w:rsid w:val="00257032"/>
    <w:rsid w:val="00282361"/>
    <w:rsid w:val="0033221E"/>
    <w:rsid w:val="005279D3"/>
    <w:rsid w:val="005E4C5E"/>
    <w:rsid w:val="006B7AAD"/>
    <w:rsid w:val="00A13E49"/>
    <w:rsid w:val="00AD7E32"/>
    <w:rsid w:val="00AE7F95"/>
    <w:rsid w:val="00B13991"/>
    <w:rsid w:val="00B620BD"/>
    <w:rsid w:val="00B6678C"/>
    <w:rsid w:val="00BE78DE"/>
    <w:rsid w:val="00C11C15"/>
    <w:rsid w:val="00C831C8"/>
    <w:rsid w:val="00D2150F"/>
    <w:rsid w:val="00D75494"/>
    <w:rsid w:val="00DD34FD"/>
    <w:rsid w:val="00E02F2F"/>
    <w:rsid w:val="00EE49DE"/>
    <w:rsid w:val="00F11031"/>
    <w:rsid w:val="00FC5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F9CECA"/>
  <w15:docId w15:val="{16F436E7-F764-4D0A-9EBE-5C9C95D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FB"/>
    <w:pPr>
      <w:spacing w:after="120"/>
    </w:pPr>
    <w:rPr>
      <w:sz w:val="22"/>
    </w:rPr>
  </w:style>
  <w:style w:type="paragraph" w:styleId="Heading1">
    <w:name w:val="heading 1"/>
    <w:basedOn w:val="Normal"/>
    <w:next w:val="Normal"/>
    <w:link w:val="Heading1Char"/>
    <w:uiPriority w:val="9"/>
    <w:qFormat/>
    <w:rsid w:val="00D75494"/>
    <w:pPr>
      <w:keepNext/>
      <w:keepLines/>
      <w:spacing w:before="480" w:after="480"/>
      <w:outlineLvl w:val="0"/>
    </w:pPr>
    <w:rPr>
      <w:rFonts w:asciiTheme="majorHAnsi" w:eastAsiaTheme="majorEastAsia" w:hAnsiTheme="majorHAnsi" w:cstheme="majorBidi"/>
      <w:b/>
      <w:bCs/>
      <w:color w:val="16325C"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494"/>
    <w:pPr>
      <w:tabs>
        <w:tab w:val="center" w:pos="4513"/>
        <w:tab w:val="right" w:pos="9026"/>
      </w:tabs>
    </w:pPr>
  </w:style>
  <w:style w:type="character" w:customStyle="1" w:styleId="HeaderChar">
    <w:name w:val="Header Char"/>
    <w:basedOn w:val="DefaultParagraphFont"/>
    <w:link w:val="Header"/>
    <w:uiPriority w:val="99"/>
    <w:rsid w:val="00D75494"/>
  </w:style>
  <w:style w:type="paragraph" w:styleId="Footer">
    <w:name w:val="footer"/>
    <w:basedOn w:val="Normal"/>
    <w:link w:val="FooterChar"/>
    <w:uiPriority w:val="99"/>
    <w:unhideWhenUsed/>
    <w:rsid w:val="005E4C5E"/>
    <w:pPr>
      <w:tabs>
        <w:tab w:val="center" w:pos="4513"/>
        <w:tab w:val="right" w:pos="9026"/>
      </w:tabs>
      <w:jc w:val="right"/>
    </w:pPr>
    <w:rPr>
      <w:color w:val="004A80" w:themeColor="background2"/>
    </w:rPr>
  </w:style>
  <w:style w:type="character" w:customStyle="1" w:styleId="FooterChar">
    <w:name w:val="Footer Char"/>
    <w:basedOn w:val="DefaultParagraphFont"/>
    <w:link w:val="Footer"/>
    <w:uiPriority w:val="99"/>
    <w:rsid w:val="005E4C5E"/>
    <w:rPr>
      <w:color w:val="004A80" w:themeColor="background2"/>
      <w:sz w:val="22"/>
    </w:rPr>
  </w:style>
  <w:style w:type="paragraph" w:styleId="BalloonText">
    <w:name w:val="Balloon Text"/>
    <w:basedOn w:val="Normal"/>
    <w:link w:val="BalloonTextChar"/>
    <w:uiPriority w:val="99"/>
    <w:semiHidden/>
    <w:unhideWhenUsed/>
    <w:rsid w:val="00D75494"/>
    <w:rPr>
      <w:rFonts w:ascii="Tahoma" w:hAnsi="Tahoma" w:cs="Tahoma"/>
      <w:sz w:val="16"/>
      <w:szCs w:val="16"/>
    </w:rPr>
  </w:style>
  <w:style w:type="character" w:customStyle="1" w:styleId="BalloonTextChar">
    <w:name w:val="Balloon Text Char"/>
    <w:basedOn w:val="DefaultParagraphFont"/>
    <w:link w:val="BalloonText"/>
    <w:uiPriority w:val="99"/>
    <w:semiHidden/>
    <w:rsid w:val="00D75494"/>
    <w:rPr>
      <w:rFonts w:ascii="Tahoma" w:hAnsi="Tahoma" w:cs="Tahoma"/>
      <w:sz w:val="16"/>
      <w:szCs w:val="16"/>
    </w:rPr>
  </w:style>
  <w:style w:type="character" w:customStyle="1" w:styleId="Heading1Char">
    <w:name w:val="Heading 1 Char"/>
    <w:basedOn w:val="DefaultParagraphFont"/>
    <w:link w:val="Heading1"/>
    <w:uiPriority w:val="9"/>
    <w:rsid w:val="00D75494"/>
    <w:rPr>
      <w:rFonts w:asciiTheme="majorHAnsi" w:eastAsiaTheme="majorEastAsia" w:hAnsiTheme="majorHAnsi" w:cstheme="majorBidi"/>
      <w:b/>
      <w:bCs/>
      <w:color w:val="16325C" w:themeColor="text2"/>
      <w:sz w:val="40"/>
      <w:szCs w:val="28"/>
    </w:rPr>
  </w:style>
  <w:style w:type="table" w:styleId="TableGrid">
    <w:name w:val="Table Grid"/>
    <w:basedOn w:val="TableNormal"/>
    <w:uiPriority w:val="59"/>
    <w:rsid w:val="00D7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qFormat/>
    <w:rsid w:val="00257032"/>
    <w:rPr>
      <w:b/>
    </w:rPr>
  </w:style>
  <w:style w:type="paragraph" w:customStyle="1" w:styleId="Tabletextindent">
    <w:name w:val="Table text indent"/>
    <w:basedOn w:val="Normal"/>
    <w:qFormat/>
    <w:rsid w:val="00B6678C"/>
    <w:pPr>
      <w:ind w:left="284"/>
    </w:pPr>
  </w:style>
  <w:style w:type="paragraph" w:customStyle="1" w:styleId="Tabletext">
    <w:name w:val="Table text"/>
    <w:basedOn w:val="Normal"/>
    <w:qFormat/>
    <w:rsid w:val="00B6678C"/>
  </w:style>
  <w:style w:type="paragraph" w:customStyle="1" w:styleId="Tabletextbolditalic">
    <w:name w:val="Table text bold italic"/>
    <w:basedOn w:val="Tabletextbold"/>
    <w:qFormat/>
    <w:rsid w:val="00B6678C"/>
    <w:rPr>
      <w:i/>
    </w:rPr>
  </w:style>
  <w:style w:type="paragraph" w:customStyle="1" w:styleId="Boldintroductiontext">
    <w:name w:val="Bold introduction text"/>
    <w:basedOn w:val="Normal"/>
    <w:qFormat/>
    <w:rsid w:val="00C831C8"/>
    <w:pPr>
      <w:spacing w:after="240"/>
    </w:pPr>
    <w:rPr>
      <w:b/>
      <w:sz w:val="24"/>
      <w:szCs w:val="24"/>
    </w:rPr>
  </w:style>
  <w:style w:type="paragraph" w:customStyle="1" w:styleId="Bullet">
    <w:name w:val="Bullet"/>
    <w:basedOn w:val="Normal"/>
    <w:link w:val="BulletChar"/>
    <w:rsid w:val="00AE7F95"/>
    <w:pPr>
      <w:numPr>
        <w:numId w:val="1"/>
      </w:numPr>
      <w:shd w:val="clear" w:color="auto" w:fill="FFFFFF"/>
      <w:spacing w:after="0"/>
    </w:pPr>
    <w:rPr>
      <w:rFonts w:eastAsia="Times New Roman" w:cs="Calibri"/>
      <w:b/>
      <w:i/>
      <w:iCs/>
      <w:color w:val="000000"/>
      <w:szCs w:val="22"/>
      <w:lang w:eastAsia="en-AU"/>
    </w:rPr>
  </w:style>
  <w:style w:type="character" w:customStyle="1" w:styleId="BulletChar">
    <w:name w:val="Bullet Char"/>
    <w:basedOn w:val="DefaultParagraphFont"/>
    <w:link w:val="Bullet"/>
    <w:rsid w:val="00AE7F95"/>
    <w:rPr>
      <w:rFonts w:eastAsia="Times New Roman" w:cs="Calibri"/>
      <w:b/>
      <w:i/>
      <w:iCs/>
      <w:color w:val="000000"/>
      <w:sz w:val="22"/>
      <w:szCs w:val="22"/>
      <w:shd w:val="clear" w:color="auto" w:fill="FFFFFF"/>
      <w:lang w:eastAsia="en-AU"/>
    </w:rPr>
  </w:style>
  <w:style w:type="paragraph" w:customStyle="1" w:styleId="Dash">
    <w:name w:val="Dash"/>
    <w:basedOn w:val="Normal"/>
    <w:rsid w:val="00AE7F95"/>
    <w:pPr>
      <w:numPr>
        <w:ilvl w:val="1"/>
        <w:numId w:val="1"/>
      </w:numPr>
      <w:shd w:val="clear" w:color="auto" w:fill="FFFFFF"/>
      <w:spacing w:after="0"/>
    </w:pPr>
    <w:rPr>
      <w:rFonts w:eastAsia="Times New Roman" w:cs="Calibri"/>
      <w:b/>
      <w:i/>
      <w:iCs/>
      <w:color w:val="000000"/>
      <w:szCs w:val="22"/>
      <w:lang w:eastAsia="en-AU"/>
    </w:rPr>
  </w:style>
  <w:style w:type="paragraph" w:customStyle="1" w:styleId="DoubleDot">
    <w:name w:val="Double Dot"/>
    <w:basedOn w:val="Normal"/>
    <w:rsid w:val="00AE7F95"/>
    <w:pPr>
      <w:numPr>
        <w:ilvl w:val="2"/>
        <w:numId w:val="1"/>
      </w:numPr>
      <w:shd w:val="clear" w:color="auto" w:fill="FFFFFF"/>
      <w:spacing w:after="0"/>
    </w:pPr>
    <w:rPr>
      <w:rFonts w:eastAsia="Times New Roman" w:cs="Calibri"/>
      <w:b/>
      <w:i/>
      <w:iCs/>
      <w:color w:val="00000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Consultation%20Cover%20Note.dotx" TargetMode="External"/></Relationships>
</file>

<file path=word/theme/theme1.xml><?xml version="1.0" encoding="utf-8"?>
<a:theme xmlns:a="http://schemas.openxmlformats.org/drawingml/2006/main" name="TSYcorporate">
  <a:themeElements>
    <a:clrScheme name="Corporate">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602178249F74ABFC1699D809FA0F8" ma:contentTypeVersion="" ma:contentTypeDescription="PDMS Document Site Content Type" ma:contentTypeScope="" ma:versionID="f95966df9cd6ae29f864ed2ca744a59e">
  <xsd:schema xmlns:xsd="http://www.w3.org/2001/XMLSchema" xmlns:xs="http://www.w3.org/2001/XMLSchema" xmlns:p="http://schemas.microsoft.com/office/2006/metadata/properties" xmlns:ns2="2BBEB59F-20FE-4928-BE65-E4518214BDE9" targetNamespace="http://schemas.microsoft.com/office/2006/metadata/properties" ma:root="true" ma:fieldsID="88649358d2be2446b6123a81e45c2b60" ns2:_="">
    <xsd:import namespace="2BBEB59F-20FE-4928-BE65-E4518214BD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EB59F-20FE-4928-BE65-E4518214BD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BBEB59F-20FE-4928-BE65-E4518214B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32BF5-9126-47DC-A5B7-82542741B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EB59F-20FE-4928-BE65-E4518214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70BA0-00B4-46F1-92C2-4B73D0AF0403}">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BBEB59F-20FE-4928-BE65-E4518214BDE9"/>
    <ds:schemaRef ds:uri="http://www.w3.org/XML/1998/namespace"/>
  </ds:schemaRefs>
</ds:datastoreItem>
</file>

<file path=customXml/itemProps3.xml><?xml version="1.0" encoding="utf-8"?>
<ds:datastoreItem xmlns:ds="http://schemas.openxmlformats.org/officeDocument/2006/customXml" ds:itemID="{C1439D3B-7082-4F74-9229-266E7301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Consultation Cover Note.dotx</Template>
  <TotalTime>70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Employee Share Schemes - Issue cap: ESS offers for consideration</vt:lpstr>
    </vt:vector>
  </TitlesOfParts>
  <Company>Australian Government - The Treasury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Share Schemes - Issue cap: ESS offers for consideration</dc:title>
  <dc:creator>Treasury</dc:creator>
  <cp:lastModifiedBy>Hill, Christine</cp:lastModifiedBy>
  <cp:revision>6</cp:revision>
  <dcterms:created xsi:type="dcterms:W3CDTF">2021-12-14T03:57:00Z</dcterms:created>
  <dcterms:modified xsi:type="dcterms:W3CDTF">2021-12-19T23:22:00Z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0x010100266966F133664895A6EE3632470D45F500AED602178249F74ABFC1699D809FA0F8</vt:lpwstr>
  </property>
  <property fmtid="{D5CDD505-2E9C-101B-9397-08002B2CF9AE}" pid="3" name="TSYRecordClass">
    <vt:lpwstr>2;#TSY RA-9081 - Retain as national archives|bbf0bcde-1687-4ff2-bc57-f31b5d545d4b</vt:lpwstr>
  </property>
  <property fmtid="{D5CDD505-2E9C-101B-9397-08002B2CF9AE}" pid="4" name="_dlc_DocIdItemGuid">
    <vt:lpwstr>15999bba-19fa-43b4-8e70-e5f7fd8cf870</vt:lpwstr>
  </property>
</Properties>
</file>