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892015"/>
        <w:docPartObj>
          <w:docPartGallery w:val="Cover Pages"/>
          <w:docPartUnique/>
        </w:docPartObj>
      </w:sdtPr>
      <w:sdtEndPr/>
      <w:sdtContent>
        <w:p w14:paraId="2A7B9846" w14:textId="1BB348C6" w:rsidR="00687F39" w:rsidRPr="00D93DA9" w:rsidRDefault="00505DB5" w:rsidP="00505DB5">
          <w:r>
            <w:rPr>
              <w:noProof/>
            </w:rPr>
            <w:drawing>
              <wp:anchor distT="0" distB="0" distL="114300" distR="114300" simplePos="0" relativeHeight="251658240" behindDoc="0" locked="0" layoutInCell="1" allowOverlap="1" wp14:anchorId="79025A29" wp14:editId="38C769EF">
                <wp:simplePos x="0" y="0"/>
                <wp:positionH relativeFrom="page">
                  <wp:align>left</wp:align>
                </wp:positionH>
                <wp:positionV relativeFrom="paragraph">
                  <wp:posOffset>-809625</wp:posOffset>
                </wp:positionV>
                <wp:extent cx="7591182" cy="10737849"/>
                <wp:effectExtent l="0" t="0" r="0" b="6985"/>
                <wp:wrapNone/>
                <wp:docPr id="8" name="Picture 8" descr="Australian Government, The Treasury and Consumer Data Right&#10;Strategic Assessment: Outcomes &#10;Januar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The Treasury and Consumer Data Right&#10;Strategic Assessment: Outcomes &#10;January 20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91182" cy="10737849"/>
                        </a:xfrm>
                        <a:prstGeom prst="rect">
                          <a:avLst/>
                        </a:prstGeom>
                      </pic:spPr>
                    </pic:pic>
                  </a:graphicData>
                </a:graphic>
                <wp14:sizeRelH relativeFrom="margin">
                  <wp14:pctWidth>0</wp14:pctWidth>
                </wp14:sizeRelH>
                <wp14:sizeRelV relativeFrom="margin">
                  <wp14:pctHeight>0</wp14:pctHeight>
                </wp14:sizeRelV>
              </wp:anchor>
            </w:drawing>
          </w:r>
          <w:r w:rsidR="00687F39" w:rsidRPr="00D93DA9">
            <w:br w:type="page"/>
          </w:r>
        </w:p>
        <w:sdt>
          <w:sdtPr>
            <w:rPr>
              <w:rFonts w:eastAsiaTheme="minorHAnsi" w:cstheme="minorBidi"/>
              <w:bCs w:val="0"/>
              <w:color w:val="auto"/>
              <w:sz w:val="22"/>
              <w:szCs w:val="22"/>
              <w:lang w:val="en-AU" w:eastAsia="en-US"/>
            </w:rPr>
            <w:id w:val="617881006"/>
            <w:docPartObj>
              <w:docPartGallery w:val="Table of Contents"/>
              <w:docPartUnique/>
            </w:docPartObj>
          </w:sdtPr>
          <w:sdtEndPr>
            <w:rPr>
              <w:b/>
              <w:noProof/>
            </w:rPr>
          </w:sdtEndPr>
          <w:sdtContent>
            <w:p w14:paraId="628D7D36" w14:textId="03E6BE4A" w:rsidR="00905892" w:rsidRDefault="000D6C1E">
              <w:pPr>
                <w:pStyle w:val="TOCHeading"/>
              </w:pPr>
              <w:r>
                <w:t>C</w:t>
              </w:r>
              <w:r w:rsidR="00905892">
                <w:t>ontents</w:t>
              </w:r>
            </w:p>
            <w:p w14:paraId="2C7DBB2D" w14:textId="2B5293DA" w:rsidR="00881C08" w:rsidRDefault="00905892">
              <w:pPr>
                <w:pStyle w:val="TOC1"/>
                <w:rPr>
                  <w:rFonts w:asciiTheme="minorHAnsi" w:eastAsiaTheme="minorEastAsia" w:hAnsiTheme="minorHAnsi"/>
                  <w:lang w:val="en-AU" w:eastAsia="en-AU"/>
                </w:rPr>
              </w:pPr>
              <w:r>
                <w:fldChar w:fldCharType="begin"/>
              </w:r>
              <w:r>
                <w:instrText xml:space="preserve"> TOC \o "1-3" \h \z \u </w:instrText>
              </w:r>
              <w:r>
                <w:fldChar w:fldCharType="separate"/>
              </w:r>
              <w:hyperlink w:anchor="_Toc89439941" w:history="1">
                <w:r w:rsidR="00881C08" w:rsidRPr="00D90C07">
                  <w:rPr>
                    <w:rStyle w:val="Hyperlink"/>
                    <w:rFonts w:eastAsia="Calibri"/>
                  </w:rPr>
                  <w:t xml:space="preserve">The Consumer Data Right and </w:t>
                </w:r>
                <w:r w:rsidR="00966F1D">
                  <w:rPr>
                    <w:rStyle w:val="Hyperlink"/>
                    <w:rFonts w:eastAsia="Calibri"/>
                  </w:rPr>
                  <w:t>Open Finance</w:t>
                </w:r>
                <w:r w:rsidR="00881C08">
                  <w:rPr>
                    <w:webHidden/>
                  </w:rPr>
                  <w:tab/>
                </w:r>
                <w:r w:rsidR="00881C08">
                  <w:rPr>
                    <w:webHidden/>
                  </w:rPr>
                  <w:fldChar w:fldCharType="begin"/>
                </w:r>
                <w:r w:rsidR="00881C08">
                  <w:rPr>
                    <w:webHidden/>
                  </w:rPr>
                  <w:instrText xml:space="preserve"> PAGEREF _Toc89439941 \h </w:instrText>
                </w:r>
                <w:r w:rsidR="00881C08">
                  <w:rPr>
                    <w:webHidden/>
                  </w:rPr>
                </w:r>
                <w:r w:rsidR="00881C08">
                  <w:rPr>
                    <w:webHidden/>
                  </w:rPr>
                  <w:fldChar w:fldCharType="separate"/>
                </w:r>
                <w:r w:rsidR="00B64F2D">
                  <w:rPr>
                    <w:webHidden/>
                  </w:rPr>
                  <w:t>2</w:t>
                </w:r>
                <w:r w:rsidR="00881C08">
                  <w:rPr>
                    <w:webHidden/>
                  </w:rPr>
                  <w:fldChar w:fldCharType="end"/>
                </w:r>
              </w:hyperlink>
            </w:p>
            <w:p w14:paraId="6E827833" w14:textId="44F46DB0" w:rsidR="00881C08" w:rsidRDefault="00B64F2D">
              <w:pPr>
                <w:pStyle w:val="TOC1"/>
                <w:rPr>
                  <w:rFonts w:asciiTheme="minorHAnsi" w:eastAsiaTheme="minorEastAsia" w:hAnsiTheme="minorHAnsi"/>
                  <w:lang w:val="en-AU" w:eastAsia="en-AU"/>
                </w:rPr>
              </w:pPr>
              <w:hyperlink w:anchor="_Toc89439942" w:history="1">
                <w:r w:rsidR="00881C08" w:rsidRPr="00D90C07">
                  <w:rPr>
                    <w:rStyle w:val="Hyperlink"/>
                    <w:rFonts w:eastAsia="Calibri"/>
                  </w:rPr>
                  <w:t>CDR development</w:t>
                </w:r>
                <w:r w:rsidR="00881C08">
                  <w:rPr>
                    <w:webHidden/>
                  </w:rPr>
                  <w:tab/>
                </w:r>
                <w:r w:rsidR="00881C08">
                  <w:rPr>
                    <w:webHidden/>
                  </w:rPr>
                  <w:fldChar w:fldCharType="begin"/>
                </w:r>
                <w:r w:rsidR="00881C08">
                  <w:rPr>
                    <w:webHidden/>
                  </w:rPr>
                  <w:instrText xml:space="preserve"> PAGEREF _Toc89439942 \h </w:instrText>
                </w:r>
                <w:r w:rsidR="00881C08">
                  <w:rPr>
                    <w:webHidden/>
                  </w:rPr>
                </w:r>
                <w:r w:rsidR="00881C08">
                  <w:rPr>
                    <w:webHidden/>
                  </w:rPr>
                  <w:fldChar w:fldCharType="separate"/>
                </w:r>
                <w:r>
                  <w:rPr>
                    <w:webHidden/>
                  </w:rPr>
                  <w:t>3</w:t>
                </w:r>
                <w:r w:rsidR="00881C08">
                  <w:rPr>
                    <w:webHidden/>
                  </w:rPr>
                  <w:fldChar w:fldCharType="end"/>
                </w:r>
              </w:hyperlink>
            </w:p>
            <w:p w14:paraId="1E4A27FA" w14:textId="3ADC2CE6" w:rsidR="00881C08" w:rsidRDefault="00B64F2D">
              <w:pPr>
                <w:pStyle w:val="TOC1"/>
                <w:rPr>
                  <w:rFonts w:asciiTheme="minorHAnsi" w:eastAsiaTheme="minorEastAsia" w:hAnsiTheme="minorHAnsi"/>
                  <w:lang w:val="en-AU" w:eastAsia="en-AU"/>
                </w:rPr>
              </w:pPr>
              <w:hyperlink w:anchor="_Toc89439943" w:history="1">
                <w:r w:rsidR="00881C08" w:rsidRPr="00D90C07">
                  <w:rPr>
                    <w:rStyle w:val="Hyperlink"/>
                    <w:rFonts w:eastAsia="Calibri"/>
                  </w:rPr>
                  <w:t>Strategic Assessment process</w:t>
                </w:r>
                <w:r w:rsidR="00881C08">
                  <w:rPr>
                    <w:webHidden/>
                  </w:rPr>
                  <w:tab/>
                </w:r>
                <w:r w:rsidR="00881C08">
                  <w:rPr>
                    <w:webHidden/>
                  </w:rPr>
                  <w:fldChar w:fldCharType="begin"/>
                </w:r>
                <w:r w:rsidR="00881C08">
                  <w:rPr>
                    <w:webHidden/>
                  </w:rPr>
                  <w:instrText xml:space="preserve"> PAGEREF _Toc89439943 \h </w:instrText>
                </w:r>
                <w:r w:rsidR="00881C08">
                  <w:rPr>
                    <w:webHidden/>
                  </w:rPr>
                </w:r>
                <w:r w:rsidR="00881C08">
                  <w:rPr>
                    <w:webHidden/>
                  </w:rPr>
                  <w:fldChar w:fldCharType="separate"/>
                </w:r>
                <w:r>
                  <w:rPr>
                    <w:webHidden/>
                  </w:rPr>
                  <w:t>4</w:t>
                </w:r>
                <w:r w:rsidR="00881C08">
                  <w:rPr>
                    <w:webHidden/>
                  </w:rPr>
                  <w:fldChar w:fldCharType="end"/>
                </w:r>
              </w:hyperlink>
            </w:p>
            <w:p w14:paraId="1DEC6795" w14:textId="6AEA4E75" w:rsidR="00881C08" w:rsidRDefault="00B64F2D">
              <w:pPr>
                <w:pStyle w:val="TOC2"/>
                <w:rPr>
                  <w:rFonts w:asciiTheme="minorHAnsi" w:eastAsiaTheme="minorEastAsia" w:hAnsiTheme="minorHAnsi"/>
                  <w:lang w:eastAsia="en-AU"/>
                </w:rPr>
              </w:pPr>
              <w:hyperlink w:anchor="_Toc89439944" w:history="1">
                <w:r w:rsidR="00881C08" w:rsidRPr="00D90C07">
                  <w:rPr>
                    <w:rStyle w:val="Hyperlink"/>
                    <w:rFonts w:eastAsia="Calibri"/>
                  </w:rPr>
                  <w:t>Consultation: who we spoke to and what we heard</w:t>
                </w:r>
                <w:r w:rsidR="00881C08">
                  <w:rPr>
                    <w:webHidden/>
                  </w:rPr>
                  <w:tab/>
                </w:r>
                <w:r w:rsidR="00881C08">
                  <w:rPr>
                    <w:webHidden/>
                  </w:rPr>
                  <w:fldChar w:fldCharType="begin"/>
                </w:r>
                <w:r w:rsidR="00881C08">
                  <w:rPr>
                    <w:webHidden/>
                  </w:rPr>
                  <w:instrText xml:space="preserve"> PAGEREF _Toc89439944 \h </w:instrText>
                </w:r>
                <w:r w:rsidR="00881C08">
                  <w:rPr>
                    <w:webHidden/>
                  </w:rPr>
                </w:r>
                <w:r w:rsidR="00881C08">
                  <w:rPr>
                    <w:webHidden/>
                  </w:rPr>
                  <w:fldChar w:fldCharType="separate"/>
                </w:r>
                <w:r>
                  <w:rPr>
                    <w:webHidden/>
                  </w:rPr>
                  <w:t>5</w:t>
                </w:r>
                <w:r w:rsidR="00881C08">
                  <w:rPr>
                    <w:webHidden/>
                  </w:rPr>
                  <w:fldChar w:fldCharType="end"/>
                </w:r>
              </w:hyperlink>
            </w:p>
            <w:p w14:paraId="66EA8189" w14:textId="6833424B" w:rsidR="00881C08" w:rsidRDefault="00B64F2D">
              <w:pPr>
                <w:pStyle w:val="TOC1"/>
                <w:rPr>
                  <w:rFonts w:asciiTheme="minorHAnsi" w:eastAsiaTheme="minorEastAsia" w:hAnsiTheme="minorHAnsi"/>
                  <w:lang w:val="en-AU" w:eastAsia="en-AU"/>
                </w:rPr>
              </w:pPr>
              <w:hyperlink w:anchor="_Toc89439949" w:history="1">
                <w:r w:rsidR="00881C08" w:rsidRPr="00D90C07">
                  <w:rPr>
                    <w:rStyle w:val="Hyperlink"/>
                    <w:rFonts w:eastAsia="Calibri"/>
                  </w:rPr>
                  <w:t>Strategic Assessment insights</w:t>
                </w:r>
                <w:r w:rsidR="00881C08">
                  <w:rPr>
                    <w:webHidden/>
                  </w:rPr>
                  <w:tab/>
                </w:r>
                <w:r w:rsidR="00881C08">
                  <w:rPr>
                    <w:webHidden/>
                  </w:rPr>
                  <w:fldChar w:fldCharType="begin"/>
                </w:r>
                <w:r w:rsidR="00881C08">
                  <w:rPr>
                    <w:webHidden/>
                  </w:rPr>
                  <w:instrText xml:space="preserve"> PAGEREF _Toc89439949 \h </w:instrText>
                </w:r>
                <w:r w:rsidR="00881C08">
                  <w:rPr>
                    <w:webHidden/>
                  </w:rPr>
                </w:r>
                <w:r w:rsidR="00881C08">
                  <w:rPr>
                    <w:webHidden/>
                  </w:rPr>
                  <w:fldChar w:fldCharType="separate"/>
                </w:r>
                <w:r>
                  <w:rPr>
                    <w:webHidden/>
                  </w:rPr>
                  <w:t>7</w:t>
                </w:r>
                <w:r w:rsidR="00881C08">
                  <w:rPr>
                    <w:webHidden/>
                  </w:rPr>
                  <w:fldChar w:fldCharType="end"/>
                </w:r>
              </w:hyperlink>
            </w:p>
            <w:p w14:paraId="4D78425B" w14:textId="0054DA52" w:rsidR="00881C08" w:rsidRDefault="00B64F2D">
              <w:pPr>
                <w:pStyle w:val="TOC1"/>
                <w:rPr>
                  <w:rFonts w:asciiTheme="minorHAnsi" w:eastAsiaTheme="minorEastAsia" w:hAnsiTheme="minorHAnsi"/>
                  <w:lang w:val="en-AU" w:eastAsia="en-AU"/>
                </w:rPr>
              </w:pPr>
              <w:hyperlink w:anchor="_Toc89439950" w:history="1">
                <w:r w:rsidR="00881C08" w:rsidRPr="00D90C07">
                  <w:rPr>
                    <w:rStyle w:val="Hyperlink"/>
                    <w:rFonts w:eastAsia="Calibri"/>
                  </w:rPr>
                  <w:t>Strategic Assessment outcomes</w:t>
                </w:r>
                <w:r w:rsidR="00881C08">
                  <w:rPr>
                    <w:webHidden/>
                  </w:rPr>
                  <w:tab/>
                </w:r>
                <w:r w:rsidR="00881C08">
                  <w:rPr>
                    <w:webHidden/>
                  </w:rPr>
                  <w:fldChar w:fldCharType="begin"/>
                </w:r>
                <w:r w:rsidR="00881C08">
                  <w:rPr>
                    <w:webHidden/>
                  </w:rPr>
                  <w:instrText xml:space="preserve"> PAGEREF _Toc89439950 \h </w:instrText>
                </w:r>
                <w:r w:rsidR="00881C08">
                  <w:rPr>
                    <w:webHidden/>
                  </w:rPr>
                </w:r>
                <w:r w:rsidR="00881C08">
                  <w:rPr>
                    <w:webHidden/>
                  </w:rPr>
                  <w:fldChar w:fldCharType="separate"/>
                </w:r>
                <w:r>
                  <w:rPr>
                    <w:webHidden/>
                  </w:rPr>
                  <w:t>9</w:t>
                </w:r>
                <w:r w:rsidR="00881C08">
                  <w:rPr>
                    <w:webHidden/>
                  </w:rPr>
                  <w:fldChar w:fldCharType="end"/>
                </w:r>
              </w:hyperlink>
            </w:p>
            <w:p w14:paraId="199671E1" w14:textId="361F1A44" w:rsidR="00881C08" w:rsidRDefault="00B64F2D">
              <w:pPr>
                <w:pStyle w:val="TOC2"/>
                <w:rPr>
                  <w:rFonts w:asciiTheme="minorHAnsi" w:eastAsiaTheme="minorEastAsia" w:hAnsiTheme="minorHAnsi"/>
                  <w:lang w:eastAsia="en-AU"/>
                </w:rPr>
              </w:pPr>
              <w:hyperlink w:anchor="_Toc89439951" w:history="1">
                <w:r w:rsidR="00881C08" w:rsidRPr="00D90C07">
                  <w:rPr>
                    <w:rStyle w:val="Hyperlink"/>
                    <w:rFonts w:eastAsia="Calibri"/>
                  </w:rPr>
                  <w:t>A data purpose</w:t>
                </w:r>
                <w:r w:rsidR="00881C08" w:rsidRPr="00D90C07">
                  <w:rPr>
                    <w:rStyle w:val="Hyperlink"/>
                    <w:rFonts w:eastAsia="Calibri"/>
                  </w:rPr>
                  <w:noBreakHyphen/>
                  <w:t>driven approach will unlock consumer</w:t>
                </w:r>
                <w:r w:rsidR="00881C08" w:rsidRPr="00D90C07">
                  <w:rPr>
                    <w:rStyle w:val="Hyperlink"/>
                    <w:rFonts w:eastAsia="Calibri"/>
                  </w:rPr>
                  <w:noBreakHyphen/>
                  <w:t>centric use cases</w:t>
                </w:r>
                <w:r w:rsidR="00881C08">
                  <w:rPr>
                    <w:webHidden/>
                  </w:rPr>
                  <w:tab/>
                </w:r>
                <w:r w:rsidR="00881C08">
                  <w:rPr>
                    <w:webHidden/>
                  </w:rPr>
                  <w:fldChar w:fldCharType="begin"/>
                </w:r>
                <w:r w:rsidR="00881C08">
                  <w:rPr>
                    <w:webHidden/>
                  </w:rPr>
                  <w:instrText xml:space="preserve"> PAGEREF _Toc89439951 \h </w:instrText>
                </w:r>
                <w:r w:rsidR="00881C08">
                  <w:rPr>
                    <w:webHidden/>
                  </w:rPr>
                </w:r>
                <w:r w:rsidR="00881C08">
                  <w:rPr>
                    <w:webHidden/>
                  </w:rPr>
                  <w:fldChar w:fldCharType="separate"/>
                </w:r>
                <w:r>
                  <w:rPr>
                    <w:webHidden/>
                  </w:rPr>
                  <w:t>9</w:t>
                </w:r>
                <w:r w:rsidR="00881C08">
                  <w:rPr>
                    <w:webHidden/>
                  </w:rPr>
                  <w:fldChar w:fldCharType="end"/>
                </w:r>
              </w:hyperlink>
            </w:p>
            <w:p w14:paraId="3B9B8FE4" w14:textId="3A80A016" w:rsidR="00881C08" w:rsidRDefault="00B64F2D">
              <w:pPr>
                <w:pStyle w:val="TOC2"/>
                <w:rPr>
                  <w:rFonts w:asciiTheme="minorHAnsi" w:eastAsiaTheme="minorEastAsia" w:hAnsiTheme="minorHAnsi"/>
                  <w:lang w:eastAsia="en-AU"/>
                </w:rPr>
              </w:pPr>
              <w:hyperlink w:anchor="_Toc89439952" w:history="1">
                <w:r w:rsidR="00881C08" w:rsidRPr="00D90C07">
                  <w:rPr>
                    <w:rStyle w:val="Hyperlink"/>
                    <w:rFonts w:eastAsia="Calibri"/>
                  </w:rPr>
                  <w:t xml:space="preserve">Building on the success of Open Banking to expand to </w:t>
                </w:r>
                <w:r w:rsidR="00966F1D">
                  <w:rPr>
                    <w:rStyle w:val="Hyperlink"/>
                    <w:rFonts w:eastAsia="Calibri"/>
                  </w:rPr>
                  <w:t>Open Finance</w:t>
                </w:r>
                <w:r w:rsidR="00881C08">
                  <w:rPr>
                    <w:webHidden/>
                  </w:rPr>
                  <w:tab/>
                </w:r>
                <w:r w:rsidR="00881C08">
                  <w:rPr>
                    <w:webHidden/>
                  </w:rPr>
                  <w:fldChar w:fldCharType="begin"/>
                </w:r>
                <w:r w:rsidR="00881C08">
                  <w:rPr>
                    <w:webHidden/>
                  </w:rPr>
                  <w:instrText xml:space="preserve"> PAGEREF _Toc89439952 \h </w:instrText>
                </w:r>
                <w:r w:rsidR="00881C08">
                  <w:rPr>
                    <w:webHidden/>
                  </w:rPr>
                </w:r>
                <w:r w:rsidR="00881C08">
                  <w:rPr>
                    <w:webHidden/>
                  </w:rPr>
                  <w:fldChar w:fldCharType="separate"/>
                </w:r>
                <w:r>
                  <w:rPr>
                    <w:webHidden/>
                  </w:rPr>
                  <w:t>9</w:t>
                </w:r>
                <w:r w:rsidR="00881C08">
                  <w:rPr>
                    <w:webHidden/>
                  </w:rPr>
                  <w:fldChar w:fldCharType="end"/>
                </w:r>
              </w:hyperlink>
            </w:p>
            <w:p w14:paraId="59EBFEC9" w14:textId="69EAA474" w:rsidR="00881C08" w:rsidRDefault="00B64F2D">
              <w:pPr>
                <w:pStyle w:val="TOC2"/>
                <w:rPr>
                  <w:rFonts w:asciiTheme="minorHAnsi" w:eastAsiaTheme="minorEastAsia" w:hAnsiTheme="minorHAnsi"/>
                  <w:lang w:eastAsia="en-AU"/>
                </w:rPr>
              </w:pPr>
              <w:hyperlink w:anchor="_Toc89439953" w:history="1">
                <w:r w:rsidR="00881C08" w:rsidRPr="00D90C07">
                  <w:rPr>
                    <w:rStyle w:val="Hyperlink"/>
                  </w:rPr>
                  <w:t>Access to consumer data held by Government will open up further benefits in an expanded CDR</w:t>
                </w:r>
                <w:r w:rsidR="00881C08">
                  <w:rPr>
                    <w:webHidden/>
                  </w:rPr>
                  <w:tab/>
                </w:r>
                <w:r w:rsidR="00881C08">
                  <w:rPr>
                    <w:webHidden/>
                  </w:rPr>
                  <w:fldChar w:fldCharType="begin"/>
                </w:r>
                <w:r w:rsidR="00881C08">
                  <w:rPr>
                    <w:webHidden/>
                  </w:rPr>
                  <w:instrText xml:space="preserve"> PAGEREF _Toc89439953 \h </w:instrText>
                </w:r>
                <w:r w:rsidR="00881C08">
                  <w:rPr>
                    <w:webHidden/>
                  </w:rPr>
                </w:r>
                <w:r w:rsidR="00881C08">
                  <w:rPr>
                    <w:webHidden/>
                  </w:rPr>
                  <w:fldChar w:fldCharType="separate"/>
                </w:r>
                <w:r>
                  <w:rPr>
                    <w:webHidden/>
                  </w:rPr>
                  <w:t>10</w:t>
                </w:r>
                <w:r w:rsidR="00881C08">
                  <w:rPr>
                    <w:webHidden/>
                  </w:rPr>
                  <w:fldChar w:fldCharType="end"/>
                </w:r>
              </w:hyperlink>
            </w:p>
            <w:p w14:paraId="4D9A4082" w14:textId="0441DEA0" w:rsidR="00881C08" w:rsidRDefault="00B64F2D">
              <w:pPr>
                <w:pStyle w:val="TOC1"/>
                <w:rPr>
                  <w:rFonts w:asciiTheme="minorHAnsi" w:eastAsiaTheme="minorEastAsia" w:hAnsiTheme="minorHAnsi"/>
                  <w:lang w:val="en-AU" w:eastAsia="en-AU"/>
                </w:rPr>
              </w:pPr>
              <w:hyperlink w:anchor="_Toc89439954" w:history="1">
                <w:r w:rsidR="00881C08" w:rsidRPr="00D90C07">
                  <w:rPr>
                    <w:rStyle w:val="Hyperlink"/>
                  </w:rPr>
                  <w:t>Conclusions and next steps</w:t>
                </w:r>
                <w:r w:rsidR="00881C08">
                  <w:rPr>
                    <w:webHidden/>
                  </w:rPr>
                  <w:tab/>
                </w:r>
                <w:r w:rsidR="00881C08">
                  <w:rPr>
                    <w:webHidden/>
                  </w:rPr>
                  <w:fldChar w:fldCharType="begin"/>
                </w:r>
                <w:r w:rsidR="00881C08">
                  <w:rPr>
                    <w:webHidden/>
                  </w:rPr>
                  <w:instrText xml:space="preserve"> PAGEREF _Toc89439954 \h </w:instrText>
                </w:r>
                <w:r w:rsidR="00881C08">
                  <w:rPr>
                    <w:webHidden/>
                  </w:rPr>
                </w:r>
                <w:r w:rsidR="00881C08">
                  <w:rPr>
                    <w:webHidden/>
                  </w:rPr>
                  <w:fldChar w:fldCharType="separate"/>
                </w:r>
                <w:r>
                  <w:rPr>
                    <w:webHidden/>
                  </w:rPr>
                  <w:t>12</w:t>
                </w:r>
                <w:r w:rsidR="00881C08">
                  <w:rPr>
                    <w:webHidden/>
                  </w:rPr>
                  <w:fldChar w:fldCharType="end"/>
                </w:r>
              </w:hyperlink>
            </w:p>
            <w:p w14:paraId="5F4F92D5" w14:textId="3086F07B" w:rsidR="00905892" w:rsidRDefault="00905892">
              <w:r>
                <w:rPr>
                  <w:b/>
                  <w:bCs/>
                  <w:noProof/>
                </w:rPr>
                <w:fldChar w:fldCharType="end"/>
              </w:r>
            </w:p>
          </w:sdtContent>
        </w:sdt>
        <w:p w14:paraId="083EBF65" w14:textId="6A41326C" w:rsidR="006821B7" w:rsidRDefault="009F2BE5" w:rsidP="006821B7">
          <w:r w:rsidRPr="00D93DA9">
            <w:br w:type="page"/>
          </w:r>
        </w:p>
      </w:sdtContent>
    </w:sdt>
    <w:p w14:paraId="5FEE9EC9" w14:textId="59E790B2" w:rsidR="00D30CF6" w:rsidRDefault="00D30CF6" w:rsidP="006821B7">
      <w:pPr>
        <w:pStyle w:val="Heading1"/>
        <w:rPr>
          <w:rFonts w:eastAsia="Calibri"/>
        </w:rPr>
      </w:pPr>
      <w:bookmarkStart w:id="0" w:name="_Toc89439941"/>
      <w:r>
        <w:rPr>
          <w:rFonts w:eastAsia="Calibri"/>
        </w:rPr>
        <w:lastRenderedPageBreak/>
        <w:t xml:space="preserve">The Consumer Data Right and </w:t>
      </w:r>
      <w:bookmarkEnd w:id="0"/>
      <w:r w:rsidR="00966F1D">
        <w:rPr>
          <w:rFonts w:eastAsia="Calibri"/>
        </w:rPr>
        <w:t>Open Finance</w:t>
      </w:r>
    </w:p>
    <w:p w14:paraId="4FDAC024" w14:textId="007B23FA" w:rsidR="005A5C8A" w:rsidRPr="004A7F65" w:rsidRDefault="005A5C8A" w:rsidP="005A5C8A">
      <w:r w:rsidRPr="004A7F65">
        <w:t>The Consumer Data Right (CDR) is a key initiative of the Australian Government</w:t>
      </w:r>
      <w:r w:rsidR="00505DB5">
        <w:t>’</w:t>
      </w:r>
      <w:r w:rsidRPr="004A7F65">
        <w:t>s Digital Economy Strategy and provides the core infrastructure to support an increasingly data</w:t>
      </w:r>
      <w:r w:rsidR="00505DB5">
        <w:noBreakHyphen/>
      </w:r>
      <w:r w:rsidRPr="004A7F65">
        <w:t>driven economy. Like the rest of the economy, the data</w:t>
      </w:r>
      <w:r w:rsidR="00505DB5">
        <w:noBreakHyphen/>
      </w:r>
      <w:r w:rsidRPr="004A7F65">
        <w:t>driven economy is based on transactions in value (including data) between consumers, businesses and government.</w:t>
      </w:r>
      <w:r>
        <w:t xml:space="preserve"> </w:t>
      </w:r>
      <w:r w:rsidRPr="004A7F65">
        <w:t>When data is exchanged within the CDR framework, it puts consumers in the driver</w:t>
      </w:r>
      <w:r w:rsidR="00505DB5">
        <w:t>’</w:t>
      </w:r>
      <w:r w:rsidRPr="004A7F65">
        <w:t>s seat by helping them derive value from data collected and generated about them as a result of their activities and transactions.</w:t>
      </w:r>
    </w:p>
    <w:p w14:paraId="160A02F7" w14:textId="4DDE306C" w:rsidR="005A5C8A" w:rsidRPr="004A7F65" w:rsidRDefault="005A5C8A" w:rsidP="005A5C8A">
      <w:r w:rsidRPr="004A7F65">
        <w:t xml:space="preserve">The core policy objectives of the </w:t>
      </w:r>
      <w:r w:rsidR="00966F1D">
        <w:t>Consumer Data Right (</w:t>
      </w:r>
      <w:r w:rsidRPr="004A7F65">
        <w:t>CDR</w:t>
      </w:r>
      <w:r w:rsidR="00966F1D">
        <w:t>)</w:t>
      </w:r>
      <w:r w:rsidRPr="004A7F65">
        <w:t xml:space="preserve"> have been to </w:t>
      </w:r>
      <w:r w:rsidR="00966F1D">
        <w:t>encourage</w:t>
      </w:r>
      <w:r w:rsidR="00966F1D" w:rsidRPr="004A7F65">
        <w:t xml:space="preserve"> </w:t>
      </w:r>
      <w:r w:rsidRPr="004A7F65">
        <w:t>competition</w:t>
      </w:r>
      <w:r w:rsidR="00966F1D">
        <w:t xml:space="preserve"> and </w:t>
      </w:r>
      <w:r w:rsidRPr="004A7F65">
        <w:t>greater access to previously unavailable information</w:t>
      </w:r>
      <w:r w:rsidR="00966F1D">
        <w:t xml:space="preserve">, as well as </w:t>
      </w:r>
      <w:r w:rsidRPr="004A7F65">
        <w:t xml:space="preserve">support new entrants into sectors to drive innovation and enhance product and service offerings. </w:t>
      </w:r>
    </w:p>
    <w:p w14:paraId="19208810" w14:textId="234A8021" w:rsidR="005A5C8A" w:rsidRPr="004A7F65" w:rsidRDefault="005A5C8A" w:rsidP="005A5C8A">
      <w:r w:rsidRPr="004A7F65">
        <w:t>Treasury</w:t>
      </w:r>
      <w:r w:rsidR="00505DB5">
        <w:t>’</w:t>
      </w:r>
      <w:r w:rsidRPr="004A7F65">
        <w:t xml:space="preserve">s recent Strategic Assessment consultation process highlighted the potential for the CDR to deliver so much more than these core objectives </w:t>
      </w:r>
      <w:r w:rsidR="007A0847">
        <w:t>—</w:t>
      </w:r>
      <w:r w:rsidRPr="004A7F65">
        <w:t xml:space="preserve"> it has the potential to truly underpin and support a world</w:t>
      </w:r>
      <w:r w:rsidR="00505DB5">
        <w:noBreakHyphen/>
      </w:r>
      <w:r w:rsidRPr="004A7F65">
        <w:t>leading</w:t>
      </w:r>
      <w:r>
        <w:t>,</w:t>
      </w:r>
      <w:r w:rsidRPr="004A7F65">
        <w:t xml:space="preserve"> data</w:t>
      </w:r>
      <w:r w:rsidR="00505DB5">
        <w:noBreakHyphen/>
      </w:r>
      <w:r w:rsidRPr="004A7F65">
        <w:t>driven economy by providing an extensible data</w:t>
      </w:r>
      <w:r w:rsidR="00505DB5">
        <w:noBreakHyphen/>
      </w:r>
      <w:r w:rsidRPr="004A7F65">
        <w:t>sharing platform.</w:t>
      </w:r>
    </w:p>
    <w:p w14:paraId="1010887C" w14:textId="5FF8FE3A" w:rsidR="005A5C8A" w:rsidRDefault="005A5C8A" w:rsidP="005A5C8A">
      <w:r>
        <w:t xml:space="preserve">Following this consultation and a public submission process, </w:t>
      </w:r>
      <w:r w:rsidR="00505DB5">
        <w:t>‘</w:t>
      </w:r>
      <w:r w:rsidR="00966F1D">
        <w:t>Open Finance</w:t>
      </w:r>
      <w:r w:rsidR="00505DB5">
        <w:t>’</w:t>
      </w:r>
      <w:r>
        <w:t xml:space="preserve"> has been identified as the next priority area to grow the CDR. </w:t>
      </w:r>
      <w:r w:rsidR="00966F1D">
        <w:t>Open Finance</w:t>
      </w:r>
      <w:r>
        <w:t xml:space="preserve"> will bring targeted </w:t>
      </w:r>
      <w:r w:rsidR="001974E3">
        <w:t>datasets</w:t>
      </w:r>
      <w:r>
        <w:t xml:space="preserve"> from </w:t>
      </w:r>
      <w:r w:rsidR="008F4948">
        <w:t xml:space="preserve">across </w:t>
      </w:r>
      <w:r>
        <w:t>general insurance, superannuation</w:t>
      </w:r>
      <w:r w:rsidR="0064500B">
        <w:t xml:space="preserve">, merchant </w:t>
      </w:r>
      <w:r w:rsidR="008F4948">
        <w:t>acquiring</w:t>
      </w:r>
      <w:r>
        <w:t xml:space="preserve"> and non</w:t>
      </w:r>
      <w:r w:rsidR="00505DB5">
        <w:noBreakHyphen/>
      </w:r>
      <w:r>
        <w:t xml:space="preserve">bank lending </w:t>
      </w:r>
      <w:r w:rsidR="008F4948">
        <w:t>service providers</w:t>
      </w:r>
      <w:r w:rsidR="008209AF">
        <w:t xml:space="preserve"> </w:t>
      </w:r>
      <w:r>
        <w:t xml:space="preserve">into the CDR. </w:t>
      </w:r>
      <w:r w:rsidR="00E76DDE">
        <w:t>In addition,</w:t>
      </w:r>
      <w:r w:rsidR="00477F62">
        <w:t xml:space="preserve"> the process also identifi</w:t>
      </w:r>
      <w:r w:rsidR="00390A17">
        <w:t>ed that e</w:t>
      </w:r>
      <w:r w:rsidR="00477F62" w:rsidRPr="001F3116">
        <w:rPr>
          <w:rFonts w:cs="Arial"/>
        </w:rPr>
        <w:t xml:space="preserve">xpanding the CDR to </w:t>
      </w:r>
      <w:r w:rsidR="001625C7">
        <w:rPr>
          <w:rFonts w:cs="Arial"/>
        </w:rPr>
        <w:t xml:space="preserve">complementary </w:t>
      </w:r>
      <w:r w:rsidR="00477F62" w:rsidRPr="001F3116">
        <w:rPr>
          <w:rFonts w:cs="Arial"/>
        </w:rPr>
        <w:t>government</w:t>
      </w:r>
      <w:r w:rsidR="001625C7">
        <w:rPr>
          <w:rFonts w:cs="Arial"/>
        </w:rPr>
        <w:t>-held datasets</w:t>
      </w:r>
      <w:r w:rsidR="00477F62" w:rsidRPr="001F3116">
        <w:rPr>
          <w:rFonts w:cs="Arial"/>
        </w:rPr>
        <w:t xml:space="preserve"> </w:t>
      </w:r>
      <w:r w:rsidR="000E3A75">
        <w:rPr>
          <w:rFonts w:cs="Arial"/>
        </w:rPr>
        <w:t>may</w:t>
      </w:r>
      <w:r w:rsidR="00477F62" w:rsidRPr="001F3116">
        <w:rPr>
          <w:rFonts w:cs="Arial"/>
        </w:rPr>
        <w:t xml:space="preserve"> also significantly enhance </w:t>
      </w:r>
      <w:r w:rsidR="001625C7">
        <w:rPr>
          <w:rFonts w:cs="Arial"/>
        </w:rPr>
        <w:t xml:space="preserve">the </w:t>
      </w:r>
      <w:r w:rsidR="00477F62" w:rsidRPr="001F3116">
        <w:rPr>
          <w:rFonts w:cs="Arial"/>
        </w:rPr>
        <w:t>user experience and utility of</w:t>
      </w:r>
      <w:r w:rsidR="00477F62">
        <w:rPr>
          <w:rFonts w:cs="Arial"/>
        </w:rPr>
        <w:t xml:space="preserve"> </w:t>
      </w:r>
      <w:r w:rsidR="00477F62" w:rsidRPr="001F3116">
        <w:rPr>
          <w:rFonts w:cs="Arial"/>
        </w:rPr>
        <w:t>CDR.</w:t>
      </w:r>
      <w:r w:rsidR="00B26DAC">
        <w:t xml:space="preserve"> </w:t>
      </w:r>
      <w:r>
        <w:t xml:space="preserve">Introducing data from </w:t>
      </w:r>
      <w:r w:rsidR="00AD479F">
        <w:t xml:space="preserve">across </w:t>
      </w:r>
      <w:r>
        <w:t>general insurance</w:t>
      </w:r>
      <w:r w:rsidR="00871BD7">
        <w:t>,</w:t>
      </w:r>
      <w:r w:rsidR="00AD479F">
        <w:t xml:space="preserve"> superannuation,</w:t>
      </w:r>
      <w:r w:rsidR="00871BD7">
        <w:t xml:space="preserve"> merchant </w:t>
      </w:r>
      <w:proofErr w:type="gramStart"/>
      <w:r w:rsidR="00060589">
        <w:t>acquiring</w:t>
      </w:r>
      <w:proofErr w:type="gramEnd"/>
      <w:r>
        <w:t xml:space="preserve"> and </w:t>
      </w:r>
      <w:r w:rsidR="00AD479F">
        <w:t xml:space="preserve">non-bank lending </w:t>
      </w:r>
      <w:r>
        <w:t xml:space="preserve">will build on the growing momentum of Open Banking by spurring rapid product development that gives consumers access to better deals and a more complete view of their finances. Consumers will also benefit from greater control over every part of their financial lives, including their savings, loans, assets and financial planning. </w:t>
      </w:r>
    </w:p>
    <w:p w14:paraId="1D5A3BB5" w14:textId="7490484D" w:rsidR="001F3116" w:rsidRDefault="00966F1D" w:rsidP="005A5C8A">
      <w:r>
        <w:t>Open Finance</w:t>
      </w:r>
      <w:r w:rsidR="005A5C8A">
        <w:t xml:space="preserve"> will be implemented in phases involving the assessment and designation of key </w:t>
      </w:r>
      <w:r w:rsidR="001974E3">
        <w:t>datasets</w:t>
      </w:r>
      <w:r w:rsidR="005A5C8A">
        <w:t xml:space="preserve"> within the superannuation</w:t>
      </w:r>
      <w:r w:rsidR="001D00F1">
        <w:t xml:space="preserve">, </w:t>
      </w:r>
      <w:r w:rsidR="005A5C8A">
        <w:t xml:space="preserve">and general insurance sectors </w:t>
      </w:r>
      <w:r w:rsidR="00475DD4">
        <w:t xml:space="preserve">and </w:t>
      </w:r>
      <w:r w:rsidR="00AC10CE">
        <w:t xml:space="preserve">merchant acquiring and non-bank lending service providers </w:t>
      </w:r>
      <w:r w:rsidR="005A5C8A">
        <w:t>in 2022. To maximise efficiency of implementation and scale</w:t>
      </w:r>
      <w:r w:rsidR="00505DB5">
        <w:noBreakHyphen/>
      </w:r>
      <w:r w:rsidR="005A5C8A">
        <w:t>up of the CDR and support a rich data</w:t>
      </w:r>
      <w:r w:rsidR="00505DB5">
        <w:noBreakHyphen/>
      </w:r>
      <w:r w:rsidR="005A5C8A">
        <w:t xml:space="preserve">ecosystem, a targeted </w:t>
      </w:r>
      <w:r w:rsidR="001974E3">
        <w:t>dataset</w:t>
      </w:r>
      <w:r w:rsidR="005A5C8A">
        <w:t xml:space="preserve"> approach will be adopted that prioritises and sequences assessment, </w:t>
      </w:r>
      <w:proofErr w:type="gramStart"/>
      <w:r w:rsidR="005A5C8A">
        <w:t>designation</w:t>
      </w:r>
      <w:proofErr w:type="gramEnd"/>
      <w:r w:rsidR="005A5C8A">
        <w:t xml:space="preserve"> and implementation of </w:t>
      </w:r>
      <w:r w:rsidR="00963CA2">
        <w:t xml:space="preserve">the </w:t>
      </w:r>
      <w:r w:rsidR="005A5C8A">
        <w:t>CDR across these sectors.</w:t>
      </w:r>
    </w:p>
    <w:p w14:paraId="6550B923" w14:textId="1BE71670" w:rsidR="006821B7" w:rsidRDefault="006821B7" w:rsidP="005A5C8A">
      <w:r>
        <w:br w:type="page"/>
      </w:r>
    </w:p>
    <w:p w14:paraId="5DA6A101" w14:textId="77777777" w:rsidR="005A5C8A" w:rsidRPr="000D6731" w:rsidRDefault="005A5C8A" w:rsidP="005A5C8A">
      <w:pPr>
        <w:pStyle w:val="Heading1"/>
        <w:rPr>
          <w:rFonts w:eastAsia="Calibri"/>
        </w:rPr>
      </w:pPr>
      <w:bookmarkStart w:id="1" w:name="_Toc89439942"/>
      <w:r>
        <w:rPr>
          <w:rFonts w:eastAsia="Calibri"/>
        </w:rPr>
        <w:lastRenderedPageBreak/>
        <w:t>CDR development</w:t>
      </w:r>
      <w:bookmarkEnd w:id="1"/>
    </w:p>
    <w:p w14:paraId="5C7B8F55" w14:textId="57D14D83" w:rsidR="005A5C8A" w:rsidRPr="00C02AEF" w:rsidRDefault="005A5C8A" w:rsidP="004C0A7B">
      <w:r>
        <w:t>As</w:t>
      </w:r>
      <w:r w:rsidRPr="00C02AEF">
        <w:t xml:space="preserve"> a world</w:t>
      </w:r>
      <w:r w:rsidR="00505DB5">
        <w:noBreakHyphen/>
      </w:r>
      <w:r w:rsidRPr="00C02AEF">
        <w:t>leading economic reform with a rolling program of expansion across the economy and a partnership with the private sector to encourage investment in data</w:t>
      </w:r>
      <w:r w:rsidR="00505DB5">
        <w:noBreakHyphen/>
      </w:r>
      <w:r w:rsidRPr="00C02AEF">
        <w:t>driven innovation</w:t>
      </w:r>
      <w:r w:rsidR="00963CA2">
        <w:t>, t</w:t>
      </w:r>
      <w:r>
        <w:t xml:space="preserve">he </w:t>
      </w:r>
      <w:r w:rsidRPr="00C02AEF">
        <w:t>CDR supports more innovative and consumer</w:t>
      </w:r>
      <w:r w:rsidR="00505DB5">
        <w:noBreakHyphen/>
      </w:r>
      <w:r w:rsidRPr="00C02AEF">
        <w:t>oriented services,</w:t>
      </w:r>
      <w:r w:rsidR="00963CA2">
        <w:t xml:space="preserve"> as well as</w:t>
      </w:r>
      <w:r w:rsidRPr="00C02AEF">
        <w:t xml:space="preserve"> </w:t>
      </w:r>
      <w:r w:rsidR="009B6932">
        <w:t xml:space="preserve">the </w:t>
      </w:r>
      <w:r w:rsidRPr="00C02AEF">
        <w:t>digitalisation of business</w:t>
      </w:r>
      <w:r w:rsidR="00963CA2">
        <w:t>. It also</w:t>
      </w:r>
      <w:r w:rsidRPr="00C02AEF">
        <w:t xml:space="preserve"> has the potential to address increasing information asymmetries in some areas of the economy </w:t>
      </w:r>
      <w:r>
        <w:t>that</w:t>
      </w:r>
      <w:r w:rsidRPr="00C02AEF">
        <w:t xml:space="preserve"> create barriers for new entrants and, importantly, provides safer and more secure rails for sharing data.</w:t>
      </w:r>
    </w:p>
    <w:p w14:paraId="0B36A645" w14:textId="530BA33E" w:rsidR="005A5C8A" w:rsidRPr="00C02AEF" w:rsidRDefault="005A5C8A" w:rsidP="004C0A7B">
      <w:r w:rsidRPr="00C02AEF">
        <w:t>The success of the CDR depends on creating a thriving innovation ecosystem</w:t>
      </w:r>
      <w:r>
        <w:t xml:space="preserve">. </w:t>
      </w:r>
      <w:bookmarkStart w:id="2" w:name="_Hlk83973048"/>
      <w:r w:rsidR="00A338AB">
        <w:t>The CDR</w:t>
      </w:r>
      <w:r w:rsidR="00A338AB" w:rsidRPr="00C02AEF">
        <w:t xml:space="preserve"> </w:t>
      </w:r>
      <w:r w:rsidRPr="00C02AEF">
        <w:t>provides the legal framework to encourage data</w:t>
      </w:r>
      <w:r w:rsidR="00505DB5">
        <w:noBreakHyphen/>
      </w:r>
      <w:r w:rsidRPr="00C02AEF">
        <w:t xml:space="preserve">driven innovation </w:t>
      </w:r>
      <w:r>
        <w:t xml:space="preserve">from private sector companies who create </w:t>
      </w:r>
      <w:r w:rsidRPr="00C02AEF">
        <w:t>value</w:t>
      </w:r>
      <w:r w:rsidR="00505DB5">
        <w:noBreakHyphen/>
      </w:r>
      <w:r w:rsidRPr="00C02AEF">
        <w:t>added products and services consumers want</w:t>
      </w:r>
      <w:r>
        <w:t xml:space="preserve"> </w:t>
      </w:r>
      <w:r w:rsidR="007A0847">
        <w:t>—</w:t>
      </w:r>
      <w:r>
        <w:t xml:space="preserve"> a true public</w:t>
      </w:r>
      <w:r w:rsidR="00505DB5">
        <w:noBreakHyphen/>
      </w:r>
      <w:r>
        <w:t>private partnership that</w:t>
      </w:r>
      <w:r w:rsidRPr="00C02AEF">
        <w:t xml:space="preserve"> will continue to grow as more </w:t>
      </w:r>
      <w:r w:rsidR="001974E3">
        <w:t>datasets</w:t>
      </w:r>
      <w:r w:rsidRPr="00C02AEF">
        <w:t xml:space="preserve"> become available and support cross</w:t>
      </w:r>
      <w:r w:rsidR="00505DB5">
        <w:noBreakHyphen/>
      </w:r>
      <w:r w:rsidRPr="00C02AEF">
        <w:t>sectoral innovation.</w:t>
      </w:r>
    </w:p>
    <w:p w14:paraId="4A95583E" w14:textId="68860B6C" w:rsidR="005A5C8A" w:rsidRPr="00955A74" w:rsidRDefault="005A5C8A" w:rsidP="004C0A7B">
      <w:pPr>
        <w:rPr>
          <w:rFonts w:ascii="Calibri" w:hAnsi="Calibri"/>
        </w:rPr>
      </w:pPr>
      <w:r w:rsidRPr="00FA4169">
        <w:t>Since the introduction of the CDR to the banking sector in July 2020</w:t>
      </w:r>
      <w:r>
        <w:t xml:space="preserve">, </w:t>
      </w:r>
      <w:bookmarkEnd w:id="2"/>
      <w:r w:rsidR="00955A74">
        <w:rPr>
          <w:color w:val="000000"/>
        </w:rPr>
        <w:t>the number of accredited data recipients (ADRs) has been steadily growing; as of 18 January 2022, there are 26 ADRs, 11 of which are active.</w:t>
      </w:r>
      <w:r w:rsidR="00955A74">
        <w:rPr>
          <w:rFonts w:ascii="Calibri" w:hAnsi="Calibri"/>
        </w:rPr>
        <w:t xml:space="preserve"> </w:t>
      </w:r>
      <w:r>
        <w:t xml:space="preserve">We </w:t>
      </w:r>
      <w:r w:rsidRPr="00C02AEF">
        <w:t xml:space="preserve">expect </w:t>
      </w:r>
      <w:r>
        <w:t>those</w:t>
      </w:r>
      <w:r w:rsidRPr="00C02AEF">
        <w:t xml:space="preserve"> number</w:t>
      </w:r>
      <w:r>
        <w:t>s</w:t>
      </w:r>
      <w:r w:rsidRPr="00C02AEF">
        <w:t xml:space="preserve"> </w:t>
      </w:r>
      <w:r>
        <w:t>to continue growing</w:t>
      </w:r>
      <w:r w:rsidRPr="00C02AEF">
        <w:t xml:space="preserve"> with the </w:t>
      </w:r>
      <w:r w:rsidR="00A338AB">
        <w:t xml:space="preserve">CDR’s </w:t>
      </w:r>
      <w:r w:rsidRPr="00C02AEF">
        <w:t>expansion across the economy.</w:t>
      </w:r>
    </w:p>
    <w:p w14:paraId="5E671EAF" w14:textId="5AF8FA1F" w:rsidR="005A5C8A" w:rsidRPr="00C02AEF" w:rsidRDefault="005A5C8A" w:rsidP="004C0A7B">
      <w:r w:rsidRPr="00C02AEF">
        <w:t>ADRs are already using the CDR to provide services to consumers</w:t>
      </w:r>
      <w:r>
        <w:t>,</w:t>
      </w:r>
      <w:r w:rsidRPr="00C02AEF">
        <w:t xml:space="preserve"> such as budgeting, bill payment and financial management apps, streamlined credit approval processes, the creation of in</w:t>
      </w:r>
      <w:r w:rsidR="00505DB5">
        <w:noBreakHyphen/>
      </w:r>
      <w:r w:rsidRPr="00C02AEF">
        <w:t>depth financial overviews to assist consumers on their home</w:t>
      </w:r>
      <w:r w:rsidR="00CB1D79">
        <w:t>-</w:t>
      </w:r>
      <w:r w:rsidRPr="00C02AEF">
        <w:t xml:space="preserve">buying journey, and the use of financial transaction data combined with COVID location data to alert a consumer if they have been to a COVID hotspot. </w:t>
      </w:r>
    </w:p>
    <w:p w14:paraId="35110973" w14:textId="77777777" w:rsidR="005A5C8A" w:rsidRPr="00C02AEF" w:rsidRDefault="005A5C8A" w:rsidP="004C0A7B">
      <w:r>
        <w:t>In November 2021, r</w:t>
      </w:r>
      <w:r w:rsidRPr="00C02AEF">
        <w:t xml:space="preserve">ules </w:t>
      </w:r>
      <w:r>
        <w:t>were m</w:t>
      </w:r>
      <w:r w:rsidRPr="00C02AEF">
        <w:t>ade t</w:t>
      </w:r>
      <w:r>
        <w:t>hat</w:t>
      </w:r>
      <w:r w:rsidRPr="00C02AEF">
        <w:t xml:space="preserve"> implement </w:t>
      </w:r>
      <w:r>
        <w:t xml:space="preserve">the </w:t>
      </w:r>
      <w:r w:rsidRPr="00C02AEF">
        <w:t>CDR in the energy sector</w:t>
      </w:r>
      <w:r>
        <w:t xml:space="preserve">. Product data will be available from October 2022 to provide consumers with better information about energy product and service offerings and support more detailed comparison services, followed by phase one of consumer data from 15 November 2022. </w:t>
      </w:r>
    </w:p>
    <w:p w14:paraId="7E89AFED" w14:textId="77777777" w:rsidR="00955A74" w:rsidRDefault="00955A74">
      <w:pPr>
        <w:spacing w:before="200" w:after="0" w:line="240" w:lineRule="auto"/>
        <w:rPr>
          <w:color w:val="000000"/>
        </w:rPr>
      </w:pPr>
      <w:r>
        <w:rPr>
          <w:color w:val="000000"/>
        </w:rPr>
        <w:t xml:space="preserve">Expansion to the third sector, telecommunications, is also underway with the publication of a detailed sectoral assessment in November 2021 and the finalisation of the telecommunications </w:t>
      </w:r>
      <w:r>
        <w:t>designation</w:t>
      </w:r>
      <w:r>
        <w:rPr>
          <w:color w:val="000000"/>
        </w:rPr>
        <w:t xml:space="preserve"> instrument. With the designation instrument now made, work will begin on developing telecommunications specific rules and standards.</w:t>
      </w:r>
    </w:p>
    <w:p w14:paraId="7871B9F7" w14:textId="539424AC" w:rsidR="004C0A7B" w:rsidRDefault="00955A74">
      <w:pPr>
        <w:spacing w:before="200" w:after="0" w:line="240" w:lineRule="auto"/>
      </w:pPr>
      <w:r>
        <w:t xml:space="preserve">In December 2021, the Government released its response to the Final Report of the </w:t>
      </w:r>
      <w:r>
        <w:rPr>
          <w:i/>
          <w:iCs/>
        </w:rPr>
        <w:t>Inquiry into Future Directions for the Consumer Data Right</w:t>
      </w:r>
      <w:r>
        <w:t xml:space="preserve">. The Government’s response commits to significantly strengthen and deepen the CDR’s functionality through implementing third-party action and payment initiation, along with other recommendations to grow the CDR ecosystem and foster greater international engagement. </w:t>
      </w:r>
      <w:r w:rsidR="004C0A7B">
        <w:br w:type="page"/>
      </w:r>
    </w:p>
    <w:p w14:paraId="6E85F60F" w14:textId="77777777" w:rsidR="005A5C8A" w:rsidRPr="0080552C" w:rsidRDefault="005A5C8A" w:rsidP="005A5C8A">
      <w:pPr>
        <w:pStyle w:val="Heading1"/>
        <w:rPr>
          <w:rFonts w:eastAsia="Calibri"/>
        </w:rPr>
      </w:pPr>
      <w:bookmarkStart w:id="3" w:name="_Toc77607523"/>
      <w:bookmarkStart w:id="4" w:name="_Toc89439943"/>
      <w:r w:rsidRPr="0080552C">
        <w:rPr>
          <w:rFonts w:eastAsia="Calibri"/>
        </w:rPr>
        <w:lastRenderedPageBreak/>
        <w:t xml:space="preserve">Strategic </w:t>
      </w:r>
      <w:r>
        <w:rPr>
          <w:rFonts w:eastAsia="Calibri"/>
        </w:rPr>
        <w:t>A</w:t>
      </w:r>
      <w:r w:rsidRPr="0080552C">
        <w:rPr>
          <w:rFonts w:eastAsia="Calibri"/>
        </w:rPr>
        <w:t>ssessment process</w:t>
      </w:r>
      <w:bookmarkEnd w:id="3"/>
      <w:bookmarkEnd w:id="4"/>
      <w:r>
        <w:rPr>
          <w:rFonts w:eastAsia="Calibri"/>
        </w:rPr>
        <w:t xml:space="preserve"> </w:t>
      </w:r>
    </w:p>
    <w:p w14:paraId="243D9D34" w14:textId="511438EC" w:rsidR="005A5C8A" w:rsidRDefault="005A5C8A" w:rsidP="005A5C8A">
      <w:r>
        <w:t xml:space="preserve">As announced </w:t>
      </w:r>
      <w:r w:rsidRPr="008E63D4">
        <w:t>in the 2021</w:t>
      </w:r>
      <w:r w:rsidR="00AC4497">
        <w:t>–</w:t>
      </w:r>
      <w:r w:rsidRPr="008E63D4">
        <w:t>22 Budget</w:t>
      </w:r>
      <w:r>
        <w:t xml:space="preserve">, to inform the next phase of the </w:t>
      </w:r>
      <w:r w:rsidRPr="008E63D4">
        <w:t>economy</w:t>
      </w:r>
      <w:r w:rsidR="00505DB5">
        <w:noBreakHyphen/>
      </w:r>
      <w:r w:rsidRPr="008E63D4">
        <w:t>wide roll</w:t>
      </w:r>
      <w:r w:rsidR="00505DB5">
        <w:noBreakHyphen/>
      </w:r>
      <w:r w:rsidRPr="008E63D4">
        <w:t>out of the CDR</w:t>
      </w:r>
      <w:r>
        <w:t xml:space="preserve">, </w:t>
      </w:r>
      <w:r w:rsidRPr="008E63D4">
        <w:t xml:space="preserve">Treasury </w:t>
      </w:r>
      <w:r>
        <w:t xml:space="preserve">undertook a rapid, </w:t>
      </w:r>
      <w:r w:rsidRPr="0080552C">
        <w:rPr>
          <w:rFonts w:eastAsia="Times New Roman" w:cs="Times New Roman"/>
          <w:color w:val="000000"/>
          <w:szCs w:val="20"/>
          <w:lang w:eastAsia="en-AU"/>
        </w:rPr>
        <w:t>high</w:t>
      </w:r>
      <w:r w:rsidR="00505DB5">
        <w:rPr>
          <w:rFonts w:eastAsia="Times New Roman" w:cs="Times New Roman"/>
          <w:color w:val="000000"/>
          <w:szCs w:val="20"/>
          <w:lang w:eastAsia="en-AU"/>
        </w:rPr>
        <w:noBreakHyphen/>
      </w:r>
      <w:r w:rsidRPr="0080552C">
        <w:rPr>
          <w:rFonts w:eastAsia="Times New Roman" w:cs="Times New Roman"/>
          <w:color w:val="000000"/>
          <w:szCs w:val="20"/>
          <w:lang w:eastAsia="en-AU"/>
        </w:rPr>
        <w:t xml:space="preserve">level assessment of sectors and </w:t>
      </w:r>
      <w:r w:rsidR="001974E3">
        <w:rPr>
          <w:rFonts w:eastAsia="Times New Roman" w:cs="Times New Roman"/>
          <w:color w:val="000000"/>
          <w:szCs w:val="20"/>
          <w:lang w:eastAsia="en-AU"/>
        </w:rPr>
        <w:t>datasets</w:t>
      </w:r>
      <w:r w:rsidRPr="0080552C">
        <w:rPr>
          <w:rFonts w:eastAsia="Times New Roman" w:cs="Times New Roman"/>
          <w:color w:val="000000"/>
          <w:szCs w:val="20"/>
          <w:lang w:eastAsia="en-AU"/>
        </w:rPr>
        <w:t xml:space="preserve"> across the economy. </w:t>
      </w:r>
      <w:r>
        <w:rPr>
          <w:rFonts w:eastAsia="Times New Roman" w:cs="Times New Roman"/>
          <w:color w:val="000000"/>
          <w:szCs w:val="20"/>
          <w:lang w:eastAsia="en-AU"/>
        </w:rPr>
        <w:t xml:space="preserve">The process involved </w:t>
      </w:r>
      <w:r w:rsidRPr="008E63D4">
        <w:t>wide</w:t>
      </w:r>
      <w:r w:rsidR="00505DB5">
        <w:noBreakHyphen/>
      </w:r>
      <w:r w:rsidRPr="008E63D4">
        <w:t xml:space="preserve">ranging consultation with domestic and international stakeholders in industry and government, </w:t>
      </w:r>
      <w:r>
        <w:t xml:space="preserve">and </w:t>
      </w:r>
      <w:r w:rsidRPr="008E63D4">
        <w:t>a six</w:t>
      </w:r>
      <w:r w:rsidR="00505DB5">
        <w:noBreakHyphen/>
      </w:r>
      <w:r w:rsidRPr="008E63D4">
        <w:t>week public consultation process</w:t>
      </w:r>
      <w:r>
        <w:t xml:space="preserve"> supported by a consultation paper</w:t>
      </w:r>
      <w:r w:rsidRPr="008E63D4">
        <w:t>.</w:t>
      </w:r>
    </w:p>
    <w:p w14:paraId="6AC4A230" w14:textId="5D6174A5" w:rsidR="002B336D" w:rsidRDefault="005A5C8A" w:rsidP="005A5C8A">
      <w:r w:rsidRPr="008E63D4">
        <w:rPr>
          <w:rFonts w:eastAsia="Calibri" w:cs="Times New Roman"/>
        </w:rPr>
        <w:t xml:space="preserve">The Strategic Assessment provided an opportunity </w:t>
      </w:r>
      <w:r w:rsidRPr="00D1338A">
        <w:t>to step</w:t>
      </w:r>
      <w:r>
        <w:t xml:space="preserve"> </w:t>
      </w:r>
      <w:r w:rsidRPr="00D1338A">
        <w:t xml:space="preserve">back and assess the most effective approach to successful CDR implementation across the economy, with a focus on spurring ecosystem growth and delivering tangible consumer benefits. </w:t>
      </w:r>
    </w:p>
    <w:p w14:paraId="5C8BDCA9" w14:textId="486D6CD4" w:rsidR="005A2495" w:rsidRDefault="005A2495" w:rsidP="005A2495">
      <w:pPr>
        <w:keepNext/>
        <w:keepLines/>
        <w:spacing w:before="120" w:after="120"/>
        <w:rPr>
          <w:rFonts w:eastAsia="Calibri" w:cs="Times New Roman"/>
        </w:rPr>
      </w:pPr>
      <w:r>
        <w:t>The c</w:t>
      </w:r>
      <w:r w:rsidRPr="0080552C">
        <w:t xml:space="preserve">onsultation </w:t>
      </w:r>
      <w:r>
        <w:t xml:space="preserve">process sought feedback on whether </w:t>
      </w:r>
      <w:r w:rsidRPr="000D6731">
        <w:rPr>
          <w:rFonts w:eastAsia="Times New Roman" w:cs="Times New Roman"/>
          <w:color w:val="000000"/>
          <w:szCs w:val="20"/>
          <w:lang w:eastAsia="en-AU"/>
        </w:rPr>
        <w:t>implementation should continue to adopt a sector</w:t>
      </w:r>
      <w:r>
        <w:rPr>
          <w:rFonts w:eastAsia="Times New Roman" w:cs="Times New Roman"/>
          <w:color w:val="000000"/>
          <w:szCs w:val="20"/>
          <w:lang w:eastAsia="en-AU"/>
        </w:rPr>
        <w:noBreakHyphen/>
      </w:r>
      <w:r w:rsidRPr="000D6731">
        <w:rPr>
          <w:rFonts w:eastAsia="Times New Roman" w:cs="Times New Roman"/>
          <w:color w:val="000000"/>
          <w:szCs w:val="20"/>
          <w:lang w:eastAsia="en-AU"/>
        </w:rPr>
        <w:t>by</w:t>
      </w:r>
      <w:r>
        <w:rPr>
          <w:rFonts w:eastAsia="Times New Roman" w:cs="Times New Roman"/>
          <w:color w:val="000000"/>
          <w:szCs w:val="20"/>
          <w:lang w:eastAsia="en-AU"/>
        </w:rPr>
        <w:noBreakHyphen/>
      </w:r>
      <w:r w:rsidRPr="000D6731">
        <w:rPr>
          <w:rFonts w:eastAsia="Times New Roman" w:cs="Times New Roman"/>
          <w:color w:val="000000"/>
          <w:szCs w:val="20"/>
          <w:lang w:eastAsia="en-AU"/>
        </w:rPr>
        <w:t xml:space="preserve">sector </w:t>
      </w:r>
      <w:r>
        <w:rPr>
          <w:rFonts w:eastAsia="Times New Roman" w:cs="Times New Roman"/>
          <w:color w:val="000000"/>
          <w:szCs w:val="20"/>
          <w:lang w:eastAsia="en-AU"/>
        </w:rPr>
        <w:t>approach to designation</w:t>
      </w:r>
      <w:r w:rsidRPr="000D6731">
        <w:rPr>
          <w:rFonts w:eastAsia="Times New Roman" w:cs="Times New Roman"/>
          <w:color w:val="000000"/>
          <w:szCs w:val="20"/>
          <w:lang w:eastAsia="en-AU"/>
        </w:rPr>
        <w:t xml:space="preserve"> </w:t>
      </w:r>
      <w:r>
        <w:rPr>
          <w:rFonts w:eastAsia="Times New Roman" w:cs="Times New Roman"/>
          <w:color w:val="000000"/>
          <w:szCs w:val="20"/>
          <w:lang w:eastAsia="en-AU"/>
        </w:rPr>
        <w:t xml:space="preserve">or replace it with </w:t>
      </w:r>
      <w:r w:rsidRPr="00D1338A">
        <w:t>a more agile dataset</w:t>
      </w:r>
      <w:r>
        <w:noBreakHyphen/>
        <w:t>focussed</w:t>
      </w:r>
      <w:r w:rsidRPr="00D1338A">
        <w:t xml:space="preserve"> approach</w:t>
      </w:r>
      <w:r>
        <w:t>. The process explored</w:t>
      </w:r>
      <w:r w:rsidRPr="00D1338A">
        <w:t xml:space="preserve"> expansion of </w:t>
      </w:r>
      <w:r w:rsidR="00CB1D79">
        <w:t xml:space="preserve">the </w:t>
      </w:r>
      <w:r w:rsidRPr="00D1338A">
        <w:t xml:space="preserve">CDR </w:t>
      </w:r>
      <w:r w:rsidR="00CB1D79">
        <w:t>with</w:t>
      </w:r>
      <w:r w:rsidR="00CB1D79" w:rsidRPr="00D1338A">
        <w:t xml:space="preserve"> </w:t>
      </w:r>
      <w:r w:rsidRPr="00D1338A">
        <w:t>regard to concepts of life</w:t>
      </w:r>
      <w:r>
        <w:t xml:space="preserve"> </w:t>
      </w:r>
      <w:r w:rsidRPr="00D1338A">
        <w:t>journey</w:t>
      </w:r>
      <w:r w:rsidR="00472CEF">
        <w:t>s</w:t>
      </w:r>
      <w:r w:rsidRPr="00D1338A">
        <w:t xml:space="preserve"> and significant consumer decisions and use cases. </w:t>
      </w:r>
      <w:r>
        <w:t xml:space="preserve">It also </w:t>
      </w:r>
      <w:r w:rsidRPr="008E63D4">
        <w:rPr>
          <w:rFonts w:eastAsia="Calibri" w:cs="Times New Roman"/>
        </w:rPr>
        <w:t>explore</w:t>
      </w:r>
      <w:r>
        <w:rPr>
          <w:rFonts w:eastAsia="Calibri" w:cs="Times New Roman"/>
        </w:rPr>
        <w:t>d</w:t>
      </w:r>
      <w:r w:rsidRPr="008E63D4">
        <w:rPr>
          <w:rFonts w:eastAsia="Calibri" w:cs="Times New Roman"/>
        </w:rPr>
        <w:t xml:space="preserve"> the evolution of the CDR and its potential utility in all aspects of Australians</w:t>
      </w:r>
      <w:r w:rsidR="00F83184">
        <w:rPr>
          <w:rFonts w:eastAsia="Calibri" w:cs="Times New Roman"/>
        </w:rPr>
        <w:t>’</w:t>
      </w:r>
      <w:r w:rsidRPr="008E63D4">
        <w:rPr>
          <w:rFonts w:eastAsia="Calibri" w:cs="Times New Roman"/>
        </w:rPr>
        <w:t xml:space="preserve"> lives, going beyond driving switching behaviour.</w:t>
      </w:r>
      <w:r w:rsidRPr="008E63D4" w:rsidDel="00D25085">
        <w:rPr>
          <w:rFonts w:eastAsia="Calibri" w:cs="Times New Roman"/>
        </w:rPr>
        <w:t xml:space="preserve"> </w:t>
      </w:r>
      <w:r w:rsidRPr="008E63D4">
        <w:rPr>
          <w:rFonts w:eastAsia="Calibri" w:cs="Times New Roman"/>
        </w:rPr>
        <w:t xml:space="preserve">These insights focus on the </w:t>
      </w:r>
      <w:r w:rsidR="001974E3">
        <w:rPr>
          <w:rFonts w:eastAsia="Calibri" w:cs="Times New Roman"/>
        </w:rPr>
        <w:t>dataset(s)</w:t>
      </w:r>
      <w:r w:rsidRPr="008E63D4">
        <w:rPr>
          <w:rFonts w:eastAsia="Calibri" w:cs="Times New Roman"/>
        </w:rPr>
        <w:t xml:space="preserve"> required to spur the types of innovative applications that are likely to drive rapid consumer uptake of the CDR and support broad innovation. </w:t>
      </w:r>
    </w:p>
    <w:p w14:paraId="5477A62C" w14:textId="28F4DE61" w:rsidR="00960633" w:rsidRDefault="00960633" w:rsidP="00960633">
      <w:r w:rsidRPr="00960633">
        <w:t xml:space="preserve">A public Strategic Assessment consultation paper was open for comment from </w:t>
      </w:r>
      <w:r w:rsidR="00A338AB">
        <w:rPr>
          <w:b/>
          <w:bCs/>
        </w:rPr>
        <w:t>22</w:t>
      </w:r>
      <w:r w:rsidR="00A338AB" w:rsidRPr="00960633">
        <w:rPr>
          <w:b/>
          <w:bCs/>
        </w:rPr>
        <w:t xml:space="preserve"> </w:t>
      </w:r>
      <w:r w:rsidRPr="00960633">
        <w:rPr>
          <w:b/>
          <w:bCs/>
        </w:rPr>
        <w:t>July to</w:t>
      </w:r>
      <w:r w:rsidR="002B336D">
        <w:rPr>
          <w:b/>
          <w:bCs/>
        </w:rPr>
        <w:br/>
      </w:r>
      <w:r w:rsidRPr="00960633">
        <w:rPr>
          <w:b/>
          <w:bCs/>
        </w:rPr>
        <w:t>2 September 2021</w:t>
      </w:r>
      <w:r w:rsidRPr="00960633">
        <w:t>.</w:t>
      </w:r>
      <w:r w:rsidR="0079766E">
        <w:t xml:space="preserve"> </w:t>
      </w:r>
      <w:r w:rsidRPr="00960633">
        <w:t xml:space="preserve">It identified: </w:t>
      </w:r>
    </w:p>
    <w:p w14:paraId="4CF4C486" w14:textId="1EADC418" w:rsidR="00881C08" w:rsidRDefault="00881C08" w:rsidP="00C71AE7">
      <w:pPr>
        <w:spacing w:after="0"/>
        <w:rPr>
          <w:b/>
          <w:bCs/>
        </w:rPr>
      </w:pPr>
      <w:r w:rsidRPr="00881C08">
        <w:rPr>
          <w:b/>
          <w:bCs/>
        </w:rPr>
        <w:t>Four policy objectives to inform future CDR roll</w:t>
      </w:r>
      <w:r w:rsidR="00B456D3">
        <w:rPr>
          <w:b/>
          <w:bCs/>
        </w:rPr>
        <w:t>-</w:t>
      </w:r>
      <w:r w:rsidRPr="00881C08">
        <w:rPr>
          <w:b/>
          <w:bCs/>
        </w:rPr>
        <w:t>out</w:t>
      </w:r>
    </w:p>
    <w:p w14:paraId="600EE6C4" w14:textId="11037D21" w:rsidR="00881C08" w:rsidRPr="00881C08" w:rsidRDefault="00751B75" w:rsidP="00C71AE7">
      <w:pPr>
        <w:spacing w:before="120"/>
      </w:pPr>
      <w:r>
        <w:rPr>
          <w:noProof/>
        </w:rPr>
        <w:drawing>
          <wp:inline distT="0" distB="0" distL="0" distR="0" wp14:anchorId="4DE41BE0" wp14:editId="2CFE4006">
            <wp:extent cx="3827382" cy="753110"/>
            <wp:effectExtent l="0" t="0" r="1905" b="8890"/>
            <wp:docPr id="5" name="Picture 5" descr="Consumer benefits&#10;Competition and market efficency&#10;Innovation&#10;Safer and more secure data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nsumer benefits&#10;Competition and market efficency&#10;Innovation&#10;Safer and more secure data sharing"/>
                    <pic:cNvPicPr/>
                  </pic:nvPicPr>
                  <pic:blipFill rotWithShape="1">
                    <a:blip r:embed="rId15" cstate="print">
                      <a:extLst>
                        <a:ext uri="{28A0092B-C50C-407E-A947-70E740481C1C}">
                          <a14:useLocalDpi xmlns:a14="http://schemas.microsoft.com/office/drawing/2010/main" val="0"/>
                        </a:ext>
                      </a:extLst>
                    </a:blip>
                    <a:srcRect t="10219"/>
                    <a:stretch/>
                  </pic:blipFill>
                  <pic:spPr bwMode="auto">
                    <a:xfrm>
                      <a:off x="0" y="0"/>
                      <a:ext cx="3855612" cy="758665"/>
                    </a:xfrm>
                    <a:prstGeom prst="rect">
                      <a:avLst/>
                    </a:prstGeom>
                    <a:ln>
                      <a:noFill/>
                    </a:ln>
                    <a:extLst>
                      <a:ext uri="{53640926-AAD7-44D8-BBD7-CCE9431645EC}">
                        <a14:shadowObscured xmlns:a14="http://schemas.microsoft.com/office/drawing/2010/main"/>
                      </a:ext>
                    </a:extLst>
                  </pic:spPr>
                </pic:pic>
              </a:graphicData>
            </a:graphic>
          </wp:inline>
        </w:drawing>
      </w:r>
    </w:p>
    <w:p w14:paraId="3240E371" w14:textId="77777777" w:rsidR="00881C08" w:rsidRPr="00881C08" w:rsidRDefault="00881C08" w:rsidP="00C71AE7">
      <w:pPr>
        <w:spacing w:after="0"/>
      </w:pPr>
      <w:r w:rsidRPr="00881C08">
        <w:rPr>
          <w:b/>
          <w:bCs/>
        </w:rPr>
        <w:t>Non-exhaustive list of sectors for consideration</w:t>
      </w:r>
    </w:p>
    <w:p w14:paraId="0E75E134" w14:textId="43C2469A" w:rsidR="00881C08" w:rsidRPr="00960633" w:rsidRDefault="00751B75" w:rsidP="00C71AE7">
      <w:pPr>
        <w:spacing w:before="120"/>
      </w:pPr>
      <w:r>
        <w:rPr>
          <w:noProof/>
        </w:rPr>
        <w:drawing>
          <wp:inline distT="0" distB="0" distL="0" distR="0" wp14:anchorId="0F1B672D" wp14:editId="11C16D44">
            <wp:extent cx="5704840" cy="1390585"/>
            <wp:effectExtent l="0" t="0" r="0" b="635"/>
            <wp:docPr id="12" name="Picture 12" descr="Agriculture&#10;General and health insurance&#10;Retail and groceries&#10;Loyalty schemes&#10;Non-bank lenders&#10;Super-annuation&#10;Transport&#10;Government&#10;Health&#10;Education&#10;Digital plat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griculture&#10;General and health insurance&#10;Retail and groceries&#10;Loyalty schemes&#10;Non-bank lenders&#10;Super-annuation&#10;Transport&#10;Government&#10;Health&#10;Education&#10;Digital platforms"/>
                    <pic:cNvPicPr/>
                  </pic:nvPicPr>
                  <pic:blipFill rotWithShape="1">
                    <a:blip r:embed="rId16" cstate="print">
                      <a:extLst>
                        <a:ext uri="{28A0092B-C50C-407E-A947-70E740481C1C}">
                          <a14:useLocalDpi xmlns:a14="http://schemas.microsoft.com/office/drawing/2010/main" val="0"/>
                        </a:ext>
                      </a:extLst>
                    </a:blip>
                    <a:srcRect t="3948"/>
                    <a:stretch/>
                  </pic:blipFill>
                  <pic:spPr bwMode="auto">
                    <a:xfrm>
                      <a:off x="0" y="0"/>
                      <a:ext cx="5713080" cy="1392594"/>
                    </a:xfrm>
                    <a:prstGeom prst="rect">
                      <a:avLst/>
                    </a:prstGeom>
                    <a:ln>
                      <a:noFill/>
                    </a:ln>
                    <a:extLst>
                      <a:ext uri="{53640926-AAD7-44D8-BBD7-CCE9431645EC}">
                        <a14:shadowObscured xmlns:a14="http://schemas.microsoft.com/office/drawing/2010/main"/>
                      </a:ext>
                    </a:extLst>
                  </pic:spPr>
                </pic:pic>
              </a:graphicData>
            </a:graphic>
          </wp:inline>
        </w:drawing>
      </w:r>
    </w:p>
    <w:p w14:paraId="189BD425" w14:textId="5B96D7AB" w:rsidR="005A5C8A" w:rsidRDefault="00325923" w:rsidP="00751B75">
      <w:pPr>
        <w:spacing w:before="200" w:after="0" w:line="240" w:lineRule="auto"/>
        <w:rPr>
          <w:rFonts w:eastAsia="Calibri" w:cs="Times New Roman"/>
        </w:rPr>
      </w:pPr>
      <w:r>
        <w:rPr>
          <w:rFonts w:eastAsia="Calibri" w:cs="Times New Roman"/>
        </w:rPr>
        <w:br w:type="page"/>
      </w:r>
    </w:p>
    <w:p w14:paraId="17A9622F" w14:textId="77777777" w:rsidR="00751B75" w:rsidRPr="00923D70" w:rsidRDefault="002D4CA8" w:rsidP="00923D70">
      <w:pPr>
        <w:pStyle w:val="Heading2"/>
      </w:pPr>
      <w:bookmarkStart w:id="5" w:name="_Toc89416311"/>
      <w:bookmarkStart w:id="6" w:name="_Toc89434860"/>
      <w:bookmarkStart w:id="7" w:name="_Toc89439944"/>
      <w:r w:rsidRPr="00923D70">
        <w:lastRenderedPageBreak/>
        <w:t>C</w:t>
      </w:r>
      <w:r w:rsidR="00482371" w:rsidRPr="00923D70">
        <w:t>onsultation</w:t>
      </w:r>
      <w:bookmarkEnd w:id="5"/>
      <w:bookmarkEnd w:id="6"/>
      <w:r w:rsidRPr="00923D70">
        <w:t>: who we spoke to and what we heard</w:t>
      </w:r>
      <w:bookmarkEnd w:id="7"/>
    </w:p>
    <w:p w14:paraId="27709C1B" w14:textId="6165C0FC" w:rsidR="00482371" w:rsidRDefault="00751B75" w:rsidP="00C71AE7">
      <w:pPr>
        <w:pStyle w:val="Heading2"/>
        <w:rPr>
          <w:rFonts w:eastAsia="Calibri"/>
        </w:rPr>
      </w:pPr>
      <w:r>
        <w:rPr>
          <w:noProof/>
        </w:rPr>
        <w:drawing>
          <wp:inline distT="0" distB="0" distL="0" distR="0" wp14:anchorId="5EE13667" wp14:editId="498AD962">
            <wp:extent cx="5869172" cy="731085"/>
            <wp:effectExtent l="0" t="0" r="0" b="0"/>
            <wp:docPr id="6" name="Picture 6" descr="6 domestic roundtables were held, with over 200 attendees in total&#10;Over 40 written submissions received&#10;International experts and representatives engag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6 domestic roundtables were held, with over 200 attendees in total&#10;Over 40 written submissions received&#10;International experts and representatives engaged">
                      <a:extLst>
                        <a:ext uri="{C183D7F6-B498-43B3-948B-1728B52AA6E4}">
                          <adec:decorative xmlns:adec="http://schemas.microsoft.com/office/drawing/2017/decorative" val="0"/>
                        </a:ext>
                      </a:extLst>
                    </pic:cNvPr>
                    <pic:cNvPicPr/>
                  </pic:nvPicPr>
                  <pic:blipFill rotWithShape="1">
                    <a:blip r:embed="rId17" cstate="print">
                      <a:extLst>
                        <a:ext uri="{28A0092B-C50C-407E-A947-70E740481C1C}">
                          <a14:useLocalDpi xmlns:a14="http://schemas.microsoft.com/office/drawing/2010/main" val="0"/>
                        </a:ext>
                      </a:extLst>
                    </a:blip>
                    <a:srcRect l="103" r="1005" b="-3713"/>
                    <a:stretch/>
                  </pic:blipFill>
                  <pic:spPr bwMode="auto">
                    <a:xfrm>
                      <a:off x="0" y="0"/>
                      <a:ext cx="5912583" cy="736492"/>
                    </a:xfrm>
                    <a:prstGeom prst="rect">
                      <a:avLst/>
                    </a:prstGeom>
                    <a:ln>
                      <a:noFill/>
                    </a:ln>
                    <a:extLst>
                      <a:ext uri="{53640926-AAD7-44D8-BBD7-CCE9431645EC}">
                        <a14:shadowObscured xmlns:a14="http://schemas.microsoft.com/office/drawing/2010/main"/>
                      </a:ext>
                    </a:extLst>
                  </pic:spPr>
                </pic:pic>
              </a:graphicData>
            </a:graphic>
          </wp:inline>
        </w:drawing>
      </w:r>
    </w:p>
    <w:p w14:paraId="45042AA1" w14:textId="46568511" w:rsidR="00482371" w:rsidRPr="00482371" w:rsidRDefault="00482371" w:rsidP="00C71AE7">
      <w:bookmarkStart w:id="8" w:name="_Toc89416312"/>
      <w:bookmarkStart w:id="9" w:name="_Toc89434861"/>
      <w:bookmarkStart w:id="10" w:name="_Toc89439945"/>
      <w:r w:rsidRPr="00482371">
        <w:t>Six domestic roundtables were held, with over 200 attendees in total</w:t>
      </w:r>
      <w:bookmarkEnd w:id="8"/>
      <w:bookmarkEnd w:id="9"/>
      <w:bookmarkEnd w:id="10"/>
      <w:r w:rsidR="002D6F24">
        <w:t>:</w:t>
      </w:r>
    </w:p>
    <w:p w14:paraId="4BE44877" w14:textId="12FA82B0" w:rsidR="00482371" w:rsidRPr="00482371" w:rsidRDefault="00482371" w:rsidP="00482371">
      <w:pPr>
        <w:pStyle w:val="Bulletpoint"/>
      </w:pPr>
      <w:r w:rsidRPr="00482371">
        <w:t xml:space="preserve">Roundtables brought together data holders, potential ADRs, consumer groups and regulators. </w:t>
      </w:r>
    </w:p>
    <w:p w14:paraId="0FBCDF3D" w14:textId="6E249EE4" w:rsidR="00482371" w:rsidRPr="00482371" w:rsidRDefault="00482371" w:rsidP="00482371">
      <w:pPr>
        <w:pStyle w:val="Bulletpoint"/>
      </w:pPr>
      <w:r w:rsidRPr="00482371">
        <w:t>They covered Insurance, Superannuation, Agriculture, Non</w:t>
      </w:r>
      <w:r w:rsidR="00505DB5">
        <w:noBreakHyphen/>
      </w:r>
      <w:r w:rsidRPr="00482371">
        <w:t xml:space="preserve">Bank Lenders, Retail and Loyalty Schemes, and Consumer Groups. A separate government and regulatory roundtable </w:t>
      </w:r>
      <w:proofErr w:type="gramStart"/>
      <w:r w:rsidR="00F83184">
        <w:t>was</w:t>
      </w:r>
      <w:proofErr w:type="gramEnd"/>
      <w:r w:rsidR="00F83184" w:rsidRPr="00482371">
        <w:t xml:space="preserve"> </w:t>
      </w:r>
      <w:r w:rsidRPr="00482371">
        <w:t xml:space="preserve">convened to explore government </w:t>
      </w:r>
      <w:r w:rsidR="001974E3">
        <w:t>datasets</w:t>
      </w:r>
      <w:r w:rsidRPr="00482371">
        <w:t>.</w:t>
      </w:r>
    </w:p>
    <w:p w14:paraId="5BCCF11D" w14:textId="77777777" w:rsidR="00482371" w:rsidRPr="00482371" w:rsidRDefault="00482371" w:rsidP="00482371">
      <w:pPr>
        <w:pStyle w:val="Bulletpoint"/>
      </w:pPr>
      <w:r w:rsidRPr="00482371">
        <w:t>Two workshop discussions with the CDR FinTech Community of Practice.</w:t>
      </w:r>
    </w:p>
    <w:p w14:paraId="604ACA16" w14:textId="77777777" w:rsidR="00482371" w:rsidRPr="00482371" w:rsidRDefault="00482371" w:rsidP="00C71AE7">
      <w:bookmarkStart w:id="11" w:name="_Toc89416313"/>
      <w:bookmarkStart w:id="12" w:name="_Toc89434862"/>
      <w:bookmarkStart w:id="13" w:name="_Toc89439946"/>
      <w:r w:rsidRPr="00482371">
        <w:t>In addition, bilateral meetings were held with:</w:t>
      </w:r>
      <w:bookmarkEnd w:id="11"/>
      <w:bookmarkEnd w:id="12"/>
      <w:bookmarkEnd w:id="13"/>
    </w:p>
    <w:p w14:paraId="3037A50E" w14:textId="77777777" w:rsidR="00482371" w:rsidRPr="00482371" w:rsidRDefault="00482371" w:rsidP="00482371">
      <w:pPr>
        <w:pStyle w:val="Bulletpoint"/>
      </w:pPr>
      <w:r w:rsidRPr="00482371">
        <w:t>Government agencies, regulators and private firms.</w:t>
      </w:r>
    </w:p>
    <w:p w14:paraId="61C3D59D" w14:textId="05E1F572" w:rsidR="00482371" w:rsidRPr="00482371" w:rsidRDefault="00482371" w:rsidP="00482371">
      <w:pPr>
        <w:pStyle w:val="Bulletpoint"/>
      </w:pPr>
      <w:r w:rsidRPr="00482371">
        <w:t>Consumer and privacy advocates (</w:t>
      </w:r>
      <w:r>
        <w:t>for example,</w:t>
      </w:r>
      <w:r w:rsidR="00E963FA">
        <w:t xml:space="preserve"> </w:t>
      </w:r>
      <w:r w:rsidR="00F83184">
        <w:t xml:space="preserve">the </w:t>
      </w:r>
      <w:r w:rsidRPr="00482371">
        <w:t>Financial Rights Legal Centre and the Good Things Foundation).</w:t>
      </w:r>
    </w:p>
    <w:p w14:paraId="30E6C579" w14:textId="67C657C0" w:rsidR="00482371" w:rsidRPr="00482371" w:rsidRDefault="00482371" w:rsidP="00482371">
      <w:pPr>
        <w:pStyle w:val="Bulletpoint"/>
      </w:pPr>
      <w:r w:rsidRPr="00482371">
        <w:t>Business representative bodies (</w:t>
      </w:r>
      <w:r>
        <w:t xml:space="preserve">for example, </w:t>
      </w:r>
      <w:r w:rsidR="00F83184">
        <w:t xml:space="preserve">the </w:t>
      </w:r>
      <w:r w:rsidRPr="00482371">
        <w:t>Business Council of Australia and the Insurance Council of Australia).</w:t>
      </w:r>
    </w:p>
    <w:p w14:paraId="4B790080" w14:textId="4B84BB69" w:rsidR="00482371" w:rsidRPr="00C71AE7" w:rsidRDefault="00482371" w:rsidP="002D6F24">
      <w:bookmarkStart w:id="14" w:name="_Toc89416314"/>
      <w:bookmarkStart w:id="15" w:name="_Toc89434863"/>
      <w:bookmarkStart w:id="16" w:name="_Toc89439947"/>
      <w:r w:rsidRPr="00C71AE7">
        <w:t>Over 40 written submissions were received</w:t>
      </w:r>
      <w:r w:rsidR="00F83184">
        <w:t xml:space="preserve">, </w:t>
      </w:r>
      <w:bookmarkEnd w:id="14"/>
      <w:bookmarkEnd w:id="15"/>
      <w:bookmarkEnd w:id="16"/>
      <w:r w:rsidR="00C71AE7">
        <w:t>i</w:t>
      </w:r>
      <w:r w:rsidRPr="00C71AE7">
        <w:t>nclud</w:t>
      </w:r>
      <w:r w:rsidR="00F83184">
        <w:t>ing</w:t>
      </w:r>
      <w:r w:rsidRPr="00C71AE7">
        <w:t xml:space="preserve"> </w:t>
      </w:r>
      <w:r w:rsidR="00CA1171">
        <w:t xml:space="preserve">from </w:t>
      </w:r>
      <w:r w:rsidRPr="00C71AE7">
        <w:t xml:space="preserve">small and large tech firms, industry representative bodies, professional and general business associations, insurers and superannuation data holders. </w:t>
      </w:r>
    </w:p>
    <w:p w14:paraId="5AE1DB53" w14:textId="77777777" w:rsidR="00482371" w:rsidRPr="00C71AE7" w:rsidRDefault="00482371" w:rsidP="00AC731A">
      <w:pPr>
        <w:pStyle w:val="Boxedtext"/>
        <w:rPr>
          <w:b/>
          <w:bCs/>
          <w:color w:val="002760" w:themeColor="accent1"/>
        </w:rPr>
      </w:pPr>
      <w:bookmarkStart w:id="17" w:name="_Toc89416315"/>
      <w:bookmarkStart w:id="18" w:name="_Toc89434864"/>
      <w:bookmarkStart w:id="19" w:name="_Toc89439948"/>
      <w:r w:rsidRPr="00C71AE7">
        <w:rPr>
          <w:b/>
          <w:bCs/>
          <w:color w:val="002760" w:themeColor="accent1"/>
        </w:rPr>
        <w:t>What we heard</w:t>
      </w:r>
      <w:bookmarkEnd w:id="17"/>
      <w:bookmarkEnd w:id="18"/>
      <w:bookmarkEnd w:id="19"/>
    </w:p>
    <w:p w14:paraId="52726E06" w14:textId="03A37CD8" w:rsidR="00482371" w:rsidRPr="00C71AE7" w:rsidRDefault="00505DB5" w:rsidP="00AC731A">
      <w:pPr>
        <w:pStyle w:val="Boxedtext"/>
        <w:rPr>
          <w:color w:val="002760" w:themeColor="accent1"/>
        </w:rPr>
      </w:pPr>
      <w:r w:rsidRPr="00C71AE7">
        <w:rPr>
          <w:color w:val="002760" w:themeColor="accent1"/>
        </w:rPr>
        <w:t>‘</w:t>
      </w:r>
      <w:r w:rsidR="00482371" w:rsidRPr="00C71AE7">
        <w:rPr>
          <w:color w:val="002760" w:themeColor="accent1"/>
        </w:rPr>
        <w:t xml:space="preserve">Both insurance and superannuation data </w:t>
      </w:r>
      <w:proofErr w:type="gramStart"/>
      <w:r w:rsidR="00482371" w:rsidRPr="00C71AE7">
        <w:rPr>
          <w:color w:val="002760" w:themeColor="accent1"/>
        </w:rPr>
        <w:t>is</w:t>
      </w:r>
      <w:proofErr w:type="gramEnd"/>
      <w:r w:rsidR="00482371" w:rsidRPr="00C71AE7">
        <w:rPr>
          <w:color w:val="002760" w:themeColor="accent1"/>
        </w:rPr>
        <w:t xml:space="preserve"> critical to improve competition, enable new and innovative entrants, and enhance consumer access and understanding of the available insurance and superannuation products.</w:t>
      </w:r>
      <w:r w:rsidRPr="00C71AE7">
        <w:rPr>
          <w:color w:val="002760" w:themeColor="accent1"/>
        </w:rPr>
        <w:t>’</w:t>
      </w:r>
      <w:r w:rsidR="001D6284">
        <w:rPr>
          <w:color w:val="002760" w:themeColor="accent1"/>
        </w:rPr>
        <w:t xml:space="preserve"> </w:t>
      </w:r>
      <w:r w:rsidR="00482371" w:rsidRPr="001E0822">
        <w:rPr>
          <w:b/>
          <w:bCs/>
          <w:color w:val="002760" w:themeColor="accent1"/>
          <w:sz w:val="20"/>
          <w:szCs w:val="18"/>
        </w:rPr>
        <w:t>FinTech Australia</w:t>
      </w:r>
    </w:p>
    <w:p w14:paraId="4680229D" w14:textId="004C10FC" w:rsidR="00482371" w:rsidRDefault="00482371" w:rsidP="00AC731A">
      <w:pPr>
        <w:pStyle w:val="Boxedtext"/>
        <w:rPr>
          <w:b/>
          <w:bCs/>
          <w:color w:val="002760" w:themeColor="accent1"/>
        </w:rPr>
      </w:pPr>
      <w:r w:rsidRPr="00C71AE7">
        <w:rPr>
          <w:color w:val="002760" w:themeColor="accent1"/>
        </w:rPr>
        <w:t>A multi</w:t>
      </w:r>
      <w:r w:rsidR="00505DB5" w:rsidRPr="00C71AE7">
        <w:rPr>
          <w:color w:val="002760" w:themeColor="accent1"/>
        </w:rPr>
        <w:noBreakHyphen/>
      </w:r>
      <w:r w:rsidRPr="00C71AE7">
        <w:rPr>
          <w:color w:val="002760" w:themeColor="accent1"/>
        </w:rPr>
        <w:t xml:space="preserve">sector approach can create efficiencies and synergies: </w:t>
      </w:r>
      <w:r w:rsidR="00505DB5" w:rsidRPr="00C71AE7">
        <w:rPr>
          <w:color w:val="002760" w:themeColor="accent1"/>
        </w:rPr>
        <w:t>‘</w:t>
      </w:r>
      <w:r w:rsidRPr="00C71AE7">
        <w:rPr>
          <w:color w:val="002760" w:themeColor="accent1"/>
        </w:rPr>
        <w:t xml:space="preserve">Where the </w:t>
      </w:r>
      <w:r w:rsidR="001974E3">
        <w:rPr>
          <w:color w:val="002760" w:themeColor="accent1"/>
        </w:rPr>
        <w:t>dataset</w:t>
      </w:r>
      <w:r w:rsidR="003D5390">
        <w:rPr>
          <w:color w:val="002760" w:themeColor="accent1"/>
        </w:rPr>
        <w:t>s</w:t>
      </w:r>
      <w:r w:rsidRPr="00C71AE7">
        <w:rPr>
          <w:color w:val="002760" w:themeColor="accent1"/>
        </w:rPr>
        <w:t xml:space="preserve"> are similar, multiple sectors could be released at the same time with respect to product data</w:t>
      </w:r>
      <w:r w:rsidR="00D04833" w:rsidRPr="00C71AE7">
        <w:rPr>
          <w:color w:val="002760" w:themeColor="accent1"/>
        </w:rPr>
        <w:t>.</w:t>
      </w:r>
      <w:r w:rsidR="00505DB5" w:rsidRPr="00C71AE7">
        <w:rPr>
          <w:color w:val="002760" w:themeColor="accent1"/>
        </w:rPr>
        <w:t>’</w:t>
      </w:r>
      <w:r w:rsidR="001D6284">
        <w:rPr>
          <w:color w:val="002760" w:themeColor="accent1"/>
        </w:rPr>
        <w:t xml:space="preserve"> </w:t>
      </w:r>
      <w:r w:rsidRPr="001E0822">
        <w:rPr>
          <w:b/>
          <w:bCs/>
          <w:color w:val="002760" w:themeColor="accent1"/>
          <w:sz w:val="20"/>
          <w:szCs w:val="18"/>
        </w:rPr>
        <w:t>Cuscal</w:t>
      </w:r>
    </w:p>
    <w:p w14:paraId="5A8D81C7" w14:textId="4B55DC9B" w:rsidR="001D6284" w:rsidRPr="001E0822" w:rsidRDefault="001D6284" w:rsidP="00AC731A">
      <w:pPr>
        <w:pStyle w:val="Boxedtext"/>
        <w:rPr>
          <w:color w:val="002760" w:themeColor="accent1"/>
          <w:sz w:val="20"/>
          <w:szCs w:val="18"/>
        </w:rPr>
      </w:pPr>
      <w:r w:rsidRPr="001D6284">
        <w:rPr>
          <w:rFonts w:eastAsia="Times New Roman" w:cs="Times New Roman"/>
          <w:color w:val="002760" w:themeColor="accent1"/>
          <w:szCs w:val="22"/>
        </w:rPr>
        <w:t xml:space="preserve">‘We support consideration being given to moving from a sector-centric approach towards more of a focus on consumer experience.’ </w:t>
      </w:r>
      <w:r w:rsidRPr="001E0822">
        <w:rPr>
          <w:rFonts w:eastAsia="Times New Roman" w:cs="Times New Roman"/>
          <w:b/>
          <w:bCs/>
          <w:color w:val="002760" w:themeColor="accent1"/>
          <w:sz w:val="20"/>
        </w:rPr>
        <w:t>Australian Small Business and Family Enterprise Ombudsman</w:t>
      </w:r>
      <w:r w:rsidRPr="001E0822" w:rsidDel="001974E3">
        <w:rPr>
          <w:color w:val="002760" w:themeColor="accent1"/>
          <w:sz w:val="20"/>
          <w:szCs w:val="18"/>
        </w:rPr>
        <w:t xml:space="preserve"> </w:t>
      </w:r>
    </w:p>
    <w:p w14:paraId="693F0529" w14:textId="77777777" w:rsidR="00297585" w:rsidRDefault="00297585">
      <w:pPr>
        <w:spacing w:before="200" w:after="0" w:line="240" w:lineRule="auto"/>
        <w:rPr>
          <w:color w:val="002760" w:themeColor="accent1"/>
        </w:rPr>
      </w:pPr>
      <w:r>
        <w:rPr>
          <w:color w:val="002760" w:themeColor="accent1"/>
        </w:rPr>
        <w:br w:type="page"/>
      </w:r>
    </w:p>
    <w:p w14:paraId="0131D488" w14:textId="2E086B0F" w:rsidR="004E174E" w:rsidRPr="004E174E" w:rsidRDefault="004E174E" w:rsidP="004E174E">
      <w:r w:rsidRPr="004E174E">
        <w:lastRenderedPageBreak/>
        <w:t>Treasury</w:t>
      </w:r>
      <w:r w:rsidR="002D4CA8">
        <w:t xml:space="preserve"> also</w:t>
      </w:r>
      <w:r w:rsidRPr="004E174E">
        <w:t xml:space="preserve"> engaged with international counterparts and numerous experts and prominent international representatives. This included:</w:t>
      </w:r>
    </w:p>
    <w:p w14:paraId="6FB30C37" w14:textId="6D780375" w:rsidR="004E174E" w:rsidRPr="004E174E" w:rsidRDefault="004E174E" w:rsidP="004E174E">
      <w:pPr>
        <w:pStyle w:val="Bulletpoint"/>
      </w:pPr>
      <w:r w:rsidRPr="004E174E">
        <w:t xml:space="preserve">Government, regulators, researchers, consultants and international organisations in the </w:t>
      </w:r>
      <w:r w:rsidR="00F83184">
        <w:t>United Kingdom</w:t>
      </w:r>
      <w:r w:rsidRPr="004E174E">
        <w:t xml:space="preserve">, Singapore, New Zealand, India, Brazil, Estonia, Japan, Canada and the </w:t>
      </w:r>
      <w:r w:rsidR="00F83184">
        <w:t>United States</w:t>
      </w:r>
      <w:r w:rsidRPr="004E174E">
        <w:t>.</w:t>
      </w:r>
    </w:p>
    <w:p w14:paraId="21DB57B9" w14:textId="30298508" w:rsidR="004C0A7B" w:rsidRDefault="004E174E" w:rsidP="005A5C8A">
      <w:pPr>
        <w:pStyle w:val="Bulletpoint"/>
      </w:pPr>
      <w:r w:rsidRPr="004E174E">
        <w:t>Prominent organisations including the World Bank, the Bank for International Settlements, the Department for Business, Energy and Industrial Strategy (UK), Ministry of Business, Innovation and Employment (NZ), European Banking Federation</w:t>
      </w:r>
      <w:r w:rsidR="00F83184">
        <w:t xml:space="preserve">, </w:t>
      </w:r>
      <w:r w:rsidRPr="004E174E">
        <w:t xml:space="preserve">Oxford University, Fintech New Zealand, and multinational </w:t>
      </w:r>
      <w:proofErr w:type="spellStart"/>
      <w:r w:rsidRPr="004E174E">
        <w:t>fintechs</w:t>
      </w:r>
      <w:proofErr w:type="spellEnd"/>
      <w:r w:rsidRPr="004E174E">
        <w:t xml:space="preserve"> such as </w:t>
      </w:r>
      <w:proofErr w:type="spellStart"/>
      <w:r w:rsidRPr="004E174E">
        <w:t>Truelayer</w:t>
      </w:r>
      <w:proofErr w:type="spellEnd"/>
      <w:r w:rsidRPr="004E174E">
        <w:t xml:space="preserve">. </w:t>
      </w:r>
    </w:p>
    <w:p w14:paraId="30C84FF1" w14:textId="77777777" w:rsidR="004C0A7B" w:rsidRDefault="004C0A7B">
      <w:pPr>
        <w:spacing w:before="200" w:after="0" w:line="240" w:lineRule="auto"/>
        <w:rPr>
          <w:rFonts w:cs="Times New Roman"/>
        </w:rPr>
      </w:pPr>
      <w:r>
        <w:br w:type="page"/>
      </w:r>
    </w:p>
    <w:p w14:paraId="37143ACC" w14:textId="38AD0795" w:rsidR="005A5C8A" w:rsidRDefault="005A5C8A" w:rsidP="005A5C8A">
      <w:pPr>
        <w:pStyle w:val="Heading1"/>
        <w:rPr>
          <w:rFonts w:eastAsia="Calibri"/>
        </w:rPr>
      </w:pPr>
      <w:bookmarkStart w:id="20" w:name="_Toc89439949"/>
      <w:r w:rsidRPr="00BC0216">
        <w:rPr>
          <w:rFonts w:eastAsia="Calibri"/>
        </w:rPr>
        <w:lastRenderedPageBreak/>
        <w:t xml:space="preserve">Strategic Assessment </w:t>
      </w:r>
      <w:r w:rsidR="00374EAF">
        <w:rPr>
          <w:rFonts w:eastAsia="Calibri"/>
        </w:rPr>
        <w:t>i</w:t>
      </w:r>
      <w:r w:rsidRPr="00BC0216">
        <w:rPr>
          <w:rFonts w:eastAsia="Calibri"/>
        </w:rPr>
        <w:t>nsights</w:t>
      </w:r>
      <w:bookmarkEnd w:id="20"/>
    </w:p>
    <w:p w14:paraId="18DC3002" w14:textId="4652554F" w:rsidR="002F5FD8" w:rsidRDefault="005A5C8A" w:rsidP="00AC4497">
      <w:r w:rsidRPr="008434BB">
        <w:t>The advice we received from business, industry and other experts</w:t>
      </w:r>
      <w:r>
        <w:t xml:space="preserve"> to</w:t>
      </w:r>
      <w:r w:rsidRPr="008434BB">
        <w:t xml:space="preserve"> inform our decision</w:t>
      </w:r>
      <w:r w:rsidR="00505DB5">
        <w:noBreakHyphen/>
      </w:r>
      <w:r w:rsidRPr="008434BB">
        <w:t xml:space="preserve">making </w:t>
      </w:r>
      <w:r>
        <w:t xml:space="preserve">was both significant and valuable, generating key insights that we carefully analysed and incorporated into our recommendations. </w:t>
      </w:r>
    </w:p>
    <w:p w14:paraId="6116733B" w14:textId="59792DBA" w:rsidR="005A5C8A" w:rsidRDefault="005A5C8A" w:rsidP="00AC4497">
      <w:r>
        <w:t xml:space="preserve">At a glance, these insights included that the Consumer Data Right: </w:t>
      </w:r>
    </w:p>
    <w:p w14:paraId="354F82B0" w14:textId="1F1688A7" w:rsidR="005A5C8A" w:rsidRPr="0014585B" w:rsidRDefault="005A5C8A" w:rsidP="002D4CA8">
      <w:pPr>
        <w:pStyle w:val="Bulletpoint"/>
      </w:pPr>
      <w:r w:rsidRPr="0014585B">
        <w:t>could be the central nervous system of Australia</w:t>
      </w:r>
      <w:r w:rsidR="00505DB5">
        <w:t>’</w:t>
      </w:r>
      <w:r w:rsidRPr="0014585B">
        <w:t>s data economy</w:t>
      </w:r>
    </w:p>
    <w:p w14:paraId="46557520" w14:textId="39B64237" w:rsidR="005A5C8A" w:rsidRPr="0014585B" w:rsidRDefault="005A5C8A" w:rsidP="002D4CA8">
      <w:pPr>
        <w:pStyle w:val="Bulletpoint"/>
      </w:pPr>
      <w:r w:rsidRPr="0014585B">
        <w:t>should be data holder</w:t>
      </w:r>
      <w:r w:rsidR="00505DB5">
        <w:noBreakHyphen/>
      </w:r>
      <w:r w:rsidRPr="0014585B">
        <w:t xml:space="preserve">agnostic </w:t>
      </w:r>
    </w:p>
    <w:p w14:paraId="577B28A3" w14:textId="2C89FFB3" w:rsidR="005A5C8A" w:rsidRPr="0014585B" w:rsidRDefault="005A5C8A" w:rsidP="002D4CA8">
      <w:pPr>
        <w:pStyle w:val="Bulletpoint"/>
      </w:pPr>
      <w:r w:rsidRPr="0014585B">
        <w:t>prioritise agile and responsive implementation</w:t>
      </w:r>
    </w:p>
    <w:p w14:paraId="2AD2D127" w14:textId="5CB558E3" w:rsidR="005A5C8A" w:rsidRPr="0014585B" w:rsidRDefault="005A5C8A" w:rsidP="002D4CA8">
      <w:pPr>
        <w:pStyle w:val="Bulletpoint"/>
      </w:pPr>
      <w:r w:rsidRPr="0014585B">
        <w:t>retain consumer</w:t>
      </w:r>
      <w:r w:rsidR="00505DB5">
        <w:noBreakHyphen/>
      </w:r>
      <w:r w:rsidRPr="0014585B">
        <w:t>centred development, and</w:t>
      </w:r>
    </w:p>
    <w:p w14:paraId="40BCC5C2" w14:textId="4D491A43" w:rsidR="004E174E" w:rsidRDefault="005A5C8A" w:rsidP="004E174E">
      <w:pPr>
        <w:pStyle w:val="Bulletpoint"/>
        <w:spacing w:after="480"/>
      </w:pPr>
      <w:r w:rsidRPr="0014585B">
        <w:t>play a role in digital identify verification and sharing of credentials.</w:t>
      </w:r>
    </w:p>
    <w:p w14:paraId="08814F70" w14:textId="1C260834" w:rsidR="00C71AE7" w:rsidRDefault="00C71AE7" w:rsidP="00C71AE7">
      <w:pPr>
        <w:pStyle w:val="Tabletitle"/>
      </w:pPr>
      <w:r>
        <w:t>Recommendations</w:t>
      </w:r>
    </w:p>
    <w:tbl>
      <w:tblPr>
        <w:tblStyle w:val="LightShading1"/>
        <w:tblW w:w="0" w:type="auto"/>
        <w:tblBorders>
          <w:top w:val="single" w:sz="4" w:space="0" w:color="003591" w:themeColor="text2"/>
          <w:bottom w:val="single" w:sz="4" w:space="0" w:color="003591" w:themeColor="text2"/>
          <w:insideH w:val="single" w:sz="4" w:space="0" w:color="003591" w:themeColor="text2"/>
          <w:insideV w:val="single" w:sz="4" w:space="0" w:color="0D45D6" w:themeColor="accent2"/>
        </w:tblBorders>
        <w:tblLook w:val="0420" w:firstRow="1" w:lastRow="0" w:firstColumn="0" w:lastColumn="0" w:noHBand="0" w:noVBand="1"/>
      </w:tblPr>
      <w:tblGrid>
        <w:gridCol w:w="9026"/>
      </w:tblGrid>
      <w:tr w:rsidR="0033135A" w:rsidRPr="000E3A2E" w14:paraId="7B7E5B80" w14:textId="77777777" w:rsidTr="005C031B">
        <w:trPr>
          <w:cnfStyle w:val="100000000000" w:firstRow="1" w:lastRow="0" w:firstColumn="0" w:lastColumn="0" w:oddVBand="0" w:evenVBand="0" w:oddHBand="0" w:evenHBand="0" w:firstRowFirstColumn="0" w:firstRowLastColumn="0" w:lastRowFirstColumn="0" w:lastRowLastColumn="0"/>
        </w:trPr>
        <w:tc>
          <w:tcPr>
            <w:tcW w:w="9039" w:type="dxa"/>
            <w:tcBorders>
              <w:top w:val="none" w:sz="0" w:space="0" w:color="auto"/>
              <w:left w:val="none" w:sz="0" w:space="0" w:color="auto"/>
              <w:bottom w:val="none" w:sz="0" w:space="0" w:color="auto"/>
              <w:right w:val="none" w:sz="0" w:space="0" w:color="auto"/>
            </w:tcBorders>
            <w:shd w:val="clear" w:color="auto" w:fill="FFFFFF" w:themeFill="background1"/>
          </w:tcPr>
          <w:p w14:paraId="087B789C" w14:textId="614CBD4B" w:rsidR="00FB58C0" w:rsidRDefault="00FB58C0" w:rsidP="001F3116">
            <w:pPr>
              <w:pStyle w:val="Tabletext"/>
              <w:rPr>
                <w:b w:val="0"/>
                <w:bCs w:val="0"/>
                <w:color w:val="002760" w:themeColor="accent1"/>
                <w:lang w:val="en-US"/>
              </w:rPr>
            </w:pPr>
            <w:r w:rsidRPr="00C71AE7">
              <w:rPr>
                <w:color w:val="002760" w:themeColor="accent1"/>
                <w:lang w:val="en-US"/>
              </w:rPr>
              <w:t xml:space="preserve">CDR can be the </w:t>
            </w:r>
            <w:r w:rsidR="00505DB5" w:rsidRPr="00C71AE7">
              <w:rPr>
                <w:color w:val="002760" w:themeColor="accent1"/>
                <w:lang w:val="en-US"/>
              </w:rPr>
              <w:t>‘</w:t>
            </w:r>
            <w:r w:rsidRPr="00C71AE7">
              <w:rPr>
                <w:color w:val="002760" w:themeColor="accent1"/>
                <w:lang w:val="en-US"/>
              </w:rPr>
              <w:t>central nervous system</w:t>
            </w:r>
            <w:r w:rsidR="00505DB5" w:rsidRPr="00C71AE7">
              <w:rPr>
                <w:color w:val="002760" w:themeColor="accent1"/>
                <w:lang w:val="en-US"/>
              </w:rPr>
              <w:t>’</w:t>
            </w:r>
            <w:r w:rsidRPr="00C71AE7">
              <w:rPr>
                <w:color w:val="002760" w:themeColor="accent1"/>
                <w:lang w:val="en-US"/>
              </w:rPr>
              <w:t xml:space="preserve"> of Australia</w:t>
            </w:r>
            <w:r w:rsidR="00505DB5" w:rsidRPr="00C71AE7">
              <w:rPr>
                <w:color w:val="002760" w:themeColor="accent1"/>
                <w:lang w:val="en-US"/>
              </w:rPr>
              <w:t>’</w:t>
            </w:r>
            <w:r w:rsidRPr="00C71AE7">
              <w:rPr>
                <w:color w:val="002760" w:themeColor="accent1"/>
                <w:lang w:val="en-US"/>
              </w:rPr>
              <w:t>s data economy</w:t>
            </w:r>
          </w:p>
          <w:p w14:paraId="5806D13E" w14:textId="0FFDEED6" w:rsidR="001D6284" w:rsidRPr="001D6284" w:rsidRDefault="001D6284" w:rsidP="001D6284">
            <w:pPr>
              <w:pStyle w:val="Pullquotetext"/>
              <w:rPr>
                <w:b w:val="0"/>
                <w:bCs w:val="0"/>
              </w:rPr>
            </w:pPr>
            <w:r w:rsidRPr="001D6284">
              <w:rPr>
                <w:b w:val="0"/>
                <w:bCs w:val="0"/>
              </w:rPr>
              <w:t xml:space="preserve">‘For social outcomes, the number of problems that CDR can solve is infinite. Use cases as wide as gambling and alcohol addiction help to welfare spending and government program eligibility would help people navigate a complex and stressful process to access the help and funding that they need.’ </w:t>
            </w:r>
            <w:proofErr w:type="spellStart"/>
            <w:r w:rsidRPr="001D6284">
              <w:t>Adatree</w:t>
            </w:r>
            <w:proofErr w:type="spellEnd"/>
          </w:p>
          <w:p w14:paraId="03CEA243" w14:textId="56EF04E6" w:rsidR="00FB58C0" w:rsidRPr="002D6F24" w:rsidRDefault="00FB58C0" w:rsidP="002D6F24">
            <w:pPr>
              <w:pStyle w:val="Bulletpoint"/>
              <w:spacing w:after="120"/>
              <w:rPr>
                <w:b w:val="0"/>
                <w:bCs w:val="0"/>
                <w:color w:val="002760" w:themeColor="accent1"/>
              </w:rPr>
            </w:pPr>
            <w:r w:rsidRPr="002D6F24">
              <w:rPr>
                <w:b w:val="0"/>
                <w:bCs w:val="0"/>
                <w:color w:val="002760" w:themeColor="accent1"/>
              </w:rPr>
              <w:t xml:space="preserve">Stakeholders saw </w:t>
            </w:r>
            <w:r w:rsidR="00F83184">
              <w:rPr>
                <w:b w:val="0"/>
                <w:bCs w:val="0"/>
                <w:color w:val="002760" w:themeColor="accent1"/>
              </w:rPr>
              <w:t xml:space="preserve">the </w:t>
            </w:r>
            <w:r w:rsidRPr="002D6F24">
              <w:rPr>
                <w:b w:val="0"/>
                <w:bCs w:val="0"/>
                <w:color w:val="002760" w:themeColor="accent1"/>
              </w:rPr>
              <w:t>CDR as a competitive, secure space to innovate on their own terms.</w:t>
            </w:r>
          </w:p>
          <w:p w14:paraId="6494F70E" w14:textId="773AA15C" w:rsidR="0033135A" w:rsidRDefault="002F5FD8" w:rsidP="002D6F24">
            <w:pPr>
              <w:pStyle w:val="Bulletpoint"/>
              <w:spacing w:after="120"/>
              <w:rPr>
                <w:color w:val="002760" w:themeColor="accent1"/>
              </w:rPr>
            </w:pPr>
            <w:r w:rsidRPr="002F5FD8">
              <w:rPr>
                <w:b w:val="0"/>
                <w:bCs w:val="0"/>
                <w:color w:val="002760" w:themeColor="accent1"/>
              </w:rPr>
              <w:t>A CDR framework that adapts to the changing needs of Australians will create a digital economy for Australia that works for individuals and businesses</w:t>
            </w:r>
            <w:r w:rsidR="00FB58C0" w:rsidRPr="002D6F24">
              <w:rPr>
                <w:b w:val="0"/>
                <w:bCs w:val="0"/>
                <w:color w:val="002760" w:themeColor="accent1"/>
              </w:rPr>
              <w:t>.</w:t>
            </w:r>
          </w:p>
          <w:p w14:paraId="3E08F307" w14:textId="3CB4452F" w:rsidR="00691DAA" w:rsidRPr="00C71AE7" w:rsidRDefault="00691DAA" w:rsidP="002D6F24">
            <w:pPr>
              <w:pStyle w:val="Bulletpoint"/>
              <w:spacing w:after="120"/>
              <w:rPr>
                <w:color w:val="002760" w:themeColor="accent1"/>
              </w:rPr>
            </w:pPr>
            <w:r>
              <w:rPr>
                <w:b w:val="0"/>
                <w:bCs w:val="0"/>
                <w:color w:val="002760" w:themeColor="accent1"/>
              </w:rPr>
              <w:t xml:space="preserve">Opportunities </w:t>
            </w:r>
            <w:r w:rsidR="00DC5294">
              <w:rPr>
                <w:b w:val="0"/>
                <w:bCs w:val="0"/>
                <w:color w:val="002760" w:themeColor="accent1"/>
              </w:rPr>
              <w:t xml:space="preserve">highlighted </w:t>
            </w:r>
            <w:r w:rsidR="006D5E96">
              <w:rPr>
                <w:b w:val="0"/>
                <w:bCs w:val="0"/>
                <w:color w:val="002760" w:themeColor="accent1"/>
              </w:rPr>
              <w:t>went beyond product comparison and switching</w:t>
            </w:r>
            <w:r w:rsidR="00B858A3">
              <w:rPr>
                <w:b w:val="0"/>
                <w:bCs w:val="0"/>
                <w:color w:val="002760" w:themeColor="accent1"/>
              </w:rPr>
              <w:t>, to deeper insights</w:t>
            </w:r>
            <w:r w:rsidR="006D5E96">
              <w:rPr>
                <w:b w:val="0"/>
                <w:bCs w:val="0"/>
                <w:color w:val="002760" w:themeColor="accent1"/>
              </w:rPr>
              <w:t xml:space="preserve"> </w:t>
            </w:r>
            <w:r w:rsidR="00B858A3">
              <w:rPr>
                <w:b w:val="0"/>
                <w:bCs w:val="0"/>
                <w:color w:val="002760" w:themeColor="accent1"/>
              </w:rPr>
              <w:t xml:space="preserve">for consumers and even to matters with broader social impacts. </w:t>
            </w:r>
            <w:r w:rsidR="00F65D06">
              <w:rPr>
                <w:b w:val="0"/>
                <w:bCs w:val="0"/>
                <w:color w:val="002760" w:themeColor="accent1"/>
              </w:rPr>
              <w:t>Potential a</w:t>
            </w:r>
            <w:r w:rsidR="006D5E96">
              <w:rPr>
                <w:b w:val="0"/>
                <w:bCs w:val="0"/>
                <w:color w:val="002760" w:themeColor="accent1"/>
              </w:rPr>
              <w:t xml:space="preserve">pplications </w:t>
            </w:r>
            <w:r w:rsidR="00F314F8">
              <w:rPr>
                <w:b w:val="0"/>
                <w:bCs w:val="0"/>
                <w:color w:val="002760" w:themeColor="accent1"/>
              </w:rPr>
              <w:t xml:space="preserve">through CDR </w:t>
            </w:r>
            <w:r w:rsidR="00F65D06">
              <w:rPr>
                <w:b w:val="0"/>
                <w:bCs w:val="0"/>
                <w:color w:val="002760" w:themeColor="accent1"/>
              </w:rPr>
              <w:t>include informing consumers making values-based purchases</w:t>
            </w:r>
            <w:r w:rsidR="00F314F8">
              <w:rPr>
                <w:b w:val="0"/>
                <w:bCs w:val="0"/>
                <w:color w:val="002760" w:themeColor="accent1"/>
              </w:rPr>
              <w:t>,</w:t>
            </w:r>
            <w:r w:rsidR="00F65D06">
              <w:rPr>
                <w:b w:val="0"/>
                <w:bCs w:val="0"/>
                <w:color w:val="002760" w:themeColor="accent1"/>
              </w:rPr>
              <w:t xml:space="preserve"> to even assisting </w:t>
            </w:r>
            <w:r w:rsidR="00C42A81">
              <w:rPr>
                <w:b w:val="0"/>
                <w:bCs w:val="0"/>
                <w:color w:val="002760" w:themeColor="accent1"/>
              </w:rPr>
              <w:t>organisations</w:t>
            </w:r>
            <w:r w:rsidR="00C41658">
              <w:rPr>
                <w:b w:val="0"/>
                <w:bCs w:val="0"/>
                <w:color w:val="002760" w:themeColor="accent1"/>
              </w:rPr>
              <w:t>, including not-for-profits</w:t>
            </w:r>
            <w:r w:rsidR="00645555">
              <w:rPr>
                <w:b w:val="0"/>
                <w:bCs w:val="0"/>
                <w:color w:val="002760" w:themeColor="accent1"/>
              </w:rPr>
              <w:t xml:space="preserve"> and governments</w:t>
            </w:r>
            <w:r w:rsidR="00C41658">
              <w:rPr>
                <w:b w:val="0"/>
                <w:bCs w:val="0"/>
                <w:color w:val="002760" w:themeColor="accent1"/>
              </w:rPr>
              <w:t>,</w:t>
            </w:r>
            <w:r w:rsidR="00C42A81">
              <w:rPr>
                <w:b w:val="0"/>
                <w:bCs w:val="0"/>
                <w:color w:val="002760" w:themeColor="accent1"/>
              </w:rPr>
              <w:t xml:space="preserve"> </w:t>
            </w:r>
            <w:r w:rsidR="00F65D06">
              <w:rPr>
                <w:b w:val="0"/>
                <w:bCs w:val="0"/>
                <w:color w:val="002760" w:themeColor="accent1"/>
              </w:rPr>
              <w:t>in the delivery of disaster relief.</w:t>
            </w:r>
          </w:p>
        </w:tc>
      </w:tr>
      <w:tr w:rsidR="0033135A" w:rsidRPr="000E3A2E" w14:paraId="2C2532F9" w14:textId="77777777" w:rsidTr="005C031B">
        <w:tc>
          <w:tcPr>
            <w:tcW w:w="9039" w:type="dxa"/>
            <w:shd w:val="clear" w:color="auto" w:fill="FFFFFF" w:themeFill="background1"/>
          </w:tcPr>
          <w:p w14:paraId="4D9A54DF" w14:textId="4BB7E978" w:rsidR="00FB58C0" w:rsidRPr="00C71AE7" w:rsidRDefault="00FB58C0" w:rsidP="001F3116">
            <w:pPr>
              <w:pStyle w:val="Tabletext"/>
              <w:rPr>
                <w:b/>
                <w:bCs/>
                <w:color w:val="002760" w:themeColor="accent1"/>
              </w:rPr>
            </w:pPr>
            <w:r w:rsidRPr="00C71AE7">
              <w:rPr>
                <w:b/>
                <w:bCs/>
                <w:color w:val="002760" w:themeColor="accent1"/>
              </w:rPr>
              <w:t>CDR should adopt a data holder</w:t>
            </w:r>
            <w:r w:rsidR="00505DB5" w:rsidRPr="00C71AE7">
              <w:rPr>
                <w:b/>
                <w:bCs/>
                <w:color w:val="002760" w:themeColor="accent1"/>
              </w:rPr>
              <w:noBreakHyphen/>
            </w:r>
            <w:r w:rsidRPr="00C71AE7">
              <w:rPr>
                <w:b/>
                <w:bCs/>
                <w:color w:val="002760" w:themeColor="accent1"/>
              </w:rPr>
              <w:t>agnostic approach</w:t>
            </w:r>
          </w:p>
          <w:p w14:paraId="33058751" w14:textId="2C52B838" w:rsidR="001072D8" w:rsidRPr="001072D8" w:rsidRDefault="001072D8" w:rsidP="001072D8">
            <w:pPr>
              <w:pStyle w:val="Bulletpoint"/>
              <w:rPr>
                <w:color w:val="002760" w:themeColor="accent1"/>
              </w:rPr>
            </w:pPr>
            <w:r w:rsidRPr="001072D8">
              <w:rPr>
                <w:color w:val="002760" w:themeColor="accent1"/>
              </w:rPr>
              <w:t xml:space="preserve">Stakeholders noted that unlocking public sector data could drive private innovation and improve how consumers use government data services. </w:t>
            </w:r>
          </w:p>
          <w:p w14:paraId="398944AC" w14:textId="1F4D4B92" w:rsidR="0033135A" w:rsidRPr="00C71AE7" w:rsidRDefault="001072D8" w:rsidP="001072D8">
            <w:pPr>
              <w:pStyle w:val="Bulletpoint"/>
              <w:rPr>
                <w:color w:val="002760" w:themeColor="accent1"/>
              </w:rPr>
            </w:pPr>
            <w:r w:rsidRPr="001072D8">
              <w:rPr>
                <w:color w:val="002760" w:themeColor="accent1"/>
              </w:rPr>
              <w:t xml:space="preserve">Managed appropriately and thoughtfully, including government data into the CDR system can increase consumer trust in both government data use and the CDR. </w:t>
            </w:r>
            <w:r w:rsidR="00FB58C0" w:rsidRPr="00C71AE7">
              <w:rPr>
                <w:color w:val="002760" w:themeColor="accent1"/>
              </w:rPr>
              <w:t xml:space="preserve"> </w:t>
            </w:r>
          </w:p>
        </w:tc>
      </w:tr>
      <w:tr w:rsidR="0033135A" w:rsidRPr="000E3A2E" w14:paraId="3A5E90AF" w14:textId="77777777" w:rsidTr="005C031B">
        <w:tc>
          <w:tcPr>
            <w:tcW w:w="9039" w:type="dxa"/>
            <w:shd w:val="clear" w:color="auto" w:fill="FFFFFF" w:themeFill="background1"/>
          </w:tcPr>
          <w:p w14:paraId="21F718AF" w14:textId="77777777" w:rsidR="00FB58C0" w:rsidRPr="00C71AE7" w:rsidRDefault="00FB58C0" w:rsidP="001F3116">
            <w:pPr>
              <w:pStyle w:val="Tabletext"/>
              <w:rPr>
                <w:b/>
                <w:bCs/>
                <w:color w:val="002760" w:themeColor="accent1"/>
              </w:rPr>
            </w:pPr>
            <w:r w:rsidRPr="00C71AE7">
              <w:rPr>
                <w:b/>
                <w:bCs/>
                <w:color w:val="002760" w:themeColor="accent1"/>
              </w:rPr>
              <w:t>Prioritise an agile and responsive implementation of CDR</w:t>
            </w:r>
          </w:p>
          <w:p w14:paraId="50DE00DB" w14:textId="6EBABC97" w:rsidR="001072D8" w:rsidRPr="001072D8" w:rsidRDefault="001072D8" w:rsidP="001072D8">
            <w:pPr>
              <w:pStyle w:val="Bulletpoint"/>
              <w:rPr>
                <w:color w:val="002760" w:themeColor="accent1"/>
              </w:rPr>
            </w:pPr>
            <w:r w:rsidRPr="001072D8">
              <w:rPr>
                <w:color w:val="002760" w:themeColor="accent1"/>
              </w:rPr>
              <w:t xml:space="preserve">Changes in the digital and data frontier are not always predictable or stable. </w:t>
            </w:r>
          </w:p>
          <w:p w14:paraId="0A4CEC67" w14:textId="6981EE52" w:rsidR="0033135A" w:rsidRDefault="001072D8" w:rsidP="001072D8">
            <w:pPr>
              <w:pStyle w:val="Bulletpoint"/>
              <w:rPr>
                <w:color w:val="002760" w:themeColor="accent1"/>
              </w:rPr>
            </w:pPr>
            <w:r w:rsidRPr="001072D8">
              <w:rPr>
                <w:color w:val="002760" w:themeColor="accent1"/>
              </w:rPr>
              <w:t xml:space="preserve">The CDR framework should be flexible to these changes, both in terms of expanding to new </w:t>
            </w:r>
            <w:r w:rsidR="001974E3">
              <w:rPr>
                <w:color w:val="002760" w:themeColor="accent1"/>
              </w:rPr>
              <w:t>datasets</w:t>
            </w:r>
            <w:r w:rsidRPr="001072D8">
              <w:rPr>
                <w:color w:val="002760" w:themeColor="accent1"/>
              </w:rPr>
              <w:t xml:space="preserve"> and in responding to the development of technology. </w:t>
            </w:r>
            <w:r w:rsidR="00FB58C0" w:rsidRPr="00C71AE7">
              <w:rPr>
                <w:color w:val="002760" w:themeColor="accent1"/>
              </w:rPr>
              <w:t xml:space="preserve"> </w:t>
            </w:r>
          </w:p>
          <w:p w14:paraId="036AFC52" w14:textId="6CDD20F5" w:rsidR="00390573" w:rsidRPr="00C71AE7" w:rsidRDefault="00390573" w:rsidP="001072D8">
            <w:pPr>
              <w:pStyle w:val="Bulletpoint"/>
              <w:rPr>
                <w:color w:val="002760" w:themeColor="accent1"/>
              </w:rPr>
            </w:pPr>
            <w:r>
              <w:rPr>
                <w:color w:val="002760" w:themeColor="accent1"/>
              </w:rPr>
              <w:lastRenderedPageBreak/>
              <w:t xml:space="preserve">The changing boundaries and participants of any given </w:t>
            </w:r>
            <w:r w:rsidR="00CB2151">
              <w:rPr>
                <w:color w:val="002760" w:themeColor="accent1"/>
              </w:rPr>
              <w:t>industry</w:t>
            </w:r>
            <w:r>
              <w:rPr>
                <w:color w:val="002760" w:themeColor="accent1"/>
              </w:rPr>
              <w:t xml:space="preserve"> mean that traditional definitions of sectors </w:t>
            </w:r>
            <w:r w:rsidR="0014766E">
              <w:rPr>
                <w:color w:val="002760" w:themeColor="accent1"/>
              </w:rPr>
              <w:t>can be</w:t>
            </w:r>
            <w:r>
              <w:rPr>
                <w:color w:val="002760" w:themeColor="accent1"/>
              </w:rPr>
              <w:t xml:space="preserve"> overtaken in practice. An agile</w:t>
            </w:r>
            <w:r w:rsidR="00ED4CC9">
              <w:rPr>
                <w:color w:val="002760" w:themeColor="accent1"/>
              </w:rPr>
              <w:t xml:space="preserve"> and responsive</w:t>
            </w:r>
            <w:r>
              <w:rPr>
                <w:color w:val="002760" w:themeColor="accent1"/>
              </w:rPr>
              <w:t xml:space="preserve"> CDR framework will ensure that participation</w:t>
            </w:r>
            <w:r w:rsidR="00CB2151">
              <w:rPr>
                <w:color w:val="002760" w:themeColor="accent1"/>
              </w:rPr>
              <w:t xml:space="preserve"> and resulting benefits</w:t>
            </w:r>
            <w:r>
              <w:rPr>
                <w:color w:val="002760" w:themeColor="accent1"/>
              </w:rPr>
              <w:t xml:space="preserve"> are maximised in lin</w:t>
            </w:r>
            <w:r w:rsidR="00CB2151">
              <w:rPr>
                <w:color w:val="002760" w:themeColor="accent1"/>
              </w:rPr>
              <w:t>e with that practice.</w:t>
            </w:r>
          </w:p>
        </w:tc>
      </w:tr>
      <w:tr w:rsidR="00FB58C0" w:rsidRPr="000E3A2E" w14:paraId="01B66C57" w14:textId="77777777" w:rsidTr="005C031B">
        <w:tc>
          <w:tcPr>
            <w:tcW w:w="9039" w:type="dxa"/>
            <w:shd w:val="clear" w:color="auto" w:fill="FFFFFF" w:themeFill="background1"/>
          </w:tcPr>
          <w:p w14:paraId="67A63855" w14:textId="1BE67427" w:rsidR="00FB58C0" w:rsidRPr="00C71AE7" w:rsidRDefault="00FB58C0" w:rsidP="001F3116">
            <w:pPr>
              <w:pStyle w:val="Tabletext"/>
              <w:rPr>
                <w:b/>
                <w:bCs/>
                <w:color w:val="002760" w:themeColor="accent1"/>
              </w:rPr>
            </w:pPr>
            <w:r w:rsidRPr="00C71AE7">
              <w:rPr>
                <w:b/>
                <w:bCs/>
                <w:color w:val="002760" w:themeColor="accent1"/>
              </w:rPr>
              <w:lastRenderedPageBreak/>
              <w:t>Consumer</w:t>
            </w:r>
            <w:r w:rsidR="00505DB5" w:rsidRPr="00C71AE7">
              <w:rPr>
                <w:b/>
                <w:bCs/>
                <w:color w:val="002760" w:themeColor="accent1"/>
              </w:rPr>
              <w:noBreakHyphen/>
            </w:r>
            <w:r w:rsidRPr="00C71AE7">
              <w:rPr>
                <w:b/>
                <w:bCs/>
                <w:color w:val="002760" w:themeColor="accent1"/>
              </w:rPr>
              <w:t>centred development must be retained</w:t>
            </w:r>
          </w:p>
          <w:p w14:paraId="5F58DF74" w14:textId="673C5B1A" w:rsidR="00B83B58" w:rsidRPr="00B83B58" w:rsidRDefault="00B83B58" w:rsidP="00B83B58">
            <w:pPr>
              <w:pStyle w:val="Bulletpoint"/>
              <w:rPr>
                <w:color w:val="002760" w:themeColor="accent1"/>
              </w:rPr>
            </w:pPr>
            <w:r w:rsidRPr="00B83B58">
              <w:rPr>
                <w:color w:val="002760" w:themeColor="accent1"/>
              </w:rPr>
              <w:t>Digital consumers are segmented with divergent needs, capabilities and trust of the online world.</w:t>
            </w:r>
          </w:p>
          <w:p w14:paraId="240CF26D" w14:textId="1B77E158" w:rsidR="00FB58C0" w:rsidRPr="00C71AE7" w:rsidRDefault="00B83B58" w:rsidP="00B83B58">
            <w:pPr>
              <w:pStyle w:val="Bulletpoint"/>
              <w:rPr>
                <w:color w:val="002760" w:themeColor="accent1"/>
              </w:rPr>
            </w:pPr>
            <w:r w:rsidRPr="00B83B58">
              <w:rPr>
                <w:color w:val="002760" w:themeColor="accent1"/>
              </w:rPr>
              <w:t xml:space="preserve">In order for consumers to get the most out the system, the CDR needs to understand how different consumers will engage, or not engage, with an expanded set of sectors or </w:t>
            </w:r>
            <w:r w:rsidR="001974E3">
              <w:rPr>
                <w:color w:val="002760" w:themeColor="accent1"/>
              </w:rPr>
              <w:t>datasets</w:t>
            </w:r>
            <w:r w:rsidR="00FB58C0" w:rsidRPr="00C71AE7">
              <w:rPr>
                <w:color w:val="002760" w:themeColor="accent1"/>
              </w:rPr>
              <w:t>.</w:t>
            </w:r>
          </w:p>
          <w:p w14:paraId="6B24E6C8" w14:textId="281FFB5F" w:rsidR="002A5DB9" w:rsidRPr="00C71AE7" w:rsidRDefault="00B83B58" w:rsidP="002D6F24">
            <w:pPr>
              <w:pStyle w:val="Bulletpoint"/>
              <w:spacing w:after="120"/>
              <w:rPr>
                <w:color w:val="002760" w:themeColor="accent1"/>
              </w:rPr>
            </w:pPr>
            <w:r w:rsidRPr="00B83B58">
              <w:rPr>
                <w:color w:val="002760" w:themeColor="accent1"/>
              </w:rPr>
              <w:t>The CDR</w:t>
            </w:r>
            <w:r w:rsidR="0014766E">
              <w:rPr>
                <w:color w:val="002760" w:themeColor="accent1"/>
              </w:rPr>
              <w:t xml:space="preserve"> and its consent-driven core of transparency with embedded</w:t>
            </w:r>
            <w:r w:rsidRPr="00B83B58">
              <w:rPr>
                <w:color w:val="002760" w:themeColor="accent1"/>
              </w:rPr>
              <w:t xml:space="preserve"> </w:t>
            </w:r>
            <w:r w:rsidR="0014766E">
              <w:rPr>
                <w:color w:val="002760" w:themeColor="accent1"/>
              </w:rPr>
              <w:t xml:space="preserve">privacy principles </w:t>
            </w:r>
            <w:r w:rsidRPr="00B83B58">
              <w:rPr>
                <w:color w:val="002760" w:themeColor="accent1"/>
              </w:rPr>
              <w:t xml:space="preserve">can </w:t>
            </w:r>
            <w:r w:rsidR="0014766E">
              <w:rPr>
                <w:color w:val="002760" w:themeColor="accent1"/>
              </w:rPr>
              <w:t>re</w:t>
            </w:r>
            <w:r w:rsidRPr="00B83B58">
              <w:rPr>
                <w:color w:val="002760" w:themeColor="accent1"/>
              </w:rPr>
              <w:t>assure consumers of their digital safety</w:t>
            </w:r>
            <w:r w:rsidR="00AA3147">
              <w:rPr>
                <w:color w:val="002760" w:themeColor="accent1"/>
              </w:rPr>
              <w:t xml:space="preserve"> and provide a foundation for confident consumer engagement</w:t>
            </w:r>
            <w:r w:rsidR="00FB58C0" w:rsidRPr="00C71AE7">
              <w:rPr>
                <w:color w:val="002760" w:themeColor="accent1"/>
              </w:rPr>
              <w:t>.</w:t>
            </w:r>
            <w:r w:rsidR="0014766E">
              <w:rPr>
                <w:color w:val="002760" w:themeColor="accent1"/>
              </w:rPr>
              <w:t xml:space="preserve"> </w:t>
            </w:r>
          </w:p>
        </w:tc>
      </w:tr>
      <w:tr w:rsidR="0033135A" w:rsidRPr="000E3A2E" w14:paraId="37F57CAF" w14:textId="77777777" w:rsidTr="005C031B">
        <w:trPr>
          <w:cantSplit/>
        </w:trPr>
        <w:tc>
          <w:tcPr>
            <w:tcW w:w="9039" w:type="dxa"/>
            <w:shd w:val="clear" w:color="auto" w:fill="FFFFFF" w:themeFill="background1"/>
          </w:tcPr>
          <w:p w14:paraId="745ACB41" w14:textId="77777777" w:rsidR="00FB58C0" w:rsidRPr="00C71AE7" w:rsidRDefault="00FB58C0" w:rsidP="001F3116">
            <w:pPr>
              <w:pStyle w:val="Tabletext"/>
              <w:rPr>
                <w:b/>
                <w:bCs/>
                <w:color w:val="002760" w:themeColor="accent1"/>
              </w:rPr>
            </w:pPr>
            <w:r w:rsidRPr="00C71AE7">
              <w:rPr>
                <w:b/>
                <w:bCs/>
                <w:color w:val="002760" w:themeColor="accent1"/>
                <w:lang w:val="en-US"/>
              </w:rPr>
              <w:t>CDR has a role in Digital Identity Verification and sharing of credentials</w:t>
            </w:r>
          </w:p>
          <w:p w14:paraId="5A347F23" w14:textId="46562700" w:rsidR="00FB58C0" w:rsidRPr="00C71AE7" w:rsidRDefault="00B83B58" w:rsidP="002D6F24">
            <w:pPr>
              <w:pStyle w:val="Bulletpoint"/>
              <w:spacing w:after="120"/>
              <w:rPr>
                <w:color w:val="002760" w:themeColor="accent1"/>
              </w:rPr>
            </w:pPr>
            <w:r w:rsidRPr="00B83B58">
              <w:rPr>
                <w:color w:val="002760" w:themeColor="accent1"/>
              </w:rPr>
              <w:t>Identity verification, through both government data and private sector solutions, was a recurring proposal made during the Strategic Assessment</w:t>
            </w:r>
            <w:r w:rsidR="00FB58C0" w:rsidRPr="00C71AE7">
              <w:rPr>
                <w:color w:val="002760" w:themeColor="accent1"/>
              </w:rPr>
              <w:t>.</w:t>
            </w:r>
          </w:p>
          <w:p w14:paraId="4E79F694" w14:textId="11C71B98" w:rsidR="0033135A" w:rsidRPr="00C71AE7" w:rsidRDefault="00B83B58" w:rsidP="002D6F24">
            <w:pPr>
              <w:pStyle w:val="Bulletpoint"/>
              <w:spacing w:after="120"/>
              <w:rPr>
                <w:color w:val="002760" w:themeColor="accent1"/>
              </w:rPr>
            </w:pPr>
            <w:r w:rsidRPr="00B83B58">
              <w:rPr>
                <w:color w:val="002760" w:themeColor="accent1"/>
              </w:rPr>
              <w:t xml:space="preserve">Bringing digital identity verification into the CDR builds off the </w:t>
            </w:r>
            <w:r w:rsidRPr="00A06089">
              <w:rPr>
                <w:i/>
                <w:iCs/>
                <w:color w:val="002760" w:themeColor="accent1"/>
              </w:rPr>
              <w:t>Inquiry into the Future Directions for the Consumer Data Right</w:t>
            </w:r>
            <w:r w:rsidRPr="00B83B58">
              <w:rPr>
                <w:color w:val="002760" w:themeColor="accent1"/>
              </w:rPr>
              <w:t xml:space="preserve"> report</w:t>
            </w:r>
            <w:r w:rsidR="001974E3">
              <w:rPr>
                <w:color w:val="002760" w:themeColor="accent1"/>
              </w:rPr>
              <w:t>,</w:t>
            </w:r>
            <w:r w:rsidRPr="00B83B58">
              <w:rPr>
                <w:color w:val="002760" w:themeColor="accent1"/>
              </w:rPr>
              <w:t xml:space="preserve"> which recommended that the CDR should incorporate interoperable authentication</w:t>
            </w:r>
            <w:r w:rsidR="00FB58C0" w:rsidRPr="00C71AE7">
              <w:rPr>
                <w:color w:val="002760" w:themeColor="accent1"/>
              </w:rPr>
              <w:t>.</w:t>
            </w:r>
          </w:p>
        </w:tc>
      </w:tr>
      <w:tr w:rsidR="004C0A7B" w:rsidRPr="000E3A2E" w14:paraId="3C10C4D4" w14:textId="77777777" w:rsidTr="005C031B">
        <w:tc>
          <w:tcPr>
            <w:tcW w:w="9039" w:type="dxa"/>
            <w:shd w:val="clear" w:color="auto" w:fill="FFFFFF" w:themeFill="background1"/>
          </w:tcPr>
          <w:p w14:paraId="7AC7AEC3" w14:textId="746E5022" w:rsidR="004C0A7B" w:rsidRDefault="004C0A7B" w:rsidP="004C0A7B">
            <w:pPr>
              <w:pStyle w:val="Tabletext"/>
              <w:rPr>
                <w:b/>
                <w:bCs/>
                <w:color w:val="002760" w:themeColor="accent1"/>
              </w:rPr>
            </w:pPr>
            <w:r w:rsidRPr="00C71AE7">
              <w:rPr>
                <w:b/>
                <w:bCs/>
                <w:color w:val="002760" w:themeColor="accent1"/>
              </w:rPr>
              <w:t xml:space="preserve">Key factors to support prioritisation and sequencing </w:t>
            </w:r>
            <w:r w:rsidR="00B83B58">
              <w:rPr>
                <w:b/>
                <w:bCs/>
                <w:color w:val="002760" w:themeColor="accent1"/>
              </w:rPr>
              <w:t>of further CDR expansion</w:t>
            </w:r>
          </w:p>
          <w:p w14:paraId="4705130D" w14:textId="1E7A44C0" w:rsidR="001D6284" w:rsidRPr="001E0822" w:rsidRDefault="001D6284" w:rsidP="001E0822">
            <w:pPr>
              <w:pStyle w:val="Pullquotetext"/>
              <w:rPr>
                <w:b/>
                <w:bCs/>
              </w:rPr>
            </w:pPr>
            <w:r w:rsidRPr="001E0822">
              <w:t xml:space="preserve">‘… it may be that a new approach is needed that focuses less on the features of a particular sector or dataset, and more on the impact of the scale and combination of different dataset(s), potentially viewed through the lens of the net interests of the citizen/consumer.’ </w:t>
            </w:r>
            <w:r w:rsidRPr="001E0822">
              <w:rPr>
                <w:b/>
                <w:bCs/>
              </w:rPr>
              <w:t>Australian Society for Computers &amp; Law</w:t>
            </w:r>
          </w:p>
          <w:p w14:paraId="598870B0" w14:textId="3F9990AA" w:rsidR="004C0A7B" w:rsidRPr="00C71AE7" w:rsidRDefault="00B83B58" w:rsidP="002D6F24">
            <w:pPr>
              <w:pStyle w:val="Bulletpoint"/>
              <w:spacing w:after="120"/>
              <w:rPr>
                <w:b/>
                <w:color w:val="002760" w:themeColor="accent1"/>
              </w:rPr>
            </w:pPr>
            <w:r>
              <w:rPr>
                <w:color w:val="002760" w:themeColor="accent1"/>
              </w:rPr>
              <w:t>Prioritise d</w:t>
            </w:r>
            <w:r w:rsidR="004C0A7B" w:rsidRPr="00C71AE7">
              <w:rPr>
                <w:color w:val="002760" w:themeColor="accent1"/>
              </w:rPr>
              <w:t xml:space="preserve">atasets that build on existing </w:t>
            </w:r>
            <w:r w:rsidR="001974E3">
              <w:rPr>
                <w:color w:val="002760" w:themeColor="accent1"/>
              </w:rPr>
              <w:t>dataset(s)</w:t>
            </w:r>
            <w:r w:rsidR="004C0A7B" w:rsidRPr="00C71AE7">
              <w:rPr>
                <w:color w:val="002760" w:themeColor="accent1"/>
              </w:rPr>
              <w:t xml:space="preserve"> or are highly complementary to support faster ecosystem growth. </w:t>
            </w:r>
          </w:p>
          <w:p w14:paraId="625807E5" w14:textId="17AB9216" w:rsidR="004C0A7B" w:rsidRPr="00C71AE7" w:rsidRDefault="00B83B58" w:rsidP="002D6F24">
            <w:pPr>
              <w:pStyle w:val="Bulletpoint"/>
              <w:spacing w:after="120"/>
              <w:rPr>
                <w:b/>
                <w:color w:val="002760" w:themeColor="accent1"/>
              </w:rPr>
            </w:pPr>
            <w:r>
              <w:rPr>
                <w:color w:val="002760" w:themeColor="accent1"/>
              </w:rPr>
              <w:t>Prioritise d</w:t>
            </w:r>
            <w:r w:rsidR="004C0A7B" w:rsidRPr="00C71AE7">
              <w:rPr>
                <w:color w:val="002760" w:themeColor="accent1"/>
              </w:rPr>
              <w:t>atasets that support multiple use</w:t>
            </w:r>
            <w:r w:rsidR="004C0A7B" w:rsidRPr="00C71AE7">
              <w:rPr>
                <w:color w:val="002760" w:themeColor="accent1"/>
              </w:rPr>
              <w:noBreakHyphen/>
              <w:t>cases</w:t>
            </w:r>
            <w:r w:rsidR="00A338AB">
              <w:rPr>
                <w:color w:val="002760" w:themeColor="accent1"/>
              </w:rPr>
              <w:t xml:space="preserve">, </w:t>
            </w:r>
            <w:r w:rsidR="004C0A7B" w:rsidRPr="00C71AE7">
              <w:rPr>
                <w:color w:val="002760" w:themeColor="accent1"/>
              </w:rPr>
              <w:t>broad innovation and user</w:t>
            </w:r>
            <w:r w:rsidR="004C0A7B" w:rsidRPr="00C71AE7">
              <w:rPr>
                <w:color w:val="002760" w:themeColor="accent1"/>
              </w:rPr>
              <w:noBreakHyphen/>
              <w:t>journeys rather than simple switching use cases.</w:t>
            </w:r>
          </w:p>
          <w:p w14:paraId="6633D4F9" w14:textId="2C101A2E" w:rsidR="004C0A7B" w:rsidRPr="00C71AE7" w:rsidRDefault="004C0A7B" w:rsidP="002D6F24">
            <w:pPr>
              <w:pStyle w:val="Bulletpoint"/>
              <w:spacing w:after="120"/>
              <w:rPr>
                <w:b/>
                <w:color w:val="002760" w:themeColor="accent1"/>
              </w:rPr>
            </w:pPr>
            <w:r w:rsidRPr="00C71AE7">
              <w:rPr>
                <w:color w:val="002760" w:themeColor="accent1"/>
              </w:rPr>
              <w:t xml:space="preserve">Focus on friction points for consumers </w:t>
            </w:r>
            <w:r w:rsidR="00B83B58">
              <w:rPr>
                <w:color w:val="002760" w:themeColor="accent1"/>
              </w:rPr>
              <w:t xml:space="preserve">that can be addressed </w:t>
            </w:r>
            <w:r w:rsidRPr="00C71AE7">
              <w:rPr>
                <w:color w:val="002760" w:themeColor="accent1"/>
              </w:rPr>
              <w:t>through data</w:t>
            </w:r>
            <w:r w:rsidRPr="00C71AE7">
              <w:rPr>
                <w:color w:val="002760" w:themeColor="accent1"/>
              </w:rPr>
              <w:noBreakHyphen/>
              <w:t>driven innovation and standardisation.</w:t>
            </w:r>
          </w:p>
          <w:p w14:paraId="6D7E4D2A" w14:textId="0F24B7D6" w:rsidR="004C0A7B" w:rsidRPr="00C71AE7" w:rsidRDefault="004C0A7B" w:rsidP="002D6F24">
            <w:pPr>
              <w:pStyle w:val="Bulletpoint"/>
              <w:spacing w:after="120"/>
              <w:rPr>
                <w:b/>
                <w:color w:val="002760" w:themeColor="accent1"/>
              </w:rPr>
            </w:pPr>
            <w:r w:rsidRPr="00461F36">
              <w:rPr>
                <w:color w:val="002760" w:themeColor="accent1"/>
              </w:rPr>
              <w:t>Consider</w:t>
            </w:r>
            <w:r w:rsidR="003C60C0" w:rsidRPr="00461F36">
              <w:rPr>
                <w:color w:val="002760" w:themeColor="accent1"/>
              </w:rPr>
              <w:t xml:space="preserve"> how the CDR </w:t>
            </w:r>
            <w:r w:rsidR="00461F36" w:rsidRPr="008A3D4E">
              <w:rPr>
                <w:color w:val="002760" w:themeColor="accent1"/>
              </w:rPr>
              <w:t>might interact with</w:t>
            </w:r>
            <w:r w:rsidR="003C60C0" w:rsidRPr="00461F36">
              <w:rPr>
                <w:color w:val="002760" w:themeColor="accent1"/>
              </w:rPr>
              <w:t xml:space="preserve"> </w:t>
            </w:r>
            <w:r w:rsidR="00461F36" w:rsidRPr="008A3D4E">
              <w:rPr>
                <w:color w:val="002760" w:themeColor="accent1"/>
              </w:rPr>
              <w:t>any</w:t>
            </w:r>
            <w:r w:rsidR="003C60C0" w:rsidRPr="00A459E6">
              <w:rPr>
                <w:color w:val="002760" w:themeColor="accent1"/>
              </w:rPr>
              <w:t xml:space="preserve"> </w:t>
            </w:r>
            <w:r w:rsidR="003C60C0" w:rsidRPr="00461F36">
              <w:rPr>
                <w:color w:val="002760" w:themeColor="accent1"/>
              </w:rPr>
              <w:t>existing</w:t>
            </w:r>
            <w:r w:rsidRPr="00461F36">
              <w:rPr>
                <w:color w:val="002760" w:themeColor="accent1"/>
              </w:rPr>
              <w:t xml:space="preserve"> data</w:t>
            </w:r>
            <w:r w:rsidR="00E87338" w:rsidRPr="00461F36">
              <w:rPr>
                <w:color w:val="002760" w:themeColor="accent1"/>
              </w:rPr>
              <w:t>-</w:t>
            </w:r>
            <w:r w:rsidRPr="00461F36">
              <w:rPr>
                <w:color w:val="002760" w:themeColor="accent1"/>
              </w:rPr>
              <w:t>sharing mechanism</w:t>
            </w:r>
            <w:r w:rsidR="00461F36" w:rsidRPr="008A3D4E">
              <w:rPr>
                <w:color w:val="002760" w:themeColor="accent1"/>
              </w:rPr>
              <w:t xml:space="preserve">s </w:t>
            </w:r>
            <w:r w:rsidR="00461F36">
              <w:rPr>
                <w:color w:val="002760" w:themeColor="accent1"/>
              </w:rPr>
              <w:t xml:space="preserve">already </w:t>
            </w:r>
            <w:r w:rsidR="00461F36" w:rsidRPr="008A3D4E">
              <w:rPr>
                <w:color w:val="002760" w:themeColor="accent1"/>
              </w:rPr>
              <w:t>operating</w:t>
            </w:r>
            <w:r w:rsidR="00B84FBA">
              <w:rPr>
                <w:color w:val="002760" w:themeColor="accent1"/>
              </w:rPr>
              <w:t xml:space="preserve"> in a sector.</w:t>
            </w:r>
            <w:r w:rsidRPr="00C71AE7">
              <w:rPr>
                <w:color w:val="002760" w:themeColor="accent1"/>
              </w:rPr>
              <w:t xml:space="preserve"> </w:t>
            </w:r>
          </w:p>
          <w:p w14:paraId="21633600" w14:textId="2A5CB54C" w:rsidR="004C0A7B" w:rsidRPr="00C71AE7" w:rsidRDefault="004C0A7B" w:rsidP="002D6F24">
            <w:pPr>
              <w:pStyle w:val="Bulletpoint"/>
              <w:spacing w:after="120"/>
              <w:rPr>
                <w:b/>
                <w:color w:val="002760" w:themeColor="accent1"/>
              </w:rPr>
            </w:pPr>
            <w:r w:rsidRPr="00C71AE7">
              <w:rPr>
                <w:color w:val="002760" w:themeColor="accent1"/>
              </w:rPr>
              <w:t>Consider maturity of ICT infrastructure and digital capability of sector</w:t>
            </w:r>
            <w:r w:rsidR="00B83B58">
              <w:rPr>
                <w:color w:val="002760" w:themeColor="accent1"/>
              </w:rPr>
              <w:t>, as well as the</w:t>
            </w:r>
            <w:r w:rsidRPr="00C71AE7">
              <w:rPr>
                <w:color w:val="002760" w:themeColor="accent1"/>
              </w:rPr>
              <w:t xml:space="preserve"> proprietary nature of datasets.</w:t>
            </w:r>
          </w:p>
          <w:p w14:paraId="3DDC00A0" w14:textId="4A4E7FFE" w:rsidR="004C0A7B" w:rsidRPr="00C71AE7" w:rsidRDefault="004C0A7B" w:rsidP="002D6F24">
            <w:pPr>
              <w:pStyle w:val="Bulletpoint"/>
              <w:spacing w:after="120"/>
              <w:rPr>
                <w:b/>
                <w:color w:val="002760" w:themeColor="accent1"/>
                <w:lang w:val="en-US"/>
              </w:rPr>
            </w:pPr>
            <w:r w:rsidRPr="00C71AE7">
              <w:rPr>
                <w:color w:val="002760" w:themeColor="accent1"/>
              </w:rPr>
              <w:t>Applying the above factors also supports building on open banking and prioritising expansion to other financial services and products (‘</w:t>
            </w:r>
            <w:r w:rsidR="00966F1D">
              <w:rPr>
                <w:color w:val="002760" w:themeColor="accent1"/>
              </w:rPr>
              <w:t>Open Finance</w:t>
            </w:r>
            <w:r w:rsidRPr="00C71AE7">
              <w:rPr>
                <w:color w:val="002760" w:themeColor="accent1"/>
              </w:rPr>
              <w:t>’).</w:t>
            </w:r>
          </w:p>
        </w:tc>
      </w:tr>
    </w:tbl>
    <w:p w14:paraId="2C1D9914" w14:textId="77777777" w:rsidR="00325923" w:rsidRDefault="00325923">
      <w:pPr>
        <w:spacing w:before="200" w:after="0" w:line="240" w:lineRule="auto"/>
        <w:rPr>
          <w:rFonts w:eastAsia="Calibri" w:cstheme="majorBidi"/>
          <w:bCs/>
          <w:color w:val="0D45D6" w:themeColor="accent2"/>
          <w:sz w:val="32"/>
          <w:szCs w:val="28"/>
        </w:rPr>
      </w:pPr>
      <w:bookmarkStart w:id="21" w:name="_Toc89434868"/>
      <w:r>
        <w:rPr>
          <w:rFonts w:eastAsia="Calibri"/>
        </w:rPr>
        <w:br w:type="page"/>
      </w:r>
    </w:p>
    <w:p w14:paraId="3847A585" w14:textId="6957ECB4" w:rsidR="00325923" w:rsidRDefault="00325923" w:rsidP="00325923">
      <w:pPr>
        <w:pStyle w:val="Heading1"/>
        <w:rPr>
          <w:rFonts w:eastAsia="Calibri"/>
        </w:rPr>
      </w:pPr>
      <w:bookmarkStart w:id="22" w:name="_Toc89439950"/>
      <w:r w:rsidRPr="00BC0216">
        <w:rPr>
          <w:rFonts w:eastAsia="Calibri"/>
        </w:rPr>
        <w:lastRenderedPageBreak/>
        <w:t xml:space="preserve">Strategic Assessment </w:t>
      </w:r>
      <w:r>
        <w:rPr>
          <w:rFonts w:eastAsia="Calibri"/>
        </w:rPr>
        <w:t>outcomes</w:t>
      </w:r>
      <w:bookmarkEnd w:id="22"/>
    </w:p>
    <w:p w14:paraId="53C3AFE8" w14:textId="69929AC0" w:rsidR="005A5C8A" w:rsidRDefault="005A5C8A" w:rsidP="00D04833">
      <w:pPr>
        <w:pStyle w:val="Heading2"/>
        <w:rPr>
          <w:rFonts w:eastAsia="Calibri"/>
        </w:rPr>
      </w:pPr>
      <w:bookmarkStart w:id="23" w:name="_Toc89439951"/>
      <w:r>
        <w:rPr>
          <w:rFonts w:eastAsia="Calibri"/>
        </w:rPr>
        <w:t>A data purpose</w:t>
      </w:r>
      <w:r w:rsidR="00505DB5">
        <w:rPr>
          <w:rFonts w:eastAsia="Calibri"/>
        </w:rPr>
        <w:noBreakHyphen/>
      </w:r>
      <w:r>
        <w:rPr>
          <w:rFonts w:eastAsia="Calibri"/>
        </w:rPr>
        <w:t>driven approach will unlock consumer</w:t>
      </w:r>
      <w:r w:rsidR="00505DB5">
        <w:rPr>
          <w:rFonts w:eastAsia="Calibri"/>
        </w:rPr>
        <w:noBreakHyphen/>
      </w:r>
      <w:r>
        <w:rPr>
          <w:rFonts w:eastAsia="Calibri"/>
        </w:rPr>
        <w:t>centric use cases</w:t>
      </w:r>
      <w:bookmarkEnd w:id="21"/>
      <w:bookmarkEnd w:id="23"/>
    </w:p>
    <w:p w14:paraId="15404AD3" w14:textId="0B7BE42C" w:rsidR="005A5C8A" w:rsidRDefault="005A5C8A" w:rsidP="00704836">
      <w:r>
        <w:t xml:space="preserve">Leveraging the rich insights received through the </w:t>
      </w:r>
      <w:r w:rsidR="002F0D71">
        <w:t>S</w:t>
      </w:r>
      <w:r>
        <w:t xml:space="preserve">trategic </w:t>
      </w:r>
      <w:r w:rsidR="002F0D71">
        <w:t>A</w:t>
      </w:r>
      <w:r>
        <w:t xml:space="preserve">ssessment, key </w:t>
      </w:r>
      <w:r w:rsidRPr="008E63D4">
        <w:t>factors</w:t>
      </w:r>
      <w:r>
        <w:t xml:space="preserve"> were identified t</w:t>
      </w:r>
      <w:r w:rsidRPr="008E63D4">
        <w:t xml:space="preserve">o guide </w:t>
      </w:r>
      <w:r>
        <w:t xml:space="preserve">the </w:t>
      </w:r>
      <w:r w:rsidRPr="008E63D4">
        <w:t xml:space="preserve">future prioritisation and sequencing of </w:t>
      </w:r>
      <w:r>
        <w:t>CDR t</w:t>
      </w:r>
      <w:r w:rsidRPr="008E63D4">
        <w:t xml:space="preserve">o future </w:t>
      </w:r>
      <w:r w:rsidR="001974E3">
        <w:t>datasets</w:t>
      </w:r>
      <w:r>
        <w:t xml:space="preserve">. These key factors complement a more agile approach to future CDR expansion that prioritises a smaller number of targeted </w:t>
      </w:r>
      <w:r w:rsidR="001974E3">
        <w:t>dataset</w:t>
      </w:r>
      <w:r w:rsidR="00461507">
        <w:t>s</w:t>
      </w:r>
      <w:r>
        <w:t xml:space="preserve"> across sectors that will more rapidly unlock consumer</w:t>
      </w:r>
      <w:r w:rsidR="00505DB5">
        <w:noBreakHyphen/>
      </w:r>
      <w:r>
        <w:t xml:space="preserve">centric use cases. </w:t>
      </w:r>
    </w:p>
    <w:p w14:paraId="7A9F5D66" w14:textId="6DFE6085" w:rsidR="008B1780" w:rsidRDefault="005A5C8A" w:rsidP="00704836">
      <w:r>
        <w:t>The key factors are illustrated below and include the v</w:t>
      </w:r>
      <w:r w:rsidRPr="008E63D4">
        <w:t xml:space="preserve">alue of </w:t>
      </w:r>
      <w:r w:rsidR="001974E3">
        <w:t>dataset(s)</w:t>
      </w:r>
      <w:r w:rsidRPr="008E63D4" w:rsidDel="00E70798">
        <w:t xml:space="preserve"> </w:t>
      </w:r>
      <w:r w:rsidRPr="008E63D4">
        <w:t xml:space="preserve">alone or when combined with other </w:t>
      </w:r>
      <w:r w:rsidR="001974E3">
        <w:t>dataset(s)</w:t>
      </w:r>
      <w:r w:rsidRPr="008E63D4">
        <w:t>, the relat</w:t>
      </w:r>
      <w:r>
        <w:t>ive</w:t>
      </w:r>
      <w:r w:rsidRPr="008E63D4">
        <w:t xml:space="preserve"> costs to data holders of making a single or multiple </w:t>
      </w:r>
      <w:r w:rsidR="001974E3">
        <w:t>dataset(s)</w:t>
      </w:r>
      <w:r w:rsidRPr="008E63D4">
        <w:t xml:space="preserve"> available and the digital readiness of certain sectors to support sequencing of various </w:t>
      </w:r>
      <w:r w:rsidR="001974E3">
        <w:t>dataset(s)</w:t>
      </w:r>
      <w:r w:rsidRPr="008E63D4">
        <w:t xml:space="preserve">. </w:t>
      </w:r>
    </w:p>
    <w:p w14:paraId="5E833793" w14:textId="09BC7984" w:rsidR="004C0A7B" w:rsidRDefault="00704836" w:rsidP="00704836">
      <w:r w:rsidRPr="008E418F">
        <w:rPr>
          <w:rFonts w:eastAsia="Calibri" w:cs="Times New Roman"/>
          <w:noProof/>
        </w:rPr>
        <w:drawing>
          <wp:inline distT="0" distB="0" distL="0" distR="0" wp14:anchorId="36680E2D" wp14:editId="410F7D22">
            <wp:extent cx="5740502" cy="3170799"/>
            <wp:effectExtent l="0" t="0" r="0" b="0"/>
            <wp:docPr id="9" name="Picture 9" descr="This diagram shows the key factors for choosing a dataset are benefit for consumers, policy drivers, cost for data holders, transformation of sectors and value for data recipients.&#10;The diagram resembles a flower where each of these key factors are a petal that overlap at the flower’s centre. The centre represents the strongest cases for choosing a dataset as it incorporates all the identified key factors.&#10;Benefit for consumers is the idea that the inclusion of a dataset should enable improved decisions to be made by or for consumers, and which are beneficial to them. &#10;Policy drivers is the idea that the inclusion of a dataset should align with, or support the achievement of, other policy goals. &#10;Cost for data holders is the idea that the inclusion of a dataset should not cause unjustifiable net cost to data holders. &#10;Transformation of sectors is idea the inclusion of a dataset should align with the long term need for the sector to be digitally active. &#10;Value for data recipients is the idea that the inclusion of a dataset should create value through enabling innovation by data recipients, which improves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diagram shows the key factors for choosing a dataset are benefit for consumers, policy drivers, cost for data holders, transformation of sectors and value for data recipients.&#10;The diagram resembles a flower where each of these key factors are a petal that overlap at the flower’s centre. The centre represents the strongest cases for choosing a dataset as it incorporates all the identified key factors.&#10;Benefit for consumers is the idea that the inclusion of a dataset should enable improved decisions to be made by or for consumers, and which are beneficial to them. &#10;Policy drivers is the idea that the inclusion of a dataset should align with, or support the achievement of, other policy goals. &#10;Cost for data holders is the idea that the inclusion of a dataset should not cause unjustifiable net cost to data holders. &#10;Transformation of sectors is idea the inclusion of a dataset should align with the long term need for the sector to be digitally active. &#10;Value for data recipients is the idea that the inclusion of a dataset should create value through enabling innovation by data recipients, which improves productivity."/>
                    <pic:cNvPicPr/>
                  </pic:nvPicPr>
                  <pic:blipFill rotWithShape="1">
                    <a:blip r:embed="rId18" cstate="print">
                      <a:extLst>
                        <a:ext uri="{28A0092B-C50C-407E-A947-70E740481C1C}">
                          <a14:useLocalDpi xmlns:a14="http://schemas.microsoft.com/office/drawing/2010/main" val="0"/>
                        </a:ext>
                      </a:extLst>
                    </a:blip>
                    <a:srcRect t="4514"/>
                    <a:stretch/>
                  </pic:blipFill>
                  <pic:spPr bwMode="auto">
                    <a:xfrm>
                      <a:off x="0" y="0"/>
                      <a:ext cx="5740502" cy="3170799"/>
                    </a:xfrm>
                    <a:prstGeom prst="rect">
                      <a:avLst/>
                    </a:prstGeom>
                    <a:ln>
                      <a:noFill/>
                    </a:ln>
                    <a:extLst>
                      <a:ext uri="{53640926-AAD7-44D8-BBD7-CCE9431645EC}">
                        <a14:shadowObscured xmlns:a14="http://schemas.microsoft.com/office/drawing/2010/main"/>
                      </a:ext>
                    </a:extLst>
                  </pic:spPr>
                </pic:pic>
              </a:graphicData>
            </a:graphic>
          </wp:inline>
        </w:drawing>
      </w:r>
    </w:p>
    <w:p w14:paraId="74BE6CE3" w14:textId="52C9C5C0" w:rsidR="005A5C8A" w:rsidRDefault="005A5C8A" w:rsidP="00D04833">
      <w:pPr>
        <w:pStyle w:val="Heading2"/>
        <w:rPr>
          <w:rFonts w:eastAsia="Calibri"/>
        </w:rPr>
      </w:pPr>
      <w:bookmarkStart w:id="24" w:name="_Toc89434869"/>
      <w:bookmarkStart w:id="25" w:name="_Toc89439952"/>
      <w:r>
        <w:rPr>
          <w:rFonts w:eastAsia="Calibri"/>
        </w:rPr>
        <w:t xml:space="preserve">Building on the success of Open Banking to expand to </w:t>
      </w:r>
      <w:bookmarkEnd w:id="24"/>
      <w:bookmarkEnd w:id="25"/>
      <w:r w:rsidR="00966F1D">
        <w:rPr>
          <w:rFonts w:eastAsia="Calibri"/>
        </w:rPr>
        <w:t>Open Finance</w:t>
      </w:r>
    </w:p>
    <w:p w14:paraId="48643C8C" w14:textId="0F7D086F" w:rsidR="005A5C8A" w:rsidRDefault="00777168" w:rsidP="00704836">
      <w:r w:rsidRPr="00297585">
        <w:t>The Strategic Assessment tested the key factors noted above across a range of potential sectors and datasets identified by stakeholders and through previous commissions of inquiry, including transport, retail, loyalty schemes, agriculture, education, health and digital platforms. E</w:t>
      </w:r>
      <w:r w:rsidR="005A5C8A" w:rsidRPr="00297585">
        <w:t>xtension</w:t>
      </w:r>
      <w:r w:rsidR="005A5C8A" w:rsidRPr="008E63D4">
        <w:t xml:space="preserve"> </w:t>
      </w:r>
      <w:r w:rsidR="005A5C8A">
        <w:t xml:space="preserve">of the CDR </w:t>
      </w:r>
      <w:r w:rsidR="005A5C8A" w:rsidRPr="008E63D4">
        <w:t xml:space="preserve">to </w:t>
      </w:r>
      <w:r w:rsidR="00966F1D">
        <w:t>Open Finance</w:t>
      </w:r>
      <w:r w:rsidR="005A5C8A" w:rsidRPr="008E63D4">
        <w:t xml:space="preserve"> emerg</w:t>
      </w:r>
      <w:r>
        <w:t>ed</w:t>
      </w:r>
      <w:r w:rsidR="005A5C8A" w:rsidRPr="008E63D4">
        <w:t xml:space="preserve"> as a clear priority</w:t>
      </w:r>
      <w:r w:rsidR="005A5C8A">
        <w:t xml:space="preserve">. </w:t>
      </w:r>
      <w:r w:rsidR="00966F1D">
        <w:t>Open Finance</w:t>
      </w:r>
      <w:r w:rsidR="005A5C8A">
        <w:t xml:space="preserve"> will include the </w:t>
      </w:r>
      <w:r w:rsidR="005A5C8A" w:rsidRPr="008E63D4">
        <w:t>concurrent assessment and designation of</w:t>
      </w:r>
      <w:r w:rsidR="005A5C8A">
        <w:t xml:space="preserve"> </w:t>
      </w:r>
      <w:r w:rsidR="001974E3">
        <w:t>datasets</w:t>
      </w:r>
      <w:r w:rsidR="005A5C8A">
        <w:t xml:space="preserve"> across</w:t>
      </w:r>
      <w:r w:rsidR="005A5C8A" w:rsidRPr="008E63D4">
        <w:t xml:space="preserve"> </w:t>
      </w:r>
      <w:r w:rsidR="005A5C8A">
        <w:t xml:space="preserve">the </w:t>
      </w:r>
      <w:r w:rsidR="005A5C8A" w:rsidRPr="008E63D4">
        <w:t>non</w:t>
      </w:r>
      <w:r w:rsidR="00505DB5">
        <w:noBreakHyphen/>
      </w:r>
      <w:r w:rsidR="005A5C8A" w:rsidRPr="008E63D4">
        <w:t>bank lending</w:t>
      </w:r>
      <w:r w:rsidR="004C7B8C">
        <w:t>, merchant acquiring</w:t>
      </w:r>
      <w:r w:rsidR="005A5C8A" w:rsidRPr="008E63D4">
        <w:t>, superannuation and</w:t>
      </w:r>
      <w:r w:rsidR="00D11830">
        <w:t xml:space="preserve"> general</w:t>
      </w:r>
      <w:r w:rsidR="005A5C8A" w:rsidRPr="008E63D4">
        <w:t xml:space="preserve"> insurance </w:t>
      </w:r>
      <w:r w:rsidR="005A5C8A">
        <w:t xml:space="preserve">sectors. By prioritising a smaller mix of targeted </w:t>
      </w:r>
      <w:r w:rsidR="001974E3">
        <w:t>datasets</w:t>
      </w:r>
      <w:r w:rsidR="005A5C8A">
        <w:t xml:space="preserve"> across these sectors, the CDR will unlock a broader range of higher</w:t>
      </w:r>
      <w:r w:rsidR="00505DB5">
        <w:noBreakHyphen/>
      </w:r>
      <w:r w:rsidR="005A5C8A">
        <w:t xml:space="preserve">value use cases, compared to expanding one sector at a time. </w:t>
      </w:r>
    </w:p>
    <w:p w14:paraId="1474486E" w14:textId="415BD0F8" w:rsidR="001D6284" w:rsidRPr="001E0822" w:rsidRDefault="001E0822" w:rsidP="001E0822">
      <w:pPr>
        <w:pStyle w:val="Pullquotetext"/>
      </w:pPr>
      <w:r w:rsidRPr="001E0822">
        <w:t>‘</w:t>
      </w:r>
      <w:r w:rsidR="001D6284" w:rsidRPr="001E0822">
        <w:t>… prioritised designated data holders</w:t>
      </w:r>
      <w:r w:rsidRPr="001E0822">
        <w:t xml:space="preserve"> </w:t>
      </w:r>
      <w:r w:rsidR="001D6284" w:rsidRPr="001E0822">
        <w:t>…</w:t>
      </w:r>
      <w:r w:rsidRPr="001E0822">
        <w:t xml:space="preserve"> </w:t>
      </w:r>
      <w:r w:rsidR="001D6284" w:rsidRPr="001E0822">
        <w:t>will clearly enable better consumer outcomes, more competition, more choice, huge savings, smoother experiences, and new data-driven smarter propositions. These are at the essence of application of the Consumer Data Right.’</w:t>
      </w:r>
      <w:r w:rsidR="001D6284" w:rsidRPr="001E0822">
        <w:rPr>
          <w:b/>
          <w:bCs/>
          <w:sz w:val="20"/>
        </w:rPr>
        <w:t xml:space="preserve">  </w:t>
      </w:r>
      <w:proofErr w:type="spellStart"/>
      <w:r w:rsidR="001D6284" w:rsidRPr="001E0822">
        <w:rPr>
          <w:b/>
          <w:bCs/>
          <w:sz w:val="20"/>
        </w:rPr>
        <w:t>Adatree</w:t>
      </w:r>
      <w:proofErr w:type="spellEnd"/>
    </w:p>
    <w:p w14:paraId="4873AFFC" w14:textId="2CF7EE5E" w:rsidR="005A5C8A" w:rsidRPr="008E63D4" w:rsidRDefault="005A5C8A" w:rsidP="00704836">
      <w:r>
        <w:lastRenderedPageBreak/>
        <w:t xml:space="preserve">For example, combining a few key </w:t>
      </w:r>
      <w:r w:rsidR="001974E3">
        <w:t>datasets</w:t>
      </w:r>
      <w:r>
        <w:t xml:space="preserve"> in superannuation and </w:t>
      </w:r>
      <w:r w:rsidR="00D11830">
        <w:t xml:space="preserve">general </w:t>
      </w:r>
      <w:r>
        <w:t xml:space="preserve">insurance would support applications that </w:t>
      </w:r>
      <w:r w:rsidRPr="008E63D4">
        <w:t xml:space="preserve">provide consumers with a </w:t>
      </w:r>
      <w:r>
        <w:t>richer</w:t>
      </w:r>
      <w:r w:rsidRPr="008E63D4">
        <w:t xml:space="preserve"> picture of their current and expected financial circumstances </w:t>
      </w:r>
      <w:r>
        <w:t>and</w:t>
      </w:r>
      <w:r w:rsidRPr="008E63D4">
        <w:t xml:space="preserve"> </w:t>
      </w:r>
      <w:r>
        <w:t>will</w:t>
      </w:r>
      <w:r w:rsidRPr="008E63D4">
        <w:t xml:space="preserve"> support </w:t>
      </w:r>
      <w:r>
        <w:t xml:space="preserve">improved </w:t>
      </w:r>
      <w:r w:rsidRPr="008E63D4">
        <w:t>financial planning</w:t>
      </w:r>
      <w:r>
        <w:t>, and key life decisions such as asset purchases</w:t>
      </w:r>
      <w:r w:rsidRPr="008E63D4" w:rsidDel="00DC67E0">
        <w:t>,</w:t>
      </w:r>
      <w:r>
        <w:t xml:space="preserve"> preparing for retirement or change in employment circumstances</w:t>
      </w:r>
      <w:r w:rsidRPr="008E63D4" w:rsidDel="00DC67E0">
        <w:t xml:space="preserve"> while balancing implementation considerations</w:t>
      </w:r>
      <w:r w:rsidRPr="008E63D4">
        <w:t>.</w:t>
      </w:r>
      <w:r>
        <w:t xml:space="preserve"> </w:t>
      </w:r>
    </w:p>
    <w:p w14:paraId="19332A52" w14:textId="53C8D226" w:rsidR="005A5C8A" w:rsidRDefault="005A5C8A" w:rsidP="00704836">
      <w:r>
        <w:t xml:space="preserve">Stakeholders highlighted the benefits of a phased approach to superannuation and general insurance by focussing on </w:t>
      </w:r>
      <w:r w:rsidR="001974E3">
        <w:t>dataset(s)</w:t>
      </w:r>
      <w:r>
        <w:t xml:space="preserve"> that support important use</w:t>
      </w:r>
      <w:r w:rsidR="00505DB5">
        <w:noBreakHyphen/>
      </w:r>
      <w:r>
        <w:t xml:space="preserve">cases </w:t>
      </w:r>
      <w:r w:rsidR="00E87338">
        <w:t>like</w:t>
      </w:r>
      <w:r>
        <w:t xml:space="preserve"> whole</w:t>
      </w:r>
      <w:r w:rsidR="00505DB5">
        <w:noBreakHyphen/>
      </w:r>
      <w:r>
        <w:t>of</w:t>
      </w:r>
      <w:r w:rsidR="00505DB5">
        <w:noBreakHyphen/>
      </w:r>
      <w:r>
        <w:t>life financial management</w:t>
      </w:r>
      <w:r w:rsidR="00E87338">
        <w:t>,</w:t>
      </w:r>
      <w:r>
        <w:t xml:space="preserve"> recognising that some sectors</w:t>
      </w:r>
      <w:r w:rsidR="00E87338">
        <w:t>,</w:t>
      </w:r>
      <w:r>
        <w:t xml:space="preserve"> such as general insurance</w:t>
      </w:r>
      <w:r w:rsidR="00E87338">
        <w:t>,</w:t>
      </w:r>
      <w:r>
        <w:t xml:space="preserve"> will take longer to assess and implement</w:t>
      </w:r>
      <w:r w:rsidR="00505DB5">
        <w:t xml:space="preserve">. </w:t>
      </w:r>
      <w:r>
        <w:t xml:space="preserve">Feedback suggested an initial focus on </w:t>
      </w:r>
      <w:r w:rsidRPr="00E84971">
        <w:t>consumer</w:t>
      </w:r>
      <w:r w:rsidR="00E87338">
        <w:t>-</w:t>
      </w:r>
      <w:r w:rsidRPr="00E84971">
        <w:t>specific account information</w:t>
      </w:r>
      <w:r>
        <w:t>, such as account balances,</w:t>
      </w:r>
      <w:r w:rsidRPr="00E84971">
        <w:t xml:space="preserve"> for superannuation </w:t>
      </w:r>
      <w:r>
        <w:t>rather than product data,</w:t>
      </w:r>
      <w:r w:rsidRPr="00E84971">
        <w:t xml:space="preserve"> and product and/or attribute data for sub</w:t>
      </w:r>
      <w:r w:rsidR="00505DB5">
        <w:noBreakHyphen/>
      </w:r>
      <w:r w:rsidRPr="00E84971">
        <w:t>categories of general insurance</w:t>
      </w:r>
      <w:r w:rsidR="00505DB5">
        <w:t xml:space="preserve">. </w:t>
      </w:r>
      <w:r>
        <w:t xml:space="preserve">Feedback also recommended exploring relevant government data holdings as potential sources of superannuation and </w:t>
      </w:r>
      <w:r w:rsidR="00966F1D">
        <w:t xml:space="preserve">general </w:t>
      </w:r>
      <w:r>
        <w:t xml:space="preserve">insurance related data. </w:t>
      </w:r>
    </w:p>
    <w:p w14:paraId="07CA6415" w14:textId="7F702783" w:rsidR="001E0822" w:rsidRPr="001E0822" w:rsidRDefault="001E0822" w:rsidP="001E0822">
      <w:pPr>
        <w:pStyle w:val="Pullquotetext"/>
      </w:pPr>
      <w:r w:rsidRPr="001E0822">
        <w:t xml:space="preserve">‘… we see the larger insurance categories as the top-priority sectors for introducing the CDR. For both home insurance and car insurance, we see markets where comparing the best available deals is currently extremely difficult and time-consuming for consumers. … It is [also] clear that superannuation is a sector where moving consumers to higher-performing funds will lead to hugely significant consumer benefit in the long term.’  </w:t>
      </w:r>
      <w:r w:rsidRPr="001E0822">
        <w:rPr>
          <w:b/>
          <w:bCs/>
          <w:sz w:val="20"/>
        </w:rPr>
        <w:t>Finder</w:t>
      </w:r>
    </w:p>
    <w:p w14:paraId="5AEB421C" w14:textId="73E411EE" w:rsidR="005A5C8A" w:rsidRDefault="00966F1D" w:rsidP="00704836">
      <w:r>
        <w:t>Open Finance</w:t>
      </w:r>
      <w:r w:rsidR="005A5C8A">
        <w:t xml:space="preserve"> </w:t>
      </w:r>
      <w:r w:rsidR="00452FC2" w:rsidRPr="008E63D4">
        <w:t>provides a strong foundation to introduce payment and action initiation reforms</w:t>
      </w:r>
      <w:r w:rsidR="00452FC2">
        <w:t xml:space="preserve"> and </w:t>
      </w:r>
      <w:r w:rsidR="005A5C8A">
        <w:t xml:space="preserve">has the potential to complement </w:t>
      </w:r>
      <w:r w:rsidR="005A5C8A" w:rsidRPr="008E63D4">
        <w:t xml:space="preserve">existing </w:t>
      </w:r>
      <w:r w:rsidR="005A5C8A">
        <w:t>reforms in the Your Supe</w:t>
      </w:r>
      <w:r w:rsidR="005A5C8A" w:rsidRPr="008E63D4">
        <w:t>r Your Future</w:t>
      </w:r>
      <w:r w:rsidR="002F0D71">
        <w:t xml:space="preserve"> package</w:t>
      </w:r>
      <w:r w:rsidR="005A5C8A" w:rsidRPr="008E63D4">
        <w:t xml:space="preserve">, </w:t>
      </w:r>
      <w:r w:rsidR="00452FC2">
        <w:t xml:space="preserve">as well as in the </w:t>
      </w:r>
      <w:r w:rsidR="005A5C8A">
        <w:t xml:space="preserve">implementation of any Government Response to the </w:t>
      </w:r>
      <w:r w:rsidR="005A5C8A" w:rsidRPr="008E63D4">
        <w:t xml:space="preserve">Payments System </w:t>
      </w:r>
      <w:r w:rsidR="00B01F38" w:rsidRPr="008E63D4">
        <w:t>review</w:t>
      </w:r>
      <w:r w:rsidR="00452FC2">
        <w:t>.</w:t>
      </w:r>
      <w:r w:rsidR="00B01F38" w:rsidRPr="008E63D4">
        <w:t xml:space="preserve"> </w:t>
      </w:r>
      <w:r w:rsidR="005A5C8A">
        <w:t xml:space="preserve"> </w:t>
      </w:r>
    </w:p>
    <w:p w14:paraId="0E542077" w14:textId="64697ACB" w:rsidR="005A5C8A" w:rsidRDefault="005A5C8A" w:rsidP="00704836">
      <w:r>
        <w:t xml:space="preserve">The exception for a phased approach </w:t>
      </w:r>
      <w:r w:rsidR="00F36B8B">
        <w:t xml:space="preserve">to </w:t>
      </w:r>
      <w:r w:rsidR="00966F1D">
        <w:t>Open Finance</w:t>
      </w:r>
      <w:r>
        <w:t xml:space="preserve"> is the extension of CDR to non</w:t>
      </w:r>
      <w:r w:rsidR="00505DB5">
        <w:noBreakHyphen/>
      </w:r>
      <w:r>
        <w:t>bank lending</w:t>
      </w:r>
      <w:r w:rsidR="004C7B8C">
        <w:t xml:space="preserve"> and merchant acquiring service providers</w:t>
      </w:r>
      <w:r w:rsidR="00505DB5">
        <w:t xml:space="preserve">. </w:t>
      </w:r>
      <w:r>
        <w:t xml:space="preserve">Implementation of CDR </w:t>
      </w:r>
      <w:r w:rsidR="006525F1">
        <w:t>across non-bank lending and merchant ac</w:t>
      </w:r>
      <w:r w:rsidR="00A638C3">
        <w:t>quiring service providers</w:t>
      </w:r>
      <w:r>
        <w:t xml:space="preserve"> was viewed as a logical extension of Open Banking, with many of the </w:t>
      </w:r>
      <w:r w:rsidR="001974E3">
        <w:t>datasets</w:t>
      </w:r>
      <w:r>
        <w:t xml:space="preserve"> likely to be highly complementary to banking </w:t>
      </w:r>
      <w:r w:rsidR="001974E3">
        <w:t>datasets</w:t>
      </w:r>
      <w:r>
        <w:t xml:space="preserve"> and existing rules and standards likely to be highly extensible. Non</w:t>
      </w:r>
      <w:r w:rsidR="00505DB5">
        <w:noBreakHyphen/>
      </w:r>
      <w:r>
        <w:t>banking lending</w:t>
      </w:r>
      <w:r w:rsidR="004C7B8C">
        <w:t xml:space="preserve"> </w:t>
      </w:r>
      <w:r>
        <w:t>products are also increasingly an important source of credit</w:t>
      </w:r>
      <w:r w:rsidRPr="00E84971">
        <w:t>, particularly in the COVID</w:t>
      </w:r>
      <w:r w:rsidR="00505DB5">
        <w:noBreakHyphen/>
      </w:r>
      <w:r w:rsidRPr="00E84971">
        <w:t>constrained business environment</w:t>
      </w:r>
      <w:r w:rsidR="00452FC2">
        <w:t>,</w:t>
      </w:r>
      <w:r>
        <w:t xml:space="preserve"> supporting a more comprehensive roll</w:t>
      </w:r>
      <w:r w:rsidR="00505DB5">
        <w:noBreakHyphen/>
      </w:r>
      <w:r>
        <w:t>out to the non</w:t>
      </w:r>
      <w:r w:rsidR="00505DB5">
        <w:noBreakHyphen/>
      </w:r>
      <w:r>
        <w:t>bank</w:t>
      </w:r>
      <w:r w:rsidR="00D11830">
        <w:t xml:space="preserve"> </w:t>
      </w:r>
      <w:r>
        <w:t>lending</w:t>
      </w:r>
      <w:r w:rsidR="00A06089">
        <w:t xml:space="preserve"> sector</w:t>
      </w:r>
      <w:r w:rsidR="00505DB5">
        <w:t xml:space="preserve">. </w:t>
      </w:r>
    </w:p>
    <w:p w14:paraId="2317A605" w14:textId="020B6A4C" w:rsidR="001E0822" w:rsidRPr="001E0822" w:rsidRDefault="001E0822" w:rsidP="001E0822">
      <w:pPr>
        <w:pStyle w:val="Pullquotetext"/>
      </w:pPr>
      <w:r w:rsidRPr="001E0822">
        <w:t xml:space="preserve">‘There is a high degree of consumer benefit to be gained should product and consumer data sharing be enabled in these sectors. These sectors are suggested based on the current barriers to switching, the potential consumer benefits, the applicability across a consumer’s lifecycle, and the potential to increase transparency across industries.’  </w:t>
      </w:r>
      <w:r w:rsidRPr="001E0822">
        <w:rPr>
          <w:b/>
          <w:bCs/>
          <w:sz w:val="20"/>
        </w:rPr>
        <w:t>iSelect, on general insurance and non-bank lending</w:t>
      </w:r>
    </w:p>
    <w:p w14:paraId="1C7818B5" w14:textId="3DC5E937" w:rsidR="004C0A7B" w:rsidRDefault="005A5C8A" w:rsidP="002B336D">
      <w:r>
        <w:t>T</w:t>
      </w:r>
      <w:r w:rsidRPr="004D000D">
        <w:t>he Reserve Bank of Australia</w:t>
      </w:r>
      <w:r w:rsidR="00505DB5">
        <w:t>’</w:t>
      </w:r>
      <w:r w:rsidRPr="004D000D">
        <w:t xml:space="preserve">s Review of Retail Payments Regulation </w:t>
      </w:r>
      <w:r>
        <w:t xml:space="preserve">also </w:t>
      </w:r>
      <w:r w:rsidRPr="004D000D">
        <w:t>highlighted how the CDR could improve transparency of pricing and competition</w:t>
      </w:r>
      <w:r w:rsidR="006F3C6D">
        <w:t xml:space="preserve">, </w:t>
      </w:r>
      <w:r>
        <w:t xml:space="preserve">which will be explored through the </w:t>
      </w:r>
      <w:r w:rsidR="00966F1D">
        <w:t>Open Finance</w:t>
      </w:r>
      <w:r>
        <w:t xml:space="preserve"> assessment process.</w:t>
      </w:r>
    </w:p>
    <w:p w14:paraId="4F016567" w14:textId="544D13E7" w:rsidR="005A5C8A" w:rsidRPr="005A5C8A" w:rsidRDefault="005A5C8A" w:rsidP="00D04833">
      <w:pPr>
        <w:pStyle w:val="Heading2"/>
      </w:pPr>
      <w:bookmarkStart w:id="26" w:name="_Toc89434870"/>
      <w:bookmarkStart w:id="27" w:name="_Toc89439953"/>
      <w:r w:rsidRPr="005A5C8A">
        <w:t>Access to consumer data held by Government will open</w:t>
      </w:r>
      <w:r w:rsidR="00AC4497">
        <w:t xml:space="preserve"> </w:t>
      </w:r>
      <w:r w:rsidRPr="005A5C8A">
        <w:t>up further benefits in an expanded CDR</w:t>
      </w:r>
      <w:bookmarkEnd w:id="26"/>
      <w:bookmarkEnd w:id="27"/>
    </w:p>
    <w:p w14:paraId="039BFBC2" w14:textId="3D8C25A0" w:rsidR="005A5C8A" w:rsidRPr="001F3116" w:rsidRDefault="005A5C8A" w:rsidP="001F3116">
      <w:r w:rsidRPr="001F3116">
        <w:t>Consultation with industry and across state and Commonwealth government agencies highlighted the benefits of designating customer</w:t>
      </w:r>
      <w:r w:rsidR="00505DB5">
        <w:noBreakHyphen/>
      </w:r>
      <w:r w:rsidRPr="001F3116">
        <w:t xml:space="preserve">specific data held by government, either to complement private sector data or to support particular use cases (for example, </w:t>
      </w:r>
      <w:r w:rsidRPr="001F3116">
        <w:lastRenderedPageBreak/>
        <w:t xml:space="preserve">verifying customers or qualification credentials). It is already possible for data held by </w:t>
      </w:r>
      <w:r w:rsidRPr="001F3116" w:rsidDel="00C252A3">
        <w:t xml:space="preserve">government </w:t>
      </w:r>
      <w:r w:rsidRPr="001F3116">
        <w:t xml:space="preserve">agencies to be included in a CDR designation instrument, with data from the Australian Energy Regulator and Victorian Energy Compare having been designated in the energy sector. </w:t>
      </w:r>
    </w:p>
    <w:p w14:paraId="12160511" w14:textId="3F6977E9" w:rsidR="005A5C8A" w:rsidRPr="001F3116" w:rsidRDefault="005A5C8A" w:rsidP="001F3116">
      <w:r w:rsidRPr="001F3116">
        <w:t xml:space="preserve">Prioritising </w:t>
      </w:r>
      <w:r w:rsidRPr="001F3116" w:rsidDel="00CD06A0">
        <w:t>the</w:t>
      </w:r>
      <w:r w:rsidRPr="001F3116">
        <w:t xml:space="preserve"> inclusion of customer data held by governments recognises that most consumer milestone events or decisions (for example, buying a house, getting married, having a child, starting or winding up a business, or retiring) will involve a mixture of data held by private business and government agencies about an individual or business. </w:t>
      </w:r>
    </w:p>
    <w:p w14:paraId="3B692CD9" w14:textId="7128F379" w:rsidR="004C0A7B" w:rsidRDefault="005A5C8A" w:rsidP="002D6F24">
      <w:pPr>
        <w:rPr>
          <w:rFonts w:cs="Arial"/>
        </w:rPr>
      </w:pPr>
      <w:r w:rsidRPr="001F3116">
        <w:rPr>
          <w:rFonts w:cs="Arial"/>
        </w:rPr>
        <w:t xml:space="preserve">Consultations also highlighted that expansion to government </w:t>
      </w:r>
      <w:r w:rsidR="001974E3">
        <w:rPr>
          <w:rFonts w:cs="Arial"/>
        </w:rPr>
        <w:t>datasets</w:t>
      </w:r>
      <w:r w:rsidRPr="001F3116">
        <w:rPr>
          <w:rFonts w:cs="Arial"/>
        </w:rPr>
        <w:t xml:space="preserve"> and the inclusion of government agencies as both data holders and accredited data recipients has the potential to improve private sector goods and services, support improved Government service delivery, and support Australians and Australian businesses across all facets of their lives and operations. Expanding the CDR to customer</w:t>
      </w:r>
      <w:r w:rsidR="00505DB5">
        <w:rPr>
          <w:rFonts w:cs="Arial"/>
        </w:rPr>
        <w:noBreakHyphen/>
      </w:r>
      <w:r w:rsidRPr="001F3116">
        <w:rPr>
          <w:rFonts w:cs="Arial"/>
        </w:rPr>
        <w:t xml:space="preserve">specific </w:t>
      </w:r>
      <w:r w:rsidR="00C8281A">
        <w:rPr>
          <w:rFonts w:cs="Arial"/>
        </w:rPr>
        <w:t xml:space="preserve">complementary </w:t>
      </w:r>
      <w:r w:rsidRPr="001F3116">
        <w:rPr>
          <w:rFonts w:cs="Arial"/>
        </w:rPr>
        <w:t xml:space="preserve">data held by government could also significantly enhance user experience and the utility of </w:t>
      </w:r>
      <w:r w:rsidR="006F3C6D">
        <w:rPr>
          <w:rFonts w:cs="Arial"/>
        </w:rPr>
        <w:t xml:space="preserve">the </w:t>
      </w:r>
      <w:r w:rsidRPr="001F3116">
        <w:rPr>
          <w:rFonts w:cs="Arial"/>
        </w:rPr>
        <w:t xml:space="preserve">CDR. </w:t>
      </w:r>
      <w:r w:rsidR="004C0A7B">
        <w:rPr>
          <w:rFonts w:cs="Arial"/>
        </w:rPr>
        <w:br w:type="page"/>
      </w:r>
    </w:p>
    <w:p w14:paraId="722CFFF5" w14:textId="77777777" w:rsidR="005A5C8A" w:rsidRPr="005C1ECB" w:rsidRDefault="005A5C8A" w:rsidP="005A5C8A">
      <w:pPr>
        <w:pStyle w:val="Heading1"/>
      </w:pPr>
      <w:bookmarkStart w:id="28" w:name="_Toc89439954"/>
      <w:r w:rsidRPr="005C1ECB">
        <w:lastRenderedPageBreak/>
        <w:t>Conclusions and next steps</w:t>
      </w:r>
      <w:bookmarkEnd w:id="28"/>
    </w:p>
    <w:p w14:paraId="4364563C" w14:textId="59FFE098" w:rsidR="005A5C8A" w:rsidRDefault="005A5C8A" w:rsidP="00704836">
      <w:r w:rsidRPr="00E84971">
        <w:t xml:space="preserve">The Strategic Assessment </w:t>
      </w:r>
      <w:r>
        <w:t xml:space="preserve">has truly </w:t>
      </w:r>
      <w:r w:rsidRPr="00E84971">
        <w:t>demonstrate</w:t>
      </w:r>
      <w:r>
        <w:t>d</w:t>
      </w:r>
      <w:r w:rsidRPr="00E84971">
        <w:t xml:space="preserve"> the benefit of undertaking a regular economy</w:t>
      </w:r>
      <w:r w:rsidR="00505DB5">
        <w:noBreakHyphen/>
      </w:r>
      <w:r w:rsidRPr="00E84971">
        <w:t xml:space="preserve">wide scan to calibrate </w:t>
      </w:r>
      <w:r>
        <w:t xml:space="preserve">CDR </w:t>
      </w:r>
      <w:r w:rsidRPr="00E84971">
        <w:t xml:space="preserve">expansion and provide the flexibility to respond to </w:t>
      </w:r>
      <w:r>
        <w:t>a</w:t>
      </w:r>
      <w:r w:rsidRPr="00E84971">
        <w:t xml:space="preserve"> rapidly changing digital economy and the </w:t>
      </w:r>
      <w:r w:rsidR="00A338AB">
        <w:t>evolving</w:t>
      </w:r>
      <w:r w:rsidR="00A338AB" w:rsidRPr="00E84971">
        <w:t xml:space="preserve"> </w:t>
      </w:r>
      <w:r w:rsidRPr="00E84971">
        <w:t xml:space="preserve">needs and expectations of consumers. </w:t>
      </w:r>
      <w:r>
        <w:t xml:space="preserve">The process benefited from significant levels of industry and expert engagement across the entire CDR ecosystem. </w:t>
      </w:r>
    </w:p>
    <w:p w14:paraId="7B4D1BED" w14:textId="5992A62A" w:rsidR="005A5C8A" w:rsidRDefault="005A5C8A" w:rsidP="00704836">
      <w:r>
        <w:t>The approach of undertaking a high</w:t>
      </w:r>
      <w:r w:rsidR="00505DB5">
        <w:noBreakHyphen/>
      </w:r>
      <w:r>
        <w:t xml:space="preserve">level strategic assessment complements the more detailed process of formally assessing and designating data and data holders as set out in the </w:t>
      </w:r>
      <w:r>
        <w:rPr>
          <w:i/>
          <w:iCs/>
        </w:rPr>
        <w:t>Competition and Consumer</w:t>
      </w:r>
      <w:r w:rsidRPr="00876886">
        <w:rPr>
          <w:i/>
        </w:rPr>
        <w:t xml:space="preserve"> Act</w:t>
      </w:r>
      <w:r>
        <w:rPr>
          <w:i/>
          <w:iCs/>
        </w:rPr>
        <w:t xml:space="preserve"> 2010</w:t>
      </w:r>
      <w:r w:rsidR="00505DB5">
        <w:t xml:space="preserve">. </w:t>
      </w:r>
    </w:p>
    <w:p w14:paraId="4E915B04" w14:textId="395D76D4" w:rsidR="00EB3273" w:rsidRDefault="005A5C8A" w:rsidP="00D93DA9">
      <w:r w:rsidRPr="00BD7207">
        <w:t xml:space="preserve">The expansion to </w:t>
      </w:r>
      <w:r w:rsidR="00966F1D">
        <w:t>Open Finance</w:t>
      </w:r>
      <w:r w:rsidRPr="00BD7207">
        <w:t xml:space="preserve"> leverages momentum</w:t>
      </w:r>
      <w:r>
        <w:t xml:space="preserve"> that has been</w:t>
      </w:r>
      <w:r w:rsidRPr="00BD7207">
        <w:t xml:space="preserve"> building for </w:t>
      </w:r>
      <w:r>
        <w:t xml:space="preserve">the </w:t>
      </w:r>
      <w:r w:rsidRPr="00BD7207">
        <w:t>CDR by targeting high</w:t>
      </w:r>
      <w:r w:rsidR="00505DB5">
        <w:noBreakHyphen/>
      </w:r>
      <w:r w:rsidRPr="00BD7207">
        <w:t xml:space="preserve">value </w:t>
      </w:r>
      <w:r w:rsidR="001974E3">
        <w:t>datasets</w:t>
      </w:r>
      <w:r w:rsidRPr="00BD7207">
        <w:t xml:space="preserve"> that will support more rapid uptake and broad</w:t>
      </w:r>
      <w:r w:rsidR="00505DB5">
        <w:noBreakHyphen/>
      </w:r>
      <w:r w:rsidRPr="00BD7207">
        <w:t>based innovation</w:t>
      </w:r>
      <w:r>
        <w:t xml:space="preserve">. It will </w:t>
      </w:r>
      <w:r w:rsidRPr="00BD7207">
        <w:t xml:space="preserve">enable </w:t>
      </w:r>
      <w:r>
        <w:t>the</w:t>
      </w:r>
      <w:r w:rsidRPr="00BD7207">
        <w:t xml:space="preserve"> CDR to deliver significant</w:t>
      </w:r>
      <w:r>
        <w:t>,</w:t>
      </w:r>
      <w:r w:rsidRPr="00BD7207">
        <w:t xml:space="preserve"> tangible benefits for consumers by supporting frictionless switching and driving productivity gains by reducing administrative burden on SMEs.</w:t>
      </w:r>
      <w:r>
        <w:t xml:space="preserve"> Further targeted consultation will be undertaken to support the assessment and designation of priority </w:t>
      </w:r>
      <w:r w:rsidR="001974E3">
        <w:t>dataset</w:t>
      </w:r>
      <w:r w:rsidR="00966F1D">
        <w:t>s</w:t>
      </w:r>
      <w:r>
        <w:t xml:space="preserve"> in </w:t>
      </w:r>
      <w:r w:rsidR="00966F1D">
        <w:t>Open Finance</w:t>
      </w:r>
      <w:r>
        <w:t xml:space="preserve">, including </w:t>
      </w:r>
      <w:r w:rsidR="001974E3">
        <w:t>datasets</w:t>
      </w:r>
      <w:r>
        <w:t xml:space="preserve"> from across non</w:t>
      </w:r>
      <w:r w:rsidR="00505DB5">
        <w:noBreakHyphen/>
      </w:r>
      <w:r>
        <w:t xml:space="preserve">bank lending, </w:t>
      </w:r>
      <w:r w:rsidR="00C8281A">
        <w:t xml:space="preserve">merchant acquirers, </w:t>
      </w:r>
      <w:r>
        <w:t xml:space="preserve">superannuation and </w:t>
      </w:r>
      <w:r w:rsidR="00966F1D">
        <w:t xml:space="preserve">general </w:t>
      </w:r>
      <w:r>
        <w:t xml:space="preserve">insurance sectors, with a view to completing the first phase of assessments and designations of </w:t>
      </w:r>
      <w:r w:rsidR="00966F1D">
        <w:t>Open Finance</w:t>
      </w:r>
      <w:r>
        <w:t xml:space="preserve"> in 2022.</w:t>
      </w:r>
    </w:p>
    <w:p w14:paraId="540789FE" w14:textId="51A47CB4" w:rsidR="000E3A2E" w:rsidRPr="00D93DA9" w:rsidRDefault="005A5C8A" w:rsidP="00D93DA9">
      <w:r>
        <w:t xml:space="preserve">The assessment process will also explore the inclusion of relevant government </w:t>
      </w:r>
      <w:r w:rsidR="00966F1D">
        <w:t>Open Finance</w:t>
      </w:r>
      <w:r>
        <w:t xml:space="preserve"> data. </w:t>
      </w:r>
    </w:p>
    <w:sectPr w:rsidR="000E3A2E" w:rsidRPr="00D93DA9" w:rsidSect="00C06739">
      <w:footerReference w:type="default" r:id="rId19"/>
      <w:pgSz w:w="11906" w:h="16838"/>
      <w:pgMar w:top="127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A066" w14:textId="77777777" w:rsidR="0067127F" w:rsidRDefault="0067127F" w:rsidP="004B4412">
      <w:pPr>
        <w:spacing w:before="0"/>
      </w:pPr>
      <w:r>
        <w:separator/>
      </w:r>
    </w:p>
  </w:endnote>
  <w:endnote w:type="continuationSeparator" w:id="0">
    <w:p w14:paraId="79F46E98" w14:textId="77777777" w:rsidR="0067127F" w:rsidRDefault="0067127F" w:rsidP="004B4412">
      <w:pPr>
        <w:spacing w:before="0"/>
      </w:pPr>
      <w:r>
        <w:continuationSeparator/>
      </w:r>
    </w:p>
  </w:endnote>
  <w:endnote w:type="continuationNotice" w:id="1">
    <w:p w14:paraId="0E147201" w14:textId="77777777" w:rsidR="0067127F" w:rsidRDefault="006712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8F97" w14:textId="605AE568" w:rsidR="00100529" w:rsidRPr="00D30CF6" w:rsidRDefault="00100529" w:rsidP="00D30CF6">
    <w:pPr>
      <w:tabs>
        <w:tab w:val="center" w:pos="4513"/>
        <w:tab w:val="right" w:pos="8505"/>
      </w:tabs>
      <w:spacing w:after="120" w:line="276" w:lineRule="auto"/>
      <w:rPr>
        <w:sz w:val="18"/>
      </w:rPr>
    </w:pPr>
    <w:r w:rsidRPr="00D30CF6">
      <w:rPr>
        <w:sz w:val="18"/>
      </w:rPr>
      <w:t>Consumer Data Right Strategic Assessment: Outcomes</w:t>
    </w:r>
    <w:r w:rsidRPr="00671AE7">
      <w:rPr>
        <w:sz w:val="18"/>
      </w:rPr>
      <w:tab/>
    </w:r>
    <w:r w:rsidRPr="00671AE7">
      <w:rPr>
        <w:sz w:val="18"/>
      </w:rPr>
      <w:tab/>
    </w:r>
    <w:r w:rsidRPr="00671AE7">
      <w:rPr>
        <w:sz w:val="18"/>
      </w:rPr>
      <w:fldChar w:fldCharType="begin"/>
    </w:r>
    <w:r w:rsidRPr="00671AE7">
      <w:rPr>
        <w:sz w:val="18"/>
      </w:rPr>
      <w:instrText xml:space="preserve"> PAGE   \* MERGEFORMAT </w:instrText>
    </w:r>
    <w:r w:rsidRPr="00671AE7">
      <w:rPr>
        <w:sz w:val="18"/>
      </w:rPr>
      <w:fldChar w:fldCharType="separate"/>
    </w:r>
    <w:r>
      <w:rPr>
        <w:noProof/>
        <w:sz w:val="18"/>
      </w:rPr>
      <w:t>4</w:t>
    </w:r>
    <w:r w:rsidRPr="00671AE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06AC" w14:textId="77777777" w:rsidR="0067127F" w:rsidRDefault="0067127F" w:rsidP="004B4412">
      <w:pPr>
        <w:spacing w:before="0"/>
      </w:pPr>
      <w:r>
        <w:separator/>
      </w:r>
    </w:p>
  </w:footnote>
  <w:footnote w:type="continuationSeparator" w:id="0">
    <w:p w14:paraId="49E7E0E0" w14:textId="77777777" w:rsidR="0067127F" w:rsidRDefault="0067127F" w:rsidP="004B4412">
      <w:pPr>
        <w:spacing w:before="0"/>
      </w:pPr>
      <w:r>
        <w:continuationSeparator/>
      </w:r>
    </w:p>
  </w:footnote>
  <w:footnote w:type="continuationNotice" w:id="1">
    <w:p w14:paraId="392E2D07" w14:textId="77777777" w:rsidR="0067127F" w:rsidRDefault="0067127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B7D6C2D"/>
    <w:multiLevelType w:val="hybridMultilevel"/>
    <w:tmpl w:val="5514759C"/>
    <w:lvl w:ilvl="0" w:tplc="7D28F9D8">
      <w:numFmt w:val="bullet"/>
      <w:lvlText w:val="-"/>
      <w:lvlJc w:val="left"/>
      <w:pPr>
        <w:ind w:left="720" w:hanging="360"/>
      </w:pPr>
      <w:rPr>
        <w:rFonts w:ascii="Trebuchet MS" w:eastAsiaTheme="minorHAnsi"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A6432A8"/>
    <w:multiLevelType w:val="hybridMultilevel"/>
    <w:tmpl w:val="A55C43CA"/>
    <w:lvl w:ilvl="0" w:tplc="D2B883A4">
      <w:numFmt w:val="bullet"/>
      <w:lvlText w:val="-"/>
      <w:lvlJc w:val="left"/>
      <w:pPr>
        <w:ind w:left="720" w:hanging="360"/>
      </w:pPr>
      <w:rPr>
        <w:rFonts w:ascii="Trebuchet MS" w:eastAsiaTheme="minorHAnsi"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F519CE"/>
    <w:multiLevelType w:val="multilevel"/>
    <w:tmpl w:val="7C26219C"/>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2A3147CA"/>
    <w:multiLevelType w:val="multilevel"/>
    <w:tmpl w:val="94C61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1F5F3C"/>
    <w:multiLevelType w:val="hybridMultilevel"/>
    <w:tmpl w:val="8B549744"/>
    <w:lvl w:ilvl="0" w:tplc="4656C810">
      <w:numFmt w:val="bullet"/>
      <w:lvlText w:val="-"/>
      <w:lvlJc w:val="left"/>
      <w:pPr>
        <w:ind w:left="720" w:hanging="360"/>
      </w:pPr>
      <w:rPr>
        <w:rFonts w:ascii="Trebuchet MS" w:eastAsiaTheme="minorHAnsi"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34F60FC3"/>
    <w:multiLevelType w:val="multilevel"/>
    <w:tmpl w:val="D652A65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5C504F"/>
    <w:multiLevelType w:val="multilevel"/>
    <w:tmpl w:val="35184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9"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0"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1"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2" w15:restartNumberingAfterBreak="0">
    <w:nsid w:val="7B831685"/>
    <w:multiLevelType w:val="multilevel"/>
    <w:tmpl w:val="603E7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1"/>
  </w:num>
  <w:num w:numId="8">
    <w:abstractNumId w:val="0"/>
  </w:num>
  <w:num w:numId="9">
    <w:abstractNumId w:val="27"/>
  </w:num>
  <w:num w:numId="10">
    <w:abstractNumId w:val="20"/>
  </w:num>
  <w:num w:numId="11">
    <w:abstractNumId w:val="10"/>
  </w:num>
  <w:num w:numId="12">
    <w:abstractNumId w:val="19"/>
  </w:num>
  <w:num w:numId="13">
    <w:abstractNumId w:val="2"/>
  </w:num>
  <w:num w:numId="14">
    <w:abstractNumId w:val="28"/>
  </w:num>
  <w:num w:numId="15">
    <w:abstractNumId w:val="31"/>
  </w:num>
  <w:num w:numId="16">
    <w:abstractNumId w:val="30"/>
  </w:num>
  <w:num w:numId="17">
    <w:abstractNumId w:val="24"/>
  </w:num>
  <w:num w:numId="18">
    <w:abstractNumId w:val="17"/>
  </w:num>
  <w:num w:numId="19">
    <w:abstractNumId w:val="21"/>
  </w:num>
  <w:num w:numId="20">
    <w:abstractNumId w:val="29"/>
  </w:num>
  <w:num w:numId="21">
    <w:abstractNumId w:val="25"/>
  </w:num>
  <w:num w:numId="22">
    <w:abstractNumId w:val="8"/>
  </w:num>
  <w:num w:numId="23">
    <w:abstractNumId w:val="3"/>
  </w:num>
  <w:num w:numId="24">
    <w:abstractNumId w:val="22"/>
  </w:num>
  <w:num w:numId="25">
    <w:abstractNumId w:val="12"/>
  </w:num>
  <w:num w:numId="26">
    <w:abstractNumId w:val="26"/>
  </w:num>
  <w:num w:numId="27">
    <w:abstractNumId w:val="14"/>
  </w:num>
  <w:num w:numId="28">
    <w:abstractNumId w:val="18"/>
  </w:num>
  <w:num w:numId="29">
    <w:abstractNumId w:val="15"/>
  </w:num>
  <w:num w:numId="30">
    <w:abstractNumId w:val="23"/>
  </w:num>
  <w:num w:numId="31">
    <w:abstractNumId w:val="9"/>
  </w:num>
  <w:num w:numId="32">
    <w:abstractNumId w:val="13"/>
  </w:num>
  <w:num w:numId="33">
    <w:abstractNumId w:val="32"/>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T:\Strat_Comms\Pubs_Design\Templates\ACCC\In Progress\ACCC\ACCC Report Template_04.dotm"/>
  </w:docVars>
  <w:rsids>
    <w:rsidRoot w:val="0086761A"/>
    <w:rsid w:val="00006DC4"/>
    <w:rsid w:val="0002115F"/>
    <w:rsid w:val="00021202"/>
    <w:rsid w:val="000225C4"/>
    <w:rsid w:val="000250E9"/>
    <w:rsid w:val="00027F9D"/>
    <w:rsid w:val="0003578C"/>
    <w:rsid w:val="00041179"/>
    <w:rsid w:val="00060589"/>
    <w:rsid w:val="00063247"/>
    <w:rsid w:val="00070F9F"/>
    <w:rsid w:val="0007137B"/>
    <w:rsid w:val="00082A5B"/>
    <w:rsid w:val="00085663"/>
    <w:rsid w:val="00085EBF"/>
    <w:rsid w:val="0009202B"/>
    <w:rsid w:val="000A4839"/>
    <w:rsid w:val="000B469D"/>
    <w:rsid w:val="000D122C"/>
    <w:rsid w:val="000D32C5"/>
    <w:rsid w:val="000D502A"/>
    <w:rsid w:val="000D57F8"/>
    <w:rsid w:val="000D6C1E"/>
    <w:rsid w:val="000D6DF4"/>
    <w:rsid w:val="000E1819"/>
    <w:rsid w:val="000E3A2E"/>
    <w:rsid w:val="000E3A75"/>
    <w:rsid w:val="000E3E3E"/>
    <w:rsid w:val="000E6C72"/>
    <w:rsid w:val="000F138F"/>
    <w:rsid w:val="000F2368"/>
    <w:rsid w:val="00100529"/>
    <w:rsid w:val="001072D8"/>
    <w:rsid w:val="00116EB2"/>
    <w:rsid w:val="00124609"/>
    <w:rsid w:val="00134CAF"/>
    <w:rsid w:val="0014766E"/>
    <w:rsid w:val="001573E4"/>
    <w:rsid w:val="00160756"/>
    <w:rsid w:val="001625C7"/>
    <w:rsid w:val="0017232E"/>
    <w:rsid w:val="00174102"/>
    <w:rsid w:val="00180157"/>
    <w:rsid w:val="00181223"/>
    <w:rsid w:val="00186F77"/>
    <w:rsid w:val="001926A4"/>
    <w:rsid w:val="001948CA"/>
    <w:rsid w:val="001974E3"/>
    <w:rsid w:val="001B45A0"/>
    <w:rsid w:val="001B57EF"/>
    <w:rsid w:val="001C18EE"/>
    <w:rsid w:val="001C655D"/>
    <w:rsid w:val="001D00F1"/>
    <w:rsid w:val="001D055E"/>
    <w:rsid w:val="001D4E7B"/>
    <w:rsid w:val="001D6284"/>
    <w:rsid w:val="001E0822"/>
    <w:rsid w:val="001E08BA"/>
    <w:rsid w:val="001E4AA4"/>
    <w:rsid w:val="001E4DC7"/>
    <w:rsid w:val="001F3116"/>
    <w:rsid w:val="001F492E"/>
    <w:rsid w:val="001F6DA3"/>
    <w:rsid w:val="00212737"/>
    <w:rsid w:val="00224DB9"/>
    <w:rsid w:val="00234B4C"/>
    <w:rsid w:val="00237FA5"/>
    <w:rsid w:val="00251745"/>
    <w:rsid w:val="002578C5"/>
    <w:rsid w:val="00263AC0"/>
    <w:rsid w:val="0026772D"/>
    <w:rsid w:val="00286874"/>
    <w:rsid w:val="00291D3D"/>
    <w:rsid w:val="00296B65"/>
    <w:rsid w:val="00297585"/>
    <w:rsid w:val="002A3FC3"/>
    <w:rsid w:val="002A5DB9"/>
    <w:rsid w:val="002A7DEF"/>
    <w:rsid w:val="002B0749"/>
    <w:rsid w:val="002B336D"/>
    <w:rsid w:val="002D2987"/>
    <w:rsid w:val="002D4CA8"/>
    <w:rsid w:val="002D6F24"/>
    <w:rsid w:val="002E73A9"/>
    <w:rsid w:val="002F0D71"/>
    <w:rsid w:val="002F5FD8"/>
    <w:rsid w:val="002F7986"/>
    <w:rsid w:val="00303C4A"/>
    <w:rsid w:val="003062CC"/>
    <w:rsid w:val="003063A9"/>
    <w:rsid w:val="00307F6D"/>
    <w:rsid w:val="003177A2"/>
    <w:rsid w:val="00317F7C"/>
    <w:rsid w:val="00325923"/>
    <w:rsid w:val="003271B5"/>
    <w:rsid w:val="00331264"/>
    <w:rsid w:val="0033135A"/>
    <w:rsid w:val="00334C8D"/>
    <w:rsid w:val="00340655"/>
    <w:rsid w:val="003459E6"/>
    <w:rsid w:val="003518B3"/>
    <w:rsid w:val="00371A69"/>
    <w:rsid w:val="00374EAF"/>
    <w:rsid w:val="003846F1"/>
    <w:rsid w:val="00390573"/>
    <w:rsid w:val="00390A17"/>
    <w:rsid w:val="003A673F"/>
    <w:rsid w:val="003B2444"/>
    <w:rsid w:val="003B5A70"/>
    <w:rsid w:val="003C60C0"/>
    <w:rsid w:val="003D4A7F"/>
    <w:rsid w:val="003D5390"/>
    <w:rsid w:val="00406FDF"/>
    <w:rsid w:val="00413150"/>
    <w:rsid w:val="00441CC7"/>
    <w:rsid w:val="00452FC2"/>
    <w:rsid w:val="00455801"/>
    <w:rsid w:val="00455AD1"/>
    <w:rsid w:val="00461507"/>
    <w:rsid w:val="00461F36"/>
    <w:rsid w:val="00466877"/>
    <w:rsid w:val="00472CEF"/>
    <w:rsid w:val="00475DD4"/>
    <w:rsid w:val="00475DDE"/>
    <w:rsid w:val="00477F62"/>
    <w:rsid w:val="00480B4B"/>
    <w:rsid w:val="00482371"/>
    <w:rsid w:val="00482AE0"/>
    <w:rsid w:val="00485DC4"/>
    <w:rsid w:val="004A1696"/>
    <w:rsid w:val="004B3E56"/>
    <w:rsid w:val="004B419B"/>
    <w:rsid w:val="004B4412"/>
    <w:rsid w:val="004C0A7B"/>
    <w:rsid w:val="004C348C"/>
    <w:rsid w:val="004C7B8C"/>
    <w:rsid w:val="004D55BA"/>
    <w:rsid w:val="004E174E"/>
    <w:rsid w:val="005038DB"/>
    <w:rsid w:val="00505DB5"/>
    <w:rsid w:val="00507495"/>
    <w:rsid w:val="0053006B"/>
    <w:rsid w:val="00530128"/>
    <w:rsid w:val="00532467"/>
    <w:rsid w:val="005344E8"/>
    <w:rsid w:val="00547CCF"/>
    <w:rsid w:val="00564A4D"/>
    <w:rsid w:val="00567696"/>
    <w:rsid w:val="00571B35"/>
    <w:rsid w:val="00571C9F"/>
    <w:rsid w:val="00573181"/>
    <w:rsid w:val="005746A0"/>
    <w:rsid w:val="00577A09"/>
    <w:rsid w:val="00584D8F"/>
    <w:rsid w:val="0059365C"/>
    <w:rsid w:val="00596D42"/>
    <w:rsid w:val="005977C9"/>
    <w:rsid w:val="005A2495"/>
    <w:rsid w:val="005A404D"/>
    <w:rsid w:val="005A5C8A"/>
    <w:rsid w:val="005B1BE6"/>
    <w:rsid w:val="005B1E3C"/>
    <w:rsid w:val="005C031B"/>
    <w:rsid w:val="005C25BA"/>
    <w:rsid w:val="005C26CC"/>
    <w:rsid w:val="005D7C7D"/>
    <w:rsid w:val="005E5C5B"/>
    <w:rsid w:val="005E6C0E"/>
    <w:rsid w:val="005E76F3"/>
    <w:rsid w:val="005F27D2"/>
    <w:rsid w:val="005F35CC"/>
    <w:rsid w:val="005F4975"/>
    <w:rsid w:val="00615AF5"/>
    <w:rsid w:val="00615C6B"/>
    <w:rsid w:val="006250BE"/>
    <w:rsid w:val="00626337"/>
    <w:rsid w:val="00632D6D"/>
    <w:rsid w:val="0064286A"/>
    <w:rsid w:val="00642C3E"/>
    <w:rsid w:val="0064500B"/>
    <w:rsid w:val="00645555"/>
    <w:rsid w:val="006525F1"/>
    <w:rsid w:val="00663DAD"/>
    <w:rsid w:val="0067127F"/>
    <w:rsid w:val="00671AE7"/>
    <w:rsid w:val="00675A89"/>
    <w:rsid w:val="00676679"/>
    <w:rsid w:val="006821B7"/>
    <w:rsid w:val="006839B2"/>
    <w:rsid w:val="00687F39"/>
    <w:rsid w:val="00691DAA"/>
    <w:rsid w:val="00693264"/>
    <w:rsid w:val="006B4CF9"/>
    <w:rsid w:val="006B7AC8"/>
    <w:rsid w:val="006C0626"/>
    <w:rsid w:val="006D2B54"/>
    <w:rsid w:val="006D550F"/>
    <w:rsid w:val="006D5E96"/>
    <w:rsid w:val="006D77F3"/>
    <w:rsid w:val="006E218A"/>
    <w:rsid w:val="006F2A03"/>
    <w:rsid w:val="006F3C6D"/>
    <w:rsid w:val="00701CAB"/>
    <w:rsid w:val="007030AB"/>
    <w:rsid w:val="00704836"/>
    <w:rsid w:val="00707563"/>
    <w:rsid w:val="00720A0C"/>
    <w:rsid w:val="00722786"/>
    <w:rsid w:val="0072348C"/>
    <w:rsid w:val="007235C6"/>
    <w:rsid w:val="00724A37"/>
    <w:rsid w:val="007303C3"/>
    <w:rsid w:val="00735681"/>
    <w:rsid w:val="00742F9C"/>
    <w:rsid w:val="00743223"/>
    <w:rsid w:val="00745B91"/>
    <w:rsid w:val="00746E01"/>
    <w:rsid w:val="00751B75"/>
    <w:rsid w:val="0075227C"/>
    <w:rsid w:val="00763E5D"/>
    <w:rsid w:val="00767740"/>
    <w:rsid w:val="00777168"/>
    <w:rsid w:val="00777EE6"/>
    <w:rsid w:val="00782EEA"/>
    <w:rsid w:val="00797370"/>
    <w:rsid w:val="0079766E"/>
    <w:rsid w:val="007A0847"/>
    <w:rsid w:val="007A5B0C"/>
    <w:rsid w:val="007B2A54"/>
    <w:rsid w:val="007B2C72"/>
    <w:rsid w:val="007C1C53"/>
    <w:rsid w:val="007E26A9"/>
    <w:rsid w:val="007E4904"/>
    <w:rsid w:val="007E4CB5"/>
    <w:rsid w:val="007F066B"/>
    <w:rsid w:val="008033C4"/>
    <w:rsid w:val="00806C88"/>
    <w:rsid w:val="0081034E"/>
    <w:rsid w:val="00817AD7"/>
    <w:rsid w:val="008209AF"/>
    <w:rsid w:val="00822435"/>
    <w:rsid w:val="0082614E"/>
    <w:rsid w:val="008344F6"/>
    <w:rsid w:val="0083510F"/>
    <w:rsid w:val="00837DB5"/>
    <w:rsid w:val="008454B5"/>
    <w:rsid w:val="00851209"/>
    <w:rsid w:val="0085591F"/>
    <w:rsid w:val="0086761A"/>
    <w:rsid w:val="00871BD7"/>
    <w:rsid w:val="0088007E"/>
    <w:rsid w:val="00881C08"/>
    <w:rsid w:val="0088320C"/>
    <w:rsid w:val="008837AC"/>
    <w:rsid w:val="00885C14"/>
    <w:rsid w:val="008908F0"/>
    <w:rsid w:val="008945B4"/>
    <w:rsid w:val="008A3D4E"/>
    <w:rsid w:val="008A587D"/>
    <w:rsid w:val="008B1780"/>
    <w:rsid w:val="008C5392"/>
    <w:rsid w:val="008C5486"/>
    <w:rsid w:val="008D39F7"/>
    <w:rsid w:val="008E7031"/>
    <w:rsid w:val="008F4948"/>
    <w:rsid w:val="008F4B4D"/>
    <w:rsid w:val="00905892"/>
    <w:rsid w:val="00912417"/>
    <w:rsid w:val="00922C95"/>
    <w:rsid w:val="009233EE"/>
    <w:rsid w:val="00923D70"/>
    <w:rsid w:val="00935115"/>
    <w:rsid w:val="00955A74"/>
    <w:rsid w:val="00960633"/>
    <w:rsid w:val="00963CA2"/>
    <w:rsid w:val="00965B40"/>
    <w:rsid w:val="009661DE"/>
    <w:rsid w:val="00966F1D"/>
    <w:rsid w:val="0097120C"/>
    <w:rsid w:val="009741E3"/>
    <w:rsid w:val="009856B7"/>
    <w:rsid w:val="00985E70"/>
    <w:rsid w:val="0098602B"/>
    <w:rsid w:val="00986892"/>
    <w:rsid w:val="00991B3B"/>
    <w:rsid w:val="009962BA"/>
    <w:rsid w:val="00996CF8"/>
    <w:rsid w:val="009A4897"/>
    <w:rsid w:val="009B6932"/>
    <w:rsid w:val="009B74B0"/>
    <w:rsid w:val="009C7A37"/>
    <w:rsid w:val="009D4414"/>
    <w:rsid w:val="009D5390"/>
    <w:rsid w:val="009D6B46"/>
    <w:rsid w:val="009F2BE5"/>
    <w:rsid w:val="009F4940"/>
    <w:rsid w:val="00A06089"/>
    <w:rsid w:val="00A15824"/>
    <w:rsid w:val="00A1665B"/>
    <w:rsid w:val="00A338AB"/>
    <w:rsid w:val="00A4478A"/>
    <w:rsid w:val="00A44852"/>
    <w:rsid w:val="00A452F1"/>
    <w:rsid w:val="00A459E6"/>
    <w:rsid w:val="00A57D04"/>
    <w:rsid w:val="00A60A26"/>
    <w:rsid w:val="00A61598"/>
    <w:rsid w:val="00A638C3"/>
    <w:rsid w:val="00A67860"/>
    <w:rsid w:val="00A75D2D"/>
    <w:rsid w:val="00A84F46"/>
    <w:rsid w:val="00A871F4"/>
    <w:rsid w:val="00AA3147"/>
    <w:rsid w:val="00AB5022"/>
    <w:rsid w:val="00AC10CE"/>
    <w:rsid w:val="00AC1B2C"/>
    <w:rsid w:val="00AC3264"/>
    <w:rsid w:val="00AC4175"/>
    <w:rsid w:val="00AC4497"/>
    <w:rsid w:val="00AC6F01"/>
    <w:rsid w:val="00AC731A"/>
    <w:rsid w:val="00AD2B61"/>
    <w:rsid w:val="00AD479F"/>
    <w:rsid w:val="00AE0FE2"/>
    <w:rsid w:val="00AE1BF1"/>
    <w:rsid w:val="00AF0BF1"/>
    <w:rsid w:val="00AF0DD2"/>
    <w:rsid w:val="00B01F38"/>
    <w:rsid w:val="00B10314"/>
    <w:rsid w:val="00B13048"/>
    <w:rsid w:val="00B15998"/>
    <w:rsid w:val="00B1716D"/>
    <w:rsid w:val="00B17A1D"/>
    <w:rsid w:val="00B207A0"/>
    <w:rsid w:val="00B26DAC"/>
    <w:rsid w:val="00B325AF"/>
    <w:rsid w:val="00B363F9"/>
    <w:rsid w:val="00B456D3"/>
    <w:rsid w:val="00B56E03"/>
    <w:rsid w:val="00B60F5D"/>
    <w:rsid w:val="00B64F2D"/>
    <w:rsid w:val="00B67E91"/>
    <w:rsid w:val="00B8080B"/>
    <w:rsid w:val="00B83B58"/>
    <w:rsid w:val="00B84FBA"/>
    <w:rsid w:val="00B858A3"/>
    <w:rsid w:val="00B87C39"/>
    <w:rsid w:val="00BA3426"/>
    <w:rsid w:val="00BA4665"/>
    <w:rsid w:val="00BB2FB2"/>
    <w:rsid w:val="00BB3304"/>
    <w:rsid w:val="00BC4C61"/>
    <w:rsid w:val="00BD3446"/>
    <w:rsid w:val="00BE1F1B"/>
    <w:rsid w:val="00BE47B5"/>
    <w:rsid w:val="00BE4C99"/>
    <w:rsid w:val="00BF46A8"/>
    <w:rsid w:val="00BF6CDD"/>
    <w:rsid w:val="00C058AB"/>
    <w:rsid w:val="00C06739"/>
    <w:rsid w:val="00C41658"/>
    <w:rsid w:val="00C41D02"/>
    <w:rsid w:val="00C42A81"/>
    <w:rsid w:val="00C43033"/>
    <w:rsid w:val="00C538A9"/>
    <w:rsid w:val="00C53B5A"/>
    <w:rsid w:val="00C54F5A"/>
    <w:rsid w:val="00C71AE7"/>
    <w:rsid w:val="00C755AD"/>
    <w:rsid w:val="00C8281A"/>
    <w:rsid w:val="00C86679"/>
    <w:rsid w:val="00CA1171"/>
    <w:rsid w:val="00CA12C4"/>
    <w:rsid w:val="00CA34FE"/>
    <w:rsid w:val="00CB1D79"/>
    <w:rsid w:val="00CB2151"/>
    <w:rsid w:val="00CB666B"/>
    <w:rsid w:val="00CC1897"/>
    <w:rsid w:val="00CF799E"/>
    <w:rsid w:val="00D01CF0"/>
    <w:rsid w:val="00D0442A"/>
    <w:rsid w:val="00D04833"/>
    <w:rsid w:val="00D11830"/>
    <w:rsid w:val="00D203E1"/>
    <w:rsid w:val="00D27902"/>
    <w:rsid w:val="00D30CF6"/>
    <w:rsid w:val="00D544B8"/>
    <w:rsid w:val="00D55A10"/>
    <w:rsid w:val="00D61388"/>
    <w:rsid w:val="00D61A54"/>
    <w:rsid w:val="00D64AF7"/>
    <w:rsid w:val="00D64DEA"/>
    <w:rsid w:val="00D6574D"/>
    <w:rsid w:val="00D73D5F"/>
    <w:rsid w:val="00D80893"/>
    <w:rsid w:val="00D92CF1"/>
    <w:rsid w:val="00D92D38"/>
    <w:rsid w:val="00D93DA9"/>
    <w:rsid w:val="00D950F5"/>
    <w:rsid w:val="00DA1A2F"/>
    <w:rsid w:val="00DB0F93"/>
    <w:rsid w:val="00DB2B7A"/>
    <w:rsid w:val="00DB5F8A"/>
    <w:rsid w:val="00DC015F"/>
    <w:rsid w:val="00DC5294"/>
    <w:rsid w:val="00DC542F"/>
    <w:rsid w:val="00DC7981"/>
    <w:rsid w:val="00DE360E"/>
    <w:rsid w:val="00DE4EFA"/>
    <w:rsid w:val="00DE5520"/>
    <w:rsid w:val="00DF7A85"/>
    <w:rsid w:val="00E04818"/>
    <w:rsid w:val="00E06442"/>
    <w:rsid w:val="00E14720"/>
    <w:rsid w:val="00E20403"/>
    <w:rsid w:val="00E2372C"/>
    <w:rsid w:val="00E23993"/>
    <w:rsid w:val="00E25B8C"/>
    <w:rsid w:val="00E26E65"/>
    <w:rsid w:val="00E31063"/>
    <w:rsid w:val="00E370FD"/>
    <w:rsid w:val="00E37311"/>
    <w:rsid w:val="00E4674F"/>
    <w:rsid w:val="00E47737"/>
    <w:rsid w:val="00E5148D"/>
    <w:rsid w:val="00E63639"/>
    <w:rsid w:val="00E65C85"/>
    <w:rsid w:val="00E66199"/>
    <w:rsid w:val="00E755EC"/>
    <w:rsid w:val="00E7624D"/>
    <w:rsid w:val="00E76DDE"/>
    <w:rsid w:val="00E87338"/>
    <w:rsid w:val="00E87A15"/>
    <w:rsid w:val="00E87FE5"/>
    <w:rsid w:val="00E963FA"/>
    <w:rsid w:val="00EA3D42"/>
    <w:rsid w:val="00EA6B1B"/>
    <w:rsid w:val="00EB3273"/>
    <w:rsid w:val="00ED4CC9"/>
    <w:rsid w:val="00EE28F3"/>
    <w:rsid w:val="00EF5110"/>
    <w:rsid w:val="00F15882"/>
    <w:rsid w:val="00F20BD3"/>
    <w:rsid w:val="00F22C91"/>
    <w:rsid w:val="00F3026A"/>
    <w:rsid w:val="00F314F8"/>
    <w:rsid w:val="00F353FD"/>
    <w:rsid w:val="00F36B8B"/>
    <w:rsid w:val="00F373A5"/>
    <w:rsid w:val="00F47559"/>
    <w:rsid w:val="00F60BE4"/>
    <w:rsid w:val="00F61B84"/>
    <w:rsid w:val="00F62762"/>
    <w:rsid w:val="00F64C7B"/>
    <w:rsid w:val="00F65D06"/>
    <w:rsid w:val="00F676DD"/>
    <w:rsid w:val="00F7084A"/>
    <w:rsid w:val="00F75A26"/>
    <w:rsid w:val="00F76C55"/>
    <w:rsid w:val="00F83184"/>
    <w:rsid w:val="00F83FAD"/>
    <w:rsid w:val="00F91DC6"/>
    <w:rsid w:val="00F92000"/>
    <w:rsid w:val="00F952A0"/>
    <w:rsid w:val="00FA3C7F"/>
    <w:rsid w:val="00FB34DF"/>
    <w:rsid w:val="00FB52D7"/>
    <w:rsid w:val="00FB58C0"/>
    <w:rsid w:val="00FB74E2"/>
    <w:rsid w:val="00FD5614"/>
    <w:rsid w:val="00FE0BE1"/>
    <w:rsid w:val="00FE1DE9"/>
    <w:rsid w:val="00FE39C2"/>
    <w:rsid w:val="00FE64AE"/>
    <w:rsid w:val="00FF6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236CC4"/>
  <w15:docId w15:val="{F4980B0D-4557-436C-9368-4F5342A9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74E"/>
    <w:pPr>
      <w:spacing w:before="240" w:after="240" w:line="264" w:lineRule="auto"/>
    </w:pPr>
    <w:rPr>
      <w:rFonts w:ascii="Trebuchet MS" w:hAnsi="Trebuchet MS"/>
    </w:rPr>
  </w:style>
  <w:style w:type="paragraph" w:styleId="Heading1">
    <w:name w:val="heading 1"/>
    <w:basedOn w:val="Normal"/>
    <w:next w:val="Normal"/>
    <w:link w:val="Heading1Char"/>
    <w:qFormat/>
    <w:rsid w:val="005A5C8A"/>
    <w:pPr>
      <w:spacing w:before="480"/>
      <w:outlineLvl w:val="0"/>
    </w:pPr>
    <w:rPr>
      <w:rFonts w:eastAsiaTheme="majorEastAsia" w:cstheme="majorBidi"/>
      <w:bCs/>
      <w:color w:val="0D45D6" w:themeColor="accent2"/>
      <w:sz w:val="32"/>
      <w:szCs w:val="28"/>
    </w:rPr>
  </w:style>
  <w:style w:type="paragraph" w:styleId="Heading2">
    <w:name w:val="heading 2"/>
    <w:basedOn w:val="Normal"/>
    <w:next w:val="Normal"/>
    <w:link w:val="Heading2Char"/>
    <w:qFormat/>
    <w:rsid w:val="00935115"/>
    <w:pPr>
      <w:tabs>
        <w:tab w:val="left" w:pos="1021"/>
      </w:tabs>
      <w:spacing w:line="240" w:lineRule="atLeast"/>
      <w:outlineLvl w:val="1"/>
    </w:pPr>
    <w:rPr>
      <w:rFonts w:eastAsiaTheme="majorEastAsia" w:cs="Arial"/>
      <w:bCs/>
      <w:color w:val="002760" w:themeColor="accent1"/>
      <w:sz w:val="28"/>
      <w:szCs w:val="26"/>
    </w:rPr>
  </w:style>
  <w:style w:type="paragraph" w:styleId="Heading3">
    <w:name w:val="heading 3"/>
    <w:basedOn w:val="Normal"/>
    <w:next w:val="Normal"/>
    <w:link w:val="Heading3Char"/>
    <w:uiPriority w:val="9"/>
    <w:qFormat/>
    <w:rsid w:val="00935115"/>
    <w:pPr>
      <w:outlineLvl w:val="2"/>
    </w:pPr>
    <w:rPr>
      <w:rFonts w:eastAsiaTheme="majorEastAsia" w:cstheme="majorBidi"/>
      <w:b/>
      <w:bCs/>
      <w:color w:val="000000" w:themeColor="text1"/>
      <w:sz w:val="24"/>
    </w:rPr>
  </w:style>
  <w:style w:type="paragraph" w:styleId="Heading4">
    <w:name w:val="heading 4"/>
    <w:basedOn w:val="Normal"/>
    <w:next w:val="Normal"/>
    <w:link w:val="Heading4Char"/>
    <w:qFormat/>
    <w:rsid w:val="00935115"/>
    <w:pPr>
      <w:outlineLvl w:val="3"/>
    </w:pPr>
    <w:rPr>
      <w:rFonts w:eastAsiaTheme="majorEastAsia" w:cstheme="majorBidi"/>
      <w:b/>
      <w:bCs/>
      <w:i/>
      <w:iCs/>
      <w:color w:val="002760"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00132F" w:themeColor="accent1" w:themeShade="7F"/>
    </w:rPr>
  </w:style>
  <w:style w:type="paragraph" w:styleId="Heading6">
    <w:name w:val="heading 6"/>
    <w:basedOn w:val="Normal"/>
    <w:next w:val="Normal"/>
    <w:link w:val="Heading6Char"/>
    <w:uiPriority w:val="2"/>
    <w:qFormat/>
    <w:rsid w:val="009D6B46"/>
    <w:pPr>
      <w:outlineLvl w:val="5"/>
    </w:pPr>
    <w:rPr>
      <w:rFonts w:eastAsiaTheme="majorEastAsia" w:cstheme="majorBidi"/>
      <w:b/>
      <w:i/>
      <w:iCs/>
    </w:rPr>
  </w:style>
  <w:style w:type="paragraph" w:styleId="Heading7">
    <w:name w:val="heading 7"/>
    <w:basedOn w:val="Normal"/>
    <w:next w:val="Normal"/>
    <w:link w:val="Heading7Char"/>
    <w:uiPriority w:val="2"/>
    <w:qFormat/>
    <w:rsid w:val="009D6B46"/>
    <w:p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outlineLvl w:val="7"/>
    </w:pPr>
    <w:rPr>
      <w:rFonts w:eastAsiaTheme="majorEastAsia" w:cstheme="majorBidi"/>
      <w:color w:val="002760" w:themeColor="accent1"/>
      <w:szCs w:val="20"/>
    </w:rPr>
  </w:style>
  <w:style w:type="paragraph" w:styleId="Heading9">
    <w:name w:val="heading 9"/>
    <w:aliases w:val="Numbered Table"/>
    <w:basedOn w:val="Normal"/>
    <w:next w:val="Normal"/>
    <w:link w:val="Heading9Char"/>
    <w:uiPriority w:val="2"/>
    <w:qFormat/>
    <w:rsid w:val="00D64AF7"/>
    <w:pPr>
      <w:numPr>
        <w:numId w:val="26"/>
      </w:numPr>
      <w:tabs>
        <w:tab w:val="left" w:pos="340"/>
      </w:tabs>
      <w:spacing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C8A"/>
    <w:rPr>
      <w:rFonts w:ascii="Trebuchet MS" w:eastAsiaTheme="majorEastAsia" w:hAnsi="Trebuchet MS" w:cstheme="majorBidi"/>
      <w:bCs/>
      <w:color w:val="0D45D6" w:themeColor="accent2"/>
      <w:sz w:val="32"/>
      <w:szCs w:val="28"/>
    </w:rPr>
  </w:style>
  <w:style w:type="character" w:customStyle="1" w:styleId="Heading2Char">
    <w:name w:val="Heading 2 Char"/>
    <w:basedOn w:val="DefaultParagraphFont"/>
    <w:link w:val="Heading2"/>
    <w:rsid w:val="00935115"/>
    <w:rPr>
      <w:rFonts w:ascii="Trebuchet MS" w:eastAsiaTheme="majorEastAsia" w:hAnsi="Trebuchet MS" w:cs="Arial"/>
      <w:bCs/>
      <w:color w:val="002760" w:themeColor="accent1"/>
      <w:sz w:val="28"/>
      <w:szCs w:val="26"/>
    </w:rPr>
  </w:style>
  <w:style w:type="character" w:customStyle="1" w:styleId="Heading3Char">
    <w:name w:val="Heading 3 Char"/>
    <w:basedOn w:val="DefaultParagraphFont"/>
    <w:link w:val="Heading3"/>
    <w:uiPriority w:val="9"/>
    <w:rsid w:val="00935115"/>
    <w:rPr>
      <w:rFonts w:ascii="Trebuchet MS" w:eastAsiaTheme="majorEastAsia" w:hAnsi="Trebuchet MS" w:cstheme="majorBidi"/>
      <w:b/>
      <w:bCs/>
      <w:color w:val="000000" w:themeColor="text1"/>
      <w:sz w:val="24"/>
    </w:rPr>
  </w:style>
  <w:style w:type="character" w:customStyle="1" w:styleId="Heading4Char">
    <w:name w:val="Heading 4 Char"/>
    <w:basedOn w:val="DefaultParagraphFont"/>
    <w:link w:val="Heading4"/>
    <w:rsid w:val="00935115"/>
    <w:rPr>
      <w:rFonts w:ascii="Trebuchet MS" w:eastAsiaTheme="majorEastAsia" w:hAnsi="Trebuchet MS" w:cstheme="majorBidi"/>
      <w:b/>
      <w:bCs/>
      <w:i/>
      <w:iCs/>
      <w:color w:val="002760"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00132F"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spacing w:before="520" w:after="120"/>
    </w:pPr>
    <w:rPr>
      <w:rFonts w:ascii="Palatino Linotype" w:hAnsi="Palatino Linotype"/>
      <w:color w:val="002760"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002760"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4A1696"/>
    <w:pPr>
      <w:numPr>
        <w:numId w:val="27"/>
      </w:numPr>
      <w:tabs>
        <w:tab w:val="left" w:pos="680"/>
      </w:tabs>
      <w:ind w:left="680" w:hanging="680"/>
    </w:pPr>
  </w:style>
  <w:style w:type="paragraph" w:customStyle="1" w:styleId="Numbered11">
    <w:name w:val="Numbered 1.1"/>
    <w:basedOn w:val="Heading2"/>
    <w:next w:val="Normal"/>
    <w:qFormat/>
    <w:rsid w:val="004A1696"/>
    <w:pPr>
      <w:numPr>
        <w:ilvl w:val="1"/>
        <w:numId w:val="27"/>
      </w:numPr>
      <w:ind w:left="1021" w:hanging="1021"/>
    </w:pPr>
  </w:style>
  <w:style w:type="paragraph" w:customStyle="1" w:styleId="Numbered111">
    <w:name w:val="Numbered 1.1.1"/>
    <w:basedOn w:val="Heading3"/>
    <w:next w:val="Normal"/>
    <w:qFormat/>
    <w:rsid w:val="00466877"/>
    <w:pPr>
      <w:numPr>
        <w:ilvl w:val="2"/>
        <w:numId w:val="27"/>
      </w:numPr>
      <w:tabs>
        <w:tab w:val="left" w:pos="1361"/>
      </w:tabs>
      <w:ind w:left="1021" w:hanging="1021"/>
      <w:contextualSpacing/>
    </w:pPr>
  </w:style>
  <w:style w:type="paragraph" w:customStyle="1" w:styleId="Numbered1111">
    <w:name w:val="Numbered 1.1.1.1"/>
    <w:basedOn w:val="Heading4"/>
    <w:next w:val="Normal"/>
    <w:rsid w:val="004A1696"/>
    <w:pPr>
      <w:numPr>
        <w:ilvl w:val="3"/>
        <w:numId w:val="27"/>
      </w:numPr>
      <w:tabs>
        <w:tab w:val="left" w:pos="1361"/>
      </w:tabs>
      <w:ind w:left="1361" w:hanging="1361"/>
    </w:pPr>
  </w:style>
  <w:style w:type="paragraph" w:customStyle="1" w:styleId="Numbered11111">
    <w:name w:val="Numbered 1.1.1.1.1"/>
    <w:basedOn w:val="Heading5"/>
    <w:next w:val="Normal"/>
    <w:uiPriority w:val="2"/>
    <w:rsid w:val="004A1696"/>
    <w:pPr>
      <w:numPr>
        <w:ilvl w:val="4"/>
        <w:numId w:val="27"/>
      </w:numPr>
      <w:tabs>
        <w:tab w:val="left" w:pos="1701"/>
      </w:tabs>
      <w:ind w:left="1701" w:hanging="1701"/>
    </w:pPr>
    <w:rPr>
      <w:rFonts w:ascii="Trebuchet MS" w:hAnsi="Trebuchet MS"/>
    </w:rPr>
  </w:style>
  <w:style w:type="paragraph" w:customStyle="1" w:styleId="Numbered111111">
    <w:name w:val="Numbered 1.1.1.1.1.1"/>
    <w:basedOn w:val="Heading6"/>
    <w:next w:val="Normal"/>
    <w:uiPriority w:val="2"/>
    <w:rsid w:val="004A1696"/>
    <w:pPr>
      <w:numPr>
        <w:ilvl w:val="5"/>
        <w:numId w:val="27"/>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8454B5"/>
    <w:pPr>
      <w:spacing w:after="120"/>
      <w:contextualSpacing/>
    </w:pPr>
    <w:rPr>
      <w:rFonts w:asciiTheme="majorHAnsi" w:hAnsiTheme="majorHAnsi"/>
      <w:b/>
      <w:color w:val="0D45D6" w:themeColor="accent2"/>
      <w:sz w:val="24"/>
      <w:szCs w:val="24"/>
    </w:rPr>
  </w:style>
  <w:style w:type="character" w:customStyle="1" w:styleId="PullquoteheadingChar">
    <w:name w:val="Pull quote heading Char"/>
    <w:basedOn w:val="DefaultParagraphFont"/>
    <w:link w:val="Pullquoteheading"/>
    <w:uiPriority w:val="1"/>
    <w:rsid w:val="008454B5"/>
    <w:rPr>
      <w:rFonts w:asciiTheme="majorHAnsi" w:hAnsiTheme="majorHAnsi"/>
      <w:b/>
      <w:color w:val="0D45D6" w:themeColor="accent2"/>
      <w:sz w:val="24"/>
      <w:szCs w:val="24"/>
    </w:rPr>
  </w:style>
  <w:style w:type="paragraph" w:customStyle="1" w:styleId="Pullquotetext">
    <w:name w:val="Pull quote text"/>
    <w:link w:val="PullquotetextChar"/>
    <w:uiPriority w:val="1"/>
    <w:rsid w:val="008454B5"/>
    <w:pPr>
      <w:spacing w:before="120"/>
    </w:pPr>
    <w:rPr>
      <w:rFonts w:asciiTheme="majorHAnsi" w:hAnsiTheme="majorHAnsi"/>
      <w:color w:val="0D45D6" w:themeColor="accent2"/>
      <w:szCs w:val="24"/>
    </w:rPr>
  </w:style>
  <w:style w:type="character" w:customStyle="1" w:styleId="PullquotetextChar">
    <w:name w:val="Pull quote text Char"/>
    <w:basedOn w:val="PullquoteheadingChar"/>
    <w:link w:val="Pullquotetext"/>
    <w:uiPriority w:val="1"/>
    <w:rsid w:val="008454B5"/>
    <w:rPr>
      <w:rFonts w:asciiTheme="majorHAnsi" w:hAnsiTheme="majorHAnsi"/>
      <w:b w:val="0"/>
      <w:color w:val="0D45D6" w:themeColor="accent2"/>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2"/>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4B419B"/>
    <w:pPr>
      <w:spacing w:before="480" w:after="120" w:line="276" w:lineRule="auto"/>
    </w:pPr>
    <w:rPr>
      <w:rFonts w:eastAsiaTheme="majorEastAsia" w:cstheme="majorBidi"/>
      <w:bCs/>
      <w:color w:val="0D45D6" w:themeColor="accent2"/>
      <w:sz w:val="32"/>
      <w:szCs w:val="28"/>
      <w:lang w:val="en-US" w:eastAsia="ja-JP"/>
    </w:rPr>
  </w:style>
  <w:style w:type="paragraph" w:styleId="ListNumber2">
    <w:name w:val="List Number 2"/>
    <w:next w:val="Normal"/>
    <w:uiPriority w:val="99"/>
    <w:rsid w:val="00BE4C99"/>
    <w:pPr>
      <w:numPr>
        <w:numId w:val="23"/>
      </w:numPr>
      <w:tabs>
        <w:tab w:val="left" w:pos="680"/>
      </w:tabs>
      <w:spacing w:before="120"/>
    </w:pPr>
    <w:rPr>
      <w:rFonts w:ascii="Arial" w:hAnsi="Arial"/>
    </w:rPr>
  </w:style>
  <w:style w:type="character" w:styleId="Hyperlink">
    <w:name w:val="Hyperlink"/>
    <w:basedOn w:val="DefaultParagraphFont"/>
    <w:uiPriority w:val="99"/>
    <w:qFormat/>
    <w:rsid w:val="00615AF5"/>
    <w:rPr>
      <w:rFonts w:ascii="Trebuchet MS" w:hAnsi="Trebuchet MS"/>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002760" w:themeColor="accent1"/>
      <w:szCs w:val="20"/>
    </w:rPr>
  </w:style>
  <w:style w:type="character" w:customStyle="1" w:styleId="Heading9Char">
    <w:name w:val="Heading 9 Char"/>
    <w:aliases w:val="Numbered Table Char"/>
    <w:basedOn w:val="DefaultParagraphFont"/>
    <w:link w:val="Heading9"/>
    <w:uiPriority w:val="2"/>
    <w:rsid w:val="00D64AF7"/>
    <w:rPr>
      <w:rFonts w:ascii="Trebuchet MS" w:eastAsiaTheme="majorEastAsia" w:hAnsi="Trebuchet MS" w:cstheme="majorBidi"/>
      <w:b/>
      <w:iCs/>
      <w:color w:val="000000" w:themeColor="text1"/>
      <w:sz w:val="24"/>
      <w:szCs w:val="20"/>
    </w:rPr>
  </w:style>
  <w:style w:type="paragraph" w:customStyle="1" w:styleId="Numbered1111111">
    <w:name w:val="Numbered 1.1.1.1.1.1.1"/>
    <w:basedOn w:val="Heading7"/>
    <w:next w:val="Normal"/>
    <w:uiPriority w:val="2"/>
    <w:rsid w:val="004A1696"/>
    <w:pPr>
      <w:numPr>
        <w:ilvl w:val="6"/>
        <w:numId w:val="27"/>
      </w:numPr>
      <w:tabs>
        <w:tab w:val="left" w:pos="2041"/>
      </w:tabs>
      <w:ind w:left="2041" w:hanging="2041"/>
    </w:pPr>
  </w:style>
  <w:style w:type="paragraph" w:customStyle="1" w:styleId="Numbered11111111">
    <w:name w:val="Numbered 1.1.1.1.1.1.1.1"/>
    <w:basedOn w:val="Heading8"/>
    <w:next w:val="Normal"/>
    <w:uiPriority w:val="2"/>
    <w:rsid w:val="004A1696"/>
    <w:pPr>
      <w:numPr>
        <w:ilvl w:val="7"/>
        <w:numId w:val="27"/>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001C47" w:themeColor="accent1" w:themeShade="BF"/>
    </w:rPr>
    <w:tblPr>
      <w:tblStyleRowBandSize w:val="1"/>
      <w:tblStyleColBandSize w:val="1"/>
      <w:tblBorders>
        <w:top w:val="single" w:sz="8" w:space="0" w:color="002760" w:themeColor="accent1"/>
        <w:bottom w:val="single" w:sz="8" w:space="0" w:color="002760" w:themeColor="accent1"/>
      </w:tblBorders>
    </w:tblPr>
    <w:tblStylePr w:type="fir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la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2FF" w:themeFill="accent1" w:themeFillTint="3F"/>
      </w:tcPr>
    </w:tblStylePr>
    <w:tblStylePr w:type="band1Horz">
      <w:tblPr/>
      <w:tcPr>
        <w:tcBorders>
          <w:left w:val="nil"/>
          <w:right w:val="nil"/>
          <w:insideH w:val="nil"/>
          <w:insideV w:val="nil"/>
        </w:tcBorders>
        <w:shd w:val="clear" w:color="auto" w:fill="98C2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179170" w:themeColor="accent3" w:themeShade="BF"/>
    </w:rPr>
    <w:tblPr>
      <w:tblStyleRowBandSize w:val="1"/>
      <w:tblStyleColBandSize w:val="1"/>
      <w:tblBorders>
        <w:top w:val="single" w:sz="8" w:space="0" w:color="1FC296" w:themeColor="accent3"/>
        <w:bottom w:val="single" w:sz="8" w:space="0" w:color="1FC296" w:themeColor="accent3"/>
      </w:tblBorders>
    </w:tblPr>
    <w:tblStylePr w:type="fir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la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F5E7" w:themeFill="accent3" w:themeFillTint="3F"/>
      </w:tcPr>
    </w:tblStylePr>
    <w:tblStylePr w:type="band1Horz">
      <w:tblPr/>
      <w:tcPr>
        <w:tcBorders>
          <w:left w:val="nil"/>
          <w:right w:val="nil"/>
          <w:insideH w:val="nil"/>
          <w:insideV w:val="nil"/>
        </w:tcBorders>
        <w:shd w:val="clear" w:color="auto" w:fill="C2F5E7"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single" w:sz="8" w:space="0" w:color="0050C7" w:themeColor="accent1" w:themeTint="BF"/>
      </w:tblBorders>
    </w:tblPr>
    <w:tblStylePr w:type="firstRow">
      <w:pPr>
        <w:spacing w:before="0" w:after="0" w:line="240" w:lineRule="auto"/>
      </w:pPr>
      <w:rPr>
        <w:b/>
        <w:bCs/>
        <w:color w:val="FFFFFF" w:themeColor="background1"/>
      </w:rPr>
      <w:tblPr/>
      <w:tcPr>
        <w:tc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shd w:val="clear" w:color="auto" w:fill="002760" w:themeFill="accent1"/>
      </w:tcPr>
    </w:tblStylePr>
    <w:tblStylePr w:type="lastRow">
      <w:pPr>
        <w:spacing w:before="0" w:after="0" w:line="240" w:lineRule="auto"/>
      </w:pPr>
      <w:rPr>
        <w:b/>
        <w:bCs/>
      </w:rPr>
      <w:tblPr/>
      <w:tcPr>
        <w:tcBorders>
          <w:top w:val="double" w:sz="6"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2FF" w:themeFill="accent1" w:themeFillTint="3F"/>
      </w:tcPr>
    </w:tblStylePr>
    <w:tblStylePr w:type="band1Horz">
      <w:tblPr/>
      <w:tcPr>
        <w:tcBorders>
          <w:insideH w:val="nil"/>
          <w:insideV w:val="nil"/>
        </w:tcBorders>
        <w:shd w:val="clear" w:color="auto" w:fill="98C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single" w:sz="8" w:space="0" w:color="376BF2" w:themeColor="accent2" w:themeTint="BF"/>
      </w:tblBorders>
    </w:tblPr>
    <w:tblStylePr w:type="firstRow">
      <w:pPr>
        <w:spacing w:before="0" w:after="0" w:line="240" w:lineRule="auto"/>
      </w:pPr>
      <w:rPr>
        <w:b/>
        <w:bCs/>
        <w:color w:val="FFFFFF" w:themeColor="background1"/>
      </w:rPr>
      <w:tblPr/>
      <w:tcPr>
        <w:tc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shd w:val="clear" w:color="auto" w:fill="0D45D6" w:themeFill="accent2"/>
      </w:tcPr>
    </w:tblStylePr>
    <w:tblStylePr w:type="lastRow">
      <w:pPr>
        <w:spacing w:before="0" w:after="0" w:line="240" w:lineRule="auto"/>
      </w:pPr>
      <w:rPr>
        <w:b/>
        <w:bCs/>
      </w:rPr>
      <w:tblPr/>
      <w:tcPr>
        <w:tcBorders>
          <w:top w:val="double" w:sz="6"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CEFB" w:themeFill="accent2" w:themeFillTint="3F"/>
      </w:tcPr>
    </w:tblStylePr>
    <w:tblStylePr w:type="band1Horz">
      <w:tblPr/>
      <w:tcPr>
        <w:tcBorders>
          <w:insideH w:val="nil"/>
          <w:insideV w:val="nil"/>
        </w:tcBorders>
        <w:shd w:val="clear" w:color="auto" w:fill="BDCE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single" w:sz="8" w:space="0" w:color="46E1B7" w:themeColor="accent3" w:themeTint="BF"/>
      </w:tblBorders>
    </w:tblPr>
    <w:tblStylePr w:type="firstRow">
      <w:pPr>
        <w:spacing w:before="0" w:after="0" w:line="240" w:lineRule="auto"/>
      </w:pPr>
      <w:rPr>
        <w:b/>
        <w:bCs/>
        <w:color w:val="FFFFFF" w:themeColor="background1"/>
      </w:rPr>
      <w:tblPr/>
      <w:tcPr>
        <w:tc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shd w:val="clear" w:color="auto" w:fill="1FC296" w:themeFill="accent3"/>
      </w:tcPr>
    </w:tblStylePr>
    <w:tblStylePr w:type="lastRow">
      <w:pPr>
        <w:spacing w:before="0" w:after="0" w:line="240" w:lineRule="auto"/>
      </w:pPr>
      <w:rPr>
        <w:b/>
        <w:bCs/>
      </w:rPr>
      <w:tblPr/>
      <w:tcPr>
        <w:tcBorders>
          <w:top w:val="double" w:sz="6"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C2F5E7" w:themeFill="accent3" w:themeFillTint="3F"/>
      </w:tcPr>
    </w:tblStylePr>
    <w:tblStylePr w:type="band1Horz">
      <w:tblPr/>
      <w:tcPr>
        <w:tcBorders>
          <w:insideH w:val="nil"/>
          <w:insideV w:val="nil"/>
        </w:tcBorders>
        <w:shd w:val="clear" w:color="auto" w:fill="C2F5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7F7F7F"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insideH w:val="single" w:sz="8" w:space="0" w:color="1FC296" w:themeColor="accent3"/>
        <w:insideV w:val="single" w:sz="8" w:space="0" w:color="1FC2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18" w:space="0" w:color="1FC296" w:themeColor="accent3"/>
          <w:right w:val="single" w:sz="8" w:space="0" w:color="1FC296" w:themeColor="accent3"/>
          <w:insideH w:val="nil"/>
          <w:insideV w:val="single" w:sz="8" w:space="0" w:color="1FC2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insideH w:val="nil"/>
          <w:insideV w:val="single" w:sz="8" w:space="0" w:color="1FC2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shd w:val="clear" w:color="auto" w:fill="C2F5E7" w:themeFill="accent3" w:themeFillTint="3F"/>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shd w:val="clear" w:color="auto" w:fill="C2F5E7" w:themeFill="accent3" w:themeFillTint="3F"/>
      </w:tcPr>
    </w:tblStylePr>
    <w:tblStylePr w:type="band2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935115"/>
    <w:pPr>
      <w:spacing w:before="720" w:after="120"/>
      <w:contextualSpacing/>
      <w:outlineLvl w:val="0"/>
    </w:pPr>
    <w:rPr>
      <w:rFonts w:eastAsiaTheme="majorEastAsia" w:cstheme="majorBidi"/>
      <w:b/>
      <w:color w:val="0D45D6" w:themeColor="accent2"/>
      <w:spacing w:val="5"/>
      <w:kern w:val="28"/>
      <w:sz w:val="72"/>
      <w:szCs w:val="52"/>
    </w:rPr>
  </w:style>
  <w:style w:type="character" w:customStyle="1" w:styleId="TitleChar">
    <w:name w:val="Title Char"/>
    <w:basedOn w:val="DefaultParagraphFont"/>
    <w:link w:val="Title"/>
    <w:uiPriority w:val="10"/>
    <w:rsid w:val="00935115"/>
    <w:rPr>
      <w:rFonts w:ascii="Trebuchet MS" w:eastAsiaTheme="majorEastAsia" w:hAnsi="Trebuchet MS" w:cstheme="majorBidi"/>
      <w:b/>
      <w:color w:val="0D45D6" w:themeColor="accent2"/>
      <w:spacing w:val="5"/>
      <w:kern w:val="28"/>
      <w:sz w:val="72"/>
      <w:szCs w:val="52"/>
    </w:rPr>
  </w:style>
  <w:style w:type="paragraph" w:customStyle="1" w:styleId="CoverDate">
    <w:name w:val="Cover Date"/>
    <w:rsid w:val="00935115"/>
    <w:rPr>
      <w:rFonts w:ascii="Trebuchet MS" w:hAnsi="Trebuchet MS"/>
      <w:color w:val="002760" w:themeColor="accent1"/>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tblBorders>
    </w:tblPr>
    <w:tblStylePr w:type="firstRow">
      <w:pPr>
        <w:spacing w:before="0" w:after="0" w:line="240" w:lineRule="auto"/>
      </w:pPr>
      <w:rPr>
        <w:b/>
        <w:bCs/>
        <w:color w:val="FFFFFF" w:themeColor="background1"/>
      </w:rPr>
      <w:tblPr/>
      <w:tcPr>
        <w:shd w:val="clear" w:color="auto" w:fill="002760" w:themeFill="accent1"/>
      </w:tcPr>
    </w:tblStylePr>
    <w:tblStylePr w:type="lastRow">
      <w:pPr>
        <w:spacing w:before="0" w:after="0" w:line="240" w:lineRule="auto"/>
      </w:pPr>
      <w:rPr>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tcBorders>
      </w:tcPr>
    </w:tblStylePr>
    <w:tblStylePr w:type="firstCol">
      <w:rPr>
        <w:b/>
        <w:bCs/>
      </w:rPr>
    </w:tblStylePr>
    <w:tblStylePr w:type="lastCol">
      <w:rPr>
        <w:b/>
        <w:bCs/>
      </w:r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tblBorders>
    </w:tblPr>
    <w:tblStylePr w:type="firstRow">
      <w:pPr>
        <w:spacing w:before="0" w:after="0" w:line="240" w:lineRule="auto"/>
      </w:pPr>
      <w:rPr>
        <w:b/>
        <w:bCs/>
        <w:color w:val="FFFFFF" w:themeColor="background1"/>
      </w:rPr>
      <w:tblPr/>
      <w:tcPr>
        <w:shd w:val="clear" w:color="auto" w:fill="1FC296" w:themeFill="accent3"/>
      </w:tcPr>
    </w:tblStylePr>
    <w:tblStylePr w:type="lastRow">
      <w:pPr>
        <w:spacing w:before="0" w:after="0" w:line="240" w:lineRule="auto"/>
      </w:pPr>
      <w:rPr>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tcBorders>
      </w:tcPr>
    </w:tblStylePr>
    <w:tblStylePr w:type="firstCol">
      <w:rPr>
        <w:b/>
        <w:bCs/>
      </w:rPr>
    </w:tblStylePr>
    <w:tblStylePr w:type="lastCol">
      <w:rPr>
        <w:b/>
        <w:bCs/>
      </w:r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8454B5"/>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8454B5"/>
    <w:rPr>
      <w:rFonts w:ascii="Trebuchet MS" w:hAnsi="Trebuchet MS"/>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935115"/>
    <w:pPr>
      <w:spacing w:before="360" w:after="120"/>
    </w:pPr>
    <w:rPr>
      <w:rFonts w:ascii="Trebuchet MS" w:hAnsi="Trebuchet MS"/>
      <w:color w:val="002760" w:themeColor="accent1"/>
      <w:sz w:val="52"/>
      <w:szCs w:val="52"/>
    </w:rPr>
  </w:style>
  <w:style w:type="character" w:customStyle="1" w:styleId="SubtitleChar">
    <w:name w:val="Subtitle Char"/>
    <w:basedOn w:val="DefaultParagraphFont"/>
    <w:link w:val="Subtitle"/>
    <w:uiPriority w:val="11"/>
    <w:rsid w:val="00935115"/>
    <w:rPr>
      <w:rFonts w:ascii="Trebuchet MS" w:hAnsi="Trebuchet MS"/>
      <w:color w:val="002760" w:themeColor="accent1"/>
      <w:sz w:val="52"/>
      <w:szCs w:val="52"/>
    </w:rPr>
  </w:style>
  <w:style w:type="table" w:styleId="LightShading-Accent4">
    <w:name w:val="Light Shading Accent 4"/>
    <w:basedOn w:val="TableNormal"/>
    <w:uiPriority w:val="60"/>
    <w:rsid w:val="00746E01"/>
    <w:pPr>
      <w:spacing w:before="0"/>
    </w:pPr>
    <w:rPr>
      <w:color w:val="5F5F5F" w:themeColor="accent4" w:themeShade="BF"/>
    </w:rPr>
    <w:tblPr>
      <w:tblStyleRowBandSize w:val="1"/>
      <w:tblStyleColBandSize w:val="1"/>
      <w:tblBorders>
        <w:top w:val="single" w:sz="8" w:space="0" w:color="7F7F7F" w:themeColor="accent4"/>
        <w:bottom w:val="single" w:sz="8" w:space="0" w:color="7F7F7F" w:themeColor="accent4"/>
      </w:tblBorders>
    </w:tblPr>
    <w:tblStylePr w:type="fir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la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tblBorders>
    </w:tblPr>
    <w:tblStylePr w:type="firstRow">
      <w:pPr>
        <w:spacing w:before="0" w:after="0" w:line="240" w:lineRule="auto"/>
      </w:pPr>
      <w:rPr>
        <w:b/>
        <w:bCs/>
        <w:color w:val="FFFFFF" w:themeColor="background1"/>
      </w:rPr>
      <w:tblPr/>
      <w:tcPr>
        <w:shd w:val="clear" w:color="auto" w:fill="0D45D6" w:themeFill="accent2"/>
      </w:tcPr>
    </w:tblStylePr>
    <w:tblStylePr w:type="lastRow">
      <w:pPr>
        <w:spacing w:before="0" w:after="0" w:line="240" w:lineRule="auto"/>
      </w:pPr>
      <w:rPr>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tcBorders>
      </w:tcPr>
    </w:tblStylePr>
    <w:tblStylePr w:type="firstCol">
      <w:rPr>
        <w:b/>
        <w:bCs/>
      </w:rPr>
    </w:tblStylePr>
    <w:tblStylePr w:type="lastCol">
      <w:rPr>
        <w:b/>
        <w:bCs/>
      </w:r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tblBorders>
    </w:tblPr>
    <w:tblStylePr w:type="firstRow">
      <w:pPr>
        <w:spacing w:before="0" w:after="0" w:line="240" w:lineRule="auto"/>
      </w:pPr>
      <w:rPr>
        <w:b/>
        <w:bCs/>
        <w:color w:val="FFFFFF" w:themeColor="background1"/>
      </w:rPr>
      <w:tblPr/>
      <w:tcPr>
        <w:shd w:val="clear" w:color="auto" w:fill="7F7F7F" w:themeFill="accent4"/>
      </w:tcPr>
    </w:tblStylePr>
    <w:tblStylePr w:type="lastRow">
      <w:pPr>
        <w:spacing w:before="0" w:after="0" w:line="240" w:lineRule="auto"/>
      </w:pPr>
      <w:rPr>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tcBorders>
      </w:tcPr>
    </w:tblStylePr>
    <w:tblStylePr w:type="firstCol">
      <w:rPr>
        <w:b/>
        <w:bCs/>
      </w:rPr>
    </w:tblStylePr>
    <w:tblStylePr w:type="lastCol">
      <w:rPr>
        <w:b/>
        <w:bCs/>
      </w:r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insideH w:val="single" w:sz="8" w:space="0" w:color="002760" w:themeColor="accent1"/>
        <w:insideV w:val="single" w:sz="8" w:space="0" w:color="00276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18" w:space="0" w:color="002760" w:themeColor="accent1"/>
          <w:right w:val="single" w:sz="8" w:space="0" w:color="002760" w:themeColor="accent1"/>
          <w:insideH w:val="nil"/>
          <w:insideV w:val="single" w:sz="8" w:space="0" w:color="00276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insideH w:val="nil"/>
          <w:insideV w:val="single" w:sz="8" w:space="0" w:color="00276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shd w:val="clear" w:color="auto" w:fill="98C2FF" w:themeFill="accent1" w:themeFillTint="3F"/>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shd w:val="clear" w:color="auto" w:fill="98C2FF" w:themeFill="accent1" w:themeFillTint="3F"/>
      </w:tcPr>
    </w:tblStylePr>
    <w:tblStylePr w:type="band2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insideH w:val="single" w:sz="8" w:space="0" w:color="0D45D6" w:themeColor="accent2"/>
        <w:insideV w:val="single" w:sz="8" w:space="0" w:color="0D45D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18" w:space="0" w:color="0D45D6" w:themeColor="accent2"/>
          <w:right w:val="single" w:sz="8" w:space="0" w:color="0D45D6" w:themeColor="accent2"/>
          <w:insideH w:val="nil"/>
          <w:insideV w:val="single" w:sz="8" w:space="0" w:color="0D45D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insideH w:val="nil"/>
          <w:insideV w:val="single" w:sz="8" w:space="0" w:color="0D45D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shd w:val="clear" w:color="auto" w:fill="BDCEFB" w:themeFill="accent2" w:themeFillTint="3F"/>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shd w:val="clear" w:color="auto" w:fill="BDCEFB" w:themeFill="accent2" w:themeFillTint="3F"/>
      </w:tcPr>
    </w:tblStylePr>
    <w:tblStylePr w:type="band2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insideH w:val="single" w:sz="8" w:space="0" w:color="7F7F7F" w:themeColor="accent4"/>
        <w:insideV w:val="single" w:sz="8" w:space="0" w:color="7F7F7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18" w:space="0" w:color="7F7F7F" w:themeColor="accent4"/>
          <w:right w:val="single" w:sz="8" w:space="0" w:color="7F7F7F" w:themeColor="accent4"/>
          <w:insideH w:val="nil"/>
          <w:insideV w:val="single" w:sz="8" w:space="0" w:color="7F7F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insideH w:val="nil"/>
          <w:insideV w:val="single" w:sz="8" w:space="0" w:color="7F7F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shd w:val="clear" w:color="auto" w:fill="DFDFDF" w:themeFill="accent4" w:themeFillTint="3F"/>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shd w:val="clear" w:color="auto" w:fill="DFDFDF" w:themeFill="accent4" w:themeFillTint="3F"/>
      </w:tcPr>
    </w:tblStylePr>
    <w:tblStylePr w:type="band2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4A1696"/>
    <w:pPr>
      <w:numPr>
        <w:ilvl w:val="8"/>
        <w:numId w:val="27"/>
      </w:numPr>
      <w:tabs>
        <w:tab w:val="left" w:pos="2381"/>
      </w:tabs>
      <w:ind w:left="2381" w:hanging="2381"/>
    </w:pPr>
    <w:rPr>
      <w:sz w:val="20"/>
    </w:rPr>
  </w:style>
  <w:style w:type="paragraph" w:styleId="Caption">
    <w:name w:val="caption"/>
    <w:basedOn w:val="Normal"/>
    <w:next w:val="Normal"/>
    <w:uiPriority w:val="35"/>
    <w:unhideWhenUsed/>
    <w:qFormat/>
    <w:rsid w:val="00B1716D"/>
    <w:pPr>
      <w:spacing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3"/>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F353FD"/>
    <w:rPr>
      <w:rFonts w:ascii="Trebuchet MS" w:hAnsi="Trebuchet MS"/>
      <w:sz w:val="16"/>
      <w:vertAlign w:val="superscript"/>
    </w:rPr>
  </w:style>
  <w:style w:type="paragraph" w:customStyle="1" w:styleId="Numberedparagraph11">
    <w:name w:val="Numbered paragraph 1.1"/>
    <w:basedOn w:val="Numbered11"/>
    <w:qFormat/>
    <w:rsid w:val="00E370FD"/>
    <w:pPr>
      <w:outlineLvl w:val="9"/>
    </w:pPr>
    <w:rPr>
      <w:bCs w:val="0"/>
      <w:color w:val="auto"/>
      <w:sz w:val="22"/>
    </w:rPr>
  </w:style>
  <w:style w:type="character" w:customStyle="1" w:styleId="Numbered1Char">
    <w:name w:val="Numbered 1 Char"/>
    <w:basedOn w:val="Heading1Char"/>
    <w:link w:val="Numbered1"/>
    <w:rsid w:val="004A1696"/>
    <w:rPr>
      <w:rFonts w:ascii="Trebuchet MS" w:eastAsiaTheme="majorEastAsia" w:hAnsi="Trebuchet MS" w:cstheme="majorBidi"/>
      <w:bCs/>
      <w:color w:val="0D45D6" w:themeColor="accent2"/>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2"/>
      </w:numPr>
      <w:tabs>
        <w:tab w:val="left" w:pos="680"/>
      </w:tabs>
      <w:spacing w:before="120"/>
    </w:pPr>
    <w:rPr>
      <w:rFonts w:ascii="Arial" w:hAnsi="Arial"/>
    </w:rPr>
  </w:style>
  <w:style w:type="paragraph" w:customStyle="1" w:styleId="Listalphabet3">
    <w:name w:val="List alphabet 3"/>
    <w:rsid w:val="00CF799E"/>
    <w:pPr>
      <w:numPr>
        <w:numId w:val="18"/>
      </w:numPr>
      <w:tabs>
        <w:tab w:val="left" w:pos="1021"/>
      </w:tabs>
      <w:spacing w:before="120"/>
    </w:pPr>
    <w:rPr>
      <w:rFonts w:ascii="Arial" w:hAnsi="Arial"/>
    </w:rPr>
  </w:style>
  <w:style w:type="paragraph" w:customStyle="1" w:styleId="Listalphabet4">
    <w:name w:val="List alphabet 4"/>
    <w:rsid w:val="00CF799E"/>
    <w:pPr>
      <w:numPr>
        <w:numId w:val="19"/>
      </w:numPr>
      <w:tabs>
        <w:tab w:val="left" w:pos="1361"/>
      </w:tabs>
      <w:spacing w:before="120"/>
    </w:pPr>
    <w:rPr>
      <w:rFonts w:ascii="Arial" w:hAnsi="Arial"/>
    </w:rPr>
  </w:style>
  <w:style w:type="paragraph" w:customStyle="1" w:styleId="Listalphabet5">
    <w:name w:val="List alphabet 5"/>
    <w:rsid w:val="00CF799E"/>
    <w:pPr>
      <w:numPr>
        <w:numId w:val="20"/>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1"/>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4"/>
      </w:numPr>
      <w:tabs>
        <w:tab w:val="clear" w:pos="340"/>
        <w:tab w:val="left" w:pos="680"/>
      </w:tabs>
    </w:pPr>
  </w:style>
  <w:style w:type="paragraph" w:customStyle="1" w:styleId="ListLegal2">
    <w:name w:val="List Legal 2"/>
    <w:basedOn w:val="ListLegal"/>
    <w:rsid w:val="00C06739"/>
    <w:pPr>
      <w:numPr>
        <w:numId w:val="15"/>
      </w:numPr>
      <w:tabs>
        <w:tab w:val="clear" w:pos="680"/>
        <w:tab w:val="left" w:pos="1021"/>
      </w:tabs>
    </w:pPr>
  </w:style>
  <w:style w:type="paragraph" w:customStyle="1" w:styleId="ListLegal3">
    <w:name w:val="List Legal 3"/>
    <w:basedOn w:val="ListNumber3"/>
    <w:rsid w:val="00CF799E"/>
    <w:pPr>
      <w:numPr>
        <w:numId w:val="14"/>
      </w:numPr>
      <w:tabs>
        <w:tab w:val="clear" w:pos="1021"/>
        <w:tab w:val="left" w:pos="1361"/>
      </w:tabs>
    </w:pPr>
  </w:style>
  <w:style w:type="paragraph" w:customStyle="1" w:styleId="ListLegal4">
    <w:name w:val="List Legal 4"/>
    <w:basedOn w:val="ListLegal3"/>
    <w:rsid w:val="00CF799E"/>
    <w:pPr>
      <w:numPr>
        <w:numId w:val="16"/>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7"/>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customStyle="1" w:styleId="Bullet">
    <w:name w:val="Bullet"/>
    <w:aliases w:val="Body,Bullet + line,b,b + line,b1,level 1,bulleted,BodyNum,Bullet Char1,Bullet Char1 Char Char Char Char,b1 Char Char Char,Bullet Char1 Char Char Char Char Char,Bullet Char1 Char Char Char"/>
    <w:basedOn w:val="Normal"/>
    <w:link w:val="BulletChar"/>
    <w:qFormat/>
    <w:rsid w:val="005A5C8A"/>
    <w:pPr>
      <w:numPr>
        <w:numId w:val="28"/>
      </w:numPr>
      <w:spacing w:before="0" w:after="160" w:line="259" w:lineRule="auto"/>
    </w:pPr>
    <w:rPr>
      <w:rFonts w:asciiTheme="minorHAnsi" w:hAnsiTheme="minorHAnsi"/>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rsid w:val="005A5C8A"/>
  </w:style>
  <w:style w:type="paragraph" w:customStyle="1" w:styleId="Dash">
    <w:name w:val="Dash"/>
    <w:basedOn w:val="Normal"/>
    <w:qFormat/>
    <w:rsid w:val="005A5C8A"/>
    <w:pPr>
      <w:numPr>
        <w:ilvl w:val="1"/>
        <w:numId w:val="28"/>
      </w:numPr>
      <w:spacing w:before="0" w:after="160" w:line="259" w:lineRule="auto"/>
    </w:pPr>
    <w:rPr>
      <w:rFonts w:asciiTheme="minorHAnsi" w:hAnsiTheme="minorHAnsi"/>
    </w:rPr>
  </w:style>
  <w:style w:type="paragraph" w:customStyle="1" w:styleId="DoubleDot">
    <w:name w:val="Double Dot"/>
    <w:basedOn w:val="Normal"/>
    <w:qFormat/>
    <w:rsid w:val="005A5C8A"/>
    <w:pPr>
      <w:numPr>
        <w:ilvl w:val="2"/>
        <w:numId w:val="28"/>
      </w:numPr>
      <w:spacing w:before="0" w:after="160" w:line="259" w:lineRule="auto"/>
    </w:pPr>
    <w:rPr>
      <w:rFonts w:asciiTheme="minorHAnsi" w:hAnsiTheme="minorHAnsi"/>
    </w:rPr>
  </w:style>
  <w:style w:type="character" w:styleId="CommentReference">
    <w:name w:val="annotation reference"/>
    <w:basedOn w:val="DefaultParagraphFont"/>
    <w:uiPriority w:val="99"/>
    <w:semiHidden/>
    <w:unhideWhenUsed/>
    <w:rsid w:val="00704836"/>
    <w:rPr>
      <w:sz w:val="16"/>
      <w:szCs w:val="16"/>
    </w:rPr>
  </w:style>
  <w:style w:type="paragraph" w:styleId="CommentText">
    <w:name w:val="annotation text"/>
    <w:basedOn w:val="Normal"/>
    <w:link w:val="CommentTextChar"/>
    <w:uiPriority w:val="99"/>
    <w:unhideWhenUsed/>
    <w:rsid w:val="00704836"/>
    <w:pPr>
      <w:spacing w:line="240" w:lineRule="auto"/>
    </w:pPr>
    <w:rPr>
      <w:sz w:val="20"/>
      <w:szCs w:val="20"/>
    </w:rPr>
  </w:style>
  <w:style w:type="character" w:customStyle="1" w:styleId="CommentTextChar">
    <w:name w:val="Comment Text Char"/>
    <w:basedOn w:val="DefaultParagraphFont"/>
    <w:link w:val="CommentText"/>
    <w:uiPriority w:val="99"/>
    <w:rsid w:val="00704836"/>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704836"/>
    <w:rPr>
      <w:b/>
      <w:bCs/>
    </w:rPr>
  </w:style>
  <w:style w:type="character" w:customStyle="1" w:styleId="CommentSubjectChar">
    <w:name w:val="Comment Subject Char"/>
    <w:basedOn w:val="CommentTextChar"/>
    <w:link w:val="CommentSubject"/>
    <w:uiPriority w:val="99"/>
    <w:semiHidden/>
    <w:rsid w:val="00704836"/>
    <w:rPr>
      <w:rFonts w:ascii="Trebuchet MS" w:hAnsi="Trebuchet MS"/>
      <w:b/>
      <w:bCs/>
      <w:sz w:val="20"/>
      <w:szCs w:val="20"/>
    </w:rPr>
  </w:style>
  <w:style w:type="paragraph" w:styleId="NormalWeb">
    <w:name w:val="Normal (Web)"/>
    <w:basedOn w:val="Normal"/>
    <w:uiPriority w:val="99"/>
    <w:semiHidden/>
    <w:unhideWhenUsed/>
    <w:rsid w:val="00505DB5"/>
    <w:rPr>
      <w:rFonts w:ascii="Times New Roman" w:hAnsi="Times New Roman" w:cs="Times New Roman"/>
      <w:sz w:val="24"/>
      <w:szCs w:val="24"/>
    </w:rPr>
  </w:style>
  <w:style w:type="paragraph" w:customStyle="1" w:styleId="null">
    <w:name w:val="null"/>
    <w:basedOn w:val="Normal"/>
    <w:rsid w:val="006250BE"/>
    <w:pPr>
      <w:spacing w:before="100" w:beforeAutospacing="1" w:after="100" w:afterAutospacing="1" w:line="240" w:lineRule="auto"/>
    </w:pPr>
    <w:rPr>
      <w:rFonts w:ascii="Calibri" w:hAnsi="Calibri" w:cs="Calibri"/>
      <w:lang w:eastAsia="en-AU"/>
    </w:rPr>
  </w:style>
  <w:style w:type="paragraph" w:styleId="Revision">
    <w:name w:val="Revision"/>
    <w:hidden/>
    <w:uiPriority w:val="99"/>
    <w:semiHidden/>
    <w:rsid w:val="00923D70"/>
    <w:pPr>
      <w:spacing w:before="0"/>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656">
      <w:bodyDiv w:val="1"/>
      <w:marLeft w:val="0"/>
      <w:marRight w:val="0"/>
      <w:marTop w:val="0"/>
      <w:marBottom w:val="0"/>
      <w:divBdr>
        <w:top w:val="none" w:sz="0" w:space="0" w:color="auto"/>
        <w:left w:val="none" w:sz="0" w:space="0" w:color="auto"/>
        <w:bottom w:val="none" w:sz="0" w:space="0" w:color="auto"/>
        <w:right w:val="none" w:sz="0" w:space="0" w:color="auto"/>
      </w:divBdr>
    </w:div>
    <w:div w:id="91122731">
      <w:bodyDiv w:val="1"/>
      <w:marLeft w:val="0"/>
      <w:marRight w:val="0"/>
      <w:marTop w:val="0"/>
      <w:marBottom w:val="0"/>
      <w:divBdr>
        <w:top w:val="none" w:sz="0" w:space="0" w:color="auto"/>
        <w:left w:val="none" w:sz="0" w:space="0" w:color="auto"/>
        <w:bottom w:val="none" w:sz="0" w:space="0" w:color="auto"/>
        <w:right w:val="none" w:sz="0" w:space="0" w:color="auto"/>
      </w:divBdr>
      <w:divsChild>
        <w:div w:id="1833376705">
          <w:marLeft w:val="446"/>
          <w:marRight w:val="0"/>
          <w:marTop w:val="0"/>
          <w:marBottom w:val="0"/>
          <w:divBdr>
            <w:top w:val="none" w:sz="0" w:space="0" w:color="auto"/>
            <w:left w:val="none" w:sz="0" w:space="0" w:color="auto"/>
            <w:bottom w:val="none" w:sz="0" w:space="0" w:color="auto"/>
            <w:right w:val="none" w:sz="0" w:space="0" w:color="auto"/>
          </w:divBdr>
        </w:div>
        <w:div w:id="1706176656">
          <w:marLeft w:val="446"/>
          <w:marRight w:val="0"/>
          <w:marTop w:val="0"/>
          <w:marBottom w:val="0"/>
          <w:divBdr>
            <w:top w:val="none" w:sz="0" w:space="0" w:color="auto"/>
            <w:left w:val="none" w:sz="0" w:space="0" w:color="auto"/>
            <w:bottom w:val="none" w:sz="0" w:space="0" w:color="auto"/>
            <w:right w:val="none" w:sz="0" w:space="0" w:color="auto"/>
          </w:divBdr>
        </w:div>
        <w:div w:id="373849554">
          <w:marLeft w:val="446"/>
          <w:marRight w:val="0"/>
          <w:marTop w:val="0"/>
          <w:marBottom w:val="0"/>
          <w:divBdr>
            <w:top w:val="none" w:sz="0" w:space="0" w:color="auto"/>
            <w:left w:val="none" w:sz="0" w:space="0" w:color="auto"/>
            <w:bottom w:val="none" w:sz="0" w:space="0" w:color="auto"/>
            <w:right w:val="none" w:sz="0" w:space="0" w:color="auto"/>
          </w:divBdr>
        </w:div>
        <w:div w:id="1485078290">
          <w:marLeft w:val="446"/>
          <w:marRight w:val="0"/>
          <w:marTop w:val="0"/>
          <w:marBottom w:val="0"/>
          <w:divBdr>
            <w:top w:val="none" w:sz="0" w:space="0" w:color="auto"/>
            <w:left w:val="none" w:sz="0" w:space="0" w:color="auto"/>
            <w:bottom w:val="none" w:sz="0" w:space="0" w:color="auto"/>
            <w:right w:val="none" w:sz="0" w:space="0" w:color="auto"/>
          </w:divBdr>
        </w:div>
        <w:div w:id="1828204457">
          <w:marLeft w:val="446"/>
          <w:marRight w:val="0"/>
          <w:marTop w:val="0"/>
          <w:marBottom w:val="0"/>
          <w:divBdr>
            <w:top w:val="none" w:sz="0" w:space="0" w:color="auto"/>
            <w:left w:val="none" w:sz="0" w:space="0" w:color="auto"/>
            <w:bottom w:val="none" w:sz="0" w:space="0" w:color="auto"/>
            <w:right w:val="none" w:sz="0" w:space="0" w:color="auto"/>
          </w:divBdr>
        </w:div>
        <w:div w:id="1564370420">
          <w:marLeft w:val="446"/>
          <w:marRight w:val="0"/>
          <w:marTop w:val="0"/>
          <w:marBottom w:val="0"/>
          <w:divBdr>
            <w:top w:val="none" w:sz="0" w:space="0" w:color="auto"/>
            <w:left w:val="none" w:sz="0" w:space="0" w:color="auto"/>
            <w:bottom w:val="none" w:sz="0" w:space="0" w:color="auto"/>
            <w:right w:val="none" w:sz="0" w:space="0" w:color="auto"/>
          </w:divBdr>
        </w:div>
        <w:div w:id="1793085446">
          <w:marLeft w:val="446"/>
          <w:marRight w:val="0"/>
          <w:marTop w:val="0"/>
          <w:marBottom w:val="0"/>
          <w:divBdr>
            <w:top w:val="none" w:sz="0" w:space="0" w:color="auto"/>
            <w:left w:val="none" w:sz="0" w:space="0" w:color="auto"/>
            <w:bottom w:val="none" w:sz="0" w:space="0" w:color="auto"/>
            <w:right w:val="none" w:sz="0" w:space="0" w:color="auto"/>
          </w:divBdr>
        </w:div>
      </w:divsChild>
    </w:div>
    <w:div w:id="91172777">
      <w:bodyDiv w:val="1"/>
      <w:marLeft w:val="0"/>
      <w:marRight w:val="0"/>
      <w:marTop w:val="0"/>
      <w:marBottom w:val="0"/>
      <w:divBdr>
        <w:top w:val="none" w:sz="0" w:space="0" w:color="auto"/>
        <w:left w:val="none" w:sz="0" w:space="0" w:color="auto"/>
        <w:bottom w:val="none" w:sz="0" w:space="0" w:color="auto"/>
        <w:right w:val="none" w:sz="0" w:space="0" w:color="auto"/>
      </w:divBdr>
    </w:div>
    <w:div w:id="131944259">
      <w:bodyDiv w:val="1"/>
      <w:marLeft w:val="0"/>
      <w:marRight w:val="0"/>
      <w:marTop w:val="0"/>
      <w:marBottom w:val="0"/>
      <w:divBdr>
        <w:top w:val="none" w:sz="0" w:space="0" w:color="auto"/>
        <w:left w:val="none" w:sz="0" w:space="0" w:color="auto"/>
        <w:bottom w:val="none" w:sz="0" w:space="0" w:color="auto"/>
        <w:right w:val="none" w:sz="0" w:space="0" w:color="auto"/>
      </w:divBdr>
      <w:divsChild>
        <w:div w:id="441077251">
          <w:marLeft w:val="288"/>
          <w:marRight w:val="0"/>
          <w:marTop w:val="0"/>
          <w:marBottom w:val="120"/>
          <w:divBdr>
            <w:top w:val="none" w:sz="0" w:space="0" w:color="auto"/>
            <w:left w:val="none" w:sz="0" w:space="0" w:color="auto"/>
            <w:bottom w:val="none" w:sz="0" w:space="0" w:color="auto"/>
            <w:right w:val="none" w:sz="0" w:space="0" w:color="auto"/>
          </w:divBdr>
        </w:div>
        <w:div w:id="1739205188">
          <w:marLeft w:val="288"/>
          <w:marRight w:val="0"/>
          <w:marTop w:val="0"/>
          <w:marBottom w:val="120"/>
          <w:divBdr>
            <w:top w:val="none" w:sz="0" w:space="0" w:color="auto"/>
            <w:left w:val="none" w:sz="0" w:space="0" w:color="auto"/>
            <w:bottom w:val="none" w:sz="0" w:space="0" w:color="auto"/>
            <w:right w:val="none" w:sz="0" w:space="0" w:color="auto"/>
          </w:divBdr>
        </w:div>
      </w:divsChild>
    </w:div>
    <w:div w:id="251283856">
      <w:bodyDiv w:val="1"/>
      <w:marLeft w:val="0"/>
      <w:marRight w:val="0"/>
      <w:marTop w:val="0"/>
      <w:marBottom w:val="0"/>
      <w:divBdr>
        <w:top w:val="none" w:sz="0" w:space="0" w:color="auto"/>
        <w:left w:val="none" w:sz="0" w:space="0" w:color="auto"/>
        <w:bottom w:val="none" w:sz="0" w:space="0" w:color="auto"/>
        <w:right w:val="none" w:sz="0" w:space="0" w:color="auto"/>
      </w:divBdr>
    </w:div>
    <w:div w:id="309946904">
      <w:bodyDiv w:val="1"/>
      <w:marLeft w:val="0"/>
      <w:marRight w:val="0"/>
      <w:marTop w:val="0"/>
      <w:marBottom w:val="0"/>
      <w:divBdr>
        <w:top w:val="none" w:sz="0" w:space="0" w:color="auto"/>
        <w:left w:val="none" w:sz="0" w:space="0" w:color="auto"/>
        <w:bottom w:val="none" w:sz="0" w:space="0" w:color="auto"/>
        <w:right w:val="none" w:sz="0" w:space="0" w:color="auto"/>
      </w:divBdr>
      <w:divsChild>
        <w:div w:id="248739676">
          <w:marLeft w:val="274"/>
          <w:marRight w:val="0"/>
          <w:marTop w:val="0"/>
          <w:marBottom w:val="0"/>
          <w:divBdr>
            <w:top w:val="none" w:sz="0" w:space="0" w:color="auto"/>
            <w:left w:val="none" w:sz="0" w:space="0" w:color="auto"/>
            <w:bottom w:val="none" w:sz="0" w:space="0" w:color="auto"/>
            <w:right w:val="none" w:sz="0" w:space="0" w:color="auto"/>
          </w:divBdr>
        </w:div>
        <w:div w:id="1002273739">
          <w:marLeft w:val="274"/>
          <w:marRight w:val="0"/>
          <w:marTop w:val="0"/>
          <w:marBottom w:val="0"/>
          <w:divBdr>
            <w:top w:val="none" w:sz="0" w:space="0" w:color="auto"/>
            <w:left w:val="none" w:sz="0" w:space="0" w:color="auto"/>
            <w:bottom w:val="none" w:sz="0" w:space="0" w:color="auto"/>
            <w:right w:val="none" w:sz="0" w:space="0" w:color="auto"/>
          </w:divBdr>
        </w:div>
        <w:div w:id="360060293">
          <w:marLeft w:val="274"/>
          <w:marRight w:val="0"/>
          <w:marTop w:val="0"/>
          <w:marBottom w:val="0"/>
          <w:divBdr>
            <w:top w:val="none" w:sz="0" w:space="0" w:color="auto"/>
            <w:left w:val="none" w:sz="0" w:space="0" w:color="auto"/>
            <w:bottom w:val="none" w:sz="0" w:space="0" w:color="auto"/>
            <w:right w:val="none" w:sz="0" w:space="0" w:color="auto"/>
          </w:divBdr>
        </w:div>
        <w:div w:id="1260257603">
          <w:marLeft w:val="274"/>
          <w:marRight w:val="0"/>
          <w:marTop w:val="0"/>
          <w:marBottom w:val="0"/>
          <w:divBdr>
            <w:top w:val="none" w:sz="0" w:space="0" w:color="auto"/>
            <w:left w:val="none" w:sz="0" w:space="0" w:color="auto"/>
            <w:bottom w:val="none" w:sz="0" w:space="0" w:color="auto"/>
            <w:right w:val="none" w:sz="0" w:space="0" w:color="auto"/>
          </w:divBdr>
        </w:div>
        <w:div w:id="960652242">
          <w:marLeft w:val="274"/>
          <w:marRight w:val="0"/>
          <w:marTop w:val="0"/>
          <w:marBottom w:val="0"/>
          <w:divBdr>
            <w:top w:val="none" w:sz="0" w:space="0" w:color="auto"/>
            <w:left w:val="none" w:sz="0" w:space="0" w:color="auto"/>
            <w:bottom w:val="none" w:sz="0" w:space="0" w:color="auto"/>
            <w:right w:val="none" w:sz="0" w:space="0" w:color="auto"/>
          </w:divBdr>
        </w:div>
        <w:div w:id="926964466">
          <w:marLeft w:val="274"/>
          <w:marRight w:val="0"/>
          <w:marTop w:val="0"/>
          <w:marBottom w:val="0"/>
          <w:divBdr>
            <w:top w:val="none" w:sz="0" w:space="0" w:color="auto"/>
            <w:left w:val="none" w:sz="0" w:space="0" w:color="auto"/>
            <w:bottom w:val="none" w:sz="0" w:space="0" w:color="auto"/>
            <w:right w:val="none" w:sz="0" w:space="0" w:color="auto"/>
          </w:divBdr>
        </w:div>
      </w:divsChild>
    </w:div>
    <w:div w:id="374738151">
      <w:bodyDiv w:val="1"/>
      <w:marLeft w:val="0"/>
      <w:marRight w:val="0"/>
      <w:marTop w:val="0"/>
      <w:marBottom w:val="0"/>
      <w:divBdr>
        <w:top w:val="none" w:sz="0" w:space="0" w:color="auto"/>
        <w:left w:val="none" w:sz="0" w:space="0" w:color="auto"/>
        <w:bottom w:val="none" w:sz="0" w:space="0" w:color="auto"/>
        <w:right w:val="none" w:sz="0" w:space="0" w:color="auto"/>
      </w:divBdr>
      <w:divsChild>
        <w:div w:id="1674532697">
          <w:marLeft w:val="288"/>
          <w:marRight w:val="0"/>
          <w:marTop w:val="40"/>
          <w:marBottom w:val="40"/>
          <w:divBdr>
            <w:top w:val="none" w:sz="0" w:space="0" w:color="auto"/>
            <w:left w:val="none" w:sz="0" w:space="0" w:color="auto"/>
            <w:bottom w:val="none" w:sz="0" w:space="0" w:color="auto"/>
            <w:right w:val="none" w:sz="0" w:space="0" w:color="auto"/>
          </w:divBdr>
        </w:div>
      </w:divsChild>
    </w:div>
    <w:div w:id="433064271">
      <w:bodyDiv w:val="1"/>
      <w:marLeft w:val="0"/>
      <w:marRight w:val="0"/>
      <w:marTop w:val="0"/>
      <w:marBottom w:val="0"/>
      <w:divBdr>
        <w:top w:val="none" w:sz="0" w:space="0" w:color="auto"/>
        <w:left w:val="none" w:sz="0" w:space="0" w:color="auto"/>
        <w:bottom w:val="none" w:sz="0" w:space="0" w:color="auto"/>
        <w:right w:val="none" w:sz="0" w:space="0" w:color="auto"/>
      </w:divBdr>
      <w:divsChild>
        <w:div w:id="1327588377">
          <w:marLeft w:val="288"/>
          <w:marRight w:val="0"/>
          <w:marTop w:val="40"/>
          <w:marBottom w:val="40"/>
          <w:divBdr>
            <w:top w:val="none" w:sz="0" w:space="0" w:color="auto"/>
            <w:left w:val="none" w:sz="0" w:space="0" w:color="auto"/>
            <w:bottom w:val="none" w:sz="0" w:space="0" w:color="auto"/>
            <w:right w:val="none" w:sz="0" w:space="0" w:color="auto"/>
          </w:divBdr>
        </w:div>
        <w:div w:id="1316031354">
          <w:marLeft w:val="288"/>
          <w:marRight w:val="0"/>
          <w:marTop w:val="40"/>
          <w:marBottom w:val="40"/>
          <w:divBdr>
            <w:top w:val="none" w:sz="0" w:space="0" w:color="auto"/>
            <w:left w:val="none" w:sz="0" w:space="0" w:color="auto"/>
            <w:bottom w:val="none" w:sz="0" w:space="0" w:color="auto"/>
            <w:right w:val="none" w:sz="0" w:space="0" w:color="auto"/>
          </w:divBdr>
        </w:div>
        <w:div w:id="1919485883">
          <w:marLeft w:val="288"/>
          <w:marRight w:val="0"/>
          <w:marTop w:val="40"/>
          <w:marBottom w:val="40"/>
          <w:divBdr>
            <w:top w:val="none" w:sz="0" w:space="0" w:color="auto"/>
            <w:left w:val="none" w:sz="0" w:space="0" w:color="auto"/>
            <w:bottom w:val="none" w:sz="0" w:space="0" w:color="auto"/>
            <w:right w:val="none" w:sz="0" w:space="0" w:color="auto"/>
          </w:divBdr>
        </w:div>
        <w:div w:id="358354102">
          <w:marLeft w:val="288"/>
          <w:marRight w:val="0"/>
          <w:marTop w:val="40"/>
          <w:marBottom w:val="40"/>
          <w:divBdr>
            <w:top w:val="none" w:sz="0" w:space="0" w:color="auto"/>
            <w:left w:val="none" w:sz="0" w:space="0" w:color="auto"/>
            <w:bottom w:val="none" w:sz="0" w:space="0" w:color="auto"/>
            <w:right w:val="none" w:sz="0" w:space="0" w:color="auto"/>
          </w:divBdr>
        </w:div>
        <w:div w:id="70545888">
          <w:marLeft w:val="288"/>
          <w:marRight w:val="0"/>
          <w:marTop w:val="40"/>
          <w:marBottom w:val="40"/>
          <w:divBdr>
            <w:top w:val="none" w:sz="0" w:space="0" w:color="auto"/>
            <w:left w:val="none" w:sz="0" w:space="0" w:color="auto"/>
            <w:bottom w:val="none" w:sz="0" w:space="0" w:color="auto"/>
            <w:right w:val="none" w:sz="0" w:space="0" w:color="auto"/>
          </w:divBdr>
        </w:div>
        <w:div w:id="1787118136">
          <w:marLeft w:val="288"/>
          <w:marRight w:val="0"/>
          <w:marTop w:val="40"/>
          <w:marBottom w:val="40"/>
          <w:divBdr>
            <w:top w:val="none" w:sz="0" w:space="0" w:color="auto"/>
            <w:left w:val="none" w:sz="0" w:space="0" w:color="auto"/>
            <w:bottom w:val="none" w:sz="0" w:space="0" w:color="auto"/>
            <w:right w:val="none" w:sz="0" w:space="0" w:color="auto"/>
          </w:divBdr>
        </w:div>
        <w:div w:id="1655336685">
          <w:marLeft w:val="288"/>
          <w:marRight w:val="0"/>
          <w:marTop w:val="40"/>
          <w:marBottom w:val="40"/>
          <w:divBdr>
            <w:top w:val="none" w:sz="0" w:space="0" w:color="auto"/>
            <w:left w:val="none" w:sz="0" w:space="0" w:color="auto"/>
            <w:bottom w:val="none" w:sz="0" w:space="0" w:color="auto"/>
            <w:right w:val="none" w:sz="0" w:space="0" w:color="auto"/>
          </w:divBdr>
        </w:div>
        <w:div w:id="677658666">
          <w:marLeft w:val="288"/>
          <w:marRight w:val="0"/>
          <w:marTop w:val="40"/>
          <w:marBottom w:val="40"/>
          <w:divBdr>
            <w:top w:val="none" w:sz="0" w:space="0" w:color="auto"/>
            <w:left w:val="none" w:sz="0" w:space="0" w:color="auto"/>
            <w:bottom w:val="none" w:sz="0" w:space="0" w:color="auto"/>
            <w:right w:val="none" w:sz="0" w:space="0" w:color="auto"/>
          </w:divBdr>
        </w:div>
        <w:div w:id="1736708236">
          <w:marLeft w:val="288"/>
          <w:marRight w:val="0"/>
          <w:marTop w:val="40"/>
          <w:marBottom w:val="40"/>
          <w:divBdr>
            <w:top w:val="none" w:sz="0" w:space="0" w:color="auto"/>
            <w:left w:val="none" w:sz="0" w:space="0" w:color="auto"/>
            <w:bottom w:val="none" w:sz="0" w:space="0" w:color="auto"/>
            <w:right w:val="none" w:sz="0" w:space="0" w:color="auto"/>
          </w:divBdr>
        </w:div>
      </w:divsChild>
    </w:div>
    <w:div w:id="437800511">
      <w:bodyDiv w:val="1"/>
      <w:marLeft w:val="0"/>
      <w:marRight w:val="0"/>
      <w:marTop w:val="0"/>
      <w:marBottom w:val="0"/>
      <w:divBdr>
        <w:top w:val="none" w:sz="0" w:space="0" w:color="auto"/>
        <w:left w:val="none" w:sz="0" w:space="0" w:color="auto"/>
        <w:bottom w:val="none" w:sz="0" w:space="0" w:color="auto"/>
        <w:right w:val="none" w:sz="0" w:space="0" w:color="auto"/>
      </w:divBdr>
    </w:div>
    <w:div w:id="496967028">
      <w:bodyDiv w:val="1"/>
      <w:marLeft w:val="0"/>
      <w:marRight w:val="0"/>
      <w:marTop w:val="0"/>
      <w:marBottom w:val="0"/>
      <w:divBdr>
        <w:top w:val="none" w:sz="0" w:space="0" w:color="auto"/>
        <w:left w:val="none" w:sz="0" w:space="0" w:color="auto"/>
        <w:bottom w:val="none" w:sz="0" w:space="0" w:color="auto"/>
        <w:right w:val="none" w:sz="0" w:space="0" w:color="auto"/>
      </w:divBdr>
      <w:divsChild>
        <w:div w:id="265117441">
          <w:marLeft w:val="274"/>
          <w:marRight w:val="0"/>
          <w:marTop w:val="0"/>
          <w:marBottom w:val="0"/>
          <w:divBdr>
            <w:top w:val="none" w:sz="0" w:space="0" w:color="auto"/>
            <w:left w:val="none" w:sz="0" w:space="0" w:color="auto"/>
            <w:bottom w:val="none" w:sz="0" w:space="0" w:color="auto"/>
            <w:right w:val="none" w:sz="0" w:space="0" w:color="auto"/>
          </w:divBdr>
        </w:div>
        <w:div w:id="852034007">
          <w:marLeft w:val="274"/>
          <w:marRight w:val="0"/>
          <w:marTop w:val="0"/>
          <w:marBottom w:val="0"/>
          <w:divBdr>
            <w:top w:val="none" w:sz="0" w:space="0" w:color="auto"/>
            <w:left w:val="none" w:sz="0" w:space="0" w:color="auto"/>
            <w:bottom w:val="none" w:sz="0" w:space="0" w:color="auto"/>
            <w:right w:val="none" w:sz="0" w:space="0" w:color="auto"/>
          </w:divBdr>
        </w:div>
        <w:div w:id="425272969">
          <w:marLeft w:val="274"/>
          <w:marRight w:val="0"/>
          <w:marTop w:val="0"/>
          <w:marBottom w:val="0"/>
          <w:divBdr>
            <w:top w:val="none" w:sz="0" w:space="0" w:color="auto"/>
            <w:left w:val="none" w:sz="0" w:space="0" w:color="auto"/>
            <w:bottom w:val="none" w:sz="0" w:space="0" w:color="auto"/>
            <w:right w:val="none" w:sz="0" w:space="0" w:color="auto"/>
          </w:divBdr>
        </w:div>
        <w:div w:id="1715083639">
          <w:marLeft w:val="274"/>
          <w:marRight w:val="0"/>
          <w:marTop w:val="0"/>
          <w:marBottom w:val="0"/>
          <w:divBdr>
            <w:top w:val="none" w:sz="0" w:space="0" w:color="auto"/>
            <w:left w:val="none" w:sz="0" w:space="0" w:color="auto"/>
            <w:bottom w:val="none" w:sz="0" w:space="0" w:color="auto"/>
            <w:right w:val="none" w:sz="0" w:space="0" w:color="auto"/>
          </w:divBdr>
        </w:div>
        <w:div w:id="2085302037">
          <w:marLeft w:val="274"/>
          <w:marRight w:val="0"/>
          <w:marTop w:val="0"/>
          <w:marBottom w:val="0"/>
          <w:divBdr>
            <w:top w:val="none" w:sz="0" w:space="0" w:color="auto"/>
            <w:left w:val="none" w:sz="0" w:space="0" w:color="auto"/>
            <w:bottom w:val="none" w:sz="0" w:space="0" w:color="auto"/>
            <w:right w:val="none" w:sz="0" w:space="0" w:color="auto"/>
          </w:divBdr>
        </w:div>
        <w:div w:id="157427805">
          <w:marLeft w:val="274"/>
          <w:marRight w:val="0"/>
          <w:marTop w:val="0"/>
          <w:marBottom w:val="0"/>
          <w:divBdr>
            <w:top w:val="none" w:sz="0" w:space="0" w:color="auto"/>
            <w:left w:val="none" w:sz="0" w:space="0" w:color="auto"/>
            <w:bottom w:val="none" w:sz="0" w:space="0" w:color="auto"/>
            <w:right w:val="none" w:sz="0" w:space="0" w:color="auto"/>
          </w:divBdr>
        </w:div>
      </w:divsChild>
    </w:div>
    <w:div w:id="557714268">
      <w:bodyDiv w:val="1"/>
      <w:marLeft w:val="0"/>
      <w:marRight w:val="0"/>
      <w:marTop w:val="0"/>
      <w:marBottom w:val="0"/>
      <w:divBdr>
        <w:top w:val="none" w:sz="0" w:space="0" w:color="auto"/>
        <w:left w:val="none" w:sz="0" w:space="0" w:color="auto"/>
        <w:bottom w:val="none" w:sz="0" w:space="0" w:color="auto"/>
        <w:right w:val="none" w:sz="0" w:space="0" w:color="auto"/>
      </w:divBdr>
    </w:div>
    <w:div w:id="595361589">
      <w:bodyDiv w:val="1"/>
      <w:marLeft w:val="0"/>
      <w:marRight w:val="0"/>
      <w:marTop w:val="0"/>
      <w:marBottom w:val="0"/>
      <w:divBdr>
        <w:top w:val="none" w:sz="0" w:space="0" w:color="auto"/>
        <w:left w:val="none" w:sz="0" w:space="0" w:color="auto"/>
        <w:bottom w:val="none" w:sz="0" w:space="0" w:color="auto"/>
        <w:right w:val="none" w:sz="0" w:space="0" w:color="auto"/>
      </w:divBdr>
    </w:div>
    <w:div w:id="638412906">
      <w:bodyDiv w:val="1"/>
      <w:marLeft w:val="0"/>
      <w:marRight w:val="0"/>
      <w:marTop w:val="0"/>
      <w:marBottom w:val="0"/>
      <w:divBdr>
        <w:top w:val="none" w:sz="0" w:space="0" w:color="auto"/>
        <w:left w:val="none" w:sz="0" w:space="0" w:color="auto"/>
        <w:bottom w:val="none" w:sz="0" w:space="0" w:color="auto"/>
        <w:right w:val="none" w:sz="0" w:space="0" w:color="auto"/>
      </w:divBdr>
    </w:div>
    <w:div w:id="772936295">
      <w:bodyDiv w:val="1"/>
      <w:marLeft w:val="0"/>
      <w:marRight w:val="0"/>
      <w:marTop w:val="0"/>
      <w:marBottom w:val="0"/>
      <w:divBdr>
        <w:top w:val="none" w:sz="0" w:space="0" w:color="auto"/>
        <w:left w:val="none" w:sz="0" w:space="0" w:color="auto"/>
        <w:bottom w:val="none" w:sz="0" w:space="0" w:color="auto"/>
        <w:right w:val="none" w:sz="0" w:space="0" w:color="auto"/>
      </w:divBdr>
      <w:divsChild>
        <w:div w:id="1176115688">
          <w:marLeft w:val="288"/>
          <w:marRight w:val="0"/>
          <w:marTop w:val="40"/>
          <w:marBottom w:val="40"/>
          <w:divBdr>
            <w:top w:val="none" w:sz="0" w:space="0" w:color="auto"/>
            <w:left w:val="none" w:sz="0" w:space="0" w:color="auto"/>
            <w:bottom w:val="none" w:sz="0" w:space="0" w:color="auto"/>
            <w:right w:val="none" w:sz="0" w:space="0" w:color="auto"/>
          </w:divBdr>
        </w:div>
        <w:div w:id="1424229018">
          <w:marLeft w:val="288"/>
          <w:marRight w:val="0"/>
          <w:marTop w:val="40"/>
          <w:marBottom w:val="40"/>
          <w:divBdr>
            <w:top w:val="none" w:sz="0" w:space="0" w:color="auto"/>
            <w:left w:val="none" w:sz="0" w:space="0" w:color="auto"/>
            <w:bottom w:val="none" w:sz="0" w:space="0" w:color="auto"/>
            <w:right w:val="none" w:sz="0" w:space="0" w:color="auto"/>
          </w:divBdr>
        </w:div>
        <w:div w:id="1774090088">
          <w:marLeft w:val="288"/>
          <w:marRight w:val="0"/>
          <w:marTop w:val="40"/>
          <w:marBottom w:val="40"/>
          <w:divBdr>
            <w:top w:val="none" w:sz="0" w:space="0" w:color="auto"/>
            <w:left w:val="none" w:sz="0" w:space="0" w:color="auto"/>
            <w:bottom w:val="none" w:sz="0" w:space="0" w:color="auto"/>
            <w:right w:val="none" w:sz="0" w:space="0" w:color="auto"/>
          </w:divBdr>
        </w:div>
        <w:div w:id="1969431501">
          <w:marLeft w:val="288"/>
          <w:marRight w:val="0"/>
          <w:marTop w:val="40"/>
          <w:marBottom w:val="40"/>
          <w:divBdr>
            <w:top w:val="none" w:sz="0" w:space="0" w:color="auto"/>
            <w:left w:val="none" w:sz="0" w:space="0" w:color="auto"/>
            <w:bottom w:val="none" w:sz="0" w:space="0" w:color="auto"/>
            <w:right w:val="none" w:sz="0" w:space="0" w:color="auto"/>
          </w:divBdr>
        </w:div>
        <w:div w:id="1164784020">
          <w:marLeft w:val="288"/>
          <w:marRight w:val="0"/>
          <w:marTop w:val="40"/>
          <w:marBottom w:val="40"/>
          <w:divBdr>
            <w:top w:val="none" w:sz="0" w:space="0" w:color="auto"/>
            <w:left w:val="none" w:sz="0" w:space="0" w:color="auto"/>
            <w:bottom w:val="none" w:sz="0" w:space="0" w:color="auto"/>
            <w:right w:val="none" w:sz="0" w:space="0" w:color="auto"/>
          </w:divBdr>
        </w:div>
        <w:div w:id="836072984">
          <w:marLeft w:val="288"/>
          <w:marRight w:val="0"/>
          <w:marTop w:val="40"/>
          <w:marBottom w:val="40"/>
          <w:divBdr>
            <w:top w:val="none" w:sz="0" w:space="0" w:color="auto"/>
            <w:left w:val="none" w:sz="0" w:space="0" w:color="auto"/>
            <w:bottom w:val="none" w:sz="0" w:space="0" w:color="auto"/>
            <w:right w:val="none" w:sz="0" w:space="0" w:color="auto"/>
          </w:divBdr>
        </w:div>
        <w:div w:id="1696809145">
          <w:marLeft w:val="288"/>
          <w:marRight w:val="0"/>
          <w:marTop w:val="40"/>
          <w:marBottom w:val="40"/>
          <w:divBdr>
            <w:top w:val="none" w:sz="0" w:space="0" w:color="auto"/>
            <w:left w:val="none" w:sz="0" w:space="0" w:color="auto"/>
            <w:bottom w:val="none" w:sz="0" w:space="0" w:color="auto"/>
            <w:right w:val="none" w:sz="0" w:space="0" w:color="auto"/>
          </w:divBdr>
        </w:div>
        <w:div w:id="658733745">
          <w:marLeft w:val="288"/>
          <w:marRight w:val="0"/>
          <w:marTop w:val="40"/>
          <w:marBottom w:val="40"/>
          <w:divBdr>
            <w:top w:val="none" w:sz="0" w:space="0" w:color="auto"/>
            <w:left w:val="none" w:sz="0" w:space="0" w:color="auto"/>
            <w:bottom w:val="none" w:sz="0" w:space="0" w:color="auto"/>
            <w:right w:val="none" w:sz="0" w:space="0" w:color="auto"/>
          </w:divBdr>
        </w:div>
        <w:div w:id="1137256548">
          <w:marLeft w:val="288"/>
          <w:marRight w:val="0"/>
          <w:marTop w:val="40"/>
          <w:marBottom w:val="40"/>
          <w:divBdr>
            <w:top w:val="none" w:sz="0" w:space="0" w:color="auto"/>
            <w:left w:val="none" w:sz="0" w:space="0" w:color="auto"/>
            <w:bottom w:val="none" w:sz="0" w:space="0" w:color="auto"/>
            <w:right w:val="none" w:sz="0" w:space="0" w:color="auto"/>
          </w:divBdr>
        </w:div>
      </w:divsChild>
    </w:div>
    <w:div w:id="914629899">
      <w:bodyDiv w:val="1"/>
      <w:marLeft w:val="0"/>
      <w:marRight w:val="0"/>
      <w:marTop w:val="0"/>
      <w:marBottom w:val="0"/>
      <w:divBdr>
        <w:top w:val="none" w:sz="0" w:space="0" w:color="auto"/>
        <w:left w:val="none" w:sz="0" w:space="0" w:color="auto"/>
        <w:bottom w:val="none" w:sz="0" w:space="0" w:color="auto"/>
        <w:right w:val="none" w:sz="0" w:space="0" w:color="auto"/>
      </w:divBdr>
    </w:div>
    <w:div w:id="930239462">
      <w:bodyDiv w:val="1"/>
      <w:marLeft w:val="0"/>
      <w:marRight w:val="0"/>
      <w:marTop w:val="0"/>
      <w:marBottom w:val="0"/>
      <w:divBdr>
        <w:top w:val="none" w:sz="0" w:space="0" w:color="auto"/>
        <w:left w:val="none" w:sz="0" w:space="0" w:color="auto"/>
        <w:bottom w:val="none" w:sz="0" w:space="0" w:color="auto"/>
        <w:right w:val="none" w:sz="0" w:space="0" w:color="auto"/>
      </w:divBdr>
      <w:divsChild>
        <w:div w:id="581835113">
          <w:marLeft w:val="288"/>
          <w:marRight w:val="0"/>
          <w:marTop w:val="40"/>
          <w:marBottom w:val="40"/>
          <w:divBdr>
            <w:top w:val="none" w:sz="0" w:space="0" w:color="auto"/>
            <w:left w:val="none" w:sz="0" w:space="0" w:color="auto"/>
            <w:bottom w:val="none" w:sz="0" w:space="0" w:color="auto"/>
            <w:right w:val="none" w:sz="0" w:space="0" w:color="auto"/>
          </w:divBdr>
        </w:div>
        <w:div w:id="1969437158">
          <w:marLeft w:val="288"/>
          <w:marRight w:val="0"/>
          <w:marTop w:val="40"/>
          <w:marBottom w:val="40"/>
          <w:divBdr>
            <w:top w:val="none" w:sz="0" w:space="0" w:color="auto"/>
            <w:left w:val="none" w:sz="0" w:space="0" w:color="auto"/>
            <w:bottom w:val="none" w:sz="0" w:space="0" w:color="auto"/>
            <w:right w:val="none" w:sz="0" w:space="0" w:color="auto"/>
          </w:divBdr>
        </w:div>
        <w:div w:id="952128269">
          <w:marLeft w:val="288"/>
          <w:marRight w:val="0"/>
          <w:marTop w:val="40"/>
          <w:marBottom w:val="40"/>
          <w:divBdr>
            <w:top w:val="none" w:sz="0" w:space="0" w:color="auto"/>
            <w:left w:val="none" w:sz="0" w:space="0" w:color="auto"/>
            <w:bottom w:val="none" w:sz="0" w:space="0" w:color="auto"/>
            <w:right w:val="none" w:sz="0" w:space="0" w:color="auto"/>
          </w:divBdr>
        </w:div>
      </w:divsChild>
    </w:div>
    <w:div w:id="104001252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5956290">
      <w:bodyDiv w:val="1"/>
      <w:marLeft w:val="0"/>
      <w:marRight w:val="0"/>
      <w:marTop w:val="0"/>
      <w:marBottom w:val="0"/>
      <w:divBdr>
        <w:top w:val="none" w:sz="0" w:space="0" w:color="auto"/>
        <w:left w:val="none" w:sz="0" w:space="0" w:color="auto"/>
        <w:bottom w:val="none" w:sz="0" w:space="0" w:color="auto"/>
        <w:right w:val="none" w:sz="0" w:space="0" w:color="auto"/>
      </w:divBdr>
      <w:divsChild>
        <w:div w:id="1619215509">
          <w:marLeft w:val="288"/>
          <w:marRight w:val="0"/>
          <w:marTop w:val="40"/>
          <w:marBottom w:val="40"/>
          <w:divBdr>
            <w:top w:val="none" w:sz="0" w:space="0" w:color="auto"/>
            <w:left w:val="none" w:sz="0" w:space="0" w:color="auto"/>
            <w:bottom w:val="none" w:sz="0" w:space="0" w:color="auto"/>
            <w:right w:val="none" w:sz="0" w:space="0" w:color="auto"/>
          </w:divBdr>
        </w:div>
        <w:div w:id="1413237777">
          <w:marLeft w:val="288"/>
          <w:marRight w:val="0"/>
          <w:marTop w:val="40"/>
          <w:marBottom w:val="40"/>
          <w:divBdr>
            <w:top w:val="none" w:sz="0" w:space="0" w:color="auto"/>
            <w:left w:val="none" w:sz="0" w:space="0" w:color="auto"/>
            <w:bottom w:val="none" w:sz="0" w:space="0" w:color="auto"/>
            <w:right w:val="none" w:sz="0" w:space="0" w:color="auto"/>
          </w:divBdr>
        </w:div>
      </w:divsChild>
    </w:div>
    <w:div w:id="1191646918">
      <w:bodyDiv w:val="1"/>
      <w:marLeft w:val="0"/>
      <w:marRight w:val="0"/>
      <w:marTop w:val="0"/>
      <w:marBottom w:val="0"/>
      <w:divBdr>
        <w:top w:val="none" w:sz="0" w:space="0" w:color="auto"/>
        <w:left w:val="none" w:sz="0" w:space="0" w:color="auto"/>
        <w:bottom w:val="none" w:sz="0" w:space="0" w:color="auto"/>
        <w:right w:val="none" w:sz="0" w:space="0" w:color="auto"/>
      </w:divBdr>
    </w:div>
    <w:div w:id="1237132651">
      <w:bodyDiv w:val="1"/>
      <w:marLeft w:val="0"/>
      <w:marRight w:val="0"/>
      <w:marTop w:val="0"/>
      <w:marBottom w:val="0"/>
      <w:divBdr>
        <w:top w:val="none" w:sz="0" w:space="0" w:color="auto"/>
        <w:left w:val="none" w:sz="0" w:space="0" w:color="auto"/>
        <w:bottom w:val="none" w:sz="0" w:space="0" w:color="auto"/>
        <w:right w:val="none" w:sz="0" w:space="0" w:color="auto"/>
      </w:divBdr>
      <w:divsChild>
        <w:div w:id="1998261262">
          <w:marLeft w:val="288"/>
          <w:marRight w:val="0"/>
          <w:marTop w:val="40"/>
          <w:marBottom w:val="40"/>
          <w:divBdr>
            <w:top w:val="none" w:sz="0" w:space="0" w:color="auto"/>
            <w:left w:val="none" w:sz="0" w:space="0" w:color="auto"/>
            <w:bottom w:val="none" w:sz="0" w:space="0" w:color="auto"/>
            <w:right w:val="none" w:sz="0" w:space="0" w:color="auto"/>
          </w:divBdr>
        </w:div>
        <w:div w:id="1891191268">
          <w:marLeft w:val="288"/>
          <w:marRight w:val="0"/>
          <w:marTop w:val="40"/>
          <w:marBottom w:val="40"/>
          <w:divBdr>
            <w:top w:val="none" w:sz="0" w:space="0" w:color="auto"/>
            <w:left w:val="none" w:sz="0" w:space="0" w:color="auto"/>
            <w:bottom w:val="none" w:sz="0" w:space="0" w:color="auto"/>
            <w:right w:val="none" w:sz="0" w:space="0" w:color="auto"/>
          </w:divBdr>
        </w:div>
      </w:divsChild>
    </w:div>
    <w:div w:id="1499614419">
      <w:bodyDiv w:val="1"/>
      <w:marLeft w:val="0"/>
      <w:marRight w:val="0"/>
      <w:marTop w:val="0"/>
      <w:marBottom w:val="0"/>
      <w:divBdr>
        <w:top w:val="none" w:sz="0" w:space="0" w:color="auto"/>
        <w:left w:val="none" w:sz="0" w:space="0" w:color="auto"/>
        <w:bottom w:val="none" w:sz="0" w:space="0" w:color="auto"/>
        <w:right w:val="none" w:sz="0" w:space="0" w:color="auto"/>
      </w:divBdr>
    </w:div>
    <w:div w:id="1502163981">
      <w:bodyDiv w:val="1"/>
      <w:marLeft w:val="0"/>
      <w:marRight w:val="0"/>
      <w:marTop w:val="0"/>
      <w:marBottom w:val="0"/>
      <w:divBdr>
        <w:top w:val="none" w:sz="0" w:space="0" w:color="auto"/>
        <w:left w:val="none" w:sz="0" w:space="0" w:color="auto"/>
        <w:bottom w:val="none" w:sz="0" w:space="0" w:color="auto"/>
        <w:right w:val="none" w:sz="0" w:space="0" w:color="auto"/>
      </w:divBdr>
    </w:div>
    <w:div w:id="1531723808">
      <w:bodyDiv w:val="1"/>
      <w:marLeft w:val="0"/>
      <w:marRight w:val="0"/>
      <w:marTop w:val="0"/>
      <w:marBottom w:val="0"/>
      <w:divBdr>
        <w:top w:val="none" w:sz="0" w:space="0" w:color="auto"/>
        <w:left w:val="none" w:sz="0" w:space="0" w:color="auto"/>
        <w:bottom w:val="none" w:sz="0" w:space="0" w:color="auto"/>
        <w:right w:val="none" w:sz="0" w:space="0" w:color="auto"/>
      </w:divBdr>
      <w:divsChild>
        <w:div w:id="1938828700">
          <w:marLeft w:val="288"/>
          <w:marRight w:val="0"/>
          <w:marTop w:val="40"/>
          <w:marBottom w:val="40"/>
          <w:divBdr>
            <w:top w:val="none" w:sz="0" w:space="0" w:color="auto"/>
            <w:left w:val="none" w:sz="0" w:space="0" w:color="auto"/>
            <w:bottom w:val="none" w:sz="0" w:space="0" w:color="auto"/>
            <w:right w:val="none" w:sz="0" w:space="0" w:color="auto"/>
          </w:divBdr>
        </w:div>
      </w:divsChild>
    </w:div>
    <w:div w:id="1553351299">
      <w:bodyDiv w:val="1"/>
      <w:marLeft w:val="0"/>
      <w:marRight w:val="0"/>
      <w:marTop w:val="0"/>
      <w:marBottom w:val="0"/>
      <w:divBdr>
        <w:top w:val="none" w:sz="0" w:space="0" w:color="auto"/>
        <w:left w:val="none" w:sz="0" w:space="0" w:color="auto"/>
        <w:bottom w:val="none" w:sz="0" w:space="0" w:color="auto"/>
        <w:right w:val="none" w:sz="0" w:space="0" w:color="auto"/>
      </w:divBdr>
    </w:div>
    <w:div w:id="1561407431">
      <w:bodyDiv w:val="1"/>
      <w:marLeft w:val="0"/>
      <w:marRight w:val="0"/>
      <w:marTop w:val="0"/>
      <w:marBottom w:val="0"/>
      <w:divBdr>
        <w:top w:val="none" w:sz="0" w:space="0" w:color="auto"/>
        <w:left w:val="none" w:sz="0" w:space="0" w:color="auto"/>
        <w:bottom w:val="none" w:sz="0" w:space="0" w:color="auto"/>
        <w:right w:val="none" w:sz="0" w:space="0" w:color="auto"/>
      </w:divBdr>
    </w:div>
    <w:div w:id="1813987802">
      <w:bodyDiv w:val="1"/>
      <w:marLeft w:val="0"/>
      <w:marRight w:val="0"/>
      <w:marTop w:val="0"/>
      <w:marBottom w:val="0"/>
      <w:divBdr>
        <w:top w:val="none" w:sz="0" w:space="0" w:color="auto"/>
        <w:left w:val="none" w:sz="0" w:space="0" w:color="auto"/>
        <w:bottom w:val="none" w:sz="0" w:space="0" w:color="auto"/>
        <w:right w:val="none" w:sz="0" w:space="0" w:color="auto"/>
      </w:divBdr>
    </w:div>
    <w:div w:id="2014993665">
      <w:bodyDiv w:val="1"/>
      <w:marLeft w:val="0"/>
      <w:marRight w:val="0"/>
      <w:marTop w:val="0"/>
      <w:marBottom w:val="0"/>
      <w:divBdr>
        <w:top w:val="none" w:sz="0" w:space="0" w:color="auto"/>
        <w:left w:val="none" w:sz="0" w:space="0" w:color="auto"/>
        <w:bottom w:val="none" w:sz="0" w:space="0" w:color="auto"/>
        <w:right w:val="none" w:sz="0" w:space="0" w:color="auto"/>
      </w:divBdr>
    </w:div>
    <w:div w:id="2016610048">
      <w:bodyDiv w:val="1"/>
      <w:marLeft w:val="0"/>
      <w:marRight w:val="0"/>
      <w:marTop w:val="0"/>
      <w:marBottom w:val="0"/>
      <w:divBdr>
        <w:top w:val="none" w:sz="0" w:space="0" w:color="auto"/>
        <w:left w:val="none" w:sz="0" w:space="0" w:color="auto"/>
        <w:bottom w:val="none" w:sz="0" w:space="0" w:color="auto"/>
        <w:right w:val="none" w:sz="0" w:space="0" w:color="auto"/>
      </w:divBdr>
    </w:div>
    <w:div w:id="2022049584">
      <w:bodyDiv w:val="1"/>
      <w:marLeft w:val="0"/>
      <w:marRight w:val="0"/>
      <w:marTop w:val="0"/>
      <w:marBottom w:val="0"/>
      <w:divBdr>
        <w:top w:val="none" w:sz="0" w:space="0" w:color="auto"/>
        <w:left w:val="none" w:sz="0" w:space="0" w:color="auto"/>
        <w:bottom w:val="none" w:sz="0" w:space="0" w:color="auto"/>
        <w:right w:val="none" w:sz="0" w:space="0" w:color="auto"/>
      </w:divBdr>
    </w:div>
    <w:div w:id="2027705940">
      <w:bodyDiv w:val="1"/>
      <w:marLeft w:val="0"/>
      <w:marRight w:val="0"/>
      <w:marTop w:val="0"/>
      <w:marBottom w:val="0"/>
      <w:divBdr>
        <w:top w:val="none" w:sz="0" w:space="0" w:color="auto"/>
        <w:left w:val="none" w:sz="0" w:space="0" w:color="auto"/>
        <w:bottom w:val="none" w:sz="0" w:space="0" w:color="auto"/>
        <w:right w:val="none" w:sz="0" w:space="0" w:color="auto"/>
      </w:divBdr>
      <w:divsChild>
        <w:div w:id="110823446">
          <w:marLeft w:val="274"/>
          <w:marRight w:val="0"/>
          <w:marTop w:val="0"/>
          <w:marBottom w:val="0"/>
          <w:divBdr>
            <w:top w:val="none" w:sz="0" w:space="0" w:color="auto"/>
            <w:left w:val="none" w:sz="0" w:space="0" w:color="auto"/>
            <w:bottom w:val="none" w:sz="0" w:space="0" w:color="auto"/>
            <w:right w:val="none" w:sz="0" w:space="0" w:color="auto"/>
          </w:divBdr>
        </w:div>
        <w:div w:id="788624908">
          <w:marLeft w:val="274"/>
          <w:marRight w:val="0"/>
          <w:marTop w:val="0"/>
          <w:marBottom w:val="0"/>
          <w:divBdr>
            <w:top w:val="none" w:sz="0" w:space="0" w:color="auto"/>
            <w:left w:val="none" w:sz="0" w:space="0" w:color="auto"/>
            <w:bottom w:val="none" w:sz="0" w:space="0" w:color="auto"/>
            <w:right w:val="none" w:sz="0" w:space="0" w:color="auto"/>
          </w:divBdr>
        </w:div>
        <w:div w:id="1728526494">
          <w:marLeft w:val="274"/>
          <w:marRight w:val="0"/>
          <w:marTop w:val="0"/>
          <w:marBottom w:val="0"/>
          <w:divBdr>
            <w:top w:val="none" w:sz="0" w:space="0" w:color="auto"/>
            <w:left w:val="none" w:sz="0" w:space="0" w:color="auto"/>
            <w:bottom w:val="none" w:sz="0" w:space="0" w:color="auto"/>
            <w:right w:val="none" w:sz="0" w:space="0" w:color="auto"/>
          </w:divBdr>
        </w:div>
        <w:div w:id="138688685">
          <w:marLeft w:val="274"/>
          <w:marRight w:val="0"/>
          <w:marTop w:val="0"/>
          <w:marBottom w:val="0"/>
          <w:divBdr>
            <w:top w:val="none" w:sz="0" w:space="0" w:color="auto"/>
            <w:left w:val="none" w:sz="0" w:space="0" w:color="auto"/>
            <w:bottom w:val="none" w:sz="0" w:space="0" w:color="auto"/>
            <w:right w:val="none" w:sz="0" w:space="0" w:color="auto"/>
          </w:divBdr>
        </w:div>
        <w:div w:id="1538615327">
          <w:marLeft w:val="274"/>
          <w:marRight w:val="0"/>
          <w:marTop w:val="0"/>
          <w:marBottom w:val="0"/>
          <w:divBdr>
            <w:top w:val="none" w:sz="0" w:space="0" w:color="auto"/>
            <w:left w:val="none" w:sz="0" w:space="0" w:color="auto"/>
            <w:bottom w:val="none" w:sz="0" w:space="0" w:color="auto"/>
            <w:right w:val="none" w:sz="0" w:space="0" w:color="auto"/>
          </w:divBdr>
        </w:div>
        <w:div w:id="173311324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Theme1">
  <a:themeElements>
    <a:clrScheme name="CDR">
      <a:dk1>
        <a:sysClr val="windowText" lastClr="000000"/>
      </a:dk1>
      <a:lt1>
        <a:sysClr val="window" lastClr="FFFFFF"/>
      </a:lt1>
      <a:dk2>
        <a:srgbClr val="003591"/>
      </a:dk2>
      <a:lt2>
        <a:srgbClr val="D5D6D2"/>
      </a:lt2>
      <a:accent1>
        <a:srgbClr val="002760"/>
      </a:accent1>
      <a:accent2>
        <a:srgbClr val="0D45D6"/>
      </a:accent2>
      <a:accent3>
        <a:srgbClr val="1FC296"/>
      </a:accent3>
      <a:accent4>
        <a:srgbClr val="7F7F7F"/>
      </a:accent4>
      <a:accent5>
        <a:srgbClr val="FFC502"/>
      </a:accent5>
      <a:accent6>
        <a:srgbClr val="FF7600"/>
      </a:accent6>
      <a:hlink>
        <a:srgbClr val="0000FF"/>
      </a:hlink>
      <a:folHlink>
        <a:srgbClr val="800080"/>
      </a:folHlink>
    </a:clrScheme>
    <a:fontScheme name="Custom 2">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2022MG-133-76908</_dlc_DocId>
    <_dlc_DocIdUrl xmlns="0f563589-9cf9-4143-b1eb-fb0534803d38">
      <Url>http://tweb/sites/mg/sbccpd/_layouts/15/DocIdRedir.aspx?ID=2022MG-133-76908</Url>
      <Description>2022MG-133-76908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3907" ma:contentTypeDescription="" ma:contentTypeScope="" ma:versionID="fcc36a4ca9d5c652dd2eb33181509c07">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8186ca62135d0617e18e5c71277486f5"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20"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CBDA7C-131A-41CF-9F1B-50FBE3AA1F1B}">
  <ds:schemaRefs>
    <ds:schemaRef ds:uri="office.server.policy"/>
  </ds:schemaRefs>
</ds:datastoreItem>
</file>

<file path=customXml/itemProps3.xml><?xml version="1.0" encoding="utf-8"?>
<ds:datastoreItem xmlns:ds="http://schemas.openxmlformats.org/officeDocument/2006/customXml" ds:itemID="{D13B7A63-4E16-4CA3-873C-5DB972578D3D}">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d4dd4adf-ddb3-46a3-8d7c-fab3fb2a6bc7"/>
    <ds:schemaRef ds:uri="http://www.w3.org/XML/1998/namespace"/>
    <ds:schemaRef ds:uri="http://purl.org/dc/dcmitype/"/>
  </ds:schemaRefs>
</ds:datastoreItem>
</file>

<file path=customXml/itemProps4.xml><?xml version="1.0" encoding="utf-8"?>
<ds:datastoreItem xmlns:ds="http://schemas.openxmlformats.org/officeDocument/2006/customXml" ds:itemID="{13A21260-D716-4CFE-8602-F6718A27E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59A8BD-63D4-4694-B3E2-D81F2CB701FD}">
  <ds:schemaRefs>
    <ds:schemaRef ds:uri="http://schemas.microsoft.com/sharepoint/v3/contenttype/forms"/>
  </ds:schemaRefs>
</ds:datastoreItem>
</file>

<file path=customXml/itemProps6.xml><?xml version="1.0" encoding="utf-8"?>
<ds:datastoreItem xmlns:ds="http://schemas.openxmlformats.org/officeDocument/2006/customXml" ds:itemID="{E01D0FB3-86AB-412A-BEE8-735F6DB2FEDD}">
  <ds:schemaRefs>
    <ds:schemaRef ds:uri="http://schemas.microsoft.com/sharepoint/events"/>
  </ds:schemaRefs>
</ds:datastoreItem>
</file>

<file path=customXml/itemProps7.xml><?xml version="1.0" encoding="utf-8"?>
<ds:datastoreItem xmlns:ds="http://schemas.openxmlformats.org/officeDocument/2006/customXml" ds:itemID="{51632588-951F-4C83-B1FB-C9EF85B0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CDR Stategic Assessment: Outcomes</vt:lpstr>
    </vt:vector>
  </TitlesOfParts>
  <Company>Australian Government</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CDR Stategic Assessment: Outcomes</dc:title>
  <dc:subject/>
  <dc:creator>Australian Government</dc:creator>
  <cp:lastModifiedBy>Thomas, Deborah</cp:lastModifiedBy>
  <cp:revision>4</cp:revision>
  <dcterms:created xsi:type="dcterms:W3CDTF">2022-01-23T01:36:00Z</dcterms:created>
  <dcterms:modified xsi:type="dcterms:W3CDTF">2022-01-23T01:47:00Z</dcterms:modified>
</cp:coreProperties>
</file>