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17BDC" w14:textId="18916BC7" w:rsidR="00602BF1" w:rsidRDefault="00A2149F">
      <w:pPr>
        <w:spacing w:after="160"/>
        <w:rPr>
          <w:rFonts w:asciiTheme="majorHAnsi" w:eastAsiaTheme="majorEastAsia" w:hAnsiTheme="majorHAnsi" w:cstheme="majorBidi"/>
          <w:spacing w:val="-10"/>
          <w:kern w:val="28"/>
          <w:sz w:val="40"/>
          <w:szCs w:val="40"/>
        </w:rPr>
      </w:pPr>
      <w:r>
        <w:rPr>
          <w:noProof/>
          <w:lang w:eastAsia="en-AU"/>
        </w:rPr>
        <w:drawing>
          <wp:anchor distT="0" distB="0" distL="114300" distR="114300" simplePos="0" relativeHeight="251658241" behindDoc="1" locked="0" layoutInCell="1" allowOverlap="1" wp14:anchorId="68D4427A" wp14:editId="6BC4574D">
            <wp:simplePos x="914400" y="914400"/>
            <wp:positionH relativeFrom="page">
              <wp:align>center</wp:align>
            </wp:positionH>
            <wp:positionV relativeFrom="page">
              <wp:align>center</wp:align>
            </wp:positionV>
            <wp:extent cx="7560000" cy="10692000"/>
            <wp:effectExtent l="0" t="0" r="3175"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3"/>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602BF1">
        <w:rPr>
          <w:noProof/>
          <w:lang w:eastAsia="en-AU"/>
        </w:rPr>
        <mc:AlternateContent>
          <mc:Choice Requires="wps">
            <w:drawing>
              <wp:anchor distT="0" distB="0" distL="114300" distR="114300" simplePos="0" relativeHeight="251658240" behindDoc="0" locked="0" layoutInCell="1" allowOverlap="1" wp14:anchorId="015C985B" wp14:editId="336EC3F3">
                <wp:simplePos x="0" y="0"/>
                <wp:positionH relativeFrom="margin">
                  <wp:align>center</wp:align>
                </wp:positionH>
                <wp:positionV relativeFrom="paragraph">
                  <wp:posOffset>2554605</wp:posOffset>
                </wp:positionV>
                <wp:extent cx="5751320" cy="3943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51320" cy="3943350"/>
                        </a:xfrm>
                        <a:prstGeom prst="rect">
                          <a:avLst/>
                        </a:prstGeom>
                        <a:noFill/>
                        <a:ln w="6350">
                          <a:noFill/>
                        </a:ln>
                      </wps:spPr>
                      <wps:txbx>
                        <w:txbxContent>
                          <w:p w14:paraId="123BD769" w14:textId="102AA541" w:rsidR="00D6014E" w:rsidRPr="0080285C" w:rsidRDefault="00D6014E" w:rsidP="00A2149F">
                            <w:pPr>
                              <w:rPr>
                                <w:rFonts w:cstheme="minorHAnsi"/>
                                <w:color w:val="FFFFFF" w:themeColor="background1"/>
                                <w:sz w:val="72"/>
                                <w:szCs w:val="72"/>
                              </w:rPr>
                            </w:pPr>
                            <w:r>
                              <w:rPr>
                                <w:rFonts w:cstheme="minorHAnsi"/>
                                <w:color w:val="FFFFFF" w:themeColor="background1"/>
                                <w:sz w:val="72"/>
                                <w:szCs w:val="72"/>
                              </w:rPr>
                              <w:t>Consumer Data Right in the telecommunications sector</w:t>
                            </w:r>
                          </w:p>
                          <w:p w14:paraId="1CC38155" w14:textId="027AD9F1" w:rsidR="00D6014E" w:rsidRPr="0080285C" w:rsidRDefault="00D6014E" w:rsidP="00A2149F">
                            <w:pPr>
                              <w:spacing w:line="240" w:lineRule="auto"/>
                              <w:rPr>
                                <w:rFonts w:eastAsia="Times New Roman" w:cstheme="minorHAnsi"/>
                                <w:color w:val="FFFFFF" w:themeColor="background1"/>
                                <w:sz w:val="52"/>
                                <w:szCs w:val="52"/>
                                <w:lang w:eastAsia="en-GB"/>
                              </w:rPr>
                            </w:pPr>
                            <w:r>
                              <w:rPr>
                                <w:rFonts w:eastAsia="Times New Roman" w:cstheme="minorHAnsi"/>
                                <w:color w:val="FFFFFF" w:themeColor="background1"/>
                                <w:sz w:val="52"/>
                                <w:szCs w:val="52"/>
                                <w:lang w:eastAsia="en-GB"/>
                              </w:rPr>
                              <w:t>CDR rules and standards d</w:t>
                            </w:r>
                            <w:r w:rsidRPr="0080285C">
                              <w:rPr>
                                <w:rFonts w:eastAsia="Times New Roman" w:cstheme="minorHAnsi"/>
                                <w:color w:val="FFFFFF" w:themeColor="background1"/>
                                <w:sz w:val="52"/>
                                <w:szCs w:val="52"/>
                                <w:lang w:eastAsia="en-GB"/>
                              </w:rPr>
                              <w:t xml:space="preserve">esign </w:t>
                            </w:r>
                            <w:r>
                              <w:rPr>
                                <w:rFonts w:eastAsia="Times New Roman" w:cstheme="minorHAnsi"/>
                                <w:color w:val="FFFFFF" w:themeColor="background1"/>
                                <w:sz w:val="52"/>
                                <w:szCs w:val="52"/>
                                <w:lang w:eastAsia="en-GB"/>
                              </w:rPr>
                              <w:t>p</w:t>
                            </w:r>
                            <w:r w:rsidRPr="0080285C">
                              <w:rPr>
                                <w:rFonts w:eastAsia="Times New Roman" w:cstheme="minorHAnsi"/>
                                <w:color w:val="FFFFFF" w:themeColor="background1"/>
                                <w:sz w:val="52"/>
                                <w:szCs w:val="52"/>
                                <w:lang w:eastAsia="en-GB"/>
                              </w:rPr>
                              <w:t>aper</w:t>
                            </w:r>
                          </w:p>
                          <w:p w14:paraId="13455779" w14:textId="77777777" w:rsidR="00D6014E" w:rsidRPr="0080285C" w:rsidRDefault="00D6014E" w:rsidP="00A2149F">
                            <w:pPr>
                              <w:rPr>
                                <w:rFonts w:cstheme="minorHAnsi"/>
                                <w:color w:val="FFFFFF" w:themeColor="background1"/>
                                <w:sz w:val="56"/>
                                <w:szCs w:val="56"/>
                              </w:rPr>
                            </w:pPr>
                          </w:p>
                          <w:p w14:paraId="651AB888" w14:textId="06FC9874" w:rsidR="00D6014E" w:rsidRPr="00602BF1" w:rsidRDefault="000B229B">
                            <w:pPr>
                              <w:rPr>
                                <w:rFonts w:ascii="Times New Roman" w:hAnsi="Times New Roman" w:cs="Times New Roman"/>
                                <w:sz w:val="56"/>
                                <w:szCs w:val="56"/>
                              </w:rPr>
                            </w:pPr>
                            <w:r w:rsidRPr="006A2C75">
                              <w:rPr>
                                <w:rFonts w:cstheme="minorHAnsi"/>
                                <w:color w:val="FFFFFF" w:themeColor="background1"/>
                                <w:sz w:val="32"/>
                                <w:szCs w:val="32"/>
                              </w:rPr>
                              <w:t>1</w:t>
                            </w:r>
                            <w:r w:rsidR="004E3D52" w:rsidRPr="006A2C75">
                              <w:rPr>
                                <w:rFonts w:cstheme="minorHAnsi"/>
                                <w:color w:val="FFFFFF" w:themeColor="background1"/>
                                <w:sz w:val="32"/>
                                <w:szCs w:val="32"/>
                              </w:rPr>
                              <w:t xml:space="preserve"> </w:t>
                            </w:r>
                            <w:r w:rsidRPr="006A2C75">
                              <w:rPr>
                                <w:rFonts w:cstheme="minorHAnsi"/>
                                <w:color w:val="FFFFFF" w:themeColor="background1"/>
                                <w:sz w:val="32"/>
                                <w:szCs w:val="32"/>
                              </w:rPr>
                              <w:t xml:space="preserve">March </w:t>
                            </w:r>
                            <w:r w:rsidR="00D6014E" w:rsidRPr="006A2C75">
                              <w:rPr>
                                <w:rFonts w:cstheme="minorHAnsi"/>
                                <w:color w:val="FFFFFF" w:themeColor="background1"/>
                                <w:sz w:val="32"/>
                                <w:szCs w:val="3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C985B" id="_x0000_t202" coordsize="21600,21600" o:spt="202" path="m,l,21600r21600,l21600,xe">
                <v:stroke joinstyle="miter"/>
                <v:path gradientshapeok="t" o:connecttype="rect"/>
              </v:shapetype>
              <v:shape id="Text Box 1" o:spid="_x0000_s1026" type="#_x0000_t202" style="position:absolute;margin-left:0;margin-top:201.15pt;width:452.85pt;height:31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" filled="f" stroked="f" strokeweight=".5pt">
                <v:textbox>
                  <w:txbxContent>
                    <w:p w14:paraId="123BD769" w14:textId="102AA541" w:rsidR="00D6014E" w:rsidRPr="0080285C" w:rsidRDefault="00D6014E" w:rsidP="00A2149F">
                      <w:pPr>
                        <w:rPr>
                          <w:rFonts w:cstheme="minorHAnsi"/>
                          <w:color w:val="FFFFFF" w:themeColor="background1"/>
                          <w:sz w:val="72"/>
                          <w:szCs w:val="72"/>
                        </w:rPr>
                      </w:pPr>
                      <w:r>
                        <w:rPr>
                          <w:rFonts w:cstheme="minorHAnsi"/>
                          <w:color w:val="FFFFFF" w:themeColor="background1"/>
                          <w:sz w:val="72"/>
                          <w:szCs w:val="72"/>
                        </w:rPr>
                        <w:t>Consumer Data Right in the telecommunications sector</w:t>
                      </w:r>
                    </w:p>
                    <w:p w14:paraId="1CC38155" w14:textId="027AD9F1" w:rsidR="00D6014E" w:rsidRPr="0080285C" w:rsidRDefault="00D6014E" w:rsidP="00A2149F">
                      <w:pPr>
                        <w:spacing w:line="240" w:lineRule="auto"/>
                        <w:rPr>
                          <w:rFonts w:eastAsia="Times New Roman" w:cstheme="minorHAnsi"/>
                          <w:color w:val="FFFFFF" w:themeColor="background1"/>
                          <w:sz w:val="52"/>
                          <w:szCs w:val="52"/>
                          <w:lang w:eastAsia="en-GB"/>
                        </w:rPr>
                      </w:pPr>
                      <w:r>
                        <w:rPr>
                          <w:rFonts w:eastAsia="Times New Roman" w:cstheme="minorHAnsi"/>
                          <w:color w:val="FFFFFF" w:themeColor="background1"/>
                          <w:sz w:val="52"/>
                          <w:szCs w:val="52"/>
                          <w:lang w:eastAsia="en-GB"/>
                        </w:rPr>
                        <w:t>CDR rules and standards d</w:t>
                      </w:r>
                      <w:r w:rsidRPr="0080285C">
                        <w:rPr>
                          <w:rFonts w:eastAsia="Times New Roman" w:cstheme="minorHAnsi"/>
                          <w:color w:val="FFFFFF" w:themeColor="background1"/>
                          <w:sz w:val="52"/>
                          <w:szCs w:val="52"/>
                          <w:lang w:eastAsia="en-GB"/>
                        </w:rPr>
                        <w:t xml:space="preserve">esign </w:t>
                      </w:r>
                      <w:r>
                        <w:rPr>
                          <w:rFonts w:eastAsia="Times New Roman" w:cstheme="minorHAnsi"/>
                          <w:color w:val="FFFFFF" w:themeColor="background1"/>
                          <w:sz w:val="52"/>
                          <w:szCs w:val="52"/>
                          <w:lang w:eastAsia="en-GB"/>
                        </w:rPr>
                        <w:t>p</w:t>
                      </w:r>
                      <w:r w:rsidRPr="0080285C">
                        <w:rPr>
                          <w:rFonts w:eastAsia="Times New Roman" w:cstheme="minorHAnsi"/>
                          <w:color w:val="FFFFFF" w:themeColor="background1"/>
                          <w:sz w:val="52"/>
                          <w:szCs w:val="52"/>
                          <w:lang w:eastAsia="en-GB"/>
                        </w:rPr>
                        <w:t>aper</w:t>
                      </w:r>
                    </w:p>
                    <w:p w14:paraId="13455779" w14:textId="77777777" w:rsidR="00D6014E" w:rsidRPr="0080285C" w:rsidRDefault="00D6014E" w:rsidP="00A2149F">
                      <w:pPr>
                        <w:rPr>
                          <w:rFonts w:cstheme="minorHAnsi"/>
                          <w:color w:val="FFFFFF" w:themeColor="background1"/>
                          <w:sz w:val="56"/>
                          <w:szCs w:val="56"/>
                        </w:rPr>
                      </w:pPr>
                    </w:p>
                    <w:p w14:paraId="651AB888" w14:textId="06FC9874" w:rsidR="00D6014E" w:rsidRPr="00602BF1" w:rsidRDefault="000B229B">
                      <w:pPr>
                        <w:rPr>
                          <w:rFonts w:ascii="Times New Roman" w:hAnsi="Times New Roman" w:cs="Times New Roman"/>
                          <w:sz w:val="56"/>
                          <w:szCs w:val="56"/>
                        </w:rPr>
                      </w:pPr>
                      <w:r w:rsidRPr="006A2C75">
                        <w:rPr>
                          <w:rFonts w:cstheme="minorHAnsi"/>
                          <w:color w:val="FFFFFF" w:themeColor="background1"/>
                          <w:sz w:val="32"/>
                          <w:szCs w:val="32"/>
                        </w:rPr>
                        <w:t>1</w:t>
                      </w:r>
                      <w:r w:rsidR="004E3D52" w:rsidRPr="006A2C75">
                        <w:rPr>
                          <w:rFonts w:cstheme="minorHAnsi"/>
                          <w:color w:val="FFFFFF" w:themeColor="background1"/>
                          <w:sz w:val="32"/>
                          <w:szCs w:val="32"/>
                        </w:rPr>
                        <w:t xml:space="preserve"> </w:t>
                      </w:r>
                      <w:r w:rsidRPr="006A2C75">
                        <w:rPr>
                          <w:rFonts w:cstheme="minorHAnsi"/>
                          <w:color w:val="FFFFFF" w:themeColor="background1"/>
                          <w:sz w:val="32"/>
                          <w:szCs w:val="32"/>
                        </w:rPr>
                        <w:t xml:space="preserve">March </w:t>
                      </w:r>
                      <w:r w:rsidR="00D6014E" w:rsidRPr="006A2C75">
                        <w:rPr>
                          <w:rFonts w:cstheme="minorHAnsi"/>
                          <w:color w:val="FFFFFF" w:themeColor="background1"/>
                          <w:sz w:val="32"/>
                          <w:szCs w:val="32"/>
                        </w:rPr>
                        <w:t>2022</w:t>
                      </w:r>
                    </w:p>
                  </w:txbxContent>
                </v:textbox>
                <w10:wrap anchorx="margin"/>
              </v:shape>
            </w:pict>
          </mc:Fallback>
        </mc:AlternateContent>
      </w:r>
      <w:r w:rsidR="00602BF1">
        <w:br w:type="page"/>
      </w:r>
    </w:p>
    <w:p w14:paraId="327C83D9" w14:textId="0351E1B2" w:rsidR="00602BF1" w:rsidRDefault="00602BF1" w:rsidP="007347F2">
      <w:pPr>
        <w:pStyle w:val="Title"/>
      </w:pPr>
      <w:r>
        <w:lastRenderedPageBreak/>
        <w:t>Opportunity to provide feedback</w:t>
      </w:r>
    </w:p>
    <w:p w14:paraId="21766BE7" w14:textId="0416DA50" w:rsidR="00D106D6" w:rsidRDefault="00F01C1A" w:rsidP="007C2D7A">
      <w:pPr>
        <w:spacing w:line="240" w:lineRule="auto"/>
      </w:pPr>
      <w:r>
        <w:t>This</w:t>
      </w:r>
      <w:r w:rsidDel="00F1019C">
        <w:t xml:space="preserve"> </w:t>
      </w:r>
      <w:r>
        <w:t xml:space="preserve">paper is designed to obtain feedback </w:t>
      </w:r>
      <w:proofErr w:type="gramStart"/>
      <w:r w:rsidR="002A5472">
        <w:t>in order to</w:t>
      </w:r>
      <w:proofErr w:type="gramEnd"/>
      <w:r w:rsidR="002A5472">
        <w:t xml:space="preserve"> develop d</w:t>
      </w:r>
      <w:r w:rsidR="00D106D6" w:rsidRPr="00D106D6">
        <w:t xml:space="preserve">raft </w:t>
      </w:r>
      <w:r w:rsidR="002A5472">
        <w:t xml:space="preserve">CDR </w:t>
      </w:r>
      <w:r w:rsidR="00D106D6" w:rsidRPr="00D106D6">
        <w:t xml:space="preserve">rules </w:t>
      </w:r>
      <w:r w:rsidR="005C3792">
        <w:t>and standards</w:t>
      </w:r>
      <w:r w:rsidR="002A5472">
        <w:t xml:space="preserve">. Draft CDR rules and standards </w:t>
      </w:r>
      <w:r w:rsidR="00F1019C">
        <w:t>will be the subject of formal consultation at a later stage</w:t>
      </w:r>
      <w:r w:rsidR="003A2E25">
        <w:t xml:space="preserve">, with the </w:t>
      </w:r>
      <w:r w:rsidR="00D106D6" w:rsidRPr="00D106D6">
        <w:t>opportunity to make formal submissions.</w:t>
      </w:r>
    </w:p>
    <w:p w14:paraId="4532E802" w14:textId="64B0A07A" w:rsidR="00F1019C" w:rsidRDefault="005C3792" w:rsidP="007C2D7A">
      <w:pPr>
        <w:spacing w:line="240" w:lineRule="auto"/>
      </w:pPr>
      <w:r>
        <w:t xml:space="preserve">You are invited to </w:t>
      </w:r>
      <w:r w:rsidRPr="00D106D6">
        <w:t xml:space="preserve">provide </w:t>
      </w:r>
      <w:r>
        <w:t xml:space="preserve">informal </w:t>
      </w:r>
      <w:r w:rsidRPr="00D106D6">
        <w:t>feedback</w:t>
      </w:r>
      <w:r>
        <w:t xml:space="preserve"> to the Treasury and Data Standards Body by</w:t>
      </w:r>
      <w:r w:rsidR="004B4742">
        <w:t xml:space="preserve"> </w:t>
      </w:r>
      <w:r w:rsidR="0001091C">
        <w:rPr>
          <w:b/>
          <w:bCs/>
        </w:rPr>
        <w:t>5 April</w:t>
      </w:r>
      <w:r w:rsidR="004D301C" w:rsidRPr="006A2C75">
        <w:rPr>
          <w:b/>
          <w:bCs/>
        </w:rPr>
        <w:t xml:space="preserve"> </w:t>
      </w:r>
      <w:r w:rsidR="00A8734E" w:rsidRPr="006A2C75">
        <w:rPr>
          <w:b/>
          <w:bCs/>
        </w:rPr>
        <w:t>2022</w:t>
      </w:r>
      <w:r w:rsidR="00A8734E">
        <w:rPr>
          <w:b/>
          <w:bCs/>
        </w:rPr>
        <w:t xml:space="preserve"> </w:t>
      </w:r>
      <w:r w:rsidR="00F1019C">
        <w:t>through either:</w:t>
      </w:r>
    </w:p>
    <w:p w14:paraId="3A6DD7FD" w14:textId="4BCE5566" w:rsidR="00F1019C" w:rsidRDefault="00D106D6" w:rsidP="007C2D7A">
      <w:pPr>
        <w:pStyle w:val="Bullet"/>
        <w:numPr>
          <w:ilvl w:val="0"/>
          <w:numId w:val="29"/>
        </w:numPr>
        <w:spacing w:line="240" w:lineRule="auto"/>
      </w:pPr>
      <w:r w:rsidRPr="00602BF1">
        <w:t>lodg</w:t>
      </w:r>
      <w:r w:rsidR="00F1019C">
        <w:t>ing comments</w:t>
      </w:r>
      <w:r w:rsidRPr="00602BF1">
        <w:t xml:space="preserve"> </w:t>
      </w:r>
      <w:r w:rsidR="005857FB">
        <w:t xml:space="preserve">on </w:t>
      </w:r>
      <w:r>
        <w:t>the</w:t>
      </w:r>
      <w:r w:rsidR="006E10BF">
        <w:t xml:space="preserve"> </w:t>
      </w:r>
      <w:r w:rsidR="00315B3C">
        <w:t xml:space="preserve">public </w:t>
      </w:r>
      <w:hyperlink r:id="rId14" w:history="1">
        <w:r w:rsidR="00315B3C" w:rsidRPr="00162DE5">
          <w:rPr>
            <w:rStyle w:val="Hyperlink"/>
          </w:rPr>
          <w:t>GitHub repository</w:t>
        </w:r>
      </w:hyperlink>
      <w:r>
        <w:t xml:space="preserve"> maintained by the Data Standards Body</w:t>
      </w:r>
      <w:r w:rsidR="00F1019C">
        <w:t xml:space="preserve">; or </w:t>
      </w:r>
    </w:p>
    <w:p w14:paraId="3D4A436C" w14:textId="6C683BC0" w:rsidR="006E10BF" w:rsidRDefault="00D106D6" w:rsidP="007C2D7A">
      <w:pPr>
        <w:pStyle w:val="Bullet"/>
        <w:numPr>
          <w:ilvl w:val="0"/>
          <w:numId w:val="29"/>
        </w:numPr>
        <w:spacing w:line="240" w:lineRule="auto"/>
      </w:pPr>
      <w:r>
        <w:t xml:space="preserve">by email to Treasury at </w:t>
      </w:r>
      <w:hyperlink r:id="rId15" w:history="1">
        <w:r w:rsidRPr="00602BF1">
          <w:rPr>
            <w:rStyle w:val="Hyperlink"/>
          </w:rPr>
          <w:t>data@treasury.gov.au</w:t>
        </w:r>
      </w:hyperlink>
      <w:r w:rsidR="006E10BF">
        <w:t>.</w:t>
      </w:r>
      <w:r w:rsidR="00EA1355">
        <w:t xml:space="preserve"> </w:t>
      </w:r>
      <w:r w:rsidR="00EA1355" w:rsidRPr="00C94F91">
        <w:t>Respondents who would like to provide feedback on a confidential basis should ensure that this is clearly indicated.</w:t>
      </w:r>
    </w:p>
    <w:p w14:paraId="31E24CD6" w14:textId="77777777" w:rsidR="00EA1355" w:rsidRDefault="006E10BF" w:rsidP="007C2D7A">
      <w:pPr>
        <w:spacing w:line="240" w:lineRule="auto"/>
      </w:pPr>
      <w:r>
        <w:t xml:space="preserve">Feedback posted on GitHub is public by nature at the time of submission. Content posted on GitHub should be made according to the community engagement rules published by the Data Standards Body. </w:t>
      </w:r>
    </w:p>
    <w:p w14:paraId="2247C414" w14:textId="2F2E89E1" w:rsidR="00EA1355" w:rsidRDefault="00734873" w:rsidP="007C2D7A">
      <w:pPr>
        <w:spacing w:line="240" w:lineRule="auto"/>
      </w:pPr>
      <w:r w:rsidRPr="00162DE5">
        <w:t xml:space="preserve">During the consultation period, </w:t>
      </w:r>
      <w:r w:rsidR="00EA1355" w:rsidRPr="00162DE5">
        <w:t xml:space="preserve">Treasury will also </w:t>
      </w:r>
      <w:r w:rsidRPr="00162DE5">
        <w:t>host an online forum to provide stakeholders with an opportunity to raise questions and discuss any feedback</w:t>
      </w:r>
      <w:r w:rsidR="00EA1355" w:rsidRPr="00162DE5">
        <w:t>.</w:t>
      </w:r>
      <w:r w:rsidR="00EA1355">
        <w:t xml:space="preserve">  </w:t>
      </w:r>
    </w:p>
    <w:p w14:paraId="33EC7177" w14:textId="110E66CE" w:rsidR="008D01B6" w:rsidRDefault="008D01B6" w:rsidP="000272BA">
      <w:pPr>
        <w:rPr>
          <w:rFonts w:asciiTheme="majorHAnsi" w:eastAsiaTheme="majorEastAsia" w:hAnsiTheme="majorHAnsi" w:cstheme="majorBidi"/>
          <w:color w:val="2E74B5" w:themeColor="accent1" w:themeShade="BF"/>
          <w:sz w:val="32"/>
          <w:szCs w:val="32"/>
        </w:rPr>
      </w:pPr>
      <w:r>
        <w:br w:type="page"/>
      </w:r>
    </w:p>
    <w:sdt>
      <w:sdtPr>
        <w:rPr>
          <w:rFonts w:asciiTheme="minorHAnsi" w:eastAsiaTheme="minorHAnsi" w:hAnsiTheme="minorHAnsi" w:cstheme="minorBidi"/>
          <w:color w:val="auto"/>
          <w:sz w:val="22"/>
          <w:szCs w:val="22"/>
          <w:lang w:val="en-AU"/>
        </w:rPr>
        <w:id w:val="1393780011"/>
        <w:docPartObj>
          <w:docPartGallery w:val="Table of Contents"/>
          <w:docPartUnique/>
        </w:docPartObj>
      </w:sdtPr>
      <w:sdtEndPr/>
      <w:sdtContent>
        <w:p w14:paraId="713E321C" w14:textId="469DD28A" w:rsidR="007963F7" w:rsidRDefault="007963F7">
          <w:pPr>
            <w:pStyle w:val="TOCHeading"/>
          </w:pPr>
          <w:r>
            <w:t>Table of Contents</w:t>
          </w:r>
        </w:p>
        <w:p w14:paraId="71DAEDA0" w14:textId="54EB7021" w:rsidR="00292CC2" w:rsidRDefault="007963F7">
          <w:pPr>
            <w:pStyle w:val="TOC1"/>
            <w:rPr>
              <w:rFonts w:eastAsiaTheme="minorEastAsia"/>
              <w:noProof/>
              <w:lang w:eastAsia="en-AU"/>
            </w:rPr>
          </w:pPr>
          <w:r>
            <w:fldChar w:fldCharType="begin"/>
          </w:r>
          <w:r>
            <w:instrText xml:space="preserve"> TOC \o "1-3" \h \z \u </w:instrText>
          </w:r>
          <w:r>
            <w:fldChar w:fldCharType="separate"/>
          </w:r>
          <w:hyperlink w:anchor="_Toc96353733" w:history="1">
            <w:r w:rsidR="00292CC2" w:rsidRPr="0038415A">
              <w:rPr>
                <w:rStyle w:val="Hyperlink"/>
                <w:noProof/>
              </w:rPr>
              <w:t>Context and purpose</w:t>
            </w:r>
            <w:r w:rsidR="00292CC2">
              <w:rPr>
                <w:noProof/>
                <w:webHidden/>
              </w:rPr>
              <w:tab/>
            </w:r>
            <w:r w:rsidR="00292CC2">
              <w:rPr>
                <w:noProof/>
                <w:webHidden/>
              </w:rPr>
              <w:fldChar w:fldCharType="begin"/>
            </w:r>
            <w:r w:rsidR="00292CC2">
              <w:rPr>
                <w:noProof/>
                <w:webHidden/>
              </w:rPr>
              <w:instrText xml:space="preserve"> PAGEREF _Toc96353733 \h </w:instrText>
            </w:r>
            <w:r w:rsidR="00292CC2">
              <w:rPr>
                <w:noProof/>
                <w:webHidden/>
              </w:rPr>
            </w:r>
            <w:r w:rsidR="00292CC2">
              <w:rPr>
                <w:noProof/>
                <w:webHidden/>
              </w:rPr>
              <w:fldChar w:fldCharType="separate"/>
            </w:r>
            <w:r w:rsidR="00897F53">
              <w:rPr>
                <w:noProof/>
                <w:webHidden/>
              </w:rPr>
              <w:t>3</w:t>
            </w:r>
            <w:r w:rsidR="00292CC2">
              <w:rPr>
                <w:noProof/>
                <w:webHidden/>
              </w:rPr>
              <w:fldChar w:fldCharType="end"/>
            </w:r>
          </w:hyperlink>
        </w:p>
        <w:p w14:paraId="76DB12F3" w14:textId="26E73367" w:rsidR="00292CC2" w:rsidRDefault="00897F53">
          <w:pPr>
            <w:pStyle w:val="TOC1"/>
            <w:rPr>
              <w:rFonts w:eastAsiaTheme="minorEastAsia"/>
              <w:noProof/>
              <w:lang w:eastAsia="en-AU"/>
            </w:rPr>
          </w:pPr>
          <w:hyperlink w:anchor="_Toc96353734" w:history="1">
            <w:r w:rsidR="00292CC2" w:rsidRPr="0038415A">
              <w:rPr>
                <w:rStyle w:val="Hyperlink"/>
                <w:noProof/>
              </w:rPr>
              <w:t>Telecommunications sector Data Holders</w:t>
            </w:r>
            <w:r w:rsidR="00292CC2">
              <w:rPr>
                <w:noProof/>
                <w:webHidden/>
              </w:rPr>
              <w:tab/>
            </w:r>
            <w:r w:rsidR="00292CC2">
              <w:rPr>
                <w:noProof/>
                <w:webHidden/>
              </w:rPr>
              <w:fldChar w:fldCharType="begin"/>
            </w:r>
            <w:r w:rsidR="00292CC2">
              <w:rPr>
                <w:noProof/>
                <w:webHidden/>
              </w:rPr>
              <w:instrText xml:space="preserve"> PAGEREF _Toc96353734 \h </w:instrText>
            </w:r>
            <w:r w:rsidR="00292CC2">
              <w:rPr>
                <w:noProof/>
                <w:webHidden/>
              </w:rPr>
            </w:r>
            <w:r w:rsidR="00292CC2">
              <w:rPr>
                <w:noProof/>
                <w:webHidden/>
              </w:rPr>
              <w:fldChar w:fldCharType="separate"/>
            </w:r>
            <w:r>
              <w:rPr>
                <w:noProof/>
                <w:webHidden/>
              </w:rPr>
              <w:t>5</w:t>
            </w:r>
            <w:r w:rsidR="00292CC2">
              <w:rPr>
                <w:noProof/>
                <w:webHidden/>
              </w:rPr>
              <w:fldChar w:fldCharType="end"/>
            </w:r>
          </w:hyperlink>
        </w:p>
        <w:p w14:paraId="4D72EFFC" w14:textId="6D8FC61B" w:rsidR="00292CC2" w:rsidRDefault="00897F53">
          <w:pPr>
            <w:pStyle w:val="TOC1"/>
            <w:rPr>
              <w:rFonts w:eastAsiaTheme="minorEastAsia"/>
              <w:noProof/>
              <w:lang w:eastAsia="en-AU"/>
            </w:rPr>
          </w:pPr>
          <w:hyperlink w:anchor="_Toc96353735" w:history="1">
            <w:r w:rsidR="00292CC2" w:rsidRPr="0038415A">
              <w:rPr>
                <w:rStyle w:val="Hyperlink"/>
                <w:noProof/>
              </w:rPr>
              <w:t>Role of the data standards and relevant artefacts</w:t>
            </w:r>
            <w:r w:rsidR="00292CC2">
              <w:rPr>
                <w:noProof/>
                <w:webHidden/>
              </w:rPr>
              <w:tab/>
            </w:r>
            <w:r w:rsidR="00292CC2">
              <w:rPr>
                <w:noProof/>
                <w:webHidden/>
              </w:rPr>
              <w:fldChar w:fldCharType="begin"/>
            </w:r>
            <w:r w:rsidR="00292CC2">
              <w:rPr>
                <w:noProof/>
                <w:webHidden/>
              </w:rPr>
              <w:instrText xml:space="preserve"> PAGEREF _Toc96353735 \h </w:instrText>
            </w:r>
            <w:r w:rsidR="00292CC2">
              <w:rPr>
                <w:noProof/>
                <w:webHidden/>
              </w:rPr>
            </w:r>
            <w:r w:rsidR="00292CC2">
              <w:rPr>
                <w:noProof/>
                <w:webHidden/>
              </w:rPr>
              <w:fldChar w:fldCharType="separate"/>
            </w:r>
            <w:r>
              <w:rPr>
                <w:noProof/>
                <w:webHidden/>
              </w:rPr>
              <w:t>6</w:t>
            </w:r>
            <w:r w:rsidR="00292CC2">
              <w:rPr>
                <w:noProof/>
                <w:webHidden/>
              </w:rPr>
              <w:fldChar w:fldCharType="end"/>
            </w:r>
          </w:hyperlink>
        </w:p>
        <w:p w14:paraId="4D6D6C30" w14:textId="5CCF3A25" w:rsidR="00292CC2" w:rsidRDefault="00897F53">
          <w:pPr>
            <w:pStyle w:val="TOC1"/>
            <w:tabs>
              <w:tab w:val="left" w:pos="440"/>
            </w:tabs>
            <w:rPr>
              <w:rFonts w:eastAsiaTheme="minorEastAsia"/>
              <w:noProof/>
              <w:lang w:eastAsia="en-AU"/>
            </w:rPr>
          </w:pPr>
          <w:hyperlink w:anchor="_Toc96353736" w:history="1">
            <w:r w:rsidR="00292CC2" w:rsidRPr="0038415A">
              <w:rPr>
                <w:rStyle w:val="Hyperlink"/>
                <w:noProof/>
              </w:rPr>
              <w:t>1.</w:t>
            </w:r>
            <w:r w:rsidR="00292CC2">
              <w:rPr>
                <w:rFonts w:eastAsiaTheme="minorEastAsia"/>
                <w:noProof/>
                <w:lang w:eastAsia="en-AU"/>
              </w:rPr>
              <w:tab/>
            </w:r>
            <w:r w:rsidR="00292CC2" w:rsidRPr="0038415A">
              <w:rPr>
                <w:rStyle w:val="Hyperlink"/>
                <w:noProof/>
              </w:rPr>
              <w:t>Scope of data sharing in the telecommunications sector</w:t>
            </w:r>
            <w:r w:rsidR="00292CC2">
              <w:rPr>
                <w:noProof/>
                <w:webHidden/>
              </w:rPr>
              <w:tab/>
            </w:r>
            <w:r w:rsidR="00292CC2">
              <w:rPr>
                <w:noProof/>
                <w:webHidden/>
              </w:rPr>
              <w:fldChar w:fldCharType="begin"/>
            </w:r>
            <w:r w:rsidR="00292CC2">
              <w:rPr>
                <w:noProof/>
                <w:webHidden/>
              </w:rPr>
              <w:instrText xml:space="preserve"> PAGEREF _Toc96353736 \h </w:instrText>
            </w:r>
            <w:r w:rsidR="00292CC2">
              <w:rPr>
                <w:noProof/>
                <w:webHidden/>
              </w:rPr>
            </w:r>
            <w:r w:rsidR="00292CC2">
              <w:rPr>
                <w:noProof/>
                <w:webHidden/>
              </w:rPr>
              <w:fldChar w:fldCharType="separate"/>
            </w:r>
            <w:r>
              <w:rPr>
                <w:noProof/>
                <w:webHidden/>
              </w:rPr>
              <w:t>8</w:t>
            </w:r>
            <w:r w:rsidR="00292CC2">
              <w:rPr>
                <w:noProof/>
                <w:webHidden/>
              </w:rPr>
              <w:fldChar w:fldCharType="end"/>
            </w:r>
          </w:hyperlink>
        </w:p>
        <w:p w14:paraId="79DC5EE0" w14:textId="4E81745F" w:rsidR="00292CC2" w:rsidRDefault="00897F53">
          <w:pPr>
            <w:pStyle w:val="TOC2"/>
            <w:rPr>
              <w:rFonts w:eastAsiaTheme="minorEastAsia"/>
              <w:noProof/>
              <w:lang w:eastAsia="en-AU"/>
            </w:rPr>
          </w:pPr>
          <w:hyperlink w:anchor="_Toc96353737" w:history="1">
            <w:r w:rsidR="00292CC2" w:rsidRPr="0038415A">
              <w:rPr>
                <w:rStyle w:val="Hyperlink"/>
                <w:noProof/>
              </w:rPr>
              <w:t>1.1.</w:t>
            </w:r>
            <w:r w:rsidR="00292CC2">
              <w:rPr>
                <w:rFonts w:eastAsiaTheme="minorEastAsia"/>
                <w:noProof/>
                <w:lang w:eastAsia="en-AU"/>
              </w:rPr>
              <w:tab/>
            </w:r>
            <w:r w:rsidR="00292CC2" w:rsidRPr="0038415A">
              <w:rPr>
                <w:rStyle w:val="Hyperlink"/>
                <w:noProof/>
              </w:rPr>
              <w:t>Topic Overview</w:t>
            </w:r>
            <w:r w:rsidR="00292CC2">
              <w:rPr>
                <w:noProof/>
                <w:webHidden/>
              </w:rPr>
              <w:tab/>
            </w:r>
            <w:r w:rsidR="00292CC2">
              <w:rPr>
                <w:noProof/>
                <w:webHidden/>
              </w:rPr>
              <w:fldChar w:fldCharType="begin"/>
            </w:r>
            <w:r w:rsidR="00292CC2">
              <w:rPr>
                <w:noProof/>
                <w:webHidden/>
              </w:rPr>
              <w:instrText xml:space="preserve"> PAGEREF _Toc96353737 \h </w:instrText>
            </w:r>
            <w:r w:rsidR="00292CC2">
              <w:rPr>
                <w:noProof/>
                <w:webHidden/>
              </w:rPr>
            </w:r>
            <w:r w:rsidR="00292CC2">
              <w:rPr>
                <w:noProof/>
                <w:webHidden/>
              </w:rPr>
              <w:fldChar w:fldCharType="separate"/>
            </w:r>
            <w:r>
              <w:rPr>
                <w:noProof/>
                <w:webHidden/>
              </w:rPr>
              <w:t>8</w:t>
            </w:r>
            <w:r w:rsidR="00292CC2">
              <w:rPr>
                <w:noProof/>
                <w:webHidden/>
              </w:rPr>
              <w:fldChar w:fldCharType="end"/>
            </w:r>
          </w:hyperlink>
        </w:p>
        <w:p w14:paraId="1630B7BB" w14:textId="3B2FC3DC" w:rsidR="00292CC2" w:rsidRDefault="00897F53">
          <w:pPr>
            <w:pStyle w:val="TOC2"/>
            <w:rPr>
              <w:rFonts w:eastAsiaTheme="minorEastAsia"/>
              <w:noProof/>
              <w:lang w:eastAsia="en-AU"/>
            </w:rPr>
          </w:pPr>
          <w:hyperlink w:anchor="_Toc96353738" w:history="1">
            <w:r w:rsidR="00292CC2" w:rsidRPr="0038415A">
              <w:rPr>
                <w:rStyle w:val="Hyperlink"/>
                <w:noProof/>
              </w:rPr>
              <w:t>1.2.</w:t>
            </w:r>
            <w:r w:rsidR="00292CC2">
              <w:rPr>
                <w:rFonts w:eastAsiaTheme="minorEastAsia"/>
                <w:noProof/>
                <w:lang w:eastAsia="en-AU"/>
              </w:rPr>
              <w:tab/>
            </w:r>
            <w:r w:rsidR="00292CC2" w:rsidRPr="0038415A">
              <w:rPr>
                <w:rStyle w:val="Hyperlink"/>
                <w:noProof/>
              </w:rPr>
              <w:t>Rules considerations</w:t>
            </w:r>
            <w:r w:rsidR="00292CC2">
              <w:rPr>
                <w:noProof/>
                <w:webHidden/>
              </w:rPr>
              <w:tab/>
            </w:r>
            <w:r w:rsidR="00292CC2">
              <w:rPr>
                <w:noProof/>
                <w:webHidden/>
              </w:rPr>
              <w:fldChar w:fldCharType="begin"/>
            </w:r>
            <w:r w:rsidR="00292CC2">
              <w:rPr>
                <w:noProof/>
                <w:webHidden/>
              </w:rPr>
              <w:instrText xml:space="preserve"> PAGEREF _Toc96353738 \h </w:instrText>
            </w:r>
            <w:r w:rsidR="00292CC2">
              <w:rPr>
                <w:noProof/>
                <w:webHidden/>
              </w:rPr>
            </w:r>
            <w:r w:rsidR="00292CC2">
              <w:rPr>
                <w:noProof/>
                <w:webHidden/>
              </w:rPr>
              <w:fldChar w:fldCharType="separate"/>
            </w:r>
            <w:r>
              <w:rPr>
                <w:noProof/>
                <w:webHidden/>
              </w:rPr>
              <w:t>8</w:t>
            </w:r>
            <w:r w:rsidR="00292CC2">
              <w:rPr>
                <w:noProof/>
                <w:webHidden/>
              </w:rPr>
              <w:fldChar w:fldCharType="end"/>
            </w:r>
          </w:hyperlink>
        </w:p>
        <w:p w14:paraId="66053A40" w14:textId="7FA839E1" w:rsidR="00292CC2" w:rsidRDefault="00897F53">
          <w:pPr>
            <w:pStyle w:val="TOC3"/>
            <w:rPr>
              <w:rFonts w:eastAsiaTheme="minorEastAsia"/>
              <w:noProof/>
              <w:lang w:eastAsia="en-AU"/>
            </w:rPr>
          </w:pPr>
          <w:hyperlink w:anchor="_Toc96353739" w:history="1">
            <w:r w:rsidR="00292CC2" w:rsidRPr="0038415A">
              <w:rPr>
                <w:rStyle w:val="Hyperlink"/>
                <w:b/>
                <w:bCs/>
                <w:noProof/>
              </w:rPr>
              <w:t>Which data holders should be required to share CDR data?</w:t>
            </w:r>
            <w:r w:rsidR="00292CC2">
              <w:rPr>
                <w:noProof/>
                <w:webHidden/>
              </w:rPr>
              <w:tab/>
            </w:r>
            <w:r w:rsidR="00292CC2">
              <w:rPr>
                <w:noProof/>
                <w:webHidden/>
              </w:rPr>
              <w:fldChar w:fldCharType="begin"/>
            </w:r>
            <w:r w:rsidR="00292CC2">
              <w:rPr>
                <w:noProof/>
                <w:webHidden/>
              </w:rPr>
              <w:instrText xml:space="preserve"> PAGEREF _Toc96353739 \h </w:instrText>
            </w:r>
            <w:r w:rsidR="00292CC2">
              <w:rPr>
                <w:noProof/>
                <w:webHidden/>
              </w:rPr>
            </w:r>
            <w:r w:rsidR="00292CC2">
              <w:rPr>
                <w:noProof/>
                <w:webHidden/>
              </w:rPr>
              <w:fldChar w:fldCharType="separate"/>
            </w:r>
            <w:r>
              <w:rPr>
                <w:noProof/>
                <w:webHidden/>
              </w:rPr>
              <w:t>8</w:t>
            </w:r>
            <w:r w:rsidR="00292CC2">
              <w:rPr>
                <w:noProof/>
                <w:webHidden/>
              </w:rPr>
              <w:fldChar w:fldCharType="end"/>
            </w:r>
          </w:hyperlink>
        </w:p>
        <w:p w14:paraId="7198A7BA" w14:textId="5F2103D9" w:rsidR="00292CC2" w:rsidRDefault="00897F53">
          <w:pPr>
            <w:pStyle w:val="TOC3"/>
            <w:rPr>
              <w:rFonts w:eastAsiaTheme="minorEastAsia"/>
              <w:noProof/>
              <w:lang w:eastAsia="en-AU"/>
            </w:rPr>
          </w:pPr>
          <w:hyperlink w:anchor="_Toc96353740" w:history="1">
            <w:r w:rsidR="00292CC2" w:rsidRPr="0038415A">
              <w:rPr>
                <w:rStyle w:val="Hyperlink"/>
                <w:b/>
                <w:bCs/>
                <w:noProof/>
              </w:rPr>
              <w:t>What products and what product-related datasets are in scope?</w:t>
            </w:r>
            <w:r w:rsidR="00292CC2">
              <w:rPr>
                <w:noProof/>
                <w:webHidden/>
              </w:rPr>
              <w:tab/>
            </w:r>
            <w:r w:rsidR="00292CC2">
              <w:rPr>
                <w:noProof/>
                <w:webHidden/>
              </w:rPr>
              <w:fldChar w:fldCharType="begin"/>
            </w:r>
            <w:r w:rsidR="00292CC2">
              <w:rPr>
                <w:noProof/>
                <w:webHidden/>
              </w:rPr>
              <w:instrText xml:space="preserve"> PAGEREF _Toc96353740 \h </w:instrText>
            </w:r>
            <w:r w:rsidR="00292CC2">
              <w:rPr>
                <w:noProof/>
                <w:webHidden/>
              </w:rPr>
            </w:r>
            <w:r w:rsidR="00292CC2">
              <w:rPr>
                <w:noProof/>
                <w:webHidden/>
              </w:rPr>
              <w:fldChar w:fldCharType="separate"/>
            </w:r>
            <w:r>
              <w:rPr>
                <w:noProof/>
                <w:webHidden/>
              </w:rPr>
              <w:t>9</w:t>
            </w:r>
            <w:r w:rsidR="00292CC2">
              <w:rPr>
                <w:noProof/>
                <w:webHidden/>
              </w:rPr>
              <w:fldChar w:fldCharType="end"/>
            </w:r>
          </w:hyperlink>
        </w:p>
        <w:p w14:paraId="08677BCA" w14:textId="08B45FBD" w:rsidR="00292CC2" w:rsidRDefault="00897F53">
          <w:pPr>
            <w:pStyle w:val="TOC3"/>
            <w:rPr>
              <w:rFonts w:eastAsiaTheme="minorEastAsia"/>
              <w:noProof/>
              <w:lang w:eastAsia="en-AU"/>
            </w:rPr>
          </w:pPr>
          <w:hyperlink w:anchor="_Toc96353741" w:history="1">
            <w:r w:rsidR="00292CC2" w:rsidRPr="0038415A">
              <w:rPr>
                <w:rStyle w:val="Hyperlink"/>
                <w:b/>
                <w:bCs/>
                <w:noProof/>
              </w:rPr>
              <w:t>What is required data sharing?</w:t>
            </w:r>
            <w:r w:rsidR="00292CC2">
              <w:rPr>
                <w:noProof/>
                <w:webHidden/>
              </w:rPr>
              <w:tab/>
            </w:r>
            <w:r w:rsidR="00292CC2">
              <w:rPr>
                <w:noProof/>
                <w:webHidden/>
              </w:rPr>
              <w:fldChar w:fldCharType="begin"/>
            </w:r>
            <w:r w:rsidR="00292CC2">
              <w:rPr>
                <w:noProof/>
                <w:webHidden/>
              </w:rPr>
              <w:instrText xml:space="preserve"> PAGEREF _Toc96353741 \h </w:instrText>
            </w:r>
            <w:r w:rsidR="00292CC2">
              <w:rPr>
                <w:noProof/>
                <w:webHidden/>
              </w:rPr>
            </w:r>
            <w:r w:rsidR="00292CC2">
              <w:rPr>
                <w:noProof/>
                <w:webHidden/>
              </w:rPr>
              <w:fldChar w:fldCharType="separate"/>
            </w:r>
            <w:r>
              <w:rPr>
                <w:noProof/>
                <w:webHidden/>
              </w:rPr>
              <w:t>11</w:t>
            </w:r>
            <w:r w:rsidR="00292CC2">
              <w:rPr>
                <w:noProof/>
                <w:webHidden/>
              </w:rPr>
              <w:fldChar w:fldCharType="end"/>
            </w:r>
          </w:hyperlink>
        </w:p>
        <w:p w14:paraId="0504B98C" w14:textId="724E01FC" w:rsidR="00292CC2" w:rsidRDefault="00897F53">
          <w:pPr>
            <w:pStyle w:val="TOC3"/>
            <w:rPr>
              <w:rFonts w:eastAsiaTheme="minorEastAsia"/>
              <w:noProof/>
              <w:lang w:eastAsia="en-AU"/>
            </w:rPr>
          </w:pPr>
          <w:hyperlink w:anchor="_Toc96353742" w:history="1">
            <w:r w:rsidR="00292CC2" w:rsidRPr="0038415A">
              <w:rPr>
                <w:rStyle w:val="Hyperlink"/>
                <w:b/>
                <w:noProof/>
              </w:rPr>
              <w:t>Reciprocal data sharing obligations for certain ADRs</w:t>
            </w:r>
            <w:r w:rsidR="00292CC2">
              <w:rPr>
                <w:noProof/>
                <w:webHidden/>
              </w:rPr>
              <w:tab/>
            </w:r>
            <w:r w:rsidR="00292CC2">
              <w:rPr>
                <w:noProof/>
                <w:webHidden/>
              </w:rPr>
              <w:fldChar w:fldCharType="begin"/>
            </w:r>
            <w:r w:rsidR="00292CC2">
              <w:rPr>
                <w:noProof/>
                <w:webHidden/>
              </w:rPr>
              <w:instrText xml:space="preserve"> PAGEREF _Toc96353742 \h </w:instrText>
            </w:r>
            <w:r w:rsidR="00292CC2">
              <w:rPr>
                <w:noProof/>
                <w:webHidden/>
              </w:rPr>
            </w:r>
            <w:r w:rsidR="00292CC2">
              <w:rPr>
                <w:noProof/>
                <w:webHidden/>
              </w:rPr>
              <w:fldChar w:fldCharType="separate"/>
            </w:r>
            <w:r>
              <w:rPr>
                <w:noProof/>
                <w:webHidden/>
              </w:rPr>
              <w:t>15</w:t>
            </w:r>
            <w:r w:rsidR="00292CC2">
              <w:rPr>
                <w:noProof/>
                <w:webHidden/>
              </w:rPr>
              <w:fldChar w:fldCharType="end"/>
            </w:r>
          </w:hyperlink>
        </w:p>
        <w:p w14:paraId="214ED613" w14:textId="19D03FC7" w:rsidR="00292CC2" w:rsidRDefault="00897F53">
          <w:pPr>
            <w:pStyle w:val="TOC2"/>
            <w:rPr>
              <w:rFonts w:eastAsiaTheme="minorEastAsia"/>
              <w:noProof/>
              <w:lang w:eastAsia="en-AU"/>
            </w:rPr>
          </w:pPr>
          <w:hyperlink w:anchor="_Toc96353743" w:history="1">
            <w:r w:rsidR="00292CC2" w:rsidRPr="0038415A">
              <w:rPr>
                <w:rStyle w:val="Hyperlink"/>
                <w:noProof/>
              </w:rPr>
              <w:t>1.3.</w:t>
            </w:r>
            <w:r w:rsidR="00292CC2">
              <w:rPr>
                <w:rFonts w:eastAsiaTheme="minorEastAsia"/>
                <w:noProof/>
                <w:lang w:eastAsia="en-AU"/>
              </w:rPr>
              <w:tab/>
            </w:r>
            <w:r w:rsidR="00292CC2" w:rsidRPr="0038415A">
              <w:rPr>
                <w:rStyle w:val="Hyperlink"/>
                <w:noProof/>
              </w:rPr>
              <w:t>Standards considerations</w:t>
            </w:r>
            <w:r w:rsidR="00292CC2">
              <w:rPr>
                <w:noProof/>
                <w:webHidden/>
              </w:rPr>
              <w:tab/>
            </w:r>
            <w:r w:rsidR="00292CC2">
              <w:rPr>
                <w:noProof/>
                <w:webHidden/>
              </w:rPr>
              <w:fldChar w:fldCharType="begin"/>
            </w:r>
            <w:r w:rsidR="00292CC2">
              <w:rPr>
                <w:noProof/>
                <w:webHidden/>
              </w:rPr>
              <w:instrText xml:space="preserve"> PAGEREF _Toc96353743 \h </w:instrText>
            </w:r>
            <w:r w:rsidR="00292CC2">
              <w:rPr>
                <w:noProof/>
                <w:webHidden/>
              </w:rPr>
            </w:r>
            <w:r w:rsidR="00292CC2">
              <w:rPr>
                <w:noProof/>
                <w:webHidden/>
              </w:rPr>
              <w:fldChar w:fldCharType="separate"/>
            </w:r>
            <w:r>
              <w:rPr>
                <w:noProof/>
                <w:webHidden/>
              </w:rPr>
              <w:t>16</w:t>
            </w:r>
            <w:r w:rsidR="00292CC2">
              <w:rPr>
                <w:noProof/>
                <w:webHidden/>
              </w:rPr>
              <w:fldChar w:fldCharType="end"/>
            </w:r>
          </w:hyperlink>
        </w:p>
        <w:p w14:paraId="687762CD" w14:textId="4DA13C43" w:rsidR="00292CC2" w:rsidRDefault="00897F53">
          <w:pPr>
            <w:pStyle w:val="TOC3"/>
            <w:rPr>
              <w:rFonts w:eastAsiaTheme="minorEastAsia"/>
              <w:noProof/>
              <w:lang w:eastAsia="en-AU"/>
            </w:rPr>
          </w:pPr>
          <w:hyperlink w:anchor="_Toc96353744" w:history="1">
            <w:r w:rsidR="00292CC2" w:rsidRPr="0038415A">
              <w:rPr>
                <w:rStyle w:val="Hyperlink"/>
                <w:b/>
                <w:noProof/>
              </w:rPr>
              <w:t>Technical standards considerations</w:t>
            </w:r>
            <w:r w:rsidR="00292CC2">
              <w:rPr>
                <w:noProof/>
                <w:webHidden/>
              </w:rPr>
              <w:tab/>
            </w:r>
            <w:r w:rsidR="00292CC2">
              <w:rPr>
                <w:noProof/>
                <w:webHidden/>
              </w:rPr>
              <w:fldChar w:fldCharType="begin"/>
            </w:r>
            <w:r w:rsidR="00292CC2">
              <w:rPr>
                <w:noProof/>
                <w:webHidden/>
              </w:rPr>
              <w:instrText xml:space="preserve"> PAGEREF _Toc96353744 \h </w:instrText>
            </w:r>
            <w:r w:rsidR="00292CC2">
              <w:rPr>
                <w:noProof/>
                <w:webHidden/>
              </w:rPr>
            </w:r>
            <w:r w:rsidR="00292CC2">
              <w:rPr>
                <w:noProof/>
                <w:webHidden/>
              </w:rPr>
              <w:fldChar w:fldCharType="separate"/>
            </w:r>
            <w:r>
              <w:rPr>
                <w:noProof/>
                <w:webHidden/>
              </w:rPr>
              <w:t>16</w:t>
            </w:r>
            <w:r w:rsidR="00292CC2">
              <w:rPr>
                <w:noProof/>
                <w:webHidden/>
              </w:rPr>
              <w:fldChar w:fldCharType="end"/>
            </w:r>
          </w:hyperlink>
        </w:p>
        <w:p w14:paraId="471652C0" w14:textId="1C1A641D" w:rsidR="00292CC2" w:rsidRDefault="00897F53">
          <w:pPr>
            <w:pStyle w:val="TOC3"/>
            <w:rPr>
              <w:rFonts w:eastAsiaTheme="minorEastAsia"/>
              <w:noProof/>
              <w:lang w:eastAsia="en-AU"/>
            </w:rPr>
          </w:pPr>
          <w:hyperlink w:anchor="_Toc96353745" w:history="1">
            <w:r w:rsidR="00292CC2" w:rsidRPr="0038415A">
              <w:rPr>
                <w:rStyle w:val="Hyperlink"/>
                <w:b/>
                <w:noProof/>
              </w:rPr>
              <w:t>Consumer experience considerations</w:t>
            </w:r>
            <w:r w:rsidR="00292CC2">
              <w:rPr>
                <w:noProof/>
                <w:webHidden/>
              </w:rPr>
              <w:tab/>
            </w:r>
            <w:r w:rsidR="00292CC2">
              <w:rPr>
                <w:noProof/>
                <w:webHidden/>
              </w:rPr>
              <w:fldChar w:fldCharType="begin"/>
            </w:r>
            <w:r w:rsidR="00292CC2">
              <w:rPr>
                <w:noProof/>
                <w:webHidden/>
              </w:rPr>
              <w:instrText xml:space="preserve"> PAGEREF _Toc96353745 \h </w:instrText>
            </w:r>
            <w:r w:rsidR="00292CC2">
              <w:rPr>
                <w:noProof/>
                <w:webHidden/>
              </w:rPr>
            </w:r>
            <w:r w:rsidR="00292CC2">
              <w:rPr>
                <w:noProof/>
                <w:webHidden/>
              </w:rPr>
              <w:fldChar w:fldCharType="separate"/>
            </w:r>
            <w:r>
              <w:rPr>
                <w:noProof/>
                <w:webHidden/>
              </w:rPr>
              <w:t>17</w:t>
            </w:r>
            <w:r w:rsidR="00292CC2">
              <w:rPr>
                <w:noProof/>
                <w:webHidden/>
              </w:rPr>
              <w:fldChar w:fldCharType="end"/>
            </w:r>
          </w:hyperlink>
        </w:p>
        <w:p w14:paraId="3E716864" w14:textId="2392A23C" w:rsidR="00292CC2" w:rsidRDefault="00897F53">
          <w:pPr>
            <w:pStyle w:val="TOC1"/>
            <w:tabs>
              <w:tab w:val="left" w:pos="440"/>
            </w:tabs>
            <w:rPr>
              <w:rFonts w:eastAsiaTheme="minorEastAsia"/>
              <w:noProof/>
              <w:lang w:eastAsia="en-AU"/>
            </w:rPr>
          </w:pPr>
          <w:hyperlink w:anchor="_Toc96353746" w:history="1">
            <w:r w:rsidR="00292CC2" w:rsidRPr="0038415A">
              <w:rPr>
                <w:rStyle w:val="Hyperlink"/>
                <w:noProof/>
              </w:rPr>
              <w:t>2.</w:t>
            </w:r>
            <w:r w:rsidR="00292CC2">
              <w:rPr>
                <w:rFonts w:eastAsiaTheme="minorEastAsia"/>
                <w:noProof/>
                <w:lang w:eastAsia="en-AU"/>
              </w:rPr>
              <w:tab/>
            </w:r>
            <w:r w:rsidR="00292CC2" w:rsidRPr="0038415A">
              <w:rPr>
                <w:rStyle w:val="Hyperlink"/>
                <w:noProof/>
              </w:rPr>
              <w:t>‘Eligible CDR consumers’ in the telecommunications sector</w:t>
            </w:r>
            <w:r w:rsidR="00292CC2">
              <w:rPr>
                <w:noProof/>
                <w:webHidden/>
              </w:rPr>
              <w:tab/>
            </w:r>
            <w:r w:rsidR="00292CC2">
              <w:rPr>
                <w:noProof/>
                <w:webHidden/>
              </w:rPr>
              <w:fldChar w:fldCharType="begin"/>
            </w:r>
            <w:r w:rsidR="00292CC2">
              <w:rPr>
                <w:noProof/>
                <w:webHidden/>
              </w:rPr>
              <w:instrText xml:space="preserve"> PAGEREF _Toc96353746 \h </w:instrText>
            </w:r>
            <w:r w:rsidR="00292CC2">
              <w:rPr>
                <w:noProof/>
                <w:webHidden/>
              </w:rPr>
            </w:r>
            <w:r w:rsidR="00292CC2">
              <w:rPr>
                <w:noProof/>
                <w:webHidden/>
              </w:rPr>
              <w:fldChar w:fldCharType="separate"/>
            </w:r>
            <w:r>
              <w:rPr>
                <w:noProof/>
                <w:webHidden/>
              </w:rPr>
              <w:t>18</w:t>
            </w:r>
            <w:r w:rsidR="00292CC2">
              <w:rPr>
                <w:noProof/>
                <w:webHidden/>
              </w:rPr>
              <w:fldChar w:fldCharType="end"/>
            </w:r>
          </w:hyperlink>
        </w:p>
        <w:p w14:paraId="1FBE9999" w14:textId="39BD19CC" w:rsidR="00292CC2" w:rsidRDefault="00897F53">
          <w:pPr>
            <w:pStyle w:val="TOC2"/>
            <w:rPr>
              <w:rFonts w:eastAsiaTheme="minorEastAsia"/>
              <w:noProof/>
              <w:lang w:eastAsia="en-AU"/>
            </w:rPr>
          </w:pPr>
          <w:hyperlink w:anchor="_Toc96353747" w:history="1">
            <w:r w:rsidR="00292CC2" w:rsidRPr="0038415A">
              <w:rPr>
                <w:rStyle w:val="Hyperlink"/>
                <w:noProof/>
              </w:rPr>
              <w:t>2.1.</w:t>
            </w:r>
            <w:r w:rsidR="00292CC2">
              <w:rPr>
                <w:rFonts w:eastAsiaTheme="minorEastAsia"/>
                <w:noProof/>
                <w:lang w:eastAsia="en-AU"/>
              </w:rPr>
              <w:tab/>
            </w:r>
            <w:r w:rsidR="00292CC2" w:rsidRPr="0038415A">
              <w:rPr>
                <w:rStyle w:val="Hyperlink"/>
                <w:noProof/>
              </w:rPr>
              <w:t>Topic overview</w:t>
            </w:r>
            <w:r w:rsidR="00292CC2">
              <w:rPr>
                <w:noProof/>
                <w:webHidden/>
              </w:rPr>
              <w:tab/>
            </w:r>
            <w:r w:rsidR="00292CC2">
              <w:rPr>
                <w:noProof/>
                <w:webHidden/>
              </w:rPr>
              <w:fldChar w:fldCharType="begin"/>
            </w:r>
            <w:r w:rsidR="00292CC2">
              <w:rPr>
                <w:noProof/>
                <w:webHidden/>
              </w:rPr>
              <w:instrText xml:space="preserve"> PAGEREF _Toc96353747 \h </w:instrText>
            </w:r>
            <w:r w:rsidR="00292CC2">
              <w:rPr>
                <w:noProof/>
                <w:webHidden/>
              </w:rPr>
            </w:r>
            <w:r w:rsidR="00292CC2">
              <w:rPr>
                <w:noProof/>
                <w:webHidden/>
              </w:rPr>
              <w:fldChar w:fldCharType="separate"/>
            </w:r>
            <w:r>
              <w:rPr>
                <w:noProof/>
                <w:webHidden/>
              </w:rPr>
              <w:t>18</w:t>
            </w:r>
            <w:r w:rsidR="00292CC2">
              <w:rPr>
                <w:noProof/>
                <w:webHidden/>
              </w:rPr>
              <w:fldChar w:fldCharType="end"/>
            </w:r>
          </w:hyperlink>
        </w:p>
        <w:p w14:paraId="6E17512E" w14:textId="047BD3CE" w:rsidR="00292CC2" w:rsidRDefault="00897F53">
          <w:pPr>
            <w:pStyle w:val="TOC2"/>
            <w:rPr>
              <w:rFonts w:eastAsiaTheme="minorEastAsia"/>
              <w:noProof/>
              <w:lang w:eastAsia="en-AU"/>
            </w:rPr>
          </w:pPr>
          <w:hyperlink w:anchor="_Toc96353748" w:history="1">
            <w:r w:rsidR="00292CC2" w:rsidRPr="0038415A">
              <w:rPr>
                <w:rStyle w:val="Hyperlink"/>
                <w:noProof/>
              </w:rPr>
              <w:t>2.2.</w:t>
            </w:r>
            <w:r w:rsidR="00292CC2">
              <w:rPr>
                <w:rFonts w:eastAsiaTheme="minorEastAsia"/>
                <w:noProof/>
                <w:lang w:eastAsia="en-AU"/>
              </w:rPr>
              <w:tab/>
            </w:r>
            <w:r w:rsidR="00292CC2" w:rsidRPr="0038415A">
              <w:rPr>
                <w:rStyle w:val="Hyperlink"/>
                <w:noProof/>
              </w:rPr>
              <w:t>Rules considerations</w:t>
            </w:r>
            <w:r w:rsidR="00292CC2">
              <w:rPr>
                <w:noProof/>
                <w:webHidden/>
              </w:rPr>
              <w:tab/>
            </w:r>
            <w:r w:rsidR="00292CC2">
              <w:rPr>
                <w:noProof/>
                <w:webHidden/>
              </w:rPr>
              <w:fldChar w:fldCharType="begin"/>
            </w:r>
            <w:r w:rsidR="00292CC2">
              <w:rPr>
                <w:noProof/>
                <w:webHidden/>
              </w:rPr>
              <w:instrText xml:space="preserve"> PAGEREF _Toc96353748 \h </w:instrText>
            </w:r>
            <w:r w:rsidR="00292CC2">
              <w:rPr>
                <w:noProof/>
                <w:webHidden/>
              </w:rPr>
            </w:r>
            <w:r w:rsidR="00292CC2">
              <w:rPr>
                <w:noProof/>
                <w:webHidden/>
              </w:rPr>
              <w:fldChar w:fldCharType="separate"/>
            </w:r>
            <w:r>
              <w:rPr>
                <w:noProof/>
                <w:webHidden/>
              </w:rPr>
              <w:t>18</w:t>
            </w:r>
            <w:r w:rsidR="00292CC2">
              <w:rPr>
                <w:noProof/>
                <w:webHidden/>
              </w:rPr>
              <w:fldChar w:fldCharType="end"/>
            </w:r>
          </w:hyperlink>
        </w:p>
        <w:p w14:paraId="0F92404F" w14:textId="4FDD551F" w:rsidR="00292CC2" w:rsidRDefault="00897F53">
          <w:pPr>
            <w:pStyle w:val="TOC3"/>
            <w:rPr>
              <w:rFonts w:eastAsiaTheme="minorEastAsia"/>
              <w:noProof/>
              <w:lang w:eastAsia="en-AU"/>
            </w:rPr>
          </w:pPr>
          <w:hyperlink w:anchor="_Toc96353749" w:history="1">
            <w:r w:rsidR="00292CC2" w:rsidRPr="0038415A">
              <w:rPr>
                <w:rStyle w:val="Hyperlink"/>
                <w:b/>
                <w:bCs/>
                <w:noProof/>
              </w:rPr>
              <w:t>Users without online access</w:t>
            </w:r>
            <w:r w:rsidR="00292CC2">
              <w:rPr>
                <w:noProof/>
                <w:webHidden/>
              </w:rPr>
              <w:tab/>
            </w:r>
            <w:r w:rsidR="00292CC2">
              <w:rPr>
                <w:noProof/>
                <w:webHidden/>
              </w:rPr>
              <w:fldChar w:fldCharType="begin"/>
            </w:r>
            <w:r w:rsidR="00292CC2">
              <w:rPr>
                <w:noProof/>
                <w:webHidden/>
              </w:rPr>
              <w:instrText xml:space="preserve"> PAGEREF _Toc96353749 \h </w:instrText>
            </w:r>
            <w:r w:rsidR="00292CC2">
              <w:rPr>
                <w:noProof/>
                <w:webHidden/>
              </w:rPr>
            </w:r>
            <w:r w:rsidR="00292CC2">
              <w:rPr>
                <w:noProof/>
                <w:webHidden/>
              </w:rPr>
              <w:fldChar w:fldCharType="separate"/>
            </w:r>
            <w:r>
              <w:rPr>
                <w:noProof/>
                <w:webHidden/>
              </w:rPr>
              <w:t>20</w:t>
            </w:r>
            <w:r w:rsidR="00292CC2">
              <w:rPr>
                <w:noProof/>
                <w:webHidden/>
              </w:rPr>
              <w:fldChar w:fldCharType="end"/>
            </w:r>
          </w:hyperlink>
        </w:p>
        <w:p w14:paraId="78B9CE11" w14:textId="0FF14114" w:rsidR="00292CC2" w:rsidRDefault="00897F53">
          <w:pPr>
            <w:pStyle w:val="TOC3"/>
            <w:rPr>
              <w:rFonts w:eastAsiaTheme="minorEastAsia"/>
              <w:noProof/>
              <w:lang w:eastAsia="en-AU"/>
            </w:rPr>
          </w:pPr>
          <w:hyperlink w:anchor="_Toc96353750" w:history="1">
            <w:r w:rsidR="00292CC2" w:rsidRPr="0038415A">
              <w:rPr>
                <w:rStyle w:val="Hyperlink"/>
                <w:b/>
                <w:bCs/>
                <w:noProof/>
              </w:rPr>
              <w:t>Enterprise customers interaction with CDR</w:t>
            </w:r>
            <w:r w:rsidR="00292CC2">
              <w:rPr>
                <w:noProof/>
                <w:webHidden/>
              </w:rPr>
              <w:tab/>
            </w:r>
            <w:r w:rsidR="00292CC2">
              <w:rPr>
                <w:noProof/>
                <w:webHidden/>
              </w:rPr>
              <w:fldChar w:fldCharType="begin"/>
            </w:r>
            <w:r w:rsidR="00292CC2">
              <w:rPr>
                <w:noProof/>
                <w:webHidden/>
              </w:rPr>
              <w:instrText xml:space="preserve"> PAGEREF _Toc96353750 \h </w:instrText>
            </w:r>
            <w:r w:rsidR="00292CC2">
              <w:rPr>
                <w:noProof/>
                <w:webHidden/>
              </w:rPr>
            </w:r>
            <w:r w:rsidR="00292CC2">
              <w:rPr>
                <w:noProof/>
                <w:webHidden/>
              </w:rPr>
              <w:fldChar w:fldCharType="separate"/>
            </w:r>
            <w:r>
              <w:rPr>
                <w:noProof/>
                <w:webHidden/>
              </w:rPr>
              <w:t>20</w:t>
            </w:r>
            <w:r w:rsidR="00292CC2">
              <w:rPr>
                <w:noProof/>
                <w:webHidden/>
              </w:rPr>
              <w:fldChar w:fldCharType="end"/>
            </w:r>
          </w:hyperlink>
        </w:p>
        <w:p w14:paraId="0B236B4C" w14:textId="66332C5D" w:rsidR="00292CC2" w:rsidRDefault="00897F53">
          <w:pPr>
            <w:pStyle w:val="TOC2"/>
            <w:rPr>
              <w:rFonts w:eastAsiaTheme="minorEastAsia"/>
              <w:noProof/>
              <w:lang w:eastAsia="en-AU"/>
            </w:rPr>
          </w:pPr>
          <w:hyperlink w:anchor="_Toc96353751" w:history="1">
            <w:r w:rsidR="00292CC2" w:rsidRPr="0038415A">
              <w:rPr>
                <w:rStyle w:val="Hyperlink"/>
                <w:noProof/>
              </w:rPr>
              <w:t>2.3.</w:t>
            </w:r>
            <w:r w:rsidR="00292CC2">
              <w:rPr>
                <w:rFonts w:eastAsiaTheme="minorEastAsia"/>
                <w:noProof/>
                <w:lang w:eastAsia="en-AU"/>
              </w:rPr>
              <w:tab/>
            </w:r>
            <w:r w:rsidR="00292CC2" w:rsidRPr="0038415A">
              <w:rPr>
                <w:rStyle w:val="Hyperlink"/>
                <w:noProof/>
              </w:rPr>
              <w:t>Standards considerations</w:t>
            </w:r>
            <w:r w:rsidR="00292CC2">
              <w:rPr>
                <w:noProof/>
                <w:webHidden/>
              </w:rPr>
              <w:tab/>
            </w:r>
            <w:r w:rsidR="00292CC2">
              <w:rPr>
                <w:noProof/>
                <w:webHidden/>
              </w:rPr>
              <w:fldChar w:fldCharType="begin"/>
            </w:r>
            <w:r w:rsidR="00292CC2">
              <w:rPr>
                <w:noProof/>
                <w:webHidden/>
              </w:rPr>
              <w:instrText xml:space="preserve"> PAGEREF _Toc96353751 \h </w:instrText>
            </w:r>
            <w:r w:rsidR="00292CC2">
              <w:rPr>
                <w:noProof/>
                <w:webHidden/>
              </w:rPr>
            </w:r>
            <w:r w:rsidR="00292CC2">
              <w:rPr>
                <w:noProof/>
                <w:webHidden/>
              </w:rPr>
              <w:fldChar w:fldCharType="separate"/>
            </w:r>
            <w:r>
              <w:rPr>
                <w:noProof/>
                <w:webHidden/>
              </w:rPr>
              <w:t>21</w:t>
            </w:r>
            <w:r w:rsidR="00292CC2">
              <w:rPr>
                <w:noProof/>
                <w:webHidden/>
              </w:rPr>
              <w:fldChar w:fldCharType="end"/>
            </w:r>
          </w:hyperlink>
        </w:p>
        <w:p w14:paraId="68D805AB" w14:textId="4AC9357B" w:rsidR="00292CC2" w:rsidRDefault="00897F53">
          <w:pPr>
            <w:pStyle w:val="TOC3"/>
            <w:rPr>
              <w:rFonts w:eastAsiaTheme="minorEastAsia"/>
              <w:noProof/>
              <w:lang w:eastAsia="en-AU"/>
            </w:rPr>
          </w:pPr>
          <w:hyperlink w:anchor="_Toc96353752" w:history="1">
            <w:r w:rsidR="00292CC2" w:rsidRPr="0038415A">
              <w:rPr>
                <w:rStyle w:val="Hyperlink"/>
                <w:b/>
                <w:noProof/>
              </w:rPr>
              <w:t>Technical standards considerations</w:t>
            </w:r>
            <w:r w:rsidR="00292CC2">
              <w:rPr>
                <w:noProof/>
                <w:webHidden/>
              </w:rPr>
              <w:tab/>
            </w:r>
            <w:r w:rsidR="00292CC2">
              <w:rPr>
                <w:noProof/>
                <w:webHidden/>
              </w:rPr>
              <w:fldChar w:fldCharType="begin"/>
            </w:r>
            <w:r w:rsidR="00292CC2">
              <w:rPr>
                <w:noProof/>
                <w:webHidden/>
              </w:rPr>
              <w:instrText xml:space="preserve"> PAGEREF _Toc96353752 \h </w:instrText>
            </w:r>
            <w:r w:rsidR="00292CC2">
              <w:rPr>
                <w:noProof/>
                <w:webHidden/>
              </w:rPr>
            </w:r>
            <w:r w:rsidR="00292CC2">
              <w:rPr>
                <w:noProof/>
                <w:webHidden/>
              </w:rPr>
              <w:fldChar w:fldCharType="separate"/>
            </w:r>
            <w:r>
              <w:rPr>
                <w:noProof/>
                <w:webHidden/>
              </w:rPr>
              <w:t>21</w:t>
            </w:r>
            <w:r w:rsidR="00292CC2">
              <w:rPr>
                <w:noProof/>
                <w:webHidden/>
              </w:rPr>
              <w:fldChar w:fldCharType="end"/>
            </w:r>
          </w:hyperlink>
        </w:p>
        <w:p w14:paraId="425E60C4" w14:textId="6B32555D" w:rsidR="00292CC2" w:rsidRDefault="00897F53">
          <w:pPr>
            <w:pStyle w:val="TOC3"/>
            <w:rPr>
              <w:rFonts w:eastAsiaTheme="minorEastAsia"/>
              <w:noProof/>
              <w:lang w:eastAsia="en-AU"/>
            </w:rPr>
          </w:pPr>
          <w:hyperlink w:anchor="_Toc96353753" w:history="1">
            <w:r w:rsidR="00292CC2" w:rsidRPr="0038415A">
              <w:rPr>
                <w:rStyle w:val="Hyperlink"/>
                <w:b/>
                <w:noProof/>
              </w:rPr>
              <w:t>Consumer experience consideration</w:t>
            </w:r>
            <w:r w:rsidR="00292CC2" w:rsidRPr="0038415A">
              <w:rPr>
                <w:rStyle w:val="Hyperlink"/>
                <w:b/>
                <w:bCs/>
                <w:noProof/>
              </w:rPr>
              <w:t>s</w:t>
            </w:r>
            <w:r w:rsidR="00292CC2">
              <w:rPr>
                <w:noProof/>
                <w:webHidden/>
              </w:rPr>
              <w:tab/>
            </w:r>
            <w:r w:rsidR="00292CC2">
              <w:rPr>
                <w:noProof/>
                <w:webHidden/>
              </w:rPr>
              <w:fldChar w:fldCharType="begin"/>
            </w:r>
            <w:r w:rsidR="00292CC2">
              <w:rPr>
                <w:noProof/>
                <w:webHidden/>
              </w:rPr>
              <w:instrText xml:space="preserve"> PAGEREF _Toc96353753 \h </w:instrText>
            </w:r>
            <w:r w:rsidR="00292CC2">
              <w:rPr>
                <w:noProof/>
                <w:webHidden/>
              </w:rPr>
            </w:r>
            <w:r w:rsidR="00292CC2">
              <w:rPr>
                <w:noProof/>
                <w:webHidden/>
              </w:rPr>
              <w:fldChar w:fldCharType="separate"/>
            </w:r>
            <w:r>
              <w:rPr>
                <w:noProof/>
                <w:webHidden/>
              </w:rPr>
              <w:t>21</w:t>
            </w:r>
            <w:r w:rsidR="00292CC2">
              <w:rPr>
                <w:noProof/>
                <w:webHidden/>
              </w:rPr>
              <w:fldChar w:fldCharType="end"/>
            </w:r>
          </w:hyperlink>
        </w:p>
        <w:p w14:paraId="39B30B68" w14:textId="3028DDC4" w:rsidR="00292CC2" w:rsidRDefault="00897F53">
          <w:pPr>
            <w:pStyle w:val="TOC1"/>
            <w:tabs>
              <w:tab w:val="left" w:pos="440"/>
            </w:tabs>
            <w:rPr>
              <w:rFonts w:eastAsiaTheme="minorEastAsia"/>
              <w:noProof/>
              <w:lang w:eastAsia="en-AU"/>
            </w:rPr>
          </w:pPr>
          <w:hyperlink w:anchor="_Toc96353754" w:history="1">
            <w:r w:rsidR="00292CC2" w:rsidRPr="0038415A">
              <w:rPr>
                <w:rStyle w:val="Hyperlink"/>
                <w:noProof/>
              </w:rPr>
              <w:t>3.</w:t>
            </w:r>
            <w:r w:rsidR="00292CC2">
              <w:rPr>
                <w:rFonts w:eastAsiaTheme="minorEastAsia"/>
                <w:noProof/>
                <w:lang w:eastAsia="en-AU"/>
              </w:rPr>
              <w:tab/>
            </w:r>
            <w:r w:rsidR="00292CC2" w:rsidRPr="0038415A">
              <w:rPr>
                <w:rStyle w:val="Hyperlink"/>
                <w:noProof/>
              </w:rPr>
              <w:t>Other design issues for the telecommunications sector</w:t>
            </w:r>
            <w:r w:rsidR="00292CC2">
              <w:rPr>
                <w:noProof/>
                <w:webHidden/>
              </w:rPr>
              <w:tab/>
            </w:r>
            <w:r w:rsidR="00292CC2">
              <w:rPr>
                <w:noProof/>
                <w:webHidden/>
              </w:rPr>
              <w:fldChar w:fldCharType="begin"/>
            </w:r>
            <w:r w:rsidR="00292CC2">
              <w:rPr>
                <w:noProof/>
                <w:webHidden/>
              </w:rPr>
              <w:instrText xml:space="preserve"> PAGEREF _Toc96353754 \h </w:instrText>
            </w:r>
            <w:r w:rsidR="00292CC2">
              <w:rPr>
                <w:noProof/>
                <w:webHidden/>
              </w:rPr>
            </w:r>
            <w:r w:rsidR="00292CC2">
              <w:rPr>
                <w:noProof/>
                <w:webHidden/>
              </w:rPr>
              <w:fldChar w:fldCharType="separate"/>
            </w:r>
            <w:r>
              <w:rPr>
                <w:noProof/>
                <w:webHidden/>
              </w:rPr>
              <w:t>23</w:t>
            </w:r>
            <w:r w:rsidR="00292CC2">
              <w:rPr>
                <w:noProof/>
                <w:webHidden/>
              </w:rPr>
              <w:fldChar w:fldCharType="end"/>
            </w:r>
          </w:hyperlink>
        </w:p>
        <w:p w14:paraId="24C96435" w14:textId="178D860C" w:rsidR="00292CC2" w:rsidRDefault="00897F53">
          <w:pPr>
            <w:pStyle w:val="TOC2"/>
            <w:rPr>
              <w:rFonts w:eastAsiaTheme="minorEastAsia"/>
              <w:noProof/>
              <w:lang w:eastAsia="en-AU"/>
            </w:rPr>
          </w:pPr>
          <w:hyperlink w:anchor="_Toc96353755" w:history="1">
            <w:r w:rsidR="00292CC2" w:rsidRPr="0038415A">
              <w:rPr>
                <w:rStyle w:val="Hyperlink"/>
                <w:noProof/>
              </w:rPr>
              <w:t>3.1.</w:t>
            </w:r>
            <w:r w:rsidR="00292CC2">
              <w:rPr>
                <w:rFonts w:eastAsiaTheme="minorEastAsia"/>
                <w:noProof/>
                <w:lang w:eastAsia="en-AU"/>
              </w:rPr>
              <w:tab/>
            </w:r>
            <w:r w:rsidR="00292CC2" w:rsidRPr="0038415A">
              <w:rPr>
                <w:rStyle w:val="Hyperlink"/>
                <w:noProof/>
              </w:rPr>
              <w:t>Rules considerations</w:t>
            </w:r>
            <w:r w:rsidR="00292CC2">
              <w:rPr>
                <w:noProof/>
                <w:webHidden/>
              </w:rPr>
              <w:tab/>
            </w:r>
            <w:r w:rsidR="00292CC2">
              <w:rPr>
                <w:noProof/>
                <w:webHidden/>
              </w:rPr>
              <w:fldChar w:fldCharType="begin"/>
            </w:r>
            <w:r w:rsidR="00292CC2">
              <w:rPr>
                <w:noProof/>
                <w:webHidden/>
              </w:rPr>
              <w:instrText xml:space="preserve"> PAGEREF _Toc96353755 \h </w:instrText>
            </w:r>
            <w:r w:rsidR="00292CC2">
              <w:rPr>
                <w:noProof/>
                <w:webHidden/>
              </w:rPr>
            </w:r>
            <w:r w:rsidR="00292CC2">
              <w:rPr>
                <w:noProof/>
                <w:webHidden/>
              </w:rPr>
              <w:fldChar w:fldCharType="separate"/>
            </w:r>
            <w:r>
              <w:rPr>
                <w:noProof/>
                <w:webHidden/>
              </w:rPr>
              <w:t>23</w:t>
            </w:r>
            <w:r w:rsidR="00292CC2">
              <w:rPr>
                <w:noProof/>
                <w:webHidden/>
              </w:rPr>
              <w:fldChar w:fldCharType="end"/>
            </w:r>
          </w:hyperlink>
        </w:p>
        <w:p w14:paraId="5D160D69" w14:textId="0D2E7BB3" w:rsidR="00292CC2" w:rsidRDefault="00897F53">
          <w:pPr>
            <w:pStyle w:val="TOC3"/>
            <w:rPr>
              <w:rFonts w:eastAsiaTheme="minorEastAsia"/>
              <w:noProof/>
              <w:lang w:eastAsia="en-AU"/>
            </w:rPr>
          </w:pPr>
          <w:hyperlink w:anchor="_Toc96353756" w:history="1">
            <w:r w:rsidR="00292CC2" w:rsidRPr="0038415A">
              <w:rPr>
                <w:rStyle w:val="Hyperlink"/>
                <w:b/>
                <w:bCs/>
                <w:noProof/>
              </w:rPr>
              <w:t>White labelled products</w:t>
            </w:r>
            <w:r w:rsidR="00292CC2">
              <w:rPr>
                <w:noProof/>
                <w:webHidden/>
              </w:rPr>
              <w:tab/>
            </w:r>
            <w:r w:rsidR="00292CC2">
              <w:rPr>
                <w:noProof/>
                <w:webHidden/>
              </w:rPr>
              <w:fldChar w:fldCharType="begin"/>
            </w:r>
            <w:r w:rsidR="00292CC2">
              <w:rPr>
                <w:noProof/>
                <w:webHidden/>
              </w:rPr>
              <w:instrText xml:space="preserve"> PAGEREF _Toc96353756 \h </w:instrText>
            </w:r>
            <w:r w:rsidR="00292CC2">
              <w:rPr>
                <w:noProof/>
                <w:webHidden/>
              </w:rPr>
            </w:r>
            <w:r w:rsidR="00292CC2">
              <w:rPr>
                <w:noProof/>
                <w:webHidden/>
              </w:rPr>
              <w:fldChar w:fldCharType="separate"/>
            </w:r>
            <w:r>
              <w:rPr>
                <w:noProof/>
                <w:webHidden/>
              </w:rPr>
              <w:t>23</w:t>
            </w:r>
            <w:r w:rsidR="00292CC2">
              <w:rPr>
                <w:noProof/>
                <w:webHidden/>
              </w:rPr>
              <w:fldChar w:fldCharType="end"/>
            </w:r>
          </w:hyperlink>
        </w:p>
        <w:p w14:paraId="320D4BEA" w14:textId="44969414" w:rsidR="00292CC2" w:rsidRDefault="00897F53">
          <w:pPr>
            <w:pStyle w:val="TOC3"/>
            <w:rPr>
              <w:rFonts w:eastAsiaTheme="minorEastAsia"/>
              <w:noProof/>
              <w:lang w:eastAsia="en-AU"/>
            </w:rPr>
          </w:pPr>
          <w:hyperlink w:anchor="_Toc96353757" w:history="1">
            <w:r w:rsidR="00292CC2" w:rsidRPr="0038415A">
              <w:rPr>
                <w:rStyle w:val="Hyperlink"/>
                <w:b/>
                <w:bCs/>
                <w:noProof/>
              </w:rPr>
              <w:t>Internal dispute resolution requirements</w:t>
            </w:r>
            <w:r w:rsidR="00292CC2">
              <w:rPr>
                <w:noProof/>
                <w:webHidden/>
              </w:rPr>
              <w:tab/>
            </w:r>
            <w:r w:rsidR="00292CC2">
              <w:rPr>
                <w:noProof/>
                <w:webHidden/>
              </w:rPr>
              <w:fldChar w:fldCharType="begin"/>
            </w:r>
            <w:r w:rsidR="00292CC2">
              <w:rPr>
                <w:noProof/>
                <w:webHidden/>
              </w:rPr>
              <w:instrText xml:space="preserve"> PAGEREF _Toc96353757 \h </w:instrText>
            </w:r>
            <w:r w:rsidR="00292CC2">
              <w:rPr>
                <w:noProof/>
                <w:webHidden/>
              </w:rPr>
            </w:r>
            <w:r w:rsidR="00292CC2">
              <w:rPr>
                <w:noProof/>
                <w:webHidden/>
              </w:rPr>
              <w:fldChar w:fldCharType="separate"/>
            </w:r>
            <w:r>
              <w:rPr>
                <w:noProof/>
                <w:webHidden/>
              </w:rPr>
              <w:t>24</w:t>
            </w:r>
            <w:r w:rsidR="00292CC2">
              <w:rPr>
                <w:noProof/>
                <w:webHidden/>
              </w:rPr>
              <w:fldChar w:fldCharType="end"/>
            </w:r>
          </w:hyperlink>
        </w:p>
        <w:p w14:paraId="43261085" w14:textId="3DDFAB74" w:rsidR="00292CC2" w:rsidRDefault="00897F53">
          <w:pPr>
            <w:pStyle w:val="TOC3"/>
            <w:rPr>
              <w:rFonts w:eastAsiaTheme="minorEastAsia"/>
              <w:noProof/>
              <w:lang w:eastAsia="en-AU"/>
            </w:rPr>
          </w:pPr>
          <w:hyperlink w:anchor="_Toc96353758" w:history="1">
            <w:r w:rsidR="00292CC2" w:rsidRPr="0038415A">
              <w:rPr>
                <w:rStyle w:val="Hyperlink"/>
                <w:b/>
                <w:bCs/>
                <w:noProof/>
              </w:rPr>
              <w:t>External dispute resolution requirements</w:t>
            </w:r>
            <w:r w:rsidR="00292CC2">
              <w:rPr>
                <w:noProof/>
                <w:webHidden/>
              </w:rPr>
              <w:tab/>
            </w:r>
            <w:r w:rsidR="00292CC2">
              <w:rPr>
                <w:noProof/>
                <w:webHidden/>
              </w:rPr>
              <w:fldChar w:fldCharType="begin"/>
            </w:r>
            <w:r w:rsidR="00292CC2">
              <w:rPr>
                <w:noProof/>
                <w:webHidden/>
              </w:rPr>
              <w:instrText xml:space="preserve"> PAGEREF _Toc96353758 \h </w:instrText>
            </w:r>
            <w:r w:rsidR="00292CC2">
              <w:rPr>
                <w:noProof/>
                <w:webHidden/>
              </w:rPr>
            </w:r>
            <w:r w:rsidR="00292CC2">
              <w:rPr>
                <w:noProof/>
                <w:webHidden/>
              </w:rPr>
              <w:fldChar w:fldCharType="separate"/>
            </w:r>
            <w:r>
              <w:rPr>
                <w:noProof/>
                <w:webHidden/>
              </w:rPr>
              <w:t>25</w:t>
            </w:r>
            <w:r w:rsidR="00292CC2">
              <w:rPr>
                <w:noProof/>
                <w:webHidden/>
              </w:rPr>
              <w:fldChar w:fldCharType="end"/>
            </w:r>
          </w:hyperlink>
        </w:p>
        <w:p w14:paraId="2654A738" w14:textId="3A22DF82" w:rsidR="00292CC2" w:rsidRDefault="00897F53">
          <w:pPr>
            <w:pStyle w:val="TOC2"/>
            <w:rPr>
              <w:rFonts w:eastAsiaTheme="minorEastAsia"/>
              <w:noProof/>
              <w:lang w:eastAsia="en-AU"/>
            </w:rPr>
          </w:pPr>
          <w:hyperlink w:anchor="_Toc96353759" w:history="1">
            <w:r w:rsidR="00292CC2" w:rsidRPr="0038415A">
              <w:rPr>
                <w:rStyle w:val="Hyperlink"/>
                <w:noProof/>
              </w:rPr>
              <w:t>3.2.</w:t>
            </w:r>
            <w:r w:rsidR="00292CC2">
              <w:rPr>
                <w:rFonts w:eastAsiaTheme="minorEastAsia"/>
                <w:noProof/>
                <w:lang w:eastAsia="en-AU"/>
              </w:rPr>
              <w:tab/>
            </w:r>
            <w:r w:rsidR="00292CC2" w:rsidRPr="0038415A">
              <w:rPr>
                <w:rStyle w:val="Hyperlink"/>
                <w:noProof/>
              </w:rPr>
              <w:t>Standards considerations</w:t>
            </w:r>
            <w:r w:rsidR="00292CC2">
              <w:rPr>
                <w:noProof/>
                <w:webHidden/>
              </w:rPr>
              <w:tab/>
            </w:r>
            <w:r w:rsidR="00292CC2">
              <w:rPr>
                <w:noProof/>
                <w:webHidden/>
              </w:rPr>
              <w:fldChar w:fldCharType="begin"/>
            </w:r>
            <w:r w:rsidR="00292CC2">
              <w:rPr>
                <w:noProof/>
                <w:webHidden/>
              </w:rPr>
              <w:instrText xml:space="preserve"> PAGEREF _Toc96353759 \h </w:instrText>
            </w:r>
            <w:r w:rsidR="00292CC2">
              <w:rPr>
                <w:noProof/>
                <w:webHidden/>
              </w:rPr>
            </w:r>
            <w:r w:rsidR="00292CC2">
              <w:rPr>
                <w:noProof/>
                <w:webHidden/>
              </w:rPr>
              <w:fldChar w:fldCharType="separate"/>
            </w:r>
            <w:r>
              <w:rPr>
                <w:noProof/>
                <w:webHidden/>
              </w:rPr>
              <w:t>25</w:t>
            </w:r>
            <w:r w:rsidR="00292CC2">
              <w:rPr>
                <w:noProof/>
                <w:webHidden/>
              </w:rPr>
              <w:fldChar w:fldCharType="end"/>
            </w:r>
          </w:hyperlink>
        </w:p>
        <w:p w14:paraId="189FCE36" w14:textId="0442DA73" w:rsidR="00292CC2" w:rsidRDefault="00897F53">
          <w:pPr>
            <w:pStyle w:val="TOC3"/>
            <w:rPr>
              <w:rFonts w:eastAsiaTheme="minorEastAsia"/>
              <w:noProof/>
              <w:lang w:eastAsia="en-AU"/>
            </w:rPr>
          </w:pPr>
          <w:hyperlink w:anchor="_Toc96353760" w:history="1">
            <w:r w:rsidR="00292CC2" w:rsidRPr="0038415A">
              <w:rPr>
                <w:rStyle w:val="Hyperlink"/>
                <w:b/>
                <w:noProof/>
              </w:rPr>
              <w:t>Technical standards considerations</w:t>
            </w:r>
            <w:r w:rsidR="00292CC2">
              <w:rPr>
                <w:noProof/>
                <w:webHidden/>
              </w:rPr>
              <w:tab/>
            </w:r>
            <w:r w:rsidR="00292CC2">
              <w:rPr>
                <w:noProof/>
                <w:webHidden/>
              </w:rPr>
              <w:fldChar w:fldCharType="begin"/>
            </w:r>
            <w:r w:rsidR="00292CC2">
              <w:rPr>
                <w:noProof/>
                <w:webHidden/>
              </w:rPr>
              <w:instrText xml:space="preserve"> PAGEREF _Toc96353760 \h </w:instrText>
            </w:r>
            <w:r w:rsidR="00292CC2">
              <w:rPr>
                <w:noProof/>
                <w:webHidden/>
              </w:rPr>
            </w:r>
            <w:r w:rsidR="00292CC2">
              <w:rPr>
                <w:noProof/>
                <w:webHidden/>
              </w:rPr>
              <w:fldChar w:fldCharType="separate"/>
            </w:r>
            <w:r>
              <w:rPr>
                <w:noProof/>
                <w:webHidden/>
              </w:rPr>
              <w:t>25</w:t>
            </w:r>
            <w:r w:rsidR="00292CC2">
              <w:rPr>
                <w:noProof/>
                <w:webHidden/>
              </w:rPr>
              <w:fldChar w:fldCharType="end"/>
            </w:r>
          </w:hyperlink>
        </w:p>
        <w:p w14:paraId="45B6B04E" w14:textId="421B928D" w:rsidR="00292CC2" w:rsidRDefault="00897F53">
          <w:pPr>
            <w:pStyle w:val="TOC3"/>
            <w:rPr>
              <w:rFonts w:eastAsiaTheme="minorEastAsia"/>
              <w:noProof/>
              <w:lang w:eastAsia="en-AU"/>
            </w:rPr>
          </w:pPr>
          <w:hyperlink w:anchor="_Toc96353761" w:history="1">
            <w:r w:rsidR="00292CC2" w:rsidRPr="0038415A">
              <w:rPr>
                <w:rStyle w:val="Hyperlink"/>
                <w:b/>
                <w:noProof/>
              </w:rPr>
              <w:t>Consumer experience considerations</w:t>
            </w:r>
            <w:r w:rsidR="00292CC2">
              <w:rPr>
                <w:noProof/>
                <w:webHidden/>
              </w:rPr>
              <w:tab/>
            </w:r>
            <w:r w:rsidR="00292CC2">
              <w:rPr>
                <w:noProof/>
                <w:webHidden/>
              </w:rPr>
              <w:fldChar w:fldCharType="begin"/>
            </w:r>
            <w:r w:rsidR="00292CC2">
              <w:rPr>
                <w:noProof/>
                <w:webHidden/>
              </w:rPr>
              <w:instrText xml:space="preserve"> PAGEREF _Toc96353761 \h </w:instrText>
            </w:r>
            <w:r w:rsidR="00292CC2">
              <w:rPr>
                <w:noProof/>
                <w:webHidden/>
              </w:rPr>
            </w:r>
            <w:r w:rsidR="00292CC2">
              <w:rPr>
                <w:noProof/>
                <w:webHidden/>
              </w:rPr>
              <w:fldChar w:fldCharType="separate"/>
            </w:r>
            <w:r>
              <w:rPr>
                <w:noProof/>
                <w:webHidden/>
              </w:rPr>
              <w:t>26</w:t>
            </w:r>
            <w:r w:rsidR="00292CC2">
              <w:rPr>
                <w:noProof/>
                <w:webHidden/>
              </w:rPr>
              <w:fldChar w:fldCharType="end"/>
            </w:r>
          </w:hyperlink>
        </w:p>
        <w:p w14:paraId="0C966D24" w14:textId="2FDD0239" w:rsidR="00292CC2" w:rsidRDefault="00897F53">
          <w:pPr>
            <w:pStyle w:val="TOC2"/>
            <w:rPr>
              <w:rFonts w:eastAsiaTheme="minorEastAsia"/>
              <w:noProof/>
              <w:lang w:eastAsia="en-AU"/>
            </w:rPr>
          </w:pPr>
          <w:hyperlink w:anchor="_Toc96353762" w:history="1">
            <w:r w:rsidR="00292CC2" w:rsidRPr="0038415A">
              <w:rPr>
                <w:rStyle w:val="Hyperlink"/>
                <w:noProof/>
              </w:rPr>
              <w:t>3.3.</w:t>
            </w:r>
            <w:r w:rsidR="00292CC2">
              <w:rPr>
                <w:rFonts w:eastAsiaTheme="minorEastAsia"/>
                <w:noProof/>
                <w:lang w:eastAsia="en-AU"/>
              </w:rPr>
              <w:tab/>
            </w:r>
            <w:r w:rsidR="00292CC2" w:rsidRPr="0038415A">
              <w:rPr>
                <w:rStyle w:val="Hyperlink"/>
                <w:noProof/>
              </w:rPr>
              <w:t>Implementation considerations</w:t>
            </w:r>
            <w:r w:rsidR="00292CC2">
              <w:rPr>
                <w:noProof/>
                <w:webHidden/>
              </w:rPr>
              <w:tab/>
            </w:r>
            <w:r w:rsidR="00292CC2">
              <w:rPr>
                <w:noProof/>
                <w:webHidden/>
              </w:rPr>
              <w:fldChar w:fldCharType="begin"/>
            </w:r>
            <w:r w:rsidR="00292CC2">
              <w:rPr>
                <w:noProof/>
                <w:webHidden/>
              </w:rPr>
              <w:instrText xml:space="preserve"> PAGEREF _Toc96353762 \h </w:instrText>
            </w:r>
            <w:r w:rsidR="00292CC2">
              <w:rPr>
                <w:noProof/>
                <w:webHidden/>
              </w:rPr>
            </w:r>
            <w:r w:rsidR="00292CC2">
              <w:rPr>
                <w:noProof/>
                <w:webHidden/>
              </w:rPr>
              <w:fldChar w:fldCharType="separate"/>
            </w:r>
            <w:r>
              <w:rPr>
                <w:noProof/>
                <w:webHidden/>
              </w:rPr>
              <w:t>26</w:t>
            </w:r>
            <w:r w:rsidR="00292CC2">
              <w:rPr>
                <w:noProof/>
                <w:webHidden/>
              </w:rPr>
              <w:fldChar w:fldCharType="end"/>
            </w:r>
          </w:hyperlink>
        </w:p>
        <w:p w14:paraId="01E5B887" w14:textId="58197C90" w:rsidR="00292CC2" w:rsidRDefault="00897F53">
          <w:pPr>
            <w:pStyle w:val="TOC3"/>
            <w:rPr>
              <w:rFonts w:eastAsiaTheme="minorEastAsia"/>
              <w:noProof/>
              <w:lang w:eastAsia="en-AU"/>
            </w:rPr>
          </w:pPr>
          <w:hyperlink w:anchor="_Toc96353763" w:history="1">
            <w:r w:rsidR="00292CC2" w:rsidRPr="0038415A">
              <w:rPr>
                <w:rStyle w:val="Hyperlink"/>
                <w:b/>
                <w:noProof/>
              </w:rPr>
              <w:t>Staged implementation</w:t>
            </w:r>
            <w:r w:rsidR="00292CC2">
              <w:rPr>
                <w:noProof/>
                <w:webHidden/>
              </w:rPr>
              <w:tab/>
            </w:r>
            <w:r w:rsidR="00292CC2">
              <w:rPr>
                <w:noProof/>
                <w:webHidden/>
              </w:rPr>
              <w:fldChar w:fldCharType="begin"/>
            </w:r>
            <w:r w:rsidR="00292CC2">
              <w:rPr>
                <w:noProof/>
                <w:webHidden/>
              </w:rPr>
              <w:instrText xml:space="preserve"> PAGEREF _Toc96353763 \h </w:instrText>
            </w:r>
            <w:r w:rsidR="00292CC2">
              <w:rPr>
                <w:noProof/>
                <w:webHidden/>
              </w:rPr>
            </w:r>
            <w:r w:rsidR="00292CC2">
              <w:rPr>
                <w:noProof/>
                <w:webHidden/>
              </w:rPr>
              <w:fldChar w:fldCharType="separate"/>
            </w:r>
            <w:r>
              <w:rPr>
                <w:noProof/>
                <w:webHidden/>
              </w:rPr>
              <w:t>26</w:t>
            </w:r>
            <w:r w:rsidR="00292CC2">
              <w:rPr>
                <w:noProof/>
                <w:webHidden/>
              </w:rPr>
              <w:fldChar w:fldCharType="end"/>
            </w:r>
          </w:hyperlink>
        </w:p>
        <w:p w14:paraId="011AAEE4" w14:textId="64E4BA3B" w:rsidR="00A8603D" w:rsidRPr="002702D2" w:rsidRDefault="007963F7" w:rsidP="002702D2">
          <w:pPr>
            <w:pStyle w:val="TOC1"/>
            <w:rPr>
              <w:rFonts w:eastAsiaTheme="minorEastAsia"/>
              <w:noProof/>
              <w:lang w:eastAsia="en-AU"/>
            </w:rPr>
          </w:pPr>
          <w:r>
            <w:fldChar w:fldCharType="end"/>
          </w:r>
        </w:p>
      </w:sdtContent>
    </w:sdt>
    <w:p w14:paraId="0EF156F4" w14:textId="76AA5F65" w:rsidR="007963F7" w:rsidRPr="00EB3C6F" w:rsidRDefault="007963F7" w:rsidP="00EB3C6F">
      <w:r>
        <w:br w:type="page"/>
      </w:r>
    </w:p>
    <w:p w14:paraId="07AF0A4F" w14:textId="59551A31" w:rsidR="00154C93" w:rsidRPr="009D6004" w:rsidRDefault="008D01B6" w:rsidP="007347F2">
      <w:pPr>
        <w:pStyle w:val="Title"/>
      </w:pPr>
      <w:r w:rsidRPr="009D6004">
        <w:lastRenderedPageBreak/>
        <w:t xml:space="preserve">Part A – </w:t>
      </w:r>
      <w:r w:rsidR="00DA15D2">
        <w:t>Overview</w:t>
      </w:r>
    </w:p>
    <w:p w14:paraId="3725F402" w14:textId="0381C5BC" w:rsidR="00154C93" w:rsidRPr="007347F2" w:rsidRDefault="00154C93" w:rsidP="00154C93">
      <w:pPr>
        <w:pStyle w:val="Heading1"/>
      </w:pPr>
      <w:bookmarkStart w:id="0" w:name="_Toc93315740"/>
      <w:bookmarkStart w:id="1" w:name="_Toc96353733"/>
      <w:r w:rsidRPr="007347F2">
        <w:t>Context</w:t>
      </w:r>
      <w:r w:rsidR="000C76C9">
        <w:t xml:space="preserve"> and purpose</w:t>
      </w:r>
      <w:bookmarkEnd w:id="0"/>
      <w:bookmarkEnd w:id="1"/>
    </w:p>
    <w:p w14:paraId="4A59CCBD" w14:textId="5F916FB9" w:rsidR="003062AE" w:rsidRPr="00C929E0" w:rsidRDefault="003062AE" w:rsidP="00A8734E">
      <w:pPr>
        <w:pStyle w:val="Normal-Numberedparagraphs"/>
      </w:pPr>
      <w:bookmarkStart w:id="2" w:name="_Ref69204898"/>
      <w:r>
        <w:t>On 24 January 2022, the Minister for Superannuation, Financial Services and the Digital Economy</w:t>
      </w:r>
      <w:r w:rsidR="00A6675D">
        <w:t>, Senator the Hon Jane Hume,</w:t>
      </w:r>
      <w:r>
        <w:t xml:space="preserve"> </w:t>
      </w:r>
      <w:r w:rsidR="00731981">
        <w:t xml:space="preserve">(the </w:t>
      </w:r>
      <w:r w:rsidR="00731981" w:rsidRPr="00731981">
        <w:rPr>
          <w:b/>
          <w:bCs/>
        </w:rPr>
        <w:t>Minister</w:t>
      </w:r>
      <w:r w:rsidR="00731981">
        <w:t xml:space="preserve">) </w:t>
      </w:r>
      <w:r>
        <w:t>formally extended the Consumer Data Right (</w:t>
      </w:r>
      <w:r w:rsidRPr="00BD6DBA">
        <w:rPr>
          <w:b/>
        </w:rPr>
        <w:t>CDR</w:t>
      </w:r>
      <w:r>
        <w:t xml:space="preserve">) regime </w:t>
      </w:r>
      <w:r w:rsidR="00CF6074">
        <w:t xml:space="preserve">to </w:t>
      </w:r>
      <w:r>
        <w:t xml:space="preserve">the telecommunications sector </w:t>
      </w:r>
      <w:r w:rsidR="00A6675D">
        <w:t xml:space="preserve">via </w:t>
      </w:r>
      <w:r w:rsidR="0006729B">
        <w:t>a designation instrument</w:t>
      </w:r>
      <w:r w:rsidR="00A6675D">
        <w:t xml:space="preserve">. The designation instrument </w:t>
      </w:r>
      <w:r w:rsidR="0006729B">
        <w:t>specifies the telecommunications data holders – carriers and carriage service providers (</w:t>
      </w:r>
      <w:r w:rsidR="0006729B" w:rsidRPr="00C3546D">
        <w:rPr>
          <w:b/>
        </w:rPr>
        <w:t>CSPs</w:t>
      </w:r>
      <w:r w:rsidR="0006729B">
        <w:t>) – and data sets to which CDR applies</w:t>
      </w:r>
      <w:r w:rsidR="00CF3BCF">
        <w:t>.</w:t>
      </w:r>
      <w:r w:rsidR="0006729B">
        <w:rPr>
          <w:rStyle w:val="FootnoteReference"/>
        </w:rPr>
        <w:footnoteReference w:id="2"/>
      </w:r>
      <w:r>
        <w:t xml:space="preserve"> </w:t>
      </w:r>
    </w:p>
    <w:bookmarkEnd w:id="2"/>
    <w:p w14:paraId="2D3D5CB0" w14:textId="0DF4FB52" w:rsidR="00E17720" w:rsidRDefault="00E17720" w:rsidP="00A8734E">
      <w:pPr>
        <w:pStyle w:val="Normal-Numberedparagraphs"/>
      </w:pPr>
      <w:r>
        <w:rPr>
          <w:rStyle w:val="normaltextrun"/>
          <w:rFonts w:ascii="Calibri" w:hAnsi="Calibri" w:cs="Calibri"/>
          <w:color w:val="000000"/>
        </w:rPr>
        <w:t xml:space="preserve">The designation </w:t>
      </w:r>
      <w:r w:rsidR="00B658B1">
        <w:rPr>
          <w:rStyle w:val="normaltextrun"/>
          <w:rFonts w:ascii="Calibri" w:hAnsi="Calibri" w:cs="Calibri"/>
          <w:color w:val="000000"/>
        </w:rPr>
        <w:t xml:space="preserve">instrument </w:t>
      </w:r>
      <w:r>
        <w:rPr>
          <w:rStyle w:val="normaltextrun"/>
          <w:rFonts w:ascii="Calibri" w:hAnsi="Calibri" w:cs="Calibri"/>
          <w:color w:val="000000"/>
        </w:rPr>
        <w:t>does not enliven data sharing obligations</w:t>
      </w:r>
      <w:r w:rsidR="00B658B1">
        <w:rPr>
          <w:rStyle w:val="normaltextrun"/>
          <w:rFonts w:ascii="Calibri" w:hAnsi="Calibri" w:cs="Calibri"/>
          <w:color w:val="000000"/>
        </w:rPr>
        <w:t xml:space="preserve"> for data holders</w:t>
      </w:r>
      <w:r w:rsidR="00DB0AF4">
        <w:rPr>
          <w:rStyle w:val="normaltextrun"/>
          <w:rFonts w:ascii="Calibri" w:hAnsi="Calibri" w:cs="Calibri"/>
          <w:color w:val="000000"/>
        </w:rPr>
        <w:t xml:space="preserve"> and </w:t>
      </w:r>
      <w:r w:rsidR="000605A7">
        <w:rPr>
          <w:rStyle w:val="normaltextrun"/>
          <w:rFonts w:ascii="Calibri" w:hAnsi="Calibri" w:cs="Calibri"/>
          <w:color w:val="000000"/>
        </w:rPr>
        <w:t xml:space="preserve">amendments to the </w:t>
      </w:r>
      <w:r w:rsidR="00651DAC">
        <w:rPr>
          <w:rStyle w:val="normaltextrun"/>
          <w:rFonts w:ascii="Calibri" w:hAnsi="Calibri" w:cs="Calibri"/>
          <w:i/>
          <w:iCs/>
          <w:color w:val="000000"/>
        </w:rPr>
        <w:t xml:space="preserve">Competition and Consumer (Consumer Data Right) Rules 2020 </w:t>
      </w:r>
      <w:r w:rsidR="00651DAC">
        <w:rPr>
          <w:rStyle w:val="normaltextrun"/>
          <w:rFonts w:ascii="Calibri" w:hAnsi="Calibri" w:cs="Calibri"/>
          <w:color w:val="000000"/>
        </w:rPr>
        <w:t>(</w:t>
      </w:r>
      <w:r w:rsidR="00B658B1" w:rsidRPr="00BD6DBA">
        <w:rPr>
          <w:rStyle w:val="normaltextrun"/>
          <w:rFonts w:ascii="Calibri" w:hAnsi="Calibri" w:cs="Calibri"/>
          <w:b/>
          <w:color w:val="000000"/>
        </w:rPr>
        <w:t>CDR</w:t>
      </w:r>
      <w:r w:rsidR="005C1BC0" w:rsidRPr="00BD6DBA">
        <w:rPr>
          <w:rStyle w:val="normaltextrun"/>
          <w:rFonts w:ascii="Calibri" w:hAnsi="Calibri" w:cs="Calibri"/>
          <w:b/>
          <w:color w:val="000000"/>
        </w:rPr>
        <w:t xml:space="preserve"> </w:t>
      </w:r>
      <w:r w:rsidR="00003C91">
        <w:rPr>
          <w:rStyle w:val="normaltextrun"/>
          <w:rFonts w:ascii="Calibri" w:hAnsi="Calibri" w:cs="Calibri"/>
          <w:b/>
          <w:bCs/>
          <w:color w:val="000000"/>
        </w:rPr>
        <w:t>R</w:t>
      </w:r>
      <w:r w:rsidR="005C1BC0" w:rsidRPr="00BD6DBA">
        <w:rPr>
          <w:rStyle w:val="normaltextrun"/>
          <w:rFonts w:ascii="Calibri" w:hAnsi="Calibri" w:cs="Calibri"/>
          <w:b/>
          <w:bCs/>
          <w:color w:val="000000"/>
        </w:rPr>
        <w:t>ules</w:t>
      </w:r>
      <w:r w:rsidR="00651DAC">
        <w:rPr>
          <w:rStyle w:val="normaltextrun"/>
          <w:rFonts w:ascii="Calibri" w:hAnsi="Calibri" w:cs="Calibri"/>
          <w:color w:val="000000"/>
        </w:rPr>
        <w:t>)</w:t>
      </w:r>
      <w:r w:rsidR="00AB2E4F">
        <w:rPr>
          <w:rStyle w:val="normaltextrun"/>
          <w:rFonts w:ascii="Calibri" w:hAnsi="Calibri" w:cs="Calibri"/>
          <w:color w:val="000000"/>
        </w:rPr>
        <w:t xml:space="preserve"> </w:t>
      </w:r>
      <w:r w:rsidR="00AB2E4F">
        <w:rPr>
          <w:rFonts w:cstheme="minorHAnsi"/>
          <w:bCs/>
        </w:rPr>
        <w:t>and Consumer Data Right Standards</w:t>
      </w:r>
      <w:r w:rsidR="005C1BC0">
        <w:rPr>
          <w:rStyle w:val="normaltextrun"/>
          <w:rFonts w:ascii="Calibri" w:hAnsi="Calibri" w:cs="Calibri"/>
          <w:color w:val="000000"/>
        </w:rPr>
        <w:t xml:space="preserve"> </w:t>
      </w:r>
      <w:r w:rsidR="00B658B1">
        <w:rPr>
          <w:rStyle w:val="normaltextrun"/>
          <w:rFonts w:ascii="Calibri" w:hAnsi="Calibri" w:cs="Calibri"/>
          <w:color w:val="000000"/>
        </w:rPr>
        <w:t>will ultimately</w:t>
      </w:r>
      <w:r w:rsidR="005C1BC0">
        <w:rPr>
          <w:rStyle w:val="normaltextrun"/>
          <w:rFonts w:ascii="Calibri" w:hAnsi="Calibri" w:cs="Calibri"/>
          <w:color w:val="000000"/>
        </w:rPr>
        <w:t xml:space="preserve"> specify what </w:t>
      </w:r>
      <w:r w:rsidR="00B658B1">
        <w:rPr>
          <w:rStyle w:val="normaltextrun"/>
          <w:rFonts w:ascii="Calibri" w:hAnsi="Calibri" w:cs="Calibri"/>
          <w:color w:val="000000"/>
        </w:rPr>
        <w:t>designated</w:t>
      </w:r>
      <w:r w:rsidR="005C1BC0">
        <w:rPr>
          <w:rStyle w:val="normaltextrun"/>
          <w:rFonts w:ascii="Calibri" w:hAnsi="Calibri" w:cs="Calibri"/>
          <w:color w:val="000000"/>
        </w:rPr>
        <w:t xml:space="preserve"> data </w:t>
      </w:r>
      <w:r w:rsidR="000605A7">
        <w:rPr>
          <w:rStyle w:val="normaltextrun"/>
          <w:rFonts w:ascii="Calibri" w:hAnsi="Calibri" w:cs="Calibri"/>
          <w:color w:val="000000"/>
        </w:rPr>
        <w:t>is</w:t>
      </w:r>
      <w:r w:rsidR="00B658B1">
        <w:rPr>
          <w:rStyle w:val="normaltextrun"/>
          <w:rFonts w:ascii="Calibri" w:hAnsi="Calibri" w:cs="Calibri"/>
          <w:color w:val="000000"/>
        </w:rPr>
        <w:t xml:space="preserve"> required to be</w:t>
      </w:r>
      <w:r w:rsidR="005C1BC0">
        <w:rPr>
          <w:rStyle w:val="normaltextrun"/>
          <w:rFonts w:ascii="Calibri" w:hAnsi="Calibri" w:cs="Calibri"/>
          <w:color w:val="000000"/>
        </w:rPr>
        <w:t xml:space="preserve"> shared, by whom and when. </w:t>
      </w:r>
    </w:p>
    <w:p w14:paraId="594E7974" w14:textId="5598BD2D" w:rsidR="00FB7427" w:rsidRDefault="00246234" w:rsidP="002D7099">
      <w:pPr>
        <w:pStyle w:val="Normal-Numberedparagraphs"/>
      </w:pPr>
      <w:r>
        <w:t xml:space="preserve">This paper </w:t>
      </w:r>
      <w:r w:rsidR="00301557">
        <w:t>seek</w:t>
      </w:r>
      <w:r w:rsidR="00A40BCF">
        <w:t>s</w:t>
      </w:r>
      <w:r w:rsidR="00301557">
        <w:t xml:space="preserve"> </w:t>
      </w:r>
      <w:r>
        <w:t xml:space="preserve">feedback </w:t>
      </w:r>
      <w:r w:rsidR="00301557">
        <w:t xml:space="preserve">on the design and principles to support the development of </w:t>
      </w:r>
      <w:r w:rsidR="006515AF">
        <w:t xml:space="preserve">recommended </w:t>
      </w:r>
      <w:r w:rsidR="00A40BCF">
        <w:t xml:space="preserve">amendments to the </w:t>
      </w:r>
      <w:r w:rsidR="00287A37">
        <w:t xml:space="preserve">CDR </w:t>
      </w:r>
      <w:r w:rsidR="00301557">
        <w:t>rules and standards</w:t>
      </w:r>
      <w:r w:rsidR="00301557" w:rsidDel="00246234">
        <w:t xml:space="preserve"> to </w:t>
      </w:r>
      <w:r w:rsidR="00301557" w:rsidDel="00A40BCF">
        <w:t>implement</w:t>
      </w:r>
      <w:r w:rsidR="00FB1198">
        <w:t xml:space="preserve"> the</w:t>
      </w:r>
      <w:r w:rsidR="00301557" w:rsidDel="00A40BCF">
        <w:t xml:space="preserve"> CDR in the telecommunications sector</w:t>
      </w:r>
      <w:r w:rsidR="00842F11">
        <w:t>:</w:t>
      </w:r>
    </w:p>
    <w:p w14:paraId="017AE0ED" w14:textId="267DEECB" w:rsidR="00A40BCF" w:rsidRDefault="00A40BCF" w:rsidP="00EB3C6F">
      <w:pPr>
        <w:pStyle w:val="Normal-Numberedparagraphs"/>
        <w:numPr>
          <w:ilvl w:val="0"/>
          <w:numId w:val="104"/>
        </w:numPr>
      </w:pPr>
      <w:r>
        <w:t>The rules will determine the scope of data sharing requirements for data holders</w:t>
      </w:r>
      <w:r w:rsidR="004124F2">
        <w:t xml:space="preserve">, </w:t>
      </w:r>
      <w:r>
        <w:t>the scope of consumers that will be eligible to share data</w:t>
      </w:r>
      <w:r w:rsidR="004124F2">
        <w:t xml:space="preserve"> and other requirements</w:t>
      </w:r>
      <w:r w:rsidR="00842F11">
        <w:t>; and</w:t>
      </w:r>
    </w:p>
    <w:p w14:paraId="164A5E22" w14:textId="2AD10635" w:rsidR="00A40BCF" w:rsidRDefault="00A40BCF" w:rsidP="00EB3C6F">
      <w:pPr>
        <w:pStyle w:val="Normal-Numberedparagraphs"/>
        <w:numPr>
          <w:ilvl w:val="0"/>
          <w:numId w:val="104"/>
        </w:numPr>
      </w:pPr>
      <w:r>
        <w:t xml:space="preserve">The standards will specify the technical and consumer experience requirements for the development of suitable </w:t>
      </w:r>
      <w:r w:rsidRPr="001E6332">
        <w:t>Application Programming Interface</w:t>
      </w:r>
      <w:r>
        <w:t>s (</w:t>
      </w:r>
      <w:r w:rsidRPr="00494183">
        <w:rPr>
          <w:b/>
          <w:bCs/>
        </w:rPr>
        <w:t>APIs</w:t>
      </w:r>
      <w:r>
        <w:t>)</w:t>
      </w:r>
      <w:r w:rsidR="00A01BE8">
        <w:t xml:space="preserve"> including data language standards used to describe data clusters and permissions</w:t>
      </w:r>
      <w:r>
        <w:t>.</w:t>
      </w:r>
    </w:p>
    <w:p w14:paraId="0084E462" w14:textId="03421DD5" w:rsidR="00C850AA" w:rsidRDefault="009B153B" w:rsidP="00A358FC">
      <w:pPr>
        <w:pStyle w:val="Normal-Numberedparagraphs"/>
      </w:pPr>
      <w:r>
        <w:t xml:space="preserve">The CDR is an economy-wide regime that uses sector-agnostic rules and standards in relation to the </w:t>
      </w:r>
      <w:r w:rsidRPr="00162DE5">
        <w:t xml:space="preserve">above matters wherever possible. </w:t>
      </w:r>
      <w:r w:rsidR="00C850AA" w:rsidRPr="00162DE5">
        <w:t>With the CDR extending to a third sector, there will be more opportunities for consumers to benefit from innovative cross-sectoral use cases.</w:t>
      </w:r>
      <w:r w:rsidR="00C850AA">
        <w:t xml:space="preserve"> </w:t>
      </w:r>
    </w:p>
    <w:p w14:paraId="0A68B6FA" w14:textId="71F02BBA" w:rsidR="00A358FC" w:rsidRDefault="009B153B" w:rsidP="00A358FC">
      <w:pPr>
        <w:pStyle w:val="Normal-Numberedparagraphs"/>
      </w:pPr>
      <w:r>
        <w:t>T</w:t>
      </w:r>
      <w:r w:rsidR="00A358FC">
        <w:t xml:space="preserve">he </w:t>
      </w:r>
      <w:r>
        <w:t>existing</w:t>
      </w:r>
      <w:r w:rsidR="001F763E">
        <w:t xml:space="preserve"> </w:t>
      </w:r>
      <w:r w:rsidR="00491255">
        <w:t xml:space="preserve">CDR </w:t>
      </w:r>
      <w:r w:rsidR="00A358FC">
        <w:t xml:space="preserve">rules and standards </w:t>
      </w:r>
      <w:r w:rsidR="001F763E">
        <w:t xml:space="preserve">include requirements that </w:t>
      </w:r>
      <w:r w:rsidR="00491255">
        <w:t xml:space="preserve">will </w:t>
      </w:r>
      <w:r w:rsidR="00A358FC">
        <w:t>apply</w:t>
      </w:r>
      <w:r w:rsidR="00491255">
        <w:t xml:space="preserve"> to the telecommunications secto</w:t>
      </w:r>
      <w:r w:rsidR="001F763E">
        <w:t>r, as</w:t>
      </w:r>
      <w:r w:rsidR="00491255">
        <w:t xml:space="preserve"> outlined below</w:t>
      </w:r>
      <w:r w:rsidR="00A358FC">
        <w:t xml:space="preserve">: </w:t>
      </w:r>
    </w:p>
    <w:p w14:paraId="27C71C22" w14:textId="52EED76A" w:rsidR="00B0224B" w:rsidRDefault="00B0224B" w:rsidP="00180F69">
      <w:pPr>
        <w:pStyle w:val="Bullet"/>
        <w:numPr>
          <w:ilvl w:val="0"/>
          <w:numId w:val="147"/>
        </w:numPr>
      </w:pPr>
      <w:r w:rsidRPr="004D301C">
        <w:rPr>
          <w:b/>
          <w:bCs/>
        </w:rPr>
        <w:t xml:space="preserve">General provisions relating to data holders and to accredited </w:t>
      </w:r>
      <w:r w:rsidR="005F55DA" w:rsidRPr="004D301C">
        <w:rPr>
          <w:b/>
          <w:bCs/>
        </w:rPr>
        <w:t>data recipients</w:t>
      </w:r>
      <w:r w:rsidRPr="004D301C">
        <w:rPr>
          <w:b/>
          <w:bCs/>
        </w:rPr>
        <w:t>:</w:t>
      </w:r>
      <w:r>
        <w:t xml:space="preserve"> </w:t>
      </w:r>
      <w:r w:rsidR="007F0E4D">
        <w:t>Set ou</w:t>
      </w:r>
      <w:r w:rsidR="007F6254">
        <w:t>t</w:t>
      </w:r>
      <w:r w:rsidR="007F0E4D">
        <w:t xml:space="preserve"> requirements for </w:t>
      </w:r>
      <w:r>
        <w:t>product and consumer data request</w:t>
      </w:r>
      <w:r w:rsidR="0079515D">
        <w:t xml:space="preserve"> services</w:t>
      </w:r>
      <w:r>
        <w:t xml:space="preserve">, services for managing consumer data requests made by accredited </w:t>
      </w:r>
      <w:r w:rsidR="00AB65CF">
        <w:t>data recipients</w:t>
      </w:r>
      <w:r>
        <w:t xml:space="preserve">, obligations </w:t>
      </w:r>
      <w:r w:rsidR="00D74E01">
        <w:t>relating to CDR outsourcing and representative arrangements</w:t>
      </w:r>
      <w:r>
        <w:t xml:space="preserve">, </w:t>
      </w:r>
      <w:r w:rsidR="00E02299">
        <w:t xml:space="preserve">and </w:t>
      </w:r>
      <w:r>
        <w:t>deletion and de-identification of CDR data</w:t>
      </w:r>
      <w:r w:rsidR="00E02299">
        <w:t>.</w:t>
      </w:r>
    </w:p>
    <w:p w14:paraId="48507587" w14:textId="52E107DF" w:rsidR="00B0224B" w:rsidRDefault="00B0224B" w:rsidP="00180F69">
      <w:pPr>
        <w:pStyle w:val="Bullet"/>
        <w:numPr>
          <w:ilvl w:val="0"/>
          <w:numId w:val="147"/>
        </w:numPr>
      </w:pPr>
      <w:r w:rsidRPr="004D301C">
        <w:rPr>
          <w:b/>
          <w:bCs/>
        </w:rPr>
        <w:t xml:space="preserve">Product data requests: </w:t>
      </w:r>
      <w:r w:rsidR="007F0E4D">
        <w:t>Set out requirements for d</w:t>
      </w:r>
      <w:r>
        <w:t xml:space="preserve">isclosing product data </w:t>
      </w:r>
      <w:r w:rsidR="00AB65CF">
        <w:t>(</w:t>
      </w:r>
      <w:proofErr w:type="gramStart"/>
      <w:r w:rsidR="00AB65CF">
        <w:t>i.e.</w:t>
      </w:r>
      <w:proofErr w:type="gramEnd"/>
      <w:r w:rsidR="00AB65CF">
        <w:t xml:space="preserve"> product information) </w:t>
      </w:r>
      <w:r>
        <w:t>in response to product data request, refusal to disclose required product data in response to product data request and use of data disclosed pursuant to product data request.</w:t>
      </w:r>
      <w:r w:rsidR="007C29AA">
        <w:t xml:space="preserve"> </w:t>
      </w:r>
    </w:p>
    <w:p w14:paraId="16055525" w14:textId="101F3398" w:rsidR="007C29AA" w:rsidRDefault="00B0224B" w:rsidP="00162DE5">
      <w:pPr>
        <w:pStyle w:val="Bullet"/>
        <w:numPr>
          <w:ilvl w:val="0"/>
          <w:numId w:val="147"/>
        </w:numPr>
      </w:pPr>
      <w:r w:rsidRPr="007C29AA">
        <w:rPr>
          <w:b/>
          <w:bCs/>
        </w:rPr>
        <w:lastRenderedPageBreak/>
        <w:t>Consumer data requests made by eligible CDR consumers:</w:t>
      </w:r>
      <w:r>
        <w:t xml:space="preserve"> </w:t>
      </w:r>
      <w:r w:rsidR="007F0E4D">
        <w:t>Set out requirements for d</w:t>
      </w:r>
      <w:r w:rsidR="007D058D">
        <w:t>isclosing c</w:t>
      </w:r>
      <w:r w:rsidR="00F857EA">
        <w:t xml:space="preserve">onsumer </w:t>
      </w:r>
      <w:r w:rsidR="007D058D">
        <w:t>data in response to a valid consumer data request and refusal to disclose required consumer data in response to</w:t>
      </w:r>
      <w:r w:rsidR="007D2EA9">
        <w:t xml:space="preserve"> </w:t>
      </w:r>
      <w:r w:rsidR="007D058D">
        <w:t>consumer data request.</w:t>
      </w:r>
      <w:r w:rsidR="00493519">
        <w:rPr>
          <w:rStyle w:val="FootnoteReference"/>
        </w:rPr>
        <w:footnoteReference w:id="3"/>
      </w:r>
      <w:r w:rsidR="007C29AA">
        <w:t xml:space="preserve"> </w:t>
      </w:r>
    </w:p>
    <w:p w14:paraId="3EFF11E6" w14:textId="6E0D1473" w:rsidR="00DE002C" w:rsidRDefault="00DE002C" w:rsidP="00180F69">
      <w:pPr>
        <w:pStyle w:val="Bullet"/>
        <w:numPr>
          <w:ilvl w:val="0"/>
          <w:numId w:val="147"/>
        </w:numPr>
      </w:pPr>
      <w:r w:rsidRPr="004D301C">
        <w:rPr>
          <w:b/>
          <w:bCs/>
        </w:rPr>
        <w:t>Joint accounts:</w:t>
      </w:r>
      <w:r>
        <w:t xml:space="preserve"> </w:t>
      </w:r>
      <w:r w:rsidR="007F0E4D">
        <w:t>Set out requirements for d</w:t>
      </w:r>
      <w:r>
        <w:t xml:space="preserve">isclosure options and consumer data requests that relate to joint accounts. </w:t>
      </w:r>
    </w:p>
    <w:p w14:paraId="29C69A1C" w14:textId="3F5F643E" w:rsidR="00DE002C" w:rsidRDefault="00DE002C" w:rsidP="00DE002C">
      <w:pPr>
        <w:pStyle w:val="Bullet"/>
        <w:numPr>
          <w:ilvl w:val="0"/>
          <w:numId w:val="147"/>
        </w:numPr>
      </w:pPr>
      <w:r w:rsidRPr="004D301C">
        <w:rPr>
          <w:b/>
          <w:bCs/>
        </w:rPr>
        <w:t>Rules relating to accreditation</w:t>
      </w:r>
      <w:r w:rsidR="00514E94" w:rsidRPr="004D301C">
        <w:rPr>
          <w:b/>
          <w:bCs/>
        </w:rPr>
        <w:t xml:space="preserve"> for recipients of consumer data</w:t>
      </w:r>
      <w:r w:rsidRPr="004D301C">
        <w:rPr>
          <w:b/>
          <w:bCs/>
        </w:rPr>
        <w:t xml:space="preserve">: </w:t>
      </w:r>
      <w:r w:rsidR="007F0E4D">
        <w:t>Set out requirements for a</w:t>
      </w:r>
      <w:r>
        <w:t xml:space="preserve">pplying to be an accredited </w:t>
      </w:r>
      <w:r w:rsidR="005F55DA">
        <w:t>data recipient</w:t>
      </w:r>
      <w:r>
        <w:t xml:space="preserve">, consideration </w:t>
      </w:r>
      <w:r w:rsidR="007F0E4D">
        <w:t>of</w:t>
      </w:r>
      <w:r>
        <w:t xml:space="preserve"> application</w:t>
      </w:r>
      <w:r w:rsidR="008A1FBA">
        <w:t>s</w:t>
      </w:r>
      <w:r>
        <w:t xml:space="preserve"> to be</w:t>
      </w:r>
      <w:r w:rsidR="00AB65CF">
        <w:t>come</w:t>
      </w:r>
      <w:r>
        <w:t xml:space="preserve"> accredited </w:t>
      </w:r>
      <w:r w:rsidR="00AB65CF">
        <w:t>data recipients</w:t>
      </w:r>
      <w:r>
        <w:t xml:space="preserve">, obligations of </w:t>
      </w:r>
      <w:r w:rsidR="00AB65CF">
        <w:t>those recipients</w:t>
      </w:r>
      <w:r>
        <w:t>, transfer, suspension, surrender and revocation of accreditation, and rules relating to the Register of Accredited Persons</w:t>
      </w:r>
      <w:r w:rsidR="00AB65CF">
        <w:t>.</w:t>
      </w:r>
    </w:p>
    <w:p w14:paraId="60B02B4D" w14:textId="4EAB478F" w:rsidR="00AE4D4A" w:rsidRDefault="00AE4D4A" w:rsidP="004D301C">
      <w:pPr>
        <w:pStyle w:val="Bullet"/>
        <w:numPr>
          <w:ilvl w:val="1"/>
          <w:numId w:val="147"/>
        </w:numPr>
      </w:pPr>
      <w:r>
        <w:t xml:space="preserve">A ‘data minimisation principle’ also applies to </w:t>
      </w:r>
      <w:r w:rsidR="00AB65CF">
        <w:t>accredited</w:t>
      </w:r>
      <w:r>
        <w:t xml:space="preserve"> data recipients. </w:t>
      </w:r>
      <w:r w:rsidR="00AB65CF">
        <w:t>Accredited d</w:t>
      </w:r>
      <w:r>
        <w:t>ata recipients can only collect and use CDR data that is reasonably needed for the provision of the good or service that the consumer has consented to</w:t>
      </w:r>
      <w:r w:rsidR="0042054B">
        <w:t xml:space="preserve"> and cannot seek to collect CDR data that relates to a longer </w:t>
      </w:r>
      <w:proofErr w:type="gramStart"/>
      <w:r w:rsidR="0042054B">
        <w:t>time period</w:t>
      </w:r>
      <w:proofErr w:type="gramEnd"/>
      <w:r w:rsidR="0042054B">
        <w:t xml:space="preserve"> than is reasonably needed</w:t>
      </w:r>
      <w:r>
        <w:t xml:space="preserve">. </w:t>
      </w:r>
    </w:p>
    <w:p w14:paraId="238045D2" w14:textId="6BF8E8F3" w:rsidR="001F4004" w:rsidRDefault="001F4004" w:rsidP="00180F69">
      <w:pPr>
        <w:pStyle w:val="Bullet"/>
        <w:numPr>
          <w:ilvl w:val="0"/>
          <w:numId w:val="147"/>
        </w:numPr>
      </w:pPr>
      <w:r w:rsidRPr="004D301C">
        <w:rPr>
          <w:b/>
          <w:bCs/>
        </w:rPr>
        <w:t>Consumer data requests made by accredited</w:t>
      </w:r>
      <w:r w:rsidR="00AB65CF" w:rsidRPr="004D301C">
        <w:rPr>
          <w:b/>
          <w:bCs/>
        </w:rPr>
        <w:t xml:space="preserve"> data recipients</w:t>
      </w:r>
      <w:r w:rsidRPr="004D301C">
        <w:rPr>
          <w:b/>
          <w:bCs/>
        </w:rPr>
        <w:t>:</w:t>
      </w:r>
      <w:r>
        <w:t xml:space="preserve"> </w:t>
      </w:r>
      <w:r w:rsidR="007F0E4D">
        <w:t>Set out requirements for c</w:t>
      </w:r>
      <w:r w:rsidR="004A3B90">
        <w:t xml:space="preserve">onsumer </w:t>
      </w:r>
      <w:r w:rsidR="00DE002C">
        <w:t xml:space="preserve">data requests </w:t>
      </w:r>
      <w:r w:rsidR="00DE002C" w:rsidDel="00AB65CF">
        <w:t xml:space="preserve">made by accredited </w:t>
      </w:r>
      <w:r w:rsidR="005F55DA">
        <w:t>data recipients</w:t>
      </w:r>
      <w:r w:rsidR="005F55DA" w:rsidDel="00AB65CF">
        <w:t xml:space="preserve"> </w:t>
      </w:r>
      <w:r w:rsidR="00DE002C" w:rsidDel="00AB65CF">
        <w:t xml:space="preserve">to CDR participants, </w:t>
      </w:r>
      <w:r w:rsidR="00AB65CF">
        <w:t xml:space="preserve">including </w:t>
      </w:r>
      <w:r w:rsidR="00DE002C">
        <w:t xml:space="preserve">giving and amending consents, </w:t>
      </w:r>
      <w:r w:rsidR="00E05E28">
        <w:t xml:space="preserve">and </w:t>
      </w:r>
      <w:r w:rsidR="00DE002C">
        <w:t>authorisations to disclose CDR data.</w:t>
      </w:r>
    </w:p>
    <w:p w14:paraId="289BC6D9" w14:textId="083142B3" w:rsidR="00DC5F51" w:rsidRDefault="00DC5F51" w:rsidP="00DC5F51">
      <w:pPr>
        <w:pStyle w:val="Bullet"/>
        <w:numPr>
          <w:ilvl w:val="0"/>
          <w:numId w:val="147"/>
        </w:numPr>
      </w:pPr>
      <w:r w:rsidRPr="004D301C">
        <w:rPr>
          <w:b/>
          <w:bCs/>
        </w:rPr>
        <w:t>Rules relating to dispute resolution:</w:t>
      </w:r>
      <w:r>
        <w:t xml:space="preserve"> </w:t>
      </w:r>
      <w:r w:rsidR="007F0E4D">
        <w:t>Set out requirements for d</w:t>
      </w:r>
      <w:r>
        <w:t>ispute resolution for data holders and accredited data recipients (both internal and external dispute resolution)</w:t>
      </w:r>
      <w:r w:rsidR="00514E94">
        <w:t>.</w:t>
      </w:r>
    </w:p>
    <w:p w14:paraId="7B284DF1" w14:textId="6F71794C" w:rsidR="00DC5F51" w:rsidRDefault="00DC5F51" w:rsidP="00DC5F51">
      <w:pPr>
        <w:pStyle w:val="Bullet"/>
        <w:numPr>
          <w:ilvl w:val="0"/>
          <w:numId w:val="147"/>
        </w:numPr>
      </w:pPr>
      <w:r w:rsidRPr="004D301C">
        <w:rPr>
          <w:b/>
          <w:bCs/>
        </w:rPr>
        <w:t xml:space="preserve">Rules relating to privacy safeguards: </w:t>
      </w:r>
      <w:r w:rsidR="007F0E4D">
        <w:t>Set out requirements for r</w:t>
      </w:r>
      <w:r>
        <w:t>ules relating to consideration of CDR data privacy, collecting CDR data, dealing with CDR data, integrity and security of CDR data, and correction of CDR data.</w:t>
      </w:r>
    </w:p>
    <w:p w14:paraId="544311F5" w14:textId="6F475823" w:rsidR="00DC5F51" w:rsidRDefault="00DC5F51" w:rsidP="00DC5F51">
      <w:pPr>
        <w:pStyle w:val="Bullet"/>
        <w:numPr>
          <w:ilvl w:val="0"/>
          <w:numId w:val="147"/>
        </w:numPr>
      </w:pPr>
      <w:r w:rsidRPr="004D301C">
        <w:rPr>
          <w:b/>
          <w:bCs/>
        </w:rPr>
        <w:t>Rules relating to data standards:</w:t>
      </w:r>
      <w:r>
        <w:t xml:space="preserve"> </w:t>
      </w:r>
      <w:r w:rsidR="007F0E4D">
        <w:t xml:space="preserve">Set out requirements for the </w:t>
      </w:r>
      <w:r>
        <w:t xml:space="preserve">Data Standards Advisory Committees, reviewing, </w:t>
      </w:r>
      <w:proofErr w:type="gramStart"/>
      <w:r>
        <w:t>developing</w:t>
      </w:r>
      <w:proofErr w:type="gramEnd"/>
      <w:r>
        <w:t xml:space="preserve"> and amending data standards</w:t>
      </w:r>
      <w:r w:rsidR="004A764B">
        <w:t>,</w:t>
      </w:r>
      <w:r>
        <w:t xml:space="preserve"> and data standards that must be made</w:t>
      </w:r>
      <w:r w:rsidR="00514E94">
        <w:t xml:space="preserve"> including technical data standards in relation to the sharing of data through API calls and consumer experience related data standards</w:t>
      </w:r>
      <w:r>
        <w:t xml:space="preserve">. </w:t>
      </w:r>
    </w:p>
    <w:p w14:paraId="2C14C423" w14:textId="1F0D168D" w:rsidR="00DC5F51" w:rsidRDefault="00DC5F51" w:rsidP="00DC5F51">
      <w:pPr>
        <w:pStyle w:val="Bullet"/>
        <w:numPr>
          <w:ilvl w:val="0"/>
          <w:numId w:val="147"/>
        </w:numPr>
      </w:pPr>
      <w:r w:rsidRPr="004D301C">
        <w:rPr>
          <w:b/>
          <w:bCs/>
        </w:rPr>
        <w:t>Other matters:</w:t>
      </w:r>
      <w:r>
        <w:t xml:space="preserve"> </w:t>
      </w:r>
      <w:r w:rsidR="007F0E4D">
        <w:t>Set out requirements for m</w:t>
      </w:r>
      <w:r>
        <w:t xml:space="preserve">iscellaneous matters such as </w:t>
      </w:r>
      <w:r>
        <w:rPr>
          <w:color w:val="000000"/>
          <w:shd w:val="clear" w:color="auto" w:fill="FFFFFF"/>
        </w:rPr>
        <w:t>reporting and record keeping, audits and civil penalty provisions</w:t>
      </w:r>
      <w:r w:rsidR="00AB65CF">
        <w:rPr>
          <w:color w:val="000000"/>
          <w:shd w:val="clear" w:color="auto" w:fill="FFFFFF"/>
        </w:rPr>
        <w:t xml:space="preserve"> for breaches of obligations</w:t>
      </w:r>
      <w:r>
        <w:rPr>
          <w:color w:val="000000"/>
          <w:shd w:val="clear" w:color="auto" w:fill="FFFFFF"/>
        </w:rPr>
        <w:t>.</w:t>
      </w:r>
    </w:p>
    <w:p w14:paraId="7924A369" w14:textId="117667BA" w:rsidR="00623417" w:rsidRDefault="009B153B" w:rsidP="00EB1710">
      <w:pPr>
        <w:pStyle w:val="Normal-Numberedparagraphs"/>
      </w:pPr>
      <w:r>
        <w:t xml:space="preserve">The </w:t>
      </w:r>
      <w:r w:rsidR="00EB1710">
        <w:t>aim of this paper is to identify areas where sector-specific rules and standards</w:t>
      </w:r>
      <w:r>
        <w:t xml:space="preserve"> are needed to effectively apply the regime to telecommunications entities, and to design these in a way that is </w:t>
      </w:r>
      <w:r w:rsidR="00EB1710">
        <w:t xml:space="preserve">aligned with existing </w:t>
      </w:r>
      <w:r w:rsidR="00AB2E4F">
        <w:t>sectoral arrangements</w:t>
      </w:r>
      <w:r w:rsidR="00EB1710">
        <w:t xml:space="preserve">, seeking to minimise costs for participants. Similarly, we seek information on how the telecommunications sector currently structures its systems to collect and use information and how customer accounts are structured. </w:t>
      </w:r>
      <w:r w:rsidR="00014019">
        <w:t xml:space="preserve">Throughout the paper, Treasury has identified minded to </w:t>
      </w:r>
      <w:r w:rsidR="00544A10">
        <w:t xml:space="preserve">and proposed </w:t>
      </w:r>
      <w:r w:rsidR="00014019">
        <w:t xml:space="preserve">positions </w:t>
      </w:r>
      <w:r w:rsidR="001E1FE5">
        <w:t xml:space="preserve">for the purposes of seeking feedback </w:t>
      </w:r>
      <w:r w:rsidR="001E1FE5">
        <w:lastRenderedPageBreak/>
        <w:t xml:space="preserve">from stakeholders. Feedback from this and other consultation processes will inform Treasury’s advice </w:t>
      </w:r>
      <w:r w:rsidR="00014019">
        <w:t>to the Minister</w:t>
      </w:r>
      <w:r w:rsidR="001E1FE5">
        <w:t xml:space="preserve"> </w:t>
      </w:r>
      <w:r w:rsidR="00E52D5F">
        <w:t xml:space="preserve">as the </w:t>
      </w:r>
      <w:r w:rsidR="00014019">
        <w:t>decision</w:t>
      </w:r>
      <w:r w:rsidR="00E52D5F">
        <w:t>maker for the rules</w:t>
      </w:r>
      <w:r w:rsidR="00014019">
        <w:t xml:space="preserve">. </w:t>
      </w:r>
    </w:p>
    <w:p w14:paraId="1AF2F19B" w14:textId="0C7D58FA" w:rsidR="00775F9F" w:rsidRDefault="003201E6" w:rsidP="00A8734E">
      <w:pPr>
        <w:pStyle w:val="Normal-Numberedparagraphs"/>
      </w:pPr>
      <w:r>
        <w:rPr>
          <w:rFonts w:eastAsia="Times New Roman"/>
        </w:rPr>
        <w:t xml:space="preserve">These areas are the subject of </w:t>
      </w:r>
      <w:r w:rsidR="007375B5" w:rsidRPr="00BD6DBA">
        <w:rPr>
          <w:b/>
        </w:rPr>
        <w:t>Part B</w:t>
      </w:r>
      <w:r w:rsidR="007375B5">
        <w:t xml:space="preserve"> of t</w:t>
      </w:r>
      <w:r w:rsidR="00775F9F">
        <w:t>his paper</w:t>
      </w:r>
      <w:r>
        <w:t>, which</w:t>
      </w:r>
      <w:r w:rsidR="00775F9F">
        <w:t xml:space="preserve"> covers three topic areas:</w:t>
      </w:r>
    </w:p>
    <w:p w14:paraId="2E0CE0D9" w14:textId="3FCB2C7D" w:rsidR="00BA22A0" w:rsidRDefault="007375B5" w:rsidP="00EB3C6F">
      <w:pPr>
        <w:pStyle w:val="Normal-Numberedparagraphs"/>
        <w:numPr>
          <w:ilvl w:val="0"/>
          <w:numId w:val="105"/>
        </w:numPr>
      </w:pPr>
      <w:r w:rsidRPr="00BD6DBA">
        <w:rPr>
          <w:b/>
        </w:rPr>
        <w:t>Section 1</w:t>
      </w:r>
      <w:r w:rsidR="00775F9F">
        <w:t xml:space="preserve"> seeks feedback on the potential scope of data sharing in the telecommunications sector and outlines the policy objectives, and rules and standards considerations</w:t>
      </w:r>
      <w:r w:rsidR="00B44041">
        <w:t xml:space="preserve">. This section also discusses whether a de minimis threshold should </w:t>
      </w:r>
      <w:r w:rsidR="00BB24E1">
        <w:t>be recommended</w:t>
      </w:r>
      <w:r w:rsidR="00B44041">
        <w:t xml:space="preserve"> for mandatory data sharing obligations.</w:t>
      </w:r>
    </w:p>
    <w:p w14:paraId="28FF29A0" w14:textId="6E0D7097" w:rsidR="00775F9F" w:rsidRDefault="007375B5" w:rsidP="00EB3C6F">
      <w:pPr>
        <w:pStyle w:val="Normal-Numberedparagraphs"/>
        <w:numPr>
          <w:ilvl w:val="0"/>
          <w:numId w:val="105"/>
        </w:numPr>
      </w:pPr>
      <w:r w:rsidRPr="00BD6DBA">
        <w:rPr>
          <w:b/>
        </w:rPr>
        <w:t>Section 2</w:t>
      </w:r>
      <w:r w:rsidR="00775F9F">
        <w:t xml:space="preserve"> seeks feedback on the consumers that should be eligible to share </w:t>
      </w:r>
      <w:r w:rsidR="00C63060">
        <w:t xml:space="preserve">telecommunications </w:t>
      </w:r>
      <w:r w:rsidR="00775F9F">
        <w:t xml:space="preserve">data under </w:t>
      </w:r>
      <w:r w:rsidR="00AF6927">
        <w:t>the</w:t>
      </w:r>
      <w:r w:rsidR="00775F9F">
        <w:t xml:space="preserve"> CDR regime</w:t>
      </w:r>
      <w:r w:rsidR="003A02E9">
        <w:t xml:space="preserve"> and how consumer accounts are currently structured in the telecommunications sector</w:t>
      </w:r>
      <w:r w:rsidR="00B44041">
        <w:t xml:space="preserve">. This section also discusses whether enterprise customers should be eligible for data sharing. </w:t>
      </w:r>
    </w:p>
    <w:p w14:paraId="7EA0AB95" w14:textId="7E24268C" w:rsidR="00423292" w:rsidRDefault="007375B5">
      <w:pPr>
        <w:pStyle w:val="Normal-Numberedparagraphs"/>
        <w:numPr>
          <w:ilvl w:val="0"/>
          <w:numId w:val="105"/>
        </w:numPr>
      </w:pPr>
      <w:r w:rsidRPr="00BD6DBA">
        <w:rPr>
          <w:b/>
        </w:rPr>
        <w:t>Section 3</w:t>
      </w:r>
      <w:r w:rsidR="00775F9F">
        <w:t xml:space="preserve"> seeks feedback on other design features </w:t>
      </w:r>
      <w:r w:rsidR="00A031F3">
        <w:t>recommended</w:t>
      </w:r>
      <w:r w:rsidR="00775F9F">
        <w:t xml:space="preserve"> as part of implementing CDR in the telecommunications sector</w:t>
      </w:r>
      <w:r>
        <w:t xml:space="preserve"> including </w:t>
      </w:r>
      <w:r w:rsidR="002C6186" w:rsidRPr="00BD6DBA">
        <w:t xml:space="preserve">treatment </w:t>
      </w:r>
      <w:r w:rsidR="00421E9A">
        <w:t>of</w:t>
      </w:r>
      <w:r w:rsidR="002C6186" w:rsidRPr="00D52652">
        <w:t xml:space="preserve"> white labelled products</w:t>
      </w:r>
      <w:r w:rsidR="00767EE3">
        <w:t xml:space="preserve"> and</w:t>
      </w:r>
      <w:r w:rsidRPr="00D52652">
        <w:t xml:space="preserve"> </w:t>
      </w:r>
      <w:r w:rsidR="002C6186" w:rsidRPr="00D52652">
        <w:t>internal and external dispute</w:t>
      </w:r>
      <w:r w:rsidR="006A49F1">
        <w:t xml:space="preserve"> resolution</w:t>
      </w:r>
      <w:r w:rsidR="002C6186" w:rsidRPr="00D52652">
        <w:t xml:space="preserve"> requirements for data holders and accredited data recipients (</w:t>
      </w:r>
      <w:r w:rsidR="002C6186" w:rsidRPr="00D52652">
        <w:rPr>
          <w:b/>
        </w:rPr>
        <w:t>ADRs</w:t>
      </w:r>
      <w:r w:rsidR="002C6186" w:rsidRPr="00D52652">
        <w:t>)</w:t>
      </w:r>
      <w:r w:rsidR="00775F9F" w:rsidRPr="002C6186">
        <w:t>.</w:t>
      </w:r>
      <w:r w:rsidR="00775F9F">
        <w:t xml:space="preserve"> </w:t>
      </w:r>
      <w:r w:rsidR="004E470C">
        <w:t xml:space="preserve">This section also discusses options for </w:t>
      </w:r>
      <w:r w:rsidR="00767EE3">
        <w:t xml:space="preserve">phased </w:t>
      </w:r>
      <w:r w:rsidR="004E470C">
        <w:t>implementation of CDR</w:t>
      </w:r>
      <w:r w:rsidR="00767EE3">
        <w:t xml:space="preserve"> data sharing</w:t>
      </w:r>
      <w:r w:rsidR="004E470C">
        <w:t xml:space="preserve"> obligations. </w:t>
      </w:r>
    </w:p>
    <w:p w14:paraId="1F316E65" w14:textId="41900E9D" w:rsidR="00D65F7C" w:rsidRDefault="00D97EFF" w:rsidP="004D301C">
      <w:pPr>
        <w:pStyle w:val="Normal-Numberedparagraphs"/>
        <w:numPr>
          <w:ilvl w:val="0"/>
          <w:numId w:val="2"/>
        </w:numPr>
      </w:pPr>
      <w:r w:rsidRPr="00D97EFF">
        <w:t>We invite</w:t>
      </w:r>
      <w:r w:rsidR="00EB1068" w:rsidRPr="00D97EFF">
        <w:t xml:space="preserve"> stakeholders to provide feedback and specific examples of use cases </w:t>
      </w:r>
      <w:r w:rsidR="00D10F59">
        <w:t>that can be supported b</w:t>
      </w:r>
      <w:r w:rsidR="00A04DD0">
        <w:t>y designated telecommunications data</w:t>
      </w:r>
      <w:r w:rsidR="00105CE3">
        <w:t>, including cross-sectoral use cases</w:t>
      </w:r>
      <w:r w:rsidR="00A04DD0">
        <w:t>.</w:t>
      </w:r>
      <w:r w:rsidR="008338B4">
        <w:t xml:space="preserve"> </w:t>
      </w:r>
    </w:p>
    <w:p w14:paraId="1CC021BE" w14:textId="73C3212F" w:rsidR="00C9612A" w:rsidRPr="00D97EFF" w:rsidRDefault="00C9612A" w:rsidP="00E538B1">
      <w:pPr>
        <w:pStyle w:val="Normal-Numberedparagraphs"/>
        <w:numPr>
          <w:ilvl w:val="0"/>
          <w:numId w:val="2"/>
        </w:numPr>
      </w:pPr>
      <w:r>
        <w:t>Feedback at this stage of the process will be used to develop d</w:t>
      </w:r>
      <w:r w:rsidRPr="00D106D6">
        <w:t xml:space="preserve">raft </w:t>
      </w:r>
      <w:r>
        <w:t xml:space="preserve">CDR </w:t>
      </w:r>
      <w:r w:rsidRPr="00D106D6">
        <w:t xml:space="preserve">rules </w:t>
      </w:r>
      <w:r>
        <w:t xml:space="preserve">and standards. Draft CDR rules and standards will be the subject of formal consultation at a later stage, with the </w:t>
      </w:r>
      <w:r w:rsidRPr="00D106D6">
        <w:t>opportunity to make formal submissions.</w:t>
      </w:r>
    </w:p>
    <w:p w14:paraId="2ECB8415" w14:textId="093CC076" w:rsidR="00FB1DAB" w:rsidRDefault="00623417" w:rsidP="00FB1DAB">
      <w:pPr>
        <w:pStyle w:val="Heading1"/>
      </w:pPr>
      <w:bookmarkStart w:id="3" w:name="_Toc96353734"/>
      <w:bookmarkStart w:id="4" w:name="_Toc93315741"/>
      <w:r>
        <w:t>Telecommunications sector</w:t>
      </w:r>
      <w:r w:rsidR="00FB1DAB">
        <w:t xml:space="preserve"> Data Holders</w:t>
      </w:r>
      <w:bookmarkEnd w:id="3"/>
    </w:p>
    <w:p w14:paraId="65327272" w14:textId="77F89D71" w:rsidR="00B07B25" w:rsidRPr="00162DE5" w:rsidRDefault="00FB1DAB" w:rsidP="00FB1DAB">
      <w:pPr>
        <w:pStyle w:val="Normal-Numberedparagraphs"/>
        <w:keepNext/>
        <w:numPr>
          <w:ilvl w:val="0"/>
          <w:numId w:val="2"/>
        </w:numPr>
        <w:rPr>
          <w:rFonts w:cstheme="minorHAnsi"/>
        </w:rPr>
      </w:pPr>
      <w:r w:rsidRPr="00686FB1">
        <w:t xml:space="preserve">Data holders are entities that are specified in </w:t>
      </w:r>
      <w:r>
        <w:t>a</w:t>
      </w:r>
      <w:r w:rsidRPr="00686FB1">
        <w:t xml:space="preserve"> designation instrument as holding data included in the designation instrument. </w:t>
      </w:r>
      <w:r>
        <w:t>The telecommunications designation</w:t>
      </w:r>
      <w:r w:rsidRPr="00686FB1">
        <w:t xml:space="preserve"> instrument</w:t>
      </w:r>
      <w:r>
        <w:t xml:space="preserve"> captures</w:t>
      </w:r>
      <w:r w:rsidRPr="00686FB1">
        <w:t xml:space="preserve"> carriers and </w:t>
      </w:r>
      <w:r>
        <w:t xml:space="preserve">CSPs </w:t>
      </w:r>
      <w:r w:rsidRPr="00686FB1">
        <w:t>as data holders and</w:t>
      </w:r>
      <w:r w:rsidR="00B07B25">
        <w:t xml:space="preserve">, </w:t>
      </w:r>
      <w:r w:rsidR="00B07B25">
        <w:rPr>
          <w:rFonts w:eastAsia="Times New Roman"/>
        </w:rPr>
        <w:t xml:space="preserve">as outlined in the sectoral assessment final report, our policy intention remains to exclude providers of ‘over the top’ (OTT) communications services and network providers from data holder obligations. </w:t>
      </w:r>
    </w:p>
    <w:p w14:paraId="5096E5C1" w14:textId="17BCEA2B" w:rsidR="00FB1DAB" w:rsidRPr="00AD23DF" w:rsidRDefault="00B07B25" w:rsidP="00FB1DAB">
      <w:pPr>
        <w:pStyle w:val="Normal-Numberedparagraphs"/>
        <w:keepNext/>
        <w:numPr>
          <w:ilvl w:val="0"/>
          <w:numId w:val="2"/>
        </w:numPr>
        <w:rPr>
          <w:rFonts w:cstheme="minorHAnsi"/>
        </w:rPr>
      </w:pPr>
      <w:r>
        <w:t>O</w:t>
      </w:r>
      <w:r w:rsidR="00FB1DAB" w:rsidRPr="00686FB1">
        <w:t xml:space="preserve">ur intention is that </w:t>
      </w:r>
      <w:r w:rsidR="00FB1DAB">
        <w:t xml:space="preserve">data sharing obligations will be recommended for data holders in relation to </w:t>
      </w:r>
      <w:r w:rsidR="00FB1DAB" w:rsidRPr="00686FB1">
        <w:t>publicly offer</w:t>
      </w:r>
      <w:r w:rsidR="00FB1DAB">
        <w:t>ed</w:t>
      </w:r>
      <w:r w:rsidR="00FB1DAB" w:rsidRPr="00686FB1">
        <w:t xml:space="preserve"> products </w:t>
      </w:r>
      <w:r w:rsidR="00FB1DAB">
        <w:t xml:space="preserve">and consumer-related data as </w:t>
      </w:r>
      <w:r w:rsidR="00FB1DAB" w:rsidRPr="00686FB1">
        <w:t xml:space="preserve">specified in the rules </w:t>
      </w:r>
      <w:r w:rsidR="00FB1DAB">
        <w:t>and standards</w:t>
      </w:r>
      <w:r w:rsidR="00FB1DAB" w:rsidRPr="00686FB1">
        <w:t>.</w:t>
      </w:r>
      <w:r w:rsidR="00FB1DAB">
        <w:t xml:space="preserve"> Data about publicly offered products</w:t>
      </w:r>
      <w:r w:rsidR="00FB1DAB" w:rsidRPr="00686FB1">
        <w:t xml:space="preserve"> </w:t>
      </w:r>
      <w:r w:rsidR="00FB1DAB">
        <w:t xml:space="preserve">(also known as ‘product reference data’ or ‘generic product data’) will be available to anyone via APIs while access to consumer-related data requires accreditation to receive that data as well as consent from the consumer to which the data relates. </w:t>
      </w:r>
      <w:r w:rsidR="00F60989">
        <w:t xml:space="preserve">In certain circumstances, such as disclosure to a trusted adviser, receipt of certain consumer-related data is allowed without accreditation. </w:t>
      </w:r>
    </w:p>
    <w:p w14:paraId="47F90BEF" w14:textId="6BB62C68" w:rsidR="00FB1DAB" w:rsidRDefault="00FB1DAB" w:rsidP="00FB1DAB">
      <w:pPr>
        <w:pStyle w:val="Normal-Numberedparagraphs"/>
        <w:keepNext/>
      </w:pPr>
      <w:r>
        <w:t xml:space="preserve">Data holders have a range of obligations and many of these obligations are sector-agnostic. This paper focuses on data holder obligations that require consideration in developing rules and standards for the telecommunications sector. Specifically, the obligation to provide dashboards for consumer authorisations that relate to data held by the data holder, and obligations about CDR consumer complaints and record keeping may require the development of sector-specific </w:t>
      </w:r>
      <w:r>
        <w:lastRenderedPageBreak/>
        <w:t xml:space="preserve">rules and </w:t>
      </w:r>
      <w:r w:rsidRPr="00162DE5">
        <w:t xml:space="preserve">standards. </w:t>
      </w:r>
      <w:r w:rsidR="004508E3" w:rsidRPr="00162DE5">
        <w:t xml:space="preserve">We </w:t>
      </w:r>
      <w:r w:rsidR="00CE77B0" w:rsidRPr="00162DE5">
        <w:t xml:space="preserve">also seek </w:t>
      </w:r>
      <w:r w:rsidR="004508E3" w:rsidRPr="00162DE5">
        <w:t>feedback from stakeholders in the broader CDR community that have an interest in receiving data held by the telecommunications sector as the design of the rules and standards for telecommunications will have an impact on the information that ADRs will be able to access.</w:t>
      </w:r>
      <w:r w:rsidR="004508E3">
        <w:t xml:space="preserve"> </w:t>
      </w:r>
    </w:p>
    <w:p w14:paraId="66B8C134" w14:textId="39E681A5" w:rsidR="00CF37AD" w:rsidRDefault="001C0A66" w:rsidP="00620F32">
      <w:pPr>
        <w:pStyle w:val="Heading1"/>
        <w:rPr>
          <w:rFonts w:ascii="Calibri Light" w:eastAsia="MS Gothic" w:hAnsi="Calibri Light"/>
          <w:bCs/>
        </w:rPr>
      </w:pPr>
      <w:bookmarkStart w:id="5" w:name="_Toc96353735"/>
      <w:r w:rsidRPr="0004414F">
        <w:t xml:space="preserve">Role of </w:t>
      </w:r>
      <w:r w:rsidR="008537FB" w:rsidRPr="0004414F">
        <w:t>the data s</w:t>
      </w:r>
      <w:r w:rsidRPr="0004414F">
        <w:t>tandards and r</w:t>
      </w:r>
      <w:r w:rsidR="00CF37AD" w:rsidRPr="0004414F">
        <w:t>elevant artefacts</w:t>
      </w:r>
      <w:bookmarkEnd w:id="4"/>
      <w:bookmarkEnd w:id="5"/>
      <w:r w:rsidR="00F53EA0" w:rsidRPr="0004414F">
        <w:t xml:space="preserve"> </w:t>
      </w:r>
    </w:p>
    <w:p w14:paraId="77B2A72A" w14:textId="639561CC" w:rsidR="00D52652" w:rsidRDefault="00241CBD">
      <w:pPr>
        <w:pStyle w:val="Normal-Numberedparagraphs"/>
      </w:pPr>
      <w:r>
        <w:t xml:space="preserve">The Consumer Data </w:t>
      </w:r>
      <w:r w:rsidR="00466B25">
        <w:t xml:space="preserve">Right </w:t>
      </w:r>
      <w:r>
        <w:t>Standards</w:t>
      </w:r>
      <w:r w:rsidR="005A0C8C">
        <w:t xml:space="preserve"> (standards)</w:t>
      </w:r>
      <w:r w:rsidR="00466B25">
        <w:t xml:space="preserve"> </w:t>
      </w:r>
      <w:r w:rsidR="005C171A">
        <w:t xml:space="preserve">underpin the technical delivery of the </w:t>
      </w:r>
      <w:r w:rsidR="00CE0E9D">
        <w:t>CDR</w:t>
      </w:r>
      <w:r w:rsidR="005C171A">
        <w:t xml:space="preserve">. They set out </w:t>
      </w:r>
      <w:r w:rsidR="00CE0E9D">
        <w:t>requirements for</w:t>
      </w:r>
      <w:r w:rsidR="005C171A">
        <w:t xml:space="preserve"> </w:t>
      </w:r>
      <w:r w:rsidR="00CE0E9D">
        <w:t xml:space="preserve">data </w:t>
      </w:r>
      <w:r w:rsidR="005C171A">
        <w:t>security and format, and cover consumer experience</w:t>
      </w:r>
      <w:r w:rsidR="00D52652">
        <w:t xml:space="preserve">. </w:t>
      </w:r>
    </w:p>
    <w:p w14:paraId="27D8DC4F" w14:textId="2422B422" w:rsidR="00AD2289" w:rsidRDefault="00A40BCF" w:rsidP="0004414F">
      <w:pPr>
        <w:pStyle w:val="Normal-Numberedparagraphs"/>
      </w:pPr>
      <w:r>
        <w:t>The</w:t>
      </w:r>
      <w:r w:rsidR="00241CBD">
        <w:t xml:space="preserve"> standards are </w:t>
      </w:r>
      <w:r w:rsidR="003A36D5">
        <w:t>developed and</w:t>
      </w:r>
      <w:r w:rsidR="00241CBD">
        <w:t xml:space="preserve"> maintained by the Data Standards Body (</w:t>
      </w:r>
      <w:r w:rsidR="00241CBD" w:rsidRPr="0004414F">
        <w:rPr>
          <w:b/>
        </w:rPr>
        <w:t>DSB</w:t>
      </w:r>
      <w:r w:rsidR="00241CBD">
        <w:t>)</w:t>
      </w:r>
      <w:r>
        <w:t xml:space="preserve"> in the Treasury</w:t>
      </w:r>
      <w:r w:rsidR="00241CBD">
        <w:t xml:space="preserve"> </w:t>
      </w:r>
      <w:r w:rsidR="0079483A">
        <w:t>and made by the</w:t>
      </w:r>
      <w:r w:rsidR="00241CBD">
        <w:t xml:space="preserve"> Data Standards Chair</w:t>
      </w:r>
      <w:r w:rsidR="0079483A">
        <w:t>.</w:t>
      </w:r>
      <w:r w:rsidR="00AD2289">
        <w:rPr>
          <w:rStyle w:val="FootnoteReference"/>
        </w:rPr>
        <w:footnoteReference w:id="4"/>
      </w:r>
      <w:r w:rsidR="00241CBD">
        <w:t xml:space="preserve"> </w:t>
      </w:r>
      <w:r w:rsidR="00AD2289">
        <w:t>The standards must be made in accordance with the Consumer Data Right Rules</w:t>
      </w:r>
      <w:r w:rsidR="00747B77">
        <w:t>.</w:t>
      </w:r>
    </w:p>
    <w:p w14:paraId="58D8DFB3" w14:textId="393CA26F" w:rsidR="00CF37AD" w:rsidRPr="007F6CF3" w:rsidRDefault="009D3F62" w:rsidP="0004414F">
      <w:pPr>
        <w:pStyle w:val="Normal-Numberedparagraphs"/>
      </w:pPr>
      <w:r w:rsidRPr="009D3F62">
        <w:t xml:space="preserve">The standards </w:t>
      </w:r>
      <w:r w:rsidR="00C67408">
        <w:t>for</w:t>
      </w:r>
      <w:r w:rsidR="007D731F">
        <w:rPr>
          <w:rStyle w:val="Hyperlink"/>
        </w:rPr>
        <w:t xml:space="preserve"> </w:t>
      </w:r>
      <w:hyperlink r:id="rId16" w:anchor="consumer-experience" w:history="1">
        <w:r w:rsidR="00121BC9" w:rsidRPr="00121BC9">
          <w:rPr>
            <w:rStyle w:val="Hyperlink"/>
          </w:rPr>
          <w:t>Consumer Experience</w:t>
        </w:r>
      </w:hyperlink>
      <w:r w:rsidR="007D731F">
        <w:rPr>
          <w:rStyle w:val="Hyperlink"/>
        </w:rPr>
        <w:t>,</w:t>
      </w:r>
      <w:r w:rsidR="007D731F">
        <w:t xml:space="preserve"> </w:t>
      </w:r>
      <w:hyperlink r:id="rId17" w:anchor="security-profile" w:history="1">
        <w:r w:rsidR="007D731F" w:rsidRPr="00121BC9">
          <w:rPr>
            <w:rStyle w:val="Hyperlink"/>
          </w:rPr>
          <w:t>Security Profile</w:t>
        </w:r>
      </w:hyperlink>
      <w:r w:rsidR="007D731F">
        <w:t xml:space="preserve"> </w:t>
      </w:r>
      <w:r w:rsidR="007D731F" w:rsidRPr="007D731F">
        <w:t xml:space="preserve">and </w:t>
      </w:r>
      <w:hyperlink r:id="rId18" w:anchor="common-apis" w:history="1">
        <w:r w:rsidR="007D731F" w:rsidRPr="00A834B7">
          <w:rPr>
            <w:rStyle w:val="Hyperlink"/>
          </w:rPr>
          <w:t>API definitions</w:t>
        </w:r>
      </w:hyperlink>
      <w:r>
        <w:t xml:space="preserve"> are </w:t>
      </w:r>
      <w:r w:rsidR="00C67408" w:rsidRPr="009D3F62">
        <w:t>published</w:t>
      </w:r>
      <w:r w:rsidR="003A36D5">
        <w:t xml:space="preserve"> on the Consumer Data Standards website.</w:t>
      </w:r>
      <w:r w:rsidR="00C67408">
        <w:rPr>
          <w:rStyle w:val="FootnoteReference"/>
        </w:rPr>
        <w:footnoteReference w:id="5"/>
      </w:r>
      <w:r w:rsidR="00C67408">
        <w:t xml:space="preserve"> </w:t>
      </w:r>
      <w:r w:rsidR="007D731F" w:rsidRPr="007D731F">
        <w:t xml:space="preserve"> The standards are also publicly available on </w:t>
      </w:r>
      <w:hyperlink r:id="rId19" w:history="1">
        <w:r w:rsidR="00355912" w:rsidRPr="007D731F">
          <w:rPr>
            <w:rStyle w:val="Hyperlink"/>
          </w:rPr>
          <w:t>GitHub</w:t>
        </w:r>
      </w:hyperlink>
      <w:r w:rsidR="003A36D5">
        <w:rPr>
          <w:rStyle w:val="Hyperlink"/>
        </w:rPr>
        <w:t>,</w:t>
      </w:r>
      <w:r w:rsidR="007D731F" w:rsidRPr="007D731F">
        <w:t xml:space="preserve"> where issues</w:t>
      </w:r>
      <w:r w:rsidR="00355912">
        <w:t xml:space="preserve"> with the standards</w:t>
      </w:r>
      <w:r w:rsidR="007D731F" w:rsidRPr="007D731F">
        <w:t xml:space="preserve"> can be raised. There is also a regular </w:t>
      </w:r>
      <w:r w:rsidR="00F131C4" w:rsidRPr="0004414F">
        <w:t>maintenance</w:t>
      </w:r>
      <w:r w:rsidR="007D731F" w:rsidRPr="007D731F">
        <w:t xml:space="preserve"> iteration</w:t>
      </w:r>
      <w:r w:rsidR="003A36D5">
        <w:t xml:space="preserve"> process</w:t>
      </w:r>
      <w:r w:rsidR="00CE0E9D">
        <w:t>.</w:t>
      </w:r>
      <w:r w:rsidR="00F131C4">
        <w:rPr>
          <w:rStyle w:val="FootnoteReference"/>
        </w:rPr>
        <w:footnoteReference w:id="6"/>
      </w:r>
      <w:r w:rsidR="00CE0E9D">
        <w:t xml:space="preserve"> </w:t>
      </w:r>
      <w:r w:rsidR="0095664D">
        <w:t>T</w:t>
      </w:r>
      <w:r w:rsidR="00CE0E9D">
        <w:t xml:space="preserve">he CDR stakeholder community is strongly encouraged to contribute to standards development </w:t>
      </w:r>
      <w:r w:rsidR="00AB2E4F">
        <w:t>in relation to the telecommunications sector</w:t>
      </w:r>
      <w:r w:rsidR="00CE0E9D">
        <w:t>.</w:t>
      </w:r>
    </w:p>
    <w:p w14:paraId="3FC46850" w14:textId="64A371B8" w:rsidR="00A96816" w:rsidRDefault="007D731F" w:rsidP="00D6014E">
      <w:pPr>
        <w:pStyle w:val="Normal-Numberedparagraphs"/>
        <w:numPr>
          <w:ilvl w:val="0"/>
          <w:numId w:val="2"/>
        </w:numPr>
      </w:pPr>
      <w:r>
        <w:rPr>
          <w:b/>
          <w:bCs/>
        </w:rPr>
        <w:t>Figure 1</w:t>
      </w:r>
      <w:r>
        <w:t xml:space="preserve"> </w:t>
      </w:r>
      <w:r w:rsidR="00D6014E">
        <w:t xml:space="preserve">on page 7 </w:t>
      </w:r>
      <w:r>
        <w:t>provides an overview of the s</w:t>
      </w:r>
      <w:r w:rsidR="005802C2">
        <w:t>tandard</w:t>
      </w:r>
      <w:r>
        <w:t xml:space="preserve"> data flow used in the standards</w:t>
      </w:r>
      <w:r w:rsidR="005802C2">
        <w:t xml:space="preserve">, </w:t>
      </w:r>
      <w:r w:rsidR="006F6D0B">
        <w:t xml:space="preserve">which we </w:t>
      </w:r>
      <w:r w:rsidR="00BF35E3">
        <w:t>recommend</w:t>
      </w:r>
      <w:r w:rsidR="006F6D0B">
        <w:t xml:space="preserve"> </w:t>
      </w:r>
      <w:r w:rsidR="00BF35E3">
        <w:t>adopting</w:t>
      </w:r>
      <w:r w:rsidR="006F6D0B">
        <w:t xml:space="preserve"> for the telecommunications sector</w:t>
      </w:r>
      <w:r>
        <w:t xml:space="preserve">. </w:t>
      </w:r>
    </w:p>
    <w:p w14:paraId="6A387910" w14:textId="786E1943" w:rsidR="001E11A8" w:rsidRDefault="001E11A8" w:rsidP="0004414F">
      <w:pPr>
        <w:pStyle w:val="Normal-Numberedparagraphs"/>
      </w:pPr>
      <w:r>
        <w:t>The Consumer Experience Guidelines</w:t>
      </w:r>
      <w:r w:rsidR="00036764">
        <w:t xml:space="preserve"> (</w:t>
      </w:r>
      <w:r w:rsidR="00036764">
        <w:rPr>
          <w:b/>
          <w:bCs/>
        </w:rPr>
        <w:t>CX Guidelines</w:t>
      </w:r>
      <w:r w:rsidR="00036764">
        <w:t>)</w:t>
      </w:r>
      <w:r>
        <w:t xml:space="preserve"> can be found </w:t>
      </w:r>
      <w:hyperlink r:id="rId20" w:history="1">
        <w:r>
          <w:rPr>
            <w:rStyle w:val="Hyperlink"/>
          </w:rPr>
          <w:t>online here</w:t>
        </w:r>
      </w:hyperlink>
      <w:r>
        <w:t xml:space="preserve">. These artefacts provide optional implementation examples for key rules, standards, and recommendations. They include annotated wireframes, open-source assets, prototypes, and a </w:t>
      </w:r>
      <w:hyperlink r:id="rId21" w:history="1">
        <w:r>
          <w:rPr>
            <w:rStyle w:val="Hyperlink"/>
          </w:rPr>
          <w:t>checklist</w:t>
        </w:r>
      </w:hyperlink>
      <w:r>
        <w:t xml:space="preserve"> outlining key requirements. The CX Guidelines are being used to assist CDR implementation in the banking and energy sectors.</w:t>
      </w:r>
    </w:p>
    <w:p w14:paraId="55834658" w14:textId="77777777" w:rsidR="006950DD" w:rsidRDefault="006950DD" w:rsidP="006950DD">
      <w:pPr>
        <w:pStyle w:val="Normal-Numberedparagraphs"/>
        <w:numPr>
          <w:ilvl w:val="0"/>
          <w:numId w:val="2"/>
        </w:numPr>
      </w:pPr>
      <w:r>
        <w:t xml:space="preserve">Specific wireframes have been created for this paper to illustrate certain concepts, issues, scenarios, as well as aid comprehension. Wireframes can be found online (see </w:t>
      </w:r>
      <w:hyperlink r:id="rId22" w:history="1">
        <w:proofErr w:type="spellStart"/>
        <w:r w:rsidRPr="004F6513">
          <w:rPr>
            <w:rStyle w:val="Hyperlink"/>
          </w:rPr>
          <w:t>Miro</w:t>
        </w:r>
      </w:hyperlink>
      <w:r>
        <w:t>|</w:t>
      </w:r>
      <w:hyperlink r:id="rId23" w:history="1">
        <w:r w:rsidRPr="004F6513">
          <w:rPr>
            <w:rStyle w:val="Hyperlink"/>
          </w:rPr>
          <w:t>PDF</w:t>
        </w:r>
        <w:proofErr w:type="spellEnd"/>
      </w:hyperlink>
      <w:r>
        <w:t xml:space="preserve">), along with an </w:t>
      </w:r>
      <w:hyperlink r:id="rId24" w:history="1">
        <w:r w:rsidRPr="00A10C25">
          <w:rPr>
            <w:rStyle w:val="Hyperlink"/>
          </w:rPr>
          <w:t>interactive prototype</w:t>
        </w:r>
      </w:hyperlink>
      <w:r>
        <w:t xml:space="preserve">. These artefacts demonstrate possibilities and do not represent final policy positions. </w:t>
      </w:r>
    </w:p>
    <w:p w14:paraId="07280761" w14:textId="77777777" w:rsidR="00D6014E" w:rsidRDefault="003B02E5" w:rsidP="004D301C">
      <w:pPr>
        <w:pStyle w:val="Normal-Numberedparagraphs"/>
        <w:numPr>
          <w:ilvl w:val="0"/>
          <w:numId w:val="2"/>
        </w:numPr>
      </w:pPr>
      <w:r>
        <w:t xml:space="preserve">Stakeholders can comment on the telecommunications data clusters, wireframes, and prototype via the </w:t>
      </w:r>
      <w:hyperlink r:id="rId25" w:history="1">
        <w:r w:rsidRPr="004035B6">
          <w:rPr>
            <w:rStyle w:val="Hyperlink"/>
          </w:rPr>
          <w:t>GitHub issue for this design paper</w:t>
        </w:r>
      </w:hyperlink>
      <w:r>
        <w:t xml:space="preserve">, or directly on the </w:t>
      </w:r>
      <w:hyperlink r:id="rId26" w:history="1">
        <w:r w:rsidRPr="004F6513">
          <w:rPr>
            <w:rStyle w:val="Hyperlink"/>
          </w:rPr>
          <w:t>Miro artefacts</w:t>
        </w:r>
      </w:hyperlink>
      <w:r>
        <w:t xml:space="preserve"> using the comment function by typing ‘C’ on your keyboard. The wireframes are annotated for easy referencing. </w:t>
      </w:r>
    </w:p>
    <w:p w14:paraId="04F50562" w14:textId="63E473DE" w:rsidR="00CF37AD" w:rsidRPr="00FC7451" w:rsidRDefault="00D6014E" w:rsidP="00D6014E">
      <w:pPr>
        <w:pStyle w:val="Normal-Numberedparagraphs"/>
        <w:numPr>
          <w:ilvl w:val="0"/>
          <w:numId w:val="0"/>
        </w:numPr>
        <w:rPr>
          <w:b/>
          <w:bCs/>
        </w:rPr>
      </w:pPr>
      <w:r>
        <w:rPr>
          <w:noProof/>
        </w:rPr>
        <w:lastRenderedPageBreak/>
        <w:drawing>
          <wp:anchor distT="0" distB="0" distL="114300" distR="114300" simplePos="0" relativeHeight="251658242" behindDoc="0" locked="0" layoutInCell="1" allowOverlap="1" wp14:anchorId="6545555D" wp14:editId="14E46785">
            <wp:simplePos x="0" y="0"/>
            <wp:positionH relativeFrom="margin">
              <wp:posOffset>-347980</wp:posOffset>
            </wp:positionH>
            <wp:positionV relativeFrom="page">
              <wp:posOffset>0</wp:posOffset>
            </wp:positionV>
            <wp:extent cx="6422390" cy="9662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stretch>
                      <a:fillRect/>
                    </a:stretch>
                  </pic:blipFill>
                  <pic:spPr>
                    <a:xfrm>
                      <a:off x="0" y="0"/>
                      <a:ext cx="6422390" cy="9662160"/>
                    </a:xfrm>
                    <a:prstGeom prst="rect">
                      <a:avLst/>
                    </a:prstGeom>
                  </pic:spPr>
                </pic:pic>
              </a:graphicData>
            </a:graphic>
            <wp14:sizeRelH relativeFrom="margin">
              <wp14:pctWidth>0</wp14:pctWidth>
            </wp14:sizeRelH>
            <wp14:sizeRelV relativeFrom="margin">
              <wp14:pctHeight>0</wp14:pctHeight>
            </wp14:sizeRelV>
          </wp:anchor>
        </w:drawing>
      </w:r>
      <w:r w:rsidRPr="00A96816">
        <w:rPr>
          <w:b/>
          <w:bCs/>
        </w:rPr>
        <w:t xml:space="preserve">Figure 1 – High-level CDR </w:t>
      </w:r>
      <w:r w:rsidR="0018104F">
        <w:rPr>
          <w:b/>
          <w:bCs/>
        </w:rPr>
        <w:t>s</w:t>
      </w:r>
      <w:r w:rsidRPr="00A96816">
        <w:rPr>
          <w:b/>
          <w:bCs/>
        </w:rPr>
        <w:t xml:space="preserve">tandard </w:t>
      </w:r>
      <w:r w:rsidR="0018104F">
        <w:rPr>
          <w:b/>
          <w:bCs/>
        </w:rPr>
        <w:t>d</w:t>
      </w:r>
      <w:r w:rsidRPr="00A96816">
        <w:rPr>
          <w:b/>
          <w:bCs/>
        </w:rPr>
        <w:t xml:space="preserve">ata </w:t>
      </w:r>
      <w:r w:rsidR="0018104F">
        <w:rPr>
          <w:b/>
          <w:bCs/>
        </w:rPr>
        <w:t>f</w:t>
      </w:r>
      <w:r w:rsidRPr="00A96816">
        <w:rPr>
          <w:b/>
          <w:bCs/>
        </w:rPr>
        <w:t>low</w:t>
      </w:r>
      <w:r w:rsidR="00594A5F">
        <w:br w:type="page"/>
      </w:r>
    </w:p>
    <w:p w14:paraId="07427B27" w14:textId="49964DCB" w:rsidR="00154C93" w:rsidRPr="007347F2" w:rsidRDefault="00154C93" w:rsidP="007347F2">
      <w:pPr>
        <w:pStyle w:val="Title"/>
      </w:pPr>
      <w:r w:rsidRPr="007347F2">
        <w:lastRenderedPageBreak/>
        <w:t xml:space="preserve">Part B – </w:t>
      </w:r>
      <w:r w:rsidR="00B61772">
        <w:t xml:space="preserve">Issues for </w:t>
      </w:r>
      <w:r w:rsidRPr="007347F2">
        <w:t>feedback</w:t>
      </w:r>
    </w:p>
    <w:p w14:paraId="0369C9AA" w14:textId="6DB59B6B" w:rsidR="00B70336" w:rsidRPr="007347F2" w:rsidRDefault="00EF2375" w:rsidP="00455888">
      <w:pPr>
        <w:pStyle w:val="Heading1"/>
        <w:numPr>
          <w:ilvl w:val="0"/>
          <w:numId w:val="7"/>
        </w:numPr>
      </w:pPr>
      <w:bookmarkStart w:id="6" w:name="_Toc93315742"/>
      <w:bookmarkStart w:id="7" w:name="_Toc96353736"/>
      <w:r>
        <w:t>Scope of data sharing</w:t>
      </w:r>
      <w:r w:rsidR="000E633C">
        <w:t xml:space="preserve"> in the telecommunications sector</w:t>
      </w:r>
      <w:bookmarkEnd w:id="6"/>
      <w:bookmarkEnd w:id="7"/>
    </w:p>
    <w:p w14:paraId="1E20B3D0" w14:textId="584E7118" w:rsidR="007A703F" w:rsidRPr="007347F2" w:rsidRDefault="00F01C1A" w:rsidP="007347F2">
      <w:pPr>
        <w:pStyle w:val="Heading2"/>
        <w:numPr>
          <w:ilvl w:val="1"/>
          <w:numId w:val="7"/>
        </w:numPr>
        <w:tabs>
          <w:tab w:val="num" w:pos="1560"/>
        </w:tabs>
        <w:ind w:left="426" w:hanging="426"/>
        <w:contextualSpacing/>
        <w:rPr>
          <w:color w:val="2E74B5" w:themeColor="accent1" w:themeShade="BF"/>
        </w:rPr>
      </w:pPr>
      <w:bookmarkStart w:id="8" w:name="_Toc93315743"/>
      <w:bookmarkStart w:id="9" w:name="_Toc96353737"/>
      <w:r w:rsidRPr="007347F2">
        <w:rPr>
          <w:color w:val="2E74B5" w:themeColor="accent1" w:themeShade="BF"/>
        </w:rPr>
        <w:t>Topic Overview</w:t>
      </w:r>
      <w:bookmarkEnd w:id="8"/>
      <w:bookmarkEnd w:id="9"/>
    </w:p>
    <w:p w14:paraId="2FFCDB9A" w14:textId="3E803789" w:rsidR="00CF3BCF" w:rsidRDefault="00CF3BCF" w:rsidP="00AE4CBA">
      <w:pPr>
        <w:pStyle w:val="Normal-Numberedparagraphs"/>
      </w:pPr>
      <w:bookmarkStart w:id="10" w:name="_Toc93315745"/>
      <w:r>
        <w:t xml:space="preserve">This section discusses the </w:t>
      </w:r>
      <w:r w:rsidR="00B86CF7">
        <w:t>recommended</w:t>
      </w:r>
      <w:r>
        <w:t xml:space="preserve"> scope of data sharing for the telecommunications sector and provides commentary in relation to: </w:t>
      </w:r>
    </w:p>
    <w:p w14:paraId="544CD223" w14:textId="55DBE21C" w:rsidR="00CF3BCF" w:rsidRDefault="00CF3BCF" w:rsidP="00CF3BCF">
      <w:pPr>
        <w:pStyle w:val="Normal-Numberedparagraphs"/>
        <w:numPr>
          <w:ilvl w:val="0"/>
          <w:numId w:val="107"/>
        </w:numPr>
      </w:pPr>
      <w:r>
        <w:t xml:space="preserve">which data holders should be subject to mandatory data sharing </w:t>
      </w:r>
      <w:proofErr w:type="gramStart"/>
      <w:r>
        <w:t>obligations</w:t>
      </w:r>
      <w:r w:rsidR="00E5190F">
        <w:t>;</w:t>
      </w:r>
      <w:proofErr w:type="gramEnd"/>
    </w:p>
    <w:p w14:paraId="56A1A5F5" w14:textId="37ADA6B5" w:rsidR="00E5190F" w:rsidRDefault="00E5190F" w:rsidP="00CF3BCF">
      <w:pPr>
        <w:pStyle w:val="Normal-Numberedparagraphs"/>
        <w:numPr>
          <w:ilvl w:val="0"/>
          <w:numId w:val="107"/>
        </w:numPr>
      </w:pPr>
      <w:r>
        <w:t xml:space="preserve">which </w:t>
      </w:r>
      <w:r w:rsidR="00CF3BCF">
        <w:t>product and consumer data</w:t>
      </w:r>
      <w:r>
        <w:t>sets (such as customer, account, billing</w:t>
      </w:r>
      <w:r w:rsidR="00AD23DF">
        <w:t xml:space="preserve"> </w:t>
      </w:r>
      <w:r>
        <w:t>and usage data) should be shared as part of these data holder obligations;</w:t>
      </w:r>
      <w:r w:rsidR="00CB5242">
        <w:t xml:space="preserve"> </w:t>
      </w:r>
      <w:proofErr w:type="gramStart"/>
      <w:r w:rsidR="00CB5242">
        <w:t>and</w:t>
      </w:r>
      <w:proofErr w:type="gramEnd"/>
      <w:r w:rsidR="00CB5242">
        <w:t xml:space="preserve"> </w:t>
      </w:r>
    </w:p>
    <w:p w14:paraId="31F426E1" w14:textId="57DF673F" w:rsidR="00CF3BCF" w:rsidRDefault="00E5190F" w:rsidP="00CF3BCF">
      <w:pPr>
        <w:pStyle w:val="Normal-Numberedparagraphs"/>
        <w:numPr>
          <w:ilvl w:val="0"/>
          <w:numId w:val="107"/>
        </w:numPr>
      </w:pPr>
      <w:r>
        <w:t xml:space="preserve">whether ‘reciprocal’ data sharing obligations should </w:t>
      </w:r>
      <w:r w:rsidR="00BB24E1">
        <w:t>be recommended for</w:t>
      </w:r>
      <w:r>
        <w:t xml:space="preserve"> certain data recipients to ensure a fair and robust data sharing system</w:t>
      </w:r>
      <w:r w:rsidR="00CB5242">
        <w:t>.</w:t>
      </w:r>
    </w:p>
    <w:p w14:paraId="7ABF8F4A" w14:textId="543A5CFA" w:rsidR="00E5190F" w:rsidRDefault="00CB5242" w:rsidP="00CB5242">
      <w:pPr>
        <w:pStyle w:val="Normal-Numberedparagraphs"/>
      </w:pPr>
      <w:r>
        <w:t>V</w:t>
      </w:r>
      <w:r w:rsidR="00E5190F">
        <w:t xml:space="preserve">iews </w:t>
      </w:r>
      <w:r>
        <w:t xml:space="preserve">are also sought </w:t>
      </w:r>
      <w:r w:rsidR="00E5190F">
        <w:t xml:space="preserve">on sector specific considerations that might be relevant to these </w:t>
      </w:r>
      <w:r>
        <w:t>aspects of data sharing</w:t>
      </w:r>
      <w:r w:rsidR="00E5190F">
        <w:t xml:space="preserve"> (and other standards-related considerations). </w:t>
      </w:r>
    </w:p>
    <w:p w14:paraId="2F8A00DF" w14:textId="40ABC5CC" w:rsidR="00E63524" w:rsidRDefault="00E63524" w:rsidP="00CB5242">
      <w:pPr>
        <w:pStyle w:val="Normal-Numberedparagraphs"/>
      </w:pPr>
      <w:r>
        <w:t>We note that the designation instrument specifically excludes certain data sets from CDR data sharing including the content of communications and location data</w:t>
      </w:r>
      <w:r w:rsidR="00AD23DF">
        <w:t>.</w:t>
      </w:r>
      <w:r>
        <w:rPr>
          <w:rStyle w:val="FootnoteReference"/>
        </w:rPr>
        <w:footnoteReference w:id="7"/>
      </w:r>
      <w:r w:rsidR="00AD23DF">
        <w:t xml:space="preserve"> As a result</w:t>
      </w:r>
      <w:r>
        <w:t>, we do not seek feedback on these excluded data sets.</w:t>
      </w:r>
    </w:p>
    <w:p w14:paraId="0BB6CD15" w14:textId="5DFE489F" w:rsidR="00364EDA" w:rsidRPr="00364EDA" w:rsidRDefault="00F01C1A" w:rsidP="00364EDA">
      <w:pPr>
        <w:pStyle w:val="Heading2"/>
        <w:numPr>
          <w:ilvl w:val="1"/>
          <w:numId w:val="7"/>
        </w:numPr>
        <w:tabs>
          <w:tab w:val="num" w:pos="1560"/>
        </w:tabs>
        <w:ind w:left="426" w:hanging="426"/>
        <w:contextualSpacing/>
        <w:rPr>
          <w:color w:val="2E74B5" w:themeColor="accent1" w:themeShade="BF"/>
        </w:rPr>
      </w:pPr>
      <w:bookmarkStart w:id="11" w:name="_Toc94797391"/>
      <w:bookmarkStart w:id="12" w:name="_Toc94712917"/>
      <w:bookmarkStart w:id="13" w:name="_Toc94713842"/>
      <w:bookmarkStart w:id="14" w:name="_Toc94797392"/>
      <w:bookmarkStart w:id="15" w:name="_Toc94712918"/>
      <w:bookmarkStart w:id="16" w:name="_Toc94713843"/>
      <w:bookmarkStart w:id="17" w:name="_Toc94797393"/>
      <w:bookmarkStart w:id="18" w:name="_Toc94712919"/>
      <w:bookmarkStart w:id="19" w:name="_Toc94713844"/>
      <w:bookmarkStart w:id="20" w:name="_Toc94797394"/>
      <w:bookmarkStart w:id="21" w:name="_Toc94712920"/>
      <w:bookmarkStart w:id="22" w:name="_Toc94713845"/>
      <w:bookmarkStart w:id="23" w:name="_Toc94797395"/>
      <w:bookmarkStart w:id="24" w:name="_Toc94712921"/>
      <w:bookmarkStart w:id="25" w:name="_Toc94713846"/>
      <w:bookmarkStart w:id="26" w:name="_Toc94797396"/>
      <w:bookmarkStart w:id="27" w:name="_Toc94692530"/>
      <w:bookmarkStart w:id="28" w:name="_Toc94712922"/>
      <w:bookmarkStart w:id="29" w:name="_Toc94713847"/>
      <w:bookmarkStart w:id="30" w:name="_Toc94797397"/>
      <w:bookmarkStart w:id="31" w:name="_Toc94692531"/>
      <w:bookmarkStart w:id="32" w:name="_Toc94712923"/>
      <w:bookmarkStart w:id="33" w:name="_Toc94713848"/>
      <w:bookmarkStart w:id="34" w:name="_Toc94797398"/>
      <w:bookmarkStart w:id="35" w:name="_Toc94692532"/>
      <w:bookmarkStart w:id="36" w:name="_Toc94712924"/>
      <w:bookmarkStart w:id="37" w:name="_Toc94713849"/>
      <w:bookmarkStart w:id="38" w:name="_Toc94797399"/>
      <w:bookmarkStart w:id="39" w:name="_Toc94692533"/>
      <w:bookmarkStart w:id="40" w:name="_Toc94712925"/>
      <w:bookmarkStart w:id="41" w:name="_Toc94713850"/>
      <w:bookmarkStart w:id="42" w:name="_Toc94797400"/>
      <w:bookmarkStart w:id="43" w:name="_Toc94692534"/>
      <w:bookmarkStart w:id="44" w:name="_Toc94712926"/>
      <w:bookmarkStart w:id="45" w:name="_Toc94713851"/>
      <w:bookmarkStart w:id="46" w:name="_Toc94797401"/>
      <w:bookmarkStart w:id="47" w:name="_Toc94692535"/>
      <w:bookmarkStart w:id="48" w:name="_Toc94712927"/>
      <w:bookmarkStart w:id="49" w:name="_Toc94713852"/>
      <w:bookmarkStart w:id="50" w:name="_Toc94797402"/>
      <w:bookmarkStart w:id="51" w:name="_Toc94692536"/>
      <w:bookmarkStart w:id="52" w:name="_Toc94712928"/>
      <w:bookmarkStart w:id="53" w:name="_Toc94713853"/>
      <w:bookmarkStart w:id="54" w:name="_Toc94797403"/>
      <w:bookmarkStart w:id="55" w:name="_Ref70423717"/>
      <w:bookmarkStart w:id="56" w:name="_Toc93315747"/>
      <w:bookmarkStart w:id="57" w:name="_Toc9635373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7347F2">
        <w:rPr>
          <w:color w:val="2E74B5" w:themeColor="accent1" w:themeShade="BF"/>
        </w:rPr>
        <w:t xml:space="preserve">Rules </w:t>
      </w:r>
      <w:r w:rsidR="00A71935">
        <w:rPr>
          <w:color w:val="2E74B5" w:themeColor="accent1" w:themeShade="BF"/>
        </w:rPr>
        <w:t>c</w:t>
      </w:r>
      <w:r w:rsidRPr="007347F2">
        <w:rPr>
          <w:color w:val="2E74B5" w:themeColor="accent1" w:themeShade="BF"/>
        </w:rPr>
        <w:t>onsiderations</w:t>
      </w:r>
      <w:bookmarkEnd w:id="55"/>
      <w:bookmarkEnd w:id="56"/>
      <w:bookmarkEnd w:id="57"/>
    </w:p>
    <w:p w14:paraId="5EFD2B17" w14:textId="2A239F31" w:rsidR="000F07F8" w:rsidRDefault="00976BBE" w:rsidP="00085B68">
      <w:pPr>
        <w:pStyle w:val="Heading3"/>
        <w:rPr>
          <w:b/>
          <w:bCs/>
          <w:color w:val="auto"/>
        </w:rPr>
      </w:pPr>
      <w:bookmarkStart w:id="58" w:name="_Toc96353739"/>
      <w:r>
        <w:rPr>
          <w:b/>
          <w:bCs/>
          <w:color w:val="auto"/>
        </w:rPr>
        <w:t xml:space="preserve">Which </w:t>
      </w:r>
      <w:r w:rsidR="000F07F8">
        <w:rPr>
          <w:b/>
          <w:bCs/>
          <w:color w:val="auto"/>
        </w:rPr>
        <w:t>data holder</w:t>
      </w:r>
      <w:r>
        <w:rPr>
          <w:b/>
          <w:bCs/>
          <w:color w:val="auto"/>
        </w:rPr>
        <w:t>s should be required to share CDR data</w:t>
      </w:r>
      <w:r w:rsidR="000F07F8">
        <w:rPr>
          <w:b/>
          <w:bCs/>
          <w:color w:val="auto"/>
        </w:rPr>
        <w:t>?</w:t>
      </w:r>
      <w:bookmarkEnd w:id="58"/>
    </w:p>
    <w:p w14:paraId="196A0950" w14:textId="7C395E31" w:rsidR="00ED1D9C" w:rsidRPr="00ED1D9C" w:rsidRDefault="00D010CA" w:rsidP="00ED1D9C">
      <w:pPr>
        <w:pStyle w:val="Normal-Numberedparagraphs"/>
      </w:pPr>
      <w:r w:rsidRPr="00ED1D9C">
        <w:t>The</w:t>
      </w:r>
      <w:r w:rsidRPr="00DA755E">
        <w:rPr>
          <w:rFonts w:eastAsia="Times New Roman"/>
        </w:rPr>
        <w:t xml:space="preserve"> </w:t>
      </w:r>
      <w:r w:rsidRPr="00ED1D9C">
        <w:t>designation</w:t>
      </w:r>
      <w:r w:rsidRPr="00DA755E">
        <w:rPr>
          <w:rFonts w:eastAsia="Times New Roman"/>
        </w:rPr>
        <w:t xml:space="preserve"> instrument designates carriers and </w:t>
      </w:r>
      <w:r w:rsidR="000C678D">
        <w:rPr>
          <w:rFonts w:eastAsia="Times New Roman"/>
        </w:rPr>
        <w:t>CSPs</w:t>
      </w:r>
      <w:r>
        <w:rPr>
          <w:rFonts w:eastAsia="Times New Roman"/>
        </w:rPr>
        <w:t xml:space="preserve">, as defined under </w:t>
      </w:r>
      <w:r w:rsidRPr="00467013">
        <w:rPr>
          <w:rFonts w:eastAsia="Times New Roman"/>
        </w:rPr>
        <w:t xml:space="preserve">the </w:t>
      </w:r>
      <w:r w:rsidRPr="00467013">
        <w:rPr>
          <w:rFonts w:eastAsia="Times New Roman"/>
          <w:i/>
          <w:iCs/>
        </w:rPr>
        <w:t>Telecommunications Act 1997</w:t>
      </w:r>
      <w:r>
        <w:rPr>
          <w:rFonts w:eastAsia="Times New Roman"/>
        </w:rPr>
        <w:t xml:space="preserve"> (</w:t>
      </w:r>
      <w:proofErr w:type="spellStart"/>
      <w:r>
        <w:rPr>
          <w:rFonts w:eastAsia="Times New Roman"/>
        </w:rPr>
        <w:t>Cth</w:t>
      </w:r>
      <w:proofErr w:type="spellEnd"/>
      <w:r>
        <w:rPr>
          <w:rFonts w:eastAsia="Times New Roman"/>
        </w:rPr>
        <w:t xml:space="preserve">), </w:t>
      </w:r>
      <w:r w:rsidRPr="00DA755E">
        <w:rPr>
          <w:rFonts w:eastAsia="Times New Roman"/>
        </w:rPr>
        <w:t>as data holders</w:t>
      </w:r>
      <w:r>
        <w:rPr>
          <w:rFonts w:eastAsia="Times New Roman"/>
        </w:rPr>
        <w:t xml:space="preserve"> for product and consumer data in the </w:t>
      </w:r>
      <w:r w:rsidRPr="00ED1D9C">
        <w:t>telecommunications</w:t>
      </w:r>
      <w:r>
        <w:rPr>
          <w:rFonts w:eastAsia="Times New Roman"/>
        </w:rPr>
        <w:t xml:space="preserve"> sector</w:t>
      </w:r>
      <w:r w:rsidRPr="00DA755E">
        <w:rPr>
          <w:rFonts w:eastAsia="Times New Roman"/>
        </w:rPr>
        <w:t>.</w:t>
      </w:r>
      <w:r w:rsidR="00E860B6">
        <w:rPr>
          <w:rFonts w:eastAsia="Times New Roman"/>
        </w:rPr>
        <w:t xml:space="preserve"> However, the CDR Rules </w:t>
      </w:r>
      <w:r w:rsidR="00EB0B9E">
        <w:rPr>
          <w:rFonts w:eastAsia="Times New Roman"/>
        </w:rPr>
        <w:t>could</w:t>
      </w:r>
      <w:r w:rsidR="00E860B6">
        <w:rPr>
          <w:rFonts w:eastAsia="Times New Roman"/>
        </w:rPr>
        <w:t xml:space="preserve"> require only a subset of designated data holders to share CDR data</w:t>
      </w:r>
      <w:r w:rsidR="00ED1D9C" w:rsidDel="001239D7">
        <w:rPr>
          <w:rFonts w:eastAsia="Times New Roman"/>
        </w:rPr>
        <w:t xml:space="preserve">. </w:t>
      </w:r>
      <w:r w:rsidR="006515AF">
        <w:t>A</w:t>
      </w:r>
      <w:r w:rsidR="00EB0B9E">
        <w:t xml:space="preserve"> ‘</w:t>
      </w:r>
      <w:r w:rsidR="00EB0B9E" w:rsidRPr="00ED1D9C">
        <w:t>de minimis</w:t>
      </w:r>
      <w:r w:rsidR="00EB0B9E">
        <w:t xml:space="preserve">’ threshold </w:t>
      </w:r>
      <w:r w:rsidR="006515AF">
        <w:t xml:space="preserve">could </w:t>
      </w:r>
      <w:r w:rsidR="00EB0B9E">
        <w:t>exclude certain data holders from mandatory data sharing obligations based on the size of the data holder</w:t>
      </w:r>
      <w:r w:rsidR="00E860B6">
        <w:rPr>
          <w:rFonts w:eastAsia="Times New Roman"/>
        </w:rPr>
        <w:t xml:space="preserve">. </w:t>
      </w:r>
    </w:p>
    <w:p w14:paraId="7CEC57B2" w14:textId="5BD58566" w:rsidR="00ED1D9C" w:rsidRPr="00ED1D9C" w:rsidRDefault="00E860B6" w:rsidP="00D014B7">
      <w:pPr>
        <w:pStyle w:val="Normal-Numberedparagraphs"/>
        <w:numPr>
          <w:ilvl w:val="0"/>
          <w:numId w:val="139"/>
        </w:numPr>
      </w:pPr>
      <w:r>
        <w:rPr>
          <w:rFonts w:eastAsia="Times New Roman"/>
        </w:rPr>
        <w:t xml:space="preserve">This may be particularly appropriate in sectors where there is a ‘long tail’ of retailers, including very small entities. </w:t>
      </w:r>
      <w:r w:rsidR="00D010CA" w:rsidRPr="00DA755E">
        <w:rPr>
          <w:rFonts w:eastAsia="Times New Roman"/>
        </w:rPr>
        <w:t xml:space="preserve"> </w:t>
      </w:r>
    </w:p>
    <w:p w14:paraId="54999C8B" w14:textId="7F142E0D" w:rsidR="00067BF3" w:rsidRPr="00ED1D9C" w:rsidRDefault="00D010CA" w:rsidP="00D014B7">
      <w:pPr>
        <w:pStyle w:val="Normal-Numberedparagraphs"/>
        <w:numPr>
          <w:ilvl w:val="0"/>
          <w:numId w:val="139"/>
        </w:numPr>
      </w:pPr>
      <w:r>
        <w:t xml:space="preserve">Any excluded </w:t>
      </w:r>
      <w:r w:rsidR="00EB0B9E">
        <w:t xml:space="preserve">data holders </w:t>
      </w:r>
      <w:r>
        <w:t xml:space="preserve">would still be able to share data through </w:t>
      </w:r>
      <w:r w:rsidR="00EB0B9E">
        <w:t xml:space="preserve">the </w:t>
      </w:r>
      <w:r>
        <w:t xml:space="preserve">CDR on a voluntary basis. </w:t>
      </w:r>
    </w:p>
    <w:p w14:paraId="469D7B89" w14:textId="51EA0572" w:rsidR="000F07F8" w:rsidRDefault="00ED1D9C" w:rsidP="00D014B7">
      <w:pPr>
        <w:pStyle w:val="Normal-Numberedparagraphs"/>
        <w:numPr>
          <w:ilvl w:val="0"/>
          <w:numId w:val="139"/>
        </w:numPr>
      </w:pPr>
      <w:r>
        <w:t>A</w:t>
      </w:r>
      <w:r w:rsidR="00A35D82">
        <w:t xml:space="preserve"> de minimis</w:t>
      </w:r>
      <w:r w:rsidR="00A35D82">
        <w:rPr>
          <w:i/>
        </w:rPr>
        <w:t xml:space="preserve"> </w:t>
      </w:r>
      <w:r w:rsidR="00A35D82">
        <w:t>threshold was applied i</w:t>
      </w:r>
      <w:r w:rsidR="000F07F8">
        <w:t>n the energy sector</w:t>
      </w:r>
      <w:r w:rsidR="00A35D82">
        <w:t xml:space="preserve">. </w:t>
      </w:r>
      <w:r>
        <w:t>E</w:t>
      </w:r>
      <w:r w:rsidR="00A35D82">
        <w:t xml:space="preserve">nergy </w:t>
      </w:r>
      <w:r w:rsidR="000F07F8">
        <w:t xml:space="preserve">retailers with 10,000 </w:t>
      </w:r>
      <w:r w:rsidR="00A70973">
        <w:t xml:space="preserve">residential and small business </w:t>
      </w:r>
      <w:r w:rsidR="000F07F8">
        <w:t xml:space="preserve">customers or less do not have mandatory obligations as </w:t>
      </w:r>
      <w:r w:rsidR="000F07F8">
        <w:lastRenderedPageBreak/>
        <w:t xml:space="preserve">data holders under the CDR Rules, unless they become accredited </w:t>
      </w:r>
      <w:r w:rsidR="000F509B">
        <w:t xml:space="preserve">data </w:t>
      </w:r>
      <w:proofErr w:type="gramStart"/>
      <w:r w:rsidR="000F509B">
        <w:t>recipients</w:t>
      </w:r>
      <w:proofErr w:type="gramEnd"/>
      <w:r w:rsidR="000F509B">
        <w:t xml:space="preserve"> </w:t>
      </w:r>
      <w:r w:rsidR="000F07F8">
        <w:t xml:space="preserve">or they </w:t>
      </w:r>
      <w:r>
        <w:t>voluntarily</w:t>
      </w:r>
      <w:r w:rsidR="00292F64">
        <w:t xml:space="preserve"> </w:t>
      </w:r>
      <w:r w:rsidR="000F07F8">
        <w:t>participate as</w:t>
      </w:r>
      <w:r w:rsidR="00292F64">
        <w:t xml:space="preserve"> a</w:t>
      </w:r>
      <w:r w:rsidR="000F07F8">
        <w:t xml:space="preserve"> data holder.</w:t>
      </w:r>
    </w:p>
    <w:p w14:paraId="2E484D0C" w14:textId="41E86C4A" w:rsidR="0017320A" w:rsidRDefault="00ED1D9C" w:rsidP="000F07F8">
      <w:pPr>
        <w:pStyle w:val="Normal-Numberedparagraphs"/>
      </w:pPr>
      <w:r>
        <w:t xml:space="preserve">Given the large number of </w:t>
      </w:r>
      <w:r w:rsidR="00166388">
        <w:t xml:space="preserve">carriers and </w:t>
      </w:r>
      <w:r w:rsidR="001231C4">
        <w:t>CSPs</w:t>
      </w:r>
      <w:r w:rsidR="00166388">
        <w:t xml:space="preserve"> in the </w:t>
      </w:r>
      <w:r w:rsidR="00652557">
        <w:t>sector</w:t>
      </w:r>
      <w:r>
        <w:t>, w</w:t>
      </w:r>
      <w:r w:rsidR="000F07F8">
        <w:t xml:space="preserve">e are </w:t>
      </w:r>
      <w:r>
        <w:t xml:space="preserve">minded </w:t>
      </w:r>
      <w:proofErr w:type="gramStart"/>
      <w:r>
        <w:t xml:space="preserve">to </w:t>
      </w:r>
      <w:r w:rsidR="00BB24E1">
        <w:t>recommend</w:t>
      </w:r>
      <w:proofErr w:type="gramEnd"/>
      <w:r w:rsidR="000F07F8">
        <w:t xml:space="preserve"> a </w:t>
      </w:r>
      <w:r w:rsidR="00B265F5">
        <w:t>de minimis</w:t>
      </w:r>
      <w:r w:rsidR="000F07F8">
        <w:t xml:space="preserve"> threshold </w:t>
      </w:r>
      <w:r w:rsidR="0017320A">
        <w:t xml:space="preserve">and </w:t>
      </w:r>
      <w:r>
        <w:t>seek feedback on</w:t>
      </w:r>
      <w:r w:rsidR="0017320A">
        <w:t xml:space="preserve"> how that threshold could be cast</w:t>
      </w:r>
      <w:r w:rsidR="000F07F8">
        <w:t xml:space="preserve">. </w:t>
      </w:r>
    </w:p>
    <w:p w14:paraId="22990DFD" w14:textId="5CC9445D" w:rsidR="000F07F8" w:rsidRDefault="0055661D" w:rsidP="000F07F8">
      <w:pPr>
        <w:pStyle w:val="Normal-Numberedparagraphs"/>
      </w:pPr>
      <w:r>
        <w:t>Th</w:t>
      </w:r>
      <w:r w:rsidR="00980D77">
        <w:t>e</w:t>
      </w:r>
      <w:r w:rsidR="000F07F8">
        <w:t xml:space="preserve"> </w:t>
      </w:r>
      <w:r w:rsidR="000F07F8" w:rsidRPr="002D0A3E">
        <w:rPr>
          <w:i/>
          <w:iCs/>
        </w:rPr>
        <w:t>Telecommunications (Consumer Complaints) Record-Keeping Rules 2018</w:t>
      </w:r>
      <w:r w:rsidR="000F07F8">
        <w:t xml:space="preserve"> requires entities with </w:t>
      </w:r>
      <w:r w:rsidR="00EE60EA">
        <w:t xml:space="preserve">equal to or </w:t>
      </w:r>
      <w:r w:rsidR="000F07F8">
        <w:t>more than 30,000 ‘services</w:t>
      </w:r>
      <w:r w:rsidR="00BD1E53">
        <w:t xml:space="preserve"> </w:t>
      </w:r>
      <w:r w:rsidR="000F07F8">
        <w:t>in operation</w:t>
      </w:r>
      <w:r w:rsidR="00BD1E53">
        <w:t>’</w:t>
      </w:r>
      <w:r w:rsidR="000F07F8">
        <w:t xml:space="preserve"> to keep certain complaints records. We seek feedback on whether this is an appropriate threshold</w:t>
      </w:r>
      <w:r w:rsidR="0017320A">
        <w:t xml:space="preserve"> for mandatory participation</w:t>
      </w:r>
      <w:r w:rsidR="00AD23DF">
        <w:t xml:space="preserve"> </w:t>
      </w:r>
      <w:r w:rsidR="000F07F8">
        <w:t xml:space="preserve">or if there </w:t>
      </w:r>
      <w:r w:rsidR="00AD23DF">
        <w:t>is</w:t>
      </w:r>
      <w:r w:rsidR="000F07F8">
        <w:t xml:space="preserve"> a more appropriate way to distinguish between the size of carriers and </w:t>
      </w:r>
      <w:r w:rsidR="00DC6544">
        <w:t>CSPs</w:t>
      </w:r>
      <w:r w:rsidR="000F07F8">
        <w:t>.</w:t>
      </w:r>
    </w:p>
    <w:p w14:paraId="3128299A" w14:textId="57676342" w:rsidR="000F07F8" w:rsidRPr="00BD6DBA" w:rsidRDefault="00ED1D9C" w:rsidP="00EB3C6F">
      <w:pPr>
        <w:pStyle w:val="Normal-Numberedparagraphs"/>
      </w:pPr>
      <w:r>
        <w:t>W</w:t>
      </w:r>
      <w:r w:rsidR="000F07F8">
        <w:t xml:space="preserve">e invite feedback on whether </w:t>
      </w:r>
      <w:r>
        <w:t xml:space="preserve">a </w:t>
      </w:r>
      <w:r w:rsidR="000F07F8">
        <w:t xml:space="preserve">threshold should </w:t>
      </w:r>
      <w:r w:rsidR="00BB24E1">
        <w:t>be recommended for</w:t>
      </w:r>
      <w:r w:rsidR="000F07F8">
        <w:t xml:space="preserve"> consumer data sharing obligations or to both product reference data and consumer data. </w:t>
      </w:r>
      <w:r w:rsidR="0017320A">
        <w:t xml:space="preserve">A different approach to product reference data may be justified as sharing of product data can facilitate product comparison use cases and product data sharing can be less costly than consumer data sharing. </w:t>
      </w:r>
    </w:p>
    <w:tbl>
      <w:tblPr>
        <w:tblStyle w:val="TableGrid"/>
        <w:tblW w:w="0" w:type="auto"/>
        <w:tblLook w:val="04A0" w:firstRow="1" w:lastRow="0" w:firstColumn="1" w:lastColumn="0" w:noHBand="0" w:noVBand="1"/>
      </w:tblPr>
      <w:tblGrid>
        <w:gridCol w:w="9016"/>
      </w:tblGrid>
      <w:tr w:rsidR="007315CC" w14:paraId="6535288E" w14:textId="77777777" w:rsidTr="00BD23F1">
        <w:tc>
          <w:tcPr>
            <w:tcW w:w="9016" w:type="dxa"/>
          </w:tcPr>
          <w:p w14:paraId="39116319" w14:textId="52E4B4E4" w:rsidR="007315CC" w:rsidRPr="002F035E" w:rsidRDefault="00673759" w:rsidP="00BD23F1">
            <w:pPr>
              <w:rPr>
                <w:b/>
                <w:bCs/>
              </w:rPr>
            </w:pPr>
            <w:r>
              <w:rPr>
                <w:b/>
                <w:bCs/>
              </w:rPr>
              <w:t>Rules q</w:t>
            </w:r>
            <w:r w:rsidR="007315CC" w:rsidRPr="002F035E">
              <w:rPr>
                <w:b/>
                <w:bCs/>
              </w:rPr>
              <w:t>uestions</w:t>
            </w:r>
          </w:p>
          <w:p w14:paraId="4A313BA4" w14:textId="2760FDD4" w:rsidR="00765489" w:rsidRDefault="00765489" w:rsidP="00765489">
            <w:pPr>
              <w:pStyle w:val="OutlineNumbered1"/>
            </w:pPr>
            <w:r>
              <w:t xml:space="preserve">Do you support </w:t>
            </w:r>
            <w:r w:rsidR="003830B7">
              <w:t>establishing a</w:t>
            </w:r>
            <w:r>
              <w:t xml:space="preserve"> threshold for mandatory participation in CDR </w:t>
            </w:r>
            <w:r w:rsidR="003830B7">
              <w:t xml:space="preserve">for the telecommunications sector </w:t>
            </w:r>
            <w:r>
              <w:t>(</w:t>
            </w:r>
            <w:proofErr w:type="gramStart"/>
            <w:r w:rsidR="003830B7">
              <w:t>i.e.</w:t>
            </w:r>
            <w:proofErr w:type="gramEnd"/>
            <w:r w:rsidR="003830B7">
              <w:t xml:space="preserve"> </w:t>
            </w:r>
            <w:r w:rsidR="00BB24E1">
              <w:t>recommending</w:t>
            </w:r>
            <w:r w:rsidR="009146F6">
              <w:t xml:space="preserve"> a</w:t>
            </w:r>
            <w:r>
              <w:t xml:space="preserve"> de minimis threshold)? </w:t>
            </w:r>
            <w:r w:rsidR="003830B7">
              <w:t>H</w:t>
            </w:r>
            <w:r>
              <w:t xml:space="preserve">ow should </w:t>
            </w:r>
            <w:r w:rsidR="003830B7">
              <w:t xml:space="preserve">such a threshold </w:t>
            </w:r>
            <w:r>
              <w:t xml:space="preserve">be </w:t>
            </w:r>
            <w:r w:rsidR="003830B7">
              <w:t xml:space="preserve">established (for example, should it be </w:t>
            </w:r>
            <w:r>
              <w:t>based on the number of customers a carrier or CSP has</w:t>
            </w:r>
            <w:r w:rsidR="003830B7">
              <w:t>)</w:t>
            </w:r>
            <w:r>
              <w:t xml:space="preserve">? </w:t>
            </w:r>
          </w:p>
          <w:p w14:paraId="52179070" w14:textId="1D3EC084" w:rsidR="00765489" w:rsidRDefault="007315CC" w:rsidP="003939D9">
            <w:pPr>
              <w:pStyle w:val="OutlineNumbered1"/>
            </w:pPr>
            <w:r>
              <w:t xml:space="preserve">Should a </w:t>
            </w:r>
            <w:r w:rsidR="003830B7">
              <w:t xml:space="preserve">de minimis </w:t>
            </w:r>
            <w:r>
              <w:t xml:space="preserve">threshold </w:t>
            </w:r>
            <w:r w:rsidR="00BB24E1">
              <w:t>be recommended</w:t>
            </w:r>
            <w:r>
              <w:t xml:space="preserve"> </w:t>
            </w:r>
            <w:r w:rsidR="00BB24E1">
              <w:t>for</w:t>
            </w:r>
            <w:r>
              <w:t xml:space="preserve"> consumer data </w:t>
            </w:r>
            <w:r w:rsidR="00701D3A">
              <w:t xml:space="preserve">sharing obligations </w:t>
            </w:r>
            <w:r>
              <w:t>only, or to both consumer and product data</w:t>
            </w:r>
            <w:r w:rsidR="00701D3A">
              <w:t xml:space="preserve"> sharing obligations</w:t>
            </w:r>
            <w:r>
              <w:t>?</w:t>
            </w:r>
            <w:r w:rsidR="00A30A90">
              <w:t xml:space="preserve"> </w:t>
            </w:r>
          </w:p>
          <w:p w14:paraId="6B1379D1" w14:textId="4E8FB9A7" w:rsidR="007315CC" w:rsidRPr="00DA39A0" w:rsidRDefault="000533D8" w:rsidP="00636312">
            <w:pPr>
              <w:pStyle w:val="OutlineNumbered1"/>
            </w:pPr>
            <w:r>
              <w:t xml:space="preserve">Are there any existing regulatory </w:t>
            </w:r>
            <w:r w:rsidR="0081788E">
              <w:t>thresholds</w:t>
            </w:r>
            <w:r>
              <w:t xml:space="preserve"> that can be </w:t>
            </w:r>
            <w:r w:rsidR="003830B7">
              <w:t>adopted</w:t>
            </w:r>
            <w:r>
              <w:t xml:space="preserve"> for the purpose of </w:t>
            </w:r>
            <w:r w:rsidR="003830B7">
              <w:t>establishing</w:t>
            </w:r>
            <w:r>
              <w:t xml:space="preserve"> a </w:t>
            </w:r>
            <w:r w:rsidR="00A30A90">
              <w:t xml:space="preserve">clear </w:t>
            </w:r>
            <w:r>
              <w:t>de minimis threshold</w:t>
            </w:r>
            <w:r w:rsidR="0081788E">
              <w:t xml:space="preserve"> in the CDR</w:t>
            </w:r>
            <w:r>
              <w:t>?</w:t>
            </w:r>
          </w:p>
        </w:tc>
      </w:tr>
    </w:tbl>
    <w:p w14:paraId="7DDAE6BC" w14:textId="5F500B8F" w:rsidR="00085B68" w:rsidRPr="006F7169" w:rsidRDefault="000D6AEA" w:rsidP="00085B68">
      <w:pPr>
        <w:pStyle w:val="Heading3"/>
        <w:rPr>
          <w:b/>
          <w:bCs/>
          <w:color w:val="auto"/>
        </w:rPr>
      </w:pPr>
      <w:r>
        <w:rPr>
          <w:b/>
          <w:bCs/>
          <w:color w:val="auto"/>
        </w:rPr>
        <w:br/>
      </w:r>
      <w:bookmarkStart w:id="59" w:name="_Toc96353740"/>
      <w:r w:rsidR="00282336">
        <w:rPr>
          <w:b/>
          <w:bCs/>
          <w:color w:val="auto"/>
        </w:rPr>
        <w:t>What p</w:t>
      </w:r>
      <w:r w:rsidR="00C91E46">
        <w:rPr>
          <w:b/>
          <w:bCs/>
          <w:color w:val="auto"/>
        </w:rPr>
        <w:t>roducts</w:t>
      </w:r>
      <w:r w:rsidR="00282336">
        <w:rPr>
          <w:b/>
          <w:bCs/>
          <w:color w:val="auto"/>
        </w:rPr>
        <w:t xml:space="preserve"> </w:t>
      </w:r>
      <w:r w:rsidR="00F3360E">
        <w:rPr>
          <w:b/>
          <w:bCs/>
          <w:color w:val="auto"/>
        </w:rPr>
        <w:t xml:space="preserve">and what product-related datasets </w:t>
      </w:r>
      <w:r w:rsidR="00282336">
        <w:rPr>
          <w:b/>
          <w:bCs/>
          <w:color w:val="auto"/>
        </w:rPr>
        <w:t>are in scope?</w:t>
      </w:r>
      <w:bookmarkEnd w:id="59"/>
      <w:r w:rsidR="00C91E46">
        <w:rPr>
          <w:b/>
          <w:bCs/>
          <w:color w:val="auto"/>
        </w:rPr>
        <w:t xml:space="preserve"> </w:t>
      </w:r>
    </w:p>
    <w:p w14:paraId="0AFA7E90" w14:textId="0F1AA4DB" w:rsidR="00A615F8" w:rsidRDefault="00A615F8">
      <w:pPr>
        <w:pStyle w:val="Normal-Numberedparagraphs"/>
      </w:pPr>
      <w:r>
        <w:t xml:space="preserve">Under the existing CDR Rules, data holders are required to share ‘product data’ and ‘product specific data’ from a prescribed list of products that are in scope. </w:t>
      </w:r>
    </w:p>
    <w:p w14:paraId="0D82F1A8" w14:textId="612870A8" w:rsidR="00A30A90" w:rsidRPr="00B5387C" w:rsidRDefault="00BE0F44" w:rsidP="00A30A90">
      <w:pPr>
        <w:pStyle w:val="Normal-Numberedparagraphs"/>
        <w:rPr>
          <w:i/>
          <w:iCs/>
        </w:rPr>
      </w:pPr>
      <w:r>
        <w:t xml:space="preserve">We </w:t>
      </w:r>
      <w:r w:rsidR="00AF0285">
        <w:t xml:space="preserve">intend </w:t>
      </w:r>
      <w:r w:rsidR="00085B68">
        <w:t xml:space="preserve">to </w:t>
      </w:r>
      <w:r w:rsidR="001F77A2">
        <w:t>includ</w:t>
      </w:r>
      <w:r w:rsidR="008430FB">
        <w:t>e</w:t>
      </w:r>
      <w:r w:rsidR="00CF4B5C">
        <w:t xml:space="preserve"> </w:t>
      </w:r>
      <w:r w:rsidR="001F77A2">
        <w:t xml:space="preserve">publicly available </w:t>
      </w:r>
      <w:r w:rsidR="00085B68">
        <w:t xml:space="preserve">phone (mobile and </w:t>
      </w:r>
      <w:r w:rsidR="00443EB9">
        <w:t>fixed line telephone services</w:t>
      </w:r>
      <w:r w:rsidR="00085B68">
        <w:t xml:space="preserve">), internet </w:t>
      </w:r>
      <w:r w:rsidR="007D4106">
        <w:t>(</w:t>
      </w:r>
      <w:r w:rsidR="00443EB9">
        <w:t xml:space="preserve">e.g. </w:t>
      </w:r>
      <w:r w:rsidR="007D4106">
        <w:t xml:space="preserve"> fixed wireless internet connection)</w:t>
      </w:r>
      <w:r w:rsidR="00085B68">
        <w:t xml:space="preserve"> and broadband</w:t>
      </w:r>
      <w:r w:rsidR="008537FB">
        <w:t xml:space="preserve"> </w:t>
      </w:r>
      <w:r w:rsidR="00443EB9">
        <w:t>(</w:t>
      </w:r>
      <w:proofErr w:type="gramStart"/>
      <w:r w:rsidR="00443EB9">
        <w:t>e.g.</w:t>
      </w:r>
      <w:proofErr w:type="gramEnd"/>
      <w:r w:rsidR="00443EB9">
        <w:t xml:space="preserve"> fixed broadband services)</w:t>
      </w:r>
      <w:r w:rsidR="008537FB">
        <w:t xml:space="preserve"> products</w:t>
      </w:r>
      <w:r w:rsidR="00D26FF8">
        <w:t xml:space="preserve"> </w:t>
      </w:r>
      <w:r w:rsidR="00FD2944">
        <w:t xml:space="preserve">as products </w:t>
      </w:r>
      <w:r w:rsidR="00D26FF8">
        <w:t xml:space="preserve">for </w:t>
      </w:r>
      <w:r w:rsidR="00FD2944">
        <w:t>the telecommunications sector</w:t>
      </w:r>
      <w:r w:rsidR="00085B68">
        <w:t xml:space="preserve">. </w:t>
      </w:r>
      <w:r w:rsidR="00F3360E">
        <w:t xml:space="preserve">Product-related </w:t>
      </w:r>
      <w:r w:rsidR="00A30A90">
        <w:t xml:space="preserve">datasets under the existing CDR rules </w:t>
      </w:r>
      <w:r w:rsidR="00F3360E">
        <w:t xml:space="preserve">for banking and energy sectors </w:t>
      </w:r>
      <w:r w:rsidR="00A30A90">
        <w:t xml:space="preserve">is data that: </w:t>
      </w:r>
    </w:p>
    <w:p w14:paraId="737D63B0" w14:textId="1C4D347F" w:rsidR="00A30A90" w:rsidRPr="00BD6DBA" w:rsidRDefault="00A30A90" w:rsidP="00A30A90">
      <w:pPr>
        <w:pStyle w:val="Normal-Numberedparagraphs"/>
        <w:numPr>
          <w:ilvl w:val="0"/>
          <w:numId w:val="61"/>
        </w:numPr>
      </w:pPr>
      <w:r>
        <w:t xml:space="preserve">identifies or describes the product and includes information about its type, name, price (including fees and charges), associated features and benefits (including discounts and availability of bundles), eligibility criteria, terms and conditions, </w:t>
      </w:r>
      <w:r w:rsidR="005A452E">
        <w:t xml:space="preserve">and </w:t>
      </w:r>
      <w:r>
        <w:t xml:space="preserve">availability of a </w:t>
      </w:r>
      <w:proofErr w:type="gramStart"/>
      <w:r>
        <w:t>product;</w:t>
      </w:r>
      <w:proofErr w:type="gramEnd"/>
      <w:r>
        <w:t xml:space="preserve"> </w:t>
      </w:r>
    </w:p>
    <w:p w14:paraId="2C6656D7" w14:textId="79C4478B" w:rsidR="00A30A90" w:rsidRPr="00BD6DBA" w:rsidRDefault="00A30A90" w:rsidP="00A30A90">
      <w:pPr>
        <w:pStyle w:val="Normal-Numberedparagraphs"/>
        <w:numPr>
          <w:ilvl w:val="0"/>
          <w:numId w:val="61"/>
        </w:numPr>
      </w:pPr>
      <w:r>
        <w:t>in the case of data that is about availability– is data that is publicly available; and</w:t>
      </w:r>
    </w:p>
    <w:p w14:paraId="6F30D37E" w14:textId="39D3ABD5" w:rsidR="00C54497" w:rsidRDefault="00A30A90" w:rsidP="00A30A90">
      <w:pPr>
        <w:pStyle w:val="Normal-Numberedparagraphs"/>
        <w:numPr>
          <w:ilvl w:val="0"/>
          <w:numId w:val="61"/>
        </w:numPr>
      </w:pPr>
      <w:r>
        <w:t xml:space="preserve">is held in digital form. </w:t>
      </w:r>
    </w:p>
    <w:p w14:paraId="0873D89C" w14:textId="26A85C22" w:rsidR="00F3360E" w:rsidRDefault="00F3360E" w:rsidP="00F3360E">
      <w:pPr>
        <w:pStyle w:val="Normal-Numberedparagraphs"/>
      </w:pPr>
      <w:r>
        <w:lastRenderedPageBreak/>
        <w:t xml:space="preserve">The intent behind the required product data category is to support the sharing of data that is </w:t>
      </w:r>
      <w:r w:rsidRPr="00B14BC7">
        <w:t>commonly</w:t>
      </w:r>
      <w:r>
        <w:t xml:space="preserve"> contained in disclosure documents in machine-readable form, as dictated by the standards. In the telecommunications sector, the rules for required product data would support the sharing of information that is of the kind currently available in a </w:t>
      </w:r>
      <w:r w:rsidR="00D5005C">
        <w:t xml:space="preserve">telecommunications </w:t>
      </w:r>
      <w:r>
        <w:t xml:space="preserve">critical information summary or key fact sheet. The intended benefit of including product information that is currently made available is to leverage the benefits of this information being </w:t>
      </w:r>
      <w:r w:rsidR="00D5005C">
        <w:t xml:space="preserve">made available in a standardised and </w:t>
      </w:r>
      <w:r>
        <w:t xml:space="preserve">machine-readable form, which will facilitate more efficient transmission, </w:t>
      </w:r>
      <w:proofErr w:type="gramStart"/>
      <w:r>
        <w:t>analysis</w:t>
      </w:r>
      <w:proofErr w:type="gramEnd"/>
      <w:r>
        <w:t xml:space="preserve"> and reproduction. </w:t>
      </w:r>
    </w:p>
    <w:p w14:paraId="01951BC2" w14:textId="6776D284" w:rsidR="00037422" w:rsidRDefault="003765BD" w:rsidP="00085B68">
      <w:pPr>
        <w:pStyle w:val="Normal-Numberedparagraphs"/>
      </w:pPr>
      <w:r>
        <w:t>W</w:t>
      </w:r>
      <w:r w:rsidR="00B2097A">
        <w:t xml:space="preserve">e </w:t>
      </w:r>
      <w:r w:rsidR="008537FB">
        <w:t>seek</w:t>
      </w:r>
      <w:r w:rsidR="00B2097A">
        <w:t xml:space="preserve"> feedback </w:t>
      </w:r>
      <w:r>
        <w:t xml:space="preserve">on how to </w:t>
      </w:r>
      <w:r w:rsidR="00C964AF">
        <w:t xml:space="preserve">best </w:t>
      </w:r>
      <w:r>
        <w:t>describe the core phone</w:t>
      </w:r>
      <w:r w:rsidR="00397C19">
        <w:t xml:space="preserve">, </w:t>
      </w:r>
      <w:proofErr w:type="gramStart"/>
      <w:r w:rsidR="00397C19">
        <w:t>internet</w:t>
      </w:r>
      <w:proofErr w:type="gramEnd"/>
      <w:r w:rsidR="00397C19">
        <w:t xml:space="preserve"> and broadband</w:t>
      </w:r>
      <w:r w:rsidR="00085B68">
        <w:t xml:space="preserve"> product</w:t>
      </w:r>
      <w:r w:rsidR="00FD2944">
        <w:t>s</w:t>
      </w:r>
      <w:r w:rsidR="00085B68">
        <w:t xml:space="preserve"> </w:t>
      </w:r>
      <w:r w:rsidR="00C964AF">
        <w:t xml:space="preserve">across </w:t>
      </w:r>
      <w:r w:rsidR="004C10DB">
        <w:t xml:space="preserve">carriers and CSPs </w:t>
      </w:r>
      <w:r>
        <w:t xml:space="preserve">to support </w:t>
      </w:r>
      <w:r w:rsidR="008430FB">
        <w:t xml:space="preserve">the most meaningful </w:t>
      </w:r>
      <w:r>
        <w:t>product comparison and data sharing</w:t>
      </w:r>
      <w:r w:rsidR="00085B68">
        <w:t xml:space="preserve"> (</w:t>
      </w:r>
      <w:r>
        <w:t>for example,</w:t>
      </w:r>
      <w:r w:rsidR="00085B68">
        <w:t xml:space="preserve"> </w:t>
      </w:r>
      <w:r w:rsidR="008430FB">
        <w:t xml:space="preserve">whether </w:t>
      </w:r>
      <w:r w:rsidR="00C964AF">
        <w:t xml:space="preserve">it is sufficient to list </w:t>
      </w:r>
      <w:r w:rsidR="00085B68">
        <w:t>mobile phone</w:t>
      </w:r>
      <w:r>
        <w:t xml:space="preserve"> products</w:t>
      </w:r>
      <w:r w:rsidR="00085B68">
        <w:t xml:space="preserve"> </w:t>
      </w:r>
      <w:r w:rsidR="00C964AF">
        <w:t>or whether categories like</w:t>
      </w:r>
      <w:r w:rsidR="00085B68">
        <w:t xml:space="preserve"> pre-paid, post-paid, SIM-only plans</w:t>
      </w:r>
      <w:r w:rsidR="008537FB">
        <w:t xml:space="preserve"> and</w:t>
      </w:r>
      <w:r w:rsidR="00085B68">
        <w:t xml:space="preserve"> business mobile plans</w:t>
      </w:r>
      <w:r w:rsidR="00C964AF">
        <w:t xml:space="preserve"> would be </w:t>
      </w:r>
      <w:r w:rsidR="00FD2944">
        <w:t xml:space="preserve">more </w:t>
      </w:r>
      <w:r w:rsidR="00C964AF">
        <w:t>helpful</w:t>
      </w:r>
      <w:r w:rsidR="00085B68">
        <w:t xml:space="preserve">). </w:t>
      </w:r>
      <w:r w:rsidR="007F5EF6">
        <w:t>Specifically, we are interested in the appropriate level of granularity to describe these classes of products to ensure use cases are adequately support</w:t>
      </w:r>
      <w:r w:rsidR="003830B7">
        <w:t>ed</w:t>
      </w:r>
      <w:r w:rsidR="00C50735">
        <w:t>.</w:t>
      </w:r>
    </w:p>
    <w:p w14:paraId="28384821" w14:textId="480A76E8" w:rsidR="00037BCF" w:rsidRDefault="00D63193" w:rsidP="00085B68">
      <w:pPr>
        <w:pStyle w:val="Normal-Numberedparagraphs"/>
      </w:pPr>
      <w:r>
        <w:t xml:space="preserve">Treasury </w:t>
      </w:r>
      <w:r w:rsidR="00BF35E3">
        <w:t>recommends</w:t>
      </w:r>
      <w:r>
        <w:t xml:space="preserve"> </w:t>
      </w:r>
      <w:r w:rsidR="00BF35E3">
        <w:t>only including</w:t>
      </w:r>
      <w:r>
        <w:t xml:space="preserve"> </w:t>
      </w:r>
      <w:r w:rsidR="00677530">
        <w:t xml:space="preserve">publicly </w:t>
      </w:r>
      <w:r w:rsidR="00037422">
        <w:t>offered</w:t>
      </w:r>
      <w:r w:rsidR="00677530">
        <w:t xml:space="preserve"> products in scope for </w:t>
      </w:r>
      <w:r w:rsidR="00A37103">
        <w:t xml:space="preserve">generic </w:t>
      </w:r>
      <w:r w:rsidR="00677530">
        <w:t xml:space="preserve">product </w:t>
      </w:r>
      <w:r w:rsidR="00037422">
        <w:t xml:space="preserve">reference </w:t>
      </w:r>
      <w:r w:rsidR="00677530">
        <w:t>data sharing</w:t>
      </w:r>
      <w:r>
        <w:t xml:space="preserve">. This was the approach </w:t>
      </w:r>
      <w:r w:rsidR="00C50735">
        <w:t xml:space="preserve">taken in </w:t>
      </w:r>
      <w:r>
        <w:t>the banking and energy sectors.</w:t>
      </w:r>
      <w:r w:rsidR="00677530">
        <w:t xml:space="preserve"> This means that legacy or grandfathered products </w:t>
      </w:r>
      <w:r w:rsidR="00A37103">
        <w:t>would</w:t>
      </w:r>
      <w:r w:rsidR="00677530">
        <w:t xml:space="preserve"> not</w:t>
      </w:r>
      <w:r w:rsidR="00A37103">
        <w:t xml:space="preserve"> be</w:t>
      </w:r>
      <w:r w:rsidR="00677530">
        <w:t xml:space="preserve"> shared </w:t>
      </w:r>
      <w:r w:rsidR="00677530" w:rsidRPr="00134263">
        <w:t xml:space="preserve">as product </w:t>
      </w:r>
      <w:r w:rsidR="00C50735">
        <w:t xml:space="preserve">reference </w:t>
      </w:r>
      <w:r w:rsidR="00677530" w:rsidRPr="00134263">
        <w:t xml:space="preserve">data (as for other sectors, there is no policy reason to do so given they are </w:t>
      </w:r>
      <w:r w:rsidR="00037BCF">
        <w:t>no longer</w:t>
      </w:r>
      <w:r w:rsidR="00677530" w:rsidRPr="00134263">
        <w:t xml:space="preserve"> </w:t>
      </w:r>
      <w:r w:rsidR="007D2083">
        <w:t>available to</w:t>
      </w:r>
      <w:r w:rsidR="00677530">
        <w:t xml:space="preserve"> consumers</w:t>
      </w:r>
      <w:r w:rsidR="00677530" w:rsidRPr="00134263">
        <w:t>).</w:t>
      </w:r>
      <w:r w:rsidR="00677530">
        <w:t xml:space="preserve"> </w:t>
      </w:r>
      <w:r w:rsidR="00A37103">
        <w:t xml:space="preserve">Similarly, </w:t>
      </w:r>
      <w:r>
        <w:t xml:space="preserve">we </w:t>
      </w:r>
      <w:r w:rsidR="00BF35E3">
        <w:t>recommend</w:t>
      </w:r>
      <w:r>
        <w:t xml:space="preserve"> that </w:t>
      </w:r>
      <w:r w:rsidR="00A37103">
        <w:t>products that are offered to enterprise customers</w:t>
      </w:r>
      <w:r w:rsidR="006F710E">
        <w:rPr>
          <w:rStyle w:val="FootnoteReference"/>
        </w:rPr>
        <w:footnoteReference w:id="8"/>
      </w:r>
      <w:r w:rsidR="00A37103">
        <w:t xml:space="preserve"> and are highly negotiated would also be excluded from product data sharing</w:t>
      </w:r>
      <w:r w:rsidR="00037422">
        <w:t xml:space="preserve"> on the basis they are not publicly offered</w:t>
      </w:r>
      <w:r w:rsidR="00A37103">
        <w:t xml:space="preserve">. </w:t>
      </w:r>
    </w:p>
    <w:p w14:paraId="4BFB9130" w14:textId="5779AC16" w:rsidR="00D22A34" w:rsidRDefault="00D22A34" w:rsidP="00EB3C6F">
      <w:pPr>
        <w:pStyle w:val="Normal-Numberedparagraphs"/>
        <w:numPr>
          <w:ilvl w:val="0"/>
          <w:numId w:val="58"/>
        </w:numPr>
      </w:pPr>
      <w:r>
        <w:t xml:space="preserve">We seek feedback on whether there are other products that would not be appropriate for inclusion, for example, in earlier consultations, products with a very low margin that are only offered to customers experiencing financial difficulty were raised as a potential exclusion. </w:t>
      </w:r>
    </w:p>
    <w:p w14:paraId="09DE5B7C" w14:textId="54D5F551" w:rsidR="00A30A90" w:rsidRDefault="00D22A34" w:rsidP="00F3360E">
      <w:pPr>
        <w:pStyle w:val="Normal-Numberedparagraphs"/>
        <w:numPr>
          <w:ilvl w:val="0"/>
          <w:numId w:val="58"/>
        </w:numPr>
      </w:pPr>
      <w:r>
        <w:t>T</w:t>
      </w:r>
      <w:r w:rsidR="007D2083">
        <w:t>o the extent a</w:t>
      </w:r>
      <w:r w:rsidR="00A37103">
        <w:t>n eligible CDR</w:t>
      </w:r>
      <w:r w:rsidR="007D2083">
        <w:t xml:space="preserve"> consumer uses a product</w:t>
      </w:r>
      <w:r w:rsidR="00A37103">
        <w:t xml:space="preserve"> (which may include a legacy product)</w:t>
      </w:r>
      <w:r w:rsidR="007D2083">
        <w:t xml:space="preserve">, </w:t>
      </w:r>
      <w:r>
        <w:t xml:space="preserve">we intend for </w:t>
      </w:r>
      <w:r w:rsidR="007D2083">
        <w:t xml:space="preserve">that product data </w:t>
      </w:r>
      <w:r>
        <w:t xml:space="preserve">to </w:t>
      </w:r>
      <w:r w:rsidR="007D2083">
        <w:t>be in scope as consumer data.</w:t>
      </w:r>
    </w:p>
    <w:tbl>
      <w:tblPr>
        <w:tblStyle w:val="TableGrid"/>
        <w:tblW w:w="0" w:type="auto"/>
        <w:tblLook w:val="04A0" w:firstRow="1" w:lastRow="0" w:firstColumn="1" w:lastColumn="0" w:noHBand="0" w:noVBand="1"/>
      </w:tblPr>
      <w:tblGrid>
        <w:gridCol w:w="9016"/>
      </w:tblGrid>
      <w:tr w:rsidR="00A70387" w14:paraId="3484B46E" w14:textId="77777777" w:rsidTr="00520F5F">
        <w:tc>
          <w:tcPr>
            <w:tcW w:w="9016" w:type="dxa"/>
          </w:tcPr>
          <w:p w14:paraId="600EDC79" w14:textId="59CE8C91" w:rsidR="00A70387" w:rsidRPr="002F035E" w:rsidRDefault="00673759" w:rsidP="00520F5F">
            <w:pPr>
              <w:rPr>
                <w:b/>
                <w:bCs/>
              </w:rPr>
            </w:pPr>
            <w:r>
              <w:rPr>
                <w:b/>
                <w:bCs/>
              </w:rPr>
              <w:t>Rules q</w:t>
            </w:r>
            <w:r w:rsidR="00A70387" w:rsidRPr="002F035E">
              <w:rPr>
                <w:b/>
                <w:bCs/>
              </w:rPr>
              <w:t>uestions</w:t>
            </w:r>
          </w:p>
          <w:p w14:paraId="084802FC" w14:textId="54808F87" w:rsidR="00714322" w:rsidRDefault="000D2478" w:rsidP="00EB3C6F">
            <w:pPr>
              <w:pStyle w:val="OutlineNumbered1"/>
            </w:pPr>
            <w:r>
              <w:t>How can we best</w:t>
            </w:r>
            <w:r w:rsidR="00DE03FA">
              <w:t xml:space="preserve"> describe the core </w:t>
            </w:r>
            <w:r w:rsidR="003830B7">
              <w:t xml:space="preserve">classes or types of </w:t>
            </w:r>
            <w:proofErr w:type="gramStart"/>
            <w:r w:rsidR="00DE03FA">
              <w:t>phone</w:t>
            </w:r>
            <w:proofErr w:type="gramEnd"/>
            <w:r w:rsidR="00397C19">
              <w:t>,</w:t>
            </w:r>
            <w:r w:rsidR="00DE03FA">
              <w:t xml:space="preserve"> internet</w:t>
            </w:r>
            <w:r w:rsidR="00397C19">
              <w:t xml:space="preserve"> and broadband</w:t>
            </w:r>
            <w:r w:rsidR="00DE03FA">
              <w:t xml:space="preserve"> products across </w:t>
            </w:r>
            <w:r w:rsidR="004C10DB">
              <w:t>carriers and CSPs</w:t>
            </w:r>
            <w:r w:rsidR="00DE03FA">
              <w:t xml:space="preserve"> to support meaningful product comparison</w:t>
            </w:r>
            <w:r w:rsidR="00A40C49">
              <w:t xml:space="preserve"> and</w:t>
            </w:r>
            <w:r w:rsidR="003830B7">
              <w:t xml:space="preserve"> other use cases</w:t>
            </w:r>
            <w:r w:rsidR="00A40C49">
              <w:t>,</w:t>
            </w:r>
            <w:r w:rsidR="003830B7">
              <w:t xml:space="preserve"> and </w:t>
            </w:r>
            <w:r w:rsidR="00A40C49">
              <w:t>to</w:t>
            </w:r>
            <w:r w:rsidR="003830B7">
              <w:t xml:space="preserve"> ensure</w:t>
            </w:r>
            <w:r w:rsidR="008A371F">
              <w:t xml:space="preserve"> products are adequately described for the purposes of </w:t>
            </w:r>
            <w:r w:rsidR="003830B7">
              <w:t>consumer engagement and consent</w:t>
            </w:r>
            <w:r>
              <w:t>?</w:t>
            </w:r>
          </w:p>
          <w:p w14:paraId="53D077EC" w14:textId="4E7C7AFE" w:rsidR="0031619E" w:rsidRDefault="00A40C49" w:rsidP="00C35250">
            <w:pPr>
              <w:pStyle w:val="OutlineNumbered1"/>
            </w:pPr>
            <w:r>
              <w:t>Do</w:t>
            </w:r>
            <w:r w:rsidR="0031619E">
              <w:t xml:space="preserve"> you support excluding products offered to enterprise customers from product </w:t>
            </w:r>
            <w:r>
              <w:t xml:space="preserve">reference </w:t>
            </w:r>
            <w:r w:rsidR="0031619E">
              <w:t>data</w:t>
            </w:r>
            <w:r>
              <w:t xml:space="preserve"> sharing</w:t>
            </w:r>
            <w:r w:rsidR="0031619E">
              <w:t>?</w:t>
            </w:r>
            <w:r w:rsidR="00AF0285">
              <w:t xml:space="preserve"> Should this exclusion be limited to products that are not publicly available and are highly negotiated?</w:t>
            </w:r>
          </w:p>
          <w:p w14:paraId="2C24B4BD" w14:textId="77777777" w:rsidR="0031619E" w:rsidRDefault="0031619E" w:rsidP="00C35250">
            <w:pPr>
              <w:pStyle w:val="OutlineNumbered1"/>
            </w:pPr>
            <w:r>
              <w:t>Are there any sectoral considerations in relation to limiting product data sharing to publicly offered products that we should be aware of?</w:t>
            </w:r>
          </w:p>
          <w:p w14:paraId="12A08E6D" w14:textId="678C049F" w:rsidR="00A70387" w:rsidRPr="00DA39A0" w:rsidRDefault="00714322">
            <w:pPr>
              <w:pStyle w:val="OutlineNumbered1"/>
            </w:pPr>
            <w:r>
              <w:lastRenderedPageBreak/>
              <w:t xml:space="preserve">Are there other products that would not be appropriate for inclusion? </w:t>
            </w:r>
          </w:p>
        </w:tc>
      </w:tr>
    </w:tbl>
    <w:p w14:paraId="2CDAC6F1" w14:textId="77777777" w:rsidR="00A70387" w:rsidRDefault="00A70387" w:rsidP="00EB3C6F">
      <w:pPr>
        <w:pStyle w:val="Normal-Numberedparagraphs"/>
        <w:numPr>
          <w:ilvl w:val="0"/>
          <w:numId w:val="0"/>
        </w:numPr>
        <w:ind w:left="360" w:hanging="360"/>
      </w:pPr>
    </w:p>
    <w:p w14:paraId="6C01A595" w14:textId="084FC60B" w:rsidR="00677530" w:rsidRDefault="005B6BD0" w:rsidP="00BD6DBA">
      <w:pPr>
        <w:pStyle w:val="Heading3"/>
        <w:rPr>
          <w:b/>
          <w:color w:val="auto"/>
        </w:rPr>
      </w:pPr>
      <w:bookmarkStart w:id="60" w:name="_Toc96353741"/>
      <w:r>
        <w:rPr>
          <w:b/>
          <w:bCs/>
          <w:color w:val="auto"/>
        </w:rPr>
        <w:t>What is</w:t>
      </w:r>
      <w:r w:rsidR="006132C9" w:rsidRPr="006F7169">
        <w:rPr>
          <w:b/>
          <w:bCs/>
          <w:color w:val="auto"/>
        </w:rPr>
        <w:t xml:space="preserve"> required data sharing</w:t>
      </w:r>
      <w:r>
        <w:rPr>
          <w:b/>
          <w:bCs/>
          <w:color w:val="auto"/>
        </w:rPr>
        <w:t>?</w:t>
      </w:r>
      <w:bookmarkEnd w:id="60"/>
      <w:r w:rsidR="007D2083" w:rsidRPr="00BD6DBA">
        <w:rPr>
          <w:b/>
          <w:color w:val="auto"/>
        </w:rPr>
        <w:t xml:space="preserve">  </w:t>
      </w:r>
    </w:p>
    <w:p w14:paraId="247342FC" w14:textId="4A484276" w:rsidR="000C0564" w:rsidRDefault="000C0564" w:rsidP="000C0564">
      <w:pPr>
        <w:pStyle w:val="Normal-Numberedparagraphs"/>
      </w:pPr>
      <w:r>
        <w:t xml:space="preserve">The CDR Rules </w:t>
      </w:r>
      <w:r w:rsidR="00A40C49">
        <w:t>include</w:t>
      </w:r>
      <w:r>
        <w:t xml:space="preserve"> the concept of </w:t>
      </w:r>
      <w:r w:rsidR="00A40C49">
        <w:t>‘</w:t>
      </w:r>
      <w:r>
        <w:t>required</w:t>
      </w:r>
      <w:r w:rsidR="00A40C49">
        <w:t>’</w:t>
      </w:r>
      <w:r>
        <w:t xml:space="preserve"> product </w:t>
      </w:r>
      <w:r w:rsidR="00F3360E">
        <w:t xml:space="preserve">data (as discussed above) </w:t>
      </w:r>
      <w:r>
        <w:t xml:space="preserve">and </w:t>
      </w:r>
      <w:r w:rsidR="00F3360E">
        <w:t xml:space="preserve">‘required’ </w:t>
      </w:r>
      <w:r>
        <w:t xml:space="preserve">consumer data. This is data that data holders are required to share </w:t>
      </w:r>
      <w:r w:rsidR="00A40C49">
        <w:t>in response to</w:t>
      </w:r>
      <w:r>
        <w:t xml:space="preserve"> a valid product or consumer data request. </w:t>
      </w:r>
    </w:p>
    <w:p w14:paraId="081CE30C" w14:textId="5369B444" w:rsidR="00A40C49" w:rsidRDefault="00EC6623" w:rsidP="000C0564">
      <w:pPr>
        <w:pStyle w:val="Normal-Numberedparagraphs"/>
      </w:pPr>
      <w:r>
        <w:t>After receiving a consumer’s consent, an ADR can request consumer data from a data holder.</w:t>
      </w:r>
      <w:r w:rsidR="000C0564">
        <w:t xml:space="preserve"> If an ADR has made a valid consumer data request, the data holder will seek authorisation from the consumer to disclose the </w:t>
      </w:r>
      <w:r w:rsidR="000C0564" w:rsidRPr="009E51FA">
        <w:t>data and once the authorisation has been made, the required consumer data will be disclosed to the ADR</w:t>
      </w:r>
      <w:r w:rsidR="000C0564" w:rsidRPr="00162DE5">
        <w:t xml:space="preserve">. </w:t>
      </w:r>
    </w:p>
    <w:p w14:paraId="74DD888C" w14:textId="2EB1B5E2" w:rsidR="000C0564" w:rsidRDefault="000C0564" w:rsidP="000C0564">
      <w:pPr>
        <w:pStyle w:val="Normal-Numberedparagraphs"/>
      </w:pPr>
      <w:r>
        <w:t>A data holder cannot charge a fee for the disclosure of required product or consumer data. Voluntary data</w:t>
      </w:r>
      <w:r w:rsidR="00635F44">
        <w:t xml:space="preserve">, which is designated CDR data that </w:t>
      </w:r>
      <w:r w:rsidR="00676B28">
        <w:t xml:space="preserve">is neither </w:t>
      </w:r>
      <w:r w:rsidR="00635F44">
        <w:t xml:space="preserve">required </w:t>
      </w:r>
      <w:r w:rsidR="00676B28">
        <w:t>data nor excluded data</w:t>
      </w:r>
      <w:r w:rsidR="00635F44">
        <w:t>,</w:t>
      </w:r>
      <w:r>
        <w:t xml:space="preserve"> can be shared and fees can be charged for </w:t>
      </w:r>
      <w:r w:rsidR="00A30A90">
        <w:t xml:space="preserve">the provision of </w:t>
      </w:r>
      <w:r>
        <w:t xml:space="preserve">it.   </w:t>
      </w:r>
    </w:p>
    <w:p w14:paraId="71CC5C3E" w14:textId="37E55C37" w:rsidR="000C0564" w:rsidRDefault="000C0564" w:rsidP="000C0564">
      <w:pPr>
        <w:pStyle w:val="Normal-Numberedparagraphs"/>
      </w:pPr>
      <w:r>
        <w:t>In relation to the scope of required data sharing for both product and consumer data, Treasury is minded to follow a similar structure to the banking and energy rules.</w:t>
      </w:r>
      <w:r>
        <w:rPr>
          <w:rStyle w:val="FootnoteReference"/>
        </w:rPr>
        <w:footnoteReference w:id="9"/>
      </w:r>
      <w:r>
        <w:t xml:space="preserve"> That is, include as categories of required data: ‘product data’ (information about products), ‘customer data’ (customer details), ‘account data’ (account details), ‘</w:t>
      </w:r>
      <w:r w:rsidRPr="00BD6DBA">
        <w:t>billing</w:t>
      </w:r>
      <w:r>
        <w:t xml:space="preserve"> data’ (</w:t>
      </w:r>
      <w:r w:rsidR="00A40C49">
        <w:t xml:space="preserve">generally speaking, </w:t>
      </w:r>
      <w:r>
        <w:t>the type of data a consumer has access to on their bill or through online or mobile accounts), and ‘product specific data’ (data that relates to products that a specific consumer uses).</w:t>
      </w:r>
      <w:r w:rsidR="001D2944">
        <w:t xml:space="preserve"> These datasets would be included to the extent they are held by the data holder in digital form. </w:t>
      </w:r>
      <w:r>
        <w:t xml:space="preserve"> </w:t>
      </w:r>
    </w:p>
    <w:p w14:paraId="4E5C866E" w14:textId="60050398" w:rsidR="001942DC" w:rsidRDefault="001942DC" w:rsidP="00EB3C6F">
      <w:pPr>
        <w:pStyle w:val="Heading4"/>
        <w:ind w:left="0" w:firstLine="0"/>
        <w:rPr>
          <w:bCs/>
        </w:rPr>
      </w:pPr>
      <w:bookmarkStart w:id="61" w:name="_Toc93315749"/>
      <w:r w:rsidRPr="004E470C">
        <w:t xml:space="preserve">Customer data </w:t>
      </w:r>
    </w:p>
    <w:p w14:paraId="1DCF426E" w14:textId="1348D904" w:rsidR="00BA4342" w:rsidRPr="004110E1" w:rsidRDefault="00636312" w:rsidP="00BA4342">
      <w:pPr>
        <w:pStyle w:val="Normal-Numberedparagraphs"/>
        <w:rPr>
          <w:i/>
          <w:iCs/>
        </w:rPr>
      </w:pPr>
      <w:r>
        <w:t>Customer data for CDR</w:t>
      </w:r>
      <w:r w:rsidR="00C4675E">
        <w:t xml:space="preserve"> in other sectors</w:t>
      </w:r>
      <w:r>
        <w:t xml:space="preserve"> is</w:t>
      </w:r>
      <w:r w:rsidR="00BA4342">
        <w:t xml:space="preserve">: </w:t>
      </w:r>
    </w:p>
    <w:p w14:paraId="5274495A" w14:textId="4F71D099" w:rsidR="001942DC" w:rsidRPr="00BD6DBA" w:rsidRDefault="00BA4342" w:rsidP="00BD6DBA">
      <w:pPr>
        <w:pStyle w:val="Normal-Numberedparagraphs"/>
        <w:numPr>
          <w:ilvl w:val="0"/>
          <w:numId w:val="63"/>
        </w:numPr>
      </w:pPr>
      <w:r>
        <w:t>information that identifies or is about a person, and includes the person’s name, contact details (telephone number, email address, physical address</w:t>
      </w:r>
      <w:proofErr w:type="gramStart"/>
      <w:r>
        <w:t>)</w:t>
      </w:r>
      <w:r w:rsidR="000C0CEB">
        <w:t>;</w:t>
      </w:r>
      <w:proofErr w:type="gramEnd"/>
    </w:p>
    <w:p w14:paraId="48D5ED51" w14:textId="750FA6B7" w:rsidR="00BA4342" w:rsidRPr="00BD6DBA" w:rsidRDefault="00BA4342" w:rsidP="00BD6DBA">
      <w:pPr>
        <w:pStyle w:val="Normal-Numberedparagraphs"/>
        <w:numPr>
          <w:ilvl w:val="0"/>
          <w:numId w:val="63"/>
        </w:numPr>
      </w:pPr>
      <w:r>
        <w:t>information that a person provided at the time of acquiring a particular product and that relates to their eligibility to acquire that product</w:t>
      </w:r>
      <w:r w:rsidR="000C0CEB">
        <w:t>; and</w:t>
      </w:r>
    </w:p>
    <w:p w14:paraId="47F5B454" w14:textId="43D9044F" w:rsidR="00BA4342" w:rsidRPr="00BD6DBA" w:rsidRDefault="00BA4342" w:rsidP="00BD6DBA">
      <w:pPr>
        <w:pStyle w:val="Normal-Numberedparagraphs"/>
        <w:numPr>
          <w:ilvl w:val="0"/>
          <w:numId w:val="63"/>
        </w:numPr>
      </w:pPr>
      <w:r>
        <w:t xml:space="preserve">in the case of business customers, a business name and ABN. </w:t>
      </w:r>
    </w:p>
    <w:p w14:paraId="33CB18AF" w14:textId="729B60BC" w:rsidR="008E6D4F" w:rsidRPr="00EB3C6F" w:rsidRDefault="008E6D4F" w:rsidP="008E6D4F">
      <w:pPr>
        <w:pStyle w:val="Normal-Numberedparagraphs"/>
        <w:rPr>
          <w:i/>
          <w:iCs/>
        </w:rPr>
      </w:pPr>
      <w:r>
        <w:t xml:space="preserve">A customer’s date of birth is not included as a dataset. </w:t>
      </w:r>
    </w:p>
    <w:p w14:paraId="54C9DE00" w14:textId="5EB2363C" w:rsidR="00BB7BAA" w:rsidRPr="00EB3C6F" w:rsidRDefault="00BB7BAA" w:rsidP="000533D8">
      <w:pPr>
        <w:pStyle w:val="Normal-Numberedparagraphs"/>
        <w:rPr>
          <w:i/>
          <w:iCs/>
        </w:rPr>
      </w:pPr>
      <w:r>
        <w:t xml:space="preserve">We </w:t>
      </w:r>
      <w:r w:rsidR="007E5F23">
        <w:t>expect</w:t>
      </w:r>
      <w:r w:rsidR="00BC6C56">
        <w:t xml:space="preserve"> to include</w:t>
      </w:r>
      <w:r>
        <w:t xml:space="preserve"> customer data </w:t>
      </w:r>
      <w:r w:rsidR="00C4675E">
        <w:t>as outlined abo</w:t>
      </w:r>
      <w:r w:rsidR="00432DBB">
        <w:t>ve</w:t>
      </w:r>
      <w:r w:rsidR="00C4675E">
        <w:t xml:space="preserve"> </w:t>
      </w:r>
      <w:r w:rsidR="00BC6C56">
        <w:t xml:space="preserve">for the </w:t>
      </w:r>
      <w:proofErr w:type="gramStart"/>
      <w:r w:rsidR="00844EEC">
        <w:t>telecommunications rules, but</w:t>
      </w:r>
      <w:proofErr w:type="gramEnd"/>
      <w:r w:rsidR="00844EEC">
        <w:t xml:space="preserve"> </w:t>
      </w:r>
      <w:r>
        <w:t>seek feedback on any sector</w:t>
      </w:r>
      <w:r w:rsidR="007113CC">
        <w:t>-</w:t>
      </w:r>
      <w:r>
        <w:t>specific considerations we should be aware of.</w:t>
      </w:r>
    </w:p>
    <w:tbl>
      <w:tblPr>
        <w:tblStyle w:val="TableGrid"/>
        <w:tblW w:w="0" w:type="auto"/>
        <w:tblLook w:val="04A0" w:firstRow="1" w:lastRow="0" w:firstColumn="1" w:lastColumn="0" w:noHBand="0" w:noVBand="1"/>
      </w:tblPr>
      <w:tblGrid>
        <w:gridCol w:w="9016"/>
      </w:tblGrid>
      <w:tr w:rsidR="007315CC" w14:paraId="61FC733B" w14:textId="77777777" w:rsidTr="00BD23F1">
        <w:tc>
          <w:tcPr>
            <w:tcW w:w="9016" w:type="dxa"/>
          </w:tcPr>
          <w:p w14:paraId="1A3E623D" w14:textId="72614F1E" w:rsidR="007315CC" w:rsidRPr="002F035E" w:rsidRDefault="00673759" w:rsidP="00162DE5">
            <w:pPr>
              <w:keepNext/>
              <w:rPr>
                <w:b/>
                <w:bCs/>
              </w:rPr>
            </w:pPr>
            <w:r>
              <w:rPr>
                <w:b/>
                <w:bCs/>
              </w:rPr>
              <w:lastRenderedPageBreak/>
              <w:t>Rules que</w:t>
            </w:r>
            <w:r w:rsidR="007315CC" w:rsidRPr="002F035E">
              <w:rPr>
                <w:b/>
                <w:bCs/>
              </w:rPr>
              <w:t>stion</w:t>
            </w:r>
          </w:p>
          <w:p w14:paraId="7A531FEB" w14:textId="52121871" w:rsidR="007315CC" w:rsidRPr="00DA39A0" w:rsidRDefault="007315CC">
            <w:pPr>
              <w:pStyle w:val="OutlineNumbered1"/>
            </w:pPr>
            <w:r>
              <w:t xml:space="preserve">Are there any considerations </w:t>
            </w:r>
            <w:r w:rsidR="00C4675E">
              <w:t xml:space="preserve">specific to the telecommunications sector that </w:t>
            </w:r>
            <w:r>
              <w:t>we should be aware of</w:t>
            </w:r>
            <w:r w:rsidR="00636312">
              <w:t xml:space="preserve"> in </w:t>
            </w:r>
            <w:r w:rsidR="00C4675E">
              <w:t xml:space="preserve">relation </w:t>
            </w:r>
            <w:r w:rsidR="00636312">
              <w:t>to customer data</w:t>
            </w:r>
            <w:r w:rsidR="00C4675E">
              <w:t>sets as outlined in this paper</w:t>
            </w:r>
            <w:r>
              <w:t xml:space="preserve">?  </w:t>
            </w:r>
          </w:p>
        </w:tc>
      </w:tr>
    </w:tbl>
    <w:p w14:paraId="1B3BC63D" w14:textId="1B407906" w:rsidR="001942DC" w:rsidRPr="001A2A75" w:rsidRDefault="001942DC" w:rsidP="00EB3C6F">
      <w:pPr>
        <w:pStyle w:val="Heading4"/>
        <w:ind w:left="0" w:firstLine="0"/>
      </w:pPr>
      <w:r w:rsidRPr="009F2425">
        <w:t>Account data</w:t>
      </w:r>
    </w:p>
    <w:p w14:paraId="1D033A61" w14:textId="43C146E8" w:rsidR="004110E1" w:rsidRPr="004110E1" w:rsidRDefault="00C75453" w:rsidP="004110E1">
      <w:pPr>
        <w:pStyle w:val="Normal-Numberedparagraphs"/>
      </w:pPr>
      <w:r>
        <w:t xml:space="preserve">Account data for CDR </w:t>
      </w:r>
      <w:r w:rsidR="00BC6C56">
        <w:t>in other sectors includes</w:t>
      </w:r>
      <w:r w:rsidR="004110E1">
        <w:t xml:space="preserve">: </w:t>
      </w:r>
    </w:p>
    <w:p w14:paraId="5E40400C" w14:textId="2884FB73" w:rsidR="004110E1" w:rsidRPr="004110E1" w:rsidRDefault="004110E1" w:rsidP="00BD6DBA">
      <w:pPr>
        <w:pStyle w:val="Normal-Numberedparagraphs"/>
        <w:numPr>
          <w:ilvl w:val="0"/>
          <w:numId w:val="65"/>
        </w:numPr>
        <w:rPr>
          <w:i/>
          <w:iCs/>
        </w:rPr>
      </w:pPr>
      <w:r>
        <w:t>Information that identifies or is about the operation of the account including account number (other than to the extent this is masked as required by law or in accordance with acceptable industry practice), the date an account was created, payment schedule associated with the account (including payment method and frequency of payments, and any concessions, rebates, or grants applied to the account</w:t>
      </w:r>
      <w:r w:rsidR="00921FE5">
        <w:t>)</w:t>
      </w:r>
      <w:r w:rsidR="00CF0A36">
        <w:t xml:space="preserve"> and </w:t>
      </w:r>
      <w:r w:rsidR="003F1617">
        <w:t xml:space="preserve">information about the </w:t>
      </w:r>
      <w:r w:rsidR="00CF0A36">
        <w:t>plan</w:t>
      </w:r>
      <w:r w:rsidR="003F1617">
        <w:t xml:space="preserve"> </w:t>
      </w:r>
      <w:r w:rsidR="00CF0A36">
        <w:t>associated with the relevant account</w:t>
      </w:r>
      <w:r>
        <w:t>.</w:t>
      </w:r>
    </w:p>
    <w:p w14:paraId="091B6292" w14:textId="34677B62" w:rsidR="00BC6C56" w:rsidRDefault="00BC6C56" w:rsidP="004110E1">
      <w:pPr>
        <w:pStyle w:val="Normal-Numberedparagraphs"/>
      </w:pPr>
      <w:r>
        <w:t xml:space="preserve">We </w:t>
      </w:r>
      <w:r w:rsidR="00844EEC">
        <w:t>expect</w:t>
      </w:r>
      <w:r>
        <w:t xml:space="preserve"> to include similar information in scope for the telecommunications rules.</w:t>
      </w:r>
    </w:p>
    <w:p w14:paraId="0CE03725" w14:textId="2F3116C5" w:rsidR="001942DC" w:rsidRPr="001942DC" w:rsidRDefault="004110E1" w:rsidP="004110E1">
      <w:pPr>
        <w:pStyle w:val="Normal-Numberedparagraphs"/>
      </w:pPr>
      <w:r>
        <w:t xml:space="preserve">We do not </w:t>
      </w:r>
      <w:r w:rsidR="00EB4C5F">
        <w:t>recommend including</w:t>
      </w:r>
      <w:r>
        <w:t xml:space="preserve"> information about whether the account is associated with a hardship program</w:t>
      </w:r>
      <w:r w:rsidR="00C4525B">
        <w:t xml:space="preserve"> at this time</w:t>
      </w:r>
      <w:r>
        <w:t xml:space="preserve">.  </w:t>
      </w:r>
    </w:p>
    <w:tbl>
      <w:tblPr>
        <w:tblStyle w:val="TableGrid"/>
        <w:tblW w:w="0" w:type="auto"/>
        <w:tblLook w:val="04A0" w:firstRow="1" w:lastRow="0" w:firstColumn="1" w:lastColumn="0" w:noHBand="0" w:noVBand="1"/>
      </w:tblPr>
      <w:tblGrid>
        <w:gridCol w:w="9016"/>
      </w:tblGrid>
      <w:tr w:rsidR="00C75453" w14:paraId="2F12C650" w14:textId="77777777" w:rsidTr="00BE44ED">
        <w:tc>
          <w:tcPr>
            <w:tcW w:w="9016" w:type="dxa"/>
          </w:tcPr>
          <w:p w14:paraId="6E848FF5" w14:textId="6B85F30A" w:rsidR="00C75453" w:rsidRPr="002F035E" w:rsidRDefault="00673759" w:rsidP="00BE44ED">
            <w:pPr>
              <w:rPr>
                <w:b/>
                <w:bCs/>
              </w:rPr>
            </w:pPr>
            <w:r>
              <w:rPr>
                <w:b/>
                <w:bCs/>
              </w:rPr>
              <w:t>Rules q</w:t>
            </w:r>
            <w:r w:rsidR="00C75453" w:rsidRPr="002F035E">
              <w:rPr>
                <w:b/>
                <w:bCs/>
              </w:rPr>
              <w:t>uestion</w:t>
            </w:r>
          </w:p>
          <w:p w14:paraId="354172B1" w14:textId="0CC9C617" w:rsidR="00C75453" w:rsidRDefault="00C75453">
            <w:pPr>
              <w:pStyle w:val="OutlineNumbered1"/>
            </w:pPr>
            <w:r>
              <w:t xml:space="preserve">Should information about whether </w:t>
            </w:r>
            <w:r w:rsidR="00C4675E">
              <w:t>a customer’s</w:t>
            </w:r>
            <w:r>
              <w:t xml:space="preserve"> account is associated with a hardship program be excluded?</w:t>
            </w:r>
          </w:p>
          <w:p w14:paraId="6E9396F2" w14:textId="5B79C2B2" w:rsidR="00C75453" w:rsidRPr="00DA39A0" w:rsidRDefault="00BC6C56">
            <w:pPr>
              <w:pStyle w:val="OutlineNumbered1"/>
            </w:pPr>
            <w:r>
              <w:t>Are there any other sector specific considerations relating to account information we should be aware of?</w:t>
            </w:r>
          </w:p>
        </w:tc>
      </w:tr>
    </w:tbl>
    <w:p w14:paraId="03C9C483" w14:textId="77777777" w:rsidR="00C75453" w:rsidRPr="001942DC" w:rsidRDefault="00C75453" w:rsidP="00EB3C6F">
      <w:pPr>
        <w:pStyle w:val="Normal-Numberedparagraphs"/>
        <w:numPr>
          <w:ilvl w:val="0"/>
          <w:numId w:val="0"/>
        </w:numPr>
        <w:ind w:left="360"/>
      </w:pPr>
    </w:p>
    <w:p w14:paraId="2BC27AF0" w14:textId="33C112C9" w:rsidR="0028165C" w:rsidRPr="001A2A75" w:rsidRDefault="00E04546" w:rsidP="00EB3C6F">
      <w:pPr>
        <w:pStyle w:val="Heading4"/>
        <w:ind w:left="0" w:firstLine="0"/>
      </w:pPr>
      <w:r>
        <w:t>‘</w:t>
      </w:r>
      <w:r w:rsidR="0028165C" w:rsidRPr="009F2425">
        <w:t>Billing</w:t>
      </w:r>
      <w:r>
        <w:t>’</w:t>
      </w:r>
      <w:r w:rsidR="0028165C" w:rsidRPr="009F2425">
        <w:t xml:space="preserve"> data </w:t>
      </w:r>
    </w:p>
    <w:p w14:paraId="29D3D6CC" w14:textId="77241ECE" w:rsidR="00786180" w:rsidRDefault="00921FE5" w:rsidP="00921FE5">
      <w:pPr>
        <w:pStyle w:val="Normal-Numberedparagraphs"/>
      </w:pPr>
      <w:r>
        <w:t xml:space="preserve">We </w:t>
      </w:r>
      <w:r w:rsidR="00033A6F">
        <w:t>recommend including</w:t>
      </w:r>
      <w:r>
        <w:t xml:space="preserve"> a category of ‘billing data’ in the rules. This dataset is intended to include the key datasets that are commonly found on a customer’s bill or available to customers through their online or mobile account</w:t>
      </w:r>
      <w:r w:rsidR="00001F73">
        <w:t>, namely:</w:t>
      </w:r>
    </w:p>
    <w:p w14:paraId="1E7FA48D" w14:textId="47863637" w:rsidR="00001F73" w:rsidRDefault="00001F73" w:rsidP="00BD6DBA">
      <w:pPr>
        <w:pStyle w:val="Normal-Numberedparagraphs"/>
        <w:numPr>
          <w:ilvl w:val="0"/>
          <w:numId w:val="69"/>
        </w:numPr>
      </w:pPr>
      <w:r>
        <w:t>Information about a bill that has been issued in relation to the arrangement to which the bill relates, including:</w:t>
      </w:r>
    </w:p>
    <w:p w14:paraId="7424EF9D" w14:textId="64A6BCE8" w:rsidR="00001F73" w:rsidRDefault="00001F73" w:rsidP="00001F73">
      <w:pPr>
        <w:pStyle w:val="Normal-Numberedparagraphs"/>
        <w:numPr>
          <w:ilvl w:val="2"/>
          <w:numId w:val="2"/>
        </w:numPr>
      </w:pPr>
      <w:r>
        <w:t xml:space="preserve">The account number, billing period, date the bill was issued, the total amount payable, applicable tariffs and charges and details of </w:t>
      </w:r>
      <w:proofErr w:type="gramStart"/>
      <w:r>
        <w:t>usage;</w:t>
      </w:r>
      <w:proofErr w:type="gramEnd"/>
    </w:p>
    <w:p w14:paraId="6BAA0923" w14:textId="1074A915" w:rsidR="00001F73" w:rsidRDefault="00001F73" w:rsidP="00BD6DBA">
      <w:pPr>
        <w:pStyle w:val="Normal-Numberedparagraphs"/>
        <w:numPr>
          <w:ilvl w:val="0"/>
          <w:numId w:val="69"/>
        </w:numPr>
      </w:pPr>
      <w:r>
        <w:t>Information about a payment or other transaction made in relation to the arrangement, including:</w:t>
      </w:r>
    </w:p>
    <w:p w14:paraId="6687533B" w14:textId="36F25F78" w:rsidR="00001F73" w:rsidRDefault="00001F73" w:rsidP="00BD6DBA">
      <w:pPr>
        <w:pStyle w:val="Normal-Numberedparagraphs"/>
        <w:numPr>
          <w:ilvl w:val="0"/>
          <w:numId w:val="70"/>
        </w:numPr>
      </w:pPr>
      <w:r>
        <w:t>The nature of the transaction, the date and time of the transaction, the amount paid and the payment method; and</w:t>
      </w:r>
    </w:p>
    <w:p w14:paraId="0B454661" w14:textId="7E022376" w:rsidR="00001F73" w:rsidRDefault="00001F73" w:rsidP="00BD6DBA">
      <w:pPr>
        <w:pStyle w:val="Normal-Numberedparagraphs"/>
        <w:numPr>
          <w:ilvl w:val="0"/>
          <w:numId w:val="69"/>
        </w:numPr>
      </w:pPr>
      <w:r>
        <w:t xml:space="preserve">The account balance at any time. </w:t>
      </w:r>
    </w:p>
    <w:p w14:paraId="77450BD2" w14:textId="7B1C6054" w:rsidR="00737222" w:rsidRDefault="00737222" w:rsidP="00737222">
      <w:pPr>
        <w:pStyle w:val="Normal-Numberedparagraphs"/>
      </w:pPr>
      <w:r>
        <w:lastRenderedPageBreak/>
        <w:t xml:space="preserve">We are minded to including certain metadata about communications (such as dates and times of communications) in the CDR rules. This data falls within ‘billing information’ under the designation instrument as this information is provided to consumers on bills </w:t>
      </w:r>
      <w:r w:rsidR="00C4675E">
        <w:t>or otherwise made available through online accounts</w:t>
      </w:r>
      <w:r>
        <w:t>.</w:t>
      </w:r>
    </w:p>
    <w:p w14:paraId="2EE3802F" w14:textId="0AA86D21" w:rsidR="00737222" w:rsidRDefault="00737222" w:rsidP="00737222">
      <w:pPr>
        <w:pStyle w:val="Normal-Numberedparagraphs"/>
      </w:pPr>
      <w:r>
        <w:t xml:space="preserve">We welcome feedback on the types of metadata that are typically made available to consumers on their bill or through their accounts. We also seek feedback on the usefulness of including this data within the scope of required data sharing. </w:t>
      </w:r>
    </w:p>
    <w:p w14:paraId="68B95F84" w14:textId="14188847" w:rsidR="00737222" w:rsidRDefault="00737222" w:rsidP="00737222">
      <w:pPr>
        <w:pStyle w:val="Normal-Numberedparagraphs"/>
      </w:pPr>
      <w:r>
        <w:t xml:space="preserve">We do not </w:t>
      </w:r>
      <w:r w:rsidR="00A73DEF">
        <w:t>recommend including</w:t>
      </w:r>
      <w:r>
        <w:t xml:space="preserve"> called party numbers </w:t>
      </w:r>
      <w:r w:rsidR="009136B9">
        <w:t xml:space="preserve">(including messaged party numbers) </w:t>
      </w:r>
      <w:r>
        <w:t xml:space="preserve">in the CDR Rules.  </w:t>
      </w:r>
    </w:p>
    <w:tbl>
      <w:tblPr>
        <w:tblStyle w:val="TableGrid"/>
        <w:tblW w:w="0" w:type="auto"/>
        <w:tblLook w:val="04A0" w:firstRow="1" w:lastRow="0" w:firstColumn="1" w:lastColumn="0" w:noHBand="0" w:noVBand="1"/>
      </w:tblPr>
      <w:tblGrid>
        <w:gridCol w:w="9016"/>
      </w:tblGrid>
      <w:tr w:rsidR="00737222" w14:paraId="7F445F41" w14:textId="77777777" w:rsidTr="00520F5F">
        <w:tc>
          <w:tcPr>
            <w:tcW w:w="9016" w:type="dxa"/>
          </w:tcPr>
          <w:p w14:paraId="75A3FCD1" w14:textId="7A6F5324" w:rsidR="00737222" w:rsidRPr="002F035E" w:rsidRDefault="00673759" w:rsidP="00520F5F">
            <w:pPr>
              <w:rPr>
                <w:b/>
                <w:bCs/>
              </w:rPr>
            </w:pPr>
            <w:r>
              <w:rPr>
                <w:b/>
                <w:bCs/>
              </w:rPr>
              <w:t>Rules q</w:t>
            </w:r>
            <w:r w:rsidR="00737222" w:rsidRPr="002F035E">
              <w:rPr>
                <w:b/>
                <w:bCs/>
              </w:rPr>
              <w:t>uestions</w:t>
            </w:r>
          </w:p>
          <w:p w14:paraId="52257C06" w14:textId="77777777" w:rsidR="00737222" w:rsidRDefault="00DC18C2" w:rsidP="00CC3E6D">
            <w:pPr>
              <w:pStyle w:val="OutlineNumbered1"/>
            </w:pPr>
            <w:r>
              <w:t>What types of metadata are typically made available to consumers on their bill?</w:t>
            </w:r>
          </w:p>
          <w:p w14:paraId="2F26D19E" w14:textId="4187A3A1" w:rsidR="00737222" w:rsidRPr="00DA39A0" w:rsidRDefault="007F3E17" w:rsidP="00520F5F">
            <w:pPr>
              <w:pStyle w:val="OutlineNumbered1"/>
            </w:pPr>
            <w:r>
              <w:t xml:space="preserve">To what extent can insights be drawn from the </w:t>
            </w:r>
            <w:r w:rsidR="00C30A80">
              <w:t xml:space="preserve">inclusion of </w:t>
            </w:r>
            <w:r w:rsidR="009117E1">
              <w:t xml:space="preserve">metadata </w:t>
            </w:r>
            <w:r w:rsidR="004B241F">
              <w:t>within the scope of required data sharing</w:t>
            </w:r>
            <w:r w:rsidR="009117E1">
              <w:t>?</w:t>
            </w:r>
          </w:p>
        </w:tc>
      </w:tr>
    </w:tbl>
    <w:p w14:paraId="3F830129" w14:textId="77777777" w:rsidR="00737222" w:rsidRDefault="00737222" w:rsidP="00EB3C6F">
      <w:pPr>
        <w:pStyle w:val="Normal-Numberedparagraphs"/>
        <w:numPr>
          <w:ilvl w:val="0"/>
          <w:numId w:val="0"/>
        </w:numPr>
        <w:ind w:left="360" w:hanging="360"/>
      </w:pPr>
    </w:p>
    <w:p w14:paraId="003E4F9E" w14:textId="1FD2496E" w:rsidR="00F032FC" w:rsidRPr="001A2A75" w:rsidRDefault="00F032FC" w:rsidP="00EB3C6F">
      <w:pPr>
        <w:pStyle w:val="Heading4"/>
        <w:ind w:left="0" w:firstLine="0"/>
      </w:pPr>
      <w:r w:rsidRPr="00B81FA1">
        <w:t>Usage data</w:t>
      </w:r>
      <w:bookmarkEnd w:id="61"/>
    </w:p>
    <w:p w14:paraId="3F3D169B" w14:textId="73C16560" w:rsidR="001942DC" w:rsidRDefault="007800BD">
      <w:pPr>
        <w:pStyle w:val="Normal-Numberedparagraphs"/>
      </w:pPr>
      <w:r>
        <w:t xml:space="preserve">We </w:t>
      </w:r>
      <w:r w:rsidR="00D645C1">
        <w:t xml:space="preserve">also </w:t>
      </w:r>
      <w:r w:rsidR="00A73DEF">
        <w:t>recommend including</w:t>
      </w:r>
      <w:r w:rsidR="00F0019C">
        <w:t xml:space="preserve"> u</w:t>
      </w:r>
      <w:r w:rsidR="00F032FC" w:rsidRPr="00B2050F">
        <w:t>sage data</w:t>
      </w:r>
      <w:r w:rsidR="00F0019C">
        <w:t xml:space="preserve"> within the scope of required data,</w:t>
      </w:r>
      <w:r w:rsidR="00F032FC" w:rsidRPr="00B2050F">
        <w:t xml:space="preserve"> such as the total number of calls or SMSs, or total amount of data </w:t>
      </w:r>
      <w:r w:rsidR="003939BD">
        <w:t xml:space="preserve">uploaded and downloaded </w:t>
      </w:r>
      <w:r w:rsidR="00F032FC" w:rsidRPr="00B2050F">
        <w:t>over a certain period</w:t>
      </w:r>
      <w:r w:rsidR="00F032FC">
        <w:t xml:space="preserve">. </w:t>
      </w:r>
      <w:r w:rsidR="00026417">
        <w:t>Accordingly, w</w:t>
      </w:r>
      <w:r w:rsidR="001942DC">
        <w:t>e welcome feedback on:</w:t>
      </w:r>
    </w:p>
    <w:p w14:paraId="2CFE4309" w14:textId="68BAC38F" w:rsidR="001942DC" w:rsidRDefault="001942DC" w:rsidP="00BD6DBA">
      <w:pPr>
        <w:pStyle w:val="Normal-Numberedparagraphs"/>
        <w:numPr>
          <w:ilvl w:val="0"/>
          <w:numId w:val="72"/>
        </w:numPr>
      </w:pPr>
      <w:r>
        <w:t>The different types of usage data displayed on bills</w:t>
      </w:r>
      <w:r w:rsidR="00314ED1">
        <w:t xml:space="preserve"> (for example, total number of calls or SMSs, or total amount of data used over a certain period)</w:t>
      </w:r>
      <w:r w:rsidR="00B26029">
        <w:rPr>
          <w:rStyle w:val="FootnoteReference"/>
        </w:rPr>
        <w:footnoteReference w:id="10"/>
      </w:r>
      <w:r w:rsidR="009A4ACD">
        <w:t>;</w:t>
      </w:r>
    </w:p>
    <w:p w14:paraId="18A84620" w14:textId="6AA3B28A" w:rsidR="001942DC" w:rsidRDefault="001942DC" w:rsidP="00BD6DBA">
      <w:pPr>
        <w:pStyle w:val="Normal-Numberedparagraphs"/>
        <w:numPr>
          <w:ilvl w:val="0"/>
          <w:numId w:val="72"/>
        </w:numPr>
      </w:pPr>
      <w:r>
        <w:t>How usage data may differ across products</w:t>
      </w:r>
      <w:r w:rsidR="00C929E0">
        <w:t xml:space="preserve"> (for example, unlimited </w:t>
      </w:r>
      <w:r w:rsidR="00314ED1">
        <w:t>compared to</w:t>
      </w:r>
      <w:r w:rsidR="00C929E0">
        <w:t xml:space="preserve"> limited products</w:t>
      </w:r>
      <w:proofErr w:type="gramStart"/>
      <w:r w:rsidR="004E571C">
        <w:t>)</w:t>
      </w:r>
      <w:r w:rsidR="009A4ACD">
        <w:t>;</w:t>
      </w:r>
      <w:proofErr w:type="gramEnd"/>
    </w:p>
    <w:p w14:paraId="4A7D4888" w14:textId="655CD5D2" w:rsidR="00314ED1" w:rsidRDefault="00314ED1" w:rsidP="00BD6DBA">
      <w:pPr>
        <w:pStyle w:val="Normal-Numberedparagraphs"/>
        <w:numPr>
          <w:ilvl w:val="0"/>
          <w:numId w:val="72"/>
        </w:numPr>
      </w:pPr>
      <w:r>
        <w:t>The extent to which insights can be drawn about a consumer based on their usage da</w:t>
      </w:r>
      <w:r w:rsidR="00071365">
        <w:t>ta</w:t>
      </w:r>
      <w:r w:rsidR="009A4ACD">
        <w:t>; and</w:t>
      </w:r>
    </w:p>
    <w:p w14:paraId="5EEBF403" w14:textId="41905B0D" w:rsidR="00F142F7" w:rsidRPr="00354EF7" w:rsidRDefault="001942DC" w:rsidP="00BD6DBA">
      <w:pPr>
        <w:pStyle w:val="Normal-Numberedparagraphs"/>
        <w:numPr>
          <w:ilvl w:val="0"/>
          <w:numId w:val="72"/>
        </w:numPr>
      </w:pPr>
      <w:r>
        <w:t>Whether usage data is of interest to ADRs to support use cases</w:t>
      </w:r>
      <w:r w:rsidR="00D645C1">
        <w:t xml:space="preserve"> (even with respect to plans with unlimited usage)</w:t>
      </w:r>
      <w:r>
        <w:t xml:space="preserve">. </w:t>
      </w:r>
    </w:p>
    <w:tbl>
      <w:tblPr>
        <w:tblStyle w:val="TableGrid"/>
        <w:tblW w:w="0" w:type="auto"/>
        <w:tblLook w:val="04A0" w:firstRow="1" w:lastRow="0" w:firstColumn="1" w:lastColumn="0" w:noHBand="0" w:noVBand="1"/>
      </w:tblPr>
      <w:tblGrid>
        <w:gridCol w:w="9016"/>
      </w:tblGrid>
      <w:tr w:rsidR="00DA2311" w14:paraId="08AB7250" w14:textId="77777777" w:rsidTr="004A0715">
        <w:tc>
          <w:tcPr>
            <w:tcW w:w="9016" w:type="dxa"/>
          </w:tcPr>
          <w:p w14:paraId="12206E35" w14:textId="0189FAC3" w:rsidR="00DA2311" w:rsidRPr="002F035E" w:rsidRDefault="00673759" w:rsidP="004A0715">
            <w:pPr>
              <w:rPr>
                <w:b/>
                <w:bCs/>
              </w:rPr>
            </w:pPr>
            <w:r>
              <w:rPr>
                <w:b/>
                <w:bCs/>
              </w:rPr>
              <w:t>Rules q</w:t>
            </w:r>
            <w:r w:rsidR="00DA2311" w:rsidRPr="002F035E">
              <w:rPr>
                <w:b/>
                <w:bCs/>
              </w:rPr>
              <w:t>uestions</w:t>
            </w:r>
          </w:p>
          <w:p w14:paraId="3AB8819F" w14:textId="21D5CCDF" w:rsidR="00125739" w:rsidRDefault="00125739">
            <w:pPr>
              <w:pStyle w:val="OutlineNumbered1"/>
            </w:pPr>
            <w:r>
              <w:t>What are the different types of usage data displayed on bills</w:t>
            </w:r>
            <w:r w:rsidR="007F3E17">
              <w:t xml:space="preserve"> or otherwise made available through online</w:t>
            </w:r>
            <w:r>
              <w:t xml:space="preserve"> </w:t>
            </w:r>
            <w:r w:rsidR="007F3E17">
              <w:t xml:space="preserve">accounts </w:t>
            </w:r>
            <w:r>
              <w:t>(for example, total number of calls or SMSs, or total amount of data used over a certain period)?</w:t>
            </w:r>
          </w:p>
          <w:p w14:paraId="535194F1" w14:textId="5466EE1B" w:rsidR="00125739" w:rsidRDefault="00125739" w:rsidP="00125739">
            <w:pPr>
              <w:pStyle w:val="OutlineNumbered1"/>
            </w:pPr>
            <w:r>
              <w:t>How may usage data differ across products (for example, unlimited compared to limited products)?</w:t>
            </w:r>
          </w:p>
          <w:p w14:paraId="404DEDE0" w14:textId="484CAB70" w:rsidR="00DA2311" w:rsidRPr="00DA39A0" w:rsidRDefault="00125739" w:rsidP="00001BDA">
            <w:pPr>
              <w:pStyle w:val="OutlineNumbered1"/>
            </w:pPr>
            <w:r>
              <w:lastRenderedPageBreak/>
              <w:t>To what extent can insights be drawn about a consumer based on their usage data</w:t>
            </w:r>
            <w:r w:rsidR="009F43AB">
              <w:t>?</w:t>
            </w:r>
            <w:r w:rsidR="00511B7E">
              <w:t xml:space="preserve"> </w:t>
            </w:r>
            <w:r w:rsidR="009F43AB">
              <w:t>Is</w:t>
            </w:r>
            <w:r>
              <w:t xml:space="preserve"> usage data of interest to ADRs to support use cases (even with respect to plans with unlimited usage)</w:t>
            </w:r>
            <w:r w:rsidR="009F43AB">
              <w:t>?</w:t>
            </w:r>
          </w:p>
        </w:tc>
      </w:tr>
    </w:tbl>
    <w:p w14:paraId="5A01CCF3" w14:textId="77777777" w:rsidR="00DA2311" w:rsidRPr="00354EF7" w:rsidRDefault="00DA2311" w:rsidP="00EB3C6F">
      <w:pPr>
        <w:pStyle w:val="Normal-Numberedparagraphs"/>
        <w:numPr>
          <w:ilvl w:val="0"/>
          <w:numId w:val="0"/>
        </w:numPr>
        <w:ind w:left="1080"/>
      </w:pPr>
    </w:p>
    <w:p w14:paraId="2B05AA60" w14:textId="2B6AD47B" w:rsidR="00D85DB0" w:rsidRPr="001A2A75" w:rsidRDefault="001D66CA" w:rsidP="00EB3C6F">
      <w:pPr>
        <w:pStyle w:val="Heading4"/>
        <w:keepNext/>
        <w:ind w:left="0" w:firstLine="0"/>
      </w:pPr>
      <w:bookmarkStart w:id="63" w:name="_Toc93315751"/>
      <w:r>
        <w:t>‘</w:t>
      </w:r>
      <w:r w:rsidR="005051FE" w:rsidRPr="00CC3E6D">
        <w:t>Historical</w:t>
      </w:r>
      <w:r w:rsidRPr="005D7FB9">
        <w:t>’</w:t>
      </w:r>
      <w:r w:rsidR="005051FE" w:rsidRPr="005D7FB9">
        <w:t xml:space="preserve"> data</w:t>
      </w:r>
      <w:bookmarkEnd w:id="63"/>
    </w:p>
    <w:p w14:paraId="54DF5398" w14:textId="2800B19C" w:rsidR="008233A3" w:rsidRDefault="00F33BA4" w:rsidP="008829EA">
      <w:pPr>
        <w:pStyle w:val="Normal-Numberedparagraphs"/>
      </w:pPr>
      <w:r>
        <w:t>An important objective is for the CDR in telecommunications to support anticipated use cases such as price comparisons and switching</w:t>
      </w:r>
      <w:r w:rsidR="00301557">
        <w:t xml:space="preserve"> based on previous usage</w:t>
      </w:r>
      <w:r>
        <w:t xml:space="preserve">. To facilitate these and other use cases, </w:t>
      </w:r>
      <w:r w:rsidR="009653F7">
        <w:t>we are</w:t>
      </w:r>
      <w:r>
        <w:t xml:space="preserve"> minded </w:t>
      </w:r>
      <w:proofErr w:type="gramStart"/>
      <w:r>
        <w:t>to requir</w:t>
      </w:r>
      <w:r w:rsidR="00822005">
        <w:t>e</w:t>
      </w:r>
      <w:proofErr w:type="gramEnd"/>
      <w:r>
        <w:t xml:space="preserve"> </w:t>
      </w:r>
      <w:r w:rsidR="004C10DB">
        <w:t xml:space="preserve">carriers and CSPs </w:t>
      </w:r>
      <w:r>
        <w:t xml:space="preserve">to disclose </w:t>
      </w:r>
      <w:r w:rsidR="00660D32">
        <w:t>consumer</w:t>
      </w:r>
      <w:r>
        <w:t xml:space="preserve"> data for up to </w:t>
      </w:r>
      <w:r w:rsidR="001D66CA">
        <w:t xml:space="preserve">the past </w:t>
      </w:r>
      <w:r w:rsidR="00A74BA4">
        <w:t>2 </w:t>
      </w:r>
      <w:r>
        <w:t>years</w:t>
      </w:r>
      <w:r w:rsidR="00E5017A">
        <w:t xml:space="preserve">, </w:t>
      </w:r>
      <w:r w:rsidR="002F3FA2">
        <w:t xml:space="preserve">subject to the </w:t>
      </w:r>
      <w:r w:rsidR="00A74BA4">
        <w:t>‘</w:t>
      </w:r>
      <w:r w:rsidR="002F3FA2">
        <w:t>earliest holding day</w:t>
      </w:r>
      <w:r w:rsidR="00A74BA4">
        <w:t>’</w:t>
      </w:r>
      <w:r w:rsidR="002F3FA2">
        <w:t xml:space="preserve"> of 1 January 2022</w:t>
      </w:r>
      <w:r w:rsidR="00A74BA4">
        <w:t>, as outlined in the designation instrument</w:t>
      </w:r>
      <w:r w:rsidR="00E5017A">
        <w:t xml:space="preserve">. </w:t>
      </w:r>
    </w:p>
    <w:p w14:paraId="2DBA1281" w14:textId="2B38E04C" w:rsidR="008829EA" w:rsidRDefault="00B27AA1" w:rsidP="00194A00">
      <w:pPr>
        <w:pStyle w:val="Normal-Numberedparagraphs"/>
      </w:pPr>
      <w:r>
        <w:t>This approach is analogous to the one taken for</w:t>
      </w:r>
      <w:r w:rsidR="00660D32">
        <w:t xml:space="preserve"> consumer data in the</w:t>
      </w:r>
      <w:r>
        <w:t xml:space="preserve"> energy sector and is also consistent with existing mandatory data retention regime requirements for telecommunications</w:t>
      </w:r>
      <w:r w:rsidR="00660D32">
        <w:t xml:space="preserve"> under the </w:t>
      </w:r>
      <w:r w:rsidR="00660D32">
        <w:rPr>
          <w:i/>
          <w:iCs/>
        </w:rPr>
        <w:t>Telecommunications (Interception and Access) Act 1979</w:t>
      </w:r>
      <w:r w:rsidR="00660D32">
        <w:t xml:space="preserve"> </w:t>
      </w:r>
      <w:r w:rsidR="00467013">
        <w:t>(</w:t>
      </w:r>
      <w:proofErr w:type="spellStart"/>
      <w:r w:rsidR="00467013">
        <w:t>Cth</w:t>
      </w:r>
      <w:proofErr w:type="spellEnd"/>
      <w:r w:rsidR="00467013">
        <w:t xml:space="preserve">) </w:t>
      </w:r>
      <w:r w:rsidR="00660D32">
        <w:t>(</w:t>
      </w:r>
      <w:r w:rsidR="00660D32" w:rsidRPr="00BD6DBA">
        <w:rPr>
          <w:b/>
        </w:rPr>
        <w:t>TIA Act</w:t>
      </w:r>
      <w:r w:rsidR="00660D32">
        <w:t xml:space="preserve">) where </w:t>
      </w:r>
      <w:r w:rsidR="00F15C84">
        <w:t xml:space="preserve">certain </w:t>
      </w:r>
      <w:r w:rsidR="004C10DB">
        <w:t xml:space="preserve">carriers and CSPs </w:t>
      </w:r>
      <w:r w:rsidR="00660D32">
        <w:t xml:space="preserve">are required to retain a particular set of telecommunications data for at least 2 years. </w:t>
      </w:r>
      <w:r w:rsidR="00194A00">
        <w:t>We</w:t>
      </w:r>
      <w:r w:rsidR="00FE43D7">
        <w:t xml:space="preserve"> also</w:t>
      </w:r>
      <w:r w:rsidR="00194A00">
        <w:t xml:space="preserve"> note that </w:t>
      </w:r>
      <w:r w:rsidR="00BE7FA7">
        <w:t xml:space="preserve">the </w:t>
      </w:r>
      <w:r w:rsidR="00BE7FA7">
        <w:rPr>
          <w:i/>
          <w:iCs/>
        </w:rPr>
        <w:t>T</w:t>
      </w:r>
      <w:r w:rsidR="00BE7FA7" w:rsidRPr="00A83780">
        <w:rPr>
          <w:i/>
        </w:rPr>
        <w:t>elecommunications (Consumer Complaints) Record-Keeping Rules 2018</w:t>
      </w:r>
      <w:r w:rsidR="00BE7FA7">
        <w:t xml:space="preserve"> </w:t>
      </w:r>
      <w:r w:rsidR="00FE43D7">
        <w:t>require data to be retained for 2 years</w:t>
      </w:r>
      <w:r w:rsidR="00194A00">
        <w:t xml:space="preserve">. </w:t>
      </w:r>
      <w:r w:rsidR="00660D32">
        <w:t xml:space="preserve">We welcome feedback on </w:t>
      </w:r>
      <w:r w:rsidR="00336A42">
        <w:t xml:space="preserve">the </w:t>
      </w:r>
      <w:r w:rsidR="00B86CF7">
        <w:t>recommended</w:t>
      </w:r>
      <w:r w:rsidR="00336A42">
        <w:t xml:space="preserve"> timeframe for disclosing consumer data and whether other considerations exist concerning the disclosure of historical consumer data. </w:t>
      </w:r>
    </w:p>
    <w:tbl>
      <w:tblPr>
        <w:tblStyle w:val="TableGrid"/>
        <w:tblW w:w="0" w:type="auto"/>
        <w:tblLook w:val="04A0" w:firstRow="1" w:lastRow="0" w:firstColumn="1" w:lastColumn="0" w:noHBand="0" w:noVBand="1"/>
      </w:tblPr>
      <w:tblGrid>
        <w:gridCol w:w="9016"/>
      </w:tblGrid>
      <w:tr w:rsidR="00067EF9" w14:paraId="0DCE5A15" w14:textId="77777777" w:rsidTr="00D6014E">
        <w:tc>
          <w:tcPr>
            <w:tcW w:w="9016" w:type="dxa"/>
          </w:tcPr>
          <w:p w14:paraId="44DFF8D8" w14:textId="51264962" w:rsidR="00067EF9" w:rsidRPr="002F035E" w:rsidRDefault="00673759" w:rsidP="00D6014E">
            <w:pPr>
              <w:rPr>
                <w:b/>
                <w:bCs/>
              </w:rPr>
            </w:pPr>
            <w:r>
              <w:rPr>
                <w:b/>
                <w:bCs/>
              </w:rPr>
              <w:t>Rules q</w:t>
            </w:r>
            <w:r w:rsidR="00067EF9" w:rsidRPr="002F035E">
              <w:rPr>
                <w:b/>
                <w:bCs/>
              </w:rPr>
              <w:t>uestions</w:t>
            </w:r>
          </w:p>
          <w:p w14:paraId="207C002A" w14:textId="44DA1722" w:rsidR="00067EF9" w:rsidRDefault="00067EF9" w:rsidP="00067EF9">
            <w:pPr>
              <w:pStyle w:val="OutlineNumbered1"/>
            </w:pPr>
            <w:r>
              <w:t xml:space="preserve">Do you support the time frame of requiring </w:t>
            </w:r>
            <w:r w:rsidR="00511B7E">
              <w:t>carriers and CSPs</w:t>
            </w:r>
            <w:r>
              <w:t xml:space="preserve"> to disclose consumer data for up to the past 2 years, subject to the earliest holding day of 1 January 2022?</w:t>
            </w:r>
          </w:p>
          <w:p w14:paraId="289C434B" w14:textId="31AE06A1" w:rsidR="00067EF9" w:rsidRPr="00DA39A0" w:rsidRDefault="00511B7E">
            <w:pPr>
              <w:pStyle w:val="OutlineNumbered1"/>
            </w:pPr>
            <w:r>
              <w:t xml:space="preserve">Are there any considerations specific to the telecommunications sector that we should be aware of in </w:t>
            </w:r>
            <w:r w:rsidR="005435AC">
              <w:t>relation</w:t>
            </w:r>
            <w:r>
              <w:t xml:space="preserve"> to historical data?</w:t>
            </w:r>
          </w:p>
        </w:tc>
      </w:tr>
    </w:tbl>
    <w:p w14:paraId="384186DF" w14:textId="77777777" w:rsidR="00067EF9" w:rsidRDefault="00067EF9" w:rsidP="001A2A75">
      <w:pPr>
        <w:pStyle w:val="Normal-Numberedparagraphs"/>
        <w:numPr>
          <w:ilvl w:val="0"/>
          <w:numId w:val="0"/>
        </w:numPr>
      </w:pPr>
    </w:p>
    <w:p w14:paraId="6C8301BB" w14:textId="37523B8C" w:rsidR="006763AE" w:rsidRDefault="00F032FC" w:rsidP="00EB3C6F">
      <w:pPr>
        <w:pStyle w:val="Heading4"/>
        <w:keepNext/>
        <w:ind w:left="425"/>
      </w:pPr>
      <w:bookmarkStart w:id="64" w:name="_Toc93315752"/>
      <w:r w:rsidRPr="006F7169">
        <w:t>Closed account data</w:t>
      </w:r>
      <w:bookmarkEnd w:id="64"/>
    </w:p>
    <w:p w14:paraId="75470F28" w14:textId="1F4C3B8E" w:rsidR="003C7962" w:rsidRDefault="00144C32" w:rsidP="003939D9">
      <w:pPr>
        <w:pStyle w:val="Normal-Numberedparagraphs"/>
      </w:pPr>
      <w:r>
        <w:t>W</w:t>
      </w:r>
      <w:r w:rsidR="00EE3340">
        <w:t xml:space="preserve">e </w:t>
      </w:r>
      <w:r w:rsidR="00794BC2">
        <w:t>recommend</w:t>
      </w:r>
      <w:r w:rsidR="00EE3340">
        <w:t xml:space="preserve"> </w:t>
      </w:r>
      <w:proofErr w:type="gramStart"/>
      <w:r w:rsidR="00EE3340">
        <w:t>to exclude</w:t>
      </w:r>
      <w:proofErr w:type="gramEnd"/>
      <w:r w:rsidR="00EE3340">
        <w:t xml:space="preserve"> data from closed accounts </w:t>
      </w:r>
      <w:r w:rsidR="003C7962">
        <w:t>as required consumer data,</w:t>
      </w:r>
      <w:r w:rsidR="00EE3340">
        <w:t xml:space="preserve"> unless the customer still has </w:t>
      </w:r>
      <w:r w:rsidR="003C7962">
        <w:t>an</w:t>
      </w:r>
      <w:r w:rsidR="00EE3340">
        <w:t xml:space="preserve"> account open with the carrier or </w:t>
      </w:r>
      <w:r w:rsidR="004C10DB">
        <w:t>CSP</w:t>
      </w:r>
      <w:r w:rsidR="00EE3340">
        <w:t xml:space="preserve">. </w:t>
      </w:r>
      <w:proofErr w:type="gramStart"/>
      <w:r w:rsidR="00CF75B8">
        <w:t>In particular, this</w:t>
      </w:r>
      <w:proofErr w:type="gramEnd"/>
      <w:r w:rsidR="00CF75B8">
        <w:t xml:space="preserve"> is in recognition that it </w:t>
      </w:r>
      <w:r w:rsidR="00C32A26">
        <w:t>could</w:t>
      </w:r>
      <w:r w:rsidR="00CF75B8">
        <w:t xml:space="preserve"> be difficult for </w:t>
      </w:r>
      <w:r w:rsidR="000C4DB8">
        <w:t>the</w:t>
      </w:r>
      <w:r w:rsidR="00CF75B8">
        <w:t xml:space="preserve"> </w:t>
      </w:r>
      <w:r w:rsidR="00EB7E35">
        <w:t>carrier or CSP</w:t>
      </w:r>
      <w:r w:rsidR="00CF75B8">
        <w:t xml:space="preserve"> to authenticate a former customer for data sharing. </w:t>
      </w:r>
    </w:p>
    <w:p w14:paraId="3388DF32" w14:textId="1A14CB12" w:rsidR="00EE3340" w:rsidRDefault="003C7962" w:rsidP="003939D9">
      <w:pPr>
        <w:pStyle w:val="Normal-Numberedparagraphs"/>
      </w:pPr>
      <w:r>
        <w:t xml:space="preserve">To the extent closed account data is in scope, we welcome feedback about the appropriate approach to sharing it, for example, how much data </w:t>
      </w:r>
      <w:r w:rsidR="00E925B6">
        <w:t>could</w:t>
      </w:r>
      <w:r>
        <w:t xml:space="preserve"> be shared on a closed account and when a data sharing request could be made on a closed account. By default, closed account data could be subject to the same </w:t>
      </w:r>
      <w:proofErr w:type="gramStart"/>
      <w:r>
        <w:t>2 year</w:t>
      </w:r>
      <w:proofErr w:type="gramEnd"/>
      <w:r>
        <w:t xml:space="preserve"> historical data limit noted above, and this would be similar to the approach taken in the energy sector for closed accounts. In the banking sector, a data sharing request on a closed account must be made within 24 months of the account closing, </w:t>
      </w:r>
      <w:r>
        <w:lastRenderedPageBreak/>
        <w:t xml:space="preserve">whereas in the energy sector, there is no time limit on when a </w:t>
      </w:r>
      <w:r w:rsidR="003573F1">
        <w:t xml:space="preserve">data sharing </w:t>
      </w:r>
      <w:r>
        <w:t xml:space="preserve">request </w:t>
      </w:r>
      <w:r w:rsidR="003573F1">
        <w:t xml:space="preserve">on a closed account </w:t>
      </w:r>
      <w:r>
        <w:t>can be made</w:t>
      </w:r>
      <w:r w:rsidR="006857C5">
        <w:t>.</w:t>
      </w:r>
      <w:r w:rsidR="006857C5">
        <w:rPr>
          <w:rStyle w:val="FootnoteReference"/>
        </w:rPr>
        <w:footnoteReference w:id="11"/>
      </w:r>
      <w:r>
        <w:t xml:space="preserve">   </w:t>
      </w:r>
      <w:r w:rsidR="00CF75B8">
        <w:t xml:space="preserve"> </w:t>
      </w:r>
      <w:r w:rsidR="00EE3340">
        <w:t xml:space="preserve"> </w:t>
      </w:r>
    </w:p>
    <w:p w14:paraId="52A9FD7F" w14:textId="77777777" w:rsidR="003C7962" w:rsidRPr="002F035E" w:rsidRDefault="003C7962" w:rsidP="00162DE5">
      <w:pPr>
        <w:keepNext/>
        <w:pBdr>
          <w:top w:val="single" w:sz="4" w:space="1" w:color="auto"/>
          <w:left w:val="single" w:sz="4" w:space="4" w:color="auto"/>
          <w:bottom w:val="single" w:sz="4" w:space="1" w:color="auto"/>
          <w:right w:val="single" w:sz="4" w:space="4" w:color="auto"/>
        </w:pBdr>
        <w:rPr>
          <w:b/>
          <w:bCs/>
        </w:rPr>
      </w:pPr>
      <w:r>
        <w:rPr>
          <w:b/>
          <w:bCs/>
        </w:rPr>
        <w:t>Rules q</w:t>
      </w:r>
      <w:r w:rsidRPr="002F035E">
        <w:rPr>
          <w:b/>
          <w:bCs/>
        </w:rPr>
        <w:t>uestions</w:t>
      </w:r>
    </w:p>
    <w:p w14:paraId="5E6EE3DA" w14:textId="3E96D44F" w:rsidR="003C7962" w:rsidRDefault="003C7962" w:rsidP="003C7962">
      <w:pPr>
        <w:pStyle w:val="OutlineNumbered1"/>
        <w:pBdr>
          <w:top w:val="single" w:sz="4" w:space="1" w:color="auto"/>
          <w:left w:val="single" w:sz="4" w:space="4" w:color="auto"/>
          <w:bottom w:val="single" w:sz="4" w:space="1" w:color="auto"/>
          <w:right w:val="single" w:sz="4" w:space="4" w:color="auto"/>
        </w:pBdr>
      </w:pPr>
      <w:r>
        <w:t xml:space="preserve">Do you support the inclusion of closed account data for customers with an open account? </w:t>
      </w:r>
    </w:p>
    <w:p w14:paraId="3B5BB596" w14:textId="4EE1656B" w:rsidR="00AB10E4" w:rsidRDefault="00AB10E4" w:rsidP="003C7962">
      <w:pPr>
        <w:pStyle w:val="OutlineNumbered1"/>
        <w:pBdr>
          <w:top w:val="single" w:sz="4" w:space="1" w:color="auto"/>
          <w:left w:val="single" w:sz="4" w:space="4" w:color="auto"/>
          <w:bottom w:val="single" w:sz="4" w:space="1" w:color="auto"/>
          <w:right w:val="single" w:sz="4" w:space="4" w:color="auto"/>
        </w:pBdr>
      </w:pPr>
      <w:r>
        <w:t xml:space="preserve">Do you have any comments on the approach to sharing closed account data – for example, when a request could be made and how much data on a closed account could be shared? </w:t>
      </w:r>
    </w:p>
    <w:p w14:paraId="1B7EA3B2" w14:textId="70BA8F72" w:rsidR="00125552" w:rsidRDefault="002F57DF" w:rsidP="004D301C">
      <w:pPr>
        <w:pStyle w:val="Heading4"/>
        <w:keepNext/>
        <w:ind w:left="0" w:firstLine="0"/>
      </w:pPr>
      <w:bookmarkStart w:id="65" w:name="_Toc93315753"/>
      <w:r>
        <w:t>Accessibility data</w:t>
      </w:r>
      <w:bookmarkEnd w:id="65"/>
    </w:p>
    <w:p w14:paraId="28598CB3" w14:textId="0186016E" w:rsidR="00146C1E" w:rsidRDefault="00AC669C">
      <w:pPr>
        <w:pStyle w:val="Normal-Numberedparagraphs"/>
      </w:pPr>
      <w:r>
        <w:t>W</w:t>
      </w:r>
      <w:r w:rsidR="003B5CBE">
        <w:t>e are</w:t>
      </w:r>
      <w:r w:rsidR="009A370F">
        <w:t xml:space="preserve"> </w:t>
      </w:r>
      <w:bookmarkStart w:id="66" w:name="_Hlk95386004"/>
      <w:r w:rsidR="009A370F">
        <w:t>minded</w:t>
      </w:r>
      <w:r w:rsidR="008E6D4F">
        <w:t xml:space="preserve"> to </w:t>
      </w:r>
      <w:r w:rsidR="008E31D8">
        <w:t xml:space="preserve">recommending the </w:t>
      </w:r>
      <w:r w:rsidR="009A370F">
        <w:t>inclu</w:t>
      </w:r>
      <w:r w:rsidR="008E31D8">
        <w:t>sion of</w:t>
      </w:r>
      <w:r w:rsidR="009A370F">
        <w:t xml:space="preserve"> accessibility data </w:t>
      </w:r>
      <w:r>
        <w:t xml:space="preserve">as a type of </w:t>
      </w:r>
      <w:r w:rsidR="00735EE4">
        <w:t xml:space="preserve">required </w:t>
      </w:r>
      <w:r>
        <w:t xml:space="preserve">product data </w:t>
      </w:r>
      <w:r w:rsidR="009A370F">
        <w:t xml:space="preserve">to enable ADRs to develop use cases that can support customers with </w:t>
      </w:r>
      <w:r w:rsidR="000D315C">
        <w:t xml:space="preserve">a </w:t>
      </w:r>
      <w:r w:rsidR="009A370F">
        <w:t xml:space="preserve">disability in identifying products that suit their needs. </w:t>
      </w:r>
      <w:r>
        <w:t xml:space="preserve">We welcome feedback on the types of accessibility data that could be shared under </w:t>
      </w:r>
      <w:r w:rsidR="00FC50BE">
        <w:t>the</w:t>
      </w:r>
      <w:r>
        <w:t xml:space="preserve"> data standards</w:t>
      </w:r>
      <w:r w:rsidR="00735EE4">
        <w:t xml:space="preserve"> </w:t>
      </w:r>
      <w:r w:rsidR="007D7306">
        <w:t xml:space="preserve">if </w:t>
      </w:r>
      <w:r w:rsidR="00735EE4">
        <w:t xml:space="preserve">accessibility data </w:t>
      </w:r>
      <w:r w:rsidR="007D7306">
        <w:t xml:space="preserve">were to be </w:t>
      </w:r>
      <w:r w:rsidR="00735EE4">
        <w:t xml:space="preserve">included as required </w:t>
      </w:r>
      <w:r w:rsidR="004561BF">
        <w:t>product</w:t>
      </w:r>
      <w:r w:rsidR="00735EE4">
        <w:t xml:space="preserve"> data</w:t>
      </w:r>
      <w:r w:rsidR="007D7306">
        <w:t>.</w:t>
      </w:r>
      <w:r>
        <w:t xml:space="preserve"> </w:t>
      </w:r>
      <w:r w:rsidR="007D7306">
        <w:t>F</w:t>
      </w:r>
      <w:r>
        <w:t>or example, information about the ability to receive information in alternative formats (like braille or large font) and services that enable customers to convert voicemail to text.</w:t>
      </w:r>
    </w:p>
    <w:tbl>
      <w:tblPr>
        <w:tblStyle w:val="TableGrid"/>
        <w:tblW w:w="0" w:type="auto"/>
        <w:tblLook w:val="04A0" w:firstRow="1" w:lastRow="0" w:firstColumn="1" w:lastColumn="0" w:noHBand="0" w:noVBand="1"/>
      </w:tblPr>
      <w:tblGrid>
        <w:gridCol w:w="9016"/>
      </w:tblGrid>
      <w:tr w:rsidR="00E82C26" w14:paraId="0243B485" w14:textId="77777777" w:rsidTr="004A0715">
        <w:tc>
          <w:tcPr>
            <w:tcW w:w="9016" w:type="dxa"/>
          </w:tcPr>
          <w:bookmarkEnd w:id="66"/>
          <w:p w14:paraId="37A51662" w14:textId="6DAB8836" w:rsidR="00E82C26" w:rsidRPr="002F035E" w:rsidRDefault="00DF5477" w:rsidP="004A0715">
            <w:pPr>
              <w:rPr>
                <w:b/>
                <w:bCs/>
              </w:rPr>
            </w:pPr>
            <w:r>
              <w:rPr>
                <w:b/>
                <w:bCs/>
              </w:rPr>
              <w:t>Rules q</w:t>
            </w:r>
            <w:r w:rsidR="00E82C26" w:rsidRPr="002F035E">
              <w:rPr>
                <w:b/>
                <w:bCs/>
              </w:rPr>
              <w:t>uestions</w:t>
            </w:r>
          </w:p>
          <w:p w14:paraId="05CF718C" w14:textId="1BFDD9F8" w:rsidR="00E82C26" w:rsidRPr="00DA39A0" w:rsidRDefault="00E82C26">
            <w:pPr>
              <w:pStyle w:val="OutlineNumbered1"/>
            </w:pPr>
            <w:r>
              <w:t xml:space="preserve">If accessibility data </w:t>
            </w:r>
            <w:r w:rsidR="00152A61">
              <w:t>were to be</w:t>
            </w:r>
            <w:r>
              <w:t xml:space="preserve"> included as required </w:t>
            </w:r>
            <w:r w:rsidR="00C40634">
              <w:t xml:space="preserve">product </w:t>
            </w:r>
            <w:r>
              <w:t xml:space="preserve">data, what types of accessibility data </w:t>
            </w:r>
            <w:r w:rsidR="004561BF">
              <w:t>c</w:t>
            </w:r>
            <w:r>
              <w:t xml:space="preserve">ould be shared? </w:t>
            </w:r>
          </w:p>
        </w:tc>
      </w:tr>
    </w:tbl>
    <w:p w14:paraId="5975F8F8" w14:textId="77777777" w:rsidR="00D645C1" w:rsidRPr="005C0FA6" w:rsidRDefault="00D645C1" w:rsidP="00EB3C6F">
      <w:pPr>
        <w:pStyle w:val="Normal-Numberedparagraphs"/>
        <w:numPr>
          <w:ilvl w:val="0"/>
          <w:numId w:val="0"/>
        </w:numPr>
      </w:pPr>
    </w:p>
    <w:p w14:paraId="4ED15730" w14:textId="62E171AA" w:rsidR="00C30E5D" w:rsidRPr="00A8603D" w:rsidRDefault="00C30E5D" w:rsidP="00EB3C6F">
      <w:pPr>
        <w:pStyle w:val="Heading3"/>
        <w:rPr>
          <w:b/>
        </w:rPr>
      </w:pPr>
      <w:bookmarkStart w:id="67" w:name="_Toc93315757"/>
      <w:bookmarkStart w:id="68" w:name="_Toc96353742"/>
      <w:r w:rsidRPr="00EB3C6F">
        <w:rPr>
          <w:b/>
          <w:color w:val="auto"/>
        </w:rPr>
        <w:t>Reciproc</w:t>
      </w:r>
      <w:r w:rsidR="009860F4" w:rsidRPr="00EB3C6F">
        <w:rPr>
          <w:b/>
          <w:color w:val="auto"/>
        </w:rPr>
        <w:t xml:space="preserve">al data sharing obligations for certain </w:t>
      </w:r>
      <w:bookmarkEnd w:id="67"/>
      <w:r w:rsidR="001549A9" w:rsidRPr="00EB3C6F">
        <w:rPr>
          <w:b/>
          <w:color w:val="auto"/>
        </w:rPr>
        <w:t>ADRs</w:t>
      </w:r>
      <w:bookmarkEnd w:id="68"/>
    </w:p>
    <w:p w14:paraId="07533994" w14:textId="1B046D21" w:rsidR="009D4ACD" w:rsidRDefault="00476AE4" w:rsidP="009E153E">
      <w:pPr>
        <w:pStyle w:val="Normal-Numberedparagraphs"/>
      </w:pPr>
      <w:r>
        <w:t xml:space="preserve">Reciprocity is a concept that, in broad terms, requires data recipients to have </w:t>
      </w:r>
      <w:r w:rsidR="009D4ACD">
        <w:t xml:space="preserve">the same </w:t>
      </w:r>
      <w:r>
        <w:t xml:space="preserve">data sharing obligations </w:t>
      </w:r>
      <w:r w:rsidR="009D4ACD">
        <w:t xml:space="preserve">as a data holder </w:t>
      </w:r>
      <w:r>
        <w:t xml:space="preserve">in respect of certain data to ensure a fair and robust data sharing system. </w:t>
      </w:r>
    </w:p>
    <w:p w14:paraId="1C20C155" w14:textId="630DF381" w:rsidR="009E153E" w:rsidRPr="009E153E" w:rsidRDefault="00476AE4" w:rsidP="009E153E">
      <w:pPr>
        <w:pStyle w:val="Normal-Numberedparagraphs"/>
      </w:pPr>
      <w:r>
        <w:t>Currently</w:t>
      </w:r>
      <w:r w:rsidR="00F563DF">
        <w:t>,</w:t>
      </w:r>
      <w:r>
        <w:t xml:space="preserve"> the CDR </w:t>
      </w:r>
      <w:r w:rsidR="000C1A8E">
        <w:t>R</w:t>
      </w:r>
      <w:r w:rsidR="00F563DF">
        <w:t>ules</w:t>
      </w:r>
      <w:r>
        <w:t xml:space="preserve"> include reciprocal data sharing obligations for ADRs that generate and hold data in respect of banking products</w:t>
      </w:r>
      <w:r w:rsidR="00F72C89">
        <w:t xml:space="preserve"> they publicly offer</w:t>
      </w:r>
      <w:r>
        <w:t xml:space="preserve"> (for example, non-bank lenders). </w:t>
      </w:r>
      <w:r w:rsidR="008E171F">
        <w:t>A</w:t>
      </w:r>
      <w:r w:rsidR="008E171F" w:rsidRPr="00476AE4">
        <w:t>t this stage, we do not intend to make rules that would require ADRs to have reciprocal data holder obligations</w:t>
      </w:r>
      <w:r>
        <w:t xml:space="preserve"> in respect of telecommunications products</w:t>
      </w:r>
      <w:r w:rsidR="008E171F">
        <w:t>.</w:t>
      </w:r>
      <w:r w:rsidR="003B1CBB">
        <w:t xml:space="preserve"> </w:t>
      </w:r>
      <w:proofErr w:type="gramStart"/>
      <w:r w:rsidR="009E153E" w:rsidRPr="009E153E">
        <w:t>Similar to</w:t>
      </w:r>
      <w:proofErr w:type="gramEnd"/>
      <w:r w:rsidR="009E153E" w:rsidRPr="009E153E">
        <w:t xml:space="preserve"> </w:t>
      </w:r>
      <w:r>
        <w:t>the</w:t>
      </w:r>
      <w:r w:rsidR="009E153E" w:rsidRPr="009E153E">
        <w:t xml:space="preserve"> energy</w:t>
      </w:r>
      <w:r>
        <w:t xml:space="preserve"> sector</w:t>
      </w:r>
      <w:r w:rsidR="009E153E" w:rsidRPr="009E153E">
        <w:t xml:space="preserve">, we understand there are no entities other than carriers or </w:t>
      </w:r>
      <w:r w:rsidR="00F86F29">
        <w:t>CSPs</w:t>
      </w:r>
      <w:r w:rsidR="009E153E" w:rsidRPr="009E153E">
        <w:t xml:space="preserve"> who generate and hold telecommunications data</w:t>
      </w:r>
      <w:r w:rsidR="00F72C89">
        <w:t xml:space="preserve"> and </w:t>
      </w:r>
      <w:r>
        <w:t>for whom reciprocal data sharing obligations would be appropriate</w:t>
      </w:r>
      <w:r w:rsidR="009E153E" w:rsidRPr="009E153E">
        <w:t xml:space="preserve">. </w:t>
      </w:r>
      <w:r>
        <w:t>However, we welcome views</w:t>
      </w:r>
      <w:r w:rsidR="009E153E">
        <w:t xml:space="preserve"> </w:t>
      </w:r>
      <w:r w:rsidR="007D0DBF">
        <w:t>about</w:t>
      </w:r>
      <w:r w:rsidR="009E153E">
        <w:t xml:space="preserve"> whether there are entities other </w:t>
      </w:r>
      <w:r w:rsidR="00EF06F3">
        <w:t xml:space="preserve">than carriers or </w:t>
      </w:r>
      <w:r w:rsidR="00F86F29">
        <w:t>CSPs</w:t>
      </w:r>
      <w:r w:rsidR="009E153E">
        <w:t xml:space="preserve"> </w:t>
      </w:r>
      <w:r>
        <w:t>that</w:t>
      </w:r>
      <w:r w:rsidR="009E153E">
        <w:t xml:space="preserve"> generate and hold telecommunications data</w:t>
      </w:r>
      <w:r w:rsidR="007D0DBF">
        <w:t xml:space="preserve">, and therefore should be subject to </w:t>
      </w:r>
      <w:r>
        <w:t>reciprocal data sharing obligations (if those entities were to become accredited)</w:t>
      </w:r>
      <w:r w:rsidR="009E153E">
        <w:t xml:space="preserve">. </w:t>
      </w:r>
    </w:p>
    <w:p w14:paraId="3D7E77C5" w14:textId="488C248A" w:rsidR="00386E8E" w:rsidRDefault="00F72C89" w:rsidP="00F0019C">
      <w:pPr>
        <w:pStyle w:val="Normal-Numberedparagraphs"/>
      </w:pPr>
      <w:bookmarkStart w:id="69" w:name="_Hlk94605083"/>
      <w:r>
        <w:t xml:space="preserve">The </w:t>
      </w:r>
      <w:r w:rsidR="00F563DF">
        <w:t>existing</w:t>
      </w:r>
      <w:r>
        <w:t xml:space="preserve"> CDR </w:t>
      </w:r>
      <w:r w:rsidR="001E43EE">
        <w:t>R</w:t>
      </w:r>
      <w:r>
        <w:t xml:space="preserve">ules </w:t>
      </w:r>
      <w:r w:rsidR="00F563DF">
        <w:t>also</w:t>
      </w:r>
      <w:r>
        <w:t xml:space="preserve"> include a mechanism that enables designated data holders (energy retailers and authorised deposit-taking institutions) that become accredited to become data holders of CDR data they receive through the </w:t>
      </w:r>
      <w:proofErr w:type="gramStart"/>
      <w:r>
        <w:t>regime</w:t>
      </w:r>
      <w:r w:rsidR="00F563DF">
        <w:t>,</w:t>
      </w:r>
      <w:r>
        <w:t xml:space="preserve"> if</w:t>
      </w:r>
      <w:proofErr w:type="gramEnd"/>
      <w:r>
        <w:t xml:space="preserve"> certain conditions are met. </w:t>
      </w:r>
      <w:bookmarkEnd w:id="69"/>
      <w:r>
        <w:t xml:space="preserve">We intend to </w:t>
      </w:r>
      <w:r w:rsidR="00F563DF">
        <w:lastRenderedPageBreak/>
        <w:t>draft</w:t>
      </w:r>
      <w:r>
        <w:t xml:space="preserve"> similar rules </w:t>
      </w:r>
      <w:r w:rsidR="00F563DF">
        <w:t xml:space="preserve">for consultation </w:t>
      </w:r>
      <w:r>
        <w:t>in the telecommunications sector</w:t>
      </w:r>
      <w:r w:rsidR="00F563DF">
        <w:t>. T</w:t>
      </w:r>
      <w:r>
        <w:t xml:space="preserve">hat is, if a carrier or </w:t>
      </w:r>
      <w:r w:rsidR="00F86F29">
        <w:t>CSP</w:t>
      </w:r>
      <w:r>
        <w:t xml:space="preserve"> became accredited, they could become a data holder of </w:t>
      </w:r>
      <w:r w:rsidR="00F563DF">
        <w:t xml:space="preserve">the </w:t>
      </w:r>
      <w:r>
        <w:t>CDR data</w:t>
      </w:r>
      <w:r w:rsidR="00F563DF">
        <w:t xml:space="preserve"> they receive under the regime</w:t>
      </w:r>
      <w:r>
        <w:t xml:space="preserve"> – rather than an </w:t>
      </w:r>
      <w:r w:rsidR="001549A9">
        <w:t>ADR</w:t>
      </w:r>
      <w:r>
        <w:t xml:space="preserve"> – if </w:t>
      </w:r>
      <w:proofErr w:type="gramStart"/>
      <w:r>
        <w:t>particular conditions</w:t>
      </w:r>
      <w:proofErr w:type="gramEnd"/>
      <w:r>
        <w:t xml:space="preserve"> are met. Following the approach taken in banking and energy, these conditions would likely include that the ADR is a carrier or </w:t>
      </w:r>
      <w:r w:rsidR="0084390A">
        <w:t>CSP</w:t>
      </w:r>
      <w:r>
        <w:t xml:space="preserve">, that the customer has acquired a product with the ADR, and that a specific consent has been given by the customer for the ADR to hold the customer’s data as a data holder. </w:t>
      </w:r>
    </w:p>
    <w:tbl>
      <w:tblPr>
        <w:tblStyle w:val="TableGrid"/>
        <w:tblW w:w="0" w:type="auto"/>
        <w:tblLook w:val="04A0" w:firstRow="1" w:lastRow="0" w:firstColumn="1" w:lastColumn="0" w:noHBand="0" w:noVBand="1"/>
      </w:tblPr>
      <w:tblGrid>
        <w:gridCol w:w="9016"/>
      </w:tblGrid>
      <w:tr w:rsidR="00FE320C" w14:paraId="7E5978C5" w14:textId="77777777" w:rsidTr="004A0715">
        <w:tc>
          <w:tcPr>
            <w:tcW w:w="9016" w:type="dxa"/>
          </w:tcPr>
          <w:p w14:paraId="38A79566" w14:textId="77A062CE" w:rsidR="00FE320C" w:rsidRPr="002F035E" w:rsidRDefault="00DF5477" w:rsidP="004A0715">
            <w:pPr>
              <w:rPr>
                <w:b/>
                <w:bCs/>
              </w:rPr>
            </w:pPr>
            <w:r>
              <w:rPr>
                <w:b/>
                <w:bCs/>
              </w:rPr>
              <w:t>Rules q</w:t>
            </w:r>
            <w:r w:rsidR="00FE320C" w:rsidRPr="002F035E">
              <w:rPr>
                <w:b/>
                <w:bCs/>
              </w:rPr>
              <w:t>uestion</w:t>
            </w:r>
          </w:p>
          <w:p w14:paraId="101B31FD" w14:textId="42A10409" w:rsidR="00FE320C" w:rsidRPr="00DA39A0" w:rsidRDefault="00A327AF" w:rsidP="00EB3C6F">
            <w:pPr>
              <w:pStyle w:val="OutlineNumbered1"/>
            </w:pPr>
            <w:r>
              <w:t xml:space="preserve">Are there entities </w:t>
            </w:r>
            <w:r w:rsidR="00466B25">
              <w:t>(</w:t>
            </w:r>
            <w:r>
              <w:t>other than carriers or CSPs</w:t>
            </w:r>
            <w:r w:rsidR="00466B25">
              <w:t>)</w:t>
            </w:r>
            <w:r>
              <w:t xml:space="preserve"> that generate and hold telecommunications data, and </w:t>
            </w:r>
            <w:r w:rsidR="00466B25">
              <w:t xml:space="preserve">if so, </w:t>
            </w:r>
            <w:r>
              <w:t xml:space="preserve">should </w:t>
            </w:r>
            <w:r w:rsidR="00466B25">
              <w:t xml:space="preserve">these entities </w:t>
            </w:r>
            <w:r>
              <w:t>be subject to reciprocal data sharing obligations (</w:t>
            </w:r>
            <w:r w:rsidR="004545D1">
              <w:t xml:space="preserve">if </w:t>
            </w:r>
            <w:r w:rsidR="00466B25">
              <w:t xml:space="preserve">they </w:t>
            </w:r>
            <w:r w:rsidR="004545D1">
              <w:t>were</w:t>
            </w:r>
            <w:r w:rsidR="00466B25">
              <w:t xml:space="preserve"> </w:t>
            </w:r>
            <w:r>
              <w:t>to become accredited</w:t>
            </w:r>
            <w:r w:rsidR="004545D1">
              <w:t xml:space="preserve"> data recipients</w:t>
            </w:r>
            <w:r>
              <w:t>)?</w:t>
            </w:r>
          </w:p>
        </w:tc>
      </w:tr>
    </w:tbl>
    <w:p w14:paraId="43629980" w14:textId="77777777" w:rsidR="00FE320C" w:rsidRDefault="00FE320C" w:rsidP="00EB3C6F">
      <w:pPr>
        <w:pStyle w:val="Normal-Numberedparagraphs"/>
        <w:numPr>
          <w:ilvl w:val="0"/>
          <w:numId w:val="0"/>
        </w:numPr>
        <w:ind w:left="360"/>
      </w:pPr>
    </w:p>
    <w:p w14:paraId="71C4F19B" w14:textId="4EDA83E8" w:rsidR="00F01C1A" w:rsidRPr="00C92AAB" w:rsidRDefault="00F01C1A" w:rsidP="007347F2">
      <w:pPr>
        <w:pStyle w:val="Heading2"/>
        <w:numPr>
          <w:ilvl w:val="1"/>
          <w:numId w:val="7"/>
        </w:numPr>
        <w:tabs>
          <w:tab w:val="num" w:pos="1560"/>
        </w:tabs>
        <w:ind w:left="426" w:hanging="426"/>
        <w:contextualSpacing/>
        <w:rPr>
          <w:color w:val="2E74B5" w:themeColor="accent1" w:themeShade="BF"/>
        </w:rPr>
      </w:pPr>
      <w:bookmarkStart w:id="70" w:name="_Toc94692545"/>
      <w:bookmarkStart w:id="71" w:name="_Toc94712937"/>
      <w:bookmarkStart w:id="72" w:name="_Toc94713862"/>
      <w:bookmarkStart w:id="73" w:name="_Toc94797412"/>
      <w:bookmarkStart w:id="74" w:name="_Ref69483265"/>
      <w:bookmarkStart w:id="75" w:name="_Ref70078895"/>
      <w:bookmarkStart w:id="76" w:name="_Toc93315759"/>
      <w:bookmarkStart w:id="77" w:name="_Toc96353743"/>
      <w:bookmarkEnd w:id="70"/>
      <w:bookmarkEnd w:id="71"/>
      <w:bookmarkEnd w:id="72"/>
      <w:bookmarkEnd w:id="73"/>
      <w:r w:rsidRPr="00C92AAB">
        <w:rPr>
          <w:color w:val="2E74B5" w:themeColor="accent1" w:themeShade="BF"/>
        </w:rPr>
        <w:t xml:space="preserve">Standards </w:t>
      </w:r>
      <w:r w:rsidR="0009590D" w:rsidRPr="00C92AAB">
        <w:rPr>
          <w:color w:val="2E74B5" w:themeColor="accent1" w:themeShade="BF"/>
        </w:rPr>
        <w:t>c</w:t>
      </w:r>
      <w:r w:rsidRPr="00C92AAB">
        <w:rPr>
          <w:color w:val="2E74B5" w:themeColor="accent1" w:themeShade="BF"/>
        </w:rPr>
        <w:t>onsiderations</w:t>
      </w:r>
      <w:bookmarkEnd w:id="74"/>
      <w:bookmarkEnd w:id="75"/>
      <w:bookmarkEnd w:id="76"/>
      <w:bookmarkEnd w:id="77"/>
    </w:p>
    <w:p w14:paraId="151C0704" w14:textId="68F61986" w:rsidR="005051FE" w:rsidRPr="006F7169" w:rsidRDefault="005051FE" w:rsidP="005051FE">
      <w:pPr>
        <w:pStyle w:val="Heading3"/>
        <w:rPr>
          <w:b/>
          <w:bCs/>
          <w:color w:val="auto"/>
        </w:rPr>
      </w:pPr>
      <w:bookmarkStart w:id="78" w:name="_Toc93315760"/>
      <w:bookmarkStart w:id="79" w:name="_Toc96353744"/>
      <w:r w:rsidRPr="00C92AAB">
        <w:rPr>
          <w:b/>
          <w:color w:val="auto"/>
        </w:rPr>
        <w:t xml:space="preserve">Technical </w:t>
      </w:r>
      <w:r w:rsidR="002855E8" w:rsidRPr="00C92AAB">
        <w:rPr>
          <w:b/>
          <w:color w:val="auto"/>
        </w:rPr>
        <w:t xml:space="preserve">standards </w:t>
      </w:r>
      <w:r w:rsidRPr="00C92AAB">
        <w:rPr>
          <w:b/>
          <w:color w:val="auto"/>
        </w:rPr>
        <w:t>considerations</w:t>
      </w:r>
      <w:bookmarkEnd w:id="78"/>
      <w:bookmarkEnd w:id="79"/>
    </w:p>
    <w:p w14:paraId="393A4DAF" w14:textId="76ADDCE6" w:rsidR="00CA434C" w:rsidRPr="00CA434C" w:rsidRDefault="00CA434C" w:rsidP="007F6CF3">
      <w:pPr>
        <w:pStyle w:val="Normal-Numberedparagraphs"/>
      </w:pPr>
      <w:r w:rsidRPr="00CA434C">
        <w:t>When developing technical standards for data sharing of designated data clusters</w:t>
      </w:r>
      <w:r w:rsidR="00795837">
        <w:t>,</w:t>
      </w:r>
      <w:r w:rsidRPr="00CA434C">
        <w:t xml:space="preserve"> there are several specific concerns that can influence the complexity of the standards development process and subsequent implementation by participants. These concerns are outlined below and feedback specific to the telecommunications sector or to individual data clusters would be welcome.</w:t>
      </w:r>
    </w:p>
    <w:p w14:paraId="0CC30B84" w14:textId="4F82C26C" w:rsidR="00CA434C" w:rsidRPr="00CA434C" w:rsidRDefault="00CA434C" w:rsidP="007F6CF3">
      <w:pPr>
        <w:pStyle w:val="Normal-Numberedparagraphs"/>
      </w:pPr>
      <w:r w:rsidRPr="00F33DAA">
        <w:rPr>
          <w:b/>
        </w:rPr>
        <w:t>Data latency</w:t>
      </w:r>
      <w:r w:rsidRPr="00CA434C">
        <w:t xml:space="preserve"> – For some data clusters the amount of time it takes to provide accurate data, the volume of data available or the temporal extent of historical data held in readily accessible systems can all create issues.  For the data clusters being considered</w:t>
      </w:r>
      <w:r w:rsidR="00134845">
        <w:t xml:space="preserve">, </w:t>
      </w:r>
      <w:r w:rsidRPr="00CA434C">
        <w:t xml:space="preserve">feedback on issues relating to data latency would be helpful in planning standards development. </w:t>
      </w:r>
    </w:p>
    <w:p w14:paraId="319D91BC" w14:textId="7B5184FD" w:rsidR="00CA434C" w:rsidRPr="00CA434C" w:rsidRDefault="00CA434C" w:rsidP="007F6CF3">
      <w:pPr>
        <w:pStyle w:val="Normal-Numberedparagraphs"/>
      </w:pPr>
      <w:r w:rsidRPr="00F33DAA">
        <w:rPr>
          <w:b/>
        </w:rPr>
        <w:t>Data quality</w:t>
      </w:r>
      <w:r w:rsidRPr="00CA434C">
        <w:t xml:space="preserve"> – The variability of data quality held, both </w:t>
      </w:r>
      <w:proofErr w:type="gramStart"/>
      <w:r w:rsidRPr="00CA434C">
        <w:t>with regard to</w:t>
      </w:r>
      <w:proofErr w:type="gramEnd"/>
      <w:r w:rsidRPr="00CA434C">
        <w:t xml:space="preserve"> accuracy but also structural consistency, can heavily influence the development of data standards. The standards prioritise strongly typed structures as this maximises the value of the data transferred.  Feedback on areas of known data variability for the data clusters being considered would be helpful.</w:t>
      </w:r>
    </w:p>
    <w:p w14:paraId="04EC976B" w14:textId="77777777" w:rsidR="00CA434C" w:rsidRPr="00CA434C" w:rsidRDefault="00CA434C" w:rsidP="007F6CF3">
      <w:pPr>
        <w:pStyle w:val="Normal-Numberedparagraphs"/>
      </w:pPr>
      <w:r w:rsidRPr="00F33DAA">
        <w:rPr>
          <w:b/>
        </w:rPr>
        <w:t>System fragmentation</w:t>
      </w:r>
      <w:r w:rsidRPr="00CA434C">
        <w:t xml:space="preserve"> – It is helpful to understand the level of existing architectural fragmentation of systems that hold and present the data clusters being considered.  This has a direct impact on the technical difficulty in defining consistent standards but can also influence phasing of standards implementation.</w:t>
      </w:r>
    </w:p>
    <w:p w14:paraId="0379873E" w14:textId="1CF4A281" w:rsidR="00CA434C" w:rsidRPr="00CA434C" w:rsidRDefault="00CA434C" w:rsidP="007F6CF3">
      <w:pPr>
        <w:pStyle w:val="Normal-Numberedparagraphs"/>
      </w:pPr>
      <w:r w:rsidRPr="00F33DAA">
        <w:rPr>
          <w:b/>
        </w:rPr>
        <w:t>Existing standards</w:t>
      </w:r>
      <w:r w:rsidRPr="00CA434C">
        <w:t xml:space="preserve"> – The preference of </w:t>
      </w:r>
      <w:r w:rsidR="00CC0E66">
        <w:t>DSB</w:t>
      </w:r>
      <w:r w:rsidRPr="00CA434C">
        <w:t xml:space="preserve"> is to leverage existing industry standards that are already widely adopted and accepted</w:t>
      </w:r>
      <w:r w:rsidR="005435AC">
        <w:t>, where possible</w:t>
      </w:r>
      <w:r w:rsidRPr="00CA434C">
        <w:t>. Suggestions are therefore requested on any existing standards that may accelerate the development of standards for telecommunications.</w:t>
      </w:r>
    </w:p>
    <w:p w14:paraId="1E52A65D" w14:textId="1582A969" w:rsidR="002855E8" w:rsidRPr="006F7169" w:rsidRDefault="002855E8" w:rsidP="002855E8">
      <w:pPr>
        <w:pStyle w:val="Heading3"/>
        <w:rPr>
          <w:b/>
          <w:bCs/>
          <w:color w:val="auto"/>
        </w:rPr>
      </w:pPr>
      <w:bookmarkStart w:id="80" w:name="_Toc93315761"/>
      <w:bookmarkStart w:id="81" w:name="_Toc96353745"/>
      <w:r w:rsidRPr="00D96735">
        <w:rPr>
          <w:b/>
          <w:color w:val="auto"/>
        </w:rPr>
        <w:lastRenderedPageBreak/>
        <w:t>Consumer experience considerations</w:t>
      </w:r>
      <w:bookmarkEnd w:id="80"/>
      <w:bookmarkEnd w:id="81"/>
    </w:p>
    <w:p w14:paraId="0AB7CABE" w14:textId="77777777" w:rsidR="00511F8D" w:rsidRDefault="00E14B41" w:rsidP="00511F8D">
      <w:pPr>
        <w:pStyle w:val="Normal-Numberedparagraphs"/>
      </w:pPr>
      <w:r>
        <w:t xml:space="preserve">Data language standards form part of the </w:t>
      </w:r>
      <w:r w:rsidR="00511F8D">
        <w:t>consumer experience (</w:t>
      </w:r>
      <w:r>
        <w:t>CX</w:t>
      </w:r>
      <w:r w:rsidR="00511F8D">
        <w:t>)</w:t>
      </w:r>
      <w:r>
        <w:t xml:space="preserve"> data standards and include mandatory descriptions of datasets to be used by CDR participants. </w:t>
      </w:r>
      <w:r w:rsidR="00511F8D">
        <w:t>The purpose of the data language standards is to provide comprehensible and meaningful descriptions and groupings of datasets to facilitate informed consumer consent.</w:t>
      </w:r>
    </w:p>
    <w:p w14:paraId="6ADB7B77" w14:textId="77777777" w:rsidR="00E14B41" w:rsidRDefault="00E14B41" w:rsidP="00D96735">
      <w:pPr>
        <w:pStyle w:val="Normal-Numberedparagraphs"/>
        <w:suppressAutoHyphens/>
        <w:spacing w:line="256" w:lineRule="auto"/>
      </w:pPr>
      <w:r>
        <w:t xml:space="preserve">The existing data language standards can be found </w:t>
      </w:r>
      <w:hyperlink r:id="rId28" w:anchor="data-language-standards-common" w:history="1">
        <w:r>
          <w:rPr>
            <w:rStyle w:val="Hyperlink"/>
          </w:rPr>
          <w:t>here</w:t>
        </w:r>
      </w:hyperlink>
      <w:r>
        <w:t xml:space="preserve">, which cover the language to be used when requesting banking and energy data. New data language standards will need to be developed for telecommunications data, which will build on already established language standards. </w:t>
      </w:r>
    </w:p>
    <w:p w14:paraId="7C6D27D8" w14:textId="77777777" w:rsidR="00511F8D" w:rsidRDefault="00511F8D" w:rsidP="00511F8D">
      <w:pPr>
        <w:pStyle w:val="Normal-Numberedparagraphs"/>
        <w:suppressAutoHyphens/>
        <w:spacing w:line="256" w:lineRule="auto"/>
      </w:pPr>
      <w:r>
        <w:t xml:space="preserve">Preliminary data language has been developed for the telecommunications sector based on the information contained in the </w:t>
      </w:r>
      <w:r w:rsidRPr="00EB3C6F">
        <w:t>designation instrument</w:t>
      </w:r>
      <w:r>
        <w:t xml:space="preserve">. A list of the preliminary language can be found online (see </w:t>
      </w:r>
      <w:hyperlink r:id="rId29" w:history="1">
        <w:proofErr w:type="spellStart"/>
        <w:r w:rsidRPr="00A10C25">
          <w:rPr>
            <w:rStyle w:val="Hyperlink"/>
          </w:rPr>
          <w:t>Miro</w:t>
        </w:r>
      </w:hyperlink>
      <w:r>
        <w:t>|</w:t>
      </w:r>
      <w:hyperlink r:id="rId30" w:history="1">
        <w:r w:rsidRPr="00A10C25">
          <w:rPr>
            <w:rStyle w:val="Hyperlink"/>
          </w:rPr>
          <w:t>PDF</w:t>
        </w:r>
        <w:proofErr w:type="spellEnd"/>
        <w:r w:rsidRPr="00A10C25">
          <w:rPr>
            <w:rStyle w:val="Hyperlink"/>
          </w:rPr>
          <w:t xml:space="preserve"> p</w:t>
        </w:r>
        <w:r>
          <w:rPr>
            <w:rStyle w:val="Hyperlink"/>
          </w:rPr>
          <w:t xml:space="preserve">age </w:t>
        </w:r>
        <w:r w:rsidRPr="00A10C25">
          <w:rPr>
            <w:rStyle w:val="Hyperlink"/>
          </w:rPr>
          <w:t>1</w:t>
        </w:r>
      </w:hyperlink>
      <w:r>
        <w:t xml:space="preserve">), and in the context of the consumer-facing consent step (see </w:t>
      </w:r>
      <w:hyperlink r:id="rId31" w:history="1">
        <w:proofErr w:type="spellStart"/>
        <w:r w:rsidRPr="00A10C25">
          <w:rPr>
            <w:rStyle w:val="Hyperlink"/>
          </w:rPr>
          <w:t>Miro</w:t>
        </w:r>
      </w:hyperlink>
      <w:r>
        <w:t>|</w:t>
      </w:r>
      <w:hyperlink r:id="rId32" w:history="1">
        <w:r w:rsidRPr="00A10C25">
          <w:rPr>
            <w:rStyle w:val="Hyperlink"/>
          </w:rPr>
          <w:t>PDF</w:t>
        </w:r>
        <w:proofErr w:type="spellEnd"/>
        <w:r w:rsidRPr="00A10C25">
          <w:rPr>
            <w:rStyle w:val="Hyperlink"/>
          </w:rPr>
          <w:t xml:space="preserve"> p</w:t>
        </w:r>
        <w:r>
          <w:rPr>
            <w:rStyle w:val="Hyperlink"/>
          </w:rPr>
          <w:t xml:space="preserve">age </w:t>
        </w:r>
        <w:r w:rsidRPr="00A10C25">
          <w:rPr>
            <w:rStyle w:val="Hyperlink"/>
          </w:rPr>
          <w:t>2</w:t>
        </w:r>
      </w:hyperlink>
      <w:r>
        <w:t xml:space="preserve">, including an </w:t>
      </w:r>
      <w:hyperlink r:id="rId33" w:history="1">
        <w:r w:rsidRPr="00A10C25">
          <w:rPr>
            <w:rStyle w:val="Hyperlink"/>
          </w:rPr>
          <w:t>interactive prototype</w:t>
        </w:r>
      </w:hyperlink>
      <w:r>
        <w:t>). Data language will be consulted on and refined further alongside the technical standards.</w:t>
      </w:r>
    </w:p>
    <w:p w14:paraId="6C267035" w14:textId="061994D1" w:rsidR="00A1273E" w:rsidRDefault="0056637E" w:rsidP="00D96735">
      <w:pPr>
        <w:pStyle w:val="Normal-Numberedparagraphs"/>
        <w:suppressAutoHyphens/>
        <w:spacing w:line="256" w:lineRule="auto"/>
      </w:pPr>
      <w:r>
        <w:t xml:space="preserve">To assist the development of data language standards, the Treasury and DSB welcome feedback on appropriate dataset groupings and descriptions to support consumer comprehension and informed consent, including where certain datasets may be considered sensitive. Feedback is also welcome that includes how the telecommunications sector may currently describe the </w:t>
      </w:r>
      <w:r w:rsidR="00B86CF7">
        <w:t>recommended</w:t>
      </w:r>
      <w:r>
        <w:t xml:space="preserve"> designated data to consumers, and any relevant terminology and language standards.</w:t>
      </w:r>
    </w:p>
    <w:tbl>
      <w:tblPr>
        <w:tblStyle w:val="TableGrid"/>
        <w:tblW w:w="0" w:type="auto"/>
        <w:tblLook w:val="04A0" w:firstRow="1" w:lastRow="0" w:firstColumn="1" w:lastColumn="0" w:noHBand="0" w:noVBand="1"/>
      </w:tblPr>
      <w:tblGrid>
        <w:gridCol w:w="9016"/>
      </w:tblGrid>
      <w:tr w:rsidR="00DA39A0" w14:paraId="50C76A33" w14:textId="77777777" w:rsidTr="00DA39A0">
        <w:tc>
          <w:tcPr>
            <w:tcW w:w="9016" w:type="dxa"/>
          </w:tcPr>
          <w:p w14:paraId="76FBC583" w14:textId="5D8D3FF6" w:rsidR="00DA39A0" w:rsidRPr="002F035E" w:rsidRDefault="00DF5477" w:rsidP="002F035E">
            <w:pPr>
              <w:rPr>
                <w:b/>
                <w:bCs/>
              </w:rPr>
            </w:pPr>
            <w:r>
              <w:rPr>
                <w:b/>
                <w:bCs/>
              </w:rPr>
              <w:t>Standards q</w:t>
            </w:r>
            <w:r w:rsidR="00DA39A0" w:rsidRPr="002F035E">
              <w:rPr>
                <w:b/>
                <w:bCs/>
              </w:rPr>
              <w:t>uestions</w:t>
            </w:r>
          </w:p>
          <w:p w14:paraId="2643BBFA" w14:textId="6532AE83" w:rsidR="004646FC" w:rsidRDefault="005435AC">
            <w:pPr>
              <w:pStyle w:val="OutlineNumbered1"/>
            </w:pPr>
            <w:r>
              <w:t>Are there any considerations specific to the telecommunications sector that we should be aware of in relation to the technical standards considerations outlined in this paper?</w:t>
            </w:r>
          </w:p>
          <w:p w14:paraId="5A5382A2" w14:textId="35E02CD2" w:rsidR="005A7EF7" w:rsidRPr="00DA39A0" w:rsidRDefault="0056637E" w:rsidP="00DA3890">
            <w:pPr>
              <w:pStyle w:val="OutlineNumbered1"/>
            </w:pPr>
            <w:r>
              <w:t xml:space="preserve">Are the preliminary data clusters grouped and described appropriately and in a way that reflects existing structures and experiences? </w:t>
            </w:r>
            <w:r w:rsidR="00511F8D">
              <w:t xml:space="preserve">See </w:t>
            </w:r>
            <w:hyperlink r:id="rId34" w:history="1">
              <w:proofErr w:type="spellStart"/>
              <w:r w:rsidR="00511F8D" w:rsidRPr="00A10C25">
                <w:rPr>
                  <w:rStyle w:val="Hyperlink"/>
                </w:rPr>
                <w:t>Miro</w:t>
              </w:r>
            </w:hyperlink>
            <w:r w:rsidR="00511F8D">
              <w:t>|</w:t>
            </w:r>
            <w:hyperlink r:id="rId35" w:history="1">
              <w:r w:rsidR="00511F8D" w:rsidRPr="00A10C25">
                <w:rPr>
                  <w:rStyle w:val="Hyperlink"/>
                </w:rPr>
                <w:t>PDF</w:t>
              </w:r>
              <w:proofErr w:type="spellEnd"/>
              <w:r w:rsidR="00511F8D" w:rsidRPr="00A10C25">
                <w:rPr>
                  <w:rStyle w:val="Hyperlink"/>
                </w:rPr>
                <w:t xml:space="preserve"> p</w:t>
              </w:r>
              <w:r w:rsidR="00511F8D">
                <w:rPr>
                  <w:rStyle w:val="Hyperlink"/>
                </w:rPr>
                <w:t xml:space="preserve">age </w:t>
              </w:r>
              <w:r w:rsidR="00511F8D" w:rsidRPr="00A10C25">
                <w:rPr>
                  <w:rStyle w:val="Hyperlink"/>
                </w:rPr>
                <w:t>1</w:t>
              </w:r>
            </w:hyperlink>
            <w:r w:rsidR="00511F8D">
              <w:t xml:space="preserve"> for a preliminary data language list, and see </w:t>
            </w:r>
            <w:hyperlink r:id="rId36" w:history="1">
              <w:proofErr w:type="spellStart"/>
              <w:r w:rsidR="00511F8D" w:rsidRPr="00A10C25">
                <w:rPr>
                  <w:rStyle w:val="Hyperlink"/>
                </w:rPr>
                <w:t>Miro</w:t>
              </w:r>
            </w:hyperlink>
            <w:r w:rsidR="00511F8D">
              <w:t>|</w:t>
            </w:r>
            <w:hyperlink r:id="rId37" w:history="1">
              <w:r w:rsidR="00511F8D" w:rsidRPr="00A10C25">
                <w:rPr>
                  <w:rStyle w:val="Hyperlink"/>
                </w:rPr>
                <w:t>PDF</w:t>
              </w:r>
              <w:proofErr w:type="spellEnd"/>
              <w:r w:rsidR="00511F8D" w:rsidRPr="00A10C25">
                <w:rPr>
                  <w:rStyle w:val="Hyperlink"/>
                </w:rPr>
                <w:t xml:space="preserve"> p</w:t>
              </w:r>
              <w:r w:rsidR="00511F8D">
                <w:rPr>
                  <w:rStyle w:val="Hyperlink"/>
                </w:rPr>
                <w:t xml:space="preserve">age </w:t>
              </w:r>
              <w:r w:rsidR="00511F8D" w:rsidRPr="00A10C25">
                <w:rPr>
                  <w:rStyle w:val="Hyperlink"/>
                </w:rPr>
                <w:t>2</w:t>
              </w:r>
            </w:hyperlink>
            <w:r w:rsidR="00511F8D">
              <w:t xml:space="preserve"> for how this language features in the consent flow.</w:t>
            </w:r>
          </w:p>
        </w:tc>
      </w:tr>
    </w:tbl>
    <w:p w14:paraId="0919878B" w14:textId="072A5017" w:rsidR="00EE35FC" w:rsidRDefault="00EE35FC">
      <w:pPr>
        <w:spacing w:after="160"/>
      </w:pPr>
    </w:p>
    <w:p w14:paraId="2738AB4E" w14:textId="77777777" w:rsidR="00AB65CF" w:rsidRDefault="00AB65CF">
      <w:pPr>
        <w:spacing w:after="160"/>
        <w:rPr>
          <w:rFonts w:asciiTheme="majorHAnsi" w:eastAsiaTheme="majorEastAsia" w:hAnsiTheme="majorHAnsi" w:cstheme="majorBidi"/>
          <w:b/>
          <w:color w:val="2E74B5" w:themeColor="accent1" w:themeShade="BF"/>
          <w:sz w:val="32"/>
          <w:szCs w:val="32"/>
        </w:rPr>
      </w:pPr>
      <w:bookmarkStart w:id="82" w:name="_Hlk94781690"/>
      <w:bookmarkStart w:id="83" w:name="_Hlk93316104"/>
      <w:r>
        <w:br w:type="page"/>
      </w:r>
    </w:p>
    <w:p w14:paraId="0877B8DD" w14:textId="51391F6C" w:rsidR="00013765" w:rsidRPr="007347F2" w:rsidRDefault="00013765" w:rsidP="00013765">
      <w:pPr>
        <w:pStyle w:val="Heading1"/>
        <w:numPr>
          <w:ilvl w:val="0"/>
          <w:numId w:val="7"/>
        </w:numPr>
        <w:tabs>
          <w:tab w:val="num" w:pos="360"/>
        </w:tabs>
        <w:ind w:left="0" w:firstLine="0"/>
      </w:pPr>
      <w:bookmarkStart w:id="84" w:name="_Toc96353746"/>
      <w:r>
        <w:lastRenderedPageBreak/>
        <w:t>‘Eligible CDR consumers’ in the telecommunications sector</w:t>
      </w:r>
      <w:bookmarkEnd w:id="84"/>
    </w:p>
    <w:p w14:paraId="73FB98E6" w14:textId="77777777" w:rsidR="00013765" w:rsidRPr="007347F2" w:rsidRDefault="00013765" w:rsidP="00013765">
      <w:pPr>
        <w:pStyle w:val="Heading2"/>
        <w:numPr>
          <w:ilvl w:val="1"/>
          <w:numId w:val="7"/>
        </w:numPr>
        <w:tabs>
          <w:tab w:val="num" w:pos="360"/>
        </w:tabs>
        <w:ind w:left="426" w:hanging="426"/>
        <w:contextualSpacing/>
        <w:rPr>
          <w:color w:val="2E74B5" w:themeColor="accent1" w:themeShade="BF"/>
        </w:rPr>
      </w:pPr>
      <w:bookmarkStart w:id="85" w:name="_Toc96353747"/>
      <w:r w:rsidRPr="007347F2">
        <w:rPr>
          <w:color w:val="2E74B5" w:themeColor="accent1" w:themeShade="BF"/>
        </w:rPr>
        <w:t xml:space="preserve">Topic </w:t>
      </w:r>
      <w:r>
        <w:rPr>
          <w:color w:val="2E74B5" w:themeColor="accent1" w:themeShade="BF"/>
        </w:rPr>
        <w:t>o</w:t>
      </w:r>
      <w:r w:rsidRPr="007347F2">
        <w:rPr>
          <w:color w:val="2E74B5" w:themeColor="accent1" w:themeShade="BF"/>
        </w:rPr>
        <w:t>verview</w:t>
      </w:r>
      <w:bookmarkEnd w:id="85"/>
    </w:p>
    <w:p w14:paraId="1625AC9D" w14:textId="4D00961E" w:rsidR="00013765" w:rsidRDefault="00013765" w:rsidP="00013765">
      <w:pPr>
        <w:pStyle w:val="Normal-Numberedparagraphs"/>
      </w:pPr>
      <w:r w:rsidRPr="008E6CAE">
        <w:t xml:space="preserve">While a broad range of consumers are ‘CDR consumers’ under the regime, the CDR Rules narrow </w:t>
      </w:r>
      <w:r>
        <w:t>which CDR consumers</w:t>
      </w:r>
      <w:r w:rsidRPr="008E6CAE">
        <w:t xml:space="preserve"> can initiate data sharing </w:t>
      </w:r>
      <w:r>
        <w:t xml:space="preserve">through </w:t>
      </w:r>
      <w:r w:rsidRPr="008E6CAE">
        <w:t>the concept of an ‘eligible CDR consumer’ (</w:t>
      </w:r>
      <w:r>
        <w:t xml:space="preserve">namely, </w:t>
      </w:r>
      <w:r w:rsidR="005B56E8">
        <w:t>eligible</w:t>
      </w:r>
      <w:r w:rsidRPr="008E6CAE">
        <w:t xml:space="preserve"> to </w:t>
      </w:r>
      <w:r>
        <w:t>initiate CDR</w:t>
      </w:r>
      <w:r w:rsidRPr="008E6CAE">
        <w:t xml:space="preserve"> data sharing requests). </w:t>
      </w:r>
      <w:r>
        <w:t xml:space="preserve">This section addresses which CDR consumers should be ‘eligible’ to make CDR data sharing requests in the telecommunications sector. </w:t>
      </w:r>
    </w:p>
    <w:p w14:paraId="606146A8" w14:textId="31180B2D" w:rsidR="00013765" w:rsidRDefault="00013765" w:rsidP="00013765">
      <w:pPr>
        <w:pStyle w:val="Normal-Numberedparagraphs"/>
      </w:pPr>
      <w:r>
        <w:t>The sector-agnostic definition of ‘eligible CDR consumer’ is at rule 1.10B and</w:t>
      </w:r>
      <w:r w:rsidR="00070D83">
        <w:t xml:space="preserve"> </w:t>
      </w:r>
      <w:r>
        <w:t>states that</w:t>
      </w:r>
      <w:r w:rsidR="00070D83">
        <w:t xml:space="preserve">, subject to any additional criteria set by sector-specific rules, </w:t>
      </w:r>
      <w:r>
        <w:t xml:space="preserve">a CDR consumer is eligible in relation to a particular data holder at a particular time if, at that time: </w:t>
      </w:r>
    </w:p>
    <w:p w14:paraId="0EE07BC4" w14:textId="77777777" w:rsidR="00013765" w:rsidRDefault="00013765" w:rsidP="00EB3C6F">
      <w:pPr>
        <w:pStyle w:val="Normal-Numberedparagraphs"/>
        <w:numPr>
          <w:ilvl w:val="0"/>
          <w:numId w:val="127"/>
        </w:numPr>
      </w:pPr>
      <w:r>
        <w:t xml:space="preserve">the CDR consumer is either an individual who is 18 years or older or a person who is not an individual; and </w:t>
      </w:r>
    </w:p>
    <w:p w14:paraId="54F8D4C9" w14:textId="16ACA88A" w:rsidR="00013765" w:rsidRDefault="00013765" w:rsidP="00EB3C6F">
      <w:pPr>
        <w:pStyle w:val="Normal-Numberedparagraphs"/>
        <w:numPr>
          <w:ilvl w:val="0"/>
          <w:numId w:val="127"/>
        </w:numPr>
      </w:pPr>
      <w:r>
        <w:t>the CDR consumer is an account holder or secondary user</w:t>
      </w:r>
      <w:r>
        <w:rPr>
          <w:rStyle w:val="FootnoteReference"/>
        </w:rPr>
        <w:footnoteReference w:id="12"/>
      </w:r>
      <w:r>
        <w:t xml:space="preserve"> for an account with the data holder that is open. </w:t>
      </w:r>
    </w:p>
    <w:p w14:paraId="690800E7" w14:textId="77777777" w:rsidR="00013765" w:rsidRDefault="00013765" w:rsidP="00013765">
      <w:pPr>
        <w:pStyle w:val="Normal-Numberedparagraphs"/>
      </w:pPr>
      <w:r>
        <w:t xml:space="preserve">A CDR consumer that is a partner in relation to an open partnership account is also eligible. </w:t>
      </w:r>
    </w:p>
    <w:p w14:paraId="73178E9B" w14:textId="493BF85E" w:rsidR="00013765" w:rsidRDefault="00013765" w:rsidP="00013765">
      <w:pPr>
        <w:pStyle w:val="Normal-Numberedparagraphs"/>
      </w:pPr>
      <w:r>
        <w:t xml:space="preserve">Schedules for each sector may add additional sector-specific criteria for eligibility, such as in clause 2.1 of Schedules 3 and 4 for the banking and energy sectors, respectively. For example, for a CDR consumer to be eligible in relation to a particular data holder in the banking sector, the consumer needs to be able to access </w:t>
      </w:r>
      <w:r w:rsidR="005B56E8">
        <w:t>an</w:t>
      </w:r>
      <w:r>
        <w:t xml:space="preserve"> account online. This can be compared to the energy sector, where to be eligible in relation to a particular retailer, a consumer needs to be a customer of the retailer and have an account that uses less than 5GWh per year. </w:t>
      </w:r>
    </w:p>
    <w:p w14:paraId="69C6D7B4" w14:textId="77777777" w:rsidR="00013765" w:rsidRPr="00B57C2C" w:rsidRDefault="00013765" w:rsidP="00013765">
      <w:pPr>
        <w:pStyle w:val="Heading2"/>
        <w:numPr>
          <w:ilvl w:val="1"/>
          <w:numId w:val="7"/>
        </w:numPr>
        <w:tabs>
          <w:tab w:val="num" w:pos="360"/>
        </w:tabs>
        <w:ind w:left="426" w:hanging="426"/>
        <w:contextualSpacing/>
        <w:rPr>
          <w:color w:val="2E74B5" w:themeColor="accent1" w:themeShade="BF"/>
        </w:rPr>
      </w:pPr>
      <w:bookmarkStart w:id="86" w:name="_Toc96353748"/>
      <w:r w:rsidRPr="00B57C2C">
        <w:rPr>
          <w:color w:val="2E74B5" w:themeColor="accent1" w:themeShade="BF"/>
        </w:rPr>
        <w:t xml:space="preserve">Rules </w:t>
      </w:r>
      <w:r>
        <w:rPr>
          <w:color w:val="2E74B5" w:themeColor="accent1" w:themeShade="BF"/>
        </w:rPr>
        <w:t>c</w:t>
      </w:r>
      <w:r w:rsidRPr="00B57C2C">
        <w:rPr>
          <w:color w:val="2E74B5" w:themeColor="accent1" w:themeShade="BF"/>
        </w:rPr>
        <w:t>onsiderations</w:t>
      </w:r>
      <w:bookmarkEnd w:id="86"/>
    </w:p>
    <w:p w14:paraId="0C4DF6ED" w14:textId="77777777" w:rsidR="00013765" w:rsidRDefault="00013765" w:rsidP="00013765">
      <w:pPr>
        <w:pStyle w:val="Normal-Numberedparagraphs"/>
      </w:pPr>
      <w:r>
        <w:t xml:space="preserve">For the telecommunications sector, we seek feedback to determine whether criteria additional to the sector-agnostic definition of eligible CDR consumer are appropriate. </w:t>
      </w:r>
    </w:p>
    <w:p w14:paraId="2606901B" w14:textId="77777777" w:rsidR="00013765" w:rsidRDefault="00013765" w:rsidP="00013765">
      <w:pPr>
        <w:pStyle w:val="Normal-Numberedparagraphs"/>
      </w:pPr>
      <w:r>
        <w:t xml:space="preserve">In this regard, we welcome feedback on the nature of different user relationships with telecommunications retailers. For example, how accounts are managed (including billing and customer management for different types of accounts) and the type of engagement customers have with their retailer (for example, the extent of digital engagement across the sector, and whether this correlates to </w:t>
      </w:r>
      <w:proofErr w:type="gramStart"/>
      <w:r>
        <w:t>particular products</w:t>
      </w:r>
      <w:proofErr w:type="gramEnd"/>
      <w:r>
        <w:t xml:space="preserve"> or customer types).   </w:t>
      </w:r>
    </w:p>
    <w:p w14:paraId="64D32383" w14:textId="77777777" w:rsidR="00013765" w:rsidRDefault="00013765" w:rsidP="00013765">
      <w:pPr>
        <w:pStyle w:val="Normal-Numberedparagraphs"/>
      </w:pPr>
      <w:r>
        <w:lastRenderedPageBreak/>
        <w:t xml:space="preserve">We also seek to understand whether the concept of ‘secondary user’ in the agnostic definition is extendable to telecommunications. In this respect, we welcome feedback on any definitions or differentiation between account privileges in the sector.  </w:t>
      </w:r>
    </w:p>
    <w:p w14:paraId="13065247" w14:textId="73150F69" w:rsidR="00013765" w:rsidRDefault="00013765" w:rsidP="005B56E8">
      <w:pPr>
        <w:pStyle w:val="Normal-Numberedparagraphs"/>
        <w:numPr>
          <w:ilvl w:val="7"/>
          <w:numId w:val="4"/>
        </w:numPr>
        <w:ind w:left="993" w:hanging="284"/>
      </w:pPr>
      <w:r>
        <w:t xml:space="preserve">For context, to be a secondary user for an account (under the </w:t>
      </w:r>
      <w:r w:rsidR="005B56E8">
        <w:t xml:space="preserve">existing </w:t>
      </w:r>
      <w:r w:rsidR="00DE1DEE">
        <w:t>CDR Rules</w:t>
      </w:r>
      <w:r>
        <w:t>), a person must</w:t>
      </w:r>
      <w:r w:rsidR="005B56E8">
        <w:t>:</w:t>
      </w:r>
      <w:r>
        <w:t xml:space="preserve"> </w:t>
      </w:r>
      <w:r w:rsidR="005B56E8">
        <w:t>be an individual who is 18 years or older, have</w:t>
      </w:r>
      <w:r>
        <w:t xml:space="preserve"> account privileges in relation to an account</w:t>
      </w:r>
      <w:r w:rsidR="005B56E8">
        <w:t>,</w:t>
      </w:r>
      <w:r>
        <w:t xml:space="preserve"> and the account holder</w:t>
      </w:r>
      <w:r w:rsidR="0026645E">
        <w:t>/s</w:t>
      </w:r>
      <w:r>
        <w:t xml:space="preserve"> must have given the data holder instruction to treat the person as a secondary user</w:t>
      </w:r>
      <w:r w:rsidR="0026645E">
        <w:t xml:space="preserve"> for the purposes of the CDR</w:t>
      </w:r>
      <w:r>
        <w:t xml:space="preserve">. </w:t>
      </w:r>
    </w:p>
    <w:p w14:paraId="748F20AB" w14:textId="4D7CE553" w:rsidR="00013765" w:rsidRDefault="00013765" w:rsidP="00013765">
      <w:pPr>
        <w:pStyle w:val="Normal-Numberedparagraphs"/>
      </w:pPr>
      <w:r>
        <w:t xml:space="preserve">For non-individuals (businesses), ‘nominated representative’ rules (see rules 1.13(1)(c)(i) or 1.13(1)(d)(i)) require data holders to provide a service that enables non-individuals to nominate one or more individuals, 18 years or older, to give, amend and manage authorisations to disclose CDR data on behalf of the business. These rules provide flexibility for retailers to determine the precise mechanism and process for the nomination. We consider these existing, sector-agnostic rules would </w:t>
      </w:r>
      <w:r w:rsidR="00BB24E1">
        <w:t xml:space="preserve">be recommended for </w:t>
      </w:r>
      <w:r>
        <w:t xml:space="preserve">the telecommunications </w:t>
      </w:r>
      <w:proofErr w:type="gramStart"/>
      <w:r>
        <w:t>sector,</w:t>
      </w:r>
      <w:proofErr w:type="gramEnd"/>
      <w:r>
        <w:t xml:space="preserve"> however, we welcome feedback on the extent to which sector</w:t>
      </w:r>
      <w:r w:rsidR="007113CC">
        <w:t>-</w:t>
      </w:r>
      <w:r>
        <w:t xml:space="preserve">specific modifications may be appropriate. </w:t>
      </w:r>
    </w:p>
    <w:p w14:paraId="31E526C6" w14:textId="4B768ABA" w:rsidR="00013765" w:rsidRDefault="00013765" w:rsidP="00013765">
      <w:pPr>
        <w:pStyle w:val="Normal-Numberedparagraphs"/>
      </w:pPr>
      <w:r>
        <w:t xml:space="preserve">We assume there are not many, if any, ‘joint accounts’ in the telecommunications sector that would meet the existing rules definition for a ‘joint account’. In the event that such accounts exist, </w:t>
      </w:r>
      <w:r w:rsidR="0026645E">
        <w:t>we expect they would</w:t>
      </w:r>
      <w:r>
        <w:t xml:space="preserve"> be subject to the existing provisions in the CDR </w:t>
      </w:r>
      <w:proofErr w:type="gramStart"/>
      <w:r>
        <w:t>rules</w:t>
      </w:r>
      <w:proofErr w:type="gramEnd"/>
      <w:r>
        <w:t xml:space="preserve"> and we do not </w:t>
      </w:r>
      <w:r w:rsidR="00F65BF9">
        <w:t>recommend making</w:t>
      </w:r>
      <w:r>
        <w:t xml:space="preserve"> sector-specific rules about joint accounts. </w:t>
      </w:r>
    </w:p>
    <w:p w14:paraId="18EC9275" w14:textId="2C6F5BDC" w:rsidR="00013765" w:rsidRDefault="00013765" w:rsidP="00EB3C6F">
      <w:pPr>
        <w:pStyle w:val="Normal-Numberedparagraphs"/>
      </w:pPr>
      <w:r>
        <w:t>We note that sharing data from accounts with more than one user may allow account holders to access consumer data about third party users of the account (for example, employers accessing information about an employee’s service linked to the business account). For these accounts, we welcome feedback on whether consumer data should not be shared in these circumstances, noting that the content of communications and location data has already been explicitly excluded by the designation instrument</w:t>
      </w:r>
      <w:r w:rsidR="0026645E">
        <w:t>, and that the type of data we expect to be included under billing data is data that should be already available to the account holder</w:t>
      </w:r>
      <w:r>
        <w:t xml:space="preserve">. </w:t>
      </w:r>
      <w:r w:rsidR="0026645E">
        <w:t>Therefore, we</w:t>
      </w:r>
      <w:r>
        <w:t xml:space="preserve"> note that access to sensitive data about third party users may be an existing issue related to how account access is structured and does not specifically arise due to CDR’s application to the telecommunications sector. </w:t>
      </w:r>
    </w:p>
    <w:tbl>
      <w:tblPr>
        <w:tblStyle w:val="TableGrid"/>
        <w:tblW w:w="0" w:type="auto"/>
        <w:tblLook w:val="04A0" w:firstRow="1" w:lastRow="0" w:firstColumn="1" w:lastColumn="0" w:noHBand="0" w:noVBand="1"/>
      </w:tblPr>
      <w:tblGrid>
        <w:gridCol w:w="9016"/>
      </w:tblGrid>
      <w:tr w:rsidR="002B173C" w14:paraId="314DD517" w14:textId="77777777" w:rsidTr="004A0715">
        <w:tc>
          <w:tcPr>
            <w:tcW w:w="9016" w:type="dxa"/>
            <w:tcBorders>
              <w:top w:val="single" w:sz="4" w:space="0" w:color="auto"/>
              <w:left w:val="single" w:sz="4" w:space="0" w:color="auto"/>
              <w:bottom w:val="single" w:sz="4" w:space="0" w:color="auto"/>
              <w:right w:val="single" w:sz="4" w:space="0" w:color="auto"/>
            </w:tcBorders>
            <w:hideMark/>
          </w:tcPr>
          <w:bookmarkEnd w:id="82"/>
          <w:p w14:paraId="2974F5E2" w14:textId="12DCACB9" w:rsidR="002B173C" w:rsidRDefault="001B164F" w:rsidP="004A0715">
            <w:pPr>
              <w:pStyle w:val="OutlineNumbered1"/>
              <w:numPr>
                <w:ilvl w:val="0"/>
                <w:numId w:val="0"/>
              </w:numPr>
              <w:tabs>
                <w:tab w:val="left" w:pos="720"/>
              </w:tabs>
              <w:ind w:left="520" w:hanging="520"/>
              <w:rPr>
                <w:b/>
                <w:bCs/>
              </w:rPr>
            </w:pPr>
            <w:r>
              <w:rPr>
                <w:b/>
                <w:bCs/>
              </w:rPr>
              <w:t>Rules q</w:t>
            </w:r>
            <w:r w:rsidR="002B173C">
              <w:rPr>
                <w:b/>
                <w:bCs/>
              </w:rPr>
              <w:t>uestions</w:t>
            </w:r>
          </w:p>
          <w:p w14:paraId="554E5B23" w14:textId="6ACAA997" w:rsidR="00747B77" w:rsidRDefault="00013765" w:rsidP="00747B77">
            <w:pPr>
              <w:pStyle w:val="OutlineNumbered1"/>
            </w:pPr>
            <w:r>
              <w:t xml:space="preserve">What kinds of ‘secondary users’ (users with account privileges, other than the account holder) exist in telecommunications? You may wish to comment generally on account structures and/or the prevalence of additional users with account privileges, and whether this is product or customer-type specific.  </w:t>
            </w:r>
            <w:r w:rsidR="00747B77">
              <w:t>Are user accounts structured the same across different product types? If so, does this affect how secondary or other users should be defined?</w:t>
            </w:r>
          </w:p>
          <w:p w14:paraId="714A83D9" w14:textId="2929B2AE" w:rsidR="002B5CC8" w:rsidRDefault="002B5CC8" w:rsidP="00747B77">
            <w:pPr>
              <w:pStyle w:val="OutlineNumbered1"/>
            </w:pPr>
            <w:r>
              <w:t xml:space="preserve">How are account privileges </w:t>
            </w:r>
            <w:r w:rsidR="009B2C53">
              <w:t xml:space="preserve">defined in telecommunications? Is there an existing definition of account privileges that distinguishes between different types of users? </w:t>
            </w:r>
          </w:p>
          <w:p w14:paraId="16152042" w14:textId="5D2A21E3" w:rsidR="002B173C" w:rsidRDefault="002B173C" w:rsidP="00747B77">
            <w:pPr>
              <w:pStyle w:val="OutlineNumbered1"/>
            </w:pPr>
            <w:r>
              <w:t>Is there a hierarchy of users, for example, whether different users have different authorisations or levels of access</w:t>
            </w:r>
            <w:r w:rsidR="004A0715">
              <w:t xml:space="preserve">? If there is a hierarchy of users, how do carriers and CSPs tier privileges? </w:t>
            </w:r>
            <w:r>
              <w:t>Should all users in a hierarchy benefit from CDR data sharing or should access be limited in some way?</w:t>
            </w:r>
          </w:p>
          <w:p w14:paraId="5C7FE3AA" w14:textId="0D11C7A4" w:rsidR="002B173C" w:rsidRDefault="0015523B" w:rsidP="00D36CC1">
            <w:pPr>
              <w:pStyle w:val="OutlineNumbered1"/>
              <w:keepLines/>
              <w:ind w:left="522" w:hanging="522"/>
            </w:pPr>
            <w:r>
              <w:lastRenderedPageBreak/>
              <w:t xml:space="preserve">Where </w:t>
            </w:r>
            <w:r w:rsidR="008F739B">
              <w:t xml:space="preserve">account holders </w:t>
            </w:r>
            <w:r>
              <w:t xml:space="preserve">may be able to </w:t>
            </w:r>
            <w:r w:rsidR="008F739B">
              <w:t>access consumer data about third party users of the account</w:t>
            </w:r>
            <w:r>
              <w:t xml:space="preserve"> (for example where an employer is an account holder for an employee’s product or service)</w:t>
            </w:r>
            <w:r w:rsidR="008F739B">
              <w:t xml:space="preserve">, </w:t>
            </w:r>
            <w:r>
              <w:t>should data not be shared in these circumstances</w:t>
            </w:r>
            <w:r w:rsidR="008F739B">
              <w:t xml:space="preserve">? </w:t>
            </w:r>
            <w:r>
              <w:t>If not, how can these types of accounts be excluded?</w:t>
            </w:r>
          </w:p>
        </w:tc>
      </w:tr>
    </w:tbl>
    <w:p w14:paraId="10A6A752" w14:textId="77777777" w:rsidR="002B173C" w:rsidRDefault="002B173C" w:rsidP="00EB3C6F">
      <w:pPr>
        <w:pStyle w:val="Normal-Numberedparagraphs"/>
        <w:numPr>
          <w:ilvl w:val="0"/>
          <w:numId w:val="0"/>
        </w:numPr>
        <w:ind w:left="360" w:hanging="360"/>
      </w:pPr>
    </w:p>
    <w:p w14:paraId="4CE63040" w14:textId="77777777" w:rsidR="00E31070" w:rsidRPr="00E87C42" w:rsidRDefault="00E31070" w:rsidP="00BD6DBA">
      <w:pPr>
        <w:pStyle w:val="Heading3"/>
        <w:rPr>
          <w:b/>
          <w:bCs/>
        </w:rPr>
      </w:pPr>
      <w:bookmarkStart w:id="87" w:name="_Toc96353749"/>
      <w:bookmarkStart w:id="88" w:name="_Hlk93316119"/>
      <w:bookmarkEnd w:id="83"/>
      <w:r w:rsidRPr="00BD6DBA">
        <w:rPr>
          <w:b/>
          <w:bCs/>
          <w:color w:val="auto"/>
        </w:rPr>
        <w:t>Users without online access</w:t>
      </w:r>
      <w:bookmarkEnd w:id="87"/>
    </w:p>
    <w:bookmarkEnd w:id="88"/>
    <w:p w14:paraId="0DA9CFAE" w14:textId="02ACB4C0" w:rsidR="00E27A80" w:rsidRDefault="00E31070" w:rsidP="00E31070">
      <w:pPr>
        <w:pStyle w:val="Normal-Numberedparagraphs"/>
      </w:pPr>
      <w:r>
        <w:t xml:space="preserve">We seek feedback on </w:t>
      </w:r>
      <w:bookmarkStart w:id="89" w:name="_Hlk92973952"/>
      <w:r>
        <w:t xml:space="preserve">whether ‘offline </w:t>
      </w:r>
      <w:r w:rsidR="0026645E">
        <w:t>customers</w:t>
      </w:r>
      <w:r>
        <w:t xml:space="preserve">’ </w:t>
      </w:r>
      <w:r w:rsidR="00E27A80">
        <w:t xml:space="preserve">should be considered eligible CDR consumers, </w:t>
      </w:r>
      <w:r>
        <w:t xml:space="preserve">as </w:t>
      </w:r>
      <w:r w:rsidR="00261D81">
        <w:t>they are in the</w:t>
      </w:r>
      <w:r>
        <w:t xml:space="preserve"> </w:t>
      </w:r>
      <w:r w:rsidR="001F3295">
        <w:t>CDR in the energy sector</w:t>
      </w:r>
      <w:r>
        <w:t xml:space="preserve">. </w:t>
      </w:r>
      <w:r w:rsidR="00261D81">
        <w:t>Only consumers with at least one online account are eligible in the banking sector.</w:t>
      </w:r>
      <w:r>
        <w:t xml:space="preserve"> </w:t>
      </w:r>
      <w:r w:rsidR="00061A58">
        <w:t xml:space="preserve">An ‘offline </w:t>
      </w:r>
      <w:r w:rsidR="00126714">
        <w:t>customer’</w:t>
      </w:r>
      <w:r w:rsidR="00061A58">
        <w:t xml:space="preserve"> </w:t>
      </w:r>
      <w:r w:rsidR="00985FE2">
        <w:t xml:space="preserve">is defined as </w:t>
      </w:r>
      <w:r w:rsidR="00061A58">
        <w:t xml:space="preserve">a </w:t>
      </w:r>
      <w:r w:rsidR="0026645E">
        <w:t>customer</w:t>
      </w:r>
      <w:r w:rsidR="00061A58">
        <w:t xml:space="preserve"> who does not</w:t>
      </w:r>
      <w:r w:rsidR="00E27A80">
        <w:t xml:space="preserve"> have access to</w:t>
      </w:r>
      <w:r w:rsidR="00061A58">
        <w:t xml:space="preserve"> </w:t>
      </w:r>
      <w:r w:rsidR="00E27A80">
        <w:t xml:space="preserve">or has not created an </w:t>
      </w:r>
      <w:r w:rsidR="00061A58">
        <w:t xml:space="preserve">online account. </w:t>
      </w:r>
    </w:p>
    <w:p w14:paraId="3F13D90C" w14:textId="26DA418B" w:rsidR="00E31070" w:rsidRDefault="00310D32" w:rsidP="00AA18E1">
      <w:pPr>
        <w:pStyle w:val="Normal-Numberedparagraphs"/>
      </w:pPr>
      <w:r>
        <w:t xml:space="preserve">For offline </w:t>
      </w:r>
      <w:r w:rsidR="00126714">
        <w:t>customers</w:t>
      </w:r>
      <w:r>
        <w:t xml:space="preserve">, </w:t>
      </w:r>
      <w:r w:rsidR="0067027B">
        <w:t xml:space="preserve">authentication and dashboard requirements </w:t>
      </w:r>
      <w:r w:rsidR="00126714">
        <w:t>could</w:t>
      </w:r>
      <w:r w:rsidR="0067027B">
        <w:t xml:space="preserve"> be </w:t>
      </w:r>
      <w:r w:rsidR="00E27A80">
        <w:t>met by issuing a one</w:t>
      </w:r>
      <w:r w:rsidR="00126714">
        <w:t>-</w:t>
      </w:r>
      <w:r w:rsidR="00E27A80">
        <w:t xml:space="preserve">time password or </w:t>
      </w:r>
      <w:r w:rsidR="001818F4">
        <w:t>facilitating</w:t>
      </w:r>
      <w:r w:rsidR="00E27A80">
        <w:t xml:space="preserve"> offline users to create a</w:t>
      </w:r>
      <w:r w:rsidR="00A505DC">
        <w:t>n online account</w:t>
      </w:r>
      <w:r w:rsidR="0067027B">
        <w:t xml:space="preserve"> if they wish to</w:t>
      </w:r>
      <w:r w:rsidR="00A505DC">
        <w:t xml:space="preserve">. </w:t>
      </w:r>
      <w:bookmarkEnd w:id="89"/>
    </w:p>
    <w:tbl>
      <w:tblPr>
        <w:tblStyle w:val="TableGrid"/>
        <w:tblW w:w="0" w:type="auto"/>
        <w:tblLook w:val="04A0" w:firstRow="1" w:lastRow="0" w:firstColumn="1" w:lastColumn="0" w:noHBand="0" w:noVBand="1"/>
      </w:tblPr>
      <w:tblGrid>
        <w:gridCol w:w="9016"/>
      </w:tblGrid>
      <w:tr w:rsidR="006A6935" w14:paraId="10C99A93" w14:textId="77777777" w:rsidTr="004B10B7">
        <w:tc>
          <w:tcPr>
            <w:tcW w:w="9016" w:type="dxa"/>
            <w:tcBorders>
              <w:top w:val="single" w:sz="4" w:space="0" w:color="auto"/>
              <w:left w:val="single" w:sz="4" w:space="0" w:color="auto"/>
              <w:bottom w:val="single" w:sz="4" w:space="0" w:color="auto"/>
              <w:right w:val="single" w:sz="4" w:space="0" w:color="auto"/>
            </w:tcBorders>
            <w:hideMark/>
          </w:tcPr>
          <w:p w14:paraId="154FCAFB" w14:textId="43254CEB" w:rsidR="006A6935" w:rsidRDefault="001B164F" w:rsidP="004B10B7">
            <w:pPr>
              <w:pStyle w:val="OutlineNumbered1"/>
              <w:numPr>
                <w:ilvl w:val="0"/>
                <w:numId w:val="0"/>
              </w:numPr>
              <w:tabs>
                <w:tab w:val="left" w:pos="720"/>
              </w:tabs>
              <w:ind w:left="520" w:hanging="520"/>
              <w:rPr>
                <w:b/>
                <w:bCs/>
              </w:rPr>
            </w:pPr>
            <w:r>
              <w:rPr>
                <w:b/>
                <w:bCs/>
              </w:rPr>
              <w:t>Rules q</w:t>
            </w:r>
            <w:r w:rsidR="006A6935">
              <w:rPr>
                <w:b/>
                <w:bCs/>
              </w:rPr>
              <w:t>uestion</w:t>
            </w:r>
          </w:p>
          <w:p w14:paraId="714F785E" w14:textId="66A4548E" w:rsidR="006A6935" w:rsidRDefault="00E27A80">
            <w:pPr>
              <w:pStyle w:val="OutlineNumbered1"/>
            </w:pPr>
            <w:r>
              <w:t xml:space="preserve">Should </w:t>
            </w:r>
            <w:r w:rsidR="006A6935">
              <w:t xml:space="preserve">‘offline </w:t>
            </w:r>
            <w:r w:rsidR="0026645E">
              <w:t>customers’</w:t>
            </w:r>
            <w:r w:rsidR="006A6935">
              <w:t xml:space="preserve"> </w:t>
            </w:r>
            <w:r>
              <w:t>(</w:t>
            </w:r>
            <w:proofErr w:type="gramStart"/>
            <w:r w:rsidR="006A6935">
              <w:t>i.e.</w:t>
            </w:r>
            <w:proofErr w:type="gramEnd"/>
            <w:r w:rsidR="006A6935">
              <w:t xml:space="preserve"> </w:t>
            </w:r>
            <w:r w:rsidR="0026645E">
              <w:t>customers</w:t>
            </w:r>
            <w:r w:rsidR="006A6935">
              <w:t xml:space="preserve"> who do not have online access to the relevant account</w:t>
            </w:r>
            <w:r>
              <w:t>) be considered eligible CDR consumers</w:t>
            </w:r>
            <w:r w:rsidR="006A6935">
              <w:t xml:space="preserve">? </w:t>
            </w:r>
          </w:p>
        </w:tc>
      </w:tr>
    </w:tbl>
    <w:p w14:paraId="61031599" w14:textId="77777777" w:rsidR="006A6935" w:rsidRDefault="006A6935" w:rsidP="00EB3C6F">
      <w:pPr>
        <w:pStyle w:val="Normal-Numberedparagraphs"/>
        <w:numPr>
          <w:ilvl w:val="0"/>
          <w:numId w:val="0"/>
        </w:numPr>
        <w:ind w:left="360" w:hanging="360"/>
      </w:pPr>
    </w:p>
    <w:p w14:paraId="4370108B" w14:textId="730861C5" w:rsidR="005051FE" w:rsidRPr="00E87C42" w:rsidRDefault="005051FE" w:rsidP="00BD6DBA">
      <w:pPr>
        <w:pStyle w:val="Heading3"/>
        <w:rPr>
          <w:b/>
          <w:bCs/>
        </w:rPr>
      </w:pPr>
      <w:bookmarkStart w:id="90" w:name="_Toc96353750"/>
      <w:bookmarkStart w:id="91" w:name="_Hlk93316125"/>
      <w:r w:rsidRPr="00BD6DBA">
        <w:rPr>
          <w:b/>
          <w:bCs/>
          <w:color w:val="auto"/>
        </w:rPr>
        <w:t>Enterprise customers</w:t>
      </w:r>
      <w:r w:rsidR="00DB73B5">
        <w:rPr>
          <w:b/>
          <w:bCs/>
          <w:color w:val="auto"/>
        </w:rPr>
        <w:t xml:space="preserve"> interaction with CDR</w:t>
      </w:r>
      <w:bookmarkEnd w:id="90"/>
      <w:r w:rsidR="00DB73B5">
        <w:rPr>
          <w:b/>
          <w:bCs/>
          <w:color w:val="auto"/>
        </w:rPr>
        <w:t xml:space="preserve"> </w:t>
      </w:r>
    </w:p>
    <w:bookmarkEnd w:id="91"/>
    <w:p w14:paraId="4E668E35" w14:textId="5657807D" w:rsidR="00F9295D" w:rsidRDefault="00D840B3">
      <w:pPr>
        <w:pStyle w:val="Normal-Numberedparagraphs"/>
      </w:pPr>
      <w:r>
        <w:t>I</w:t>
      </w:r>
      <w:r w:rsidR="009B2C53">
        <w:t>n the</w:t>
      </w:r>
      <w:r w:rsidR="00F9295D">
        <w:t xml:space="preserve"> enterprise </w:t>
      </w:r>
      <w:r w:rsidR="009B2C53">
        <w:t>segment of the telecommunications market</w:t>
      </w:r>
      <w:r w:rsidR="00F9295D">
        <w:t xml:space="preserve">, there may be </w:t>
      </w:r>
      <w:r w:rsidR="00D567E7">
        <w:t xml:space="preserve">particularly large </w:t>
      </w:r>
      <w:r w:rsidR="00F9295D">
        <w:t xml:space="preserve">customers with highly customised contracts and arrangements that are not </w:t>
      </w:r>
      <w:r w:rsidR="006A0FF2">
        <w:t>referable to</w:t>
      </w:r>
      <w:r w:rsidR="00F9295D">
        <w:t xml:space="preserve"> publicly available </w:t>
      </w:r>
      <w:r w:rsidR="006A0FF2">
        <w:t xml:space="preserve">products </w:t>
      </w:r>
      <w:r w:rsidR="00F9295D">
        <w:t xml:space="preserve">captured under generic product data sharing obligations. </w:t>
      </w:r>
      <w:r w:rsidR="00D567E7">
        <w:t>S</w:t>
      </w:r>
      <w:r w:rsidR="006A0FF2">
        <w:t xml:space="preserve">uch customers may </w:t>
      </w:r>
      <w:r w:rsidR="00D567E7">
        <w:t xml:space="preserve">also </w:t>
      </w:r>
      <w:r w:rsidR="006A0FF2">
        <w:t xml:space="preserve">be unlikely to consider switching to the types of standard products that </w:t>
      </w:r>
      <w:r w:rsidR="00970E1B">
        <w:t>would be</w:t>
      </w:r>
      <w:r w:rsidR="006A0FF2">
        <w:t xml:space="preserve"> available through product reference data sharing.</w:t>
      </w:r>
      <w:r w:rsidR="00F9295D">
        <w:t xml:space="preserve"> </w:t>
      </w:r>
    </w:p>
    <w:p w14:paraId="78C551AA" w14:textId="71CBCF79" w:rsidR="00D567E7" w:rsidRDefault="00970E1B">
      <w:pPr>
        <w:pStyle w:val="Normal-Numberedparagraphs"/>
      </w:pPr>
      <w:r>
        <w:t>With this in mind, we</w:t>
      </w:r>
      <w:r w:rsidR="00D567E7">
        <w:t xml:space="preserve"> welcome feedback on the costs and benefits of facilitating consumer data sharing for</w:t>
      </w:r>
      <w:r w:rsidR="00D840B3">
        <w:t xml:space="preserve"> </w:t>
      </w:r>
      <w:r w:rsidR="00D567E7">
        <w:t xml:space="preserve">large enterprise customers. </w:t>
      </w:r>
      <w:r w:rsidR="00D840B3">
        <w:t>We welcome feedback</w:t>
      </w:r>
      <w:r w:rsidR="00D567E7">
        <w:t xml:space="preserve"> on the extent to which </w:t>
      </w:r>
      <w:r>
        <w:t>this</w:t>
      </w:r>
      <w:r w:rsidR="00D567E7">
        <w:t xml:space="preserve"> </w:t>
      </w:r>
      <w:r>
        <w:t>segment of customers’</w:t>
      </w:r>
      <w:r w:rsidR="00D567E7">
        <w:t xml:space="preserve"> data exists within core operational systems as </w:t>
      </w:r>
      <w:r>
        <w:t>opposed to separate systems</w:t>
      </w:r>
      <w:r w:rsidR="00D840B3">
        <w:t xml:space="preserve"> and </w:t>
      </w:r>
      <w:r>
        <w:t>whether</w:t>
      </w:r>
      <w:r w:rsidR="00D840B3">
        <w:t>,</w:t>
      </w:r>
      <w:r>
        <w:t xml:space="preserve"> from the perspective of </w:t>
      </w:r>
      <w:r w:rsidR="00D840B3">
        <w:t>an accredited retailer or other ADRs</w:t>
      </w:r>
      <w:r>
        <w:t xml:space="preserve">, </w:t>
      </w:r>
      <w:r w:rsidR="00D840B3">
        <w:t>there may be</w:t>
      </w:r>
      <w:r>
        <w:t xml:space="preserve"> benefit </w:t>
      </w:r>
      <w:r w:rsidR="00D840B3">
        <w:t>in</w:t>
      </w:r>
      <w:r>
        <w:t xml:space="preserve"> </w:t>
      </w:r>
      <w:r w:rsidR="00D840B3">
        <w:t>receiving</w:t>
      </w:r>
      <w:r>
        <w:t xml:space="preserve"> consumer data for this cohort to support pricing and </w:t>
      </w:r>
      <w:r w:rsidR="00B25612">
        <w:t>negotiation</w:t>
      </w:r>
      <w:r>
        <w:t xml:space="preserve"> for bespoke products in the future</w:t>
      </w:r>
      <w:r w:rsidR="00D840B3">
        <w:t>, or other use cases</w:t>
      </w:r>
      <w:r>
        <w:t xml:space="preserve">.  </w:t>
      </w:r>
    </w:p>
    <w:p w14:paraId="3DD5A2CB" w14:textId="1AF2CBC0" w:rsidR="001975AB" w:rsidRDefault="008A6304" w:rsidP="00BD6DBA">
      <w:pPr>
        <w:pStyle w:val="Normal-Numberedparagraphs"/>
        <w:numPr>
          <w:ilvl w:val="0"/>
          <w:numId w:val="2"/>
        </w:numPr>
      </w:pPr>
      <w:r>
        <w:t xml:space="preserve">We note that there are already delineations between market segments in the telecommunications sector that could be considered for an eligibility threshold (for example, the Telecommunications Consumer Protections Code distinguishes between consumers that spend more or less than $40,000 on services), </w:t>
      </w:r>
      <w:r w:rsidR="00DB73B5">
        <w:t xml:space="preserve">and </w:t>
      </w:r>
      <w:r>
        <w:t xml:space="preserve">welcome further stakeholder feedback on </w:t>
      </w:r>
      <w:r w:rsidR="00CB33BE">
        <w:t>the issue</w:t>
      </w:r>
      <w:r w:rsidR="00C40E34">
        <w:t>.</w:t>
      </w:r>
    </w:p>
    <w:tbl>
      <w:tblPr>
        <w:tblStyle w:val="TableGrid"/>
        <w:tblW w:w="0" w:type="auto"/>
        <w:tblLook w:val="04A0" w:firstRow="1" w:lastRow="0" w:firstColumn="1" w:lastColumn="0" w:noHBand="0" w:noVBand="1"/>
      </w:tblPr>
      <w:tblGrid>
        <w:gridCol w:w="9016"/>
      </w:tblGrid>
      <w:tr w:rsidR="001975AB" w14:paraId="0775FFF9" w14:textId="77777777" w:rsidTr="004B10B7">
        <w:tc>
          <w:tcPr>
            <w:tcW w:w="9016" w:type="dxa"/>
            <w:tcBorders>
              <w:top w:val="single" w:sz="4" w:space="0" w:color="auto"/>
              <w:left w:val="single" w:sz="4" w:space="0" w:color="auto"/>
              <w:bottom w:val="single" w:sz="4" w:space="0" w:color="auto"/>
              <w:right w:val="single" w:sz="4" w:space="0" w:color="auto"/>
            </w:tcBorders>
            <w:hideMark/>
          </w:tcPr>
          <w:p w14:paraId="4CD49571" w14:textId="72E1221E" w:rsidR="001975AB" w:rsidRDefault="00CF0F1B" w:rsidP="004B10B7">
            <w:pPr>
              <w:pStyle w:val="OutlineNumbered1"/>
              <w:numPr>
                <w:ilvl w:val="0"/>
                <w:numId w:val="0"/>
              </w:numPr>
              <w:tabs>
                <w:tab w:val="left" w:pos="720"/>
              </w:tabs>
              <w:ind w:left="520" w:hanging="520"/>
              <w:rPr>
                <w:b/>
                <w:bCs/>
              </w:rPr>
            </w:pPr>
            <w:r>
              <w:rPr>
                <w:b/>
                <w:bCs/>
              </w:rPr>
              <w:t>Rules q</w:t>
            </w:r>
            <w:r w:rsidR="001975AB">
              <w:rPr>
                <w:b/>
                <w:bCs/>
              </w:rPr>
              <w:t>uestions</w:t>
            </w:r>
          </w:p>
          <w:p w14:paraId="7FFC2720" w14:textId="25FD1CA5" w:rsidR="007D7A0F" w:rsidRDefault="001975AB" w:rsidP="00AF5873">
            <w:pPr>
              <w:pStyle w:val="OutlineNumbered1"/>
            </w:pPr>
            <w:r>
              <w:t xml:space="preserve">Should the definition of eligible consumer </w:t>
            </w:r>
            <w:r w:rsidR="004622EB">
              <w:t xml:space="preserve">for the </w:t>
            </w:r>
            <w:r w:rsidR="001818F4">
              <w:t>telecommunications</w:t>
            </w:r>
            <w:r w:rsidR="004622EB">
              <w:t xml:space="preserve"> sector</w:t>
            </w:r>
            <w:r>
              <w:t xml:space="preserve"> exclude some or all </w:t>
            </w:r>
            <w:r w:rsidR="004622EB">
              <w:t xml:space="preserve">types of </w:t>
            </w:r>
            <w:r>
              <w:t>enterprise customers? If some enterprise customers should be excluded, how should the rules distinguish between eligible and ineligible enterprise customers?</w:t>
            </w:r>
          </w:p>
        </w:tc>
      </w:tr>
    </w:tbl>
    <w:p w14:paraId="28FC4EA9" w14:textId="72C9CEDA" w:rsidR="00AA19C4" w:rsidRPr="00C92AAB" w:rsidRDefault="00EE35FC" w:rsidP="00BD6DBA">
      <w:pPr>
        <w:pStyle w:val="Heading2"/>
        <w:numPr>
          <w:ilvl w:val="1"/>
          <w:numId w:val="7"/>
        </w:numPr>
        <w:tabs>
          <w:tab w:val="num" w:pos="1560"/>
        </w:tabs>
        <w:ind w:left="426" w:hanging="426"/>
        <w:contextualSpacing/>
        <w:rPr>
          <w:color w:val="2E74B5" w:themeColor="accent1" w:themeShade="BF"/>
        </w:rPr>
      </w:pPr>
      <w:bookmarkStart w:id="92" w:name="_Toc93315768"/>
      <w:bookmarkStart w:id="93" w:name="_Toc96353751"/>
      <w:r w:rsidRPr="00C92AAB">
        <w:rPr>
          <w:color w:val="2E74B5" w:themeColor="accent1" w:themeShade="BF"/>
        </w:rPr>
        <w:lastRenderedPageBreak/>
        <w:t xml:space="preserve">Standards </w:t>
      </w:r>
      <w:r w:rsidR="008550DB" w:rsidRPr="00C92AAB">
        <w:rPr>
          <w:color w:val="2E74B5" w:themeColor="accent1" w:themeShade="BF"/>
        </w:rPr>
        <w:t>c</w:t>
      </w:r>
      <w:r w:rsidRPr="00C92AAB">
        <w:rPr>
          <w:color w:val="2E74B5" w:themeColor="accent1" w:themeShade="BF"/>
        </w:rPr>
        <w:t>onsiderations</w:t>
      </w:r>
      <w:bookmarkEnd w:id="92"/>
      <w:bookmarkEnd w:id="93"/>
      <w:r w:rsidR="00BB311B" w:rsidRPr="00C92AAB">
        <w:rPr>
          <w:color w:val="2E74B5" w:themeColor="accent1" w:themeShade="BF"/>
        </w:rPr>
        <w:t xml:space="preserve"> </w:t>
      </w:r>
    </w:p>
    <w:p w14:paraId="28C2CCDD" w14:textId="4AFD6436" w:rsidR="00EE35FC" w:rsidRPr="006F7169" w:rsidRDefault="00EE35FC" w:rsidP="00EE35FC">
      <w:pPr>
        <w:pStyle w:val="Heading3"/>
        <w:rPr>
          <w:b/>
          <w:bCs/>
          <w:color w:val="auto"/>
        </w:rPr>
      </w:pPr>
      <w:bookmarkStart w:id="94" w:name="_Toc93315769"/>
      <w:bookmarkStart w:id="95" w:name="_Toc96353752"/>
      <w:r w:rsidRPr="00C92AAB">
        <w:rPr>
          <w:b/>
          <w:color w:val="auto"/>
        </w:rPr>
        <w:t xml:space="preserve">Technical </w:t>
      </w:r>
      <w:r w:rsidR="005C723B" w:rsidRPr="00C92AAB">
        <w:rPr>
          <w:b/>
          <w:color w:val="auto"/>
        </w:rPr>
        <w:t>st</w:t>
      </w:r>
      <w:r w:rsidRPr="00C92AAB">
        <w:rPr>
          <w:b/>
          <w:color w:val="auto"/>
        </w:rPr>
        <w:t xml:space="preserve">andards </w:t>
      </w:r>
      <w:r w:rsidR="005C723B" w:rsidRPr="00C92AAB">
        <w:rPr>
          <w:b/>
          <w:color w:val="auto"/>
        </w:rPr>
        <w:t>c</w:t>
      </w:r>
      <w:r w:rsidRPr="00C92AAB">
        <w:rPr>
          <w:b/>
          <w:color w:val="auto"/>
        </w:rPr>
        <w:t>onsiderations</w:t>
      </w:r>
      <w:bookmarkEnd w:id="94"/>
      <w:bookmarkEnd w:id="95"/>
    </w:p>
    <w:p w14:paraId="50EE263B" w14:textId="2D1653EC" w:rsidR="000C10BF" w:rsidRDefault="000B45D8" w:rsidP="008D6394">
      <w:pPr>
        <w:pStyle w:val="Normal-Numberedparagraphs"/>
      </w:pPr>
      <w:r>
        <w:t xml:space="preserve">We </w:t>
      </w:r>
      <w:r w:rsidR="00BB04D7">
        <w:t>seek</w:t>
      </w:r>
      <w:r>
        <w:t xml:space="preserve"> feedback on the strength of identity verification </w:t>
      </w:r>
      <w:r w:rsidR="00BE3C61">
        <w:t>(such as 100 point</w:t>
      </w:r>
      <w:r w:rsidR="00144A66">
        <w:t>s</w:t>
      </w:r>
      <w:r w:rsidR="00BE3C61">
        <w:t xml:space="preserve"> </w:t>
      </w:r>
      <w:r w:rsidR="00144A66">
        <w:t xml:space="preserve">identification </w:t>
      </w:r>
      <w:r w:rsidR="00BE3C61">
        <w:t xml:space="preserve">check) </w:t>
      </w:r>
      <w:r w:rsidR="00C13CBB">
        <w:t>and authentication</w:t>
      </w:r>
      <w:r w:rsidR="00BE3C61">
        <w:t xml:space="preserve"> (such as</w:t>
      </w:r>
      <w:r w:rsidR="0048275D">
        <w:t xml:space="preserve"> one-time password (</w:t>
      </w:r>
      <w:r w:rsidR="00BE3C61" w:rsidRPr="00162DE5">
        <w:rPr>
          <w:b/>
        </w:rPr>
        <w:t>OTP</w:t>
      </w:r>
      <w:r w:rsidR="0048275D">
        <w:t>)</w:t>
      </w:r>
      <w:r w:rsidR="00BE3C61" w:rsidRPr="00162DE5">
        <w:t xml:space="preserve"> </w:t>
      </w:r>
      <w:r w:rsidR="00BE3C61">
        <w:t xml:space="preserve">as </w:t>
      </w:r>
      <w:r w:rsidR="00BE3C61" w:rsidRPr="005519EC">
        <w:t>part of the authorisation</w:t>
      </w:r>
      <w:r w:rsidR="006F224C">
        <w:t xml:space="preserve"> and</w:t>
      </w:r>
      <w:r w:rsidR="00BE3C61" w:rsidRPr="005519EC">
        <w:t xml:space="preserve"> consent process</w:t>
      </w:r>
      <w:r w:rsidR="00BE3C61">
        <w:t xml:space="preserve">) </w:t>
      </w:r>
      <w:r>
        <w:t xml:space="preserve">in the sector in relation to primary and secondary </w:t>
      </w:r>
      <w:r w:rsidR="00B62D1D">
        <w:t>user for CDR data sharing purposes</w:t>
      </w:r>
      <w:r>
        <w:t xml:space="preserve">. </w:t>
      </w:r>
      <w:r w:rsidR="008732E7">
        <w:t>We also seek feedback on the existing types of permissions for joint accounts or services and how they are managed over time</w:t>
      </w:r>
      <w:r w:rsidR="00C13CBB">
        <w:t xml:space="preserve"> as well as </w:t>
      </w:r>
      <w:r w:rsidR="00BB04D7">
        <w:t>any further considerations for consumer dashboards that are not addressed by the consumer account structures identified above.</w:t>
      </w:r>
    </w:p>
    <w:p w14:paraId="7A426BB0" w14:textId="6CACB5CF" w:rsidR="008D6394" w:rsidRDefault="000C10BF" w:rsidP="008D6394">
      <w:pPr>
        <w:pStyle w:val="Normal-Numberedparagraphs"/>
      </w:pPr>
      <w:r>
        <w:t xml:space="preserve">The standards considerations for eligible CDR consumers are largely captured by the consumer experience considerations below. </w:t>
      </w:r>
    </w:p>
    <w:p w14:paraId="0931AF0E" w14:textId="50418AA1" w:rsidR="00EE35FC" w:rsidRPr="000F6188" w:rsidRDefault="00EE35FC" w:rsidP="00EE35FC">
      <w:pPr>
        <w:pStyle w:val="Heading3"/>
        <w:rPr>
          <w:b/>
          <w:bCs/>
          <w:color w:val="auto"/>
        </w:rPr>
      </w:pPr>
      <w:bookmarkStart w:id="96" w:name="_Toc93315770"/>
      <w:bookmarkStart w:id="97" w:name="_Toc96353753"/>
      <w:r w:rsidRPr="00BD6DBA">
        <w:rPr>
          <w:b/>
          <w:color w:val="auto"/>
        </w:rPr>
        <w:t xml:space="preserve">Consumer </w:t>
      </w:r>
      <w:r w:rsidR="00DB29D7" w:rsidRPr="00BD6DBA">
        <w:rPr>
          <w:b/>
          <w:color w:val="auto"/>
        </w:rPr>
        <w:t>e</w:t>
      </w:r>
      <w:r w:rsidRPr="00BD6DBA">
        <w:rPr>
          <w:b/>
          <w:color w:val="auto"/>
        </w:rPr>
        <w:t xml:space="preserve">xperience </w:t>
      </w:r>
      <w:r w:rsidR="00DB29D7" w:rsidRPr="00BD6DBA">
        <w:rPr>
          <w:b/>
          <w:color w:val="auto"/>
        </w:rPr>
        <w:t>c</w:t>
      </w:r>
      <w:r w:rsidRPr="00BD6DBA">
        <w:rPr>
          <w:b/>
          <w:color w:val="auto"/>
        </w:rPr>
        <w:t>onsideration</w:t>
      </w:r>
      <w:r w:rsidR="00C92AAB" w:rsidRPr="00BD6DBA">
        <w:rPr>
          <w:b/>
          <w:bCs/>
          <w:color w:val="auto"/>
        </w:rPr>
        <w:t>s</w:t>
      </w:r>
      <w:bookmarkEnd w:id="96"/>
      <w:bookmarkEnd w:id="97"/>
    </w:p>
    <w:p w14:paraId="7D401F00" w14:textId="77777777" w:rsidR="00D94BEC" w:rsidRDefault="00D94BEC" w:rsidP="00D94BEC">
      <w:pPr>
        <w:pStyle w:val="Normal-Numberedparagraphs"/>
      </w:pPr>
      <w:proofErr w:type="gramStart"/>
      <w:r>
        <w:t>A number of</w:t>
      </w:r>
      <w:proofErr w:type="gramEnd"/>
      <w:r>
        <w:t xml:space="preserve"> existing CX standards deal with different consumer and account types. These specific issues relate to the data holder space and include:</w:t>
      </w:r>
    </w:p>
    <w:p w14:paraId="1FF24707" w14:textId="3B5CA91E" w:rsidR="00D94BEC" w:rsidRDefault="00897F53" w:rsidP="00D36CC1">
      <w:pPr>
        <w:pStyle w:val="Normal-Numberedparagraphs"/>
        <w:numPr>
          <w:ilvl w:val="0"/>
          <w:numId w:val="101"/>
        </w:numPr>
        <w:suppressAutoHyphens/>
        <w:spacing w:line="256" w:lineRule="auto"/>
        <w:ind w:left="1134"/>
      </w:pPr>
      <w:hyperlink r:id="rId38" w:anchor="authentication-standards" w:history="1">
        <w:r w:rsidR="00D94BEC">
          <w:rPr>
            <w:rStyle w:val="Hyperlink"/>
          </w:rPr>
          <w:t>Authentication standards</w:t>
        </w:r>
      </w:hyperlink>
      <w:r w:rsidR="00D94BEC">
        <w:t xml:space="preserve">, which work in conjunction with the </w:t>
      </w:r>
      <w:hyperlink r:id="rId39" w:anchor="authentication-flows" w:history="1">
        <w:r w:rsidR="00D94BEC">
          <w:rPr>
            <w:rStyle w:val="Hyperlink"/>
          </w:rPr>
          <w:t>Security Profile</w:t>
        </w:r>
      </w:hyperlink>
      <w:r w:rsidR="00D94BEC">
        <w:t xml:space="preserve"> and require a unique user identifier and </w:t>
      </w:r>
      <w:r w:rsidR="0064619C">
        <w:t xml:space="preserve">OTP </w:t>
      </w:r>
      <w:r w:rsidR="00D94BEC">
        <w:t>to be used for authentication purposes, including by account holders, secondary users, and nominated representatives</w:t>
      </w:r>
      <w:r w:rsidR="006054C9">
        <w:t>;</w:t>
      </w:r>
    </w:p>
    <w:p w14:paraId="2C9B8D1E" w14:textId="77777777" w:rsidR="00D94BEC" w:rsidRDefault="00897F53" w:rsidP="00D36CC1">
      <w:pPr>
        <w:pStyle w:val="Normal-Numberedparagraphs"/>
        <w:numPr>
          <w:ilvl w:val="0"/>
          <w:numId w:val="101"/>
        </w:numPr>
        <w:suppressAutoHyphens/>
        <w:spacing w:line="256" w:lineRule="auto"/>
        <w:ind w:left="1134"/>
      </w:pPr>
      <w:hyperlink r:id="rId40" w:anchor="authorisation-standards" w:history="1">
        <w:r w:rsidR="00D94BEC">
          <w:rPr>
            <w:rStyle w:val="Hyperlink"/>
          </w:rPr>
          <w:t>Authorisation standards</w:t>
        </w:r>
      </w:hyperlink>
      <w:r w:rsidR="00D94BEC">
        <w:t>, which allows data holders to:</w:t>
      </w:r>
    </w:p>
    <w:p w14:paraId="66818CDD" w14:textId="773A28BE" w:rsidR="00D94BEC" w:rsidRDefault="00D94BEC" w:rsidP="00EB3C6F">
      <w:pPr>
        <w:pStyle w:val="Normal-Numberedparagraphs"/>
        <w:numPr>
          <w:ilvl w:val="2"/>
          <w:numId w:val="2"/>
        </w:numPr>
        <w:suppressAutoHyphens/>
        <w:spacing w:line="256" w:lineRule="auto"/>
        <w:ind w:left="1560"/>
      </w:pPr>
      <w:r>
        <w:t xml:space="preserve">Offer a profile selection step to support scenarios where a single identifier provides access to different customer accounts, such as business and individual consumer </w:t>
      </w:r>
      <w:proofErr w:type="gramStart"/>
      <w:r>
        <w:t>accounts</w:t>
      </w:r>
      <w:r w:rsidR="006054C9">
        <w:t>;</w:t>
      </w:r>
      <w:proofErr w:type="gramEnd"/>
    </w:p>
    <w:p w14:paraId="1305F9BE" w14:textId="0D39F983" w:rsidR="00D94BEC" w:rsidRDefault="00D94BEC" w:rsidP="00EB3C6F">
      <w:pPr>
        <w:pStyle w:val="Normal-Numberedparagraphs"/>
        <w:numPr>
          <w:ilvl w:val="2"/>
          <w:numId w:val="2"/>
        </w:numPr>
        <w:suppressAutoHyphens/>
        <w:spacing w:line="256" w:lineRule="auto"/>
        <w:ind w:left="1560"/>
      </w:pPr>
      <w:r>
        <w:t xml:space="preserve">Allow consumers to select which accounts they would like to share data from, and provide additional information where an account may not be </w:t>
      </w:r>
      <w:proofErr w:type="gramStart"/>
      <w:r>
        <w:t>shareable</w:t>
      </w:r>
      <w:r w:rsidR="006054C9">
        <w:t>;</w:t>
      </w:r>
      <w:proofErr w:type="gramEnd"/>
    </w:p>
    <w:p w14:paraId="674AA060" w14:textId="233CC457" w:rsidR="00D94BEC" w:rsidRDefault="00897F53" w:rsidP="00D36CC1">
      <w:pPr>
        <w:pStyle w:val="Normal-Numberedparagraphs"/>
        <w:numPr>
          <w:ilvl w:val="0"/>
          <w:numId w:val="101"/>
        </w:numPr>
        <w:suppressAutoHyphens/>
        <w:spacing w:line="256" w:lineRule="auto"/>
        <w:ind w:left="1134"/>
      </w:pPr>
      <w:hyperlink r:id="rId41" w:anchor="notification-standards" w:history="1">
        <w:r w:rsidR="00D94BEC">
          <w:rPr>
            <w:rStyle w:val="Hyperlink"/>
          </w:rPr>
          <w:t>Notification standards</w:t>
        </w:r>
      </w:hyperlink>
      <w:r w:rsidR="00D94BEC">
        <w:t xml:space="preserve"> for joint accounts</w:t>
      </w:r>
      <w:r w:rsidR="006054C9">
        <w:t>; and</w:t>
      </w:r>
    </w:p>
    <w:p w14:paraId="34F75F1D" w14:textId="6D44F700" w:rsidR="00D94BEC" w:rsidRDefault="00897F53" w:rsidP="00D36CC1">
      <w:pPr>
        <w:pStyle w:val="Normal-Numberedparagraphs"/>
        <w:numPr>
          <w:ilvl w:val="0"/>
          <w:numId w:val="101"/>
        </w:numPr>
        <w:suppressAutoHyphens/>
        <w:spacing w:line="256" w:lineRule="auto"/>
        <w:ind w:left="1134"/>
      </w:pPr>
      <w:hyperlink r:id="rId42" w:anchor="withdrawal-standards" w:history="1">
        <w:r w:rsidR="00D94BEC">
          <w:rPr>
            <w:rStyle w:val="Hyperlink"/>
          </w:rPr>
          <w:t>Withdrawal standards</w:t>
        </w:r>
      </w:hyperlink>
      <w:r w:rsidR="00D94BEC">
        <w:t>, which include messaging standards relating to joint accounts and secondary users</w:t>
      </w:r>
      <w:r w:rsidR="006054C9">
        <w:t>.</w:t>
      </w:r>
    </w:p>
    <w:p w14:paraId="1108A604" w14:textId="77777777" w:rsidR="00D94BEC" w:rsidRDefault="00897F53" w:rsidP="00D94BEC">
      <w:pPr>
        <w:pStyle w:val="Normal-Numberedparagraphs"/>
      </w:pPr>
      <w:hyperlink r:id="rId43" w:history="1">
        <w:r w:rsidR="00D94BEC">
          <w:rPr>
            <w:rStyle w:val="Hyperlink"/>
          </w:rPr>
          <w:t>CX guidelines</w:t>
        </w:r>
      </w:hyperlink>
      <w:r w:rsidR="00D94BEC">
        <w:t xml:space="preserve"> exist to accompany the above standards and provide examples for a range of scenarios, including permissible implementations that may be required due to customer segment or sectoral differences.</w:t>
      </w:r>
    </w:p>
    <w:p w14:paraId="783275F1" w14:textId="6A512312" w:rsidR="00AA19C4" w:rsidRDefault="00D94BEC" w:rsidP="00BD6DBA">
      <w:pPr>
        <w:pStyle w:val="Normal-Numberedparagraphs"/>
      </w:pPr>
      <w:r>
        <w:t xml:space="preserve">Sectoral differences may include lower digital adoption, varying authentication practices and credential use, and the structuring of accounts, plans, or services that may result in alternate data segmentation and data subjects. Wireframes are provided to note where these issues may arise, and feedback is invited to highlight where sectoral differences may exist that will impact the consumer experience, including successful authentication and data sharing, consumer control, and consent management. </w:t>
      </w:r>
      <w:r w:rsidR="0056637E">
        <w:t xml:space="preserve">These wireframes can be found online, see </w:t>
      </w:r>
      <w:hyperlink r:id="rId44" w:history="1">
        <w:proofErr w:type="spellStart"/>
        <w:r w:rsidR="0056637E" w:rsidRPr="00A10C25">
          <w:rPr>
            <w:rStyle w:val="Hyperlink"/>
          </w:rPr>
          <w:t>Miro</w:t>
        </w:r>
      </w:hyperlink>
      <w:r w:rsidR="00511F8D">
        <w:t>|</w:t>
      </w:r>
      <w:hyperlink r:id="rId45" w:history="1">
        <w:r w:rsidR="00511F8D" w:rsidRPr="00A10C25">
          <w:rPr>
            <w:rStyle w:val="Hyperlink"/>
          </w:rPr>
          <w:t>PDF</w:t>
        </w:r>
        <w:proofErr w:type="spellEnd"/>
        <w:r w:rsidR="00511F8D" w:rsidRPr="00A10C25">
          <w:rPr>
            <w:rStyle w:val="Hyperlink"/>
          </w:rPr>
          <w:t xml:space="preserve"> p</w:t>
        </w:r>
        <w:r w:rsidR="00511F8D">
          <w:rPr>
            <w:rStyle w:val="Hyperlink"/>
          </w:rPr>
          <w:t xml:space="preserve">age </w:t>
        </w:r>
        <w:r w:rsidR="00511F8D" w:rsidRPr="00A10C25">
          <w:rPr>
            <w:rStyle w:val="Hyperlink"/>
          </w:rPr>
          <w:t>2</w:t>
        </w:r>
      </w:hyperlink>
      <w:r w:rsidR="00511F8D">
        <w:t xml:space="preserve">, along with an </w:t>
      </w:r>
      <w:hyperlink r:id="rId46" w:history="1">
        <w:r w:rsidR="0056637E" w:rsidRPr="00A10C25">
          <w:rPr>
            <w:rStyle w:val="Hyperlink"/>
          </w:rPr>
          <w:t>interactive prototype</w:t>
        </w:r>
      </w:hyperlink>
      <w:r w:rsidR="0056637E">
        <w:t>.</w:t>
      </w:r>
    </w:p>
    <w:tbl>
      <w:tblPr>
        <w:tblStyle w:val="TableGrid"/>
        <w:tblW w:w="0" w:type="auto"/>
        <w:tblLook w:val="04A0" w:firstRow="1" w:lastRow="0" w:firstColumn="1" w:lastColumn="0" w:noHBand="0" w:noVBand="1"/>
      </w:tblPr>
      <w:tblGrid>
        <w:gridCol w:w="9016"/>
      </w:tblGrid>
      <w:tr w:rsidR="00212327" w14:paraId="6B064307" w14:textId="77777777" w:rsidTr="00EF39D1">
        <w:tc>
          <w:tcPr>
            <w:tcW w:w="9016" w:type="dxa"/>
            <w:tcBorders>
              <w:top w:val="single" w:sz="4" w:space="0" w:color="auto"/>
              <w:left w:val="single" w:sz="4" w:space="0" w:color="auto"/>
              <w:bottom w:val="single" w:sz="4" w:space="0" w:color="auto"/>
              <w:right w:val="single" w:sz="4" w:space="0" w:color="auto"/>
            </w:tcBorders>
            <w:hideMark/>
          </w:tcPr>
          <w:p w14:paraId="2CCA3DC1" w14:textId="6CD0C095" w:rsidR="00212327" w:rsidRDefault="00CF0F1B" w:rsidP="001E5080">
            <w:pPr>
              <w:pStyle w:val="OutlineNumbered1"/>
              <w:keepNext/>
              <w:numPr>
                <w:ilvl w:val="0"/>
                <w:numId w:val="0"/>
              </w:numPr>
              <w:tabs>
                <w:tab w:val="left" w:pos="720"/>
              </w:tabs>
              <w:ind w:left="522" w:hanging="522"/>
              <w:rPr>
                <w:b/>
                <w:bCs/>
              </w:rPr>
            </w:pPr>
            <w:r>
              <w:rPr>
                <w:b/>
                <w:bCs/>
              </w:rPr>
              <w:lastRenderedPageBreak/>
              <w:t>Standards q</w:t>
            </w:r>
            <w:r w:rsidR="00212327">
              <w:rPr>
                <w:b/>
                <w:bCs/>
              </w:rPr>
              <w:t>uestions</w:t>
            </w:r>
          </w:p>
          <w:p w14:paraId="43D85AA1" w14:textId="1F79086C" w:rsidR="00DB3BE5" w:rsidRDefault="00DB3BE5" w:rsidP="00DB3BE5">
            <w:pPr>
              <w:pStyle w:val="OutlineNumbered1"/>
            </w:pPr>
            <w:r>
              <w:t xml:space="preserve">Are the existing verification and authentication mechanisms in the telecommunications sector strong enough to protect primary and secondary </w:t>
            </w:r>
            <w:r w:rsidR="0064619C">
              <w:t>users for CDR data sharing purposes</w:t>
            </w:r>
            <w:r>
              <w:t xml:space="preserve">? </w:t>
            </w:r>
          </w:p>
          <w:p w14:paraId="2717945E" w14:textId="0144C71E" w:rsidR="00DB3BE5" w:rsidRDefault="00DB3BE5" w:rsidP="00DB3BE5">
            <w:pPr>
              <w:pStyle w:val="OutlineNumbered1"/>
            </w:pPr>
            <w:r>
              <w:t xml:space="preserve">What are the </w:t>
            </w:r>
            <w:r w:rsidRPr="00DB3BE5">
              <w:t>existing types of permissions for joint</w:t>
            </w:r>
            <w:r w:rsidR="0064619C">
              <w:t xml:space="preserve"> </w:t>
            </w:r>
            <w:r w:rsidRPr="00DB3BE5">
              <w:t xml:space="preserve">accounts or services and how </w:t>
            </w:r>
            <w:r>
              <w:t xml:space="preserve">are they </w:t>
            </w:r>
            <w:r w:rsidRPr="00DB3BE5">
              <w:t>managed over time</w:t>
            </w:r>
            <w:r>
              <w:t>?</w:t>
            </w:r>
          </w:p>
          <w:p w14:paraId="11D672FE" w14:textId="547385C6" w:rsidR="00212327" w:rsidRDefault="00DB3BE5">
            <w:pPr>
              <w:pStyle w:val="OutlineNumbered1"/>
            </w:pPr>
            <w:r>
              <w:t xml:space="preserve">Do you have any feedback or further considerations </w:t>
            </w:r>
            <w:r w:rsidR="0064619C">
              <w:t xml:space="preserve">specific to the telecommunications sector in relation to </w:t>
            </w:r>
            <w:r>
              <w:t xml:space="preserve">consumer dashboards? </w:t>
            </w:r>
          </w:p>
        </w:tc>
      </w:tr>
    </w:tbl>
    <w:p w14:paraId="12C011A0" w14:textId="05E8212A" w:rsidR="00DC284D" w:rsidRDefault="00DC284D">
      <w:pPr>
        <w:pStyle w:val="Normal-Numberedparagraphs"/>
        <w:numPr>
          <w:ilvl w:val="0"/>
          <w:numId w:val="0"/>
        </w:numPr>
      </w:pPr>
    </w:p>
    <w:p w14:paraId="00AAC2AE" w14:textId="77777777" w:rsidR="003328F1" w:rsidRDefault="003328F1">
      <w:pPr>
        <w:spacing w:after="160"/>
        <w:rPr>
          <w:rFonts w:asciiTheme="majorHAnsi" w:eastAsiaTheme="majorEastAsia" w:hAnsiTheme="majorHAnsi" w:cstheme="majorBidi"/>
          <w:b/>
          <w:color w:val="2E74B5" w:themeColor="accent1" w:themeShade="BF"/>
          <w:sz w:val="32"/>
          <w:szCs w:val="32"/>
        </w:rPr>
      </w:pPr>
      <w:bookmarkStart w:id="98" w:name="_Toc93315772"/>
      <w:r>
        <w:br w:type="page"/>
      </w:r>
    </w:p>
    <w:p w14:paraId="654B2E00" w14:textId="5794C086" w:rsidR="00D06B19" w:rsidRPr="007347F2" w:rsidRDefault="003A0A1A" w:rsidP="00354EF7">
      <w:pPr>
        <w:pStyle w:val="Heading1"/>
        <w:numPr>
          <w:ilvl w:val="0"/>
          <w:numId w:val="7"/>
        </w:numPr>
      </w:pPr>
      <w:bookmarkStart w:id="99" w:name="_Toc96353754"/>
      <w:r>
        <w:lastRenderedPageBreak/>
        <w:t xml:space="preserve">Other </w:t>
      </w:r>
      <w:r w:rsidR="000E633C">
        <w:t xml:space="preserve">design </w:t>
      </w:r>
      <w:r>
        <w:t xml:space="preserve">issues </w:t>
      </w:r>
      <w:r w:rsidR="000E633C">
        <w:t xml:space="preserve">for the </w:t>
      </w:r>
      <w:r w:rsidR="000F6188">
        <w:t>telecommunications</w:t>
      </w:r>
      <w:r w:rsidR="000E633C">
        <w:t xml:space="preserve"> sector</w:t>
      </w:r>
      <w:bookmarkEnd w:id="98"/>
      <w:bookmarkEnd w:id="99"/>
    </w:p>
    <w:p w14:paraId="5DEFBC3B" w14:textId="77777777" w:rsidR="00D06B19" w:rsidRPr="00B57C2C" w:rsidRDefault="00D06B19" w:rsidP="00BD6DBA">
      <w:pPr>
        <w:pStyle w:val="Heading2"/>
        <w:numPr>
          <w:ilvl w:val="1"/>
          <w:numId w:val="7"/>
        </w:numPr>
        <w:tabs>
          <w:tab w:val="num" w:pos="1560"/>
        </w:tabs>
        <w:ind w:left="426" w:hanging="426"/>
        <w:contextualSpacing/>
        <w:rPr>
          <w:color w:val="2E74B5" w:themeColor="accent1" w:themeShade="BF"/>
        </w:rPr>
      </w:pPr>
      <w:bookmarkStart w:id="100" w:name="_Toc94692567"/>
      <w:bookmarkStart w:id="101" w:name="_Toc94712959"/>
      <w:bookmarkStart w:id="102" w:name="_Toc94713884"/>
      <w:bookmarkStart w:id="103" w:name="_Toc94797433"/>
      <w:bookmarkStart w:id="104" w:name="_Toc94692568"/>
      <w:bookmarkStart w:id="105" w:name="_Toc94712960"/>
      <w:bookmarkStart w:id="106" w:name="_Toc94713885"/>
      <w:bookmarkStart w:id="107" w:name="_Toc94797434"/>
      <w:bookmarkStart w:id="108" w:name="_Toc94692569"/>
      <w:bookmarkStart w:id="109" w:name="_Toc94712961"/>
      <w:bookmarkStart w:id="110" w:name="_Toc94713886"/>
      <w:bookmarkStart w:id="111" w:name="_Toc94797435"/>
      <w:bookmarkStart w:id="112" w:name="_Toc94692570"/>
      <w:bookmarkStart w:id="113" w:name="_Toc94712962"/>
      <w:bookmarkStart w:id="114" w:name="_Toc94713887"/>
      <w:bookmarkStart w:id="115" w:name="_Toc94797436"/>
      <w:bookmarkStart w:id="116" w:name="_Toc94692572"/>
      <w:bookmarkStart w:id="117" w:name="_Toc94712964"/>
      <w:bookmarkStart w:id="118" w:name="_Toc94713889"/>
      <w:bookmarkStart w:id="119" w:name="_Toc94797438"/>
      <w:bookmarkStart w:id="120" w:name="_Toc93315774"/>
      <w:bookmarkStart w:id="121" w:name="_Toc96353755"/>
      <w:bookmarkStart w:id="122" w:name="_Hlk9461010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B57C2C">
        <w:rPr>
          <w:color w:val="2E74B5" w:themeColor="accent1" w:themeShade="BF"/>
        </w:rPr>
        <w:t xml:space="preserve">Rules </w:t>
      </w:r>
      <w:r>
        <w:rPr>
          <w:color w:val="2E74B5" w:themeColor="accent1" w:themeShade="BF"/>
        </w:rPr>
        <w:t>c</w:t>
      </w:r>
      <w:r w:rsidRPr="00B57C2C">
        <w:rPr>
          <w:color w:val="2E74B5" w:themeColor="accent1" w:themeShade="BF"/>
        </w:rPr>
        <w:t>onsiderations</w:t>
      </w:r>
      <w:bookmarkEnd w:id="120"/>
      <w:bookmarkEnd w:id="121"/>
    </w:p>
    <w:p w14:paraId="3B4FEB44" w14:textId="77777777" w:rsidR="00E60AFD" w:rsidRPr="006F7169" w:rsidRDefault="00E60AFD" w:rsidP="00E60AFD">
      <w:pPr>
        <w:pStyle w:val="Heading3"/>
        <w:rPr>
          <w:b/>
          <w:bCs/>
          <w:color w:val="auto"/>
        </w:rPr>
      </w:pPr>
      <w:bookmarkStart w:id="123" w:name="_Toc93315776"/>
      <w:bookmarkStart w:id="124" w:name="_Toc96353756"/>
      <w:r w:rsidRPr="006F7169">
        <w:rPr>
          <w:b/>
          <w:bCs/>
          <w:color w:val="auto"/>
        </w:rPr>
        <w:t>White labelled products</w:t>
      </w:r>
      <w:bookmarkEnd w:id="123"/>
      <w:bookmarkEnd w:id="124"/>
    </w:p>
    <w:p w14:paraId="64CA7570" w14:textId="59C31D14" w:rsidR="00037FE5" w:rsidRDefault="00037FE5">
      <w:pPr>
        <w:pStyle w:val="Normal-Numberedparagraphs"/>
      </w:pPr>
      <w:r>
        <w:t xml:space="preserve">White labelled products are </w:t>
      </w:r>
      <w:r w:rsidRPr="00B11116">
        <w:t>typically supplied by one entity (a white labeller) and branded and retailed to consumers by another entity (a brand owner).</w:t>
      </w:r>
      <w:r>
        <w:t xml:space="preserve"> White labelled products exist in the telecommunications sector where c</w:t>
      </w:r>
      <w:r w:rsidRPr="00FD2B41">
        <w:t xml:space="preserve">onsumer data </w:t>
      </w:r>
      <w:r>
        <w:t>may</w:t>
      </w:r>
      <w:r w:rsidRPr="00FD2B41">
        <w:t xml:space="preserve"> </w:t>
      </w:r>
      <w:r>
        <w:t>be</w:t>
      </w:r>
      <w:r w:rsidRPr="00FD2B41">
        <w:t xml:space="preserve"> held by two </w:t>
      </w:r>
      <w:r>
        <w:t>CSPs</w:t>
      </w:r>
      <w:r w:rsidRPr="00FD2B41">
        <w:t>, one being a brand owner and another a network provider/white labeller.</w:t>
      </w:r>
    </w:p>
    <w:p w14:paraId="2D3F7823" w14:textId="6B29023C" w:rsidR="005C1ADD" w:rsidRDefault="005C1ADD">
      <w:pPr>
        <w:pStyle w:val="Normal-Numberedparagraphs"/>
      </w:pPr>
      <w:r>
        <w:t>The existing approach to sharing data for white labelled products</w:t>
      </w:r>
      <w:r w:rsidR="006E029F">
        <w:t xml:space="preserve"> under the CDR</w:t>
      </w:r>
      <w:r>
        <w:t xml:space="preserve"> is broadly:</w:t>
      </w:r>
    </w:p>
    <w:p w14:paraId="23A9DC65" w14:textId="6C540A86" w:rsidR="005C1ADD" w:rsidRPr="005C1ADD" w:rsidRDefault="005C1ADD" w:rsidP="005C1ADD">
      <w:pPr>
        <w:pStyle w:val="Normal-Numberedparagraphs"/>
        <w:numPr>
          <w:ilvl w:val="0"/>
          <w:numId w:val="0"/>
        </w:numPr>
        <w:ind w:left="1080"/>
        <w:rPr>
          <w:i/>
          <w:iCs/>
        </w:rPr>
      </w:pPr>
      <w:r>
        <w:rPr>
          <w:i/>
          <w:iCs/>
        </w:rPr>
        <w:t xml:space="preserve">Product data sharing </w:t>
      </w:r>
    </w:p>
    <w:p w14:paraId="18DB3559" w14:textId="2789C0FA" w:rsidR="005C1ADD" w:rsidRDefault="005C1ADD" w:rsidP="00EB3C6F">
      <w:pPr>
        <w:pStyle w:val="Normal-Numberedparagraphs"/>
        <w:numPr>
          <w:ilvl w:val="0"/>
          <w:numId w:val="128"/>
        </w:numPr>
        <w:ind w:left="1134"/>
      </w:pPr>
      <w:r w:rsidRPr="005C1ADD">
        <w:t xml:space="preserve">Where there is a single data holder involved in providing a white label product (whether that </w:t>
      </w:r>
      <w:r w:rsidR="005C599F">
        <w:t xml:space="preserve">is the </w:t>
      </w:r>
      <w:r w:rsidRPr="005C1ADD">
        <w:t xml:space="preserve">white labeller or the </w:t>
      </w:r>
      <w:r w:rsidR="005C599F">
        <w:t>brand owner</w:t>
      </w:r>
      <w:r w:rsidRPr="005C1ADD">
        <w:t xml:space="preserve">), the data holder </w:t>
      </w:r>
      <w:r>
        <w:t>must</w:t>
      </w:r>
      <w:r w:rsidRPr="005C1ADD">
        <w:t xml:space="preserve"> respond to product data requests in relation to the product.</w:t>
      </w:r>
    </w:p>
    <w:p w14:paraId="133C9F9F" w14:textId="5452AF1A" w:rsidR="005C1ADD" w:rsidRPr="005C1ADD" w:rsidRDefault="005C1ADD" w:rsidP="00EB3C6F">
      <w:pPr>
        <w:pStyle w:val="Normal-Numberedparagraphs"/>
        <w:numPr>
          <w:ilvl w:val="0"/>
          <w:numId w:val="128"/>
        </w:numPr>
        <w:ind w:left="1134"/>
      </w:pPr>
      <w:r w:rsidRPr="005C1ADD">
        <w:t>Where there are two data holders involved in providing a white label product</w:t>
      </w:r>
      <w:r w:rsidR="00AF5873">
        <w:t>,</w:t>
      </w:r>
      <w:r w:rsidR="005C599F">
        <w:t xml:space="preserve"> th</w:t>
      </w:r>
      <w:r w:rsidR="00E221B0">
        <w:t>e</w:t>
      </w:r>
      <w:r w:rsidR="000C17F5" w:rsidRPr="001D194D">
        <w:t xml:space="preserve"> data holder that has the contractual relationship with the consumer </w:t>
      </w:r>
      <w:r>
        <w:t>must</w:t>
      </w:r>
      <w:r w:rsidRPr="005C1ADD">
        <w:t xml:space="preserve"> respond to product data requests. The other data holder may also respond to product data requests. However, in the interests of avoiding unnecessary duplication, </w:t>
      </w:r>
      <w:r>
        <w:t>this</w:t>
      </w:r>
      <w:r w:rsidR="006E029F">
        <w:t xml:space="preserve"> </w:t>
      </w:r>
      <w:r>
        <w:t>is not</w:t>
      </w:r>
      <w:r w:rsidRPr="005C1ADD">
        <w:t xml:space="preserve"> mandatory.</w:t>
      </w:r>
    </w:p>
    <w:p w14:paraId="75406AA1" w14:textId="77777777" w:rsidR="005C1ADD" w:rsidRDefault="005C1ADD" w:rsidP="00D36CC1">
      <w:pPr>
        <w:pStyle w:val="Normal-Numberedparagraphs"/>
        <w:numPr>
          <w:ilvl w:val="2"/>
          <w:numId w:val="48"/>
        </w:numPr>
        <w:ind w:left="1560"/>
      </w:pPr>
      <w:r w:rsidRPr="005C1ADD">
        <w:t xml:space="preserve">The data holder that has the contractual relationship with the consumer may agree with the other data holder that the </w:t>
      </w:r>
      <w:r>
        <w:t>other data holder</w:t>
      </w:r>
      <w:r w:rsidRPr="005C1ADD">
        <w:t xml:space="preserve"> will perform that obligation on </w:t>
      </w:r>
      <w:r>
        <w:t>their behalf</w:t>
      </w:r>
      <w:r w:rsidRPr="005C1ADD">
        <w:t xml:space="preserve">.  </w:t>
      </w:r>
    </w:p>
    <w:p w14:paraId="290EF6D1" w14:textId="0B2067F2" w:rsidR="005C1ADD" w:rsidRPr="005C1ADD" w:rsidRDefault="005C1ADD" w:rsidP="005C1ADD">
      <w:pPr>
        <w:pStyle w:val="Normal-Numberedparagraphs"/>
        <w:numPr>
          <w:ilvl w:val="0"/>
          <w:numId w:val="0"/>
        </w:numPr>
        <w:ind w:left="1080"/>
        <w:rPr>
          <w:i/>
          <w:iCs/>
        </w:rPr>
      </w:pPr>
      <w:r w:rsidRPr="005C1ADD">
        <w:rPr>
          <w:i/>
          <w:iCs/>
        </w:rPr>
        <w:t xml:space="preserve">Consumer data sharing </w:t>
      </w:r>
    </w:p>
    <w:p w14:paraId="5DEAB931" w14:textId="78C3FF30" w:rsidR="005C1ADD" w:rsidRDefault="005C1ADD" w:rsidP="00EB3C6F">
      <w:pPr>
        <w:pStyle w:val="Normal-Numberedparagraphs"/>
        <w:numPr>
          <w:ilvl w:val="0"/>
          <w:numId w:val="129"/>
        </w:numPr>
        <w:ind w:left="1134"/>
      </w:pPr>
      <w:r>
        <w:t>Where there is a single data holder involved in providing a white label product (whether that is the white labeller or the brand owner), that data holder must comply with consumer data request obligations under the rules.</w:t>
      </w:r>
    </w:p>
    <w:p w14:paraId="5E96049C" w14:textId="5E5DCE8D" w:rsidR="005C1ADD" w:rsidRDefault="005C1ADD" w:rsidP="00EB3C6F">
      <w:pPr>
        <w:pStyle w:val="Normal-Numberedparagraphs"/>
        <w:numPr>
          <w:ilvl w:val="0"/>
          <w:numId w:val="129"/>
        </w:numPr>
        <w:ind w:left="1134"/>
      </w:pPr>
      <w:r>
        <w:t>Where there are two data holders involved in providing a white label product, it is the data holder that has the contractual relationship with the consumer who will be considered responsible, to avoid unnecessary duplication.</w:t>
      </w:r>
    </w:p>
    <w:p w14:paraId="498CE462" w14:textId="47D8021F" w:rsidR="005C1ADD" w:rsidRDefault="005C1ADD" w:rsidP="00D36CC1">
      <w:pPr>
        <w:pStyle w:val="Normal-Numberedparagraphs"/>
        <w:numPr>
          <w:ilvl w:val="0"/>
          <w:numId w:val="130"/>
        </w:numPr>
        <w:ind w:left="1418"/>
      </w:pPr>
      <w:r>
        <w:t xml:space="preserve">The data holder that has the contractual relationship with the consumer may agree with the other data holder that the brand owner will perform that obligation on </w:t>
      </w:r>
      <w:r w:rsidR="006E029F">
        <w:t>their behalf</w:t>
      </w:r>
      <w:r>
        <w:t>. In this example, the data holder that has the contractual relationship with the consumer remains accountable for the performance of the obligation.</w:t>
      </w:r>
    </w:p>
    <w:p w14:paraId="6D7B16A1" w14:textId="6E43B140" w:rsidR="005C1ADD" w:rsidRDefault="005C599F">
      <w:pPr>
        <w:pStyle w:val="Normal-Numberedparagraphs"/>
      </w:pPr>
      <w:r>
        <w:t xml:space="preserve">In the telecommunications sector, </w:t>
      </w:r>
      <w:r w:rsidR="005C1ADD">
        <w:t xml:space="preserve">we understand </w:t>
      </w:r>
      <w:r>
        <w:t>it is the brand owner</w:t>
      </w:r>
      <w:r w:rsidR="006E029F">
        <w:t xml:space="preserve"> </w:t>
      </w:r>
      <w:r w:rsidR="001231C4">
        <w:t>CSP</w:t>
      </w:r>
      <w:r>
        <w:t xml:space="preserve"> </w:t>
      </w:r>
      <w:r w:rsidR="00DC6BF2">
        <w:t xml:space="preserve">(which may </w:t>
      </w:r>
      <w:r w:rsidR="00E4339F">
        <w:t>be</w:t>
      </w:r>
      <w:r w:rsidR="00DC6BF2">
        <w:t xml:space="preserve"> a carriage service intermediary, as a type of </w:t>
      </w:r>
      <w:r w:rsidR="001231C4">
        <w:t>CSP</w:t>
      </w:r>
      <w:r w:rsidR="00DC6BF2">
        <w:t>)</w:t>
      </w:r>
      <w:r>
        <w:t xml:space="preserve"> who </w:t>
      </w:r>
      <w:r w:rsidR="005C1ADD">
        <w:t xml:space="preserve">typically </w:t>
      </w:r>
      <w:r w:rsidR="000C17F5" w:rsidRPr="001D194D">
        <w:t xml:space="preserve">has the contractual relationship with </w:t>
      </w:r>
      <w:r w:rsidR="005C1ADD">
        <w:t>a</w:t>
      </w:r>
      <w:r w:rsidR="005C1ADD" w:rsidRPr="001D194D">
        <w:t xml:space="preserve"> </w:t>
      </w:r>
      <w:r w:rsidR="000C17F5" w:rsidRPr="001D194D">
        <w:t xml:space="preserve">consumer </w:t>
      </w:r>
      <w:r w:rsidR="006B5A45">
        <w:t>and</w:t>
      </w:r>
      <w:r w:rsidR="005C1ADD">
        <w:t>, under the existing approach to white labelling in the CDR rules, would</w:t>
      </w:r>
      <w:r w:rsidR="006B5A45">
        <w:t xml:space="preserve"> therefore</w:t>
      </w:r>
      <w:r w:rsidR="000C17F5" w:rsidRPr="001D194D">
        <w:t xml:space="preserve"> </w:t>
      </w:r>
      <w:r w:rsidR="005C1ADD">
        <w:t xml:space="preserve">be </w:t>
      </w:r>
      <w:r w:rsidR="000C17F5" w:rsidRPr="001D194D">
        <w:t>considered responsible</w:t>
      </w:r>
      <w:r w:rsidR="00A742AD">
        <w:t xml:space="preserve"> for discharging CDR data holder obligations</w:t>
      </w:r>
      <w:r w:rsidR="006E029F">
        <w:t xml:space="preserve"> for both product and consumer data sharing</w:t>
      </w:r>
      <w:r w:rsidR="00A742AD">
        <w:t>.</w:t>
      </w:r>
      <w:r w:rsidR="006E029F">
        <w:t xml:space="preserve"> </w:t>
      </w:r>
      <w:r w:rsidR="00C96E38">
        <w:t xml:space="preserve"> </w:t>
      </w:r>
    </w:p>
    <w:p w14:paraId="06345D5A" w14:textId="789F43B9" w:rsidR="00E60AFD" w:rsidRDefault="00D61D6D">
      <w:pPr>
        <w:pStyle w:val="Normal-Numberedparagraphs"/>
      </w:pPr>
      <w:r>
        <w:lastRenderedPageBreak/>
        <w:t xml:space="preserve">We are minded </w:t>
      </w:r>
      <w:proofErr w:type="gramStart"/>
      <w:r>
        <w:t>to maintain</w:t>
      </w:r>
      <w:proofErr w:type="gramEnd"/>
      <w:r>
        <w:t xml:space="preserve"> the </w:t>
      </w:r>
      <w:r w:rsidR="005C1ADD">
        <w:t>existing</w:t>
      </w:r>
      <w:r>
        <w:t xml:space="preserve"> approach </w:t>
      </w:r>
      <w:r w:rsidR="005C1ADD">
        <w:t>for telecommunications and</w:t>
      </w:r>
      <w:r w:rsidR="0045330F">
        <w:t xml:space="preserve"> welcome feedback on whether this approach raises particular issues for the telecommunications sector</w:t>
      </w:r>
      <w:r w:rsidR="005C1ADD">
        <w:t>.</w:t>
      </w:r>
    </w:p>
    <w:p w14:paraId="10F616DB" w14:textId="16175104" w:rsidR="001351FF" w:rsidRDefault="001351FF">
      <w:pPr>
        <w:pStyle w:val="Normal-Numberedparagraphs"/>
      </w:pPr>
      <w:r>
        <w:t xml:space="preserve">We </w:t>
      </w:r>
      <w:r w:rsidR="00A47C33">
        <w:t xml:space="preserve">understand that CSPs cover all </w:t>
      </w:r>
      <w:r w:rsidR="00BD70D1">
        <w:t>brand owners</w:t>
      </w:r>
      <w:r w:rsidR="00A47C33">
        <w:t xml:space="preserve"> reselling white labelled products.</w:t>
      </w:r>
      <w:r>
        <w:t xml:space="preserve"> If all brand owners are CSPs who have the contractual relationship with the consumer, we seek feedback on whether </w:t>
      </w:r>
      <w:r w:rsidR="00D41262">
        <w:t>white labelling rules</w:t>
      </w:r>
      <w:r w:rsidR="00D305F5">
        <w:t xml:space="preserve"> are</w:t>
      </w:r>
      <w:r w:rsidR="00D41262">
        <w:t xml:space="preserve"> required for the telecommunications sector</w:t>
      </w:r>
      <w:r w:rsidR="00DD32A5">
        <w:t>.</w:t>
      </w:r>
    </w:p>
    <w:tbl>
      <w:tblPr>
        <w:tblStyle w:val="TableGrid"/>
        <w:tblW w:w="0" w:type="auto"/>
        <w:tblLook w:val="04A0" w:firstRow="1" w:lastRow="0" w:firstColumn="1" w:lastColumn="0" w:noHBand="0" w:noVBand="1"/>
      </w:tblPr>
      <w:tblGrid>
        <w:gridCol w:w="9016"/>
      </w:tblGrid>
      <w:tr w:rsidR="00500742" w14:paraId="1DAEA88F" w14:textId="77777777" w:rsidTr="00584C86">
        <w:tc>
          <w:tcPr>
            <w:tcW w:w="9016" w:type="dxa"/>
            <w:tcBorders>
              <w:top w:val="single" w:sz="4" w:space="0" w:color="auto"/>
              <w:left w:val="single" w:sz="4" w:space="0" w:color="auto"/>
              <w:bottom w:val="single" w:sz="4" w:space="0" w:color="auto"/>
              <w:right w:val="single" w:sz="4" w:space="0" w:color="auto"/>
            </w:tcBorders>
            <w:hideMark/>
          </w:tcPr>
          <w:p w14:paraId="7F0991C0" w14:textId="6B64BFCD" w:rsidR="00500742" w:rsidRDefault="00CC3E6D" w:rsidP="00584C86">
            <w:pPr>
              <w:pStyle w:val="OutlineNumbered1"/>
              <w:numPr>
                <w:ilvl w:val="0"/>
                <w:numId w:val="0"/>
              </w:numPr>
              <w:tabs>
                <w:tab w:val="left" w:pos="720"/>
              </w:tabs>
              <w:ind w:left="520" w:hanging="520"/>
              <w:rPr>
                <w:b/>
                <w:bCs/>
              </w:rPr>
            </w:pPr>
            <w:r>
              <w:rPr>
                <w:b/>
                <w:bCs/>
              </w:rPr>
              <w:t>Rules q</w:t>
            </w:r>
            <w:r w:rsidR="00500742">
              <w:rPr>
                <w:b/>
                <w:bCs/>
              </w:rPr>
              <w:t>uestion</w:t>
            </w:r>
          </w:p>
          <w:p w14:paraId="26C23EA7" w14:textId="77777777" w:rsidR="00AF3334" w:rsidRDefault="00500742">
            <w:pPr>
              <w:pStyle w:val="OutlineNumbered1"/>
            </w:pPr>
            <w:r>
              <w:t xml:space="preserve">Does </w:t>
            </w:r>
            <w:r w:rsidR="00217ABD">
              <w:t>the</w:t>
            </w:r>
            <w:r>
              <w:t xml:space="preserve"> cross-sectoral approach to white labelling </w:t>
            </w:r>
            <w:r w:rsidR="00217ABD">
              <w:t xml:space="preserve">as outlined in this paper </w:t>
            </w:r>
            <w:r>
              <w:t>suit the telecommunications sector? Why/why not?</w:t>
            </w:r>
            <w:r w:rsidR="008264BD">
              <w:t xml:space="preserve"> </w:t>
            </w:r>
          </w:p>
          <w:p w14:paraId="0F1B1984" w14:textId="35F3D7B7" w:rsidR="00D702BB" w:rsidRDefault="00D702BB">
            <w:pPr>
              <w:pStyle w:val="OutlineNumbered1"/>
            </w:pPr>
            <w:r>
              <w:t xml:space="preserve">If all brand </w:t>
            </w:r>
            <w:r w:rsidR="00CE7C06">
              <w:t>owners</w:t>
            </w:r>
            <w:r>
              <w:t xml:space="preserve"> are </w:t>
            </w:r>
            <w:r w:rsidR="00BF5B9C">
              <w:t xml:space="preserve">carriers or </w:t>
            </w:r>
            <w:r>
              <w:t xml:space="preserve">CSPs </w:t>
            </w:r>
            <w:r w:rsidR="001351FF">
              <w:t>who</w:t>
            </w:r>
            <w:r>
              <w:t xml:space="preserve"> have</w:t>
            </w:r>
            <w:r w:rsidR="001351FF">
              <w:t xml:space="preserve"> the</w:t>
            </w:r>
            <w:r>
              <w:t xml:space="preserve"> contractual relationship with the consumer, are white labelling rules required for the telecommunications sector?</w:t>
            </w:r>
          </w:p>
        </w:tc>
      </w:tr>
    </w:tbl>
    <w:p w14:paraId="5F6439B1" w14:textId="77777777" w:rsidR="00500742" w:rsidRPr="00DD1770" w:rsidRDefault="00500742" w:rsidP="005C1ADD">
      <w:pPr>
        <w:pStyle w:val="Normal-Numberedparagraphs"/>
        <w:numPr>
          <w:ilvl w:val="0"/>
          <w:numId w:val="0"/>
        </w:numPr>
      </w:pPr>
    </w:p>
    <w:p w14:paraId="6E237FB4" w14:textId="5B2305E5" w:rsidR="00E07E93" w:rsidRPr="000F6188" w:rsidRDefault="00E07E93" w:rsidP="00E07E93">
      <w:pPr>
        <w:pStyle w:val="Heading3"/>
        <w:rPr>
          <w:b/>
          <w:bCs/>
          <w:color w:val="auto"/>
        </w:rPr>
      </w:pPr>
      <w:bookmarkStart w:id="125" w:name="_Toc96353757"/>
      <w:bookmarkStart w:id="126" w:name="_Toc93315777"/>
      <w:r w:rsidRPr="000F6188">
        <w:rPr>
          <w:b/>
          <w:bCs/>
          <w:color w:val="auto"/>
        </w:rPr>
        <w:t xml:space="preserve">Internal </w:t>
      </w:r>
      <w:r w:rsidR="001F7CD9">
        <w:rPr>
          <w:b/>
          <w:bCs/>
          <w:color w:val="auto"/>
        </w:rPr>
        <w:t>dispute resolution requirements</w:t>
      </w:r>
      <w:bookmarkEnd w:id="125"/>
      <w:r w:rsidR="001F7CD9">
        <w:rPr>
          <w:b/>
          <w:bCs/>
          <w:color w:val="auto"/>
        </w:rPr>
        <w:t xml:space="preserve"> </w:t>
      </w:r>
      <w:bookmarkEnd w:id="126"/>
    </w:p>
    <w:p w14:paraId="19F74F84" w14:textId="2846A2F7" w:rsidR="006E029F" w:rsidRDefault="001F7CD9" w:rsidP="006E029F">
      <w:pPr>
        <w:pStyle w:val="Normal-Numberedparagraphs"/>
      </w:pPr>
      <w:r>
        <w:t>As a first step to resolve complaints from CDR consumers, data holders are required to have internal dispute resolution (</w:t>
      </w:r>
      <w:r w:rsidRPr="00BD6DBA">
        <w:rPr>
          <w:b/>
        </w:rPr>
        <w:t>IDR</w:t>
      </w:r>
      <w:r>
        <w:t xml:space="preserve">) processes in place that meet the requirements </w:t>
      </w:r>
      <w:r w:rsidR="00584033">
        <w:t xml:space="preserve">set out in the relevant sector schedule </w:t>
      </w:r>
      <w:r>
        <w:t>of the designated sector in which they operate</w:t>
      </w:r>
      <w:r w:rsidR="003E26D6">
        <w:t xml:space="preserve">. ADRs must have processes that meet the requirements of one or more </w:t>
      </w:r>
      <w:r>
        <w:t xml:space="preserve">designated sector). </w:t>
      </w:r>
    </w:p>
    <w:p w14:paraId="55F63F4D" w14:textId="42867886" w:rsidR="00E07E93" w:rsidRDefault="00E07E93" w:rsidP="00E07E93">
      <w:pPr>
        <w:pStyle w:val="Normal-Numberedparagraphs"/>
      </w:pPr>
      <w:r>
        <w:t xml:space="preserve">As of 1 August 2019, the </w:t>
      </w:r>
      <w:r w:rsidRPr="00A83780">
        <w:rPr>
          <w:i/>
        </w:rPr>
        <w:t>Telecommunications (Consumer Complaints Handling) Industry Standard 2018</w:t>
      </w:r>
      <w:r w:rsidR="00E53363">
        <w:t xml:space="preserve"> (the </w:t>
      </w:r>
      <w:r w:rsidR="005A2CBA" w:rsidRPr="00A83780">
        <w:rPr>
          <w:b/>
        </w:rPr>
        <w:t>Complaints Handling Standard</w:t>
      </w:r>
      <w:r w:rsidR="00E53363">
        <w:t>)</w:t>
      </w:r>
      <w:r>
        <w:t xml:space="preserve"> contains complaints handling rules</w:t>
      </w:r>
      <w:r w:rsidR="0052271B">
        <w:t xml:space="preserve"> for </w:t>
      </w:r>
      <w:r w:rsidR="008D4098">
        <w:t>IDR</w:t>
      </w:r>
      <w:r w:rsidR="006E029F">
        <w:t xml:space="preserve"> in the telecommunications sector</w:t>
      </w:r>
      <w:r w:rsidR="0013534B">
        <w:t xml:space="preserve">. The </w:t>
      </w:r>
      <w:r w:rsidR="005A2CBA">
        <w:t>Complaints Handling</w:t>
      </w:r>
      <w:r w:rsidR="0013534B">
        <w:t xml:space="preserve"> Standard applies to all </w:t>
      </w:r>
      <w:r w:rsidR="0084390A">
        <w:t>carriers and CSPs</w:t>
      </w:r>
      <w:r w:rsidR="0013534B">
        <w:t xml:space="preserve"> responsible for network units that are used in the supply of services by </w:t>
      </w:r>
      <w:r w:rsidR="004B52EE">
        <w:t>CSP</w:t>
      </w:r>
      <w:r w:rsidR="0013534B">
        <w:t>s</w:t>
      </w:r>
      <w:r w:rsidR="00CD3CA2">
        <w:t xml:space="preserve">. The </w:t>
      </w:r>
      <w:r w:rsidR="00CB6FAF">
        <w:t>Complaints Handling Standard</w:t>
      </w:r>
      <w:r w:rsidR="00CD3CA2">
        <w:t xml:space="preserve"> include the definitions, processes, </w:t>
      </w:r>
      <w:r w:rsidR="00CF1453">
        <w:t>timeframes,</w:t>
      </w:r>
      <w:r w:rsidR="00CD3CA2">
        <w:t xml:space="preserve"> and record-keeping requirements for consumer complaints</w:t>
      </w:r>
      <w:r w:rsidR="009A0CD2">
        <w:t xml:space="preserve"> and has been largely uplifted from the previous Telecommunications Consumer Protection Code</w:t>
      </w:r>
      <w:r w:rsidR="00CB6FAF">
        <w:t xml:space="preserve">, with consideration of </w:t>
      </w:r>
      <w:r w:rsidR="006E029F">
        <w:t xml:space="preserve">the </w:t>
      </w:r>
      <w:r w:rsidR="00420B66" w:rsidRPr="00420B66">
        <w:t>AS/NZS 10002:2014 Guidelines for complaint management in organizations</w:t>
      </w:r>
      <w:r w:rsidR="009A0CD2">
        <w:t xml:space="preserve">. </w:t>
      </w:r>
    </w:p>
    <w:p w14:paraId="0D79DA19" w14:textId="75C3F9BE" w:rsidR="00CD3CA2" w:rsidRDefault="00CD3CA2" w:rsidP="00E07E93">
      <w:pPr>
        <w:pStyle w:val="Normal-Numberedparagraphs"/>
      </w:pPr>
      <w:r>
        <w:t xml:space="preserve">In addition to the </w:t>
      </w:r>
      <w:r w:rsidR="005A2CBA">
        <w:t>Complaints Handling Standard</w:t>
      </w:r>
      <w:r>
        <w:t>,</w:t>
      </w:r>
      <w:r w:rsidR="00C41A52">
        <w:t xml:space="preserve"> if </w:t>
      </w:r>
      <w:r w:rsidR="00E71ABF">
        <w:t xml:space="preserve">retail </w:t>
      </w:r>
      <w:r w:rsidR="004B52EE">
        <w:t>CSPs</w:t>
      </w:r>
      <w:r w:rsidR="00C41A52">
        <w:t xml:space="preserve"> have </w:t>
      </w:r>
      <w:r w:rsidR="00DE0539">
        <w:t>equal to or</w:t>
      </w:r>
      <w:r w:rsidR="00C41A52">
        <w:t xml:space="preserve"> more than 30,000 services in operation, complaints records must be kept </w:t>
      </w:r>
      <w:r w:rsidR="00316908">
        <w:t xml:space="preserve">under </w:t>
      </w:r>
      <w:r w:rsidR="00C41A52">
        <w:t xml:space="preserve">the </w:t>
      </w:r>
      <w:r w:rsidR="00C41A52" w:rsidRPr="00A83780">
        <w:rPr>
          <w:i/>
        </w:rPr>
        <w:t>Telecommunications (Consumer Complaints) Record-Keeping Rules 2018</w:t>
      </w:r>
      <w:r w:rsidR="00C41A52">
        <w:t xml:space="preserve"> (the </w:t>
      </w:r>
      <w:r w:rsidR="00C41A52" w:rsidRPr="00A83780">
        <w:rPr>
          <w:b/>
        </w:rPr>
        <w:t>Record</w:t>
      </w:r>
      <w:r w:rsidR="00E71ABF" w:rsidRPr="00A83780">
        <w:rPr>
          <w:b/>
        </w:rPr>
        <w:t>-</w:t>
      </w:r>
      <w:r w:rsidR="00C41A52" w:rsidRPr="00A83780">
        <w:rPr>
          <w:b/>
        </w:rPr>
        <w:t>Keeping Rules</w:t>
      </w:r>
      <w:r w:rsidR="00C41A52">
        <w:t xml:space="preserve">). </w:t>
      </w:r>
      <w:r w:rsidR="00E71ABF">
        <w:t>The Record-Keeping Rules</w:t>
      </w:r>
      <w:r w:rsidR="00712FB6">
        <w:t xml:space="preserve"> address the type of complaints records that must be kept, the timeframes for reporting complaints data and the process for reporting complaints data. </w:t>
      </w:r>
    </w:p>
    <w:p w14:paraId="6CBB487B" w14:textId="3AE264AC" w:rsidR="00FE3504" w:rsidRDefault="005715B4" w:rsidP="00E07E93">
      <w:pPr>
        <w:pStyle w:val="Normal-Numberedparagraphs"/>
      </w:pPr>
      <w:r>
        <w:t>We are</w:t>
      </w:r>
      <w:r w:rsidR="00FE3504">
        <w:t xml:space="preserve"> minded </w:t>
      </w:r>
      <w:proofErr w:type="gramStart"/>
      <w:r w:rsidR="00FE3504">
        <w:t xml:space="preserve">to </w:t>
      </w:r>
      <w:r w:rsidR="006E029F">
        <w:t>leverage</w:t>
      </w:r>
      <w:proofErr w:type="gramEnd"/>
      <w:r w:rsidR="000C0EDE">
        <w:t xml:space="preserve"> </w:t>
      </w:r>
      <w:r w:rsidR="00A73FD0">
        <w:t>existing sector-specific IDR provisions</w:t>
      </w:r>
      <w:r w:rsidR="000C0EDE">
        <w:t xml:space="preserve"> in the </w:t>
      </w:r>
      <w:r w:rsidR="000C2045">
        <w:t>CDR R</w:t>
      </w:r>
      <w:r w:rsidR="000C0EDE">
        <w:t xml:space="preserve">ules. </w:t>
      </w:r>
      <w:r w:rsidR="006761CA">
        <w:t>This follows the precedent set in the banking sector, where</w:t>
      </w:r>
      <w:r w:rsidR="000C0EDE">
        <w:t xml:space="preserve"> </w:t>
      </w:r>
      <w:r w:rsidR="00217ABD" w:rsidRPr="00217ABD">
        <w:t>Australian Securities and Investments Commission</w:t>
      </w:r>
      <w:r w:rsidR="00217ABD">
        <w:t xml:space="preserve">’s (ASIC) </w:t>
      </w:r>
      <w:r w:rsidR="00316908" w:rsidDel="00217ABD">
        <w:t xml:space="preserve">ASIC’s </w:t>
      </w:r>
      <w:r w:rsidR="00316908">
        <w:t>Regulatory Guide 271</w:t>
      </w:r>
      <w:r w:rsidR="006761CA">
        <w:t xml:space="preserve"> was adopted. </w:t>
      </w:r>
      <w:r w:rsidR="00316908">
        <w:t xml:space="preserve">We note that </w:t>
      </w:r>
      <w:r w:rsidR="00D37F04">
        <w:t>when the CDR Rules commence for the energy sector</w:t>
      </w:r>
      <w:r w:rsidR="00316908">
        <w:t xml:space="preserve">, ADRs who </w:t>
      </w:r>
      <w:r w:rsidR="00E71A2D">
        <w:t xml:space="preserve">are not </w:t>
      </w:r>
      <w:r w:rsidR="00316908">
        <w:t>energy retailers but sha</w:t>
      </w:r>
      <w:r w:rsidR="00E71A2D">
        <w:t>re</w:t>
      </w:r>
      <w:r w:rsidR="00316908">
        <w:t xml:space="preserve"> energy data w</w:t>
      </w:r>
      <w:r w:rsidR="00E71A2D">
        <w:t xml:space="preserve">ill be </w:t>
      </w:r>
      <w:r w:rsidR="00316908">
        <w:t xml:space="preserve">subject to </w:t>
      </w:r>
      <w:r w:rsidR="00217ABD">
        <w:t xml:space="preserve">the ASIC’s </w:t>
      </w:r>
      <w:r w:rsidR="00316908">
        <w:t xml:space="preserve">Regulatory Guide 271. Accordingly, we seek feedback on whether </w:t>
      </w:r>
      <w:r w:rsidR="00AE2829">
        <w:t>existing sector-specific IDR standards (</w:t>
      </w:r>
      <w:proofErr w:type="gramStart"/>
      <w:r w:rsidR="00AE2829">
        <w:t>in particular the</w:t>
      </w:r>
      <w:proofErr w:type="gramEnd"/>
      <w:r w:rsidR="00AE2829">
        <w:t xml:space="preserve"> Complaints Handling Standard)</w:t>
      </w:r>
      <w:r w:rsidR="00316908">
        <w:t xml:space="preserve"> </w:t>
      </w:r>
      <w:r w:rsidR="00C12847">
        <w:t xml:space="preserve">can be leveraged </w:t>
      </w:r>
      <w:r w:rsidR="00D438E3">
        <w:t xml:space="preserve">for </w:t>
      </w:r>
      <w:r w:rsidR="00885E68">
        <w:t xml:space="preserve">data holders who become ADRs sharing telecommunications data. </w:t>
      </w:r>
    </w:p>
    <w:tbl>
      <w:tblPr>
        <w:tblStyle w:val="TableGrid"/>
        <w:tblW w:w="0" w:type="auto"/>
        <w:tblLook w:val="04A0" w:firstRow="1" w:lastRow="0" w:firstColumn="1" w:lastColumn="0" w:noHBand="0" w:noVBand="1"/>
      </w:tblPr>
      <w:tblGrid>
        <w:gridCol w:w="9016"/>
      </w:tblGrid>
      <w:tr w:rsidR="00AF3334" w14:paraId="28DC3C27" w14:textId="77777777" w:rsidTr="00584C86">
        <w:tc>
          <w:tcPr>
            <w:tcW w:w="9016" w:type="dxa"/>
            <w:tcBorders>
              <w:top w:val="single" w:sz="4" w:space="0" w:color="auto"/>
              <w:left w:val="single" w:sz="4" w:space="0" w:color="auto"/>
              <w:bottom w:val="single" w:sz="4" w:space="0" w:color="auto"/>
              <w:right w:val="single" w:sz="4" w:space="0" w:color="auto"/>
            </w:tcBorders>
            <w:hideMark/>
          </w:tcPr>
          <w:p w14:paraId="19821CB0" w14:textId="0EB012C8" w:rsidR="00AF3334" w:rsidRDefault="007B73D1" w:rsidP="00162DE5">
            <w:pPr>
              <w:pStyle w:val="OutlineNumbered1"/>
              <w:keepNext/>
              <w:numPr>
                <w:ilvl w:val="0"/>
                <w:numId w:val="0"/>
              </w:numPr>
              <w:tabs>
                <w:tab w:val="left" w:pos="720"/>
              </w:tabs>
              <w:ind w:left="522" w:hanging="522"/>
              <w:rPr>
                <w:b/>
                <w:bCs/>
              </w:rPr>
            </w:pPr>
            <w:r>
              <w:rPr>
                <w:b/>
                <w:bCs/>
              </w:rPr>
              <w:lastRenderedPageBreak/>
              <w:t>Rules q</w:t>
            </w:r>
            <w:r w:rsidR="00AF3334">
              <w:rPr>
                <w:b/>
                <w:bCs/>
              </w:rPr>
              <w:t>uestion</w:t>
            </w:r>
          </w:p>
          <w:p w14:paraId="708491DA" w14:textId="2C2E8B97" w:rsidR="00AF3334" w:rsidRDefault="00AF3334">
            <w:pPr>
              <w:pStyle w:val="OutlineNumbered1"/>
            </w:pPr>
            <w:r>
              <w:t xml:space="preserve">For internal dispute resolution, should </w:t>
            </w:r>
            <w:r w:rsidR="00AE2829">
              <w:t>existing sector-specific IDR provisions (such as the Complaints Handling Standard)</w:t>
            </w:r>
            <w:r>
              <w:t xml:space="preserve"> be leveraged for data holders who become ADRs sharing telecommunications data?</w:t>
            </w:r>
          </w:p>
        </w:tc>
      </w:tr>
    </w:tbl>
    <w:p w14:paraId="1653E68E" w14:textId="77777777" w:rsidR="00AF3334" w:rsidRDefault="00AF3334" w:rsidP="00EB3C6F">
      <w:pPr>
        <w:pStyle w:val="Normal-Numberedparagraphs"/>
        <w:numPr>
          <w:ilvl w:val="0"/>
          <w:numId w:val="0"/>
        </w:numPr>
        <w:ind w:left="360" w:hanging="360"/>
      </w:pPr>
    </w:p>
    <w:p w14:paraId="1B8C373F" w14:textId="125DF4C9" w:rsidR="00D37F04" w:rsidRPr="006831B0" w:rsidRDefault="00D37F04" w:rsidP="00D37F04">
      <w:pPr>
        <w:pStyle w:val="Heading3"/>
        <w:rPr>
          <w:b/>
          <w:color w:val="auto"/>
        </w:rPr>
      </w:pPr>
      <w:bookmarkStart w:id="127" w:name="_Toc96353758"/>
      <w:r w:rsidRPr="006831B0">
        <w:rPr>
          <w:b/>
          <w:color w:val="auto"/>
        </w:rPr>
        <w:t>External dispute resolution requirements</w:t>
      </w:r>
      <w:bookmarkEnd w:id="127"/>
      <w:r w:rsidRPr="006831B0">
        <w:rPr>
          <w:b/>
          <w:color w:val="auto"/>
        </w:rPr>
        <w:t xml:space="preserve"> </w:t>
      </w:r>
    </w:p>
    <w:p w14:paraId="645B736B" w14:textId="6F72CE4E" w:rsidR="00E149B6" w:rsidRPr="006831B0" w:rsidRDefault="00E43240">
      <w:pPr>
        <w:pStyle w:val="Normal-Numberedparagraphs"/>
      </w:pPr>
      <w:r w:rsidRPr="006831B0">
        <w:t>Treasury will consider the feasibility of leverag</w:t>
      </w:r>
      <w:r w:rsidR="006F4BE2" w:rsidRPr="006831B0">
        <w:t xml:space="preserve">ing existing </w:t>
      </w:r>
      <w:r w:rsidR="00217ABD" w:rsidRPr="006831B0">
        <w:t>external dispute resolution (</w:t>
      </w:r>
      <w:r w:rsidR="006F4BE2" w:rsidRPr="006831B0">
        <w:rPr>
          <w:b/>
        </w:rPr>
        <w:t>EDR</w:t>
      </w:r>
      <w:r w:rsidR="00217ABD" w:rsidRPr="006831B0">
        <w:t>)</w:t>
      </w:r>
      <w:r w:rsidR="006F4BE2" w:rsidRPr="006831B0">
        <w:t xml:space="preserve"> schemes for data holders and in circumstances where </w:t>
      </w:r>
      <w:r w:rsidR="00682596" w:rsidRPr="006831B0">
        <w:t>carriers or CSPs become</w:t>
      </w:r>
      <w:r w:rsidR="006F4BE2" w:rsidRPr="006831B0">
        <w:t xml:space="preserve"> ADRs, we are minded to follow the approach taken in </w:t>
      </w:r>
      <w:r w:rsidR="00682596" w:rsidRPr="006831B0">
        <w:t>previous designated sectors</w:t>
      </w:r>
      <w:r w:rsidR="00217ABD" w:rsidRPr="006831B0">
        <w:t xml:space="preserve">, which is to only require such data holders to become members of the Australian Financial Complaints Authority </w:t>
      </w:r>
      <w:r w:rsidR="00EF35D3" w:rsidRPr="006831B0">
        <w:t>(</w:t>
      </w:r>
      <w:r w:rsidR="00EF35D3" w:rsidRPr="006831B0">
        <w:rPr>
          <w:b/>
          <w:bCs/>
        </w:rPr>
        <w:t>AFCA</w:t>
      </w:r>
      <w:r w:rsidR="00EF35D3" w:rsidRPr="006831B0">
        <w:t>)</w:t>
      </w:r>
      <w:r w:rsidR="00217ABD" w:rsidRPr="006831B0">
        <w:t xml:space="preserve"> where they use data </w:t>
      </w:r>
      <w:r w:rsidR="00156ACB" w:rsidRPr="006831B0">
        <w:t xml:space="preserve">to offer services outside the </w:t>
      </w:r>
      <w:r w:rsidR="009F6732" w:rsidRPr="006831B0">
        <w:t>telecommunications sector (</w:t>
      </w:r>
      <w:r w:rsidR="00156ACB" w:rsidRPr="006831B0">
        <w:t>for example,</w:t>
      </w:r>
      <w:r w:rsidR="009F6732" w:rsidRPr="006831B0">
        <w:t xml:space="preserve"> where a carrier or CSP ADR, as an ADR, is providing services </w:t>
      </w:r>
      <w:r w:rsidR="00156ACB" w:rsidRPr="006831B0">
        <w:t>using banking and/or energy data</w:t>
      </w:r>
      <w:r w:rsidR="009F6732" w:rsidRPr="006831B0">
        <w:t>)</w:t>
      </w:r>
      <w:r w:rsidR="00682596" w:rsidRPr="006831B0">
        <w:t xml:space="preserve">. </w:t>
      </w:r>
      <w:r w:rsidR="00691987" w:rsidRPr="00D71AA9">
        <w:t>Treasury is currently in discussion</w:t>
      </w:r>
      <w:r w:rsidR="00D071E7" w:rsidRPr="00D71AA9">
        <w:t>s</w:t>
      </w:r>
      <w:r w:rsidR="00691987" w:rsidRPr="00D71AA9">
        <w:t xml:space="preserve"> with </w:t>
      </w:r>
      <w:r w:rsidR="00EF35D3" w:rsidRPr="00D71AA9">
        <w:t>AFCA about recognising AFCA as the EDR provider for ADRs in the telecommunications sector</w:t>
      </w:r>
      <w:r w:rsidR="006831B0" w:rsidRPr="00D71AA9">
        <w:t>. Accordingly</w:t>
      </w:r>
      <w:r w:rsidR="00D71AA9" w:rsidRPr="00D71AA9">
        <w:t>,</w:t>
      </w:r>
      <w:r w:rsidR="006831B0" w:rsidRPr="00D71AA9">
        <w:t xml:space="preserve"> the </w:t>
      </w:r>
      <w:r w:rsidR="00976819" w:rsidRPr="00D71AA9">
        <w:t>EDR scheme for ADRs</w:t>
      </w:r>
      <w:r w:rsidR="00EF35D3" w:rsidRPr="00D71AA9">
        <w:t xml:space="preserve"> is subject to AFCA’s formal agreement to perform that function.</w:t>
      </w:r>
      <w:r w:rsidR="00EF35D3" w:rsidRPr="006831B0">
        <w:t xml:space="preserve"> </w:t>
      </w:r>
    </w:p>
    <w:tbl>
      <w:tblPr>
        <w:tblStyle w:val="TableGrid"/>
        <w:tblW w:w="0" w:type="auto"/>
        <w:tblInd w:w="360" w:type="dxa"/>
        <w:tblLook w:val="04A0" w:firstRow="1" w:lastRow="0" w:firstColumn="1" w:lastColumn="0" w:noHBand="0" w:noVBand="1"/>
      </w:tblPr>
      <w:tblGrid>
        <w:gridCol w:w="4171"/>
        <w:gridCol w:w="4395"/>
      </w:tblGrid>
      <w:tr w:rsidR="00682596" w:rsidRPr="00033862" w14:paraId="622961DC" w14:textId="77777777" w:rsidTr="00EB3C6F">
        <w:tc>
          <w:tcPr>
            <w:tcW w:w="4171" w:type="dxa"/>
          </w:tcPr>
          <w:p w14:paraId="668B8AE7" w14:textId="5C0EBD5A" w:rsidR="00682596" w:rsidRPr="006831B0" w:rsidRDefault="00682596" w:rsidP="00E43240">
            <w:pPr>
              <w:pStyle w:val="Normal-Numberedparagraphs"/>
              <w:numPr>
                <w:ilvl w:val="0"/>
                <w:numId w:val="0"/>
              </w:numPr>
              <w:rPr>
                <w:b/>
              </w:rPr>
            </w:pPr>
            <w:r w:rsidRPr="006831B0">
              <w:rPr>
                <w:b/>
              </w:rPr>
              <w:t>Entity</w:t>
            </w:r>
          </w:p>
        </w:tc>
        <w:tc>
          <w:tcPr>
            <w:tcW w:w="4395" w:type="dxa"/>
          </w:tcPr>
          <w:p w14:paraId="125CB14A" w14:textId="53658DA5" w:rsidR="00682596" w:rsidRPr="006831B0" w:rsidRDefault="00F80D49" w:rsidP="00E43240">
            <w:pPr>
              <w:pStyle w:val="Normal-Numberedparagraphs"/>
              <w:numPr>
                <w:ilvl w:val="0"/>
                <w:numId w:val="0"/>
              </w:numPr>
              <w:rPr>
                <w:b/>
              </w:rPr>
            </w:pPr>
            <w:r w:rsidRPr="006831B0">
              <w:rPr>
                <w:b/>
              </w:rPr>
              <w:t>Recommende</w:t>
            </w:r>
            <w:r w:rsidR="00FF4F58" w:rsidRPr="006831B0">
              <w:rPr>
                <w:b/>
              </w:rPr>
              <w:t>d EDR body</w:t>
            </w:r>
          </w:p>
        </w:tc>
      </w:tr>
      <w:tr w:rsidR="00156ACB" w:rsidRPr="00033862" w14:paraId="7CCEEB22" w14:textId="77777777" w:rsidTr="00EB3C6F">
        <w:tc>
          <w:tcPr>
            <w:tcW w:w="4171" w:type="dxa"/>
          </w:tcPr>
          <w:p w14:paraId="2E52F191" w14:textId="28454D34" w:rsidR="00156ACB" w:rsidRPr="006831B0" w:rsidRDefault="00156ACB" w:rsidP="00156ACB">
            <w:pPr>
              <w:pStyle w:val="Normal-Numberedparagraphs"/>
              <w:numPr>
                <w:ilvl w:val="0"/>
                <w:numId w:val="0"/>
              </w:numPr>
            </w:pPr>
            <w:r w:rsidRPr="006831B0">
              <w:t>Carriers and CSPs</w:t>
            </w:r>
          </w:p>
        </w:tc>
        <w:tc>
          <w:tcPr>
            <w:tcW w:w="4395" w:type="dxa"/>
          </w:tcPr>
          <w:p w14:paraId="3F0A1AEC" w14:textId="330BF5AD" w:rsidR="00156ACB" w:rsidRPr="006831B0" w:rsidRDefault="00B927DA" w:rsidP="00156ACB">
            <w:pPr>
              <w:pStyle w:val="Normal-Numberedparagraphs"/>
              <w:numPr>
                <w:ilvl w:val="0"/>
                <w:numId w:val="0"/>
              </w:numPr>
            </w:pPr>
            <w:r w:rsidRPr="006831B0">
              <w:t>Telecommunications Industry Ombudsman</w:t>
            </w:r>
          </w:p>
        </w:tc>
      </w:tr>
      <w:tr w:rsidR="00682596" w:rsidRPr="00033862" w14:paraId="35077C89" w14:textId="77777777" w:rsidTr="00EB3C6F">
        <w:tc>
          <w:tcPr>
            <w:tcW w:w="4171" w:type="dxa"/>
          </w:tcPr>
          <w:p w14:paraId="003C4E23" w14:textId="41B263B5" w:rsidR="00682596" w:rsidRPr="006831B0" w:rsidRDefault="00682596" w:rsidP="00E43240">
            <w:pPr>
              <w:pStyle w:val="Normal-Numberedparagraphs"/>
              <w:numPr>
                <w:ilvl w:val="0"/>
                <w:numId w:val="0"/>
              </w:numPr>
            </w:pPr>
            <w:r w:rsidRPr="006831B0">
              <w:t>ADRs</w:t>
            </w:r>
          </w:p>
        </w:tc>
        <w:tc>
          <w:tcPr>
            <w:tcW w:w="4395" w:type="dxa"/>
          </w:tcPr>
          <w:p w14:paraId="248E4DD0" w14:textId="79FCC93C" w:rsidR="00682596" w:rsidRPr="006831B0" w:rsidRDefault="0034111F" w:rsidP="00E43240">
            <w:pPr>
              <w:pStyle w:val="Normal-Numberedparagraphs"/>
              <w:numPr>
                <w:ilvl w:val="0"/>
                <w:numId w:val="0"/>
              </w:numPr>
            </w:pPr>
            <w:r w:rsidRPr="006831B0">
              <w:t xml:space="preserve">Australian Financial Complaints Authority </w:t>
            </w:r>
          </w:p>
        </w:tc>
      </w:tr>
      <w:tr w:rsidR="00614D74" w:rsidRPr="00033862" w14:paraId="09552EFE" w14:textId="77777777" w:rsidTr="00EB3C6F">
        <w:tc>
          <w:tcPr>
            <w:tcW w:w="4171" w:type="dxa"/>
          </w:tcPr>
          <w:p w14:paraId="6B78D51E" w14:textId="2D50623A" w:rsidR="00614D74" w:rsidRPr="006831B0" w:rsidRDefault="00614D74" w:rsidP="00E43240">
            <w:pPr>
              <w:pStyle w:val="Normal-Numberedparagraphs"/>
              <w:numPr>
                <w:ilvl w:val="0"/>
                <w:numId w:val="0"/>
              </w:numPr>
            </w:pPr>
            <w:r w:rsidRPr="006831B0">
              <w:t xml:space="preserve">Carriers and CSPs who become accredited </w:t>
            </w:r>
            <w:r w:rsidR="00DF664D" w:rsidRPr="006831B0">
              <w:t>(and use the data to offer services within the telecommunications sector)</w:t>
            </w:r>
          </w:p>
        </w:tc>
        <w:tc>
          <w:tcPr>
            <w:tcW w:w="4395" w:type="dxa"/>
          </w:tcPr>
          <w:p w14:paraId="1594D251" w14:textId="4BBA439E" w:rsidR="00614D74" w:rsidRPr="006831B0" w:rsidRDefault="00B927DA" w:rsidP="00E43240">
            <w:pPr>
              <w:pStyle w:val="Normal-Numberedparagraphs"/>
              <w:numPr>
                <w:ilvl w:val="0"/>
                <w:numId w:val="0"/>
              </w:numPr>
            </w:pPr>
            <w:r w:rsidRPr="006831B0">
              <w:t>Telecommunications Industry Ombudsman</w:t>
            </w:r>
          </w:p>
        </w:tc>
      </w:tr>
      <w:tr w:rsidR="00DF664D" w14:paraId="3126870B" w14:textId="77777777" w:rsidTr="00EB3C6F">
        <w:tc>
          <w:tcPr>
            <w:tcW w:w="4171" w:type="dxa"/>
          </w:tcPr>
          <w:p w14:paraId="4EA076A1" w14:textId="3084F5B2" w:rsidR="00DF664D" w:rsidRPr="006831B0" w:rsidRDefault="00DF664D" w:rsidP="00E43240">
            <w:pPr>
              <w:pStyle w:val="Normal-Numberedparagraphs"/>
              <w:numPr>
                <w:ilvl w:val="0"/>
                <w:numId w:val="0"/>
              </w:numPr>
            </w:pPr>
            <w:r w:rsidRPr="006831B0">
              <w:t>Carriers and CSPs who become accredited (and use the data to offer services outside of the telecommunications sector)</w:t>
            </w:r>
          </w:p>
        </w:tc>
        <w:tc>
          <w:tcPr>
            <w:tcW w:w="4395" w:type="dxa"/>
          </w:tcPr>
          <w:p w14:paraId="7CF3D45A" w14:textId="79451FB7" w:rsidR="00DF664D" w:rsidRDefault="00DF664D" w:rsidP="00E43240">
            <w:pPr>
              <w:pStyle w:val="Normal-Numberedparagraphs"/>
              <w:numPr>
                <w:ilvl w:val="0"/>
                <w:numId w:val="0"/>
              </w:numPr>
            </w:pPr>
            <w:r w:rsidRPr="006831B0">
              <w:t>Australian Financial Complaints Authority</w:t>
            </w:r>
            <w:r w:rsidR="00F41405">
              <w:t xml:space="preserve"> </w:t>
            </w:r>
          </w:p>
        </w:tc>
      </w:tr>
    </w:tbl>
    <w:p w14:paraId="1309E1EF" w14:textId="77777777" w:rsidR="00E43240" w:rsidRDefault="00E43240" w:rsidP="00EB3C6F">
      <w:pPr>
        <w:pStyle w:val="Normal-Numberedparagraphs"/>
        <w:numPr>
          <w:ilvl w:val="0"/>
          <w:numId w:val="0"/>
        </w:numPr>
        <w:ind w:left="360" w:hanging="360"/>
      </w:pPr>
    </w:p>
    <w:p w14:paraId="1C727072" w14:textId="1ECF092F" w:rsidR="00D06B19" w:rsidRDefault="00D06B19" w:rsidP="00BD6DBA">
      <w:pPr>
        <w:pStyle w:val="Heading2"/>
        <w:numPr>
          <w:ilvl w:val="1"/>
          <w:numId w:val="7"/>
        </w:numPr>
        <w:tabs>
          <w:tab w:val="num" w:pos="1560"/>
        </w:tabs>
        <w:ind w:left="426" w:hanging="426"/>
        <w:contextualSpacing/>
      </w:pPr>
      <w:bookmarkStart w:id="128" w:name="_Toc95128703"/>
      <w:bookmarkStart w:id="129" w:name="_Toc95141274"/>
      <w:bookmarkStart w:id="130" w:name="_Toc95128704"/>
      <w:bookmarkStart w:id="131" w:name="_Toc95141275"/>
      <w:bookmarkStart w:id="132" w:name="_Toc95128705"/>
      <w:bookmarkStart w:id="133" w:name="_Toc95141276"/>
      <w:bookmarkStart w:id="134" w:name="_Toc95128709"/>
      <w:bookmarkStart w:id="135" w:name="_Toc95141280"/>
      <w:bookmarkStart w:id="136" w:name="_Toc94601277"/>
      <w:bookmarkStart w:id="137" w:name="_Toc94692579"/>
      <w:bookmarkStart w:id="138" w:name="_Toc94712971"/>
      <w:bookmarkStart w:id="139" w:name="_Toc94713896"/>
      <w:bookmarkStart w:id="140" w:name="_Toc94797445"/>
      <w:bookmarkStart w:id="141" w:name="_Toc93315779"/>
      <w:bookmarkStart w:id="142" w:name="_Toc96353759"/>
      <w:bookmarkEnd w:id="122"/>
      <w:bookmarkEnd w:id="128"/>
      <w:bookmarkEnd w:id="129"/>
      <w:bookmarkEnd w:id="130"/>
      <w:bookmarkEnd w:id="131"/>
      <w:bookmarkEnd w:id="132"/>
      <w:bookmarkEnd w:id="133"/>
      <w:bookmarkEnd w:id="134"/>
      <w:bookmarkEnd w:id="135"/>
      <w:bookmarkEnd w:id="136"/>
      <w:bookmarkEnd w:id="137"/>
      <w:bookmarkEnd w:id="138"/>
      <w:bookmarkEnd w:id="139"/>
      <w:bookmarkEnd w:id="140"/>
      <w:r w:rsidRPr="00E212B2">
        <w:rPr>
          <w:color w:val="2E74B5" w:themeColor="accent1" w:themeShade="BF"/>
        </w:rPr>
        <w:t>Standards considerations</w:t>
      </w:r>
      <w:bookmarkEnd w:id="141"/>
      <w:bookmarkEnd w:id="142"/>
    </w:p>
    <w:p w14:paraId="6D508746" w14:textId="77777777" w:rsidR="00D06B19" w:rsidRPr="00EB3C6F" w:rsidRDefault="00D06B19" w:rsidP="00D06B19">
      <w:pPr>
        <w:pStyle w:val="Heading3"/>
        <w:rPr>
          <w:b/>
          <w:color w:val="auto"/>
        </w:rPr>
      </w:pPr>
      <w:bookmarkStart w:id="143" w:name="_Toc93315780"/>
      <w:bookmarkStart w:id="144" w:name="_Toc96353760"/>
      <w:bookmarkStart w:id="145" w:name="_Hlk94711629"/>
      <w:r w:rsidRPr="00EB3C6F">
        <w:rPr>
          <w:b/>
          <w:color w:val="auto"/>
        </w:rPr>
        <w:t>Technical standards considerations</w:t>
      </w:r>
      <w:bookmarkEnd w:id="143"/>
      <w:bookmarkEnd w:id="144"/>
    </w:p>
    <w:p w14:paraId="5144EAF3" w14:textId="1BF91D70" w:rsidR="003F1DBE" w:rsidRDefault="00FF4F58" w:rsidP="003F1DBE">
      <w:pPr>
        <w:pStyle w:val="Normal-Numberedparagraphs"/>
      </w:pPr>
      <w:r>
        <w:t xml:space="preserve">DSB is </w:t>
      </w:r>
      <w:r w:rsidR="00C379EC">
        <w:t xml:space="preserve">minded to </w:t>
      </w:r>
      <w:r w:rsidR="006940DE">
        <w:t xml:space="preserve">CDR </w:t>
      </w:r>
      <w:r w:rsidR="00B327AF">
        <w:t xml:space="preserve">standards for the </w:t>
      </w:r>
      <w:r w:rsidR="006940DE">
        <w:t xml:space="preserve">telecommunications </w:t>
      </w:r>
      <w:r w:rsidR="00B327AF">
        <w:t xml:space="preserve">sector to align </w:t>
      </w:r>
      <w:r w:rsidR="006940DE">
        <w:t>with</w:t>
      </w:r>
      <w:r w:rsidR="00E70F4F">
        <w:t xml:space="preserve"> </w:t>
      </w:r>
      <w:r w:rsidR="00B327AF">
        <w:t xml:space="preserve">existing </w:t>
      </w:r>
      <w:r w:rsidR="00E70F4F">
        <w:t xml:space="preserve">telecommunications industry standards for sharing data such as the </w:t>
      </w:r>
      <w:hyperlink r:id="rId47">
        <w:r w:rsidR="00E70F4F">
          <w:rPr>
            <w:rStyle w:val="Hyperlink"/>
          </w:rPr>
          <w:t>TM Forum</w:t>
        </w:r>
      </w:hyperlink>
      <w:r w:rsidR="00E70F4F">
        <w:t xml:space="preserve"> and </w:t>
      </w:r>
      <w:hyperlink r:id="rId48">
        <w:r w:rsidR="00E70F4F">
          <w:rPr>
            <w:rStyle w:val="Hyperlink"/>
          </w:rPr>
          <w:t>Global System for Mobile Communications</w:t>
        </w:r>
      </w:hyperlink>
      <w:r w:rsidR="00E70F4F">
        <w:t xml:space="preserve"> (GSMA). </w:t>
      </w:r>
    </w:p>
    <w:p w14:paraId="7D48100A" w14:textId="3EEB0816" w:rsidR="00E70F4F" w:rsidRDefault="00D02F07" w:rsidP="00BD6DBA">
      <w:pPr>
        <w:pStyle w:val="Normal-Numberedparagraphs"/>
      </w:pPr>
      <w:r>
        <w:t>In relation to i</w:t>
      </w:r>
      <w:r w:rsidR="00E70F4F">
        <w:t>dentity management</w:t>
      </w:r>
      <w:r>
        <w:t xml:space="preserve">, </w:t>
      </w:r>
      <w:r w:rsidR="004F5308">
        <w:t>DSB</w:t>
      </w:r>
      <w:r>
        <w:t xml:space="preserve"> is minded to </w:t>
      </w:r>
      <w:r w:rsidR="00E70F4F">
        <w:t xml:space="preserve">utilising current in place identity and access management systems, government identity initiatives such </w:t>
      </w:r>
      <w:proofErr w:type="spellStart"/>
      <w:r w:rsidR="00E70F4F">
        <w:t>myGovID</w:t>
      </w:r>
      <w:proofErr w:type="spellEnd"/>
      <w:r w:rsidR="00E70F4F">
        <w:t xml:space="preserve"> or </w:t>
      </w:r>
      <w:proofErr w:type="gramStart"/>
      <w:r w:rsidR="00E70F4F">
        <w:t>third party</w:t>
      </w:r>
      <w:proofErr w:type="gramEnd"/>
      <w:r w:rsidR="00E70F4F">
        <w:t xml:space="preserve"> identity providers.</w:t>
      </w:r>
    </w:p>
    <w:p w14:paraId="509C54A1" w14:textId="670B5D54" w:rsidR="00E70F4F" w:rsidRDefault="006940DE" w:rsidP="00BD6DBA">
      <w:pPr>
        <w:pStyle w:val="Normal-Numberedparagraphs"/>
      </w:pPr>
      <w:r>
        <w:t>We seek feedback as to whether there are a</w:t>
      </w:r>
      <w:r w:rsidR="00E70F4F">
        <w:t xml:space="preserve">ny specific </w:t>
      </w:r>
      <w:r w:rsidR="00B327AF">
        <w:t xml:space="preserve">regulatory frameworks </w:t>
      </w:r>
      <w:r w:rsidR="00E70F4F">
        <w:t xml:space="preserve">for the telecommunications sector </w:t>
      </w:r>
      <w:r w:rsidR="00B327AF">
        <w:t xml:space="preserve">that align with </w:t>
      </w:r>
      <w:r w:rsidR="00E70F4F">
        <w:t xml:space="preserve">the current standards </w:t>
      </w:r>
      <w:hyperlink r:id="rId49" w:anchor="security-profile" w:history="1">
        <w:r w:rsidR="00E70F4F">
          <w:rPr>
            <w:rStyle w:val="Hyperlink"/>
          </w:rPr>
          <w:t>Security Profile</w:t>
        </w:r>
      </w:hyperlink>
      <w:r w:rsidR="00E70F4F">
        <w:t>.</w:t>
      </w:r>
      <w:r w:rsidR="00D02F07">
        <w:t xml:space="preserve"> </w:t>
      </w:r>
      <w:r w:rsidR="007B73E7">
        <w:t xml:space="preserve">For example, </w:t>
      </w:r>
      <w:r w:rsidR="007B73E7">
        <w:lastRenderedPageBreak/>
        <w:t xml:space="preserve">whether </w:t>
      </w:r>
      <w:r w:rsidR="0047436F">
        <w:t xml:space="preserve">carriers or CSPs </w:t>
      </w:r>
      <w:r w:rsidR="007B73E7">
        <w:t xml:space="preserve">use the GSMA’s Mobile Connect API, which is a universal identity service that enables authentication, </w:t>
      </w:r>
      <w:proofErr w:type="gramStart"/>
      <w:r w:rsidR="007B73E7">
        <w:t>authorisation</w:t>
      </w:r>
      <w:proofErr w:type="gramEnd"/>
      <w:r w:rsidR="007B73E7">
        <w:t xml:space="preserve"> and secure identity verification. </w:t>
      </w:r>
    </w:p>
    <w:p w14:paraId="45627BAB" w14:textId="241419CD" w:rsidR="00D06B19" w:rsidRDefault="00AC64BF" w:rsidP="007F6CF3">
      <w:pPr>
        <w:pStyle w:val="Normal-Numberedparagraphs"/>
        <w:suppressAutoHyphens/>
      </w:pPr>
      <w:bookmarkStart w:id="146" w:name="_Hlk94711614"/>
      <w:r>
        <w:t>Aside</w:t>
      </w:r>
      <w:r w:rsidR="00C379EC">
        <w:t xml:space="preserve"> </w:t>
      </w:r>
      <w:r>
        <w:t>from being relevant to the rules</w:t>
      </w:r>
      <w:r w:rsidR="00C379EC">
        <w:t xml:space="preserve">, </w:t>
      </w:r>
      <w:r>
        <w:t>the identification of data flows for white labelling arrangements is also relevant for the technical standards.</w:t>
      </w:r>
      <w:r w:rsidR="00C379EC">
        <w:t xml:space="preserve"> </w:t>
      </w:r>
      <w:r>
        <w:t>W</w:t>
      </w:r>
      <w:r w:rsidR="00C379EC">
        <w:t xml:space="preserve">e seek feedback on whether </w:t>
      </w:r>
      <w:r w:rsidR="00E70F4F">
        <w:t>the</w:t>
      </w:r>
      <w:r w:rsidR="00AB18AD">
        <w:t xml:space="preserve"> architecture of white labelling arrangements in telecommunications is covered by the existing standard data flow in the standards (see </w:t>
      </w:r>
      <w:r w:rsidR="00AB18AD">
        <w:rPr>
          <w:b/>
          <w:bCs/>
        </w:rPr>
        <w:t>Figure 1</w:t>
      </w:r>
      <w:r w:rsidR="00AB18AD">
        <w:t>)</w:t>
      </w:r>
      <w:r w:rsidR="00FB3717">
        <w:t xml:space="preserve">. </w:t>
      </w:r>
      <w:r w:rsidR="00AB18AD">
        <w:t xml:space="preserve">If not, </w:t>
      </w:r>
      <w:r>
        <w:t xml:space="preserve">we seek feedback on </w:t>
      </w:r>
      <w:r w:rsidR="0004776B">
        <w:t>any</w:t>
      </w:r>
      <w:r w:rsidR="00AB18AD">
        <w:t xml:space="preserve"> white labelling arrangements </w:t>
      </w:r>
      <w:r w:rsidR="0004776B">
        <w:t xml:space="preserve">that </w:t>
      </w:r>
      <w:r w:rsidR="00AB18AD">
        <w:t>exist within the sector (for example, a brand owner that outsources products to numerous white labellers)</w:t>
      </w:r>
      <w:r w:rsidR="0004776B">
        <w:t xml:space="preserve">. </w:t>
      </w:r>
    </w:p>
    <w:tbl>
      <w:tblPr>
        <w:tblStyle w:val="TableGrid"/>
        <w:tblW w:w="0" w:type="auto"/>
        <w:tblLook w:val="04A0" w:firstRow="1" w:lastRow="0" w:firstColumn="1" w:lastColumn="0" w:noHBand="0" w:noVBand="1"/>
      </w:tblPr>
      <w:tblGrid>
        <w:gridCol w:w="9016"/>
      </w:tblGrid>
      <w:tr w:rsidR="008E7B6D" w14:paraId="5ED5433D" w14:textId="77777777" w:rsidTr="00D6014E">
        <w:tc>
          <w:tcPr>
            <w:tcW w:w="9016" w:type="dxa"/>
            <w:tcBorders>
              <w:top w:val="single" w:sz="4" w:space="0" w:color="auto"/>
              <w:left w:val="single" w:sz="4" w:space="0" w:color="auto"/>
              <w:bottom w:val="single" w:sz="4" w:space="0" w:color="auto"/>
              <w:right w:val="single" w:sz="4" w:space="0" w:color="auto"/>
            </w:tcBorders>
            <w:hideMark/>
          </w:tcPr>
          <w:bookmarkEnd w:id="145"/>
          <w:bookmarkEnd w:id="146"/>
          <w:p w14:paraId="049006A3" w14:textId="03C2674A" w:rsidR="008E7B6D" w:rsidRDefault="00933B2F" w:rsidP="00D6014E">
            <w:pPr>
              <w:pStyle w:val="OutlineNumbered1"/>
              <w:numPr>
                <w:ilvl w:val="0"/>
                <w:numId w:val="0"/>
              </w:numPr>
              <w:tabs>
                <w:tab w:val="left" w:pos="720"/>
              </w:tabs>
              <w:ind w:left="520" w:hanging="520"/>
              <w:rPr>
                <w:b/>
                <w:bCs/>
              </w:rPr>
            </w:pPr>
            <w:r>
              <w:rPr>
                <w:b/>
                <w:bCs/>
              </w:rPr>
              <w:t>Standards q</w:t>
            </w:r>
            <w:r w:rsidR="008E7B6D">
              <w:rPr>
                <w:b/>
                <w:bCs/>
              </w:rPr>
              <w:t>uestions</w:t>
            </w:r>
          </w:p>
          <w:p w14:paraId="449CF82D" w14:textId="312BEBDF" w:rsidR="008E7B6D" w:rsidRPr="00EB3C6F" w:rsidRDefault="008E7B6D" w:rsidP="00D6014E">
            <w:pPr>
              <w:pStyle w:val="OutlineNumbered1"/>
              <w:rPr>
                <w:rStyle w:val="Hyperlink"/>
                <w:color w:val="auto"/>
                <w:u w:val="none"/>
              </w:rPr>
            </w:pPr>
            <w:r>
              <w:t xml:space="preserve">Are there any specific </w:t>
            </w:r>
            <w:r w:rsidR="00B327AF">
              <w:t xml:space="preserve">regulatory frameworks </w:t>
            </w:r>
            <w:r>
              <w:t xml:space="preserve">for the telecommunications sector </w:t>
            </w:r>
            <w:r w:rsidR="00B327AF">
              <w:t xml:space="preserve">that align with </w:t>
            </w:r>
            <w:r>
              <w:t xml:space="preserve">the current standards </w:t>
            </w:r>
            <w:hyperlink r:id="rId50" w:anchor="security-profile" w:history="1">
              <w:r>
                <w:rPr>
                  <w:rStyle w:val="Hyperlink"/>
                </w:rPr>
                <w:t>Security Profile</w:t>
              </w:r>
            </w:hyperlink>
            <w:r>
              <w:rPr>
                <w:rStyle w:val="Hyperlink"/>
              </w:rPr>
              <w:t xml:space="preserve">? </w:t>
            </w:r>
          </w:p>
          <w:p w14:paraId="245B54E9" w14:textId="0A205896" w:rsidR="008E7B6D" w:rsidRDefault="005D2D90">
            <w:pPr>
              <w:pStyle w:val="OutlineNumbered1"/>
            </w:pPr>
            <w:r>
              <w:t xml:space="preserve">Is the architecture of white labelling arrangements in telecommunications captured by the </w:t>
            </w:r>
            <w:r w:rsidR="00D02A4E">
              <w:t>standard data flow?</w:t>
            </w:r>
            <w:r>
              <w:t xml:space="preserve"> </w:t>
            </w:r>
            <w:r w:rsidR="0018186C">
              <w:t xml:space="preserve">If not, what other data flows exist for white labelled products in telecommunications? </w:t>
            </w:r>
          </w:p>
        </w:tc>
      </w:tr>
    </w:tbl>
    <w:p w14:paraId="02E5B266" w14:textId="77777777" w:rsidR="008E7B6D" w:rsidRDefault="008E7B6D" w:rsidP="00EB3C6F">
      <w:pPr>
        <w:pStyle w:val="Normal-Numberedparagraphs"/>
        <w:numPr>
          <w:ilvl w:val="0"/>
          <w:numId w:val="0"/>
        </w:numPr>
        <w:suppressAutoHyphens/>
      </w:pPr>
    </w:p>
    <w:p w14:paraId="6E2F370B" w14:textId="3F3D98F6" w:rsidR="00D06B19" w:rsidRPr="00BD6DBA" w:rsidRDefault="00D06B19" w:rsidP="00D06B19">
      <w:pPr>
        <w:pStyle w:val="Heading3"/>
        <w:rPr>
          <w:b/>
          <w:color w:val="auto"/>
        </w:rPr>
      </w:pPr>
      <w:bookmarkStart w:id="147" w:name="_Toc96353761"/>
      <w:bookmarkStart w:id="148" w:name="_Toc93315781"/>
      <w:r w:rsidRPr="00BD6DBA">
        <w:rPr>
          <w:b/>
          <w:color w:val="auto"/>
        </w:rPr>
        <w:t>Consumer experience consideration</w:t>
      </w:r>
      <w:r w:rsidR="004002B0">
        <w:rPr>
          <w:b/>
          <w:color w:val="auto"/>
        </w:rPr>
        <w:t>s</w:t>
      </w:r>
      <w:bookmarkEnd w:id="147"/>
      <w:r w:rsidR="00E212B2" w:rsidRPr="00BD6DBA">
        <w:rPr>
          <w:b/>
          <w:color w:val="auto"/>
        </w:rPr>
        <w:t xml:space="preserve"> </w:t>
      </w:r>
      <w:bookmarkEnd w:id="148"/>
    </w:p>
    <w:p w14:paraId="245F9EBA" w14:textId="52173247" w:rsidR="00D06B19" w:rsidRDefault="003A1E28" w:rsidP="00D06B19">
      <w:pPr>
        <w:pStyle w:val="Normal-Numberedparagraphs"/>
      </w:pPr>
      <w:r>
        <w:t xml:space="preserve">Based on the items currently raised above, there are no further consumer experience considerations to add to this section. </w:t>
      </w:r>
    </w:p>
    <w:p w14:paraId="0359179F" w14:textId="77777777" w:rsidR="00D06B19" w:rsidRPr="00B57C2C" w:rsidRDefault="00D06B19" w:rsidP="00BD6DBA">
      <w:pPr>
        <w:pStyle w:val="Heading2"/>
        <w:numPr>
          <w:ilvl w:val="1"/>
          <w:numId w:val="7"/>
        </w:numPr>
        <w:tabs>
          <w:tab w:val="num" w:pos="1560"/>
        </w:tabs>
        <w:ind w:left="426" w:hanging="426"/>
        <w:contextualSpacing/>
        <w:rPr>
          <w:color w:val="2E74B5" w:themeColor="accent1" w:themeShade="BF"/>
        </w:rPr>
      </w:pPr>
      <w:bookmarkStart w:id="149" w:name="_Ref93068885"/>
      <w:bookmarkStart w:id="150" w:name="_Toc93315782"/>
      <w:bookmarkStart w:id="151" w:name="_Toc96353762"/>
      <w:r w:rsidRPr="00B57C2C">
        <w:rPr>
          <w:color w:val="2E74B5" w:themeColor="accent1" w:themeShade="BF"/>
        </w:rPr>
        <w:t xml:space="preserve">Implementation </w:t>
      </w:r>
      <w:r>
        <w:rPr>
          <w:color w:val="2E74B5" w:themeColor="accent1" w:themeShade="BF"/>
        </w:rPr>
        <w:t>c</w:t>
      </w:r>
      <w:r w:rsidRPr="00B57C2C">
        <w:rPr>
          <w:color w:val="2E74B5" w:themeColor="accent1" w:themeShade="BF"/>
        </w:rPr>
        <w:t>onsiderations</w:t>
      </w:r>
      <w:bookmarkEnd w:id="149"/>
      <w:bookmarkEnd w:id="150"/>
      <w:bookmarkEnd w:id="151"/>
    </w:p>
    <w:p w14:paraId="21D27474" w14:textId="689E9895" w:rsidR="003F1DBE" w:rsidRPr="00BD6DBA" w:rsidRDefault="00657ED3" w:rsidP="00BD6DBA">
      <w:pPr>
        <w:pStyle w:val="Heading3"/>
        <w:rPr>
          <w:b/>
        </w:rPr>
      </w:pPr>
      <w:bookmarkStart w:id="152" w:name="_Toc96353763"/>
      <w:r>
        <w:rPr>
          <w:b/>
          <w:color w:val="auto"/>
        </w:rPr>
        <w:t>Staged implementation</w:t>
      </w:r>
      <w:bookmarkEnd w:id="152"/>
    </w:p>
    <w:p w14:paraId="0EE9A56F" w14:textId="2F2F0525" w:rsidR="003E66C3" w:rsidRDefault="00722120" w:rsidP="00AF5873">
      <w:pPr>
        <w:pStyle w:val="Normal-Numberedparagraphs"/>
        <w:suppressAutoHyphens/>
        <w:ind w:left="567" w:hanging="567"/>
      </w:pPr>
      <w:r>
        <w:t xml:space="preserve">The staged application of the CDR </w:t>
      </w:r>
      <w:r w:rsidR="00E064B8">
        <w:t>R</w:t>
      </w:r>
      <w:r>
        <w:t xml:space="preserve">ules to CDR participants was a feature of the rollout of CDR to the banking and energy sectors. </w:t>
      </w:r>
      <w:r w:rsidR="003E66C3">
        <w:t>The banking sector had three phases and phased in obligations both by participants</w:t>
      </w:r>
      <w:r w:rsidR="00AF5873">
        <w:t xml:space="preserve">, </w:t>
      </w:r>
      <w:r w:rsidR="003E66C3">
        <w:t>by type of product</w:t>
      </w:r>
      <w:r w:rsidR="00AF5873">
        <w:t>, and by type of customer (with corporates phased in last)</w:t>
      </w:r>
      <w:r w:rsidR="003E66C3">
        <w:t>. The energy sector ha</w:t>
      </w:r>
      <w:r w:rsidR="00E731A1">
        <w:t>s</w:t>
      </w:r>
      <w:r w:rsidR="003E66C3">
        <w:t xml:space="preserve"> four </w:t>
      </w:r>
      <w:r w:rsidR="005A744E">
        <w:t>tranches</w:t>
      </w:r>
      <w:r w:rsidR="003E66C3">
        <w:t xml:space="preserve"> which phase obligations by participants and by the complexity of data sharing functionality.</w:t>
      </w:r>
    </w:p>
    <w:p w14:paraId="006458E6" w14:textId="55BDDA2E" w:rsidR="00722120" w:rsidRDefault="00722120" w:rsidP="00AF5873">
      <w:pPr>
        <w:pStyle w:val="Normal-Numberedparagraphs"/>
        <w:suppressAutoHyphens/>
        <w:ind w:left="567" w:hanging="567"/>
      </w:pPr>
      <w:r>
        <w:t>We are considering whether a staged approach to introducing data holder obligations may be appropriate</w:t>
      </w:r>
      <w:r w:rsidR="00AA0F46">
        <w:t>.</w:t>
      </w:r>
      <w:r>
        <w:t xml:space="preserve"> For example:</w:t>
      </w:r>
    </w:p>
    <w:p w14:paraId="66B903EF" w14:textId="1D789BDB" w:rsidR="00581C0D" w:rsidRDefault="00AA0F46" w:rsidP="00407171">
      <w:pPr>
        <w:pStyle w:val="Normal-Numberedparagraphs"/>
        <w:numPr>
          <w:ilvl w:val="0"/>
          <w:numId w:val="102"/>
        </w:numPr>
      </w:pPr>
      <w:r>
        <w:t>t</w:t>
      </w:r>
      <w:r w:rsidR="00581C0D">
        <w:t xml:space="preserve">he </w:t>
      </w:r>
      <w:r>
        <w:t xml:space="preserve">first </w:t>
      </w:r>
      <w:r w:rsidR="00581C0D">
        <w:t xml:space="preserve">tranche </w:t>
      </w:r>
      <w:r w:rsidR="00640DB4">
        <w:t>might</w:t>
      </w:r>
      <w:r w:rsidR="00581C0D">
        <w:t xml:space="preserve"> be the </w:t>
      </w:r>
      <w:r w:rsidR="00400810">
        <w:t>largest carriers</w:t>
      </w:r>
      <w:r w:rsidR="00640DB4">
        <w:t xml:space="preserve"> and </w:t>
      </w:r>
      <w:r w:rsidR="004B52EE">
        <w:t>CSPs</w:t>
      </w:r>
      <w:r w:rsidR="007F171C">
        <w:t xml:space="preserve"> </w:t>
      </w:r>
      <w:r w:rsidR="00640DB4">
        <w:t xml:space="preserve">sharing product data </w:t>
      </w:r>
      <w:proofErr w:type="gramStart"/>
      <w:r w:rsidR="00640DB4">
        <w:t>only</w:t>
      </w:r>
      <w:r w:rsidR="00407171">
        <w:t>;</w:t>
      </w:r>
      <w:proofErr w:type="gramEnd"/>
      <w:r w:rsidR="00407171">
        <w:t xml:space="preserve"> </w:t>
      </w:r>
    </w:p>
    <w:p w14:paraId="2AB00D2E" w14:textId="61E41B9B" w:rsidR="00640DB4" w:rsidRDefault="00640DB4" w:rsidP="00EB3C6F">
      <w:pPr>
        <w:pStyle w:val="Normal-Numberedparagraphs"/>
        <w:numPr>
          <w:ilvl w:val="0"/>
          <w:numId w:val="102"/>
        </w:numPr>
      </w:pPr>
      <w:r>
        <w:t xml:space="preserve">the second tranche might be the largest carriers and CSPs sharing consumer data with accredited </w:t>
      </w:r>
      <w:r w:rsidR="000F509B">
        <w:t>data recipients</w:t>
      </w:r>
      <w:r>
        <w:t>; and</w:t>
      </w:r>
    </w:p>
    <w:p w14:paraId="6C28E1D8" w14:textId="0703E7A6" w:rsidR="00154725" w:rsidRDefault="00E60BDE" w:rsidP="00EB3C6F">
      <w:pPr>
        <w:pStyle w:val="Normal-Numberedparagraphs"/>
        <w:numPr>
          <w:ilvl w:val="0"/>
          <w:numId w:val="102"/>
        </w:numPr>
      </w:pPr>
      <w:r>
        <w:t>t</w:t>
      </w:r>
      <w:r w:rsidR="00154725">
        <w:t xml:space="preserve">he </w:t>
      </w:r>
      <w:r w:rsidR="00640DB4">
        <w:t xml:space="preserve">final </w:t>
      </w:r>
      <w:r w:rsidR="00154725">
        <w:t xml:space="preserve">tranche </w:t>
      </w:r>
      <w:r w:rsidR="00640DB4">
        <w:t xml:space="preserve">might </w:t>
      </w:r>
      <w:r w:rsidR="00400810">
        <w:t>b</w:t>
      </w:r>
      <w:r w:rsidR="00796335">
        <w:t>e</w:t>
      </w:r>
      <w:r w:rsidR="00400810">
        <w:t xml:space="preserve"> the </w:t>
      </w:r>
      <w:r w:rsidR="00796335">
        <w:t xml:space="preserve">remaining </w:t>
      </w:r>
      <w:r w:rsidR="00400810">
        <w:t>carriers</w:t>
      </w:r>
      <w:r w:rsidR="00640DB4">
        <w:t xml:space="preserve"> and </w:t>
      </w:r>
      <w:r w:rsidR="008E1F70">
        <w:t>CSPs</w:t>
      </w:r>
      <w:r w:rsidR="00640DB4">
        <w:t xml:space="preserve"> </w:t>
      </w:r>
      <w:r w:rsidR="00F513E8">
        <w:t xml:space="preserve">(subject to a de minimis threshold </w:t>
      </w:r>
      <w:r w:rsidR="00847889">
        <w:t xml:space="preserve">if one </w:t>
      </w:r>
      <w:r w:rsidR="00BB6B21">
        <w:t>is recommended</w:t>
      </w:r>
      <w:r w:rsidR="00F513E8">
        <w:t xml:space="preserve">) </w:t>
      </w:r>
      <w:r w:rsidR="00640DB4">
        <w:t>sharing both product and consumer data</w:t>
      </w:r>
      <w:r w:rsidR="00400810">
        <w:t>.</w:t>
      </w:r>
    </w:p>
    <w:p w14:paraId="37A447BA" w14:textId="4F54101D" w:rsidR="00C14556" w:rsidRDefault="00C14556" w:rsidP="00AF5873">
      <w:pPr>
        <w:pStyle w:val="Normal-Numberedparagraphs"/>
        <w:suppressAutoHyphens/>
        <w:ind w:left="567" w:hanging="567"/>
      </w:pPr>
      <w:r>
        <w:t xml:space="preserve">Additional tranches may potentially be inserted based on customer accounts or based on products. </w:t>
      </w:r>
      <w:r w:rsidR="00AA0F46">
        <w:t>For example, a first tranche p</w:t>
      </w:r>
      <w:r w:rsidR="00407171">
        <w:t>roduct data could be subject to further phasing based on the type of product</w:t>
      </w:r>
      <w:r w:rsidR="00AA0F46">
        <w:t xml:space="preserve"> such as starting with </w:t>
      </w:r>
      <w:r w:rsidR="00406084" w:rsidRPr="00406084">
        <w:t xml:space="preserve">prepaid products.  </w:t>
      </w:r>
    </w:p>
    <w:p w14:paraId="0BEBDE45" w14:textId="3BDA72B8" w:rsidR="00D06B19" w:rsidRDefault="00722120" w:rsidP="00AF5873">
      <w:pPr>
        <w:pStyle w:val="Normal-Numberedparagraphs"/>
        <w:suppressAutoHyphens/>
        <w:ind w:left="567" w:hanging="567"/>
      </w:pPr>
      <w:r>
        <w:lastRenderedPageBreak/>
        <w:t xml:space="preserve">The </w:t>
      </w:r>
      <w:r w:rsidR="00F80D49">
        <w:t>recommended</w:t>
      </w:r>
      <w:r>
        <w:t xml:space="preserve"> implementation timetable is yet to be set by the Australian </w:t>
      </w:r>
      <w:proofErr w:type="gramStart"/>
      <w:r>
        <w:t>Government</w:t>
      </w:r>
      <w:proofErr w:type="gramEnd"/>
      <w:r>
        <w:t xml:space="preserve"> but we welcome feedback on considerations for the potential implementation timetable</w:t>
      </w:r>
      <w:r w:rsidR="00581C0D">
        <w:t xml:space="preserve"> as outlined above.</w:t>
      </w:r>
    </w:p>
    <w:tbl>
      <w:tblPr>
        <w:tblStyle w:val="TableGrid"/>
        <w:tblW w:w="0" w:type="auto"/>
        <w:tblLook w:val="04A0" w:firstRow="1" w:lastRow="0" w:firstColumn="1" w:lastColumn="0" w:noHBand="0" w:noVBand="1"/>
      </w:tblPr>
      <w:tblGrid>
        <w:gridCol w:w="9016"/>
      </w:tblGrid>
      <w:tr w:rsidR="00D06B19" w14:paraId="0002B40D" w14:textId="77777777" w:rsidTr="00E60AFD">
        <w:tc>
          <w:tcPr>
            <w:tcW w:w="9016" w:type="dxa"/>
            <w:tcBorders>
              <w:top w:val="single" w:sz="4" w:space="0" w:color="auto"/>
              <w:left w:val="single" w:sz="4" w:space="0" w:color="auto"/>
              <w:bottom w:val="single" w:sz="4" w:space="0" w:color="auto"/>
              <w:right w:val="single" w:sz="4" w:space="0" w:color="auto"/>
            </w:tcBorders>
            <w:hideMark/>
          </w:tcPr>
          <w:p w14:paraId="72BAB6AF" w14:textId="49A4CB5F" w:rsidR="00D06B19" w:rsidRDefault="00F34520" w:rsidP="00D36CC1">
            <w:pPr>
              <w:pStyle w:val="OutlineNumbered1"/>
              <w:keepNext/>
              <w:numPr>
                <w:ilvl w:val="0"/>
                <w:numId w:val="0"/>
              </w:numPr>
              <w:tabs>
                <w:tab w:val="left" w:pos="720"/>
              </w:tabs>
              <w:ind w:left="522" w:hanging="522"/>
              <w:rPr>
                <w:b/>
                <w:bCs/>
              </w:rPr>
            </w:pPr>
            <w:bookmarkStart w:id="153" w:name="_Hlk94683149"/>
            <w:r>
              <w:rPr>
                <w:b/>
                <w:bCs/>
              </w:rPr>
              <w:t>Implementation q</w:t>
            </w:r>
            <w:r w:rsidR="00D06B19">
              <w:rPr>
                <w:b/>
                <w:bCs/>
              </w:rPr>
              <w:t>uestion</w:t>
            </w:r>
          </w:p>
          <w:p w14:paraId="7FFF4B8F" w14:textId="338D4316" w:rsidR="00D06B19" w:rsidRDefault="004646FC" w:rsidP="00E60AFD">
            <w:pPr>
              <w:pStyle w:val="OutlineNumbered1"/>
            </w:pPr>
            <w:r>
              <w:t xml:space="preserve">Would you support a </w:t>
            </w:r>
            <w:r w:rsidR="00AF5873">
              <w:t>phased</w:t>
            </w:r>
            <w:r>
              <w:t xml:space="preserve"> approach to the application of CDR </w:t>
            </w:r>
            <w:r w:rsidR="00F513E8">
              <w:t>obligations for the telecommunications sector</w:t>
            </w:r>
            <w:r>
              <w:t>? Why/why not?</w:t>
            </w:r>
            <w:r w:rsidR="0072792F">
              <w:t xml:space="preserve"> If you support a </w:t>
            </w:r>
            <w:r w:rsidR="00AF5873">
              <w:t>phased</w:t>
            </w:r>
            <w:r w:rsidR="0072792F">
              <w:t xml:space="preserve"> approach, how should it be </w:t>
            </w:r>
            <w:r w:rsidR="00AF5873">
              <w:t>phased</w:t>
            </w:r>
            <w:r w:rsidR="0072792F">
              <w:t xml:space="preserve">? </w:t>
            </w:r>
          </w:p>
        </w:tc>
      </w:tr>
      <w:bookmarkEnd w:id="153"/>
    </w:tbl>
    <w:p w14:paraId="354CFB23" w14:textId="7F917F9C" w:rsidR="000E2DD3" w:rsidRDefault="000E2DD3" w:rsidP="00D06B19">
      <w:pPr>
        <w:pStyle w:val="Normal-Numberedparagraphs"/>
        <w:numPr>
          <w:ilvl w:val="0"/>
          <w:numId w:val="0"/>
        </w:numPr>
        <w:ind w:left="360" w:hanging="360"/>
      </w:pPr>
    </w:p>
    <w:p w14:paraId="7C12FD6F" w14:textId="401925DA" w:rsidR="00D06B19" w:rsidRDefault="00D06B19" w:rsidP="004D301C">
      <w:pPr>
        <w:spacing w:after="160"/>
      </w:pPr>
    </w:p>
    <w:sectPr w:rsidR="00D06B19" w:rsidSect="00A2149F">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B4C70" w14:textId="77777777" w:rsidR="00487E89" w:rsidRDefault="00487E89" w:rsidP="009C6A3E">
      <w:pPr>
        <w:spacing w:line="240" w:lineRule="auto"/>
      </w:pPr>
      <w:r>
        <w:separator/>
      </w:r>
    </w:p>
  </w:endnote>
  <w:endnote w:type="continuationSeparator" w:id="0">
    <w:p w14:paraId="2681C29C" w14:textId="77777777" w:rsidR="00487E89" w:rsidRDefault="00487E89" w:rsidP="009C6A3E">
      <w:pPr>
        <w:spacing w:line="240" w:lineRule="auto"/>
      </w:pPr>
      <w:r>
        <w:continuationSeparator/>
      </w:r>
    </w:p>
  </w:endnote>
  <w:endnote w:type="continuationNotice" w:id="1">
    <w:p w14:paraId="1B8873B7" w14:textId="77777777" w:rsidR="00487E89" w:rsidRDefault="00487E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F719" w14:textId="3E1E6006" w:rsidR="00D6014E" w:rsidRDefault="00D6014E">
    <w:pPr>
      <w:pStyle w:val="Footer"/>
    </w:pPr>
  </w:p>
  <w:p w14:paraId="2E56A2A5" w14:textId="3EA1F553" w:rsidR="00D6014E" w:rsidRDefault="00E013C9" w:rsidP="00880D7B">
    <w:pPr>
      <w:pStyle w:val="SecurityClassificationFooter"/>
    </w:pPr>
    <w:r>
      <w:fldChar w:fldCharType="begin"/>
    </w:r>
    <w:r>
      <w:instrText xml:space="preserve"> DOCPROPERTY WorkingDocStatus \* MERGEFORMAT </w:instrText>
    </w:r>
    <w:r>
      <w:fldChar w:fldCharType="separate"/>
    </w:r>
    <w:r w:rsidR="00897F53">
      <w:rPr>
        <w:b w:val="0"/>
        <w:bCs/>
        <w:lang w:val="en-US"/>
      </w:rPr>
      <w:t>Error! Unknown document property name.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307219"/>
      <w:docPartObj>
        <w:docPartGallery w:val="Page Numbers (Bottom of Page)"/>
        <w:docPartUnique/>
      </w:docPartObj>
    </w:sdtPr>
    <w:sdtEndPr>
      <w:rPr>
        <w:color w:val="7F7F7F" w:themeColor="background1" w:themeShade="7F"/>
        <w:spacing w:val="60"/>
        <w:sz w:val="16"/>
        <w:szCs w:val="16"/>
      </w:rPr>
    </w:sdtEndPr>
    <w:sdtContent>
      <w:p w14:paraId="71BC885F" w14:textId="23FF66B9" w:rsidR="00D6014E" w:rsidRPr="00A2149F" w:rsidRDefault="00D6014E" w:rsidP="00A2149F">
        <w:pPr>
          <w:pStyle w:val="Footer"/>
          <w:pBdr>
            <w:top w:val="single" w:sz="4" w:space="1" w:color="D9D9D9" w:themeColor="background1" w:themeShade="D9"/>
          </w:pBdr>
          <w:jc w:val="right"/>
          <w:rPr>
            <w:sz w:val="16"/>
            <w:szCs w:val="16"/>
          </w:rPr>
        </w:pPr>
        <w:r w:rsidRPr="009A5E56">
          <w:rPr>
            <w:sz w:val="16"/>
            <w:szCs w:val="16"/>
          </w:rPr>
          <w:fldChar w:fldCharType="begin"/>
        </w:r>
        <w:r w:rsidRPr="009A5E56">
          <w:rPr>
            <w:sz w:val="16"/>
            <w:szCs w:val="16"/>
          </w:rPr>
          <w:instrText xml:space="preserve"> PAGE   \* MERGEFORMAT </w:instrText>
        </w:r>
        <w:r w:rsidRPr="009A5E56">
          <w:rPr>
            <w:sz w:val="16"/>
            <w:szCs w:val="16"/>
          </w:rPr>
          <w:fldChar w:fldCharType="separate"/>
        </w:r>
        <w:r>
          <w:rPr>
            <w:noProof/>
            <w:sz w:val="16"/>
            <w:szCs w:val="16"/>
          </w:rPr>
          <w:t>12</w:t>
        </w:r>
        <w:r w:rsidRPr="009A5E56">
          <w:rPr>
            <w:noProof/>
            <w:sz w:val="16"/>
            <w:szCs w:val="16"/>
          </w:rPr>
          <w:fldChar w:fldCharType="end"/>
        </w:r>
        <w:r w:rsidRPr="009A5E56">
          <w:rPr>
            <w:sz w:val="16"/>
            <w:szCs w:val="16"/>
          </w:rPr>
          <w:t xml:space="preserve"> | </w:t>
        </w:r>
        <w:r w:rsidRPr="009A5E56">
          <w:rPr>
            <w:color w:val="7F7F7F" w:themeColor="background1" w:themeShade="7F"/>
            <w:spacing w:val="60"/>
            <w:sz w:val="16"/>
            <w:szCs w:val="16"/>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7D88" w14:textId="36A6C39F" w:rsidR="00D6014E" w:rsidRDefault="00D6014E">
    <w:pPr>
      <w:pStyle w:val="Footer"/>
    </w:pPr>
  </w:p>
  <w:p w14:paraId="36AB8AE5" w14:textId="3D788787" w:rsidR="00D6014E" w:rsidRDefault="00E013C9" w:rsidP="00880D7B">
    <w:pPr>
      <w:pStyle w:val="SecurityClassificationFooter"/>
    </w:pPr>
    <w:r>
      <w:fldChar w:fldCharType="begin"/>
    </w:r>
    <w:r>
      <w:instrText xml:space="preserve"> DOCPROPERTY WorkingDocStatus \* MERGEFORMAT </w:instrText>
    </w:r>
    <w:r>
      <w:fldChar w:fldCharType="separate"/>
    </w:r>
    <w:r w:rsidR="00897F53">
      <w:rPr>
        <w:b w:val="0"/>
        <w:bCs/>
        <w:lang w:val="en-US"/>
      </w:rPr>
      <w:t>Error! Unknown document property name.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8D016" w14:textId="77777777" w:rsidR="00487E89" w:rsidRDefault="00487E89" w:rsidP="009C6A3E">
      <w:pPr>
        <w:spacing w:line="240" w:lineRule="auto"/>
      </w:pPr>
      <w:r>
        <w:separator/>
      </w:r>
    </w:p>
  </w:footnote>
  <w:footnote w:type="continuationSeparator" w:id="0">
    <w:p w14:paraId="683E1554" w14:textId="77777777" w:rsidR="00487E89" w:rsidRDefault="00487E89" w:rsidP="009C6A3E">
      <w:pPr>
        <w:spacing w:line="240" w:lineRule="auto"/>
      </w:pPr>
      <w:r>
        <w:continuationSeparator/>
      </w:r>
    </w:p>
  </w:footnote>
  <w:footnote w:type="continuationNotice" w:id="1">
    <w:p w14:paraId="151A8C02" w14:textId="77777777" w:rsidR="00487E89" w:rsidRDefault="00487E89">
      <w:pPr>
        <w:spacing w:after="0" w:line="240" w:lineRule="auto"/>
      </w:pPr>
    </w:p>
  </w:footnote>
  <w:footnote w:id="2">
    <w:p w14:paraId="4BF0BF36" w14:textId="11828587" w:rsidR="00D6014E" w:rsidRDefault="00D6014E" w:rsidP="0006729B">
      <w:pPr>
        <w:pStyle w:val="FootnoteText"/>
      </w:pPr>
      <w:r w:rsidRPr="00E03EC7">
        <w:rPr>
          <w:rStyle w:val="FootnoteReference"/>
        </w:rPr>
        <w:footnoteRef/>
      </w:r>
      <w:r w:rsidRPr="00E03EC7">
        <w:t xml:space="preserve"> The Designation Instrument is </w:t>
      </w:r>
      <w:r>
        <w:t>available online</w:t>
      </w:r>
      <w:r w:rsidRPr="00E03EC7">
        <w:t xml:space="preserve"> at: </w:t>
      </w:r>
      <w:hyperlink r:id="rId1" w:history="1">
        <w:r w:rsidRPr="00CE712F">
          <w:rPr>
            <w:rStyle w:val="Hyperlink"/>
          </w:rPr>
          <w:t>https://www.legislation.gov.au/Series/F2022L00068</w:t>
        </w:r>
      </w:hyperlink>
      <w:r>
        <w:t>.</w:t>
      </w:r>
    </w:p>
  </w:footnote>
  <w:footnote w:id="3">
    <w:p w14:paraId="00B96D30" w14:textId="65D4AF81" w:rsidR="00D6014E" w:rsidRDefault="00D6014E">
      <w:pPr>
        <w:pStyle w:val="FootnoteText"/>
      </w:pPr>
      <w:r>
        <w:rPr>
          <w:rStyle w:val="FootnoteReference"/>
        </w:rPr>
        <w:footnoteRef/>
      </w:r>
      <w:r>
        <w:t xml:space="preserve"> Note: a </w:t>
      </w:r>
      <w:r w:rsidRPr="007C29AA">
        <w:t>data holder may refuse to disclose required consumer data in response to the request</w:t>
      </w:r>
      <w:r>
        <w:t xml:space="preserve"> </w:t>
      </w:r>
      <w:r w:rsidRPr="007C29AA">
        <w:t>if the data holder considers this to be necessary to prevent physical, psychological or financial harm or abuse</w:t>
      </w:r>
      <w:r>
        <w:t>,</w:t>
      </w:r>
      <w:r w:rsidRPr="007C29AA">
        <w:t xml:space="preserve"> in relation to an account that is blocked or suspended</w:t>
      </w:r>
      <w:r>
        <w:t xml:space="preserve">, </w:t>
      </w:r>
      <w:r w:rsidRPr="007C29AA">
        <w:t>or</w:t>
      </w:r>
      <w:r>
        <w:t xml:space="preserve"> </w:t>
      </w:r>
      <w:r w:rsidRPr="007C29AA">
        <w:t>in circumstances (if any) set out in the data standards.</w:t>
      </w:r>
    </w:p>
  </w:footnote>
  <w:footnote w:id="4">
    <w:p w14:paraId="2420F4DC" w14:textId="2B5DC41A" w:rsidR="00D6014E" w:rsidRPr="00AD2289" w:rsidRDefault="00D6014E">
      <w:pPr>
        <w:pStyle w:val="FootnoteText"/>
      </w:pPr>
      <w:r>
        <w:rPr>
          <w:rStyle w:val="FootnoteReference"/>
        </w:rPr>
        <w:footnoteRef/>
      </w:r>
      <w:r>
        <w:t xml:space="preserve"> See Section 56FA of the </w:t>
      </w:r>
      <w:r>
        <w:rPr>
          <w:i/>
          <w:iCs/>
        </w:rPr>
        <w:t xml:space="preserve">Competition and Consumer Act 2010 </w:t>
      </w:r>
      <w:r>
        <w:t>(Cth).</w:t>
      </w:r>
    </w:p>
  </w:footnote>
  <w:footnote w:id="5">
    <w:p w14:paraId="28540E32" w14:textId="64DD1FE8" w:rsidR="00D6014E" w:rsidRDefault="00D6014E" w:rsidP="00C67408">
      <w:pPr>
        <w:pStyle w:val="FootnoteText"/>
      </w:pPr>
      <w:r>
        <w:rPr>
          <w:rStyle w:val="FootnoteReference"/>
        </w:rPr>
        <w:footnoteRef/>
      </w:r>
      <w:r>
        <w:t xml:space="preserve"> The current version of the standards is available online at: </w:t>
      </w:r>
      <w:hyperlink r:id="rId2" w:history="1">
        <w:r w:rsidRPr="00C92EF1">
          <w:rPr>
            <w:rStyle w:val="Hyperlink"/>
          </w:rPr>
          <w:t>https://consumerdatastandardsaustralia.github.io/standards/</w:t>
        </w:r>
      </w:hyperlink>
      <w:r>
        <w:t>.</w:t>
      </w:r>
    </w:p>
  </w:footnote>
  <w:footnote w:id="6">
    <w:p w14:paraId="677FD4EC" w14:textId="6383F88D" w:rsidR="00D6014E" w:rsidRDefault="00D6014E">
      <w:pPr>
        <w:pStyle w:val="FootnoteText"/>
      </w:pPr>
      <w:r>
        <w:rPr>
          <w:rStyle w:val="FootnoteReference"/>
        </w:rPr>
        <w:footnoteRef/>
      </w:r>
      <w:r>
        <w:t xml:space="preserve"> For more information on the regular maintenance process for the standards visit GitHub: </w:t>
      </w:r>
      <w:hyperlink r:id="rId3" w:history="1">
        <w:r w:rsidRPr="00C92EF1">
          <w:rPr>
            <w:rStyle w:val="Hyperlink"/>
          </w:rPr>
          <w:t>https://github.com/ConsumerDataStandardsAustralia/standards-maintenance</w:t>
        </w:r>
      </w:hyperlink>
      <w:r w:rsidR="00DE711A">
        <w:t>.</w:t>
      </w:r>
    </w:p>
  </w:footnote>
  <w:footnote w:id="7">
    <w:p w14:paraId="3EC6917C" w14:textId="0C96584A" w:rsidR="00D6014E" w:rsidRDefault="00D6014E">
      <w:pPr>
        <w:pStyle w:val="FootnoteText"/>
      </w:pPr>
      <w:r>
        <w:rPr>
          <w:rStyle w:val="FootnoteReference"/>
        </w:rPr>
        <w:footnoteRef/>
      </w:r>
      <w:r>
        <w:t xml:space="preserve"> See section 9 of the Designation Instrument. Note that l</w:t>
      </w:r>
      <w:r w:rsidRPr="00C81670">
        <w:t xml:space="preserve">ocation data is excluded but </w:t>
      </w:r>
      <w:r>
        <w:t xml:space="preserve">account information such as </w:t>
      </w:r>
      <w:r w:rsidRPr="00C81670">
        <w:t xml:space="preserve">a customer’s address </w:t>
      </w:r>
      <w:r>
        <w:t xml:space="preserve">has not been excluded as it is not </w:t>
      </w:r>
      <w:r w:rsidRPr="00C81670">
        <w:t>considered location data.</w:t>
      </w:r>
    </w:p>
  </w:footnote>
  <w:footnote w:id="8">
    <w:p w14:paraId="0074E3A9" w14:textId="5CC49B17" w:rsidR="00D6014E" w:rsidRDefault="00D6014E">
      <w:pPr>
        <w:pStyle w:val="FootnoteText"/>
      </w:pPr>
      <w:r>
        <w:rPr>
          <w:rStyle w:val="FootnoteReference"/>
        </w:rPr>
        <w:footnoteRef/>
      </w:r>
      <w:r>
        <w:t xml:space="preserve"> Generally, we consider enterprise customers to be large businesses or companies (but would not include s</w:t>
      </w:r>
      <w:r w:rsidRPr="00A97BC3">
        <w:t>mall and medium-sized enterprises</w:t>
      </w:r>
      <w:r>
        <w:t>).</w:t>
      </w:r>
    </w:p>
  </w:footnote>
  <w:footnote w:id="9">
    <w:p w14:paraId="7C25F29B" w14:textId="62BADBB2" w:rsidR="00D6014E" w:rsidRPr="00D20F93" w:rsidRDefault="00D6014E" w:rsidP="000C0564">
      <w:pPr>
        <w:pStyle w:val="FootnoteText"/>
      </w:pPr>
      <w:r>
        <w:rPr>
          <w:rStyle w:val="FootnoteReference"/>
        </w:rPr>
        <w:footnoteRef/>
      </w:r>
      <w:r>
        <w:t xml:space="preserve"> </w:t>
      </w:r>
      <w:r>
        <w:rPr>
          <w:i/>
          <w:iCs/>
        </w:rPr>
        <w:t xml:space="preserve">Competition and Consumer (Consumer Data Right) Rules 2020, </w:t>
      </w:r>
      <w:r>
        <w:t xml:space="preserve">Schedules 3 and 4, </w:t>
      </w:r>
      <w:r w:rsidR="00E75AF4">
        <w:t>c</w:t>
      </w:r>
      <w:r w:rsidR="00DE711A">
        <w:t xml:space="preserve">lauses </w:t>
      </w:r>
      <w:r>
        <w:t>1.3, 3.1 and 3.2</w:t>
      </w:r>
      <w:r w:rsidR="00DE711A">
        <w:t>.</w:t>
      </w:r>
    </w:p>
  </w:footnote>
  <w:footnote w:id="10">
    <w:p w14:paraId="5FED3604" w14:textId="7C0E300A" w:rsidR="00D6014E" w:rsidRDefault="00D6014E">
      <w:pPr>
        <w:pStyle w:val="FootnoteText"/>
      </w:pPr>
      <w:r>
        <w:rPr>
          <w:rStyle w:val="FootnoteReference"/>
        </w:rPr>
        <w:footnoteRef/>
      </w:r>
      <w:r>
        <w:t xml:space="preserve"> </w:t>
      </w:r>
      <w:r w:rsidRPr="00DD4621">
        <w:t>We note</w:t>
      </w:r>
      <w:r>
        <w:t xml:space="preserve"> that clause 5.3.1 of the </w:t>
      </w:r>
      <w:bookmarkStart w:id="62" w:name="_Hlk95492494"/>
      <w:r>
        <w:fldChar w:fldCharType="begin"/>
      </w:r>
      <w:r>
        <w:instrText>HYPERLINK "https://www.commsalliance.com.au/__data/assets/pdf_file/0011/64784/TCP-C628_2019.pdf"</w:instrText>
      </w:r>
      <w:r>
        <w:fldChar w:fldCharType="separate"/>
      </w:r>
      <w:r>
        <w:rPr>
          <w:rStyle w:val="Hyperlink"/>
        </w:rPr>
        <w:t>Telecommunications Consumer Protections Code</w:t>
      </w:r>
      <w:r>
        <w:fldChar w:fldCharType="end"/>
      </w:r>
      <w:r>
        <w:t xml:space="preserve"> </w:t>
      </w:r>
      <w:bookmarkEnd w:id="62"/>
      <w:r>
        <w:t xml:space="preserve">sets out bill content requirements but does not specify the different types of usage data to be displayed on the bill. </w:t>
      </w:r>
    </w:p>
  </w:footnote>
  <w:footnote w:id="11">
    <w:p w14:paraId="5738E36F" w14:textId="51374712" w:rsidR="00D6014E" w:rsidRDefault="00D6014E">
      <w:pPr>
        <w:pStyle w:val="FootnoteText"/>
      </w:pPr>
      <w:r>
        <w:rPr>
          <w:rStyle w:val="FootnoteReference"/>
        </w:rPr>
        <w:footnoteRef/>
      </w:r>
      <w:r>
        <w:t xml:space="preserve"> </w:t>
      </w:r>
      <w:r w:rsidRPr="006857C5">
        <w:t xml:space="preserve">Note: </w:t>
      </w:r>
      <w:r>
        <w:t xml:space="preserve">While there is no time limit for the data request, the data that is available to be shared </w:t>
      </w:r>
      <w:r w:rsidRPr="006857C5">
        <w:t xml:space="preserve">is </w:t>
      </w:r>
      <w:r>
        <w:t xml:space="preserve">still </w:t>
      </w:r>
      <w:r w:rsidRPr="006857C5">
        <w:t xml:space="preserve">subject to the requirement to </w:t>
      </w:r>
      <w:r>
        <w:t xml:space="preserve">the requirement to </w:t>
      </w:r>
      <w:r w:rsidRPr="006857C5">
        <w:t>have at least one open account</w:t>
      </w:r>
      <w:r>
        <w:t xml:space="preserve"> </w:t>
      </w:r>
      <w:r w:rsidRPr="006857C5">
        <w:t>and</w:t>
      </w:r>
      <w:r>
        <w:t xml:space="preserve">, in relation to </w:t>
      </w:r>
      <w:r w:rsidRPr="006857C5">
        <w:t>billing data</w:t>
      </w:r>
      <w:r>
        <w:t xml:space="preserve">, that </w:t>
      </w:r>
      <w:r>
        <w:rPr>
          <w:color w:val="000000"/>
          <w:shd w:val="clear" w:color="auto" w:fill="FFFFFF"/>
        </w:rPr>
        <w:t xml:space="preserve">the data is within </w:t>
      </w:r>
      <w:r w:rsidRPr="00162DE5">
        <w:rPr>
          <w:color w:val="000000"/>
          <w:shd w:val="clear" w:color="auto" w:fill="FFFFFF"/>
        </w:rPr>
        <w:t xml:space="preserve">2 years </w:t>
      </w:r>
      <w:r>
        <w:rPr>
          <w:color w:val="000000"/>
          <w:shd w:val="clear" w:color="auto" w:fill="FFFFFF"/>
        </w:rPr>
        <w:t xml:space="preserve">of </w:t>
      </w:r>
      <w:r w:rsidRPr="00162DE5">
        <w:rPr>
          <w:color w:val="000000"/>
          <w:shd w:val="clear" w:color="auto" w:fill="FFFFFF"/>
        </w:rPr>
        <w:t>the day of the request.</w:t>
      </w:r>
    </w:p>
  </w:footnote>
  <w:footnote w:id="12">
    <w:p w14:paraId="7C790810" w14:textId="19836868" w:rsidR="00D6014E" w:rsidRDefault="00D6014E" w:rsidP="00013765">
      <w:pPr>
        <w:pStyle w:val="FootnoteText"/>
      </w:pPr>
      <w:r>
        <w:rPr>
          <w:rStyle w:val="FootnoteReference"/>
        </w:rPr>
        <w:footnoteRef/>
      </w:r>
      <w:r>
        <w:t xml:space="preserve"> Under the CDR Rules, a person must have account privileges in relation to an account with a data holder in order to be a secondary user for the account. The definition of account privileges is sector-specific. For example, in the energy sector, a person has account privileges if they are authorised to access data under national energy legislation.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1E02" w14:textId="7DA19C8E" w:rsidR="00D6014E" w:rsidRPr="00880D7B" w:rsidRDefault="00D6014E" w:rsidP="00880D7B">
    <w:pPr>
      <w:pStyle w:val="SecurityClassificationHeader"/>
    </w:pPr>
    <w:r w:rsidRPr="00341612">
      <w:rPr>
        <w:highlight w:val="yellow"/>
      </w:rPr>
      <w:fldChar w:fldCharType="begin"/>
    </w:r>
    <w:r w:rsidRPr="00341612">
      <w:rPr>
        <w:highlight w:val="yellow"/>
      </w:rPr>
      <w:instrText xml:space="preserve"> DOCPROPERTY WorkingDocStatus \* MERGEFORMAT </w:instrText>
    </w:r>
    <w:r w:rsidRPr="00341612">
      <w:rPr>
        <w:highlight w:val="yellow"/>
      </w:rPr>
      <w:fldChar w:fldCharType="separate"/>
    </w:r>
    <w:r w:rsidR="00897F53">
      <w:rPr>
        <w:b w:val="0"/>
        <w:bCs/>
        <w:highlight w:val="yellow"/>
        <w:lang w:val="en-US"/>
      </w:rPr>
      <w:t>Error! Unknown document property name.</w:t>
    </w:r>
    <w:r w:rsidRPr="00341612">
      <w:rPr>
        <w:highlight w:val="yellow"/>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3CBF" w14:textId="35AFB6E5" w:rsidR="00D6014E" w:rsidRDefault="00D601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1618" w14:textId="08EFB0D6" w:rsidR="00D6014E" w:rsidRPr="00880D7B" w:rsidRDefault="00E013C9" w:rsidP="00880D7B">
    <w:pPr>
      <w:pStyle w:val="SecurityClassificationHeader"/>
    </w:pPr>
    <w:r>
      <w:fldChar w:fldCharType="begin"/>
    </w:r>
    <w:r>
      <w:instrText xml:space="preserve"> DOCPROPERTY WorkingDocStatus \* MERGEFORMAT </w:instrText>
    </w:r>
    <w:r>
      <w:fldChar w:fldCharType="separate"/>
    </w:r>
    <w:r w:rsidR="00897F53">
      <w:rPr>
        <w:b w:val="0"/>
        <w:bCs/>
        <w:lang w:val="en-US"/>
      </w:rPr>
      <w:t>Error! Unknown document property name.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0AF"/>
    <w:multiLevelType w:val="hybridMultilevel"/>
    <w:tmpl w:val="C6B6D9F8"/>
    <w:lvl w:ilvl="0" w:tplc="B1DA882C">
      <w:start w:val="1"/>
      <w:numFmt w:val="bullet"/>
      <w:lvlText w:val="•"/>
      <w:lvlJc w:val="left"/>
      <w:pPr>
        <w:tabs>
          <w:tab w:val="num" w:pos="720"/>
        </w:tabs>
        <w:ind w:left="720" w:hanging="360"/>
      </w:pPr>
      <w:rPr>
        <w:rFonts w:ascii="Times New Roman" w:hAnsi="Times New Roman" w:hint="default"/>
      </w:rPr>
    </w:lvl>
    <w:lvl w:ilvl="1" w:tplc="94DAFC0C" w:tentative="1">
      <w:start w:val="1"/>
      <w:numFmt w:val="bullet"/>
      <w:lvlText w:val="•"/>
      <w:lvlJc w:val="left"/>
      <w:pPr>
        <w:tabs>
          <w:tab w:val="num" w:pos="1440"/>
        </w:tabs>
        <w:ind w:left="1440" w:hanging="360"/>
      </w:pPr>
      <w:rPr>
        <w:rFonts w:ascii="Times New Roman" w:hAnsi="Times New Roman" w:hint="default"/>
      </w:rPr>
    </w:lvl>
    <w:lvl w:ilvl="2" w:tplc="FEB2B972" w:tentative="1">
      <w:start w:val="1"/>
      <w:numFmt w:val="bullet"/>
      <w:lvlText w:val="•"/>
      <w:lvlJc w:val="left"/>
      <w:pPr>
        <w:tabs>
          <w:tab w:val="num" w:pos="2160"/>
        </w:tabs>
        <w:ind w:left="2160" w:hanging="360"/>
      </w:pPr>
      <w:rPr>
        <w:rFonts w:ascii="Times New Roman" w:hAnsi="Times New Roman" w:hint="default"/>
      </w:rPr>
    </w:lvl>
    <w:lvl w:ilvl="3" w:tplc="FA10C7CA" w:tentative="1">
      <w:start w:val="1"/>
      <w:numFmt w:val="bullet"/>
      <w:lvlText w:val="•"/>
      <w:lvlJc w:val="left"/>
      <w:pPr>
        <w:tabs>
          <w:tab w:val="num" w:pos="2880"/>
        </w:tabs>
        <w:ind w:left="2880" w:hanging="360"/>
      </w:pPr>
      <w:rPr>
        <w:rFonts w:ascii="Times New Roman" w:hAnsi="Times New Roman" w:hint="default"/>
      </w:rPr>
    </w:lvl>
    <w:lvl w:ilvl="4" w:tplc="177C77F0" w:tentative="1">
      <w:start w:val="1"/>
      <w:numFmt w:val="bullet"/>
      <w:lvlText w:val="•"/>
      <w:lvlJc w:val="left"/>
      <w:pPr>
        <w:tabs>
          <w:tab w:val="num" w:pos="3600"/>
        </w:tabs>
        <w:ind w:left="3600" w:hanging="360"/>
      </w:pPr>
      <w:rPr>
        <w:rFonts w:ascii="Times New Roman" w:hAnsi="Times New Roman" w:hint="default"/>
      </w:rPr>
    </w:lvl>
    <w:lvl w:ilvl="5" w:tplc="9A6C8A5A" w:tentative="1">
      <w:start w:val="1"/>
      <w:numFmt w:val="bullet"/>
      <w:lvlText w:val="•"/>
      <w:lvlJc w:val="left"/>
      <w:pPr>
        <w:tabs>
          <w:tab w:val="num" w:pos="4320"/>
        </w:tabs>
        <w:ind w:left="4320" w:hanging="360"/>
      </w:pPr>
      <w:rPr>
        <w:rFonts w:ascii="Times New Roman" w:hAnsi="Times New Roman" w:hint="default"/>
      </w:rPr>
    </w:lvl>
    <w:lvl w:ilvl="6" w:tplc="481E0E6C" w:tentative="1">
      <w:start w:val="1"/>
      <w:numFmt w:val="bullet"/>
      <w:lvlText w:val="•"/>
      <w:lvlJc w:val="left"/>
      <w:pPr>
        <w:tabs>
          <w:tab w:val="num" w:pos="5040"/>
        </w:tabs>
        <w:ind w:left="5040" w:hanging="360"/>
      </w:pPr>
      <w:rPr>
        <w:rFonts w:ascii="Times New Roman" w:hAnsi="Times New Roman" w:hint="default"/>
      </w:rPr>
    </w:lvl>
    <w:lvl w:ilvl="7" w:tplc="A8264304" w:tentative="1">
      <w:start w:val="1"/>
      <w:numFmt w:val="bullet"/>
      <w:lvlText w:val="•"/>
      <w:lvlJc w:val="left"/>
      <w:pPr>
        <w:tabs>
          <w:tab w:val="num" w:pos="5760"/>
        </w:tabs>
        <w:ind w:left="5760" w:hanging="360"/>
      </w:pPr>
      <w:rPr>
        <w:rFonts w:ascii="Times New Roman" w:hAnsi="Times New Roman" w:hint="default"/>
      </w:rPr>
    </w:lvl>
    <w:lvl w:ilvl="8" w:tplc="5B08D1B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C55C25"/>
    <w:multiLevelType w:val="hybridMultilevel"/>
    <w:tmpl w:val="29BED4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CF43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6C4028"/>
    <w:multiLevelType w:val="hybridMultilevel"/>
    <w:tmpl w:val="D34482E2"/>
    <w:lvl w:ilvl="0" w:tplc="FA08AD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4D017C"/>
    <w:multiLevelType w:val="multilevel"/>
    <w:tmpl w:val="5BECCD84"/>
    <w:lvl w:ilvl="0">
      <w:start w:val="1"/>
      <w:numFmt w:val="decimal"/>
      <w:lvlText w:val="%1."/>
      <w:lvlJc w:val="left"/>
      <w:pPr>
        <w:tabs>
          <w:tab w:val="num" w:pos="0"/>
        </w:tabs>
        <w:ind w:left="360" w:hanging="360"/>
      </w:pPr>
      <w:rPr>
        <w:b w:val="0"/>
        <w:bCs w:val="0"/>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B5F7735"/>
    <w:multiLevelType w:val="hybridMultilevel"/>
    <w:tmpl w:val="22F6B59E"/>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AF4C2E"/>
    <w:multiLevelType w:val="multilevel"/>
    <w:tmpl w:val="284A1B30"/>
    <w:name w:val="StandardBulletedList"/>
    <w:lvl w:ilvl="0">
      <w:start w:val="1"/>
      <w:numFmt w:val="bullet"/>
      <w:pStyle w:val="Bullet"/>
      <w:lvlText w:val="•"/>
      <w:lvlJc w:val="left"/>
      <w:pPr>
        <w:tabs>
          <w:tab w:val="num" w:pos="1240"/>
        </w:tabs>
        <w:ind w:left="1240" w:hanging="520"/>
      </w:pPr>
      <w:rPr>
        <w:rFonts w:ascii="Times New Roman" w:hAnsi="Times New Roman" w:cs="Times New Roman"/>
      </w:rPr>
    </w:lvl>
    <w:lvl w:ilvl="1">
      <w:start w:val="1"/>
      <w:numFmt w:val="bullet"/>
      <w:pStyle w:val="Dash"/>
      <w:lvlText w:val="–"/>
      <w:lvlJc w:val="left"/>
      <w:pPr>
        <w:tabs>
          <w:tab w:val="num" w:pos="1760"/>
        </w:tabs>
        <w:ind w:left="1760" w:hanging="520"/>
      </w:pPr>
      <w:rPr>
        <w:rFonts w:ascii="Times New Roman" w:hAnsi="Times New Roman" w:cs="Times New Roman"/>
      </w:rPr>
    </w:lvl>
    <w:lvl w:ilvl="2">
      <w:start w:val="1"/>
      <w:numFmt w:val="bullet"/>
      <w:pStyle w:val="DoubleDot"/>
      <w:lvlText w:val=":"/>
      <w:lvlJc w:val="left"/>
      <w:pPr>
        <w:tabs>
          <w:tab w:val="num" w:pos="2280"/>
        </w:tabs>
        <w:ind w:left="2280" w:hanging="520"/>
      </w:pPr>
      <w:rPr>
        <w:rFonts w:ascii="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7" w15:restartNumberingAfterBreak="0">
    <w:nsid w:val="0D5D580E"/>
    <w:multiLevelType w:val="hybridMultilevel"/>
    <w:tmpl w:val="A4609DDE"/>
    <w:lvl w:ilvl="0" w:tplc="86A0390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D2542B"/>
    <w:multiLevelType w:val="hybridMultilevel"/>
    <w:tmpl w:val="35148C48"/>
    <w:lvl w:ilvl="0" w:tplc="8EFE4E74">
      <w:start w:val="1"/>
      <w:numFmt w:val="decimal"/>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E2A0344"/>
    <w:multiLevelType w:val="hybridMultilevel"/>
    <w:tmpl w:val="9F2614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3E5169"/>
    <w:multiLevelType w:val="multilevel"/>
    <w:tmpl w:val="5BECCD84"/>
    <w:lvl w:ilvl="0">
      <w:start w:val="1"/>
      <w:numFmt w:val="decimal"/>
      <w:lvlText w:val="%1."/>
      <w:lvlJc w:val="left"/>
      <w:pPr>
        <w:tabs>
          <w:tab w:val="num" w:pos="0"/>
        </w:tabs>
        <w:ind w:left="360" w:hanging="360"/>
      </w:pPr>
      <w:rPr>
        <w:b w:val="0"/>
        <w:bCs w:val="0"/>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109E3669"/>
    <w:multiLevelType w:val="hybridMultilevel"/>
    <w:tmpl w:val="828259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810D68"/>
    <w:multiLevelType w:val="hybridMultilevel"/>
    <w:tmpl w:val="263C18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EB5CB9"/>
    <w:multiLevelType w:val="multilevel"/>
    <w:tmpl w:val="046E5B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5B73952"/>
    <w:multiLevelType w:val="multilevel"/>
    <w:tmpl w:val="777433EE"/>
    <w:lvl w:ilvl="0">
      <w:start w:val="1"/>
      <w:numFmt w:val="bullet"/>
      <w:lvlText w:val="•"/>
      <w:lvlJc w:val="left"/>
      <w:pPr>
        <w:tabs>
          <w:tab w:val="num" w:pos="880"/>
        </w:tabs>
        <w:ind w:left="880" w:hanging="520"/>
      </w:pPr>
      <w:rPr>
        <w:rFonts w:ascii="Times New Roman" w:hAnsi="Times New Roman" w:cs="Times New Roman"/>
      </w:rPr>
    </w:lvl>
    <w:lvl w:ilvl="1">
      <w:start w:val="1"/>
      <w:numFmt w:val="bullet"/>
      <w:lvlText w:val=""/>
      <w:lvlJc w:val="left"/>
      <w:pPr>
        <w:tabs>
          <w:tab w:val="num" w:pos="1400"/>
        </w:tabs>
        <w:ind w:left="1400" w:hanging="520"/>
      </w:pPr>
      <w:rPr>
        <w:rFonts w:ascii="Symbol" w:hAnsi="Symbol" w:hint="default"/>
      </w:rPr>
    </w:lvl>
    <w:lvl w:ilvl="2">
      <w:start w:val="1"/>
      <w:numFmt w:val="bullet"/>
      <w:lvlText w:val=":"/>
      <w:lvlJc w:val="left"/>
      <w:pPr>
        <w:tabs>
          <w:tab w:val="num" w:pos="1920"/>
        </w:tabs>
        <w:ind w:left="1920" w:hanging="520"/>
      </w:pPr>
      <w:rPr>
        <w:rFonts w:ascii="Times New Roman" w:hAnsi="Times New Roman" w:cs="Times New Roman"/>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5" w15:restartNumberingAfterBreak="0">
    <w:nsid w:val="191F69F3"/>
    <w:multiLevelType w:val="hybridMultilevel"/>
    <w:tmpl w:val="9F2614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C539CE"/>
    <w:multiLevelType w:val="hybridMultilevel"/>
    <w:tmpl w:val="263C18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3727BD"/>
    <w:multiLevelType w:val="hybridMultilevel"/>
    <w:tmpl w:val="4B8A4680"/>
    <w:lvl w:ilvl="0" w:tplc="1AE08D68">
      <w:start w:val="1"/>
      <w:numFmt w:val="bullet"/>
      <w:lvlText w:val="•"/>
      <w:lvlJc w:val="left"/>
      <w:pPr>
        <w:tabs>
          <w:tab w:val="num" w:pos="720"/>
        </w:tabs>
        <w:ind w:left="720" w:hanging="360"/>
      </w:pPr>
      <w:rPr>
        <w:rFonts w:ascii="Times New Roman" w:hAnsi="Times New Roman" w:hint="default"/>
      </w:rPr>
    </w:lvl>
    <w:lvl w:ilvl="1" w:tplc="719847AA" w:tentative="1">
      <w:start w:val="1"/>
      <w:numFmt w:val="bullet"/>
      <w:lvlText w:val="•"/>
      <w:lvlJc w:val="left"/>
      <w:pPr>
        <w:tabs>
          <w:tab w:val="num" w:pos="1440"/>
        </w:tabs>
        <w:ind w:left="1440" w:hanging="360"/>
      </w:pPr>
      <w:rPr>
        <w:rFonts w:ascii="Times New Roman" w:hAnsi="Times New Roman" w:hint="default"/>
      </w:rPr>
    </w:lvl>
    <w:lvl w:ilvl="2" w:tplc="AB6CBE44" w:tentative="1">
      <w:start w:val="1"/>
      <w:numFmt w:val="bullet"/>
      <w:lvlText w:val="•"/>
      <w:lvlJc w:val="left"/>
      <w:pPr>
        <w:tabs>
          <w:tab w:val="num" w:pos="2160"/>
        </w:tabs>
        <w:ind w:left="2160" w:hanging="360"/>
      </w:pPr>
      <w:rPr>
        <w:rFonts w:ascii="Times New Roman" w:hAnsi="Times New Roman" w:hint="default"/>
      </w:rPr>
    </w:lvl>
    <w:lvl w:ilvl="3" w:tplc="B1ACADF4" w:tentative="1">
      <w:start w:val="1"/>
      <w:numFmt w:val="bullet"/>
      <w:lvlText w:val="•"/>
      <w:lvlJc w:val="left"/>
      <w:pPr>
        <w:tabs>
          <w:tab w:val="num" w:pos="2880"/>
        </w:tabs>
        <w:ind w:left="2880" w:hanging="360"/>
      </w:pPr>
      <w:rPr>
        <w:rFonts w:ascii="Times New Roman" w:hAnsi="Times New Roman" w:hint="default"/>
      </w:rPr>
    </w:lvl>
    <w:lvl w:ilvl="4" w:tplc="DF822C82" w:tentative="1">
      <w:start w:val="1"/>
      <w:numFmt w:val="bullet"/>
      <w:lvlText w:val="•"/>
      <w:lvlJc w:val="left"/>
      <w:pPr>
        <w:tabs>
          <w:tab w:val="num" w:pos="3600"/>
        </w:tabs>
        <w:ind w:left="3600" w:hanging="360"/>
      </w:pPr>
      <w:rPr>
        <w:rFonts w:ascii="Times New Roman" w:hAnsi="Times New Roman" w:hint="default"/>
      </w:rPr>
    </w:lvl>
    <w:lvl w:ilvl="5" w:tplc="BD7A8860" w:tentative="1">
      <w:start w:val="1"/>
      <w:numFmt w:val="bullet"/>
      <w:lvlText w:val="•"/>
      <w:lvlJc w:val="left"/>
      <w:pPr>
        <w:tabs>
          <w:tab w:val="num" w:pos="4320"/>
        </w:tabs>
        <w:ind w:left="4320" w:hanging="360"/>
      </w:pPr>
      <w:rPr>
        <w:rFonts w:ascii="Times New Roman" w:hAnsi="Times New Roman" w:hint="default"/>
      </w:rPr>
    </w:lvl>
    <w:lvl w:ilvl="6" w:tplc="64AA4866" w:tentative="1">
      <w:start w:val="1"/>
      <w:numFmt w:val="bullet"/>
      <w:lvlText w:val="•"/>
      <w:lvlJc w:val="left"/>
      <w:pPr>
        <w:tabs>
          <w:tab w:val="num" w:pos="5040"/>
        </w:tabs>
        <w:ind w:left="5040" w:hanging="360"/>
      </w:pPr>
      <w:rPr>
        <w:rFonts w:ascii="Times New Roman" w:hAnsi="Times New Roman" w:hint="default"/>
      </w:rPr>
    </w:lvl>
    <w:lvl w:ilvl="7" w:tplc="D6C600AC" w:tentative="1">
      <w:start w:val="1"/>
      <w:numFmt w:val="bullet"/>
      <w:lvlText w:val="•"/>
      <w:lvlJc w:val="left"/>
      <w:pPr>
        <w:tabs>
          <w:tab w:val="num" w:pos="5760"/>
        </w:tabs>
        <w:ind w:left="5760" w:hanging="360"/>
      </w:pPr>
      <w:rPr>
        <w:rFonts w:ascii="Times New Roman" w:hAnsi="Times New Roman" w:hint="default"/>
      </w:rPr>
    </w:lvl>
    <w:lvl w:ilvl="8" w:tplc="22BE47E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3E6767F"/>
    <w:multiLevelType w:val="hybridMultilevel"/>
    <w:tmpl w:val="74FA15B4"/>
    <w:lvl w:ilvl="0" w:tplc="E9120EF2">
      <w:start w:val="1"/>
      <w:numFmt w:val="lowerRoman"/>
      <w:lvlText w:val="%1."/>
      <w:lvlJc w:val="right"/>
      <w:pPr>
        <w:ind w:left="1314" w:hanging="18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945DD3"/>
    <w:multiLevelType w:val="hybridMultilevel"/>
    <w:tmpl w:val="19EA6F30"/>
    <w:lvl w:ilvl="0" w:tplc="55925C98">
      <w:start w:val="1"/>
      <w:numFmt w:val="decimal"/>
      <w:pStyle w:val="Normal-Numberedparagraphs"/>
      <w:lvlText w:val="%1."/>
      <w:lvlJc w:val="left"/>
      <w:pPr>
        <w:ind w:left="360" w:hanging="360"/>
      </w:pPr>
      <w:rPr>
        <w:b w:val="0"/>
        <w:bCs w:val="0"/>
        <w:i w:val="0"/>
        <w:iCs w:val="0"/>
        <w:color w:val="auto"/>
      </w:rPr>
    </w:lvl>
    <w:lvl w:ilvl="1" w:tplc="892E350A">
      <w:start w:val="1"/>
      <w:numFmt w:val="lowerLetter"/>
      <w:lvlText w:val="%2."/>
      <w:lvlJc w:val="left"/>
      <w:pPr>
        <w:ind w:left="1080" w:hanging="360"/>
      </w:pPr>
      <w:rPr>
        <w:i w:val="0"/>
        <w:iCs w:val="0"/>
        <w:u w:val="none"/>
      </w:rPr>
    </w:lvl>
    <w:lvl w:ilvl="2" w:tplc="E9120EF2">
      <w:start w:val="1"/>
      <w:numFmt w:val="lowerRoman"/>
      <w:lvlText w:val="%3."/>
      <w:lvlJc w:val="right"/>
      <w:pPr>
        <w:ind w:left="1314" w:hanging="180"/>
      </w:pPr>
      <w:rPr>
        <w:i w:val="0"/>
        <w:iCs w:val="0"/>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F063813"/>
    <w:multiLevelType w:val="multilevel"/>
    <w:tmpl w:val="89D05390"/>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F691A9B"/>
    <w:multiLevelType w:val="hybridMultilevel"/>
    <w:tmpl w:val="B5481670"/>
    <w:lvl w:ilvl="0" w:tplc="446C5A80">
      <w:start w:val="1"/>
      <w:numFmt w:val="bullet"/>
      <w:lvlText w:val="•"/>
      <w:lvlJc w:val="left"/>
      <w:pPr>
        <w:tabs>
          <w:tab w:val="num" w:pos="720"/>
        </w:tabs>
        <w:ind w:left="720" w:hanging="360"/>
      </w:pPr>
      <w:rPr>
        <w:rFonts w:ascii="Times New Roman" w:hAnsi="Times New Roman" w:hint="default"/>
      </w:rPr>
    </w:lvl>
    <w:lvl w:ilvl="1" w:tplc="630052DE" w:tentative="1">
      <w:start w:val="1"/>
      <w:numFmt w:val="bullet"/>
      <w:lvlText w:val="•"/>
      <w:lvlJc w:val="left"/>
      <w:pPr>
        <w:tabs>
          <w:tab w:val="num" w:pos="1440"/>
        </w:tabs>
        <w:ind w:left="1440" w:hanging="360"/>
      </w:pPr>
      <w:rPr>
        <w:rFonts w:ascii="Times New Roman" w:hAnsi="Times New Roman" w:hint="default"/>
      </w:rPr>
    </w:lvl>
    <w:lvl w:ilvl="2" w:tplc="6B7E4F7A" w:tentative="1">
      <w:start w:val="1"/>
      <w:numFmt w:val="bullet"/>
      <w:lvlText w:val="•"/>
      <w:lvlJc w:val="left"/>
      <w:pPr>
        <w:tabs>
          <w:tab w:val="num" w:pos="2160"/>
        </w:tabs>
        <w:ind w:left="2160" w:hanging="360"/>
      </w:pPr>
      <w:rPr>
        <w:rFonts w:ascii="Times New Roman" w:hAnsi="Times New Roman" w:hint="default"/>
      </w:rPr>
    </w:lvl>
    <w:lvl w:ilvl="3" w:tplc="50CAD9AC" w:tentative="1">
      <w:start w:val="1"/>
      <w:numFmt w:val="bullet"/>
      <w:lvlText w:val="•"/>
      <w:lvlJc w:val="left"/>
      <w:pPr>
        <w:tabs>
          <w:tab w:val="num" w:pos="2880"/>
        </w:tabs>
        <w:ind w:left="2880" w:hanging="360"/>
      </w:pPr>
      <w:rPr>
        <w:rFonts w:ascii="Times New Roman" w:hAnsi="Times New Roman" w:hint="default"/>
      </w:rPr>
    </w:lvl>
    <w:lvl w:ilvl="4" w:tplc="56824E30" w:tentative="1">
      <w:start w:val="1"/>
      <w:numFmt w:val="bullet"/>
      <w:lvlText w:val="•"/>
      <w:lvlJc w:val="left"/>
      <w:pPr>
        <w:tabs>
          <w:tab w:val="num" w:pos="3600"/>
        </w:tabs>
        <w:ind w:left="3600" w:hanging="360"/>
      </w:pPr>
      <w:rPr>
        <w:rFonts w:ascii="Times New Roman" w:hAnsi="Times New Roman" w:hint="default"/>
      </w:rPr>
    </w:lvl>
    <w:lvl w:ilvl="5" w:tplc="023270D0" w:tentative="1">
      <w:start w:val="1"/>
      <w:numFmt w:val="bullet"/>
      <w:lvlText w:val="•"/>
      <w:lvlJc w:val="left"/>
      <w:pPr>
        <w:tabs>
          <w:tab w:val="num" w:pos="4320"/>
        </w:tabs>
        <w:ind w:left="4320" w:hanging="360"/>
      </w:pPr>
      <w:rPr>
        <w:rFonts w:ascii="Times New Roman" w:hAnsi="Times New Roman" w:hint="default"/>
      </w:rPr>
    </w:lvl>
    <w:lvl w:ilvl="6" w:tplc="68A27D1A" w:tentative="1">
      <w:start w:val="1"/>
      <w:numFmt w:val="bullet"/>
      <w:lvlText w:val="•"/>
      <w:lvlJc w:val="left"/>
      <w:pPr>
        <w:tabs>
          <w:tab w:val="num" w:pos="5040"/>
        </w:tabs>
        <w:ind w:left="5040" w:hanging="360"/>
      </w:pPr>
      <w:rPr>
        <w:rFonts w:ascii="Times New Roman" w:hAnsi="Times New Roman" w:hint="default"/>
      </w:rPr>
    </w:lvl>
    <w:lvl w:ilvl="7" w:tplc="D076EC02" w:tentative="1">
      <w:start w:val="1"/>
      <w:numFmt w:val="bullet"/>
      <w:lvlText w:val="•"/>
      <w:lvlJc w:val="left"/>
      <w:pPr>
        <w:tabs>
          <w:tab w:val="num" w:pos="5760"/>
        </w:tabs>
        <w:ind w:left="5760" w:hanging="360"/>
      </w:pPr>
      <w:rPr>
        <w:rFonts w:ascii="Times New Roman" w:hAnsi="Times New Roman" w:hint="default"/>
      </w:rPr>
    </w:lvl>
    <w:lvl w:ilvl="8" w:tplc="86D2B2E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FA053B3"/>
    <w:multiLevelType w:val="hybridMultilevel"/>
    <w:tmpl w:val="F8B26F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E60F47"/>
    <w:multiLevelType w:val="hybridMultilevel"/>
    <w:tmpl w:val="2F2E8404"/>
    <w:lvl w:ilvl="0" w:tplc="EC029C1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2560EF"/>
    <w:multiLevelType w:val="hybridMultilevel"/>
    <w:tmpl w:val="51DAA9E0"/>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3E052D9"/>
    <w:multiLevelType w:val="multilevel"/>
    <w:tmpl w:val="06C04B30"/>
    <w:lvl w:ilvl="0">
      <w:start w:val="1"/>
      <w:numFmt w:val="bullet"/>
      <w:lvlText w:val=""/>
      <w:lvlJc w:val="left"/>
      <w:pPr>
        <w:tabs>
          <w:tab w:val="num" w:pos="520"/>
        </w:tabs>
        <w:ind w:left="520" w:hanging="520"/>
      </w:pPr>
      <w:rPr>
        <w:rFonts w:ascii="Symbol" w:hAnsi="Symbol" w:hint="default"/>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6" w15:restartNumberingAfterBreak="0">
    <w:nsid w:val="3400312E"/>
    <w:multiLevelType w:val="multilevel"/>
    <w:tmpl w:val="E430CA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4876BC7"/>
    <w:multiLevelType w:val="hybridMultilevel"/>
    <w:tmpl w:val="E706871A"/>
    <w:lvl w:ilvl="0" w:tplc="892E350A">
      <w:start w:val="1"/>
      <w:numFmt w:val="lowerLetter"/>
      <w:lvlText w:val="%1."/>
      <w:lvlJc w:val="left"/>
      <w:pPr>
        <w:ind w:left="1440" w:hanging="360"/>
      </w:pPr>
      <w:rPr>
        <w:i w:val="0"/>
        <w:iCs w:val="0"/>
        <w:u w:val="no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4FA2521"/>
    <w:multiLevelType w:val="hybridMultilevel"/>
    <w:tmpl w:val="9F2614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7D93A9B"/>
    <w:multiLevelType w:val="hybridMultilevel"/>
    <w:tmpl w:val="985EE7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C7F0969"/>
    <w:multiLevelType w:val="hybridMultilevel"/>
    <w:tmpl w:val="82C2F2A6"/>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E4112F8"/>
    <w:multiLevelType w:val="hybridMultilevel"/>
    <w:tmpl w:val="C298C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EA80141"/>
    <w:multiLevelType w:val="hybridMultilevel"/>
    <w:tmpl w:val="9F2614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50933A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1201C3"/>
    <w:multiLevelType w:val="hybridMultilevel"/>
    <w:tmpl w:val="9F2614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6574941"/>
    <w:multiLevelType w:val="hybridMultilevel"/>
    <w:tmpl w:val="02E090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83E2855"/>
    <w:multiLevelType w:val="hybridMultilevel"/>
    <w:tmpl w:val="22F6B59E"/>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AC248B9"/>
    <w:multiLevelType w:val="multilevel"/>
    <w:tmpl w:val="3802F0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B635A1B"/>
    <w:multiLevelType w:val="multilevel"/>
    <w:tmpl w:val="D69EF8C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CF7703C"/>
    <w:multiLevelType w:val="hybridMultilevel"/>
    <w:tmpl w:val="E56AC32A"/>
    <w:lvl w:ilvl="0" w:tplc="892E350A">
      <w:start w:val="1"/>
      <w:numFmt w:val="lowerLetter"/>
      <w:lvlText w:val="%1."/>
      <w:lvlJc w:val="left"/>
      <w:pPr>
        <w:ind w:left="1440" w:hanging="360"/>
      </w:pPr>
      <w:rPr>
        <w:i w:val="0"/>
        <w:iCs w:val="0"/>
        <w:u w:val="no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4D0D3EF4"/>
    <w:multiLevelType w:val="hybridMultilevel"/>
    <w:tmpl w:val="A15835DE"/>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D9F2358"/>
    <w:multiLevelType w:val="hybridMultilevel"/>
    <w:tmpl w:val="51DAA9E0"/>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E2E02BB"/>
    <w:multiLevelType w:val="hybridMultilevel"/>
    <w:tmpl w:val="F4782626"/>
    <w:lvl w:ilvl="0" w:tplc="892E350A">
      <w:start w:val="1"/>
      <w:numFmt w:val="lowerLetter"/>
      <w:lvlText w:val="%1."/>
      <w:lvlJc w:val="left"/>
      <w:pPr>
        <w:ind w:left="1428" w:hanging="360"/>
      </w:pPr>
      <w:rPr>
        <w:i w:val="0"/>
        <w:iCs w:val="0"/>
        <w:u w:val="none"/>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43" w15:restartNumberingAfterBreak="0">
    <w:nsid w:val="4E776F9B"/>
    <w:multiLevelType w:val="hybridMultilevel"/>
    <w:tmpl w:val="CEAAC71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503259A0"/>
    <w:multiLevelType w:val="hybridMultilevel"/>
    <w:tmpl w:val="A65A650E"/>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6891551"/>
    <w:multiLevelType w:val="hybridMultilevel"/>
    <w:tmpl w:val="EE1E8348"/>
    <w:lvl w:ilvl="0" w:tplc="0C090001">
      <w:start w:val="1"/>
      <w:numFmt w:val="bullet"/>
      <w:lvlText w:val=""/>
      <w:lvlJc w:val="left"/>
      <w:pPr>
        <w:ind w:left="917" w:hanging="360"/>
      </w:pPr>
      <w:rPr>
        <w:rFonts w:ascii="Symbol" w:hAnsi="Symbol" w:hint="default"/>
      </w:rPr>
    </w:lvl>
    <w:lvl w:ilvl="1" w:tplc="0C090003">
      <w:start w:val="1"/>
      <w:numFmt w:val="bullet"/>
      <w:lvlText w:val="o"/>
      <w:lvlJc w:val="left"/>
      <w:pPr>
        <w:ind w:left="1637" w:hanging="360"/>
      </w:pPr>
      <w:rPr>
        <w:rFonts w:ascii="Courier New" w:hAnsi="Courier New" w:cs="Courier New" w:hint="default"/>
      </w:rPr>
    </w:lvl>
    <w:lvl w:ilvl="2" w:tplc="0C090005">
      <w:start w:val="1"/>
      <w:numFmt w:val="bullet"/>
      <w:lvlText w:val=""/>
      <w:lvlJc w:val="left"/>
      <w:pPr>
        <w:ind w:left="2357" w:hanging="360"/>
      </w:pPr>
      <w:rPr>
        <w:rFonts w:ascii="Wingdings" w:hAnsi="Wingdings" w:hint="default"/>
      </w:rPr>
    </w:lvl>
    <w:lvl w:ilvl="3" w:tplc="0C090001">
      <w:start w:val="1"/>
      <w:numFmt w:val="bullet"/>
      <w:lvlText w:val=""/>
      <w:lvlJc w:val="left"/>
      <w:pPr>
        <w:ind w:left="3077" w:hanging="360"/>
      </w:pPr>
      <w:rPr>
        <w:rFonts w:ascii="Symbol" w:hAnsi="Symbol" w:hint="default"/>
      </w:rPr>
    </w:lvl>
    <w:lvl w:ilvl="4" w:tplc="0C090003">
      <w:start w:val="1"/>
      <w:numFmt w:val="bullet"/>
      <w:lvlText w:val="o"/>
      <w:lvlJc w:val="left"/>
      <w:pPr>
        <w:ind w:left="3797" w:hanging="360"/>
      </w:pPr>
      <w:rPr>
        <w:rFonts w:ascii="Courier New" w:hAnsi="Courier New" w:cs="Courier New" w:hint="default"/>
      </w:rPr>
    </w:lvl>
    <w:lvl w:ilvl="5" w:tplc="0C090005">
      <w:start w:val="1"/>
      <w:numFmt w:val="bullet"/>
      <w:lvlText w:val=""/>
      <w:lvlJc w:val="left"/>
      <w:pPr>
        <w:ind w:left="4517" w:hanging="360"/>
      </w:pPr>
      <w:rPr>
        <w:rFonts w:ascii="Wingdings" w:hAnsi="Wingdings" w:hint="default"/>
      </w:rPr>
    </w:lvl>
    <w:lvl w:ilvl="6" w:tplc="0C090001">
      <w:start w:val="1"/>
      <w:numFmt w:val="bullet"/>
      <w:lvlText w:val=""/>
      <w:lvlJc w:val="left"/>
      <w:pPr>
        <w:ind w:left="5237" w:hanging="360"/>
      </w:pPr>
      <w:rPr>
        <w:rFonts w:ascii="Symbol" w:hAnsi="Symbol" w:hint="default"/>
      </w:rPr>
    </w:lvl>
    <w:lvl w:ilvl="7" w:tplc="0C090003">
      <w:start w:val="1"/>
      <w:numFmt w:val="bullet"/>
      <w:lvlText w:val="o"/>
      <w:lvlJc w:val="left"/>
      <w:pPr>
        <w:ind w:left="5957" w:hanging="360"/>
      </w:pPr>
      <w:rPr>
        <w:rFonts w:ascii="Courier New" w:hAnsi="Courier New" w:cs="Courier New" w:hint="default"/>
      </w:rPr>
    </w:lvl>
    <w:lvl w:ilvl="8" w:tplc="0C090005">
      <w:start w:val="1"/>
      <w:numFmt w:val="bullet"/>
      <w:lvlText w:val=""/>
      <w:lvlJc w:val="left"/>
      <w:pPr>
        <w:ind w:left="6677" w:hanging="360"/>
      </w:pPr>
      <w:rPr>
        <w:rFonts w:ascii="Wingdings" w:hAnsi="Wingdings" w:hint="default"/>
      </w:rPr>
    </w:lvl>
  </w:abstractNum>
  <w:abstractNum w:abstractNumId="46" w15:restartNumberingAfterBreak="0">
    <w:nsid w:val="572E4195"/>
    <w:multiLevelType w:val="hybridMultilevel"/>
    <w:tmpl w:val="69A8C8C4"/>
    <w:lvl w:ilvl="0" w:tplc="81BEF08C">
      <w:start w:val="1"/>
      <w:numFmt w:val="lowerRoman"/>
      <w:lvlText w:val="%1."/>
      <w:lvlJc w:val="right"/>
      <w:pPr>
        <w:ind w:left="1314" w:hanging="18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9AD0D98"/>
    <w:multiLevelType w:val="multilevel"/>
    <w:tmpl w:val="3D2EA1F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D973643"/>
    <w:multiLevelType w:val="hybridMultilevel"/>
    <w:tmpl w:val="BF9E9D72"/>
    <w:lvl w:ilvl="0" w:tplc="C1240A10">
      <w:start w:val="1"/>
      <w:numFmt w:val="bullet"/>
      <w:lvlText w:val="•"/>
      <w:lvlJc w:val="left"/>
      <w:pPr>
        <w:tabs>
          <w:tab w:val="num" w:pos="720"/>
        </w:tabs>
        <w:ind w:left="720" w:hanging="360"/>
      </w:pPr>
      <w:rPr>
        <w:rFonts w:ascii="Times New Roman" w:hAnsi="Times New Roman" w:hint="default"/>
      </w:rPr>
    </w:lvl>
    <w:lvl w:ilvl="1" w:tplc="70500F10" w:tentative="1">
      <w:start w:val="1"/>
      <w:numFmt w:val="bullet"/>
      <w:lvlText w:val="•"/>
      <w:lvlJc w:val="left"/>
      <w:pPr>
        <w:tabs>
          <w:tab w:val="num" w:pos="1440"/>
        </w:tabs>
        <w:ind w:left="1440" w:hanging="360"/>
      </w:pPr>
      <w:rPr>
        <w:rFonts w:ascii="Times New Roman" w:hAnsi="Times New Roman" w:hint="default"/>
      </w:rPr>
    </w:lvl>
    <w:lvl w:ilvl="2" w:tplc="16EE3040" w:tentative="1">
      <w:start w:val="1"/>
      <w:numFmt w:val="bullet"/>
      <w:lvlText w:val="•"/>
      <w:lvlJc w:val="left"/>
      <w:pPr>
        <w:tabs>
          <w:tab w:val="num" w:pos="2160"/>
        </w:tabs>
        <w:ind w:left="2160" w:hanging="360"/>
      </w:pPr>
      <w:rPr>
        <w:rFonts w:ascii="Times New Roman" w:hAnsi="Times New Roman" w:hint="default"/>
      </w:rPr>
    </w:lvl>
    <w:lvl w:ilvl="3" w:tplc="65F00042" w:tentative="1">
      <w:start w:val="1"/>
      <w:numFmt w:val="bullet"/>
      <w:lvlText w:val="•"/>
      <w:lvlJc w:val="left"/>
      <w:pPr>
        <w:tabs>
          <w:tab w:val="num" w:pos="2880"/>
        </w:tabs>
        <w:ind w:left="2880" w:hanging="360"/>
      </w:pPr>
      <w:rPr>
        <w:rFonts w:ascii="Times New Roman" w:hAnsi="Times New Roman" w:hint="default"/>
      </w:rPr>
    </w:lvl>
    <w:lvl w:ilvl="4" w:tplc="4E183CFE" w:tentative="1">
      <w:start w:val="1"/>
      <w:numFmt w:val="bullet"/>
      <w:lvlText w:val="•"/>
      <w:lvlJc w:val="left"/>
      <w:pPr>
        <w:tabs>
          <w:tab w:val="num" w:pos="3600"/>
        </w:tabs>
        <w:ind w:left="3600" w:hanging="360"/>
      </w:pPr>
      <w:rPr>
        <w:rFonts w:ascii="Times New Roman" w:hAnsi="Times New Roman" w:hint="default"/>
      </w:rPr>
    </w:lvl>
    <w:lvl w:ilvl="5" w:tplc="3A0E9E52" w:tentative="1">
      <w:start w:val="1"/>
      <w:numFmt w:val="bullet"/>
      <w:lvlText w:val="•"/>
      <w:lvlJc w:val="left"/>
      <w:pPr>
        <w:tabs>
          <w:tab w:val="num" w:pos="4320"/>
        </w:tabs>
        <w:ind w:left="4320" w:hanging="360"/>
      </w:pPr>
      <w:rPr>
        <w:rFonts w:ascii="Times New Roman" w:hAnsi="Times New Roman" w:hint="default"/>
      </w:rPr>
    </w:lvl>
    <w:lvl w:ilvl="6" w:tplc="21EA5EE6" w:tentative="1">
      <w:start w:val="1"/>
      <w:numFmt w:val="bullet"/>
      <w:lvlText w:val="•"/>
      <w:lvlJc w:val="left"/>
      <w:pPr>
        <w:tabs>
          <w:tab w:val="num" w:pos="5040"/>
        </w:tabs>
        <w:ind w:left="5040" w:hanging="360"/>
      </w:pPr>
      <w:rPr>
        <w:rFonts w:ascii="Times New Roman" w:hAnsi="Times New Roman" w:hint="default"/>
      </w:rPr>
    </w:lvl>
    <w:lvl w:ilvl="7" w:tplc="120A67BE" w:tentative="1">
      <w:start w:val="1"/>
      <w:numFmt w:val="bullet"/>
      <w:lvlText w:val="•"/>
      <w:lvlJc w:val="left"/>
      <w:pPr>
        <w:tabs>
          <w:tab w:val="num" w:pos="5760"/>
        </w:tabs>
        <w:ind w:left="5760" w:hanging="360"/>
      </w:pPr>
      <w:rPr>
        <w:rFonts w:ascii="Times New Roman" w:hAnsi="Times New Roman" w:hint="default"/>
      </w:rPr>
    </w:lvl>
    <w:lvl w:ilvl="8" w:tplc="68027428"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10A12C7"/>
    <w:multiLevelType w:val="hybridMultilevel"/>
    <w:tmpl w:val="31BA38CA"/>
    <w:lvl w:ilvl="0" w:tplc="892E350A">
      <w:start w:val="1"/>
      <w:numFmt w:val="lowerLetter"/>
      <w:lvlText w:val="%1."/>
      <w:lvlJc w:val="left"/>
      <w:pPr>
        <w:ind w:left="1440" w:hanging="360"/>
      </w:pPr>
      <w:rPr>
        <w:i w:val="0"/>
        <w:iCs w:val="0"/>
        <w:u w:val="no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61524574"/>
    <w:multiLevelType w:val="hybridMultilevel"/>
    <w:tmpl w:val="77C2DC68"/>
    <w:lvl w:ilvl="0" w:tplc="892E350A">
      <w:start w:val="1"/>
      <w:numFmt w:val="lowerLetter"/>
      <w:lvlText w:val="%1."/>
      <w:lvlJc w:val="left"/>
      <w:pPr>
        <w:ind w:left="1800" w:hanging="360"/>
      </w:pPr>
      <w:rPr>
        <w:i w:val="0"/>
        <w:iCs w:val="0"/>
        <w:u w:val="no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62C13F91"/>
    <w:multiLevelType w:val="multilevel"/>
    <w:tmpl w:val="C986AC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62E005F8"/>
    <w:multiLevelType w:val="hybridMultilevel"/>
    <w:tmpl w:val="3D520604"/>
    <w:lvl w:ilvl="0" w:tplc="0EAC54D6">
      <w:start w:val="1"/>
      <w:numFmt w:val="bullet"/>
      <w:lvlText w:val="•"/>
      <w:lvlJc w:val="left"/>
      <w:pPr>
        <w:tabs>
          <w:tab w:val="num" w:pos="720"/>
        </w:tabs>
        <w:ind w:left="720" w:hanging="360"/>
      </w:pPr>
      <w:rPr>
        <w:rFonts w:ascii="Times New Roman" w:hAnsi="Times New Roman" w:hint="default"/>
      </w:rPr>
    </w:lvl>
    <w:lvl w:ilvl="1" w:tplc="F93C1B4E" w:tentative="1">
      <w:start w:val="1"/>
      <w:numFmt w:val="bullet"/>
      <w:lvlText w:val="•"/>
      <w:lvlJc w:val="left"/>
      <w:pPr>
        <w:tabs>
          <w:tab w:val="num" w:pos="1440"/>
        </w:tabs>
        <w:ind w:left="1440" w:hanging="360"/>
      </w:pPr>
      <w:rPr>
        <w:rFonts w:ascii="Times New Roman" w:hAnsi="Times New Roman" w:hint="default"/>
      </w:rPr>
    </w:lvl>
    <w:lvl w:ilvl="2" w:tplc="C0B8D18E" w:tentative="1">
      <w:start w:val="1"/>
      <w:numFmt w:val="bullet"/>
      <w:lvlText w:val="•"/>
      <w:lvlJc w:val="left"/>
      <w:pPr>
        <w:tabs>
          <w:tab w:val="num" w:pos="2160"/>
        </w:tabs>
        <w:ind w:left="2160" w:hanging="360"/>
      </w:pPr>
      <w:rPr>
        <w:rFonts w:ascii="Times New Roman" w:hAnsi="Times New Roman" w:hint="default"/>
      </w:rPr>
    </w:lvl>
    <w:lvl w:ilvl="3" w:tplc="D57C870C" w:tentative="1">
      <w:start w:val="1"/>
      <w:numFmt w:val="bullet"/>
      <w:lvlText w:val="•"/>
      <w:lvlJc w:val="left"/>
      <w:pPr>
        <w:tabs>
          <w:tab w:val="num" w:pos="2880"/>
        </w:tabs>
        <w:ind w:left="2880" w:hanging="360"/>
      </w:pPr>
      <w:rPr>
        <w:rFonts w:ascii="Times New Roman" w:hAnsi="Times New Roman" w:hint="default"/>
      </w:rPr>
    </w:lvl>
    <w:lvl w:ilvl="4" w:tplc="4416608E" w:tentative="1">
      <w:start w:val="1"/>
      <w:numFmt w:val="bullet"/>
      <w:lvlText w:val="•"/>
      <w:lvlJc w:val="left"/>
      <w:pPr>
        <w:tabs>
          <w:tab w:val="num" w:pos="3600"/>
        </w:tabs>
        <w:ind w:left="3600" w:hanging="360"/>
      </w:pPr>
      <w:rPr>
        <w:rFonts w:ascii="Times New Roman" w:hAnsi="Times New Roman" w:hint="default"/>
      </w:rPr>
    </w:lvl>
    <w:lvl w:ilvl="5" w:tplc="97181622" w:tentative="1">
      <w:start w:val="1"/>
      <w:numFmt w:val="bullet"/>
      <w:lvlText w:val="•"/>
      <w:lvlJc w:val="left"/>
      <w:pPr>
        <w:tabs>
          <w:tab w:val="num" w:pos="4320"/>
        </w:tabs>
        <w:ind w:left="4320" w:hanging="360"/>
      </w:pPr>
      <w:rPr>
        <w:rFonts w:ascii="Times New Roman" w:hAnsi="Times New Roman" w:hint="default"/>
      </w:rPr>
    </w:lvl>
    <w:lvl w:ilvl="6" w:tplc="779E7068" w:tentative="1">
      <w:start w:val="1"/>
      <w:numFmt w:val="bullet"/>
      <w:lvlText w:val="•"/>
      <w:lvlJc w:val="left"/>
      <w:pPr>
        <w:tabs>
          <w:tab w:val="num" w:pos="5040"/>
        </w:tabs>
        <w:ind w:left="5040" w:hanging="360"/>
      </w:pPr>
      <w:rPr>
        <w:rFonts w:ascii="Times New Roman" w:hAnsi="Times New Roman" w:hint="default"/>
      </w:rPr>
    </w:lvl>
    <w:lvl w:ilvl="7" w:tplc="E6FCE70C" w:tentative="1">
      <w:start w:val="1"/>
      <w:numFmt w:val="bullet"/>
      <w:lvlText w:val="•"/>
      <w:lvlJc w:val="left"/>
      <w:pPr>
        <w:tabs>
          <w:tab w:val="num" w:pos="5760"/>
        </w:tabs>
        <w:ind w:left="5760" w:hanging="360"/>
      </w:pPr>
      <w:rPr>
        <w:rFonts w:ascii="Times New Roman" w:hAnsi="Times New Roman" w:hint="default"/>
      </w:rPr>
    </w:lvl>
    <w:lvl w:ilvl="8" w:tplc="50F63FF4"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69855AB0"/>
    <w:multiLevelType w:val="multilevel"/>
    <w:tmpl w:val="A9D4B090"/>
    <w:lvl w:ilvl="0">
      <w:start w:val="1"/>
      <w:numFmt w:val="bullet"/>
      <w:lvlText w:val=""/>
      <w:lvlJc w:val="left"/>
      <w:pPr>
        <w:tabs>
          <w:tab w:val="num" w:pos="880"/>
        </w:tabs>
        <w:ind w:left="880" w:hanging="520"/>
      </w:pPr>
      <w:rPr>
        <w:rFonts w:ascii="Symbol" w:hAnsi="Symbol" w:hint="default"/>
      </w:rPr>
    </w:lvl>
    <w:lvl w:ilvl="1">
      <w:start w:val="1"/>
      <w:numFmt w:val="bullet"/>
      <w:lvlText w:val=""/>
      <w:lvlJc w:val="left"/>
      <w:pPr>
        <w:tabs>
          <w:tab w:val="num" w:pos="1400"/>
        </w:tabs>
        <w:ind w:left="1400" w:hanging="520"/>
      </w:pPr>
      <w:rPr>
        <w:rFonts w:ascii="Symbol" w:hAnsi="Symbol" w:hint="default"/>
      </w:rPr>
    </w:lvl>
    <w:lvl w:ilvl="2">
      <w:start w:val="1"/>
      <w:numFmt w:val="bullet"/>
      <w:lvlText w:val=":"/>
      <w:lvlJc w:val="left"/>
      <w:pPr>
        <w:tabs>
          <w:tab w:val="num" w:pos="1920"/>
        </w:tabs>
        <w:ind w:left="1920" w:hanging="520"/>
      </w:pPr>
      <w:rPr>
        <w:rFonts w:ascii="Times New Roman" w:hAnsi="Times New Roman" w:cs="Times New Roman"/>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4" w15:restartNumberingAfterBreak="0">
    <w:nsid w:val="6A162039"/>
    <w:multiLevelType w:val="hybridMultilevel"/>
    <w:tmpl w:val="CA2C7456"/>
    <w:lvl w:ilvl="0" w:tplc="F10E44DA">
      <w:start w:val="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B3F3052"/>
    <w:multiLevelType w:val="hybridMultilevel"/>
    <w:tmpl w:val="CBECC324"/>
    <w:lvl w:ilvl="0" w:tplc="892E350A">
      <w:start w:val="1"/>
      <w:numFmt w:val="lowerLetter"/>
      <w:lvlText w:val="%1."/>
      <w:lvlJc w:val="left"/>
      <w:pPr>
        <w:ind w:left="1440" w:hanging="360"/>
      </w:pPr>
      <w:rPr>
        <w:i w:val="0"/>
        <w:iCs w:val="0"/>
        <w:u w:val="no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6C6E7E79"/>
    <w:multiLevelType w:val="hybridMultilevel"/>
    <w:tmpl w:val="6D9C5E7A"/>
    <w:lvl w:ilvl="0" w:tplc="892E350A">
      <w:start w:val="1"/>
      <w:numFmt w:val="lowerLetter"/>
      <w:lvlText w:val="%1."/>
      <w:lvlJc w:val="left"/>
      <w:pPr>
        <w:ind w:left="1440" w:hanging="360"/>
      </w:pPr>
      <w:rPr>
        <w:i w:val="0"/>
        <w:iCs w:val="0"/>
        <w:u w:val="no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6D6B5F48"/>
    <w:multiLevelType w:val="hybridMultilevel"/>
    <w:tmpl w:val="216A2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246180"/>
    <w:multiLevelType w:val="hybridMultilevel"/>
    <w:tmpl w:val="80E69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0506FC9"/>
    <w:multiLevelType w:val="hybridMultilevel"/>
    <w:tmpl w:val="22B2852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210302A"/>
    <w:multiLevelType w:val="hybridMultilevel"/>
    <w:tmpl w:val="0F8E2A92"/>
    <w:lvl w:ilvl="0" w:tplc="AA260B0C">
      <w:start w:val="1"/>
      <w:numFmt w:val="decimal"/>
      <w:lvlText w:val="%1."/>
      <w:lvlJc w:val="left"/>
      <w:pPr>
        <w:ind w:left="520" w:hanging="360"/>
      </w:pPr>
    </w:lvl>
    <w:lvl w:ilvl="1" w:tplc="07C44C0C">
      <w:start w:val="1"/>
      <w:numFmt w:val="lowerLetter"/>
      <w:lvlText w:val="%2."/>
      <w:lvlJc w:val="left"/>
      <w:pPr>
        <w:ind w:left="1040" w:hanging="360"/>
      </w:pPr>
    </w:lvl>
    <w:lvl w:ilvl="2" w:tplc="EB363F82">
      <w:start w:val="1"/>
      <w:numFmt w:val="lowerRoman"/>
      <w:lvlText w:val="%3."/>
      <w:lvlJc w:val="right"/>
      <w:pPr>
        <w:ind w:left="1560" w:hanging="180"/>
      </w:pPr>
    </w:lvl>
    <w:lvl w:ilvl="3" w:tplc="EB3870F2">
      <w:start w:val="1"/>
      <w:numFmt w:val="decimal"/>
      <w:lvlText w:val="%4."/>
      <w:lvlJc w:val="left"/>
      <w:pPr>
        <w:ind w:left="1440" w:hanging="360"/>
      </w:pPr>
    </w:lvl>
    <w:lvl w:ilvl="4" w:tplc="6F6AD364">
      <w:start w:val="1"/>
      <w:numFmt w:val="lowerLetter"/>
      <w:lvlText w:val="%5."/>
      <w:lvlJc w:val="left"/>
      <w:pPr>
        <w:ind w:left="1800" w:hanging="360"/>
      </w:pPr>
    </w:lvl>
    <w:lvl w:ilvl="5" w:tplc="3A3A412C">
      <w:start w:val="1"/>
      <w:numFmt w:val="lowerRoman"/>
      <w:lvlText w:val="%6."/>
      <w:lvlJc w:val="right"/>
      <w:pPr>
        <w:ind w:left="2160" w:hanging="180"/>
      </w:pPr>
    </w:lvl>
    <w:lvl w:ilvl="6" w:tplc="9DCE7054">
      <w:start w:val="1"/>
      <w:numFmt w:val="decimal"/>
      <w:lvlText w:val="%7."/>
      <w:lvlJc w:val="left"/>
      <w:pPr>
        <w:ind w:left="2520" w:hanging="360"/>
      </w:pPr>
    </w:lvl>
    <w:lvl w:ilvl="7" w:tplc="D0D4FDF0">
      <w:start w:val="1"/>
      <w:numFmt w:val="lowerLetter"/>
      <w:lvlText w:val="%8."/>
      <w:lvlJc w:val="left"/>
      <w:pPr>
        <w:ind w:left="2880" w:hanging="360"/>
      </w:pPr>
    </w:lvl>
    <w:lvl w:ilvl="8" w:tplc="9E8E5466">
      <w:start w:val="1"/>
      <w:numFmt w:val="lowerRoman"/>
      <w:lvlText w:val="%9."/>
      <w:lvlJc w:val="right"/>
      <w:pPr>
        <w:ind w:left="3240" w:hanging="180"/>
      </w:pPr>
    </w:lvl>
  </w:abstractNum>
  <w:abstractNum w:abstractNumId="61" w15:restartNumberingAfterBreak="0">
    <w:nsid w:val="734163AD"/>
    <w:multiLevelType w:val="hybridMultilevel"/>
    <w:tmpl w:val="9F2614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5E65B35"/>
    <w:multiLevelType w:val="hybridMultilevel"/>
    <w:tmpl w:val="726AB458"/>
    <w:lvl w:ilvl="0" w:tplc="892E350A">
      <w:start w:val="1"/>
      <w:numFmt w:val="lowerLetter"/>
      <w:lvlText w:val="%1."/>
      <w:lvlJc w:val="left"/>
      <w:pPr>
        <w:ind w:left="1440" w:hanging="360"/>
      </w:pPr>
      <w:rPr>
        <w:i w:val="0"/>
        <w:iCs w:val="0"/>
        <w:u w:val="no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765B4388"/>
    <w:multiLevelType w:val="multilevel"/>
    <w:tmpl w:val="F424B9D8"/>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72222CD"/>
    <w:multiLevelType w:val="hybridMultilevel"/>
    <w:tmpl w:val="96B2C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7790313F"/>
    <w:multiLevelType w:val="multilevel"/>
    <w:tmpl w:val="E7E4B464"/>
    <w:lvl w:ilvl="0">
      <w:start w:val="1"/>
      <w:numFmt w:val="decimal"/>
      <w:lvlText w:val="%1."/>
      <w:lvlJc w:val="left"/>
      <w:pPr>
        <w:tabs>
          <w:tab w:val="num" w:pos="0"/>
        </w:tabs>
        <w:ind w:left="360" w:hanging="360"/>
      </w:pPr>
      <w:rPr>
        <w:b w:val="0"/>
        <w:bCs w:val="0"/>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6" w15:restartNumberingAfterBreak="0">
    <w:nsid w:val="796D0AD9"/>
    <w:multiLevelType w:val="hybridMultilevel"/>
    <w:tmpl w:val="A65A650E"/>
    <w:lvl w:ilvl="0" w:tplc="892E350A">
      <w:start w:val="1"/>
      <w:numFmt w:val="lowerLetter"/>
      <w:lvlText w:val="%1."/>
      <w:lvlJc w:val="left"/>
      <w:pPr>
        <w:ind w:left="1068" w:hanging="360"/>
      </w:pPr>
      <w:rPr>
        <w:i w:val="0"/>
        <w:iCs w:val="0"/>
        <w:u w:val="none"/>
      </w:rPr>
    </w:lvl>
    <w:lvl w:ilvl="1" w:tplc="0C090019" w:tentative="1">
      <w:start w:val="1"/>
      <w:numFmt w:val="lowerLetter"/>
      <w:lvlText w:val="%2."/>
      <w:lvlJc w:val="left"/>
      <w:pPr>
        <w:ind w:left="1428" w:hanging="360"/>
      </w:pPr>
    </w:lvl>
    <w:lvl w:ilvl="2" w:tplc="0C09001B" w:tentative="1">
      <w:start w:val="1"/>
      <w:numFmt w:val="lowerRoman"/>
      <w:lvlText w:val="%3."/>
      <w:lvlJc w:val="right"/>
      <w:pPr>
        <w:ind w:left="2148" w:hanging="180"/>
      </w:pPr>
    </w:lvl>
    <w:lvl w:ilvl="3" w:tplc="0C09000F" w:tentative="1">
      <w:start w:val="1"/>
      <w:numFmt w:val="decimal"/>
      <w:lvlText w:val="%4."/>
      <w:lvlJc w:val="left"/>
      <w:pPr>
        <w:ind w:left="2868" w:hanging="360"/>
      </w:pPr>
    </w:lvl>
    <w:lvl w:ilvl="4" w:tplc="0C090019" w:tentative="1">
      <w:start w:val="1"/>
      <w:numFmt w:val="lowerLetter"/>
      <w:lvlText w:val="%5."/>
      <w:lvlJc w:val="left"/>
      <w:pPr>
        <w:ind w:left="3588" w:hanging="360"/>
      </w:pPr>
    </w:lvl>
    <w:lvl w:ilvl="5" w:tplc="0C09001B" w:tentative="1">
      <w:start w:val="1"/>
      <w:numFmt w:val="lowerRoman"/>
      <w:lvlText w:val="%6."/>
      <w:lvlJc w:val="right"/>
      <w:pPr>
        <w:ind w:left="4308" w:hanging="180"/>
      </w:pPr>
    </w:lvl>
    <w:lvl w:ilvl="6" w:tplc="0C09000F" w:tentative="1">
      <w:start w:val="1"/>
      <w:numFmt w:val="decimal"/>
      <w:lvlText w:val="%7."/>
      <w:lvlJc w:val="left"/>
      <w:pPr>
        <w:ind w:left="5028" w:hanging="360"/>
      </w:pPr>
    </w:lvl>
    <w:lvl w:ilvl="7" w:tplc="0C090019" w:tentative="1">
      <w:start w:val="1"/>
      <w:numFmt w:val="lowerLetter"/>
      <w:lvlText w:val="%8."/>
      <w:lvlJc w:val="left"/>
      <w:pPr>
        <w:ind w:left="5748" w:hanging="360"/>
      </w:pPr>
    </w:lvl>
    <w:lvl w:ilvl="8" w:tplc="0C09001B" w:tentative="1">
      <w:start w:val="1"/>
      <w:numFmt w:val="lowerRoman"/>
      <w:lvlText w:val="%9."/>
      <w:lvlJc w:val="right"/>
      <w:pPr>
        <w:ind w:left="6468" w:hanging="180"/>
      </w:pPr>
    </w:lvl>
  </w:abstractNum>
  <w:abstractNum w:abstractNumId="67" w15:restartNumberingAfterBreak="0">
    <w:nsid w:val="7D90449F"/>
    <w:multiLevelType w:val="hybridMultilevel"/>
    <w:tmpl w:val="82C2F2A6"/>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E037FB6"/>
    <w:multiLevelType w:val="hybridMultilevel"/>
    <w:tmpl w:val="9F2614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F430A0F"/>
    <w:multiLevelType w:val="hybridMultilevel"/>
    <w:tmpl w:val="9F26140C"/>
    <w:lvl w:ilvl="0" w:tplc="892E350A">
      <w:start w:val="1"/>
      <w:numFmt w:val="lowerLetter"/>
      <w:lvlText w:val="%1."/>
      <w:lvlJc w:val="left"/>
      <w:pPr>
        <w:ind w:left="1080" w:hanging="360"/>
      </w:pPr>
      <w:rPr>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F8A16CA"/>
    <w:multiLevelType w:val="multilevel"/>
    <w:tmpl w:val="FD66FEB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7FFB2773"/>
    <w:multiLevelType w:val="hybridMultilevel"/>
    <w:tmpl w:val="F4782626"/>
    <w:lvl w:ilvl="0" w:tplc="892E350A">
      <w:start w:val="1"/>
      <w:numFmt w:val="lowerLetter"/>
      <w:lvlText w:val="%1."/>
      <w:lvlJc w:val="left"/>
      <w:pPr>
        <w:ind w:left="1428" w:hanging="360"/>
      </w:pPr>
      <w:rPr>
        <w:i w:val="0"/>
        <w:iCs w:val="0"/>
        <w:u w:val="none"/>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num w:numId="1">
    <w:abstractNumId w:val="57"/>
  </w:num>
  <w:num w:numId="2">
    <w:abstractNumId w:val="19"/>
  </w:num>
  <w:num w:numId="3">
    <w:abstractNumId w:val="6"/>
  </w:num>
  <w:num w:numId="4">
    <w:abstractNumId w:val="63"/>
  </w:num>
  <w:num w:numId="5">
    <w:abstractNumId w:val="8"/>
  </w:num>
  <w:num w:numId="6">
    <w:abstractNumId w:val="7"/>
  </w:num>
  <w:num w:numId="7">
    <w:abstractNumId w:val="2"/>
  </w:num>
  <w:num w:numId="8">
    <w:abstractNumId w:val="33"/>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6"/>
  </w:num>
  <w:num w:numId="14">
    <w:abstractNumId w:val="19"/>
  </w:num>
  <w:num w:numId="15">
    <w:abstractNumId w:val="48"/>
  </w:num>
  <w:num w:numId="16">
    <w:abstractNumId w:val="17"/>
  </w:num>
  <w:num w:numId="17">
    <w:abstractNumId w:val="0"/>
  </w:num>
  <w:num w:numId="18">
    <w:abstractNumId w:val="52"/>
  </w:num>
  <w:num w:numId="19">
    <w:abstractNumId w:val="19"/>
  </w:num>
  <w:num w:numId="20">
    <w:abstractNumId w:val="19"/>
  </w:num>
  <w:num w:numId="21">
    <w:abstractNumId w:val="19"/>
  </w:num>
  <w:num w:numId="22">
    <w:abstractNumId w:val="19"/>
  </w:num>
  <w:num w:numId="23">
    <w:abstractNumId w:val="19"/>
  </w:num>
  <w:num w:numId="24">
    <w:abstractNumId w:val="19"/>
    <w:lvlOverride w:ilvl="0">
      <w:startOverride w:val="1"/>
    </w:lvlOverride>
  </w:num>
  <w:num w:numId="25">
    <w:abstractNumId w:val="6"/>
  </w:num>
  <w:num w:numId="26">
    <w:abstractNumId w:val="19"/>
    <w:lvlOverride w:ilvl="0">
      <w:startOverride w:val="1"/>
    </w:lvlOverride>
  </w:num>
  <w:num w:numId="27">
    <w:abstractNumId w:val="19"/>
  </w:num>
  <w:num w:numId="28">
    <w:abstractNumId w:val="14"/>
  </w:num>
  <w:num w:numId="29">
    <w:abstractNumId w:val="25"/>
  </w:num>
  <w:num w:numId="30">
    <w:abstractNumId w:val="53"/>
  </w:num>
  <w:num w:numId="31">
    <w:abstractNumId w:val="6"/>
  </w:num>
  <w:num w:numId="32">
    <w:abstractNumId w:val="19"/>
  </w:num>
  <w:num w:numId="33">
    <w:abstractNumId w:val="20"/>
  </w:num>
  <w:num w:numId="34">
    <w:abstractNumId w:val="47"/>
  </w:num>
  <w:num w:numId="35">
    <w:abstractNumId w:val="23"/>
  </w:num>
  <w:num w:numId="36">
    <w:abstractNumId w:val="59"/>
  </w:num>
  <w:num w:numId="37">
    <w:abstractNumId w:val="45"/>
  </w:num>
  <w:num w:numId="38">
    <w:abstractNumId w:val="38"/>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9"/>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1"/>
  </w:num>
  <w:num w:numId="45">
    <w:abstractNumId w:val="54"/>
  </w:num>
  <w:num w:numId="46">
    <w:abstractNumId w:val="35"/>
  </w:num>
  <w:num w:numId="47">
    <w:abstractNumId w:val="3"/>
  </w:num>
  <w:num w:numId="48">
    <w:abstractNumId w:val="19"/>
    <w:lvlOverride w:ilvl="0">
      <w:startOverride w:val="1"/>
    </w:lvlOverride>
    <w:lvlOverride w:ilvl="1">
      <w:startOverride w:val="2"/>
    </w:lvlOverride>
  </w:num>
  <w:num w:numId="49">
    <w:abstractNumId w:val="29"/>
  </w:num>
  <w:num w:numId="50">
    <w:abstractNumId w:val="19"/>
  </w:num>
  <w:num w:numId="51">
    <w:abstractNumId w:val="70"/>
  </w:num>
  <w:num w:numId="52">
    <w:abstractNumId w:val="34"/>
  </w:num>
  <w:num w:numId="53">
    <w:abstractNumId w:val="27"/>
  </w:num>
  <w:num w:numId="54">
    <w:abstractNumId w:val="19"/>
    <w:lvlOverride w:ilvl="0">
      <w:startOverride w:val="1"/>
    </w:lvlOverride>
    <w:lvlOverride w:ilvl="1">
      <w:startOverride w:val="2"/>
    </w:lvlOverride>
  </w:num>
  <w:num w:numId="55">
    <w:abstractNumId w:val="69"/>
  </w:num>
  <w:num w:numId="56">
    <w:abstractNumId w:val="39"/>
  </w:num>
  <w:num w:numId="57">
    <w:abstractNumId w:val="19"/>
    <w:lvlOverride w:ilvl="0">
      <w:startOverride w:val="1"/>
    </w:lvlOverride>
    <w:lvlOverride w:ilvl="1">
      <w:startOverride w:val="2"/>
    </w:lvlOverride>
  </w:num>
  <w:num w:numId="58">
    <w:abstractNumId w:val="68"/>
  </w:num>
  <w:num w:numId="59">
    <w:abstractNumId w:val="50"/>
  </w:num>
  <w:num w:numId="60">
    <w:abstractNumId w:val="19"/>
    <w:lvlOverride w:ilvl="0">
      <w:startOverride w:val="1"/>
    </w:lvlOverride>
    <w:lvlOverride w:ilvl="1">
      <w:startOverride w:val="2"/>
    </w:lvlOverride>
  </w:num>
  <w:num w:numId="61">
    <w:abstractNumId w:val="9"/>
  </w:num>
  <w:num w:numId="62">
    <w:abstractNumId w:val="19"/>
    <w:lvlOverride w:ilvl="0">
      <w:startOverride w:val="1"/>
    </w:lvlOverride>
    <w:lvlOverride w:ilvl="1">
      <w:startOverride w:val="2"/>
    </w:lvlOverride>
  </w:num>
  <w:num w:numId="63">
    <w:abstractNumId w:val="61"/>
  </w:num>
  <w:num w:numId="64">
    <w:abstractNumId w:val="19"/>
    <w:lvlOverride w:ilvl="0">
      <w:startOverride w:val="1"/>
    </w:lvlOverride>
    <w:lvlOverride w:ilvl="1">
      <w:startOverride w:val="2"/>
    </w:lvlOverride>
  </w:num>
  <w:num w:numId="65">
    <w:abstractNumId w:val="15"/>
  </w:num>
  <w:num w:numId="66">
    <w:abstractNumId w:val="19"/>
    <w:lvlOverride w:ilvl="0">
      <w:startOverride w:val="1"/>
    </w:lvlOverride>
    <w:lvlOverride w:ilvl="1">
      <w:startOverride w:val="2"/>
    </w:lvlOverride>
  </w:num>
  <w:num w:numId="67">
    <w:abstractNumId w:val="19"/>
    <w:lvlOverride w:ilvl="0">
      <w:startOverride w:val="1"/>
    </w:lvlOverride>
    <w:lvlOverride w:ilvl="1">
      <w:startOverride w:val="2"/>
    </w:lvlOverride>
  </w:num>
  <w:num w:numId="68">
    <w:abstractNumId w:val="19"/>
    <w:lvlOverride w:ilvl="0">
      <w:startOverride w:val="1"/>
    </w:lvlOverride>
    <w:lvlOverride w:ilvl="1">
      <w:startOverride w:val="2"/>
    </w:lvlOverride>
  </w:num>
  <w:num w:numId="69">
    <w:abstractNumId w:val="28"/>
  </w:num>
  <w:num w:numId="70">
    <w:abstractNumId w:val="46"/>
  </w:num>
  <w:num w:numId="71">
    <w:abstractNumId w:val="19"/>
    <w:lvlOverride w:ilvl="0">
      <w:startOverride w:val="1"/>
    </w:lvlOverride>
    <w:lvlOverride w:ilvl="1">
      <w:startOverride w:val="2"/>
    </w:lvlOverride>
  </w:num>
  <w:num w:numId="72">
    <w:abstractNumId w:val="32"/>
  </w:num>
  <w:num w:numId="73">
    <w:abstractNumId w:val="19"/>
    <w:lvlOverride w:ilvl="0">
      <w:startOverride w:val="1"/>
    </w:lvlOverride>
    <w:lvlOverride w:ilvl="1">
      <w:startOverride w:val="2"/>
    </w:lvlOverride>
  </w:num>
  <w:num w:numId="74">
    <w:abstractNumId w:val="41"/>
  </w:num>
  <w:num w:numId="75">
    <w:abstractNumId w:val="11"/>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num>
  <w:num w:numId="78">
    <w:abstractNumId w:val="13"/>
  </w:num>
  <w:num w:numId="79">
    <w:abstractNumId w:val="26"/>
  </w:num>
  <w:num w:numId="80">
    <w:abstractNumId w:val="19"/>
    <w:lvlOverride w:ilvl="0">
      <w:startOverride w:val="1"/>
    </w:lvlOverride>
    <w:lvlOverride w:ilvl="1">
      <w:startOverride w:val="2"/>
    </w:lvlOverride>
  </w:num>
  <w:num w:numId="81">
    <w:abstractNumId w:val="51"/>
  </w:num>
  <w:num w:numId="82">
    <w:abstractNumId w:val="19"/>
    <w:lvlOverride w:ilvl="0">
      <w:startOverride w:val="1"/>
    </w:lvlOverride>
    <w:lvlOverride w:ilvl="1">
      <w:startOverride w:val="2"/>
    </w:lvlOverride>
  </w:num>
  <w:num w:numId="83">
    <w:abstractNumId w:val="19"/>
    <w:lvlOverride w:ilvl="0">
      <w:startOverride w:val="1"/>
    </w:lvlOverride>
    <w:lvlOverride w:ilvl="1">
      <w:startOverride w:val="2"/>
    </w:lvlOverride>
  </w:num>
  <w:num w:numId="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
    <w:lvlOverride w:ilvl="0">
      <w:startOverride w:val="1"/>
    </w:lvlOverride>
    <w:lvlOverride w:ilvl="1">
      <w:startOverride w:val="2"/>
    </w:lvlOverride>
  </w:num>
  <w:num w:numId="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7"/>
  </w:num>
  <w:num w:numId="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6"/>
  </w:num>
  <w:num w:numId="102">
    <w:abstractNumId w:val="44"/>
  </w:num>
  <w:num w:numId="103">
    <w:abstractNumId w:val="19"/>
    <w:lvlOverride w:ilvl="0">
      <w:startOverride w:val="1"/>
    </w:lvlOverride>
    <w:lvlOverride w:ilvl="1">
      <w:startOverride w:val="2"/>
    </w:lvlOverride>
  </w:num>
  <w:num w:numId="104">
    <w:abstractNumId w:val="36"/>
  </w:num>
  <w:num w:numId="105">
    <w:abstractNumId w:val="5"/>
  </w:num>
  <w:num w:numId="106">
    <w:abstractNumId w:val="67"/>
  </w:num>
  <w:num w:numId="107">
    <w:abstractNumId w:val="12"/>
  </w:num>
  <w:num w:numId="108">
    <w:abstractNumId w:val="19"/>
    <w:lvlOverride w:ilvl="0">
      <w:startOverride w:val="1"/>
    </w:lvlOverride>
    <w:lvlOverride w:ilvl="1">
      <w:startOverride w:val="2"/>
    </w:lvlOverride>
  </w:num>
  <w:num w:numId="109">
    <w:abstractNumId w:val="19"/>
    <w:lvlOverride w:ilvl="0">
      <w:startOverride w:val="1"/>
    </w:lvlOverride>
    <w:lvlOverride w:ilvl="1">
      <w:startOverride w:val="2"/>
    </w:lvlOverride>
  </w:num>
  <w:num w:numId="110">
    <w:abstractNumId w:val="56"/>
  </w:num>
  <w:num w:numId="111">
    <w:abstractNumId w:val="19"/>
    <w:lvlOverride w:ilvl="0">
      <w:startOverride w:val="1"/>
    </w:lvlOverride>
    <w:lvlOverride w:ilvl="1">
      <w:startOverride w:val="2"/>
    </w:lvlOverride>
  </w:num>
  <w:num w:numId="112">
    <w:abstractNumId w:val="19"/>
    <w:lvlOverride w:ilvl="0">
      <w:startOverride w:val="1"/>
    </w:lvlOverride>
    <w:lvlOverride w:ilvl="1">
      <w:startOverride w:val="2"/>
    </w:lvlOverride>
  </w:num>
  <w:num w:numId="113">
    <w:abstractNumId w:val="19"/>
    <w:lvlOverride w:ilvl="0">
      <w:startOverride w:val="1"/>
    </w:lvlOverride>
    <w:lvlOverride w:ilvl="1">
      <w:startOverride w:val="2"/>
    </w:lvlOverride>
  </w:num>
  <w:num w:numId="114">
    <w:abstractNumId w:val="19"/>
    <w:lvlOverride w:ilvl="0">
      <w:startOverride w:val="1"/>
    </w:lvlOverride>
    <w:lvlOverride w:ilvl="1">
      <w:startOverride w:val="2"/>
    </w:lvlOverride>
  </w:num>
  <w:num w:numId="115">
    <w:abstractNumId w:val="19"/>
    <w:lvlOverride w:ilvl="0">
      <w:startOverride w:val="1"/>
    </w:lvlOverride>
    <w:lvlOverride w:ilvl="1">
      <w:startOverride w:val="2"/>
    </w:lvlOverride>
  </w:num>
  <w:num w:numId="116">
    <w:abstractNumId w:val="19"/>
    <w:lvlOverride w:ilvl="0">
      <w:startOverride w:val="1"/>
    </w:lvlOverride>
    <w:lvlOverride w:ilvl="1">
      <w:startOverride w:val="2"/>
    </w:lvlOverride>
  </w:num>
  <w:num w:numId="117">
    <w:abstractNumId w:val="62"/>
  </w:num>
  <w:num w:numId="118">
    <w:abstractNumId w:val="19"/>
    <w:lvlOverride w:ilvl="0">
      <w:startOverride w:val="1"/>
    </w:lvlOverride>
    <w:lvlOverride w:ilvl="1">
      <w:startOverride w:val="2"/>
    </w:lvlOverride>
  </w:num>
  <w:num w:numId="119">
    <w:abstractNumId w:val="19"/>
    <w:lvlOverride w:ilvl="0">
      <w:startOverride w:val="1"/>
    </w:lvlOverride>
    <w:lvlOverride w:ilvl="1">
      <w:startOverride w:val="2"/>
    </w:lvlOverride>
  </w:num>
  <w:num w:numId="120">
    <w:abstractNumId w:val="19"/>
    <w:lvlOverride w:ilvl="0">
      <w:startOverride w:val="1"/>
    </w:lvlOverride>
    <w:lvlOverride w:ilvl="1">
      <w:startOverride w:val="2"/>
    </w:lvlOverride>
  </w:num>
  <w:num w:numId="121">
    <w:abstractNumId w:val="19"/>
    <w:lvlOverride w:ilvl="0">
      <w:startOverride w:val="1"/>
    </w:lvlOverride>
    <w:lvlOverride w:ilvl="1">
      <w:startOverride w:val="2"/>
    </w:lvlOverride>
  </w:num>
  <w:num w:numId="122">
    <w:abstractNumId w:val="55"/>
  </w:num>
  <w:num w:numId="123">
    <w:abstractNumId w:val="19"/>
    <w:lvlOverride w:ilvl="0">
      <w:startOverride w:val="1"/>
    </w:lvlOverride>
    <w:lvlOverride w:ilvl="1">
      <w:startOverride w:val="2"/>
    </w:lvlOverride>
  </w:num>
  <w:num w:numId="124">
    <w:abstractNumId w:val="19"/>
    <w:lvlOverride w:ilvl="0">
      <w:startOverride w:val="1"/>
    </w:lvlOverride>
    <w:lvlOverride w:ilvl="1">
      <w:startOverride w:val="2"/>
    </w:lvlOverride>
  </w:num>
  <w:num w:numId="125">
    <w:abstractNumId w:val="19"/>
    <w:lvlOverride w:ilvl="0">
      <w:startOverride w:val="1"/>
    </w:lvlOverride>
    <w:lvlOverride w:ilvl="1">
      <w:startOverride w:val="2"/>
    </w:lvlOverride>
  </w:num>
  <w:num w:numId="126">
    <w:abstractNumId w:val="19"/>
    <w:lvlOverride w:ilvl="0">
      <w:startOverride w:val="1"/>
    </w:lvlOverride>
    <w:lvlOverride w:ilvl="1">
      <w:startOverride w:val="2"/>
    </w:lvlOverride>
  </w:num>
  <w:num w:numId="127">
    <w:abstractNumId w:val="24"/>
  </w:num>
  <w:num w:numId="128">
    <w:abstractNumId w:val="42"/>
  </w:num>
  <w:num w:numId="129">
    <w:abstractNumId w:val="71"/>
  </w:num>
  <w:num w:numId="130">
    <w:abstractNumId w:val="18"/>
  </w:num>
  <w:num w:numId="131">
    <w:abstractNumId w:val="19"/>
    <w:lvlOverride w:ilvl="0">
      <w:startOverride w:val="1"/>
    </w:lvlOverride>
    <w:lvlOverride w:ilvl="1">
      <w:startOverride w:val="2"/>
    </w:lvlOverride>
  </w:num>
  <w:num w:numId="132">
    <w:abstractNumId w:val="19"/>
    <w:lvlOverride w:ilvl="0">
      <w:startOverride w:val="1"/>
    </w:lvlOverride>
  </w:num>
  <w:num w:numId="133">
    <w:abstractNumId w:val="19"/>
    <w:lvlOverride w:ilvl="0">
      <w:startOverride w:val="1"/>
    </w:lvlOverride>
    <w:lvlOverride w:ilvl="1">
      <w:startOverride w:val="2"/>
    </w:lvlOverride>
  </w:num>
  <w:num w:numId="134">
    <w:abstractNumId w:val="19"/>
    <w:lvlOverride w:ilvl="0">
      <w:startOverride w:val="1"/>
    </w:lvlOverride>
    <w:lvlOverride w:ilvl="1">
      <w:startOverride w:val="2"/>
    </w:lvlOverride>
  </w:num>
  <w:num w:numId="135">
    <w:abstractNumId w:val="19"/>
    <w:lvlOverride w:ilvl="0">
      <w:startOverride w:val="1"/>
    </w:lvlOverride>
    <w:lvlOverride w:ilvl="1">
      <w:startOverride w:val="2"/>
    </w:lvlOverride>
  </w:num>
  <w:num w:numId="136">
    <w:abstractNumId w:val="30"/>
  </w:num>
  <w:num w:numId="137">
    <w:abstractNumId w:val="49"/>
  </w:num>
  <w:num w:numId="138">
    <w:abstractNumId w:val="19"/>
    <w:lvlOverride w:ilvl="0">
      <w:startOverride w:val="1"/>
    </w:lvlOverride>
    <w:lvlOverride w:ilvl="1">
      <w:startOverride w:val="2"/>
    </w:lvlOverride>
  </w:num>
  <w:num w:numId="139">
    <w:abstractNumId w:val="16"/>
  </w:num>
  <w:num w:numId="140">
    <w:abstractNumId w:val="19"/>
    <w:lvlOverride w:ilvl="0">
      <w:startOverride w:val="1"/>
    </w:lvlOverride>
    <w:lvlOverride w:ilvl="1">
      <w:startOverride w:val="2"/>
    </w:lvlOverride>
  </w:num>
  <w:num w:numId="141">
    <w:abstractNumId w:val="19"/>
    <w:lvlOverride w:ilvl="0">
      <w:startOverride w:val="1"/>
    </w:lvlOverride>
    <w:lvlOverride w:ilvl="1">
      <w:startOverride w:val="2"/>
    </w:lvlOverride>
  </w:num>
  <w:num w:numId="142">
    <w:abstractNumId w:val="19"/>
    <w:lvlOverride w:ilvl="0">
      <w:startOverride w:val="1"/>
    </w:lvlOverride>
    <w:lvlOverride w:ilvl="1">
      <w:startOverride w:val="2"/>
    </w:lvlOverride>
  </w:num>
  <w:num w:numId="143">
    <w:abstractNumId w:val="19"/>
    <w:lvlOverride w:ilvl="0">
      <w:startOverride w:val="1"/>
    </w:lvlOverride>
    <w:lvlOverride w:ilvl="1">
      <w:startOverride w:val="2"/>
    </w:lvlOverride>
  </w:num>
  <w:num w:numId="144">
    <w:abstractNumId w:val="19"/>
    <w:lvlOverride w:ilvl="0">
      <w:startOverride w:val="1"/>
    </w:lvlOverride>
    <w:lvlOverride w:ilvl="1">
      <w:startOverride w:val="2"/>
    </w:lvlOverride>
  </w:num>
  <w:num w:numId="145">
    <w:abstractNumId w:val="19"/>
    <w:lvlOverride w:ilvl="0">
      <w:startOverride w:val="1"/>
    </w:lvlOverride>
    <w:lvlOverride w:ilvl="1">
      <w:startOverride w:val="2"/>
    </w:lvlOverride>
  </w:num>
  <w:num w:numId="146">
    <w:abstractNumId w:val="19"/>
    <w:lvlOverride w:ilvl="0">
      <w:startOverride w:val="1"/>
    </w:lvlOverride>
    <w:lvlOverride w:ilvl="1">
      <w:startOverride w:val="2"/>
    </w:lvlOverride>
  </w:num>
  <w:num w:numId="147">
    <w:abstractNumId w:val="58"/>
  </w:num>
  <w:num w:numId="148">
    <w:abstractNumId w:val="6"/>
  </w:num>
  <w:num w:numId="149">
    <w:abstractNumId w:val="6"/>
  </w:num>
  <w:num w:numId="150">
    <w:abstractNumId w:val="6"/>
  </w:num>
  <w:num w:numId="151">
    <w:abstractNumId w:val="6"/>
  </w:num>
  <w:num w:numId="152">
    <w:abstractNumId w:val="64"/>
  </w:num>
  <w:num w:numId="15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OIClassificationInHeader" w:val="True"/>
    <w:docVar w:name="SecurityClassificationInHeader" w:val="False"/>
    <w:docVar w:name="SecurityDLMInHeader" w:val="False"/>
  </w:docVars>
  <w:rsids>
    <w:rsidRoot w:val="00B016A2"/>
    <w:rsid w:val="00001446"/>
    <w:rsid w:val="00001BDA"/>
    <w:rsid w:val="00001F73"/>
    <w:rsid w:val="00002399"/>
    <w:rsid w:val="00003C91"/>
    <w:rsid w:val="00003D77"/>
    <w:rsid w:val="00003DDB"/>
    <w:rsid w:val="00003DEB"/>
    <w:rsid w:val="00003E07"/>
    <w:rsid w:val="000046BA"/>
    <w:rsid w:val="00004751"/>
    <w:rsid w:val="0000551D"/>
    <w:rsid w:val="00006153"/>
    <w:rsid w:val="0000660A"/>
    <w:rsid w:val="00007149"/>
    <w:rsid w:val="00007D22"/>
    <w:rsid w:val="0001045F"/>
    <w:rsid w:val="00010696"/>
    <w:rsid w:val="0001091C"/>
    <w:rsid w:val="00010AA2"/>
    <w:rsid w:val="0001176B"/>
    <w:rsid w:val="00012077"/>
    <w:rsid w:val="00012151"/>
    <w:rsid w:val="00012195"/>
    <w:rsid w:val="0001284C"/>
    <w:rsid w:val="00013765"/>
    <w:rsid w:val="00013ED1"/>
    <w:rsid w:val="00013F78"/>
    <w:rsid w:val="00014019"/>
    <w:rsid w:val="0001519A"/>
    <w:rsid w:val="000152E4"/>
    <w:rsid w:val="00015627"/>
    <w:rsid w:val="000158C7"/>
    <w:rsid w:val="00015AC7"/>
    <w:rsid w:val="00015E6D"/>
    <w:rsid w:val="00016C13"/>
    <w:rsid w:val="00017278"/>
    <w:rsid w:val="0001795D"/>
    <w:rsid w:val="000221D7"/>
    <w:rsid w:val="000224AF"/>
    <w:rsid w:val="000225AB"/>
    <w:rsid w:val="00023798"/>
    <w:rsid w:val="00023BFF"/>
    <w:rsid w:val="00023D10"/>
    <w:rsid w:val="00024395"/>
    <w:rsid w:val="00026417"/>
    <w:rsid w:val="0002676C"/>
    <w:rsid w:val="000272BA"/>
    <w:rsid w:val="000302D8"/>
    <w:rsid w:val="0003060E"/>
    <w:rsid w:val="00030748"/>
    <w:rsid w:val="00030AA3"/>
    <w:rsid w:val="000318E8"/>
    <w:rsid w:val="00031DB1"/>
    <w:rsid w:val="000322D8"/>
    <w:rsid w:val="0003249A"/>
    <w:rsid w:val="00032983"/>
    <w:rsid w:val="00032A2F"/>
    <w:rsid w:val="00032D0D"/>
    <w:rsid w:val="00032DB5"/>
    <w:rsid w:val="00033862"/>
    <w:rsid w:val="00033A6F"/>
    <w:rsid w:val="00034111"/>
    <w:rsid w:val="00034E7A"/>
    <w:rsid w:val="00035442"/>
    <w:rsid w:val="00035A4F"/>
    <w:rsid w:val="00035CA2"/>
    <w:rsid w:val="00036764"/>
    <w:rsid w:val="00036841"/>
    <w:rsid w:val="00037044"/>
    <w:rsid w:val="00037422"/>
    <w:rsid w:val="0003781D"/>
    <w:rsid w:val="00037843"/>
    <w:rsid w:val="000379E2"/>
    <w:rsid w:val="00037BCF"/>
    <w:rsid w:val="00037EFC"/>
    <w:rsid w:val="00037FE5"/>
    <w:rsid w:val="000406BF"/>
    <w:rsid w:val="00040D53"/>
    <w:rsid w:val="00041ACB"/>
    <w:rsid w:val="00041F4E"/>
    <w:rsid w:val="00042108"/>
    <w:rsid w:val="00042EF8"/>
    <w:rsid w:val="000430EB"/>
    <w:rsid w:val="00043B09"/>
    <w:rsid w:val="00043C3C"/>
    <w:rsid w:val="0004414F"/>
    <w:rsid w:val="000443C1"/>
    <w:rsid w:val="0004572D"/>
    <w:rsid w:val="0004770B"/>
    <w:rsid w:val="0004776B"/>
    <w:rsid w:val="00047E3C"/>
    <w:rsid w:val="00050289"/>
    <w:rsid w:val="00050974"/>
    <w:rsid w:val="00050D56"/>
    <w:rsid w:val="00051538"/>
    <w:rsid w:val="000533D8"/>
    <w:rsid w:val="00054296"/>
    <w:rsid w:val="00054396"/>
    <w:rsid w:val="000546CE"/>
    <w:rsid w:val="00056313"/>
    <w:rsid w:val="000567E5"/>
    <w:rsid w:val="00057173"/>
    <w:rsid w:val="000575A2"/>
    <w:rsid w:val="00057BA3"/>
    <w:rsid w:val="00060268"/>
    <w:rsid w:val="000605A7"/>
    <w:rsid w:val="00061060"/>
    <w:rsid w:val="0006146F"/>
    <w:rsid w:val="00061A22"/>
    <w:rsid w:val="00061A58"/>
    <w:rsid w:val="000627B7"/>
    <w:rsid w:val="00062ED2"/>
    <w:rsid w:val="00063EE1"/>
    <w:rsid w:val="00064037"/>
    <w:rsid w:val="000641C1"/>
    <w:rsid w:val="00064229"/>
    <w:rsid w:val="00064517"/>
    <w:rsid w:val="00064EA2"/>
    <w:rsid w:val="000651B3"/>
    <w:rsid w:val="00065397"/>
    <w:rsid w:val="00065A3D"/>
    <w:rsid w:val="00065BE5"/>
    <w:rsid w:val="00065CEB"/>
    <w:rsid w:val="00066421"/>
    <w:rsid w:val="000667EB"/>
    <w:rsid w:val="00067197"/>
    <w:rsid w:val="0006729B"/>
    <w:rsid w:val="00067853"/>
    <w:rsid w:val="00067BDA"/>
    <w:rsid w:val="00067BF3"/>
    <w:rsid w:val="00067EF9"/>
    <w:rsid w:val="000701B8"/>
    <w:rsid w:val="00070D83"/>
    <w:rsid w:val="00071365"/>
    <w:rsid w:val="00071D91"/>
    <w:rsid w:val="000724E7"/>
    <w:rsid w:val="0007273F"/>
    <w:rsid w:val="000728DD"/>
    <w:rsid w:val="00072D3A"/>
    <w:rsid w:val="00073325"/>
    <w:rsid w:val="000744C2"/>
    <w:rsid w:val="000753DB"/>
    <w:rsid w:val="00075EC3"/>
    <w:rsid w:val="00076BA6"/>
    <w:rsid w:val="000778B6"/>
    <w:rsid w:val="00077DFE"/>
    <w:rsid w:val="0008071D"/>
    <w:rsid w:val="0008116F"/>
    <w:rsid w:val="0008182B"/>
    <w:rsid w:val="00081BDD"/>
    <w:rsid w:val="0008242C"/>
    <w:rsid w:val="00082804"/>
    <w:rsid w:val="00082A95"/>
    <w:rsid w:val="000836AF"/>
    <w:rsid w:val="00083771"/>
    <w:rsid w:val="00084013"/>
    <w:rsid w:val="0008442D"/>
    <w:rsid w:val="00084584"/>
    <w:rsid w:val="00084F37"/>
    <w:rsid w:val="000850A3"/>
    <w:rsid w:val="00085B68"/>
    <w:rsid w:val="00085D04"/>
    <w:rsid w:val="00086B41"/>
    <w:rsid w:val="00086CC8"/>
    <w:rsid w:val="00086D2A"/>
    <w:rsid w:val="00086E60"/>
    <w:rsid w:val="00086FA4"/>
    <w:rsid w:val="0008716D"/>
    <w:rsid w:val="000876BB"/>
    <w:rsid w:val="00090094"/>
    <w:rsid w:val="00092607"/>
    <w:rsid w:val="00092AC3"/>
    <w:rsid w:val="00092B2F"/>
    <w:rsid w:val="00092E22"/>
    <w:rsid w:val="00093872"/>
    <w:rsid w:val="000938D4"/>
    <w:rsid w:val="00093BB0"/>
    <w:rsid w:val="0009498E"/>
    <w:rsid w:val="00094E54"/>
    <w:rsid w:val="0009590D"/>
    <w:rsid w:val="00095A2F"/>
    <w:rsid w:val="0009622F"/>
    <w:rsid w:val="00096584"/>
    <w:rsid w:val="00097600"/>
    <w:rsid w:val="000A00A3"/>
    <w:rsid w:val="000A04E2"/>
    <w:rsid w:val="000A04E6"/>
    <w:rsid w:val="000A076A"/>
    <w:rsid w:val="000A0A1F"/>
    <w:rsid w:val="000A0C55"/>
    <w:rsid w:val="000A0CC5"/>
    <w:rsid w:val="000A0EE4"/>
    <w:rsid w:val="000A16F8"/>
    <w:rsid w:val="000A1A8B"/>
    <w:rsid w:val="000A2A06"/>
    <w:rsid w:val="000A3212"/>
    <w:rsid w:val="000A3810"/>
    <w:rsid w:val="000A3971"/>
    <w:rsid w:val="000A3ACF"/>
    <w:rsid w:val="000A4198"/>
    <w:rsid w:val="000A44D9"/>
    <w:rsid w:val="000A530C"/>
    <w:rsid w:val="000A55EC"/>
    <w:rsid w:val="000A585D"/>
    <w:rsid w:val="000A5DE9"/>
    <w:rsid w:val="000A5F29"/>
    <w:rsid w:val="000A5FD1"/>
    <w:rsid w:val="000A600D"/>
    <w:rsid w:val="000A6B5B"/>
    <w:rsid w:val="000A6DF1"/>
    <w:rsid w:val="000A6F32"/>
    <w:rsid w:val="000A711E"/>
    <w:rsid w:val="000A782C"/>
    <w:rsid w:val="000B1DEE"/>
    <w:rsid w:val="000B229B"/>
    <w:rsid w:val="000B438D"/>
    <w:rsid w:val="000B45D8"/>
    <w:rsid w:val="000B47C4"/>
    <w:rsid w:val="000B5191"/>
    <w:rsid w:val="000B596D"/>
    <w:rsid w:val="000B60BE"/>
    <w:rsid w:val="000B71F8"/>
    <w:rsid w:val="000B7AAC"/>
    <w:rsid w:val="000C0564"/>
    <w:rsid w:val="000C09F7"/>
    <w:rsid w:val="000C0B00"/>
    <w:rsid w:val="000C0CEB"/>
    <w:rsid w:val="000C0EDE"/>
    <w:rsid w:val="000C0F58"/>
    <w:rsid w:val="000C103B"/>
    <w:rsid w:val="000C10B8"/>
    <w:rsid w:val="000C10BF"/>
    <w:rsid w:val="000C17F5"/>
    <w:rsid w:val="000C1A8E"/>
    <w:rsid w:val="000C2045"/>
    <w:rsid w:val="000C212F"/>
    <w:rsid w:val="000C2660"/>
    <w:rsid w:val="000C2F3F"/>
    <w:rsid w:val="000C338A"/>
    <w:rsid w:val="000C3BDC"/>
    <w:rsid w:val="000C49D3"/>
    <w:rsid w:val="000C4DB8"/>
    <w:rsid w:val="000C5072"/>
    <w:rsid w:val="000C598F"/>
    <w:rsid w:val="000C661D"/>
    <w:rsid w:val="000C678D"/>
    <w:rsid w:val="000C6A01"/>
    <w:rsid w:val="000C6EF7"/>
    <w:rsid w:val="000C766E"/>
    <w:rsid w:val="000C76C9"/>
    <w:rsid w:val="000C7C05"/>
    <w:rsid w:val="000D00CE"/>
    <w:rsid w:val="000D222C"/>
    <w:rsid w:val="000D2478"/>
    <w:rsid w:val="000D315C"/>
    <w:rsid w:val="000D32D2"/>
    <w:rsid w:val="000D6674"/>
    <w:rsid w:val="000D6AEA"/>
    <w:rsid w:val="000D6F72"/>
    <w:rsid w:val="000D7E4C"/>
    <w:rsid w:val="000E0110"/>
    <w:rsid w:val="000E0C91"/>
    <w:rsid w:val="000E1AFF"/>
    <w:rsid w:val="000E23CE"/>
    <w:rsid w:val="000E2C2A"/>
    <w:rsid w:val="000E2DD3"/>
    <w:rsid w:val="000E429E"/>
    <w:rsid w:val="000E4A24"/>
    <w:rsid w:val="000E5A9D"/>
    <w:rsid w:val="000E603C"/>
    <w:rsid w:val="000E633C"/>
    <w:rsid w:val="000E6709"/>
    <w:rsid w:val="000E753B"/>
    <w:rsid w:val="000F03EC"/>
    <w:rsid w:val="000F03FB"/>
    <w:rsid w:val="000F07F8"/>
    <w:rsid w:val="000F082B"/>
    <w:rsid w:val="000F0C50"/>
    <w:rsid w:val="000F297C"/>
    <w:rsid w:val="000F3083"/>
    <w:rsid w:val="000F30AC"/>
    <w:rsid w:val="000F3138"/>
    <w:rsid w:val="000F3545"/>
    <w:rsid w:val="000F3EE7"/>
    <w:rsid w:val="000F4CC4"/>
    <w:rsid w:val="000F509B"/>
    <w:rsid w:val="000F5365"/>
    <w:rsid w:val="000F5E7B"/>
    <w:rsid w:val="000F6188"/>
    <w:rsid w:val="000F6CD7"/>
    <w:rsid w:val="000F77C1"/>
    <w:rsid w:val="0010057A"/>
    <w:rsid w:val="0010064D"/>
    <w:rsid w:val="001008EA"/>
    <w:rsid w:val="001011F6"/>
    <w:rsid w:val="001024D8"/>
    <w:rsid w:val="00102A91"/>
    <w:rsid w:val="00102F8D"/>
    <w:rsid w:val="00103786"/>
    <w:rsid w:val="00104094"/>
    <w:rsid w:val="0010433D"/>
    <w:rsid w:val="001048B0"/>
    <w:rsid w:val="00104FC9"/>
    <w:rsid w:val="00105640"/>
    <w:rsid w:val="00105647"/>
    <w:rsid w:val="00105721"/>
    <w:rsid w:val="001057C5"/>
    <w:rsid w:val="0010598E"/>
    <w:rsid w:val="00105CE3"/>
    <w:rsid w:val="00107A0E"/>
    <w:rsid w:val="00107F33"/>
    <w:rsid w:val="001101C7"/>
    <w:rsid w:val="0011026D"/>
    <w:rsid w:val="001105D9"/>
    <w:rsid w:val="00110DCD"/>
    <w:rsid w:val="001116E3"/>
    <w:rsid w:val="00111E04"/>
    <w:rsid w:val="0011324F"/>
    <w:rsid w:val="00113558"/>
    <w:rsid w:val="001148C7"/>
    <w:rsid w:val="00114DBC"/>
    <w:rsid w:val="0011513A"/>
    <w:rsid w:val="0011773D"/>
    <w:rsid w:val="00117D50"/>
    <w:rsid w:val="00117F4E"/>
    <w:rsid w:val="00120B9B"/>
    <w:rsid w:val="001212C9"/>
    <w:rsid w:val="0012144E"/>
    <w:rsid w:val="00121BC9"/>
    <w:rsid w:val="0012245D"/>
    <w:rsid w:val="00123138"/>
    <w:rsid w:val="00123164"/>
    <w:rsid w:val="001231C4"/>
    <w:rsid w:val="001239D7"/>
    <w:rsid w:val="00123EBE"/>
    <w:rsid w:val="001242C2"/>
    <w:rsid w:val="00124865"/>
    <w:rsid w:val="00124CD0"/>
    <w:rsid w:val="00124CDD"/>
    <w:rsid w:val="00125097"/>
    <w:rsid w:val="00125552"/>
    <w:rsid w:val="00125739"/>
    <w:rsid w:val="001264C9"/>
    <w:rsid w:val="001265F1"/>
    <w:rsid w:val="00126714"/>
    <w:rsid w:val="00127852"/>
    <w:rsid w:val="00127C2E"/>
    <w:rsid w:val="00127EBF"/>
    <w:rsid w:val="001310D2"/>
    <w:rsid w:val="00131AA7"/>
    <w:rsid w:val="00132741"/>
    <w:rsid w:val="0013286C"/>
    <w:rsid w:val="00132E93"/>
    <w:rsid w:val="00132F45"/>
    <w:rsid w:val="0013328E"/>
    <w:rsid w:val="0013334C"/>
    <w:rsid w:val="001336CB"/>
    <w:rsid w:val="00134263"/>
    <w:rsid w:val="00134845"/>
    <w:rsid w:val="00134C90"/>
    <w:rsid w:val="001351FF"/>
    <w:rsid w:val="0013534B"/>
    <w:rsid w:val="00135D95"/>
    <w:rsid w:val="001362B9"/>
    <w:rsid w:val="00136766"/>
    <w:rsid w:val="00136A41"/>
    <w:rsid w:val="00136CCD"/>
    <w:rsid w:val="00136EC1"/>
    <w:rsid w:val="00136EDD"/>
    <w:rsid w:val="00137528"/>
    <w:rsid w:val="00137978"/>
    <w:rsid w:val="001406A1"/>
    <w:rsid w:val="001415BF"/>
    <w:rsid w:val="001417CF"/>
    <w:rsid w:val="00141847"/>
    <w:rsid w:val="00141EDD"/>
    <w:rsid w:val="00142005"/>
    <w:rsid w:val="0014268B"/>
    <w:rsid w:val="00143523"/>
    <w:rsid w:val="00143A14"/>
    <w:rsid w:val="00143F70"/>
    <w:rsid w:val="0014449F"/>
    <w:rsid w:val="0014466C"/>
    <w:rsid w:val="00144A66"/>
    <w:rsid w:val="00144C32"/>
    <w:rsid w:val="00144DB0"/>
    <w:rsid w:val="00144FD0"/>
    <w:rsid w:val="00145C26"/>
    <w:rsid w:val="0014610A"/>
    <w:rsid w:val="0014689F"/>
    <w:rsid w:val="00146B8D"/>
    <w:rsid w:val="00146C1E"/>
    <w:rsid w:val="00147118"/>
    <w:rsid w:val="00147F9E"/>
    <w:rsid w:val="00150190"/>
    <w:rsid w:val="001504A1"/>
    <w:rsid w:val="0015075E"/>
    <w:rsid w:val="0015102F"/>
    <w:rsid w:val="00151A5F"/>
    <w:rsid w:val="00151DD4"/>
    <w:rsid w:val="00152A61"/>
    <w:rsid w:val="00153E22"/>
    <w:rsid w:val="0015459C"/>
    <w:rsid w:val="00154725"/>
    <w:rsid w:val="001549A9"/>
    <w:rsid w:val="00154C93"/>
    <w:rsid w:val="0015523B"/>
    <w:rsid w:val="00155273"/>
    <w:rsid w:val="00155DE3"/>
    <w:rsid w:val="00156799"/>
    <w:rsid w:val="00156ACB"/>
    <w:rsid w:val="00156BFE"/>
    <w:rsid w:val="00156F0D"/>
    <w:rsid w:val="00160EE5"/>
    <w:rsid w:val="001610DE"/>
    <w:rsid w:val="00161598"/>
    <w:rsid w:val="001619B9"/>
    <w:rsid w:val="00161A28"/>
    <w:rsid w:val="00162081"/>
    <w:rsid w:val="001621A9"/>
    <w:rsid w:val="00162606"/>
    <w:rsid w:val="00162C5B"/>
    <w:rsid w:val="00162DE5"/>
    <w:rsid w:val="00163B8B"/>
    <w:rsid w:val="00163D55"/>
    <w:rsid w:val="00163FCE"/>
    <w:rsid w:val="00164C7A"/>
    <w:rsid w:val="00164D47"/>
    <w:rsid w:val="0016511B"/>
    <w:rsid w:val="00165251"/>
    <w:rsid w:val="0016566B"/>
    <w:rsid w:val="00165F77"/>
    <w:rsid w:val="00166388"/>
    <w:rsid w:val="001667B4"/>
    <w:rsid w:val="00166C36"/>
    <w:rsid w:val="00167414"/>
    <w:rsid w:val="0016750D"/>
    <w:rsid w:val="001703D7"/>
    <w:rsid w:val="00170ED4"/>
    <w:rsid w:val="00170F48"/>
    <w:rsid w:val="001710AF"/>
    <w:rsid w:val="00171888"/>
    <w:rsid w:val="0017214C"/>
    <w:rsid w:val="001728BC"/>
    <w:rsid w:val="0017320A"/>
    <w:rsid w:val="0017425D"/>
    <w:rsid w:val="00174B47"/>
    <w:rsid w:val="0017571B"/>
    <w:rsid w:val="001775D8"/>
    <w:rsid w:val="00177910"/>
    <w:rsid w:val="00177D33"/>
    <w:rsid w:val="00180B2B"/>
    <w:rsid w:val="00180E62"/>
    <w:rsid w:val="00180F69"/>
    <w:rsid w:val="0018104F"/>
    <w:rsid w:val="0018142A"/>
    <w:rsid w:val="001814E5"/>
    <w:rsid w:val="0018186C"/>
    <w:rsid w:val="001818F4"/>
    <w:rsid w:val="00182074"/>
    <w:rsid w:val="00182172"/>
    <w:rsid w:val="00182279"/>
    <w:rsid w:val="00182F25"/>
    <w:rsid w:val="00184279"/>
    <w:rsid w:val="0018458E"/>
    <w:rsid w:val="00184760"/>
    <w:rsid w:val="00185893"/>
    <w:rsid w:val="00185934"/>
    <w:rsid w:val="00186F47"/>
    <w:rsid w:val="00186FC4"/>
    <w:rsid w:val="001873F9"/>
    <w:rsid w:val="00187A35"/>
    <w:rsid w:val="00190341"/>
    <w:rsid w:val="00190FE7"/>
    <w:rsid w:val="00192942"/>
    <w:rsid w:val="00192BC3"/>
    <w:rsid w:val="001942DC"/>
    <w:rsid w:val="001942F1"/>
    <w:rsid w:val="00194A00"/>
    <w:rsid w:val="00194BCD"/>
    <w:rsid w:val="00195252"/>
    <w:rsid w:val="00195767"/>
    <w:rsid w:val="00196078"/>
    <w:rsid w:val="0019611F"/>
    <w:rsid w:val="00196128"/>
    <w:rsid w:val="00196BAF"/>
    <w:rsid w:val="001971B9"/>
    <w:rsid w:val="001974BF"/>
    <w:rsid w:val="001975AB"/>
    <w:rsid w:val="00197E90"/>
    <w:rsid w:val="00197F4F"/>
    <w:rsid w:val="00197F7D"/>
    <w:rsid w:val="001A03E1"/>
    <w:rsid w:val="001A116C"/>
    <w:rsid w:val="001A1568"/>
    <w:rsid w:val="001A15D5"/>
    <w:rsid w:val="001A1A33"/>
    <w:rsid w:val="001A227E"/>
    <w:rsid w:val="001A2A75"/>
    <w:rsid w:val="001A32B1"/>
    <w:rsid w:val="001A365C"/>
    <w:rsid w:val="001A3DD5"/>
    <w:rsid w:val="001A4252"/>
    <w:rsid w:val="001A4666"/>
    <w:rsid w:val="001A6446"/>
    <w:rsid w:val="001A6737"/>
    <w:rsid w:val="001A6AF8"/>
    <w:rsid w:val="001A739A"/>
    <w:rsid w:val="001A7D2B"/>
    <w:rsid w:val="001A7DD6"/>
    <w:rsid w:val="001B053D"/>
    <w:rsid w:val="001B0E6C"/>
    <w:rsid w:val="001B0F7B"/>
    <w:rsid w:val="001B1462"/>
    <w:rsid w:val="001B164F"/>
    <w:rsid w:val="001B17F1"/>
    <w:rsid w:val="001B1976"/>
    <w:rsid w:val="001B1C56"/>
    <w:rsid w:val="001B20B9"/>
    <w:rsid w:val="001B2242"/>
    <w:rsid w:val="001B2672"/>
    <w:rsid w:val="001B2944"/>
    <w:rsid w:val="001B37EF"/>
    <w:rsid w:val="001B3976"/>
    <w:rsid w:val="001B3CEA"/>
    <w:rsid w:val="001B43A5"/>
    <w:rsid w:val="001B658C"/>
    <w:rsid w:val="001B67E8"/>
    <w:rsid w:val="001B7924"/>
    <w:rsid w:val="001C0278"/>
    <w:rsid w:val="001C04F2"/>
    <w:rsid w:val="001C0A66"/>
    <w:rsid w:val="001C217B"/>
    <w:rsid w:val="001C2326"/>
    <w:rsid w:val="001C2BF7"/>
    <w:rsid w:val="001C37B1"/>
    <w:rsid w:val="001C382A"/>
    <w:rsid w:val="001C5B84"/>
    <w:rsid w:val="001C70CE"/>
    <w:rsid w:val="001D0043"/>
    <w:rsid w:val="001D0594"/>
    <w:rsid w:val="001D05BE"/>
    <w:rsid w:val="001D0962"/>
    <w:rsid w:val="001D0C62"/>
    <w:rsid w:val="001D194D"/>
    <w:rsid w:val="001D1B19"/>
    <w:rsid w:val="001D1B9F"/>
    <w:rsid w:val="001D28D7"/>
    <w:rsid w:val="001D2944"/>
    <w:rsid w:val="001D3459"/>
    <w:rsid w:val="001D468D"/>
    <w:rsid w:val="001D4D83"/>
    <w:rsid w:val="001D66CA"/>
    <w:rsid w:val="001D73C0"/>
    <w:rsid w:val="001D7C18"/>
    <w:rsid w:val="001E04D4"/>
    <w:rsid w:val="001E0803"/>
    <w:rsid w:val="001E0BEA"/>
    <w:rsid w:val="001E11A8"/>
    <w:rsid w:val="001E11F5"/>
    <w:rsid w:val="001E1693"/>
    <w:rsid w:val="001E1FE5"/>
    <w:rsid w:val="001E2F8C"/>
    <w:rsid w:val="001E322E"/>
    <w:rsid w:val="001E32CF"/>
    <w:rsid w:val="001E3823"/>
    <w:rsid w:val="001E39BC"/>
    <w:rsid w:val="001E3FAF"/>
    <w:rsid w:val="001E43EE"/>
    <w:rsid w:val="001E447B"/>
    <w:rsid w:val="001E5080"/>
    <w:rsid w:val="001E5DB8"/>
    <w:rsid w:val="001E6215"/>
    <w:rsid w:val="001E6332"/>
    <w:rsid w:val="001E65ED"/>
    <w:rsid w:val="001E6A92"/>
    <w:rsid w:val="001E6B33"/>
    <w:rsid w:val="001E7212"/>
    <w:rsid w:val="001E730D"/>
    <w:rsid w:val="001E7661"/>
    <w:rsid w:val="001F04E2"/>
    <w:rsid w:val="001F0BD0"/>
    <w:rsid w:val="001F0F7F"/>
    <w:rsid w:val="001F143A"/>
    <w:rsid w:val="001F1DA5"/>
    <w:rsid w:val="001F1F79"/>
    <w:rsid w:val="001F2177"/>
    <w:rsid w:val="001F2663"/>
    <w:rsid w:val="001F3295"/>
    <w:rsid w:val="001F354F"/>
    <w:rsid w:val="001F3D4F"/>
    <w:rsid w:val="001F4004"/>
    <w:rsid w:val="001F4843"/>
    <w:rsid w:val="001F5025"/>
    <w:rsid w:val="001F567B"/>
    <w:rsid w:val="001F5761"/>
    <w:rsid w:val="001F629E"/>
    <w:rsid w:val="001F763E"/>
    <w:rsid w:val="001F776B"/>
    <w:rsid w:val="001F77A2"/>
    <w:rsid w:val="001F7AB4"/>
    <w:rsid w:val="001F7CD9"/>
    <w:rsid w:val="001F7EBD"/>
    <w:rsid w:val="001F7EF0"/>
    <w:rsid w:val="002005CB"/>
    <w:rsid w:val="002006C9"/>
    <w:rsid w:val="00200C02"/>
    <w:rsid w:val="00201137"/>
    <w:rsid w:val="0020154C"/>
    <w:rsid w:val="002015A3"/>
    <w:rsid w:val="002016D5"/>
    <w:rsid w:val="00201B65"/>
    <w:rsid w:val="00203B13"/>
    <w:rsid w:val="00203B34"/>
    <w:rsid w:val="00203F15"/>
    <w:rsid w:val="0020480C"/>
    <w:rsid w:val="00204A79"/>
    <w:rsid w:val="00204D33"/>
    <w:rsid w:val="00204FF4"/>
    <w:rsid w:val="00205296"/>
    <w:rsid w:val="0020551D"/>
    <w:rsid w:val="00206C40"/>
    <w:rsid w:val="00210012"/>
    <w:rsid w:val="0021025D"/>
    <w:rsid w:val="002106AE"/>
    <w:rsid w:val="00210CB7"/>
    <w:rsid w:val="00210EC0"/>
    <w:rsid w:val="002111F3"/>
    <w:rsid w:val="00211AE7"/>
    <w:rsid w:val="00211D05"/>
    <w:rsid w:val="00212327"/>
    <w:rsid w:val="0021337D"/>
    <w:rsid w:val="002139CB"/>
    <w:rsid w:val="00213A98"/>
    <w:rsid w:val="0021562F"/>
    <w:rsid w:val="00215692"/>
    <w:rsid w:val="00215ACB"/>
    <w:rsid w:val="0021610B"/>
    <w:rsid w:val="002162CD"/>
    <w:rsid w:val="002167A5"/>
    <w:rsid w:val="0021741C"/>
    <w:rsid w:val="00217ABD"/>
    <w:rsid w:val="00217DD2"/>
    <w:rsid w:val="00221631"/>
    <w:rsid w:val="00221EED"/>
    <w:rsid w:val="00221FDD"/>
    <w:rsid w:val="00222EEA"/>
    <w:rsid w:val="002232E8"/>
    <w:rsid w:val="00223744"/>
    <w:rsid w:val="00223E00"/>
    <w:rsid w:val="002240A2"/>
    <w:rsid w:val="002254AA"/>
    <w:rsid w:val="00225937"/>
    <w:rsid w:val="0022610F"/>
    <w:rsid w:val="00226AA9"/>
    <w:rsid w:val="00227865"/>
    <w:rsid w:val="00227870"/>
    <w:rsid w:val="00227A70"/>
    <w:rsid w:val="00230825"/>
    <w:rsid w:val="00231F3B"/>
    <w:rsid w:val="002330F8"/>
    <w:rsid w:val="00233315"/>
    <w:rsid w:val="00234550"/>
    <w:rsid w:val="0023486A"/>
    <w:rsid w:val="00234A39"/>
    <w:rsid w:val="00234D5B"/>
    <w:rsid w:val="00234F03"/>
    <w:rsid w:val="002352B1"/>
    <w:rsid w:val="00236054"/>
    <w:rsid w:val="0023659F"/>
    <w:rsid w:val="002366C7"/>
    <w:rsid w:val="0023687F"/>
    <w:rsid w:val="00236F25"/>
    <w:rsid w:val="00241388"/>
    <w:rsid w:val="00241CBD"/>
    <w:rsid w:val="00241D59"/>
    <w:rsid w:val="0024251D"/>
    <w:rsid w:val="0024291C"/>
    <w:rsid w:val="00242EE1"/>
    <w:rsid w:val="00242F94"/>
    <w:rsid w:val="00242FC8"/>
    <w:rsid w:val="00243BB4"/>
    <w:rsid w:val="00244950"/>
    <w:rsid w:val="002458B2"/>
    <w:rsid w:val="00245B71"/>
    <w:rsid w:val="00245F97"/>
    <w:rsid w:val="00246234"/>
    <w:rsid w:val="00246D99"/>
    <w:rsid w:val="00247031"/>
    <w:rsid w:val="00247639"/>
    <w:rsid w:val="0025041F"/>
    <w:rsid w:val="002520CC"/>
    <w:rsid w:val="00252208"/>
    <w:rsid w:val="00252AC7"/>
    <w:rsid w:val="00252BBB"/>
    <w:rsid w:val="002532E9"/>
    <w:rsid w:val="00253405"/>
    <w:rsid w:val="00253CD4"/>
    <w:rsid w:val="00253D8E"/>
    <w:rsid w:val="00253EF1"/>
    <w:rsid w:val="00253FA5"/>
    <w:rsid w:val="00254F36"/>
    <w:rsid w:val="00255038"/>
    <w:rsid w:val="002553A3"/>
    <w:rsid w:val="0025575D"/>
    <w:rsid w:val="002564FD"/>
    <w:rsid w:val="00256CAC"/>
    <w:rsid w:val="00257119"/>
    <w:rsid w:val="002573BF"/>
    <w:rsid w:val="00257447"/>
    <w:rsid w:val="0025793C"/>
    <w:rsid w:val="00257F7C"/>
    <w:rsid w:val="00261426"/>
    <w:rsid w:val="00261D81"/>
    <w:rsid w:val="00261E82"/>
    <w:rsid w:val="0026324F"/>
    <w:rsid w:val="00263A21"/>
    <w:rsid w:val="002647B6"/>
    <w:rsid w:val="00265E12"/>
    <w:rsid w:val="0026645E"/>
    <w:rsid w:val="0026646D"/>
    <w:rsid w:val="002664B0"/>
    <w:rsid w:val="00267AC7"/>
    <w:rsid w:val="002702D2"/>
    <w:rsid w:val="002703CA"/>
    <w:rsid w:val="00270C08"/>
    <w:rsid w:val="00270CBF"/>
    <w:rsid w:val="00272B71"/>
    <w:rsid w:val="00273D7E"/>
    <w:rsid w:val="002741C3"/>
    <w:rsid w:val="002746E7"/>
    <w:rsid w:val="002756DD"/>
    <w:rsid w:val="00280095"/>
    <w:rsid w:val="0028165C"/>
    <w:rsid w:val="00281FB3"/>
    <w:rsid w:val="00282336"/>
    <w:rsid w:val="002824DF"/>
    <w:rsid w:val="002844DD"/>
    <w:rsid w:val="00284858"/>
    <w:rsid w:val="002855C0"/>
    <w:rsid w:val="002855E8"/>
    <w:rsid w:val="002856BC"/>
    <w:rsid w:val="00285A1E"/>
    <w:rsid w:val="00285D55"/>
    <w:rsid w:val="002866C4"/>
    <w:rsid w:val="00286A45"/>
    <w:rsid w:val="00287946"/>
    <w:rsid w:val="002879B2"/>
    <w:rsid w:val="00287A37"/>
    <w:rsid w:val="00290029"/>
    <w:rsid w:val="00291495"/>
    <w:rsid w:val="002915CC"/>
    <w:rsid w:val="00292CC2"/>
    <w:rsid w:val="00292D4D"/>
    <w:rsid w:val="00292F64"/>
    <w:rsid w:val="0029361D"/>
    <w:rsid w:val="002941B8"/>
    <w:rsid w:val="00294FE8"/>
    <w:rsid w:val="00295E95"/>
    <w:rsid w:val="00295FCD"/>
    <w:rsid w:val="002969A6"/>
    <w:rsid w:val="00296C0D"/>
    <w:rsid w:val="00296D31"/>
    <w:rsid w:val="002A00DC"/>
    <w:rsid w:val="002A0160"/>
    <w:rsid w:val="002A0A06"/>
    <w:rsid w:val="002A14F1"/>
    <w:rsid w:val="002A16A9"/>
    <w:rsid w:val="002A18EC"/>
    <w:rsid w:val="002A1AD4"/>
    <w:rsid w:val="002A1F01"/>
    <w:rsid w:val="002A1F9B"/>
    <w:rsid w:val="002A1FCB"/>
    <w:rsid w:val="002A323B"/>
    <w:rsid w:val="002A46B1"/>
    <w:rsid w:val="002A5472"/>
    <w:rsid w:val="002A559D"/>
    <w:rsid w:val="002A5BAD"/>
    <w:rsid w:val="002A60A7"/>
    <w:rsid w:val="002A643B"/>
    <w:rsid w:val="002A68D4"/>
    <w:rsid w:val="002A6A28"/>
    <w:rsid w:val="002A74C4"/>
    <w:rsid w:val="002A74CE"/>
    <w:rsid w:val="002A7C78"/>
    <w:rsid w:val="002B09F5"/>
    <w:rsid w:val="002B0C5D"/>
    <w:rsid w:val="002B173C"/>
    <w:rsid w:val="002B191A"/>
    <w:rsid w:val="002B1BE3"/>
    <w:rsid w:val="002B2844"/>
    <w:rsid w:val="002B2AFA"/>
    <w:rsid w:val="002B326A"/>
    <w:rsid w:val="002B35B4"/>
    <w:rsid w:val="002B36C9"/>
    <w:rsid w:val="002B52AE"/>
    <w:rsid w:val="002B5588"/>
    <w:rsid w:val="002B5832"/>
    <w:rsid w:val="002B5CC8"/>
    <w:rsid w:val="002B5D82"/>
    <w:rsid w:val="002B7DD3"/>
    <w:rsid w:val="002C0252"/>
    <w:rsid w:val="002C03D6"/>
    <w:rsid w:val="002C0491"/>
    <w:rsid w:val="002C217B"/>
    <w:rsid w:val="002C2619"/>
    <w:rsid w:val="002C2741"/>
    <w:rsid w:val="002C2D03"/>
    <w:rsid w:val="002C4766"/>
    <w:rsid w:val="002C52DC"/>
    <w:rsid w:val="002C5FC9"/>
    <w:rsid w:val="002C6186"/>
    <w:rsid w:val="002C6A21"/>
    <w:rsid w:val="002C6F08"/>
    <w:rsid w:val="002C7A36"/>
    <w:rsid w:val="002D0A3E"/>
    <w:rsid w:val="002D1041"/>
    <w:rsid w:val="002D2A06"/>
    <w:rsid w:val="002D2A73"/>
    <w:rsid w:val="002D313E"/>
    <w:rsid w:val="002D3D5A"/>
    <w:rsid w:val="002D3DA6"/>
    <w:rsid w:val="002D4426"/>
    <w:rsid w:val="002D4452"/>
    <w:rsid w:val="002D4781"/>
    <w:rsid w:val="002D4BF8"/>
    <w:rsid w:val="002D53F8"/>
    <w:rsid w:val="002D59F7"/>
    <w:rsid w:val="002D6C73"/>
    <w:rsid w:val="002D6E4B"/>
    <w:rsid w:val="002D704E"/>
    <w:rsid w:val="002D7099"/>
    <w:rsid w:val="002D7213"/>
    <w:rsid w:val="002E17AA"/>
    <w:rsid w:val="002E1A2F"/>
    <w:rsid w:val="002E1C7E"/>
    <w:rsid w:val="002E1CAD"/>
    <w:rsid w:val="002E1FBC"/>
    <w:rsid w:val="002E2563"/>
    <w:rsid w:val="002E29FB"/>
    <w:rsid w:val="002E2AC7"/>
    <w:rsid w:val="002E3CC2"/>
    <w:rsid w:val="002E3D2B"/>
    <w:rsid w:val="002E45D5"/>
    <w:rsid w:val="002E4799"/>
    <w:rsid w:val="002E56EB"/>
    <w:rsid w:val="002E60A0"/>
    <w:rsid w:val="002E61F5"/>
    <w:rsid w:val="002E67E1"/>
    <w:rsid w:val="002E690C"/>
    <w:rsid w:val="002E7693"/>
    <w:rsid w:val="002E7EAA"/>
    <w:rsid w:val="002F035E"/>
    <w:rsid w:val="002F0685"/>
    <w:rsid w:val="002F083D"/>
    <w:rsid w:val="002F2BC1"/>
    <w:rsid w:val="002F2EE7"/>
    <w:rsid w:val="002F3FA2"/>
    <w:rsid w:val="002F47AE"/>
    <w:rsid w:val="002F57DF"/>
    <w:rsid w:val="002F6244"/>
    <w:rsid w:val="003008A4"/>
    <w:rsid w:val="00301557"/>
    <w:rsid w:val="003019C5"/>
    <w:rsid w:val="003020E7"/>
    <w:rsid w:val="00302C75"/>
    <w:rsid w:val="00305722"/>
    <w:rsid w:val="003057CF"/>
    <w:rsid w:val="00305D65"/>
    <w:rsid w:val="00306299"/>
    <w:rsid w:val="003062AE"/>
    <w:rsid w:val="00306351"/>
    <w:rsid w:val="00306845"/>
    <w:rsid w:val="00306907"/>
    <w:rsid w:val="00310244"/>
    <w:rsid w:val="0031039B"/>
    <w:rsid w:val="00310D32"/>
    <w:rsid w:val="003111BD"/>
    <w:rsid w:val="0031195E"/>
    <w:rsid w:val="00311CAA"/>
    <w:rsid w:val="0031263E"/>
    <w:rsid w:val="00312B0E"/>
    <w:rsid w:val="00312FF4"/>
    <w:rsid w:val="00313481"/>
    <w:rsid w:val="00314C85"/>
    <w:rsid w:val="00314ED1"/>
    <w:rsid w:val="00315360"/>
    <w:rsid w:val="0031567B"/>
    <w:rsid w:val="00315B3C"/>
    <w:rsid w:val="0031619E"/>
    <w:rsid w:val="003166A8"/>
    <w:rsid w:val="003168FF"/>
    <w:rsid w:val="00316908"/>
    <w:rsid w:val="003201E6"/>
    <w:rsid w:val="00321808"/>
    <w:rsid w:val="0032180A"/>
    <w:rsid w:val="00321F86"/>
    <w:rsid w:val="00322911"/>
    <w:rsid w:val="00323E22"/>
    <w:rsid w:val="00325743"/>
    <w:rsid w:val="00325763"/>
    <w:rsid w:val="00325ED9"/>
    <w:rsid w:val="00325F01"/>
    <w:rsid w:val="00326A6F"/>
    <w:rsid w:val="003279B8"/>
    <w:rsid w:val="003301E3"/>
    <w:rsid w:val="00330C5D"/>
    <w:rsid w:val="003311C1"/>
    <w:rsid w:val="00331A3F"/>
    <w:rsid w:val="00331A8C"/>
    <w:rsid w:val="00331B56"/>
    <w:rsid w:val="0033201F"/>
    <w:rsid w:val="00332649"/>
    <w:rsid w:val="003328F1"/>
    <w:rsid w:val="00332983"/>
    <w:rsid w:val="00332D70"/>
    <w:rsid w:val="00333351"/>
    <w:rsid w:val="003342C1"/>
    <w:rsid w:val="00334C5B"/>
    <w:rsid w:val="00334D9A"/>
    <w:rsid w:val="00335E9B"/>
    <w:rsid w:val="003366D3"/>
    <w:rsid w:val="003366DA"/>
    <w:rsid w:val="003366DE"/>
    <w:rsid w:val="00336A42"/>
    <w:rsid w:val="00336E25"/>
    <w:rsid w:val="00337F36"/>
    <w:rsid w:val="003407E3"/>
    <w:rsid w:val="00340806"/>
    <w:rsid w:val="0034088C"/>
    <w:rsid w:val="00340A2E"/>
    <w:rsid w:val="0034111F"/>
    <w:rsid w:val="0034131F"/>
    <w:rsid w:val="00341612"/>
    <w:rsid w:val="00342037"/>
    <w:rsid w:val="003425D4"/>
    <w:rsid w:val="003427AC"/>
    <w:rsid w:val="00342955"/>
    <w:rsid w:val="003430C8"/>
    <w:rsid w:val="00343383"/>
    <w:rsid w:val="0034340B"/>
    <w:rsid w:val="0034389C"/>
    <w:rsid w:val="00344018"/>
    <w:rsid w:val="0034458B"/>
    <w:rsid w:val="00345340"/>
    <w:rsid w:val="0034562C"/>
    <w:rsid w:val="003458CF"/>
    <w:rsid w:val="003466DE"/>
    <w:rsid w:val="0034706D"/>
    <w:rsid w:val="0035025B"/>
    <w:rsid w:val="00351289"/>
    <w:rsid w:val="003518BD"/>
    <w:rsid w:val="00352115"/>
    <w:rsid w:val="003526BF"/>
    <w:rsid w:val="003527D4"/>
    <w:rsid w:val="00353193"/>
    <w:rsid w:val="0035378F"/>
    <w:rsid w:val="003541EC"/>
    <w:rsid w:val="003542F0"/>
    <w:rsid w:val="00354C95"/>
    <w:rsid w:val="00354EF7"/>
    <w:rsid w:val="0035584B"/>
    <w:rsid w:val="00355912"/>
    <w:rsid w:val="003559C1"/>
    <w:rsid w:val="00355F5C"/>
    <w:rsid w:val="00355F80"/>
    <w:rsid w:val="003573F1"/>
    <w:rsid w:val="00357E9E"/>
    <w:rsid w:val="003611B3"/>
    <w:rsid w:val="00363136"/>
    <w:rsid w:val="00364E74"/>
    <w:rsid w:val="00364EDA"/>
    <w:rsid w:val="00365CB7"/>
    <w:rsid w:val="0036674D"/>
    <w:rsid w:val="003700FA"/>
    <w:rsid w:val="003712F0"/>
    <w:rsid w:val="0037230B"/>
    <w:rsid w:val="003725E5"/>
    <w:rsid w:val="00372797"/>
    <w:rsid w:val="003735FC"/>
    <w:rsid w:val="003737BF"/>
    <w:rsid w:val="00373FC0"/>
    <w:rsid w:val="003747B3"/>
    <w:rsid w:val="00374B2A"/>
    <w:rsid w:val="003764C5"/>
    <w:rsid w:val="003765BD"/>
    <w:rsid w:val="00376995"/>
    <w:rsid w:val="00376F4C"/>
    <w:rsid w:val="00377654"/>
    <w:rsid w:val="00377693"/>
    <w:rsid w:val="003776D5"/>
    <w:rsid w:val="00377D5B"/>
    <w:rsid w:val="00377E33"/>
    <w:rsid w:val="003809DA"/>
    <w:rsid w:val="0038157B"/>
    <w:rsid w:val="00381E2D"/>
    <w:rsid w:val="003830B7"/>
    <w:rsid w:val="003837FC"/>
    <w:rsid w:val="00383883"/>
    <w:rsid w:val="00384BD7"/>
    <w:rsid w:val="00386E8E"/>
    <w:rsid w:val="00387314"/>
    <w:rsid w:val="00387703"/>
    <w:rsid w:val="00390782"/>
    <w:rsid w:val="00390E06"/>
    <w:rsid w:val="003914AB"/>
    <w:rsid w:val="00391FAB"/>
    <w:rsid w:val="00392721"/>
    <w:rsid w:val="00393364"/>
    <w:rsid w:val="003934B9"/>
    <w:rsid w:val="0039356F"/>
    <w:rsid w:val="003939BD"/>
    <w:rsid w:val="003939D9"/>
    <w:rsid w:val="003944D6"/>
    <w:rsid w:val="003955D1"/>
    <w:rsid w:val="00395B42"/>
    <w:rsid w:val="0039616A"/>
    <w:rsid w:val="00397637"/>
    <w:rsid w:val="003976E4"/>
    <w:rsid w:val="00397C19"/>
    <w:rsid w:val="003A02E9"/>
    <w:rsid w:val="003A0667"/>
    <w:rsid w:val="003A0A1A"/>
    <w:rsid w:val="003A0B8C"/>
    <w:rsid w:val="003A1DD2"/>
    <w:rsid w:val="003A1E24"/>
    <w:rsid w:val="003A1E28"/>
    <w:rsid w:val="003A25C8"/>
    <w:rsid w:val="003A272A"/>
    <w:rsid w:val="003A2E25"/>
    <w:rsid w:val="003A36D5"/>
    <w:rsid w:val="003A38C2"/>
    <w:rsid w:val="003A3A67"/>
    <w:rsid w:val="003A3C6D"/>
    <w:rsid w:val="003A4075"/>
    <w:rsid w:val="003A4BA8"/>
    <w:rsid w:val="003A5680"/>
    <w:rsid w:val="003A5897"/>
    <w:rsid w:val="003A5D92"/>
    <w:rsid w:val="003A755F"/>
    <w:rsid w:val="003B0121"/>
    <w:rsid w:val="003B02E5"/>
    <w:rsid w:val="003B0664"/>
    <w:rsid w:val="003B067B"/>
    <w:rsid w:val="003B0967"/>
    <w:rsid w:val="003B1CBB"/>
    <w:rsid w:val="003B1D52"/>
    <w:rsid w:val="003B1EF9"/>
    <w:rsid w:val="003B2145"/>
    <w:rsid w:val="003B24AF"/>
    <w:rsid w:val="003B2F47"/>
    <w:rsid w:val="003B3116"/>
    <w:rsid w:val="003B45DC"/>
    <w:rsid w:val="003B4758"/>
    <w:rsid w:val="003B5254"/>
    <w:rsid w:val="003B57F4"/>
    <w:rsid w:val="003B5CBE"/>
    <w:rsid w:val="003B762F"/>
    <w:rsid w:val="003B7701"/>
    <w:rsid w:val="003B7F14"/>
    <w:rsid w:val="003C0372"/>
    <w:rsid w:val="003C0490"/>
    <w:rsid w:val="003C1710"/>
    <w:rsid w:val="003C21D2"/>
    <w:rsid w:val="003C24E9"/>
    <w:rsid w:val="003C2703"/>
    <w:rsid w:val="003C33E0"/>
    <w:rsid w:val="003C5B20"/>
    <w:rsid w:val="003C5FF7"/>
    <w:rsid w:val="003C6BD0"/>
    <w:rsid w:val="003C74AF"/>
    <w:rsid w:val="003C7962"/>
    <w:rsid w:val="003D0C9F"/>
    <w:rsid w:val="003D12DC"/>
    <w:rsid w:val="003D1A59"/>
    <w:rsid w:val="003D1D0C"/>
    <w:rsid w:val="003D1F1D"/>
    <w:rsid w:val="003D21BF"/>
    <w:rsid w:val="003D2C56"/>
    <w:rsid w:val="003D2D53"/>
    <w:rsid w:val="003D30E8"/>
    <w:rsid w:val="003D329F"/>
    <w:rsid w:val="003D3531"/>
    <w:rsid w:val="003D3CB5"/>
    <w:rsid w:val="003D3D2F"/>
    <w:rsid w:val="003D4415"/>
    <w:rsid w:val="003D4487"/>
    <w:rsid w:val="003D457E"/>
    <w:rsid w:val="003D45B9"/>
    <w:rsid w:val="003D48ED"/>
    <w:rsid w:val="003D4B32"/>
    <w:rsid w:val="003D4D3C"/>
    <w:rsid w:val="003D5814"/>
    <w:rsid w:val="003D592E"/>
    <w:rsid w:val="003D6237"/>
    <w:rsid w:val="003D6C84"/>
    <w:rsid w:val="003D6D57"/>
    <w:rsid w:val="003D757B"/>
    <w:rsid w:val="003D7877"/>
    <w:rsid w:val="003D7ABD"/>
    <w:rsid w:val="003D7F34"/>
    <w:rsid w:val="003E025B"/>
    <w:rsid w:val="003E04A1"/>
    <w:rsid w:val="003E0B96"/>
    <w:rsid w:val="003E0E3E"/>
    <w:rsid w:val="003E19DD"/>
    <w:rsid w:val="003E26D6"/>
    <w:rsid w:val="003E33DB"/>
    <w:rsid w:val="003E3467"/>
    <w:rsid w:val="003E3E68"/>
    <w:rsid w:val="003E405B"/>
    <w:rsid w:val="003E4FAD"/>
    <w:rsid w:val="003E56C7"/>
    <w:rsid w:val="003E5707"/>
    <w:rsid w:val="003E61B7"/>
    <w:rsid w:val="003E6229"/>
    <w:rsid w:val="003E66C3"/>
    <w:rsid w:val="003E6754"/>
    <w:rsid w:val="003F05AE"/>
    <w:rsid w:val="003F0D7A"/>
    <w:rsid w:val="003F12DC"/>
    <w:rsid w:val="003F12FF"/>
    <w:rsid w:val="003F1617"/>
    <w:rsid w:val="003F1876"/>
    <w:rsid w:val="003F1DBE"/>
    <w:rsid w:val="003F2510"/>
    <w:rsid w:val="003F2559"/>
    <w:rsid w:val="003F297B"/>
    <w:rsid w:val="003F2EDB"/>
    <w:rsid w:val="003F33C2"/>
    <w:rsid w:val="003F3B8D"/>
    <w:rsid w:val="003F5386"/>
    <w:rsid w:val="003F6833"/>
    <w:rsid w:val="003F6B80"/>
    <w:rsid w:val="003F7303"/>
    <w:rsid w:val="003F746B"/>
    <w:rsid w:val="003F7543"/>
    <w:rsid w:val="003F7FCC"/>
    <w:rsid w:val="004002B0"/>
    <w:rsid w:val="00400810"/>
    <w:rsid w:val="00400D0D"/>
    <w:rsid w:val="004018BF"/>
    <w:rsid w:val="00401D7C"/>
    <w:rsid w:val="00401EFC"/>
    <w:rsid w:val="00402E47"/>
    <w:rsid w:val="00402F52"/>
    <w:rsid w:val="00402FCE"/>
    <w:rsid w:val="0040307D"/>
    <w:rsid w:val="00403E66"/>
    <w:rsid w:val="0040405D"/>
    <w:rsid w:val="0040573A"/>
    <w:rsid w:val="00406084"/>
    <w:rsid w:val="0040633F"/>
    <w:rsid w:val="00406438"/>
    <w:rsid w:val="00406EF9"/>
    <w:rsid w:val="00407074"/>
    <w:rsid w:val="00407171"/>
    <w:rsid w:val="004075B3"/>
    <w:rsid w:val="00407FA6"/>
    <w:rsid w:val="004105ED"/>
    <w:rsid w:val="00410634"/>
    <w:rsid w:val="004110E1"/>
    <w:rsid w:val="0041196D"/>
    <w:rsid w:val="00411A77"/>
    <w:rsid w:val="00411E5F"/>
    <w:rsid w:val="004124F2"/>
    <w:rsid w:val="00412D5A"/>
    <w:rsid w:val="0041425F"/>
    <w:rsid w:val="004143AE"/>
    <w:rsid w:val="004147D7"/>
    <w:rsid w:val="00415065"/>
    <w:rsid w:val="00415298"/>
    <w:rsid w:val="004159BA"/>
    <w:rsid w:val="00415BB7"/>
    <w:rsid w:val="004160B9"/>
    <w:rsid w:val="0041749E"/>
    <w:rsid w:val="0041778E"/>
    <w:rsid w:val="004177DF"/>
    <w:rsid w:val="004200B9"/>
    <w:rsid w:val="004200DE"/>
    <w:rsid w:val="0042054B"/>
    <w:rsid w:val="00420B66"/>
    <w:rsid w:val="00420B8E"/>
    <w:rsid w:val="00421A92"/>
    <w:rsid w:val="00421BBA"/>
    <w:rsid w:val="00421E60"/>
    <w:rsid w:val="00421E9A"/>
    <w:rsid w:val="00421F23"/>
    <w:rsid w:val="00423292"/>
    <w:rsid w:val="0042376B"/>
    <w:rsid w:val="00423B0C"/>
    <w:rsid w:val="00424B68"/>
    <w:rsid w:val="00424B73"/>
    <w:rsid w:val="004254F6"/>
    <w:rsid w:val="00426362"/>
    <w:rsid w:val="004265D4"/>
    <w:rsid w:val="00426F95"/>
    <w:rsid w:val="00427992"/>
    <w:rsid w:val="00430514"/>
    <w:rsid w:val="00430E34"/>
    <w:rsid w:val="00430FAC"/>
    <w:rsid w:val="004312E2"/>
    <w:rsid w:val="004313E7"/>
    <w:rsid w:val="00431FCB"/>
    <w:rsid w:val="00432DBB"/>
    <w:rsid w:val="00434851"/>
    <w:rsid w:val="004351E9"/>
    <w:rsid w:val="0043532F"/>
    <w:rsid w:val="004358E2"/>
    <w:rsid w:val="00435FA0"/>
    <w:rsid w:val="00436021"/>
    <w:rsid w:val="00437134"/>
    <w:rsid w:val="0043722D"/>
    <w:rsid w:val="00440641"/>
    <w:rsid w:val="004406F1"/>
    <w:rsid w:val="00441404"/>
    <w:rsid w:val="00441B3F"/>
    <w:rsid w:val="00442482"/>
    <w:rsid w:val="0044269B"/>
    <w:rsid w:val="00442C37"/>
    <w:rsid w:val="00443879"/>
    <w:rsid w:val="00443EB9"/>
    <w:rsid w:val="00444C4C"/>
    <w:rsid w:val="00444E09"/>
    <w:rsid w:val="00444FDF"/>
    <w:rsid w:val="00445284"/>
    <w:rsid w:val="004458B6"/>
    <w:rsid w:val="00445A88"/>
    <w:rsid w:val="00445DCA"/>
    <w:rsid w:val="00446222"/>
    <w:rsid w:val="004465DA"/>
    <w:rsid w:val="00447462"/>
    <w:rsid w:val="004479D6"/>
    <w:rsid w:val="00447D25"/>
    <w:rsid w:val="00450509"/>
    <w:rsid w:val="004508E3"/>
    <w:rsid w:val="004517FF"/>
    <w:rsid w:val="00451831"/>
    <w:rsid w:val="004521C6"/>
    <w:rsid w:val="0045330F"/>
    <w:rsid w:val="00453FE0"/>
    <w:rsid w:val="00454427"/>
    <w:rsid w:val="004545D1"/>
    <w:rsid w:val="004546CB"/>
    <w:rsid w:val="0045489B"/>
    <w:rsid w:val="00454D05"/>
    <w:rsid w:val="00454EC2"/>
    <w:rsid w:val="00455888"/>
    <w:rsid w:val="004561BF"/>
    <w:rsid w:val="004573E6"/>
    <w:rsid w:val="0045763E"/>
    <w:rsid w:val="00460AAD"/>
    <w:rsid w:val="00460F8F"/>
    <w:rsid w:val="004612B7"/>
    <w:rsid w:val="004620CC"/>
    <w:rsid w:val="004622EB"/>
    <w:rsid w:val="00462476"/>
    <w:rsid w:val="004626A8"/>
    <w:rsid w:val="004632AF"/>
    <w:rsid w:val="004634B1"/>
    <w:rsid w:val="00463D8D"/>
    <w:rsid w:val="004646E4"/>
    <w:rsid w:val="004646FC"/>
    <w:rsid w:val="004648E7"/>
    <w:rsid w:val="004655B8"/>
    <w:rsid w:val="00466B25"/>
    <w:rsid w:val="00466D99"/>
    <w:rsid w:val="00466DE6"/>
    <w:rsid w:val="00466E9E"/>
    <w:rsid w:val="00467013"/>
    <w:rsid w:val="004671AC"/>
    <w:rsid w:val="004673E5"/>
    <w:rsid w:val="00467595"/>
    <w:rsid w:val="0046770D"/>
    <w:rsid w:val="004708A1"/>
    <w:rsid w:val="00470BC5"/>
    <w:rsid w:val="00470F52"/>
    <w:rsid w:val="004710BD"/>
    <w:rsid w:val="004711EF"/>
    <w:rsid w:val="00471AED"/>
    <w:rsid w:val="00471D62"/>
    <w:rsid w:val="0047206D"/>
    <w:rsid w:val="00472519"/>
    <w:rsid w:val="00472E19"/>
    <w:rsid w:val="00472FC4"/>
    <w:rsid w:val="0047361E"/>
    <w:rsid w:val="0047373E"/>
    <w:rsid w:val="00474268"/>
    <w:rsid w:val="0047436F"/>
    <w:rsid w:val="004748E1"/>
    <w:rsid w:val="00475E6D"/>
    <w:rsid w:val="00476AE4"/>
    <w:rsid w:val="004800BB"/>
    <w:rsid w:val="0048018F"/>
    <w:rsid w:val="00480EA4"/>
    <w:rsid w:val="004810EB"/>
    <w:rsid w:val="004818EE"/>
    <w:rsid w:val="00481938"/>
    <w:rsid w:val="00481E9B"/>
    <w:rsid w:val="0048275D"/>
    <w:rsid w:val="00482DED"/>
    <w:rsid w:val="00482FC5"/>
    <w:rsid w:val="00484282"/>
    <w:rsid w:val="004853BC"/>
    <w:rsid w:val="00485434"/>
    <w:rsid w:val="00485A30"/>
    <w:rsid w:val="00486A38"/>
    <w:rsid w:val="00486AC5"/>
    <w:rsid w:val="00486F3E"/>
    <w:rsid w:val="0048768B"/>
    <w:rsid w:val="00487E89"/>
    <w:rsid w:val="004910C3"/>
    <w:rsid w:val="00491255"/>
    <w:rsid w:val="004915A5"/>
    <w:rsid w:val="00491AFD"/>
    <w:rsid w:val="00492A10"/>
    <w:rsid w:val="0049317A"/>
    <w:rsid w:val="00493519"/>
    <w:rsid w:val="00493BE6"/>
    <w:rsid w:val="00494635"/>
    <w:rsid w:val="00494D3C"/>
    <w:rsid w:val="00495015"/>
    <w:rsid w:val="00495CA2"/>
    <w:rsid w:val="00495F7F"/>
    <w:rsid w:val="004961B0"/>
    <w:rsid w:val="00496718"/>
    <w:rsid w:val="00496AB3"/>
    <w:rsid w:val="004A0404"/>
    <w:rsid w:val="004A06C6"/>
    <w:rsid w:val="004A0715"/>
    <w:rsid w:val="004A0EED"/>
    <w:rsid w:val="004A1553"/>
    <w:rsid w:val="004A16AE"/>
    <w:rsid w:val="004A16C0"/>
    <w:rsid w:val="004A293F"/>
    <w:rsid w:val="004A2B7D"/>
    <w:rsid w:val="004A2C28"/>
    <w:rsid w:val="004A2C68"/>
    <w:rsid w:val="004A3B90"/>
    <w:rsid w:val="004A3E71"/>
    <w:rsid w:val="004A41BD"/>
    <w:rsid w:val="004A41F2"/>
    <w:rsid w:val="004A4361"/>
    <w:rsid w:val="004A4703"/>
    <w:rsid w:val="004A4B2C"/>
    <w:rsid w:val="004A52E7"/>
    <w:rsid w:val="004A55A9"/>
    <w:rsid w:val="004A7174"/>
    <w:rsid w:val="004A71D2"/>
    <w:rsid w:val="004A764B"/>
    <w:rsid w:val="004A79A4"/>
    <w:rsid w:val="004B0D87"/>
    <w:rsid w:val="004B10B7"/>
    <w:rsid w:val="004B1AA4"/>
    <w:rsid w:val="004B241F"/>
    <w:rsid w:val="004B2FF3"/>
    <w:rsid w:val="004B4742"/>
    <w:rsid w:val="004B526A"/>
    <w:rsid w:val="004B52EE"/>
    <w:rsid w:val="004B61C1"/>
    <w:rsid w:val="004B6897"/>
    <w:rsid w:val="004B703C"/>
    <w:rsid w:val="004B786B"/>
    <w:rsid w:val="004B7EBC"/>
    <w:rsid w:val="004C033B"/>
    <w:rsid w:val="004C10DB"/>
    <w:rsid w:val="004C19F8"/>
    <w:rsid w:val="004C1D76"/>
    <w:rsid w:val="004C201E"/>
    <w:rsid w:val="004C447C"/>
    <w:rsid w:val="004C4E8B"/>
    <w:rsid w:val="004C50DF"/>
    <w:rsid w:val="004C5F01"/>
    <w:rsid w:val="004C70D5"/>
    <w:rsid w:val="004C7D2E"/>
    <w:rsid w:val="004D026E"/>
    <w:rsid w:val="004D1838"/>
    <w:rsid w:val="004D18F8"/>
    <w:rsid w:val="004D1E20"/>
    <w:rsid w:val="004D1EE3"/>
    <w:rsid w:val="004D2E27"/>
    <w:rsid w:val="004D301C"/>
    <w:rsid w:val="004D3263"/>
    <w:rsid w:val="004D37C6"/>
    <w:rsid w:val="004D3BDF"/>
    <w:rsid w:val="004D3FE4"/>
    <w:rsid w:val="004D50B2"/>
    <w:rsid w:val="004D59F5"/>
    <w:rsid w:val="004D71E1"/>
    <w:rsid w:val="004D7701"/>
    <w:rsid w:val="004D7726"/>
    <w:rsid w:val="004D7A6E"/>
    <w:rsid w:val="004E05EB"/>
    <w:rsid w:val="004E08FF"/>
    <w:rsid w:val="004E146D"/>
    <w:rsid w:val="004E26D9"/>
    <w:rsid w:val="004E3D52"/>
    <w:rsid w:val="004E470C"/>
    <w:rsid w:val="004E49B2"/>
    <w:rsid w:val="004E49EF"/>
    <w:rsid w:val="004E4C06"/>
    <w:rsid w:val="004E4C86"/>
    <w:rsid w:val="004E533D"/>
    <w:rsid w:val="004E56E0"/>
    <w:rsid w:val="004E571C"/>
    <w:rsid w:val="004E5E39"/>
    <w:rsid w:val="004E602F"/>
    <w:rsid w:val="004E6C5A"/>
    <w:rsid w:val="004E770D"/>
    <w:rsid w:val="004F17DD"/>
    <w:rsid w:val="004F1CF4"/>
    <w:rsid w:val="004F24A7"/>
    <w:rsid w:val="004F3D51"/>
    <w:rsid w:val="004F3EA9"/>
    <w:rsid w:val="004F43C1"/>
    <w:rsid w:val="004F4758"/>
    <w:rsid w:val="004F4A55"/>
    <w:rsid w:val="004F51EE"/>
    <w:rsid w:val="004F5308"/>
    <w:rsid w:val="004F5668"/>
    <w:rsid w:val="004F5672"/>
    <w:rsid w:val="004F5EA4"/>
    <w:rsid w:val="004F73AE"/>
    <w:rsid w:val="004F755F"/>
    <w:rsid w:val="004F78B6"/>
    <w:rsid w:val="004F79AF"/>
    <w:rsid w:val="00500742"/>
    <w:rsid w:val="00500E47"/>
    <w:rsid w:val="0050198B"/>
    <w:rsid w:val="00502564"/>
    <w:rsid w:val="00502E68"/>
    <w:rsid w:val="005032BA"/>
    <w:rsid w:val="00503D18"/>
    <w:rsid w:val="005048F6"/>
    <w:rsid w:val="00504EF0"/>
    <w:rsid w:val="00504F9B"/>
    <w:rsid w:val="005051FE"/>
    <w:rsid w:val="005065B0"/>
    <w:rsid w:val="00506900"/>
    <w:rsid w:val="00506F70"/>
    <w:rsid w:val="00511B7E"/>
    <w:rsid w:val="00511CA8"/>
    <w:rsid w:val="00511D58"/>
    <w:rsid w:val="00511F8D"/>
    <w:rsid w:val="00511FC7"/>
    <w:rsid w:val="005122F7"/>
    <w:rsid w:val="00512576"/>
    <w:rsid w:val="005129B2"/>
    <w:rsid w:val="00512B89"/>
    <w:rsid w:val="00513CF3"/>
    <w:rsid w:val="00514203"/>
    <w:rsid w:val="00514E94"/>
    <w:rsid w:val="00515E80"/>
    <w:rsid w:val="0051693E"/>
    <w:rsid w:val="0051719F"/>
    <w:rsid w:val="005171EF"/>
    <w:rsid w:val="005177B5"/>
    <w:rsid w:val="00517AE6"/>
    <w:rsid w:val="00520F5F"/>
    <w:rsid w:val="005212A0"/>
    <w:rsid w:val="00521AFB"/>
    <w:rsid w:val="00521D43"/>
    <w:rsid w:val="005225E8"/>
    <w:rsid w:val="0052271B"/>
    <w:rsid w:val="0052360A"/>
    <w:rsid w:val="005239B5"/>
    <w:rsid w:val="00524349"/>
    <w:rsid w:val="00524F96"/>
    <w:rsid w:val="00525647"/>
    <w:rsid w:val="0052760F"/>
    <w:rsid w:val="00530F38"/>
    <w:rsid w:val="00531B8A"/>
    <w:rsid w:val="00531D95"/>
    <w:rsid w:val="00532917"/>
    <w:rsid w:val="005329AE"/>
    <w:rsid w:val="0053303E"/>
    <w:rsid w:val="0053304C"/>
    <w:rsid w:val="00533A42"/>
    <w:rsid w:val="00533EA9"/>
    <w:rsid w:val="00534DA2"/>
    <w:rsid w:val="00535C04"/>
    <w:rsid w:val="005362A1"/>
    <w:rsid w:val="005367A6"/>
    <w:rsid w:val="00536C53"/>
    <w:rsid w:val="00536E8D"/>
    <w:rsid w:val="00537B84"/>
    <w:rsid w:val="00537BC4"/>
    <w:rsid w:val="00540D7A"/>
    <w:rsid w:val="0054154D"/>
    <w:rsid w:val="00542EE1"/>
    <w:rsid w:val="0054305F"/>
    <w:rsid w:val="00543365"/>
    <w:rsid w:val="0054351F"/>
    <w:rsid w:val="005435AC"/>
    <w:rsid w:val="005436E3"/>
    <w:rsid w:val="00544A10"/>
    <w:rsid w:val="00544B16"/>
    <w:rsid w:val="00544B64"/>
    <w:rsid w:val="00545CD8"/>
    <w:rsid w:val="005461B4"/>
    <w:rsid w:val="00546627"/>
    <w:rsid w:val="005468FD"/>
    <w:rsid w:val="0054739C"/>
    <w:rsid w:val="00547517"/>
    <w:rsid w:val="005479C8"/>
    <w:rsid w:val="00547CB8"/>
    <w:rsid w:val="00550542"/>
    <w:rsid w:val="0055231A"/>
    <w:rsid w:val="00553618"/>
    <w:rsid w:val="0055384F"/>
    <w:rsid w:val="005564B5"/>
    <w:rsid w:val="0055661D"/>
    <w:rsid w:val="00556AE2"/>
    <w:rsid w:val="0055758A"/>
    <w:rsid w:val="00557A4B"/>
    <w:rsid w:val="00560D15"/>
    <w:rsid w:val="005610CF"/>
    <w:rsid w:val="005619CA"/>
    <w:rsid w:val="00561B37"/>
    <w:rsid w:val="00561F67"/>
    <w:rsid w:val="0056203D"/>
    <w:rsid w:val="00562100"/>
    <w:rsid w:val="00562B52"/>
    <w:rsid w:val="00563F55"/>
    <w:rsid w:val="005657F1"/>
    <w:rsid w:val="0056637E"/>
    <w:rsid w:val="00567805"/>
    <w:rsid w:val="00567D68"/>
    <w:rsid w:val="0057089A"/>
    <w:rsid w:val="00570AAD"/>
    <w:rsid w:val="005715B4"/>
    <w:rsid w:val="00571CF8"/>
    <w:rsid w:val="00571F25"/>
    <w:rsid w:val="00572819"/>
    <w:rsid w:val="005737C1"/>
    <w:rsid w:val="00573807"/>
    <w:rsid w:val="005744ED"/>
    <w:rsid w:val="0057455D"/>
    <w:rsid w:val="005751A4"/>
    <w:rsid w:val="00575421"/>
    <w:rsid w:val="00575479"/>
    <w:rsid w:val="00576152"/>
    <w:rsid w:val="00576420"/>
    <w:rsid w:val="00576980"/>
    <w:rsid w:val="00577F19"/>
    <w:rsid w:val="005802C2"/>
    <w:rsid w:val="005803CF"/>
    <w:rsid w:val="00580572"/>
    <w:rsid w:val="005807B2"/>
    <w:rsid w:val="00580B2E"/>
    <w:rsid w:val="00580C2C"/>
    <w:rsid w:val="0058106D"/>
    <w:rsid w:val="0058130C"/>
    <w:rsid w:val="00581C0D"/>
    <w:rsid w:val="00581DF5"/>
    <w:rsid w:val="00582D98"/>
    <w:rsid w:val="00582EA2"/>
    <w:rsid w:val="0058334C"/>
    <w:rsid w:val="005835DF"/>
    <w:rsid w:val="0058361E"/>
    <w:rsid w:val="00584033"/>
    <w:rsid w:val="00584998"/>
    <w:rsid w:val="00584C86"/>
    <w:rsid w:val="00584D12"/>
    <w:rsid w:val="005857FB"/>
    <w:rsid w:val="005870D2"/>
    <w:rsid w:val="00587101"/>
    <w:rsid w:val="00587273"/>
    <w:rsid w:val="005872B9"/>
    <w:rsid w:val="005876CD"/>
    <w:rsid w:val="00587D6A"/>
    <w:rsid w:val="00590372"/>
    <w:rsid w:val="00590905"/>
    <w:rsid w:val="005918F0"/>
    <w:rsid w:val="00591D8B"/>
    <w:rsid w:val="00592062"/>
    <w:rsid w:val="005949CB"/>
    <w:rsid w:val="00594A5F"/>
    <w:rsid w:val="0059676D"/>
    <w:rsid w:val="00597065"/>
    <w:rsid w:val="00597459"/>
    <w:rsid w:val="005974A7"/>
    <w:rsid w:val="005977EE"/>
    <w:rsid w:val="00597B06"/>
    <w:rsid w:val="005A0078"/>
    <w:rsid w:val="005A0733"/>
    <w:rsid w:val="005A0C8C"/>
    <w:rsid w:val="005A0DA4"/>
    <w:rsid w:val="005A194D"/>
    <w:rsid w:val="005A1F8D"/>
    <w:rsid w:val="005A2619"/>
    <w:rsid w:val="005A2CBA"/>
    <w:rsid w:val="005A335D"/>
    <w:rsid w:val="005A3379"/>
    <w:rsid w:val="005A452E"/>
    <w:rsid w:val="005A4557"/>
    <w:rsid w:val="005A4968"/>
    <w:rsid w:val="005A4AB1"/>
    <w:rsid w:val="005A4C12"/>
    <w:rsid w:val="005A5E07"/>
    <w:rsid w:val="005A6224"/>
    <w:rsid w:val="005A6B04"/>
    <w:rsid w:val="005A702A"/>
    <w:rsid w:val="005A7081"/>
    <w:rsid w:val="005A744E"/>
    <w:rsid w:val="005A7B99"/>
    <w:rsid w:val="005A7EF7"/>
    <w:rsid w:val="005B1127"/>
    <w:rsid w:val="005B12EF"/>
    <w:rsid w:val="005B1701"/>
    <w:rsid w:val="005B17E8"/>
    <w:rsid w:val="005B19A9"/>
    <w:rsid w:val="005B377B"/>
    <w:rsid w:val="005B3870"/>
    <w:rsid w:val="005B3F61"/>
    <w:rsid w:val="005B47AB"/>
    <w:rsid w:val="005B4E71"/>
    <w:rsid w:val="005B56E8"/>
    <w:rsid w:val="005B647A"/>
    <w:rsid w:val="005B6BD0"/>
    <w:rsid w:val="005B6DEB"/>
    <w:rsid w:val="005B7B1A"/>
    <w:rsid w:val="005C000E"/>
    <w:rsid w:val="005C0975"/>
    <w:rsid w:val="005C0FA6"/>
    <w:rsid w:val="005C1184"/>
    <w:rsid w:val="005C1298"/>
    <w:rsid w:val="005C171A"/>
    <w:rsid w:val="005C1A27"/>
    <w:rsid w:val="005C1ADD"/>
    <w:rsid w:val="005C1BC0"/>
    <w:rsid w:val="005C1EF0"/>
    <w:rsid w:val="005C2456"/>
    <w:rsid w:val="005C268C"/>
    <w:rsid w:val="005C297B"/>
    <w:rsid w:val="005C3792"/>
    <w:rsid w:val="005C3B64"/>
    <w:rsid w:val="005C4753"/>
    <w:rsid w:val="005C4D9D"/>
    <w:rsid w:val="005C5497"/>
    <w:rsid w:val="005C5724"/>
    <w:rsid w:val="005C57DA"/>
    <w:rsid w:val="005C5831"/>
    <w:rsid w:val="005C599F"/>
    <w:rsid w:val="005C59D5"/>
    <w:rsid w:val="005C62C6"/>
    <w:rsid w:val="005C6424"/>
    <w:rsid w:val="005C64A6"/>
    <w:rsid w:val="005C65D1"/>
    <w:rsid w:val="005C687F"/>
    <w:rsid w:val="005C6888"/>
    <w:rsid w:val="005C71F8"/>
    <w:rsid w:val="005C723B"/>
    <w:rsid w:val="005C77D5"/>
    <w:rsid w:val="005C7844"/>
    <w:rsid w:val="005D07F1"/>
    <w:rsid w:val="005D1744"/>
    <w:rsid w:val="005D266E"/>
    <w:rsid w:val="005D2AB5"/>
    <w:rsid w:val="005D2D90"/>
    <w:rsid w:val="005D31FF"/>
    <w:rsid w:val="005D3A75"/>
    <w:rsid w:val="005D3B81"/>
    <w:rsid w:val="005D3DB8"/>
    <w:rsid w:val="005D4943"/>
    <w:rsid w:val="005D53D4"/>
    <w:rsid w:val="005D53D6"/>
    <w:rsid w:val="005D54CE"/>
    <w:rsid w:val="005D5525"/>
    <w:rsid w:val="005D5AF4"/>
    <w:rsid w:val="005D7574"/>
    <w:rsid w:val="005D7FB9"/>
    <w:rsid w:val="005E079A"/>
    <w:rsid w:val="005E0CD6"/>
    <w:rsid w:val="005E0EA4"/>
    <w:rsid w:val="005E1A2F"/>
    <w:rsid w:val="005E1B66"/>
    <w:rsid w:val="005E1C5E"/>
    <w:rsid w:val="005E2E76"/>
    <w:rsid w:val="005E4D46"/>
    <w:rsid w:val="005E513E"/>
    <w:rsid w:val="005E6173"/>
    <w:rsid w:val="005E68B0"/>
    <w:rsid w:val="005E690A"/>
    <w:rsid w:val="005E6B88"/>
    <w:rsid w:val="005E7D0B"/>
    <w:rsid w:val="005F143A"/>
    <w:rsid w:val="005F172E"/>
    <w:rsid w:val="005F2315"/>
    <w:rsid w:val="005F2931"/>
    <w:rsid w:val="005F31C4"/>
    <w:rsid w:val="005F40EF"/>
    <w:rsid w:val="005F414B"/>
    <w:rsid w:val="005F469B"/>
    <w:rsid w:val="005F4C7C"/>
    <w:rsid w:val="005F4E9D"/>
    <w:rsid w:val="005F5509"/>
    <w:rsid w:val="005F55DA"/>
    <w:rsid w:val="005F5810"/>
    <w:rsid w:val="005F722B"/>
    <w:rsid w:val="005F7657"/>
    <w:rsid w:val="005F767B"/>
    <w:rsid w:val="0060145A"/>
    <w:rsid w:val="0060148B"/>
    <w:rsid w:val="00601759"/>
    <w:rsid w:val="006018DD"/>
    <w:rsid w:val="00602BF1"/>
    <w:rsid w:val="00603208"/>
    <w:rsid w:val="006033BC"/>
    <w:rsid w:val="0060386D"/>
    <w:rsid w:val="00603A79"/>
    <w:rsid w:val="00605127"/>
    <w:rsid w:val="006054C9"/>
    <w:rsid w:val="006070A8"/>
    <w:rsid w:val="006071A3"/>
    <w:rsid w:val="006105B3"/>
    <w:rsid w:val="00611092"/>
    <w:rsid w:val="006119BD"/>
    <w:rsid w:val="00611D99"/>
    <w:rsid w:val="006122A3"/>
    <w:rsid w:val="006123F6"/>
    <w:rsid w:val="00612EE1"/>
    <w:rsid w:val="006132C9"/>
    <w:rsid w:val="00613EB6"/>
    <w:rsid w:val="0061463A"/>
    <w:rsid w:val="006148B4"/>
    <w:rsid w:val="006148F8"/>
    <w:rsid w:val="00614956"/>
    <w:rsid w:val="00614D74"/>
    <w:rsid w:val="00616E1C"/>
    <w:rsid w:val="00617BB9"/>
    <w:rsid w:val="00620F32"/>
    <w:rsid w:val="006210DC"/>
    <w:rsid w:val="00621F36"/>
    <w:rsid w:val="00622B2B"/>
    <w:rsid w:val="00622B88"/>
    <w:rsid w:val="00622C8B"/>
    <w:rsid w:val="00622D5E"/>
    <w:rsid w:val="00623417"/>
    <w:rsid w:val="0062485E"/>
    <w:rsid w:val="00625161"/>
    <w:rsid w:val="00625A3D"/>
    <w:rsid w:val="006260BB"/>
    <w:rsid w:val="00626C1D"/>
    <w:rsid w:val="00627114"/>
    <w:rsid w:val="0062784B"/>
    <w:rsid w:val="0063159D"/>
    <w:rsid w:val="0063162F"/>
    <w:rsid w:val="006323C4"/>
    <w:rsid w:val="00633984"/>
    <w:rsid w:val="00634096"/>
    <w:rsid w:val="00634A75"/>
    <w:rsid w:val="00634DB1"/>
    <w:rsid w:val="0063521B"/>
    <w:rsid w:val="00635782"/>
    <w:rsid w:val="00635795"/>
    <w:rsid w:val="00635CE4"/>
    <w:rsid w:val="00635F44"/>
    <w:rsid w:val="00636312"/>
    <w:rsid w:val="0064081B"/>
    <w:rsid w:val="00640DB4"/>
    <w:rsid w:val="00641166"/>
    <w:rsid w:val="00641277"/>
    <w:rsid w:val="00641986"/>
    <w:rsid w:val="006424D4"/>
    <w:rsid w:val="00642822"/>
    <w:rsid w:val="006429AD"/>
    <w:rsid w:val="0064392A"/>
    <w:rsid w:val="00644571"/>
    <w:rsid w:val="00644EC1"/>
    <w:rsid w:val="0064536E"/>
    <w:rsid w:val="00645B20"/>
    <w:rsid w:val="0064619C"/>
    <w:rsid w:val="006463EF"/>
    <w:rsid w:val="006464BB"/>
    <w:rsid w:val="006468E6"/>
    <w:rsid w:val="0064770C"/>
    <w:rsid w:val="00647765"/>
    <w:rsid w:val="00647A8C"/>
    <w:rsid w:val="00651548"/>
    <w:rsid w:val="006515AF"/>
    <w:rsid w:val="00651DAC"/>
    <w:rsid w:val="00652109"/>
    <w:rsid w:val="00652557"/>
    <w:rsid w:val="00652AC7"/>
    <w:rsid w:val="00652BD5"/>
    <w:rsid w:val="00652CE0"/>
    <w:rsid w:val="0065304E"/>
    <w:rsid w:val="00653455"/>
    <w:rsid w:val="00654B3C"/>
    <w:rsid w:val="00655545"/>
    <w:rsid w:val="00656CB9"/>
    <w:rsid w:val="00657B4C"/>
    <w:rsid w:val="00657ED3"/>
    <w:rsid w:val="00660092"/>
    <w:rsid w:val="00660B3F"/>
    <w:rsid w:val="00660D32"/>
    <w:rsid w:val="00660F0E"/>
    <w:rsid w:val="00662400"/>
    <w:rsid w:val="006636DA"/>
    <w:rsid w:val="0066429A"/>
    <w:rsid w:val="00664DD8"/>
    <w:rsid w:val="00665908"/>
    <w:rsid w:val="006659A2"/>
    <w:rsid w:val="006667D9"/>
    <w:rsid w:val="006670A9"/>
    <w:rsid w:val="00667A2C"/>
    <w:rsid w:val="0067027B"/>
    <w:rsid w:val="006708D6"/>
    <w:rsid w:val="00672033"/>
    <w:rsid w:val="0067213D"/>
    <w:rsid w:val="0067287C"/>
    <w:rsid w:val="006732AF"/>
    <w:rsid w:val="006732E7"/>
    <w:rsid w:val="00673606"/>
    <w:rsid w:val="00673759"/>
    <w:rsid w:val="00674258"/>
    <w:rsid w:val="006755AD"/>
    <w:rsid w:val="00675EBE"/>
    <w:rsid w:val="006761CA"/>
    <w:rsid w:val="006763AE"/>
    <w:rsid w:val="00676532"/>
    <w:rsid w:val="00676B28"/>
    <w:rsid w:val="006773C8"/>
    <w:rsid w:val="00677530"/>
    <w:rsid w:val="00677E62"/>
    <w:rsid w:val="00680737"/>
    <w:rsid w:val="00681049"/>
    <w:rsid w:val="00681472"/>
    <w:rsid w:val="006815D1"/>
    <w:rsid w:val="00682059"/>
    <w:rsid w:val="0068248B"/>
    <w:rsid w:val="00682596"/>
    <w:rsid w:val="006831B0"/>
    <w:rsid w:val="00683413"/>
    <w:rsid w:val="00684488"/>
    <w:rsid w:val="0068567B"/>
    <w:rsid w:val="006857C5"/>
    <w:rsid w:val="00685FAA"/>
    <w:rsid w:val="00686B68"/>
    <w:rsid w:val="00686FB1"/>
    <w:rsid w:val="006872A4"/>
    <w:rsid w:val="00687F5C"/>
    <w:rsid w:val="00690059"/>
    <w:rsid w:val="00690758"/>
    <w:rsid w:val="006910DC"/>
    <w:rsid w:val="0069125C"/>
    <w:rsid w:val="00691987"/>
    <w:rsid w:val="00693A25"/>
    <w:rsid w:val="006940DE"/>
    <w:rsid w:val="006950DD"/>
    <w:rsid w:val="00695BAB"/>
    <w:rsid w:val="00695F96"/>
    <w:rsid w:val="00696044"/>
    <w:rsid w:val="006968B5"/>
    <w:rsid w:val="00696955"/>
    <w:rsid w:val="006971E5"/>
    <w:rsid w:val="006979F6"/>
    <w:rsid w:val="00697A05"/>
    <w:rsid w:val="006A01DC"/>
    <w:rsid w:val="006A01F1"/>
    <w:rsid w:val="006A05C1"/>
    <w:rsid w:val="006A0FF2"/>
    <w:rsid w:val="006A1037"/>
    <w:rsid w:val="006A1B9B"/>
    <w:rsid w:val="006A1FB7"/>
    <w:rsid w:val="006A2670"/>
    <w:rsid w:val="006A2C75"/>
    <w:rsid w:val="006A3F56"/>
    <w:rsid w:val="006A498F"/>
    <w:rsid w:val="006A49F1"/>
    <w:rsid w:val="006A4C6E"/>
    <w:rsid w:val="006A5069"/>
    <w:rsid w:val="006A511E"/>
    <w:rsid w:val="006A575B"/>
    <w:rsid w:val="006A5B7A"/>
    <w:rsid w:val="006A6935"/>
    <w:rsid w:val="006B02DB"/>
    <w:rsid w:val="006B1562"/>
    <w:rsid w:val="006B1FCF"/>
    <w:rsid w:val="006B330D"/>
    <w:rsid w:val="006B4D28"/>
    <w:rsid w:val="006B4DF7"/>
    <w:rsid w:val="006B5A45"/>
    <w:rsid w:val="006B618A"/>
    <w:rsid w:val="006B63E0"/>
    <w:rsid w:val="006B656A"/>
    <w:rsid w:val="006B7344"/>
    <w:rsid w:val="006B7A97"/>
    <w:rsid w:val="006B7E07"/>
    <w:rsid w:val="006B7E29"/>
    <w:rsid w:val="006C0B12"/>
    <w:rsid w:val="006C0CBE"/>
    <w:rsid w:val="006C1551"/>
    <w:rsid w:val="006C17AA"/>
    <w:rsid w:val="006C1CB4"/>
    <w:rsid w:val="006C261A"/>
    <w:rsid w:val="006C2842"/>
    <w:rsid w:val="006C29E6"/>
    <w:rsid w:val="006C3200"/>
    <w:rsid w:val="006C46B7"/>
    <w:rsid w:val="006C4D99"/>
    <w:rsid w:val="006C5145"/>
    <w:rsid w:val="006C5869"/>
    <w:rsid w:val="006C61A8"/>
    <w:rsid w:val="006C669F"/>
    <w:rsid w:val="006C706D"/>
    <w:rsid w:val="006C74A1"/>
    <w:rsid w:val="006C78C0"/>
    <w:rsid w:val="006C7BB2"/>
    <w:rsid w:val="006D0801"/>
    <w:rsid w:val="006D0C46"/>
    <w:rsid w:val="006D165F"/>
    <w:rsid w:val="006D1D4B"/>
    <w:rsid w:val="006D2CEA"/>
    <w:rsid w:val="006D2FF7"/>
    <w:rsid w:val="006D3112"/>
    <w:rsid w:val="006D330A"/>
    <w:rsid w:val="006D3D21"/>
    <w:rsid w:val="006D3E66"/>
    <w:rsid w:val="006D5472"/>
    <w:rsid w:val="006D584C"/>
    <w:rsid w:val="006D5F54"/>
    <w:rsid w:val="006D652C"/>
    <w:rsid w:val="006D74A9"/>
    <w:rsid w:val="006D7545"/>
    <w:rsid w:val="006D79F7"/>
    <w:rsid w:val="006D7F66"/>
    <w:rsid w:val="006E029F"/>
    <w:rsid w:val="006E02CA"/>
    <w:rsid w:val="006E10BF"/>
    <w:rsid w:val="006E1829"/>
    <w:rsid w:val="006E1900"/>
    <w:rsid w:val="006E1B42"/>
    <w:rsid w:val="006E20DF"/>
    <w:rsid w:val="006E2264"/>
    <w:rsid w:val="006E2B24"/>
    <w:rsid w:val="006E357C"/>
    <w:rsid w:val="006E41BF"/>
    <w:rsid w:val="006E5B8F"/>
    <w:rsid w:val="006E5CAB"/>
    <w:rsid w:val="006E5D39"/>
    <w:rsid w:val="006E61E3"/>
    <w:rsid w:val="006E651D"/>
    <w:rsid w:val="006E6BEC"/>
    <w:rsid w:val="006E6FA5"/>
    <w:rsid w:val="006E7262"/>
    <w:rsid w:val="006E7C2F"/>
    <w:rsid w:val="006F1F12"/>
    <w:rsid w:val="006F21BE"/>
    <w:rsid w:val="006F224C"/>
    <w:rsid w:val="006F2FAE"/>
    <w:rsid w:val="006F317C"/>
    <w:rsid w:val="006F42B1"/>
    <w:rsid w:val="006F481D"/>
    <w:rsid w:val="006F4BE2"/>
    <w:rsid w:val="006F4C13"/>
    <w:rsid w:val="006F5EFD"/>
    <w:rsid w:val="006F5F6F"/>
    <w:rsid w:val="006F64BD"/>
    <w:rsid w:val="006F6D0B"/>
    <w:rsid w:val="006F710E"/>
    <w:rsid w:val="006F7169"/>
    <w:rsid w:val="006F7D66"/>
    <w:rsid w:val="007001B5"/>
    <w:rsid w:val="00701D3A"/>
    <w:rsid w:val="00702741"/>
    <w:rsid w:val="0070307E"/>
    <w:rsid w:val="00703145"/>
    <w:rsid w:val="0070330F"/>
    <w:rsid w:val="00703AB8"/>
    <w:rsid w:val="007054C1"/>
    <w:rsid w:val="00705F6E"/>
    <w:rsid w:val="007067F5"/>
    <w:rsid w:val="007069B8"/>
    <w:rsid w:val="00706AC5"/>
    <w:rsid w:val="007072A5"/>
    <w:rsid w:val="0070755B"/>
    <w:rsid w:val="007077DC"/>
    <w:rsid w:val="00710954"/>
    <w:rsid w:val="00710BB0"/>
    <w:rsid w:val="007113CC"/>
    <w:rsid w:val="00711905"/>
    <w:rsid w:val="00711C4A"/>
    <w:rsid w:val="00712D00"/>
    <w:rsid w:val="00712FB6"/>
    <w:rsid w:val="007136D2"/>
    <w:rsid w:val="00713735"/>
    <w:rsid w:val="00714322"/>
    <w:rsid w:val="00715C83"/>
    <w:rsid w:val="0071693C"/>
    <w:rsid w:val="007171D9"/>
    <w:rsid w:val="00717243"/>
    <w:rsid w:val="007172C9"/>
    <w:rsid w:val="00720C29"/>
    <w:rsid w:val="00720D46"/>
    <w:rsid w:val="0072150A"/>
    <w:rsid w:val="00721D05"/>
    <w:rsid w:val="00721E31"/>
    <w:rsid w:val="00722120"/>
    <w:rsid w:val="00722F86"/>
    <w:rsid w:val="0072354D"/>
    <w:rsid w:val="00723D5A"/>
    <w:rsid w:val="00724148"/>
    <w:rsid w:val="00724D1E"/>
    <w:rsid w:val="00724D56"/>
    <w:rsid w:val="00724D99"/>
    <w:rsid w:val="00724F7F"/>
    <w:rsid w:val="007253ED"/>
    <w:rsid w:val="0072630D"/>
    <w:rsid w:val="007269F1"/>
    <w:rsid w:val="007274E2"/>
    <w:rsid w:val="0072792F"/>
    <w:rsid w:val="00727E77"/>
    <w:rsid w:val="00727F30"/>
    <w:rsid w:val="00727FFB"/>
    <w:rsid w:val="00730276"/>
    <w:rsid w:val="007303DC"/>
    <w:rsid w:val="007315CC"/>
    <w:rsid w:val="00731981"/>
    <w:rsid w:val="00731BE7"/>
    <w:rsid w:val="007320EF"/>
    <w:rsid w:val="00732309"/>
    <w:rsid w:val="00732491"/>
    <w:rsid w:val="00732BEF"/>
    <w:rsid w:val="0073360F"/>
    <w:rsid w:val="00733736"/>
    <w:rsid w:val="00733C96"/>
    <w:rsid w:val="007347F2"/>
    <w:rsid w:val="00734873"/>
    <w:rsid w:val="00734B5C"/>
    <w:rsid w:val="007352C7"/>
    <w:rsid w:val="00735729"/>
    <w:rsid w:val="00735EE4"/>
    <w:rsid w:val="00736067"/>
    <w:rsid w:val="0073672E"/>
    <w:rsid w:val="00737222"/>
    <w:rsid w:val="007375B5"/>
    <w:rsid w:val="00737943"/>
    <w:rsid w:val="0074013D"/>
    <w:rsid w:val="00741108"/>
    <w:rsid w:val="007413D2"/>
    <w:rsid w:val="00741C20"/>
    <w:rsid w:val="0074374D"/>
    <w:rsid w:val="00744010"/>
    <w:rsid w:val="007443E5"/>
    <w:rsid w:val="00744D4D"/>
    <w:rsid w:val="007453DC"/>
    <w:rsid w:val="00745C8C"/>
    <w:rsid w:val="00746035"/>
    <w:rsid w:val="007466CD"/>
    <w:rsid w:val="00746989"/>
    <w:rsid w:val="0074730E"/>
    <w:rsid w:val="007479A2"/>
    <w:rsid w:val="00747B77"/>
    <w:rsid w:val="00747DBC"/>
    <w:rsid w:val="00747E23"/>
    <w:rsid w:val="007508F6"/>
    <w:rsid w:val="00752030"/>
    <w:rsid w:val="007521E2"/>
    <w:rsid w:val="007521F1"/>
    <w:rsid w:val="00752FC2"/>
    <w:rsid w:val="00753407"/>
    <w:rsid w:val="007538F7"/>
    <w:rsid w:val="00753E8F"/>
    <w:rsid w:val="00754326"/>
    <w:rsid w:val="00754534"/>
    <w:rsid w:val="00754B5D"/>
    <w:rsid w:val="007558DA"/>
    <w:rsid w:val="00756794"/>
    <w:rsid w:val="0075698E"/>
    <w:rsid w:val="00756F95"/>
    <w:rsid w:val="00757E6A"/>
    <w:rsid w:val="00760101"/>
    <w:rsid w:val="00760418"/>
    <w:rsid w:val="00760927"/>
    <w:rsid w:val="007615B4"/>
    <w:rsid w:val="007615EC"/>
    <w:rsid w:val="00761FB7"/>
    <w:rsid w:val="00765489"/>
    <w:rsid w:val="007655AB"/>
    <w:rsid w:val="007676FC"/>
    <w:rsid w:val="00767EE3"/>
    <w:rsid w:val="00770088"/>
    <w:rsid w:val="00770962"/>
    <w:rsid w:val="00770EF6"/>
    <w:rsid w:val="00771665"/>
    <w:rsid w:val="00771DD2"/>
    <w:rsid w:val="007721B0"/>
    <w:rsid w:val="007729B4"/>
    <w:rsid w:val="00773375"/>
    <w:rsid w:val="00773B58"/>
    <w:rsid w:val="00773E57"/>
    <w:rsid w:val="00773FB0"/>
    <w:rsid w:val="00774B08"/>
    <w:rsid w:val="00774F04"/>
    <w:rsid w:val="00775616"/>
    <w:rsid w:val="00775A3D"/>
    <w:rsid w:val="00775F4A"/>
    <w:rsid w:val="00775F9F"/>
    <w:rsid w:val="007761B5"/>
    <w:rsid w:val="0077677B"/>
    <w:rsid w:val="00777699"/>
    <w:rsid w:val="007800BD"/>
    <w:rsid w:val="00782C92"/>
    <w:rsid w:val="007833F4"/>
    <w:rsid w:val="00784F85"/>
    <w:rsid w:val="007859DC"/>
    <w:rsid w:val="00785B5C"/>
    <w:rsid w:val="00786180"/>
    <w:rsid w:val="00786E81"/>
    <w:rsid w:val="007877AD"/>
    <w:rsid w:val="007877D8"/>
    <w:rsid w:val="007918C8"/>
    <w:rsid w:val="00791AE5"/>
    <w:rsid w:val="00791B10"/>
    <w:rsid w:val="00791E17"/>
    <w:rsid w:val="0079272D"/>
    <w:rsid w:val="00793D7B"/>
    <w:rsid w:val="0079483A"/>
    <w:rsid w:val="00794BC2"/>
    <w:rsid w:val="0079515D"/>
    <w:rsid w:val="00795837"/>
    <w:rsid w:val="00796335"/>
    <w:rsid w:val="007963F7"/>
    <w:rsid w:val="0079680F"/>
    <w:rsid w:val="007970ED"/>
    <w:rsid w:val="00797702"/>
    <w:rsid w:val="0079775E"/>
    <w:rsid w:val="00797D1C"/>
    <w:rsid w:val="007A0AE9"/>
    <w:rsid w:val="007A1D98"/>
    <w:rsid w:val="007A1F46"/>
    <w:rsid w:val="007A2E2F"/>
    <w:rsid w:val="007A3000"/>
    <w:rsid w:val="007A3020"/>
    <w:rsid w:val="007A3877"/>
    <w:rsid w:val="007A4066"/>
    <w:rsid w:val="007A4243"/>
    <w:rsid w:val="007A42DA"/>
    <w:rsid w:val="007A5004"/>
    <w:rsid w:val="007A59D2"/>
    <w:rsid w:val="007A5EF9"/>
    <w:rsid w:val="007A618D"/>
    <w:rsid w:val="007A649C"/>
    <w:rsid w:val="007A64F6"/>
    <w:rsid w:val="007A703F"/>
    <w:rsid w:val="007B05CF"/>
    <w:rsid w:val="007B07CF"/>
    <w:rsid w:val="007B087E"/>
    <w:rsid w:val="007B21A0"/>
    <w:rsid w:val="007B3A75"/>
    <w:rsid w:val="007B408B"/>
    <w:rsid w:val="007B447A"/>
    <w:rsid w:val="007B4983"/>
    <w:rsid w:val="007B5E41"/>
    <w:rsid w:val="007B6236"/>
    <w:rsid w:val="007B6722"/>
    <w:rsid w:val="007B6A76"/>
    <w:rsid w:val="007B709C"/>
    <w:rsid w:val="007B73D1"/>
    <w:rsid w:val="007B73E7"/>
    <w:rsid w:val="007B74D4"/>
    <w:rsid w:val="007B7673"/>
    <w:rsid w:val="007B7A7C"/>
    <w:rsid w:val="007B7C3A"/>
    <w:rsid w:val="007C07C1"/>
    <w:rsid w:val="007C0AEE"/>
    <w:rsid w:val="007C0E5C"/>
    <w:rsid w:val="007C1F41"/>
    <w:rsid w:val="007C29AA"/>
    <w:rsid w:val="007C29DA"/>
    <w:rsid w:val="007C2D7A"/>
    <w:rsid w:val="007C3186"/>
    <w:rsid w:val="007C360C"/>
    <w:rsid w:val="007C45E8"/>
    <w:rsid w:val="007C4891"/>
    <w:rsid w:val="007C6C42"/>
    <w:rsid w:val="007C744D"/>
    <w:rsid w:val="007C777E"/>
    <w:rsid w:val="007C7CBD"/>
    <w:rsid w:val="007D058D"/>
    <w:rsid w:val="007D0DBF"/>
    <w:rsid w:val="007D0F35"/>
    <w:rsid w:val="007D2083"/>
    <w:rsid w:val="007D283F"/>
    <w:rsid w:val="007D2D60"/>
    <w:rsid w:val="007D2DD7"/>
    <w:rsid w:val="007D2EA9"/>
    <w:rsid w:val="007D3FDD"/>
    <w:rsid w:val="007D4106"/>
    <w:rsid w:val="007D491E"/>
    <w:rsid w:val="007D4CCA"/>
    <w:rsid w:val="007D54FC"/>
    <w:rsid w:val="007D5EB6"/>
    <w:rsid w:val="007D7168"/>
    <w:rsid w:val="007D7306"/>
    <w:rsid w:val="007D731F"/>
    <w:rsid w:val="007D7567"/>
    <w:rsid w:val="007D7A0F"/>
    <w:rsid w:val="007D7F11"/>
    <w:rsid w:val="007E05ED"/>
    <w:rsid w:val="007E0C07"/>
    <w:rsid w:val="007E198B"/>
    <w:rsid w:val="007E3090"/>
    <w:rsid w:val="007E353B"/>
    <w:rsid w:val="007E36F7"/>
    <w:rsid w:val="007E3769"/>
    <w:rsid w:val="007E42D5"/>
    <w:rsid w:val="007E50E9"/>
    <w:rsid w:val="007E562D"/>
    <w:rsid w:val="007E5F20"/>
    <w:rsid w:val="007E5F23"/>
    <w:rsid w:val="007E6E2A"/>
    <w:rsid w:val="007E76AA"/>
    <w:rsid w:val="007F0097"/>
    <w:rsid w:val="007F0E4D"/>
    <w:rsid w:val="007F0F20"/>
    <w:rsid w:val="007F1190"/>
    <w:rsid w:val="007F1502"/>
    <w:rsid w:val="007F171C"/>
    <w:rsid w:val="007F18FF"/>
    <w:rsid w:val="007F1AE7"/>
    <w:rsid w:val="007F2026"/>
    <w:rsid w:val="007F21F4"/>
    <w:rsid w:val="007F291D"/>
    <w:rsid w:val="007F3D28"/>
    <w:rsid w:val="007F3E17"/>
    <w:rsid w:val="007F5EF6"/>
    <w:rsid w:val="007F6254"/>
    <w:rsid w:val="007F6CF3"/>
    <w:rsid w:val="007F75A7"/>
    <w:rsid w:val="00800554"/>
    <w:rsid w:val="00800DA7"/>
    <w:rsid w:val="0080118D"/>
    <w:rsid w:val="008015E6"/>
    <w:rsid w:val="0080163A"/>
    <w:rsid w:val="00802B27"/>
    <w:rsid w:val="00802DCD"/>
    <w:rsid w:val="00804895"/>
    <w:rsid w:val="00804AE2"/>
    <w:rsid w:val="008051FE"/>
    <w:rsid w:val="0080567C"/>
    <w:rsid w:val="008058FF"/>
    <w:rsid w:val="0080679A"/>
    <w:rsid w:val="008101A9"/>
    <w:rsid w:val="0081059B"/>
    <w:rsid w:val="00811018"/>
    <w:rsid w:val="00811F75"/>
    <w:rsid w:val="0081250A"/>
    <w:rsid w:val="00812940"/>
    <w:rsid w:val="00812983"/>
    <w:rsid w:val="008131AB"/>
    <w:rsid w:val="008143C8"/>
    <w:rsid w:val="008145C5"/>
    <w:rsid w:val="00814B7E"/>
    <w:rsid w:val="00814E68"/>
    <w:rsid w:val="008156E9"/>
    <w:rsid w:val="0081572C"/>
    <w:rsid w:val="00815B20"/>
    <w:rsid w:val="00816356"/>
    <w:rsid w:val="0081659A"/>
    <w:rsid w:val="00816831"/>
    <w:rsid w:val="0081684C"/>
    <w:rsid w:val="00816873"/>
    <w:rsid w:val="0081788E"/>
    <w:rsid w:val="00820E92"/>
    <w:rsid w:val="00821ED5"/>
    <w:rsid w:val="00822005"/>
    <w:rsid w:val="00822E56"/>
    <w:rsid w:val="008233A3"/>
    <w:rsid w:val="0082439B"/>
    <w:rsid w:val="00824D28"/>
    <w:rsid w:val="00824D5B"/>
    <w:rsid w:val="00824D83"/>
    <w:rsid w:val="0082591B"/>
    <w:rsid w:val="00825CDD"/>
    <w:rsid w:val="00825D45"/>
    <w:rsid w:val="008260AC"/>
    <w:rsid w:val="00826371"/>
    <w:rsid w:val="008264BD"/>
    <w:rsid w:val="008265A4"/>
    <w:rsid w:val="008279D5"/>
    <w:rsid w:val="00827A56"/>
    <w:rsid w:val="00827EFA"/>
    <w:rsid w:val="008302CB"/>
    <w:rsid w:val="0083038B"/>
    <w:rsid w:val="008332D1"/>
    <w:rsid w:val="00833617"/>
    <w:rsid w:val="008338B4"/>
    <w:rsid w:val="00833E16"/>
    <w:rsid w:val="0083423F"/>
    <w:rsid w:val="00834A16"/>
    <w:rsid w:val="00834CF8"/>
    <w:rsid w:val="008360ED"/>
    <w:rsid w:val="008371B5"/>
    <w:rsid w:val="008372FB"/>
    <w:rsid w:val="00837D80"/>
    <w:rsid w:val="008401A5"/>
    <w:rsid w:val="00840DFD"/>
    <w:rsid w:val="00841363"/>
    <w:rsid w:val="00841B71"/>
    <w:rsid w:val="00842F11"/>
    <w:rsid w:val="008430FB"/>
    <w:rsid w:val="0084390A"/>
    <w:rsid w:val="00843DC5"/>
    <w:rsid w:val="00844774"/>
    <w:rsid w:val="00844894"/>
    <w:rsid w:val="00844A79"/>
    <w:rsid w:val="00844EEC"/>
    <w:rsid w:val="00845542"/>
    <w:rsid w:val="008456CC"/>
    <w:rsid w:val="00845E30"/>
    <w:rsid w:val="0084635B"/>
    <w:rsid w:val="00847246"/>
    <w:rsid w:val="00847889"/>
    <w:rsid w:val="00847BC6"/>
    <w:rsid w:val="00850185"/>
    <w:rsid w:val="008509C8"/>
    <w:rsid w:val="00850A0E"/>
    <w:rsid w:val="00851523"/>
    <w:rsid w:val="008517A1"/>
    <w:rsid w:val="008519FE"/>
    <w:rsid w:val="00851BF2"/>
    <w:rsid w:val="00851CD5"/>
    <w:rsid w:val="0085245E"/>
    <w:rsid w:val="00853121"/>
    <w:rsid w:val="008537FB"/>
    <w:rsid w:val="0085446C"/>
    <w:rsid w:val="008550DB"/>
    <w:rsid w:val="00856557"/>
    <w:rsid w:val="0085686F"/>
    <w:rsid w:val="00856E5D"/>
    <w:rsid w:val="008573B5"/>
    <w:rsid w:val="008579E8"/>
    <w:rsid w:val="0086053F"/>
    <w:rsid w:val="008605D1"/>
    <w:rsid w:val="008607FB"/>
    <w:rsid w:val="00860970"/>
    <w:rsid w:val="00860CCE"/>
    <w:rsid w:val="00860E99"/>
    <w:rsid w:val="00860F32"/>
    <w:rsid w:val="00860F5E"/>
    <w:rsid w:val="0086134D"/>
    <w:rsid w:val="0086151B"/>
    <w:rsid w:val="008619BF"/>
    <w:rsid w:val="00861EEF"/>
    <w:rsid w:val="008620D6"/>
    <w:rsid w:val="00862541"/>
    <w:rsid w:val="00862C75"/>
    <w:rsid w:val="00862E5E"/>
    <w:rsid w:val="008630B4"/>
    <w:rsid w:val="00863739"/>
    <w:rsid w:val="0086387E"/>
    <w:rsid w:val="00864B3D"/>
    <w:rsid w:val="00864BF7"/>
    <w:rsid w:val="00865EB3"/>
    <w:rsid w:val="00867146"/>
    <w:rsid w:val="008673AF"/>
    <w:rsid w:val="00867C46"/>
    <w:rsid w:val="00867E98"/>
    <w:rsid w:val="00870DD3"/>
    <w:rsid w:val="00870ECC"/>
    <w:rsid w:val="0087111E"/>
    <w:rsid w:val="008711CC"/>
    <w:rsid w:val="00871354"/>
    <w:rsid w:val="008713B3"/>
    <w:rsid w:val="0087194D"/>
    <w:rsid w:val="00872919"/>
    <w:rsid w:val="008731A9"/>
    <w:rsid w:val="008732E7"/>
    <w:rsid w:val="0087390C"/>
    <w:rsid w:val="00873DE9"/>
    <w:rsid w:val="0087463E"/>
    <w:rsid w:val="00874847"/>
    <w:rsid w:val="00874BFA"/>
    <w:rsid w:val="00875CC9"/>
    <w:rsid w:val="008773BA"/>
    <w:rsid w:val="00880A9D"/>
    <w:rsid w:val="00880D7B"/>
    <w:rsid w:val="00881012"/>
    <w:rsid w:val="008814DF"/>
    <w:rsid w:val="008827FB"/>
    <w:rsid w:val="008829EA"/>
    <w:rsid w:val="00883841"/>
    <w:rsid w:val="008842B1"/>
    <w:rsid w:val="008851C4"/>
    <w:rsid w:val="00885E68"/>
    <w:rsid w:val="0088615F"/>
    <w:rsid w:val="008863FB"/>
    <w:rsid w:val="00886664"/>
    <w:rsid w:val="00886A89"/>
    <w:rsid w:val="00886CFE"/>
    <w:rsid w:val="0088746C"/>
    <w:rsid w:val="00890577"/>
    <w:rsid w:val="00890CAC"/>
    <w:rsid w:val="00890EAC"/>
    <w:rsid w:val="00893662"/>
    <w:rsid w:val="008939FC"/>
    <w:rsid w:val="008947DE"/>
    <w:rsid w:val="00894E9E"/>
    <w:rsid w:val="008956B6"/>
    <w:rsid w:val="00895B39"/>
    <w:rsid w:val="008967DA"/>
    <w:rsid w:val="00897F53"/>
    <w:rsid w:val="008A070E"/>
    <w:rsid w:val="008A1E4C"/>
    <w:rsid w:val="008A1FBA"/>
    <w:rsid w:val="008A2143"/>
    <w:rsid w:val="008A23AF"/>
    <w:rsid w:val="008A371F"/>
    <w:rsid w:val="008A3C7A"/>
    <w:rsid w:val="008A42CC"/>
    <w:rsid w:val="008A4457"/>
    <w:rsid w:val="008A44CB"/>
    <w:rsid w:val="008A582E"/>
    <w:rsid w:val="008A5DEF"/>
    <w:rsid w:val="008A6282"/>
    <w:rsid w:val="008A6304"/>
    <w:rsid w:val="008B00FF"/>
    <w:rsid w:val="008B04FC"/>
    <w:rsid w:val="008B08CC"/>
    <w:rsid w:val="008B0B31"/>
    <w:rsid w:val="008B0CE8"/>
    <w:rsid w:val="008B1208"/>
    <w:rsid w:val="008B15DB"/>
    <w:rsid w:val="008B1F92"/>
    <w:rsid w:val="008B3767"/>
    <w:rsid w:val="008B4495"/>
    <w:rsid w:val="008B492A"/>
    <w:rsid w:val="008B4A0F"/>
    <w:rsid w:val="008B4AC0"/>
    <w:rsid w:val="008B4DF3"/>
    <w:rsid w:val="008B58D8"/>
    <w:rsid w:val="008B59B8"/>
    <w:rsid w:val="008B62DE"/>
    <w:rsid w:val="008B6421"/>
    <w:rsid w:val="008B68F0"/>
    <w:rsid w:val="008B6E0B"/>
    <w:rsid w:val="008B6E7F"/>
    <w:rsid w:val="008B7C73"/>
    <w:rsid w:val="008B7E1D"/>
    <w:rsid w:val="008C05C3"/>
    <w:rsid w:val="008C0986"/>
    <w:rsid w:val="008C0F45"/>
    <w:rsid w:val="008C1602"/>
    <w:rsid w:val="008C1D44"/>
    <w:rsid w:val="008C2DCA"/>
    <w:rsid w:val="008C354F"/>
    <w:rsid w:val="008C3D0A"/>
    <w:rsid w:val="008C433E"/>
    <w:rsid w:val="008C5F72"/>
    <w:rsid w:val="008C69E2"/>
    <w:rsid w:val="008C7115"/>
    <w:rsid w:val="008C79B9"/>
    <w:rsid w:val="008D01B6"/>
    <w:rsid w:val="008D069C"/>
    <w:rsid w:val="008D070E"/>
    <w:rsid w:val="008D1BCC"/>
    <w:rsid w:val="008D257C"/>
    <w:rsid w:val="008D2681"/>
    <w:rsid w:val="008D3A29"/>
    <w:rsid w:val="008D3A5C"/>
    <w:rsid w:val="008D4098"/>
    <w:rsid w:val="008D45C8"/>
    <w:rsid w:val="008D4656"/>
    <w:rsid w:val="008D4FB8"/>
    <w:rsid w:val="008D57C6"/>
    <w:rsid w:val="008D5AE3"/>
    <w:rsid w:val="008D610C"/>
    <w:rsid w:val="008D638A"/>
    <w:rsid w:val="008D6394"/>
    <w:rsid w:val="008D6643"/>
    <w:rsid w:val="008D7AC1"/>
    <w:rsid w:val="008E0C77"/>
    <w:rsid w:val="008E0C93"/>
    <w:rsid w:val="008E0F57"/>
    <w:rsid w:val="008E171F"/>
    <w:rsid w:val="008E18D2"/>
    <w:rsid w:val="008E1EA2"/>
    <w:rsid w:val="008E1F70"/>
    <w:rsid w:val="008E2F09"/>
    <w:rsid w:val="008E31D8"/>
    <w:rsid w:val="008E3EDD"/>
    <w:rsid w:val="008E5288"/>
    <w:rsid w:val="008E53DC"/>
    <w:rsid w:val="008E572F"/>
    <w:rsid w:val="008E6A5B"/>
    <w:rsid w:val="008E6BAD"/>
    <w:rsid w:val="008E6CAE"/>
    <w:rsid w:val="008E6D4F"/>
    <w:rsid w:val="008E7409"/>
    <w:rsid w:val="008E7875"/>
    <w:rsid w:val="008E7B6D"/>
    <w:rsid w:val="008E7E9F"/>
    <w:rsid w:val="008F0011"/>
    <w:rsid w:val="008F004F"/>
    <w:rsid w:val="008F24F5"/>
    <w:rsid w:val="008F34A9"/>
    <w:rsid w:val="008F355F"/>
    <w:rsid w:val="008F38F2"/>
    <w:rsid w:val="008F3999"/>
    <w:rsid w:val="008F3F8B"/>
    <w:rsid w:val="008F4342"/>
    <w:rsid w:val="008F43C0"/>
    <w:rsid w:val="008F4B58"/>
    <w:rsid w:val="008F58C9"/>
    <w:rsid w:val="008F5ADD"/>
    <w:rsid w:val="008F7151"/>
    <w:rsid w:val="008F71EB"/>
    <w:rsid w:val="008F739B"/>
    <w:rsid w:val="008F77B5"/>
    <w:rsid w:val="008F7DC8"/>
    <w:rsid w:val="0090055F"/>
    <w:rsid w:val="00900810"/>
    <w:rsid w:val="0090086B"/>
    <w:rsid w:val="0090126A"/>
    <w:rsid w:val="009039F4"/>
    <w:rsid w:val="00903E72"/>
    <w:rsid w:val="00904DDE"/>
    <w:rsid w:val="00905164"/>
    <w:rsid w:val="00905401"/>
    <w:rsid w:val="009054C5"/>
    <w:rsid w:val="009059A4"/>
    <w:rsid w:val="00905A54"/>
    <w:rsid w:val="00905DED"/>
    <w:rsid w:val="0091025D"/>
    <w:rsid w:val="009108EF"/>
    <w:rsid w:val="009117E1"/>
    <w:rsid w:val="00911CF1"/>
    <w:rsid w:val="009120DF"/>
    <w:rsid w:val="00912E00"/>
    <w:rsid w:val="00912F0A"/>
    <w:rsid w:val="009130D1"/>
    <w:rsid w:val="009130E3"/>
    <w:rsid w:val="00913526"/>
    <w:rsid w:val="009136B9"/>
    <w:rsid w:val="00913757"/>
    <w:rsid w:val="00913961"/>
    <w:rsid w:val="00913BB0"/>
    <w:rsid w:val="00913DDD"/>
    <w:rsid w:val="0091427E"/>
    <w:rsid w:val="009146F6"/>
    <w:rsid w:val="0091490E"/>
    <w:rsid w:val="00915069"/>
    <w:rsid w:val="00916FAB"/>
    <w:rsid w:val="00917231"/>
    <w:rsid w:val="00917302"/>
    <w:rsid w:val="00921153"/>
    <w:rsid w:val="009219BD"/>
    <w:rsid w:val="00921FE5"/>
    <w:rsid w:val="00922A90"/>
    <w:rsid w:val="00922C6C"/>
    <w:rsid w:val="009230D8"/>
    <w:rsid w:val="00923149"/>
    <w:rsid w:val="00923A29"/>
    <w:rsid w:val="00924A9A"/>
    <w:rsid w:val="009255C1"/>
    <w:rsid w:val="00925888"/>
    <w:rsid w:val="00931C42"/>
    <w:rsid w:val="00931F27"/>
    <w:rsid w:val="009321D1"/>
    <w:rsid w:val="00932269"/>
    <w:rsid w:val="009324D4"/>
    <w:rsid w:val="00932A2D"/>
    <w:rsid w:val="00932CB5"/>
    <w:rsid w:val="00932E3B"/>
    <w:rsid w:val="00933B2F"/>
    <w:rsid w:val="00933D0C"/>
    <w:rsid w:val="009342A2"/>
    <w:rsid w:val="009348F6"/>
    <w:rsid w:val="00934E16"/>
    <w:rsid w:val="0093506C"/>
    <w:rsid w:val="0093539A"/>
    <w:rsid w:val="00936601"/>
    <w:rsid w:val="009368D1"/>
    <w:rsid w:val="00936D7D"/>
    <w:rsid w:val="0094013E"/>
    <w:rsid w:val="00940337"/>
    <w:rsid w:val="00940571"/>
    <w:rsid w:val="00941520"/>
    <w:rsid w:val="00943119"/>
    <w:rsid w:val="0094350D"/>
    <w:rsid w:val="0094372F"/>
    <w:rsid w:val="00943994"/>
    <w:rsid w:val="00943D37"/>
    <w:rsid w:val="00944676"/>
    <w:rsid w:val="00944991"/>
    <w:rsid w:val="00944BA0"/>
    <w:rsid w:val="00945C2A"/>
    <w:rsid w:val="00946ABF"/>
    <w:rsid w:val="009475AC"/>
    <w:rsid w:val="00950C71"/>
    <w:rsid w:val="009534E0"/>
    <w:rsid w:val="009535B0"/>
    <w:rsid w:val="009539CE"/>
    <w:rsid w:val="009540DD"/>
    <w:rsid w:val="0095475B"/>
    <w:rsid w:val="00954BB9"/>
    <w:rsid w:val="00954BC7"/>
    <w:rsid w:val="00955847"/>
    <w:rsid w:val="00956371"/>
    <w:rsid w:val="009565A3"/>
    <w:rsid w:val="0095664D"/>
    <w:rsid w:val="00956949"/>
    <w:rsid w:val="00956B82"/>
    <w:rsid w:val="009570A4"/>
    <w:rsid w:val="009574F7"/>
    <w:rsid w:val="0096046B"/>
    <w:rsid w:val="00960EB2"/>
    <w:rsid w:val="00960FF5"/>
    <w:rsid w:val="009615BA"/>
    <w:rsid w:val="009617FD"/>
    <w:rsid w:val="0096193A"/>
    <w:rsid w:val="00961E9F"/>
    <w:rsid w:val="00962667"/>
    <w:rsid w:val="0096333B"/>
    <w:rsid w:val="00963911"/>
    <w:rsid w:val="00963AF8"/>
    <w:rsid w:val="00963B7A"/>
    <w:rsid w:val="009653F7"/>
    <w:rsid w:val="00965BA4"/>
    <w:rsid w:val="00965F85"/>
    <w:rsid w:val="009663DF"/>
    <w:rsid w:val="00967424"/>
    <w:rsid w:val="00967591"/>
    <w:rsid w:val="00967ADA"/>
    <w:rsid w:val="009707E4"/>
    <w:rsid w:val="009709D2"/>
    <w:rsid w:val="00970E1B"/>
    <w:rsid w:val="009725EE"/>
    <w:rsid w:val="0097454A"/>
    <w:rsid w:val="00974C0B"/>
    <w:rsid w:val="00975625"/>
    <w:rsid w:val="0097570D"/>
    <w:rsid w:val="00975E5A"/>
    <w:rsid w:val="0097629C"/>
    <w:rsid w:val="00976819"/>
    <w:rsid w:val="00976BBE"/>
    <w:rsid w:val="0097701F"/>
    <w:rsid w:val="00977524"/>
    <w:rsid w:val="00977AA9"/>
    <w:rsid w:val="00977F3F"/>
    <w:rsid w:val="0098026E"/>
    <w:rsid w:val="009803E7"/>
    <w:rsid w:val="009805C6"/>
    <w:rsid w:val="00980D77"/>
    <w:rsid w:val="009819B5"/>
    <w:rsid w:val="00983255"/>
    <w:rsid w:val="00983D58"/>
    <w:rsid w:val="00983DC6"/>
    <w:rsid w:val="00984524"/>
    <w:rsid w:val="00984A1F"/>
    <w:rsid w:val="00984D71"/>
    <w:rsid w:val="009851CA"/>
    <w:rsid w:val="0098529A"/>
    <w:rsid w:val="00985386"/>
    <w:rsid w:val="009853ED"/>
    <w:rsid w:val="00985FE2"/>
    <w:rsid w:val="009860F4"/>
    <w:rsid w:val="00986161"/>
    <w:rsid w:val="009863B2"/>
    <w:rsid w:val="0098651F"/>
    <w:rsid w:val="009866C1"/>
    <w:rsid w:val="00987200"/>
    <w:rsid w:val="00987438"/>
    <w:rsid w:val="00987584"/>
    <w:rsid w:val="0098783D"/>
    <w:rsid w:val="00987C0C"/>
    <w:rsid w:val="00987E67"/>
    <w:rsid w:val="0099002A"/>
    <w:rsid w:val="009906AD"/>
    <w:rsid w:val="00991A4F"/>
    <w:rsid w:val="009928F4"/>
    <w:rsid w:val="00992B8B"/>
    <w:rsid w:val="00992D8F"/>
    <w:rsid w:val="00992FEB"/>
    <w:rsid w:val="00993750"/>
    <w:rsid w:val="0099400E"/>
    <w:rsid w:val="0099434F"/>
    <w:rsid w:val="00994590"/>
    <w:rsid w:val="00994BC5"/>
    <w:rsid w:val="0099537E"/>
    <w:rsid w:val="00995A75"/>
    <w:rsid w:val="00995AAE"/>
    <w:rsid w:val="00995B93"/>
    <w:rsid w:val="00995EE0"/>
    <w:rsid w:val="00995F59"/>
    <w:rsid w:val="00996045"/>
    <w:rsid w:val="0099666D"/>
    <w:rsid w:val="009967CB"/>
    <w:rsid w:val="00997EAF"/>
    <w:rsid w:val="009A0CD2"/>
    <w:rsid w:val="009A0E6E"/>
    <w:rsid w:val="009A0ED6"/>
    <w:rsid w:val="009A1591"/>
    <w:rsid w:val="009A288B"/>
    <w:rsid w:val="009A2B53"/>
    <w:rsid w:val="009A370F"/>
    <w:rsid w:val="009A4ACD"/>
    <w:rsid w:val="009A4F4F"/>
    <w:rsid w:val="009A56E4"/>
    <w:rsid w:val="009A59B2"/>
    <w:rsid w:val="009A5E56"/>
    <w:rsid w:val="009A6908"/>
    <w:rsid w:val="009A6CCE"/>
    <w:rsid w:val="009A6F22"/>
    <w:rsid w:val="009B153B"/>
    <w:rsid w:val="009B2354"/>
    <w:rsid w:val="009B2C53"/>
    <w:rsid w:val="009B384C"/>
    <w:rsid w:val="009B523E"/>
    <w:rsid w:val="009B7131"/>
    <w:rsid w:val="009B7B58"/>
    <w:rsid w:val="009C0792"/>
    <w:rsid w:val="009C0CF6"/>
    <w:rsid w:val="009C10D2"/>
    <w:rsid w:val="009C1569"/>
    <w:rsid w:val="009C1A60"/>
    <w:rsid w:val="009C2474"/>
    <w:rsid w:val="009C2FD8"/>
    <w:rsid w:val="009C4490"/>
    <w:rsid w:val="009C467A"/>
    <w:rsid w:val="009C638D"/>
    <w:rsid w:val="009C6A3E"/>
    <w:rsid w:val="009C6DAE"/>
    <w:rsid w:val="009C74CA"/>
    <w:rsid w:val="009C7EEA"/>
    <w:rsid w:val="009D0107"/>
    <w:rsid w:val="009D13B6"/>
    <w:rsid w:val="009D15C8"/>
    <w:rsid w:val="009D1A4E"/>
    <w:rsid w:val="009D1C18"/>
    <w:rsid w:val="009D1D53"/>
    <w:rsid w:val="009D22F1"/>
    <w:rsid w:val="009D281A"/>
    <w:rsid w:val="009D3F62"/>
    <w:rsid w:val="009D4ACD"/>
    <w:rsid w:val="009D5450"/>
    <w:rsid w:val="009D547B"/>
    <w:rsid w:val="009D6004"/>
    <w:rsid w:val="009D6035"/>
    <w:rsid w:val="009D7088"/>
    <w:rsid w:val="009D766A"/>
    <w:rsid w:val="009D7C65"/>
    <w:rsid w:val="009E01CC"/>
    <w:rsid w:val="009E0996"/>
    <w:rsid w:val="009E0A70"/>
    <w:rsid w:val="009E0F14"/>
    <w:rsid w:val="009E153E"/>
    <w:rsid w:val="009E213E"/>
    <w:rsid w:val="009E25EC"/>
    <w:rsid w:val="009E2AE8"/>
    <w:rsid w:val="009E2B50"/>
    <w:rsid w:val="009E2D06"/>
    <w:rsid w:val="009E3298"/>
    <w:rsid w:val="009E3EDA"/>
    <w:rsid w:val="009E4355"/>
    <w:rsid w:val="009E4AFF"/>
    <w:rsid w:val="009E4DE1"/>
    <w:rsid w:val="009E51FA"/>
    <w:rsid w:val="009E536E"/>
    <w:rsid w:val="009E5763"/>
    <w:rsid w:val="009E5F08"/>
    <w:rsid w:val="009E686C"/>
    <w:rsid w:val="009E6AD6"/>
    <w:rsid w:val="009E6D42"/>
    <w:rsid w:val="009E7295"/>
    <w:rsid w:val="009E7B6D"/>
    <w:rsid w:val="009F0674"/>
    <w:rsid w:val="009F0997"/>
    <w:rsid w:val="009F2425"/>
    <w:rsid w:val="009F24DC"/>
    <w:rsid w:val="009F29DA"/>
    <w:rsid w:val="009F2D38"/>
    <w:rsid w:val="009F3101"/>
    <w:rsid w:val="009F32AA"/>
    <w:rsid w:val="009F34D1"/>
    <w:rsid w:val="009F353B"/>
    <w:rsid w:val="009F36A7"/>
    <w:rsid w:val="009F3784"/>
    <w:rsid w:val="009F43AB"/>
    <w:rsid w:val="009F5761"/>
    <w:rsid w:val="009F5962"/>
    <w:rsid w:val="009F6050"/>
    <w:rsid w:val="009F6157"/>
    <w:rsid w:val="009F61D8"/>
    <w:rsid w:val="009F657F"/>
    <w:rsid w:val="009F6732"/>
    <w:rsid w:val="009F6A6C"/>
    <w:rsid w:val="009F6D3C"/>
    <w:rsid w:val="009F75A3"/>
    <w:rsid w:val="009F78C8"/>
    <w:rsid w:val="009F7F35"/>
    <w:rsid w:val="00A0004B"/>
    <w:rsid w:val="00A0028A"/>
    <w:rsid w:val="00A00293"/>
    <w:rsid w:val="00A002EE"/>
    <w:rsid w:val="00A007D5"/>
    <w:rsid w:val="00A0152A"/>
    <w:rsid w:val="00A01BE8"/>
    <w:rsid w:val="00A02E76"/>
    <w:rsid w:val="00A031F3"/>
    <w:rsid w:val="00A03806"/>
    <w:rsid w:val="00A038E9"/>
    <w:rsid w:val="00A04580"/>
    <w:rsid w:val="00A04DD0"/>
    <w:rsid w:val="00A04F44"/>
    <w:rsid w:val="00A05C74"/>
    <w:rsid w:val="00A05EE8"/>
    <w:rsid w:val="00A06884"/>
    <w:rsid w:val="00A07794"/>
    <w:rsid w:val="00A07F96"/>
    <w:rsid w:val="00A10C64"/>
    <w:rsid w:val="00A10F29"/>
    <w:rsid w:val="00A11615"/>
    <w:rsid w:val="00A1273E"/>
    <w:rsid w:val="00A12FEE"/>
    <w:rsid w:val="00A131AA"/>
    <w:rsid w:val="00A13C86"/>
    <w:rsid w:val="00A1417F"/>
    <w:rsid w:val="00A15BB0"/>
    <w:rsid w:val="00A15DF8"/>
    <w:rsid w:val="00A17388"/>
    <w:rsid w:val="00A179A7"/>
    <w:rsid w:val="00A208C8"/>
    <w:rsid w:val="00A20BAA"/>
    <w:rsid w:val="00A213AF"/>
    <w:rsid w:val="00A2149F"/>
    <w:rsid w:val="00A21727"/>
    <w:rsid w:val="00A21C29"/>
    <w:rsid w:val="00A22091"/>
    <w:rsid w:val="00A23064"/>
    <w:rsid w:val="00A236CE"/>
    <w:rsid w:val="00A23A44"/>
    <w:rsid w:val="00A23E16"/>
    <w:rsid w:val="00A245EE"/>
    <w:rsid w:val="00A245F7"/>
    <w:rsid w:val="00A25BC2"/>
    <w:rsid w:val="00A25D16"/>
    <w:rsid w:val="00A26000"/>
    <w:rsid w:val="00A265F5"/>
    <w:rsid w:val="00A27344"/>
    <w:rsid w:val="00A2796E"/>
    <w:rsid w:val="00A30301"/>
    <w:rsid w:val="00A30A90"/>
    <w:rsid w:val="00A311FB"/>
    <w:rsid w:val="00A3129C"/>
    <w:rsid w:val="00A32689"/>
    <w:rsid w:val="00A327AF"/>
    <w:rsid w:val="00A3289F"/>
    <w:rsid w:val="00A32A3B"/>
    <w:rsid w:val="00A32AE6"/>
    <w:rsid w:val="00A331BC"/>
    <w:rsid w:val="00A33836"/>
    <w:rsid w:val="00A33D8F"/>
    <w:rsid w:val="00A340E8"/>
    <w:rsid w:val="00A3414D"/>
    <w:rsid w:val="00A34931"/>
    <w:rsid w:val="00A353B5"/>
    <w:rsid w:val="00A3542C"/>
    <w:rsid w:val="00A358FC"/>
    <w:rsid w:val="00A35D82"/>
    <w:rsid w:val="00A35DC1"/>
    <w:rsid w:val="00A3645E"/>
    <w:rsid w:val="00A36B3A"/>
    <w:rsid w:val="00A36BF6"/>
    <w:rsid w:val="00A37103"/>
    <w:rsid w:val="00A3790B"/>
    <w:rsid w:val="00A37A88"/>
    <w:rsid w:val="00A37EDB"/>
    <w:rsid w:val="00A40BCF"/>
    <w:rsid w:val="00A40C49"/>
    <w:rsid w:val="00A4142B"/>
    <w:rsid w:val="00A41627"/>
    <w:rsid w:val="00A41C2D"/>
    <w:rsid w:val="00A43818"/>
    <w:rsid w:val="00A4463F"/>
    <w:rsid w:val="00A45582"/>
    <w:rsid w:val="00A458D3"/>
    <w:rsid w:val="00A4609F"/>
    <w:rsid w:val="00A4768B"/>
    <w:rsid w:val="00A47C33"/>
    <w:rsid w:val="00A505DC"/>
    <w:rsid w:val="00A50EA6"/>
    <w:rsid w:val="00A531DD"/>
    <w:rsid w:val="00A53206"/>
    <w:rsid w:val="00A53BDC"/>
    <w:rsid w:val="00A54105"/>
    <w:rsid w:val="00A55EBD"/>
    <w:rsid w:val="00A5602F"/>
    <w:rsid w:val="00A56CCC"/>
    <w:rsid w:val="00A60200"/>
    <w:rsid w:val="00A60511"/>
    <w:rsid w:val="00A61390"/>
    <w:rsid w:val="00A614AC"/>
    <w:rsid w:val="00A615F8"/>
    <w:rsid w:val="00A61D6A"/>
    <w:rsid w:val="00A62074"/>
    <w:rsid w:val="00A63893"/>
    <w:rsid w:val="00A6397E"/>
    <w:rsid w:val="00A649EF"/>
    <w:rsid w:val="00A64A39"/>
    <w:rsid w:val="00A65A56"/>
    <w:rsid w:val="00A65B66"/>
    <w:rsid w:val="00A65E67"/>
    <w:rsid w:val="00A6645B"/>
    <w:rsid w:val="00A6675D"/>
    <w:rsid w:val="00A66880"/>
    <w:rsid w:val="00A6694D"/>
    <w:rsid w:val="00A6792C"/>
    <w:rsid w:val="00A67D13"/>
    <w:rsid w:val="00A67F11"/>
    <w:rsid w:val="00A70387"/>
    <w:rsid w:val="00A70973"/>
    <w:rsid w:val="00A70D98"/>
    <w:rsid w:val="00A71865"/>
    <w:rsid w:val="00A71935"/>
    <w:rsid w:val="00A71A54"/>
    <w:rsid w:val="00A71E1D"/>
    <w:rsid w:val="00A724CE"/>
    <w:rsid w:val="00A727F0"/>
    <w:rsid w:val="00A727F8"/>
    <w:rsid w:val="00A7296F"/>
    <w:rsid w:val="00A72C3C"/>
    <w:rsid w:val="00A73C3F"/>
    <w:rsid w:val="00A73DEF"/>
    <w:rsid w:val="00A73E92"/>
    <w:rsid w:val="00A73FD0"/>
    <w:rsid w:val="00A742AD"/>
    <w:rsid w:val="00A74BA4"/>
    <w:rsid w:val="00A758F3"/>
    <w:rsid w:val="00A7643C"/>
    <w:rsid w:val="00A765B8"/>
    <w:rsid w:val="00A76F4B"/>
    <w:rsid w:val="00A773F6"/>
    <w:rsid w:val="00A779E2"/>
    <w:rsid w:val="00A8048C"/>
    <w:rsid w:val="00A81585"/>
    <w:rsid w:val="00A81F36"/>
    <w:rsid w:val="00A83461"/>
    <w:rsid w:val="00A834B7"/>
    <w:rsid w:val="00A83780"/>
    <w:rsid w:val="00A84480"/>
    <w:rsid w:val="00A855C7"/>
    <w:rsid w:val="00A8603D"/>
    <w:rsid w:val="00A8734E"/>
    <w:rsid w:val="00A87FE5"/>
    <w:rsid w:val="00A9026F"/>
    <w:rsid w:val="00A903E9"/>
    <w:rsid w:val="00A9108F"/>
    <w:rsid w:val="00A92886"/>
    <w:rsid w:val="00A92FF1"/>
    <w:rsid w:val="00A93997"/>
    <w:rsid w:val="00A9419D"/>
    <w:rsid w:val="00A94789"/>
    <w:rsid w:val="00A94D80"/>
    <w:rsid w:val="00A9530C"/>
    <w:rsid w:val="00A95692"/>
    <w:rsid w:val="00A9579F"/>
    <w:rsid w:val="00A964DC"/>
    <w:rsid w:val="00A965AF"/>
    <w:rsid w:val="00A96816"/>
    <w:rsid w:val="00A971A4"/>
    <w:rsid w:val="00A973F2"/>
    <w:rsid w:val="00A9786E"/>
    <w:rsid w:val="00A97BC3"/>
    <w:rsid w:val="00A97E7A"/>
    <w:rsid w:val="00AA0159"/>
    <w:rsid w:val="00AA04BA"/>
    <w:rsid w:val="00AA0945"/>
    <w:rsid w:val="00AA0B51"/>
    <w:rsid w:val="00AA0F46"/>
    <w:rsid w:val="00AA13C6"/>
    <w:rsid w:val="00AA1717"/>
    <w:rsid w:val="00AA18E1"/>
    <w:rsid w:val="00AA19C4"/>
    <w:rsid w:val="00AA1C2F"/>
    <w:rsid w:val="00AA1F02"/>
    <w:rsid w:val="00AA3B4D"/>
    <w:rsid w:val="00AA3D76"/>
    <w:rsid w:val="00AA5808"/>
    <w:rsid w:val="00AA5A33"/>
    <w:rsid w:val="00AA5BB1"/>
    <w:rsid w:val="00AA5D4A"/>
    <w:rsid w:val="00AA63D2"/>
    <w:rsid w:val="00AA7A44"/>
    <w:rsid w:val="00AB0545"/>
    <w:rsid w:val="00AB05FC"/>
    <w:rsid w:val="00AB064C"/>
    <w:rsid w:val="00AB10CA"/>
    <w:rsid w:val="00AB10E4"/>
    <w:rsid w:val="00AB16A3"/>
    <w:rsid w:val="00AB18AD"/>
    <w:rsid w:val="00AB2BAB"/>
    <w:rsid w:val="00AB2BB3"/>
    <w:rsid w:val="00AB2E4F"/>
    <w:rsid w:val="00AB2F5E"/>
    <w:rsid w:val="00AB31C9"/>
    <w:rsid w:val="00AB35C0"/>
    <w:rsid w:val="00AB47D7"/>
    <w:rsid w:val="00AB61E5"/>
    <w:rsid w:val="00AB62A6"/>
    <w:rsid w:val="00AB6456"/>
    <w:rsid w:val="00AB65CF"/>
    <w:rsid w:val="00AB734D"/>
    <w:rsid w:val="00AB7794"/>
    <w:rsid w:val="00AB794D"/>
    <w:rsid w:val="00AB7DC6"/>
    <w:rsid w:val="00AC0377"/>
    <w:rsid w:val="00AC142D"/>
    <w:rsid w:val="00AC192A"/>
    <w:rsid w:val="00AC251A"/>
    <w:rsid w:val="00AC27A4"/>
    <w:rsid w:val="00AC29C7"/>
    <w:rsid w:val="00AC3A1F"/>
    <w:rsid w:val="00AC3ADB"/>
    <w:rsid w:val="00AC47D7"/>
    <w:rsid w:val="00AC4BFE"/>
    <w:rsid w:val="00AC4EB1"/>
    <w:rsid w:val="00AC5294"/>
    <w:rsid w:val="00AC5C84"/>
    <w:rsid w:val="00AC64BF"/>
    <w:rsid w:val="00AC669C"/>
    <w:rsid w:val="00AC7D7D"/>
    <w:rsid w:val="00AD01BD"/>
    <w:rsid w:val="00AD0CFF"/>
    <w:rsid w:val="00AD0D9A"/>
    <w:rsid w:val="00AD0F01"/>
    <w:rsid w:val="00AD1823"/>
    <w:rsid w:val="00AD19AC"/>
    <w:rsid w:val="00AD2289"/>
    <w:rsid w:val="00AD23DF"/>
    <w:rsid w:val="00AD25C3"/>
    <w:rsid w:val="00AD2A43"/>
    <w:rsid w:val="00AD312A"/>
    <w:rsid w:val="00AD3C77"/>
    <w:rsid w:val="00AD5362"/>
    <w:rsid w:val="00AD5440"/>
    <w:rsid w:val="00AD5CA2"/>
    <w:rsid w:val="00AD6137"/>
    <w:rsid w:val="00AD7932"/>
    <w:rsid w:val="00AE01DB"/>
    <w:rsid w:val="00AE0CCE"/>
    <w:rsid w:val="00AE1706"/>
    <w:rsid w:val="00AE1AC5"/>
    <w:rsid w:val="00AE2299"/>
    <w:rsid w:val="00AE22B9"/>
    <w:rsid w:val="00AE24C3"/>
    <w:rsid w:val="00AE24EF"/>
    <w:rsid w:val="00AE27BD"/>
    <w:rsid w:val="00AE2829"/>
    <w:rsid w:val="00AE2DAC"/>
    <w:rsid w:val="00AE2E34"/>
    <w:rsid w:val="00AE365C"/>
    <w:rsid w:val="00AE3EEB"/>
    <w:rsid w:val="00AE40A8"/>
    <w:rsid w:val="00AE4800"/>
    <w:rsid w:val="00AE4CBA"/>
    <w:rsid w:val="00AE4D4A"/>
    <w:rsid w:val="00AE5C14"/>
    <w:rsid w:val="00AE5F0A"/>
    <w:rsid w:val="00AE5F41"/>
    <w:rsid w:val="00AE7544"/>
    <w:rsid w:val="00AE7836"/>
    <w:rsid w:val="00AE799E"/>
    <w:rsid w:val="00AF0285"/>
    <w:rsid w:val="00AF089C"/>
    <w:rsid w:val="00AF0C11"/>
    <w:rsid w:val="00AF0CFC"/>
    <w:rsid w:val="00AF1168"/>
    <w:rsid w:val="00AF2309"/>
    <w:rsid w:val="00AF280B"/>
    <w:rsid w:val="00AF2AEF"/>
    <w:rsid w:val="00AF3334"/>
    <w:rsid w:val="00AF3C72"/>
    <w:rsid w:val="00AF4566"/>
    <w:rsid w:val="00AF45A7"/>
    <w:rsid w:val="00AF47F9"/>
    <w:rsid w:val="00AF50F9"/>
    <w:rsid w:val="00AF578D"/>
    <w:rsid w:val="00AF5873"/>
    <w:rsid w:val="00AF5E8E"/>
    <w:rsid w:val="00AF6104"/>
    <w:rsid w:val="00AF6416"/>
    <w:rsid w:val="00AF6927"/>
    <w:rsid w:val="00AF7594"/>
    <w:rsid w:val="00AF79C7"/>
    <w:rsid w:val="00B00134"/>
    <w:rsid w:val="00B00E98"/>
    <w:rsid w:val="00B012CF"/>
    <w:rsid w:val="00B016A2"/>
    <w:rsid w:val="00B016BE"/>
    <w:rsid w:val="00B016D2"/>
    <w:rsid w:val="00B019CB"/>
    <w:rsid w:val="00B0224B"/>
    <w:rsid w:val="00B028F6"/>
    <w:rsid w:val="00B02A86"/>
    <w:rsid w:val="00B02EBE"/>
    <w:rsid w:val="00B030F5"/>
    <w:rsid w:val="00B0454B"/>
    <w:rsid w:val="00B04657"/>
    <w:rsid w:val="00B048F0"/>
    <w:rsid w:val="00B05FAE"/>
    <w:rsid w:val="00B0692E"/>
    <w:rsid w:val="00B06C10"/>
    <w:rsid w:val="00B07335"/>
    <w:rsid w:val="00B07B25"/>
    <w:rsid w:val="00B07E0B"/>
    <w:rsid w:val="00B109D0"/>
    <w:rsid w:val="00B11116"/>
    <w:rsid w:val="00B1226B"/>
    <w:rsid w:val="00B12764"/>
    <w:rsid w:val="00B129A7"/>
    <w:rsid w:val="00B12BAF"/>
    <w:rsid w:val="00B12C3A"/>
    <w:rsid w:val="00B13D5F"/>
    <w:rsid w:val="00B14168"/>
    <w:rsid w:val="00B14826"/>
    <w:rsid w:val="00B14BC7"/>
    <w:rsid w:val="00B164CD"/>
    <w:rsid w:val="00B16D52"/>
    <w:rsid w:val="00B17840"/>
    <w:rsid w:val="00B201B2"/>
    <w:rsid w:val="00B203BF"/>
    <w:rsid w:val="00B2050F"/>
    <w:rsid w:val="00B2097A"/>
    <w:rsid w:val="00B20B0E"/>
    <w:rsid w:val="00B20F6E"/>
    <w:rsid w:val="00B2266C"/>
    <w:rsid w:val="00B2276B"/>
    <w:rsid w:val="00B229D6"/>
    <w:rsid w:val="00B22D1D"/>
    <w:rsid w:val="00B23865"/>
    <w:rsid w:val="00B241D2"/>
    <w:rsid w:val="00B246FF"/>
    <w:rsid w:val="00B24E8F"/>
    <w:rsid w:val="00B25390"/>
    <w:rsid w:val="00B25612"/>
    <w:rsid w:val="00B256D3"/>
    <w:rsid w:val="00B26029"/>
    <w:rsid w:val="00B2617C"/>
    <w:rsid w:val="00B265F5"/>
    <w:rsid w:val="00B26BB0"/>
    <w:rsid w:val="00B27109"/>
    <w:rsid w:val="00B27AA1"/>
    <w:rsid w:val="00B300EE"/>
    <w:rsid w:val="00B30D9A"/>
    <w:rsid w:val="00B31E58"/>
    <w:rsid w:val="00B327AF"/>
    <w:rsid w:val="00B33102"/>
    <w:rsid w:val="00B335F3"/>
    <w:rsid w:val="00B347F9"/>
    <w:rsid w:val="00B348DC"/>
    <w:rsid w:val="00B34EAD"/>
    <w:rsid w:val="00B3598F"/>
    <w:rsid w:val="00B35BE4"/>
    <w:rsid w:val="00B36757"/>
    <w:rsid w:val="00B37405"/>
    <w:rsid w:val="00B40D59"/>
    <w:rsid w:val="00B4299A"/>
    <w:rsid w:val="00B430B0"/>
    <w:rsid w:val="00B43259"/>
    <w:rsid w:val="00B435F5"/>
    <w:rsid w:val="00B43772"/>
    <w:rsid w:val="00B44041"/>
    <w:rsid w:val="00B44AD9"/>
    <w:rsid w:val="00B44F46"/>
    <w:rsid w:val="00B452B4"/>
    <w:rsid w:val="00B453EE"/>
    <w:rsid w:val="00B46328"/>
    <w:rsid w:val="00B463A9"/>
    <w:rsid w:val="00B469B1"/>
    <w:rsid w:val="00B46CCD"/>
    <w:rsid w:val="00B4708A"/>
    <w:rsid w:val="00B50759"/>
    <w:rsid w:val="00B50952"/>
    <w:rsid w:val="00B509C5"/>
    <w:rsid w:val="00B50EC8"/>
    <w:rsid w:val="00B530FE"/>
    <w:rsid w:val="00B5387C"/>
    <w:rsid w:val="00B55363"/>
    <w:rsid w:val="00B56911"/>
    <w:rsid w:val="00B56DB1"/>
    <w:rsid w:val="00B56F3D"/>
    <w:rsid w:val="00B574BE"/>
    <w:rsid w:val="00B5767C"/>
    <w:rsid w:val="00B57C2C"/>
    <w:rsid w:val="00B6097B"/>
    <w:rsid w:val="00B60DC6"/>
    <w:rsid w:val="00B614FF"/>
    <w:rsid w:val="00B616DC"/>
    <w:rsid w:val="00B61772"/>
    <w:rsid w:val="00B61992"/>
    <w:rsid w:val="00B61ECB"/>
    <w:rsid w:val="00B6244D"/>
    <w:rsid w:val="00B6292D"/>
    <w:rsid w:val="00B62D1D"/>
    <w:rsid w:val="00B63E40"/>
    <w:rsid w:val="00B641EA"/>
    <w:rsid w:val="00B64903"/>
    <w:rsid w:val="00B64DE1"/>
    <w:rsid w:val="00B653AD"/>
    <w:rsid w:val="00B658B1"/>
    <w:rsid w:val="00B65A0F"/>
    <w:rsid w:val="00B6617D"/>
    <w:rsid w:val="00B6718B"/>
    <w:rsid w:val="00B677FE"/>
    <w:rsid w:val="00B67AB3"/>
    <w:rsid w:val="00B67AC9"/>
    <w:rsid w:val="00B700F5"/>
    <w:rsid w:val="00B70336"/>
    <w:rsid w:val="00B70833"/>
    <w:rsid w:val="00B7086E"/>
    <w:rsid w:val="00B724E5"/>
    <w:rsid w:val="00B72AB9"/>
    <w:rsid w:val="00B739BA"/>
    <w:rsid w:val="00B73AB0"/>
    <w:rsid w:val="00B74532"/>
    <w:rsid w:val="00B74621"/>
    <w:rsid w:val="00B74756"/>
    <w:rsid w:val="00B75426"/>
    <w:rsid w:val="00B757D3"/>
    <w:rsid w:val="00B75A72"/>
    <w:rsid w:val="00B762B5"/>
    <w:rsid w:val="00B7642F"/>
    <w:rsid w:val="00B77AFF"/>
    <w:rsid w:val="00B77E44"/>
    <w:rsid w:val="00B77FCD"/>
    <w:rsid w:val="00B80DEC"/>
    <w:rsid w:val="00B80FEB"/>
    <w:rsid w:val="00B81CC6"/>
    <w:rsid w:val="00B81D36"/>
    <w:rsid w:val="00B81FA1"/>
    <w:rsid w:val="00B8229D"/>
    <w:rsid w:val="00B82502"/>
    <w:rsid w:val="00B82C3A"/>
    <w:rsid w:val="00B83399"/>
    <w:rsid w:val="00B83E6F"/>
    <w:rsid w:val="00B842D4"/>
    <w:rsid w:val="00B84961"/>
    <w:rsid w:val="00B84D5A"/>
    <w:rsid w:val="00B857D4"/>
    <w:rsid w:val="00B85EB8"/>
    <w:rsid w:val="00B85F66"/>
    <w:rsid w:val="00B864DE"/>
    <w:rsid w:val="00B868D3"/>
    <w:rsid w:val="00B86C03"/>
    <w:rsid w:val="00B86CF7"/>
    <w:rsid w:val="00B86D88"/>
    <w:rsid w:val="00B86FB3"/>
    <w:rsid w:val="00B8726B"/>
    <w:rsid w:val="00B87371"/>
    <w:rsid w:val="00B875AA"/>
    <w:rsid w:val="00B903EE"/>
    <w:rsid w:val="00B90430"/>
    <w:rsid w:val="00B90914"/>
    <w:rsid w:val="00B911EC"/>
    <w:rsid w:val="00B9173D"/>
    <w:rsid w:val="00B92003"/>
    <w:rsid w:val="00B924A4"/>
    <w:rsid w:val="00B927DA"/>
    <w:rsid w:val="00B927E3"/>
    <w:rsid w:val="00B929B6"/>
    <w:rsid w:val="00B93173"/>
    <w:rsid w:val="00B932B1"/>
    <w:rsid w:val="00B9422A"/>
    <w:rsid w:val="00B94620"/>
    <w:rsid w:val="00B94635"/>
    <w:rsid w:val="00B94E23"/>
    <w:rsid w:val="00B965E8"/>
    <w:rsid w:val="00B97624"/>
    <w:rsid w:val="00BA01A2"/>
    <w:rsid w:val="00BA0B47"/>
    <w:rsid w:val="00BA1449"/>
    <w:rsid w:val="00BA1602"/>
    <w:rsid w:val="00BA22A0"/>
    <w:rsid w:val="00BA267E"/>
    <w:rsid w:val="00BA3F58"/>
    <w:rsid w:val="00BA4342"/>
    <w:rsid w:val="00BA6462"/>
    <w:rsid w:val="00BA6759"/>
    <w:rsid w:val="00BA7049"/>
    <w:rsid w:val="00BA740D"/>
    <w:rsid w:val="00BB04D7"/>
    <w:rsid w:val="00BB0A25"/>
    <w:rsid w:val="00BB0E95"/>
    <w:rsid w:val="00BB1537"/>
    <w:rsid w:val="00BB15D7"/>
    <w:rsid w:val="00BB1F9A"/>
    <w:rsid w:val="00BB24B0"/>
    <w:rsid w:val="00BB24E1"/>
    <w:rsid w:val="00BB2678"/>
    <w:rsid w:val="00BB2742"/>
    <w:rsid w:val="00BB2DC0"/>
    <w:rsid w:val="00BB311B"/>
    <w:rsid w:val="00BB45BE"/>
    <w:rsid w:val="00BB4AD0"/>
    <w:rsid w:val="00BB4C18"/>
    <w:rsid w:val="00BB5C3F"/>
    <w:rsid w:val="00BB5E47"/>
    <w:rsid w:val="00BB5F9A"/>
    <w:rsid w:val="00BB609F"/>
    <w:rsid w:val="00BB64C7"/>
    <w:rsid w:val="00BB6B21"/>
    <w:rsid w:val="00BB6E5B"/>
    <w:rsid w:val="00BB6F23"/>
    <w:rsid w:val="00BB76FA"/>
    <w:rsid w:val="00BB7A6C"/>
    <w:rsid w:val="00BB7AF7"/>
    <w:rsid w:val="00BB7BAA"/>
    <w:rsid w:val="00BC0479"/>
    <w:rsid w:val="00BC07B9"/>
    <w:rsid w:val="00BC10BB"/>
    <w:rsid w:val="00BC113B"/>
    <w:rsid w:val="00BC18B2"/>
    <w:rsid w:val="00BC1A7F"/>
    <w:rsid w:val="00BC1D0D"/>
    <w:rsid w:val="00BC1FA5"/>
    <w:rsid w:val="00BC21BA"/>
    <w:rsid w:val="00BC233B"/>
    <w:rsid w:val="00BC2AAD"/>
    <w:rsid w:val="00BC351A"/>
    <w:rsid w:val="00BC354F"/>
    <w:rsid w:val="00BC3603"/>
    <w:rsid w:val="00BC41F5"/>
    <w:rsid w:val="00BC4A82"/>
    <w:rsid w:val="00BC4B97"/>
    <w:rsid w:val="00BC5D2C"/>
    <w:rsid w:val="00BC60E7"/>
    <w:rsid w:val="00BC65B9"/>
    <w:rsid w:val="00BC6C56"/>
    <w:rsid w:val="00BC7958"/>
    <w:rsid w:val="00BC7C5F"/>
    <w:rsid w:val="00BD0861"/>
    <w:rsid w:val="00BD0AC5"/>
    <w:rsid w:val="00BD15DC"/>
    <w:rsid w:val="00BD1E53"/>
    <w:rsid w:val="00BD23F1"/>
    <w:rsid w:val="00BD2DBC"/>
    <w:rsid w:val="00BD2F7C"/>
    <w:rsid w:val="00BD2FDD"/>
    <w:rsid w:val="00BD3575"/>
    <w:rsid w:val="00BD49A5"/>
    <w:rsid w:val="00BD5E84"/>
    <w:rsid w:val="00BD6DBA"/>
    <w:rsid w:val="00BD70D1"/>
    <w:rsid w:val="00BD76D6"/>
    <w:rsid w:val="00BD78A5"/>
    <w:rsid w:val="00BD7E07"/>
    <w:rsid w:val="00BE0756"/>
    <w:rsid w:val="00BE0907"/>
    <w:rsid w:val="00BE0F44"/>
    <w:rsid w:val="00BE1166"/>
    <w:rsid w:val="00BE13BE"/>
    <w:rsid w:val="00BE18ED"/>
    <w:rsid w:val="00BE1AD2"/>
    <w:rsid w:val="00BE23FF"/>
    <w:rsid w:val="00BE2430"/>
    <w:rsid w:val="00BE30CC"/>
    <w:rsid w:val="00BE30E9"/>
    <w:rsid w:val="00BE3BD8"/>
    <w:rsid w:val="00BE3C61"/>
    <w:rsid w:val="00BE41C8"/>
    <w:rsid w:val="00BE44ED"/>
    <w:rsid w:val="00BE4E96"/>
    <w:rsid w:val="00BE5636"/>
    <w:rsid w:val="00BE5958"/>
    <w:rsid w:val="00BE5CCE"/>
    <w:rsid w:val="00BE61FD"/>
    <w:rsid w:val="00BE67D2"/>
    <w:rsid w:val="00BE69CA"/>
    <w:rsid w:val="00BE7BB7"/>
    <w:rsid w:val="00BE7BC7"/>
    <w:rsid w:val="00BE7FA7"/>
    <w:rsid w:val="00BF2069"/>
    <w:rsid w:val="00BF2321"/>
    <w:rsid w:val="00BF2C8F"/>
    <w:rsid w:val="00BF35E3"/>
    <w:rsid w:val="00BF4A9B"/>
    <w:rsid w:val="00BF56EC"/>
    <w:rsid w:val="00BF5B9C"/>
    <w:rsid w:val="00BF7F5F"/>
    <w:rsid w:val="00C00241"/>
    <w:rsid w:val="00C029E0"/>
    <w:rsid w:val="00C03333"/>
    <w:rsid w:val="00C03A35"/>
    <w:rsid w:val="00C04509"/>
    <w:rsid w:val="00C04ADE"/>
    <w:rsid w:val="00C04E5B"/>
    <w:rsid w:val="00C052DD"/>
    <w:rsid w:val="00C06A3B"/>
    <w:rsid w:val="00C0707D"/>
    <w:rsid w:val="00C07348"/>
    <w:rsid w:val="00C10F0A"/>
    <w:rsid w:val="00C11B5B"/>
    <w:rsid w:val="00C11B5C"/>
    <w:rsid w:val="00C11CA3"/>
    <w:rsid w:val="00C12847"/>
    <w:rsid w:val="00C12E9E"/>
    <w:rsid w:val="00C13AD0"/>
    <w:rsid w:val="00C13CBB"/>
    <w:rsid w:val="00C1444B"/>
    <w:rsid w:val="00C14556"/>
    <w:rsid w:val="00C15A32"/>
    <w:rsid w:val="00C15FFF"/>
    <w:rsid w:val="00C16757"/>
    <w:rsid w:val="00C16F66"/>
    <w:rsid w:val="00C170C4"/>
    <w:rsid w:val="00C171AC"/>
    <w:rsid w:val="00C17DEE"/>
    <w:rsid w:val="00C21B6F"/>
    <w:rsid w:val="00C21B9D"/>
    <w:rsid w:val="00C21DF4"/>
    <w:rsid w:val="00C224F4"/>
    <w:rsid w:val="00C238C1"/>
    <w:rsid w:val="00C24BD2"/>
    <w:rsid w:val="00C24C94"/>
    <w:rsid w:val="00C24E91"/>
    <w:rsid w:val="00C25DF7"/>
    <w:rsid w:val="00C27321"/>
    <w:rsid w:val="00C303A9"/>
    <w:rsid w:val="00C30A80"/>
    <w:rsid w:val="00C30B3D"/>
    <w:rsid w:val="00C30E5D"/>
    <w:rsid w:val="00C3160B"/>
    <w:rsid w:val="00C31AF8"/>
    <w:rsid w:val="00C32209"/>
    <w:rsid w:val="00C32A26"/>
    <w:rsid w:val="00C32C62"/>
    <w:rsid w:val="00C32E11"/>
    <w:rsid w:val="00C3337D"/>
    <w:rsid w:val="00C338D6"/>
    <w:rsid w:val="00C34DD4"/>
    <w:rsid w:val="00C35250"/>
    <w:rsid w:val="00C352E2"/>
    <w:rsid w:val="00C3546D"/>
    <w:rsid w:val="00C359C4"/>
    <w:rsid w:val="00C36734"/>
    <w:rsid w:val="00C36E5F"/>
    <w:rsid w:val="00C379EC"/>
    <w:rsid w:val="00C40634"/>
    <w:rsid w:val="00C40D9C"/>
    <w:rsid w:val="00C40E34"/>
    <w:rsid w:val="00C410D9"/>
    <w:rsid w:val="00C41241"/>
    <w:rsid w:val="00C41A52"/>
    <w:rsid w:val="00C423BC"/>
    <w:rsid w:val="00C429E5"/>
    <w:rsid w:val="00C42A69"/>
    <w:rsid w:val="00C4344E"/>
    <w:rsid w:val="00C436A0"/>
    <w:rsid w:val="00C4382B"/>
    <w:rsid w:val="00C43864"/>
    <w:rsid w:val="00C43A80"/>
    <w:rsid w:val="00C441C6"/>
    <w:rsid w:val="00C44A33"/>
    <w:rsid w:val="00C4525B"/>
    <w:rsid w:val="00C45FD8"/>
    <w:rsid w:val="00C46661"/>
    <w:rsid w:val="00C466A0"/>
    <w:rsid w:val="00C4675E"/>
    <w:rsid w:val="00C46BB7"/>
    <w:rsid w:val="00C478FA"/>
    <w:rsid w:val="00C479C6"/>
    <w:rsid w:val="00C47A7A"/>
    <w:rsid w:val="00C47C7B"/>
    <w:rsid w:val="00C47D27"/>
    <w:rsid w:val="00C503C2"/>
    <w:rsid w:val="00C506B4"/>
    <w:rsid w:val="00C50735"/>
    <w:rsid w:val="00C50F59"/>
    <w:rsid w:val="00C51A95"/>
    <w:rsid w:val="00C52D36"/>
    <w:rsid w:val="00C532B1"/>
    <w:rsid w:val="00C537BA"/>
    <w:rsid w:val="00C53908"/>
    <w:rsid w:val="00C54497"/>
    <w:rsid w:val="00C54D00"/>
    <w:rsid w:val="00C54E24"/>
    <w:rsid w:val="00C55317"/>
    <w:rsid w:val="00C5570B"/>
    <w:rsid w:val="00C55FE3"/>
    <w:rsid w:val="00C57941"/>
    <w:rsid w:val="00C60134"/>
    <w:rsid w:val="00C60254"/>
    <w:rsid w:val="00C6298A"/>
    <w:rsid w:val="00C63060"/>
    <w:rsid w:val="00C63328"/>
    <w:rsid w:val="00C63F94"/>
    <w:rsid w:val="00C6416D"/>
    <w:rsid w:val="00C641D1"/>
    <w:rsid w:val="00C64873"/>
    <w:rsid w:val="00C65DAA"/>
    <w:rsid w:val="00C67408"/>
    <w:rsid w:val="00C67928"/>
    <w:rsid w:val="00C67A9E"/>
    <w:rsid w:val="00C70848"/>
    <w:rsid w:val="00C70D60"/>
    <w:rsid w:val="00C70E9F"/>
    <w:rsid w:val="00C711C4"/>
    <w:rsid w:val="00C71BFB"/>
    <w:rsid w:val="00C73580"/>
    <w:rsid w:val="00C73714"/>
    <w:rsid w:val="00C73E64"/>
    <w:rsid w:val="00C75453"/>
    <w:rsid w:val="00C75EBF"/>
    <w:rsid w:val="00C76054"/>
    <w:rsid w:val="00C767E3"/>
    <w:rsid w:val="00C76927"/>
    <w:rsid w:val="00C77565"/>
    <w:rsid w:val="00C776EF"/>
    <w:rsid w:val="00C800DE"/>
    <w:rsid w:val="00C81446"/>
    <w:rsid w:val="00C81670"/>
    <w:rsid w:val="00C8171C"/>
    <w:rsid w:val="00C819E6"/>
    <w:rsid w:val="00C81B25"/>
    <w:rsid w:val="00C81B93"/>
    <w:rsid w:val="00C82471"/>
    <w:rsid w:val="00C833CA"/>
    <w:rsid w:val="00C83E31"/>
    <w:rsid w:val="00C8433A"/>
    <w:rsid w:val="00C84B56"/>
    <w:rsid w:val="00C84E51"/>
    <w:rsid w:val="00C850AA"/>
    <w:rsid w:val="00C854ED"/>
    <w:rsid w:val="00C8585D"/>
    <w:rsid w:val="00C85A89"/>
    <w:rsid w:val="00C85D0C"/>
    <w:rsid w:val="00C865A3"/>
    <w:rsid w:val="00C86812"/>
    <w:rsid w:val="00C86F74"/>
    <w:rsid w:val="00C873A4"/>
    <w:rsid w:val="00C90348"/>
    <w:rsid w:val="00C91E46"/>
    <w:rsid w:val="00C929E0"/>
    <w:rsid w:val="00C92AAB"/>
    <w:rsid w:val="00C92B60"/>
    <w:rsid w:val="00C946DF"/>
    <w:rsid w:val="00C949B1"/>
    <w:rsid w:val="00C94BD1"/>
    <w:rsid w:val="00C95406"/>
    <w:rsid w:val="00C95F3E"/>
    <w:rsid w:val="00C96052"/>
    <w:rsid w:val="00C9612A"/>
    <w:rsid w:val="00C964AF"/>
    <w:rsid w:val="00C96574"/>
    <w:rsid w:val="00C96CC9"/>
    <w:rsid w:val="00C96E38"/>
    <w:rsid w:val="00C9706A"/>
    <w:rsid w:val="00C9728F"/>
    <w:rsid w:val="00C97308"/>
    <w:rsid w:val="00C97E27"/>
    <w:rsid w:val="00CA075B"/>
    <w:rsid w:val="00CA095F"/>
    <w:rsid w:val="00CA0F2F"/>
    <w:rsid w:val="00CA1951"/>
    <w:rsid w:val="00CA2E0F"/>
    <w:rsid w:val="00CA3C07"/>
    <w:rsid w:val="00CA3D1C"/>
    <w:rsid w:val="00CA4208"/>
    <w:rsid w:val="00CA434C"/>
    <w:rsid w:val="00CA4369"/>
    <w:rsid w:val="00CA5638"/>
    <w:rsid w:val="00CA58EF"/>
    <w:rsid w:val="00CA597D"/>
    <w:rsid w:val="00CA672E"/>
    <w:rsid w:val="00CA7A3E"/>
    <w:rsid w:val="00CA7CD9"/>
    <w:rsid w:val="00CB01C0"/>
    <w:rsid w:val="00CB0C52"/>
    <w:rsid w:val="00CB1A77"/>
    <w:rsid w:val="00CB1ED7"/>
    <w:rsid w:val="00CB295B"/>
    <w:rsid w:val="00CB2A76"/>
    <w:rsid w:val="00CB2F2B"/>
    <w:rsid w:val="00CB30E4"/>
    <w:rsid w:val="00CB33BE"/>
    <w:rsid w:val="00CB3BD7"/>
    <w:rsid w:val="00CB4FA8"/>
    <w:rsid w:val="00CB520F"/>
    <w:rsid w:val="00CB5242"/>
    <w:rsid w:val="00CB52B8"/>
    <w:rsid w:val="00CB53DD"/>
    <w:rsid w:val="00CB5673"/>
    <w:rsid w:val="00CB57A8"/>
    <w:rsid w:val="00CB5927"/>
    <w:rsid w:val="00CB5EE5"/>
    <w:rsid w:val="00CB62F6"/>
    <w:rsid w:val="00CB635A"/>
    <w:rsid w:val="00CB6531"/>
    <w:rsid w:val="00CB6566"/>
    <w:rsid w:val="00CB6936"/>
    <w:rsid w:val="00CB6C90"/>
    <w:rsid w:val="00CB6F8D"/>
    <w:rsid w:val="00CB6FAF"/>
    <w:rsid w:val="00CC0852"/>
    <w:rsid w:val="00CC0C96"/>
    <w:rsid w:val="00CC0E66"/>
    <w:rsid w:val="00CC1CE6"/>
    <w:rsid w:val="00CC2DF9"/>
    <w:rsid w:val="00CC3113"/>
    <w:rsid w:val="00CC358A"/>
    <w:rsid w:val="00CC37D7"/>
    <w:rsid w:val="00CC3C37"/>
    <w:rsid w:val="00CC3E6D"/>
    <w:rsid w:val="00CC4962"/>
    <w:rsid w:val="00CC5785"/>
    <w:rsid w:val="00CC5A63"/>
    <w:rsid w:val="00CC5F3F"/>
    <w:rsid w:val="00CC6405"/>
    <w:rsid w:val="00CC733E"/>
    <w:rsid w:val="00CD0379"/>
    <w:rsid w:val="00CD040F"/>
    <w:rsid w:val="00CD0C43"/>
    <w:rsid w:val="00CD24BF"/>
    <w:rsid w:val="00CD28FC"/>
    <w:rsid w:val="00CD2E91"/>
    <w:rsid w:val="00CD3504"/>
    <w:rsid w:val="00CD3CA2"/>
    <w:rsid w:val="00CD455C"/>
    <w:rsid w:val="00CD4DA5"/>
    <w:rsid w:val="00CD5260"/>
    <w:rsid w:val="00CD5D0A"/>
    <w:rsid w:val="00CD63CA"/>
    <w:rsid w:val="00CD6B4F"/>
    <w:rsid w:val="00CD6DA7"/>
    <w:rsid w:val="00CD7A24"/>
    <w:rsid w:val="00CD7E0D"/>
    <w:rsid w:val="00CE04A7"/>
    <w:rsid w:val="00CE06F7"/>
    <w:rsid w:val="00CE0820"/>
    <w:rsid w:val="00CE0E9D"/>
    <w:rsid w:val="00CE24CB"/>
    <w:rsid w:val="00CE2922"/>
    <w:rsid w:val="00CE2EDF"/>
    <w:rsid w:val="00CE2F35"/>
    <w:rsid w:val="00CE2FB5"/>
    <w:rsid w:val="00CE321C"/>
    <w:rsid w:val="00CE4727"/>
    <w:rsid w:val="00CE4C2C"/>
    <w:rsid w:val="00CE4EBD"/>
    <w:rsid w:val="00CE5514"/>
    <w:rsid w:val="00CE5801"/>
    <w:rsid w:val="00CE5E64"/>
    <w:rsid w:val="00CE77B0"/>
    <w:rsid w:val="00CE7C06"/>
    <w:rsid w:val="00CF0898"/>
    <w:rsid w:val="00CF0A36"/>
    <w:rsid w:val="00CF0F1B"/>
    <w:rsid w:val="00CF1453"/>
    <w:rsid w:val="00CF1530"/>
    <w:rsid w:val="00CF37AD"/>
    <w:rsid w:val="00CF3BCF"/>
    <w:rsid w:val="00CF3BDD"/>
    <w:rsid w:val="00CF4406"/>
    <w:rsid w:val="00CF4469"/>
    <w:rsid w:val="00CF44EE"/>
    <w:rsid w:val="00CF481B"/>
    <w:rsid w:val="00CF4988"/>
    <w:rsid w:val="00CF4B5C"/>
    <w:rsid w:val="00CF6074"/>
    <w:rsid w:val="00CF723C"/>
    <w:rsid w:val="00CF75B8"/>
    <w:rsid w:val="00CF76DF"/>
    <w:rsid w:val="00CF7C5D"/>
    <w:rsid w:val="00D00159"/>
    <w:rsid w:val="00D0026C"/>
    <w:rsid w:val="00D00ECB"/>
    <w:rsid w:val="00D010CA"/>
    <w:rsid w:val="00D013C2"/>
    <w:rsid w:val="00D014B7"/>
    <w:rsid w:val="00D01BBC"/>
    <w:rsid w:val="00D0237C"/>
    <w:rsid w:val="00D0281B"/>
    <w:rsid w:val="00D02A4E"/>
    <w:rsid w:val="00D02F07"/>
    <w:rsid w:val="00D03E64"/>
    <w:rsid w:val="00D0428D"/>
    <w:rsid w:val="00D0437D"/>
    <w:rsid w:val="00D04575"/>
    <w:rsid w:val="00D04E01"/>
    <w:rsid w:val="00D04F2D"/>
    <w:rsid w:val="00D05C08"/>
    <w:rsid w:val="00D05C59"/>
    <w:rsid w:val="00D06224"/>
    <w:rsid w:val="00D069C0"/>
    <w:rsid w:val="00D06B19"/>
    <w:rsid w:val="00D071E7"/>
    <w:rsid w:val="00D07468"/>
    <w:rsid w:val="00D07BC3"/>
    <w:rsid w:val="00D10187"/>
    <w:rsid w:val="00D103E0"/>
    <w:rsid w:val="00D106D6"/>
    <w:rsid w:val="00D107B9"/>
    <w:rsid w:val="00D10F59"/>
    <w:rsid w:val="00D111D4"/>
    <w:rsid w:val="00D11A20"/>
    <w:rsid w:val="00D11F45"/>
    <w:rsid w:val="00D13C51"/>
    <w:rsid w:val="00D141ED"/>
    <w:rsid w:val="00D14396"/>
    <w:rsid w:val="00D144E6"/>
    <w:rsid w:val="00D14C68"/>
    <w:rsid w:val="00D15A6F"/>
    <w:rsid w:val="00D15B27"/>
    <w:rsid w:val="00D1631F"/>
    <w:rsid w:val="00D1645C"/>
    <w:rsid w:val="00D16DD9"/>
    <w:rsid w:val="00D17543"/>
    <w:rsid w:val="00D20939"/>
    <w:rsid w:val="00D21710"/>
    <w:rsid w:val="00D21A07"/>
    <w:rsid w:val="00D21BFA"/>
    <w:rsid w:val="00D220F7"/>
    <w:rsid w:val="00D22A34"/>
    <w:rsid w:val="00D22B04"/>
    <w:rsid w:val="00D23E0C"/>
    <w:rsid w:val="00D240B4"/>
    <w:rsid w:val="00D242EE"/>
    <w:rsid w:val="00D24AF1"/>
    <w:rsid w:val="00D26FF8"/>
    <w:rsid w:val="00D3025B"/>
    <w:rsid w:val="00D305F5"/>
    <w:rsid w:val="00D30975"/>
    <w:rsid w:val="00D309CF"/>
    <w:rsid w:val="00D30B37"/>
    <w:rsid w:val="00D30D35"/>
    <w:rsid w:val="00D31310"/>
    <w:rsid w:val="00D31ABE"/>
    <w:rsid w:val="00D31B22"/>
    <w:rsid w:val="00D322D3"/>
    <w:rsid w:val="00D34B1A"/>
    <w:rsid w:val="00D34D53"/>
    <w:rsid w:val="00D34DF9"/>
    <w:rsid w:val="00D35033"/>
    <w:rsid w:val="00D35035"/>
    <w:rsid w:val="00D353B4"/>
    <w:rsid w:val="00D357E0"/>
    <w:rsid w:val="00D35E28"/>
    <w:rsid w:val="00D35E7D"/>
    <w:rsid w:val="00D36985"/>
    <w:rsid w:val="00D36CC1"/>
    <w:rsid w:val="00D3717A"/>
    <w:rsid w:val="00D37AA0"/>
    <w:rsid w:val="00D37F04"/>
    <w:rsid w:val="00D404E0"/>
    <w:rsid w:val="00D41262"/>
    <w:rsid w:val="00D413C6"/>
    <w:rsid w:val="00D41862"/>
    <w:rsid w:val="00D431B6"/>
    <w:rsid w:val="00D438E3"/>
    <w:rsid w:val="00D43A5F"/>
    <w:rsid w:val="00D43B37"/>
    <w:rsid w:val="00D43C55"/>
    <w:rsid w:val="00D4405C"/>
    <w:rsid w:val="00D443A6"/>
    <w:rsid w:val="00D452A5"/>
    <w:rsid w:val="00D45307"/>
    <w:rsid w:val="00D46545"/>
    <w:rsid w:val="00D468B5"/>
    <w:rsid w:val="00D46F1A"/>
    <w:rsid w:val="00D47DA7"/>
    <w:rsid w:val="00D47EA5"/>
    <w:rsid w:val="00D5005C"/>
    <w:rsid w:val="00D50E42"/>
    <w:rsid w:val="00D51059"/>
    <w:rsid w:val="00D52652"/>
    <w:rsid w:val="00D52DED"/>
    <w:rsid w:val="00D530B2"/>
    <w:rsid w:val="00D53C56"/>
    <w:rsid w:val="00D53C74"/>
    <w:rsid w:val="00D54C74"/>
    <w:rsid w:val="00D54DFD"/>
    <w:rsid w:val="00D5542F"/>
    <w:rsid w:val="00D555A3"/>
    <w:rsid w:val="00D563B4"/>
    <w:rsid w:val="00D567E7"/>
    <w:rsid w:val="00D6000E"/>
    <w:rsid w:val="00D6014E"/>
    <w:rsid w:val="00D6078B"/>
    <w:rsid w:val="00D60DBF"/>
    <w:rsid w:val="00D613C5"/>
    <w:rsid w:val="00D61697"/>
    <w:rsid w:val="00D61CF7"/>
    <w:rsid w:val="00D61D6D"/>
    <w:rsid w:val="00D61ECB"/>
    <w:rsid w:val="00D62535"/>
    <w:rsid w:val="00D629E1"/>
    <w:rsid w:val="00D63193"/>
    <w:rsid w:val="00D6345C"/>
    <w:rsid w:val="00D63BEA"/>
    <w:rsid w:val="00D63D4B"/>
    <w:rsid w:val="00D63DC3"/>
    <w:rsid w:val="00D645C1"/>
    <w:rsid w:val="00D64B24"/>
    <w:rsid w:val="00D64E40"/>
    <w:rsid w:val="00D65813"/>
    <w:rsid w:val="00D65D7A"/>
    <w:rsid w:val="00D65F7C"/>
    <w:rsid w:val="00D67386"/>
    <w:rsid w:val="00D67675"/>
    <w:rsid w:val="00D67AE8"/>
    <w:rsid w:val="00D67CE7"/>
    <w:rsid w:val="00D702BB"/>
    <w:rsid w:val="00D7064F"/>
    <w:rsid w:val="00D712FA"/>
    <w:rsid w:val="00D716C6"/>
    <w:rsid w:val="00D71AA9"/>
    <w:rsid w:val="00D725E6"/>
    <w:rsid w:val="00D727A4"/>
    <w:rsid w:val="00D72A7A"/>
    <w:rsid w:val="00D72FC3"/>
    <w:rsid w:val="00D738A7"/>
    <w:rsid w:val="00D73B25"/>
    <w:rsid w:val="00D742B1"/>
    <w:rsid w:val="00D74E01"/>
    <w:rsid w:val="00D75569"/>
    <w:rsid w:val="00D75A60"/>
    <w:rsid w:val="00D760FA"/>
    <w:rsid w:val="00D76989"/>
    <w:rsid w:val="00D8085D"/>
    <w:rsid w:val="00D808D3"/>
    <w:rsid w:val="00D80C60"/>
    <w:rsid w:val="00D81321"/>
    <w:rsid w:val="00D817D0"/>
    <w:rsid w:val="00D82C77"/>
    <w:rsid w:val="00D832AC"/>
    <w:rsid w:val="00D83A4F"/>
    <w:rsid w:val="00D83BCD"/>
    <w:rsid w:val="00D840B3"/>
    <w:rsid w:val="00D84260"/>
    <w:rsid w:val="00D8492C"/>
    <w:rsid w:val="00D84B4C"/>
    <w:rsid w:val="00D85527"/>
    <w:rsid w:val="00D85A5B"/>
    <w:rsid w:val="00D85DB0"/>
    <w:rsid w:val="00D8715B"/>
    <w:rsid w:val="00D87483"/>
    <w:rsid w:val="00D87AA8"/>
    <w:rsid w:val="00D87B4B"/>
    <w:rsid w:val="00D90111"/>
    <w:rsid w:val="00D9085D"/>
    <w:rsid w:val="00D9147A"/>
    <w:rsid w:val="00D91628"/>
    <w:rsid w:val="00D92998"/>
    <w:rsid w:val="00D92BE7"/>
    <w:rsid w:val="00D934B9"/>
    <w:rsid w:val="00D936EF"/>
    <w:rsid w:val="00D9470C"/>
    <w:rsid w:val="00D94B5C"/>
    <w:rsid w:val="00D94BEC"/>
    <w:rsid w:val="00D94C34"/>
    <w:rsid w:val="00D95DD3"/>
    <w:rsid w:val="00D96735"/>
    <w:rsid w:val="00D96D38"/>
    <w:rsid w:val="00D970A2"/>
    <w:rsid w:val="00D979F7"/>
    <w:rsid w:val="00D97EFF"/>
    <w:rsid w:val="00DA15D2"/>
    <w:rsid w:val="00DA177F"/>
    <w:rsid w:val="00DA1CAD"/>
    <w:rsid w:val="00DA2311"/>
    <w:rsid w:val="00DA2E77"/>
    <w:rsid w:val="00DA2F8F"/>
    <w:rsid w:val="00DA383B"/>
    <w:rsid w:val="00DA3890"/>
    <w:rsid w:val="00DA39A0"/>
    <w:rsid w:val="00DA3B1F"/>
    <w:rsid w:val="00DA3ED8"/>
    <w:rsid w:val="00DA429B"/>
    <w:rsid w:val="00DA42E7"/>
    <w:rsid w:val="00DA4B4A"/>
    <w:rsid w:val="00DA4BCD"/>
    <w:rsid w:val="00DA4D97"/>
    <w:rsid w:val="00DA5034"/>
    <w:rsid w:val="00DA5B9B"/>
    <w:rsid w:val="00DA5C96"/>
    <w:rsid w:val="00DA5E97"/>
    <w:rsid w:val="00DA5EDC"/>
    <w:rsid w:val="00DA6057"/>
    <w:rsid w:val="00DA6461"/>
    <w:rsid w:val="00DA755E"/>
    <w:rsid w:val="00DA77D6"/>
    <w:rsid w:val="00DB020B"/>
    <w:rsid w:val="00DB0AF4"/>
    <w:rsid w:val="00DB0EED"/>
    <w:rsid w:val="00DB1792"/>
    <w:rsid w:val="00DB203E"/>
    <w:rsid w:val="00DB226D"/>
    <w:rsid w:val="00DB27D7"/>
    <w:rsid w:val="00DB29D7"/>
    <w:rsid w:val="00DB2C87"/>
    <w:rsid w:val="00DB3BE5"/>
    <w:rsid w:val="00DB3C87"/>
    <w:rsid w:val="00DB5F7A"/>
    <w:rsid w:val="00DB66DE"/>
    <w:rsid w:val="00DB6883"/>
    <w:rsid w:val="00DB73B5"/>
    <w:rsid w:val="00DB773F"/>
    <w:rsid w:val="00DB7A70"/>
    <w:rsid w:val="00DC05FF"/>
    <w:rsid w:val="00DC0846"/>
    <w:rsid w:val="00DC097B"/>
    <w:rsid w:val="00DC0EA9"/>
    <w:rsid w:val="00DC18C2"/>
    <w:rsid w:val="00DC192E"/>
    <w:rsid w:val="00DC284D"/>
    <w:rsid w:val="00DC55EE"/>
    <w:rsid w:val="00DC59FD"/>
    <w:rsid w:val="00DC5D38"/>
    <w:rsid w:val="00DC5F51"/>
    <w:rsid w:val="00DC64B1"/>
    <w:rsid w:val="00DC6544"/>
    <w:rsid w:val="00DC6BF2"/>
    <w:rsid w:val="00DC6F5C"/>
    <w:rsid w:val="00DC71BE"/>
    <w:rsid w:val="00DC755C"/>
    <w:rsid w:val="00DD0ADB"/>
    <w:rsid w:val="00DD1298"/>
    <w:rsid w:val="00DD1770"/>
    <w:rsid w:val="00DD1A43"/>
    <w:rsid w:val="00DD1C64"/>
    <w:rsid w:val="00DD2ACE"/>
    <w:rsid w:val="00DD2EC7"/>
    <w:rsid w:val="00DD3093"/>
    <w:rsid w:val="00DD31E6"/>
    <w:rsid w:val="00DD32A5"/>
    <w:rsid w:val="00DD35C1"/>
    <w:rsid w:val="00DD4621"/>
    <w:rsid w:val="00DD4E8B"/>
    <w:rsid w:val="00DD59B6"/>
    <w:rsid w:val="00DD5F5D"/>
    <w:rsid w:val="00DD61AC"/>
    <w:rsid w:val="00DD6AA1"/>
    <w:rsid w:val="00DD7264"/>
    <w:rsid w:val="00DD76AA"/>
    <w:rsid w:val="00DD7D5E"/>
    <w:rsid w:val="00DD7FFE"/>
    <w:rsid w:val="00DE002C"/>
    <w:rsid w:val="00DE03FA"/>
    <w:rsid w:val="00DE0539"/>
    <w:rsid w:val="00DE0733"/>
    <w:rsid w:val="00DE0F13"/>
    <w:rsid w:val="00DE1494"/>
    <w:rsid w:val="00DE1DEE"/>
    <w:rsid w:val="00DE21F7"/>
    <w:rsid w:val="00DE2630"/>
    <w:rsid w:val="00DE26CE"/>
    <w:rsid w:val="00DE328F"/>
    <w:rsid w:val="00DE354C"/>
    <w:rsid w:val="00DE406E"/>
    <w:rsid w:val="00DE430E"/>
    <w:rsid w:val="00DE4D34"/>
    <w:rsid w:val="00DE615F"/>
    <w:rsid w:val="00DE6337"/>
    <w:rsid w:val="00DE67F0"/>
    <w:rsid w:val="00DE6987"/>
    <w:rsid w:val="00DE6EAB"/>
    <w:rsid w:val="00DE711A"/>
    <w:rsid w:val="00DF018A"/>
    <w:rsid w:val="00DF0590"/>
    <w:rsid w:val="00DF0BBE"/>
    <w:rsid w:val="00DF0BCE"/>
    <w:rsid w:val="00DF13E7"/>
    <w:rsid w:val="00DF1B1E"/>
    <w:rsid w:val="00DF33CA"/>
    <w:rsid w:val="00DF4C7A"/>
    <w:rsid w:val="00DF5477"/>
    <w:rsid w:val="00DF5FCF"/>
    <w:rsid w:val="00DF65A9"/>
    <w:rsid w:val="00DF65E6"/>
    <w:rsid w:val="00DF664D"/>
    <w:rsid w:val="00E0026A"/>
    <w:rsid w:val="00E013A4"/>
    <w:rsid w:val="00E013C9"/>
    <w:rsid w:val="00E015D4"/>
    <w:rsid w:val="00E01905"/>
    <w:rsid w:val="00E02133"/>
    <w:rsid w:val="00E02299"/>
    <w:rsid w:val="00E03211"/>
    <w:rsid w:val="00E0326A"/>
    <w:rsid w:val="00E03EC7"/>
    <w:rsid w:val="00E04546"/>
    <w:rsid w:val="00E047AC"/>
    <w:rsid w:val="00E0544A"/>
    <w:rsid w:val="00E05E28"/>
    <w:rsid w:val="00E064B8"/>
    <w:rsid w:val="00E06B8B"/>
    <w:rsid w:val="00E073AF"/>
    <w:rsid w:val="00E076B5"/>
    <w:rsid w:val="00E07B3A"/>
    <w:rsid w:val="00E07E93"/>
    <w:rsid w:val="00E10155"/>
    <w:rsid w:val="00E1112A"/>
    <w:rsid w:val="00E111A5"/>
    <w:rsid w:val="00E1163F"/>
    <w:rsid w:val="00E118AE"/>
    <w:rsid w:val="00E12084"/>
    <w:rsid w:val="00E122D7"/>
    <w:rsid w:val="00E12319"/>
    <w:rsid w:val="00E132B4"/>
    <w:rsid w:val="00E141A6"/>
    <w:rsid w:val="00E149B6"/>
    <w:rsid w:val="00E14B41"/>
    <w:rsid w:val="00E169F8"/>
    <w:rsid w:val="00E16B9E"/>
    <w:rsid w:val="00E16E1C"/>
    <w:rsid w:val="00E17110"/>
    <w:rsid w:val="00E17720"/>
    <w:rsid w:val="00E17E6E"/>
    <w:rsid w:val="00E20241"/>
    <w:rsid w:val="00E207B8"/>
    <w:rsid w:val="00E209B1"/>
    <w:rsid w:val="00E20E75"/>
    <w:rsid w:val="00E212B2"/>
    <w:rsid w:val="00E212E4"/>
    <w:rsid w:val="00E22026"/>
    <w:rsid w:val="00E221B0"/>
    <w:rsid w:val="00E22275"/>
    <w:rsid w:val="00E222B6"/>
    <w:rsid w:val="00E22797"/>
    <w:rsid w:val="00E22FBF"/>
    <w:rsid w:val="00E23CAF"/>
    <w:rsid w:val="00E2432C"/>
    <w:rsid w:val="00E24894"/>
    <w:rsid w:val="00E24C14"/>
    <w:rsid w:val="00E25243"/>
    <w:rsid w:val="00E253A2"/>
    <w:rsid w:val="00E25594"/>
    <w:rsid w:val="00E260F6"/>
    <w:rsid w:val="00E277D6"/>
    <w:rsid w:val="00E27A80"/>
    <w:rsid w:val="00E30554"/>
    <w:rsid w:val="00E31070"/>
    <w:rsid w:val="00E31875"/>
    <w:rsid w:val="00E31B97"/>
    <w:rsid w:val="00E31D70"/>
    <w:rsid w:val="00E3200A"/>
    <w:rsid w:val="00E32D8A"/>
    <w:rsid w:val="00E33B9E"/>
    <w:rsid w:val="00E33C69"/>
    <w:rsid w:val="00E346DC"/>
    <w:rsid w:val="00E356FA"/>
    <w:rsid w:val="00E36BB4"/>
    <w:rsid w:val="00E401A4"/>
    <w:rsid w:val="00E40E47"/>
    <w:rsid w:val="00E4135C"/>
    <w:rsid w:val="00E41DBF"/>
    <w:rsid w:val="00E425A0"/>
    <w:rsid w:val="00E429E5"/>
    <w:rsid w:val="00E43240"/>
    <w:rsid w:val="00E43346"/>
    <w:rsid w:val="00E4339F"/>
    <w:rsid w:val="00E4415A"/>
    <w:rsid w:val="00E44864"/>
    <w:rsid w:val="00E45BE9"/>
    <w:rsid w:val="00E4661C"/>
    <w:rsid w:val="00E47257"/>
    <w:rsid w:val="00E477EB"/>
    <w:rsid w:val="00E477F6"/>
    <w:rsid w:val="00E5017A"/>
    <w:rsid w:val="00E5044B"/>
    <w:rsid w:val="00E507D7"/>
    <w:rsid w:val="00E510D2"/>
    <w:rsid w:val="00E5190F"/>
    <w:rsid w:val="00E52B29"/>
    <w:rsid w:val="00E52D5F"/>
    <w:rsid w:val="00E53183"/>
    <w:rsid w:val="00E53363"/>
    <w:rsid w:val="00E538B1"/>
    <w:rsid w:val="00E53A1F"/>
    <w:rsid w:val="00E53B02"/>
    <w:rsid w:val="00E53C36"/>
    <w:rsid w:val="00E541A8"/>
    <w:rsid w:val="00E54BBF"/>
    <w:rsid w:val="00E54C78"/>
    <w:rsid w:val="00E5514D"/>
    <w:rsid w:val="00E551BE"/>
    <w:rsid w:val="00E5521D"/>
    <w:rsid w:val="00E55786"/>
    <w:rsid w:val="00E55E7C"/>
    <w:rsid w:val="00E5690C"/>
    <w:rsid w:val="00E56BEB"/>
    <w:rsid w:val="00E5777B"/>
    <w:rsid w:val="00E5790D"/>
    <w:rsid w:val="00E57B53"/>
    <w:rsid w:val="00E604E5"/>
    <w:rsid w:val="00E60A15"/>
    <w:rsid w:val="00E60AFD"/>
    <w:rsid w:val="00E60BDE"/>
    <w:rsid w:val="00E62011"/>
    <w:rsid w:val="00E62D3A"/>
    <w:rsid w:val="00E63273"/>
    <w:rsid w:val="00E63524"/>
    <w:rsid w:val="00E6390F"/>
    <w:rsid w:val="00E642C5"/>
    <w:rsid w:val="00E64A53"/>
    <w:rsid w:val="00E65390"/>
    <w:rsid w:val="00E65C92"/>
    <w:rsid w:val="00E66037"/>
    <w:rsid w:val="00E665EB"/>
    <w:rsid w:val="00E66910"/>
    <w:rsid w:val="00E66F65"/>
    <w:rsid w:val="00E67307"/>
    <w:rsid w:val="00E70592"/>
    <w:rsid w:val="00E70F4F"/>
    <w:rsid w:val="00E71A2D"/>
    <w:rsid w:val="00E71ABF"/>
    <w:rsid w:val="00E7207C"/>
    <w:rsid w:val="00E723F1"/>
    <w:rsid w:val="00E731A1"/>
    <w:rsid w:val="00E73717"/>
    <w:rsid w:val="00E738AE"/>
    <w:rsid w:val="00E74B94"/>
    <w:rsid w:val="00E74F58"/>
    <w:rsid w:val="00E751EE"/>
    <w:rsid w:val="00E754CE"/>
    <w:rsid w:val="00E75AF4"/>
    <w:rsid w:val="00E75B11"/>
    <w:rsid w:val="00E7705A"/>
    <w:rsid w:val="00E77949"/>
    <w:rsid w:val="00E77CCB"/>
    <w:rsid w:val="00E803FB"/>
    <w:rsid w:val="00E805CB"/>
    <w:rsid w:val="00E80EE1"/>
    <w:rsid w:val="00E81622"/>
    <w:rsid w:val="00E82C26"/>
    <w:rsid w:val="00E8332E"/>
    <w:rsid w:val="00E8501E"/>
    <w:rsid w:val="00E85B1A"/>
    <w:rsid w:val="00E860B6"/>
    <w:rsid w:val="00E863C6"/>
    <w:rsid w:val="00E8681E"/>
    <w:rsid w:val="00E87BCD"/>
    <w:rsid w:val="00E87C1F"/>
    <w:rsid w:val="00E87C42"/>
    <w:rsid w:val="00E90AAB"/>
    <w:rsid w:val="00E90E6D"/>
    <w:rsid w:val="00E9191C"/>
    <w:rsid w:val="00E9213C"/>
    <w:rsid w:val="00E92243"/>
    <w:rsid w:val="00E92298"/>
    <w:rsid w:val="00E925B6"/>
    <w:rsid w:val="00E92732"/>
    <w:rsid w:val="00E929F7"/>
    <w:rsid w:val="00E9377D"/>
    <w:rsid w:val="00E9455E"/>
    <w:rsid w:val="00E948F9"/>
    <w:rsid w:val="00E94BCA"/>
    <w:rsid w:val="00E95B77"/>
    <w:rsid w:val="00E9604B"/>
    <w:rsid w:val="00E96075"/>
    <w:rsid w:val="00E960B7"/>
    <w:rsid w:val="00EA1355"/>
    <w:rsid w:val="00EA256C"/>
    <w:rsid w:val="00EA2DF4"/>
    <w:rsid w:val="00EA2F89"/>
    <w:rsid w:val="00EA39AF"/>
    <w:rsid w:val="00EA3A28"/>
    <w:rsid w:val="00EA478D"/>
    <w:rsid w:val="00EA5534"/>
    <w:rsid w:val="00EA56EE"/>
    <w:rsid w:val="00EA77C0"/>
    <w:rsid w:val="00EA7937"/>
    <w:rsid w:val="00EA7953"/>
    <w:rsid w:val="00EA7BA7"/>
    <w:rsid w:val="00EB03F5"/>
    <w:rsid w:val="00EB0B9E"/>
    <w:rsid w:val="00EB0BD5"/>
    <w:rsid w:val="00EB0CD7"/>
    <w:rsid w:val="00EB1068"/>
    <w:rsid w:val="00EB1592"/>
    <w:rsid w:val="00EB15F2"/>
    <w:rsid w:val="00EB1710"/>
    <w:rsid w:val="00EB2352"/>
    <w:rsid w:val="00EB2A5F"/>
    <w:rsid w:val="00EB3A36"/>
    <w:rsid w:val="00EB3C6F"/>
    <w:rsid w:val="00EB3D8C"/>
    <w:rsid w:val="00EB4BF4"/>
    <w:rsid w:val="00EB4C5F"/>
    <w:rsid w:val="00EB4EA4"/>
    <w:rsid w:val="00EB509D"/>
    <w:rsid w:val="00EB5542"/>
    <w:rsid w:val="00EB7E35"/>
    <w:rsid w:val="00EC0DD1"/>
    <w:rsid w:val="00EC3AFA"/>
    <w:rsid w:val="00EC3EC3"/>
    <w:rsid w:val="00EC3FE7"/>
    <w:rsid w:val="00EC5BAB"/>
    <w:rsid w:val="00EC5D07"/>
    <w:rsid w:val="00EC5D0B"/>
    <w:rsid w:val="00EC601E"/>
    <w:rsid w:val="00EC6623"/>
    <w:rsid w:val="00EC6692"/>
    <w:rsid w:val="00EC6CD8"/>
    <w:rsid w:val="00EC72CB"/>
    <w:rsid w:val="00EC72DA"/>
    <w:rsid w:val="00ED0731"/>
    <w:rsid w:val="00ED12AC"/>
    <w:rsid w:val="00ED1D9C"/>
    <w:rsid w:val="00ED37D6"/>
    <w:rsid w:val="00ED4FCF"/>
    <w:rsid w:val="00ED58E1"/>
    <w:rsid w:val="00ED5A85"/>
    <w:rsid w:val="00ED642C"/>
    <w:rsid w:val="00ED6953"/>
    <w:rsid w:val="00ED6F50"/>
    <w:rsid w:val="00ED7561"/>
    <w:rsid w:val="00ED7C4E"/>
    <w:rsid w:val="00EE02DF"/>
    <w:rsid w:val="00EE06DE"/>
    <w:rsid w:val="00EE1AFE"/>
    <w:rsid w:val="00EE234B"/>
    <w:rsid w:val="00EE2361"/>
    <w:rsid w:val="00EE3340"/>
    <w:rsid w:val="00EE35FC"/>
    <w:rsid w:val="00EE3EC0"/>
    <w:rsid w:val="00EE4069"/>
    <w:rsid w:val="00EE42DE"/>
    <w:rsid w:val="00EE453C"/>
    <w:rsid w:val="00EE4A37"/>
    <w:rsid w:val="00EE5227"/>
    <w:rsid w:val="00EE60EA"/>
    <w:rsid w:val="00EE7556"/>
    <w:rsid w:val="00EE75A0"/>
    <w:rsid w:val="00EF0006"/>
    <w:rsid w:val="00EF0029"/>
    <w:rsid w:val="00EF039E"/>
    <w:rsid w:val="00EF06F3"/>
    <w:rsid w:val="00EF0D97"/>
    <w:rsid w:val="00EF0E2A"/>
    <w:rsid w:val="00EF0E6D"/>
    <w:rsid w:val="00EF1AC1"/>
    <w:rsid w:val="00EF2375"/>
    <w:rsid w:val="00EF240A"/>
    <w:rsid w:val="00EF35D3"/>
    <w:rsid w:val="00EF39D1"/>
    <w:rsid w:val="00EF4E75"/>
    <w:rsid w:val="00EF535D"/>
    <w:rsid w:val="00EF58F8"/>
    <w:rsid w:val="00EF604D"/>
    <w:rsid w:val="00EF635E"/>
    <w:rsid w:val="00EF6703"/>
    <w:rsid w:val="00EF6C5A"/>
    <w:rsid w:val="00EF703D"/>
    <w:rsid w:val="00EF75BE"/>
    <w:rsid w:val="00EF7835"/>
    <w:rsid w:val="00EF7F36"/>
    <w:rsid w:val="00F0019C"/>
    <w:rsid w:val="00F001A2"/>
    <w:rsid w:val="00F00267"/>
    <w:rsid w:val="00F0071A"/>
    <w:rsid w:val="00F00CF1"/>
    <w:rsid w:val="00F016B4"/>
    <w:rsid w:val="00F01C1A"/>
    <w:rsid w:val="00F02558"/>
    <w:rsid w:val="00F02921"/>
    <w:rsid w:val="00F02BE0"/>
    <w:rsid w:val="00F02D6C"/>
    <w:rsid w:val="00F030DF"/>
    <w:rsid w:val="00F032C3"/>
    <w:rsid w:val="00F032FC"/>
    <w:rsid w:val="00F0622E"/>
    <w:rsid w:val="00F069FA"/>
    <w:rsid w:val="00F07F19"/>
    <w:rsid w:val="00F07FFD"/>
    <w:rsid w:val="00F1019C"/>
    <w:rsid w:val="00F11413"/>
    <w:rsid w:val="00F126F2"/>
    <w:rsid w:val="00F131C4"/>
    <w:rsid w:val="00F13D38"/>
    <w:rsid w:val="00F142F7"/>
    <w:rsid w:val="00F14CC6"/>
    <w:rsid w:val="00F151A2"/>
    <w:rsid w:val="00F15C84"/>
    <w:rsid w:val="00F15ED5"/>
    <w:rsid w:val="00F164C9"/>
    <w:rsid w:val="00F17384"/>
    <w:rsid w:val="00F2052A"/>
    <w:rsid w:val="00F2072D"/>
    <w:rsid w:val="00F211FB"/>
    <w:rsid w:val="00F2128C"/>
    <w:rsid w:val="00F218E4"/>
    <w:rsid w:val="00F21E87"/>
    <w:rsid w:val="00F21EAD"/>
    <w:rsid w:val="00F223FD"/>
    <w:rsid w:val="00F226DB"/>
    <w:rsid w:val="00F2294F"/>
    <w:rsid w:val="00F22994"/>
    <w:rsid w:val="00F22B1D"/>
    <w:rsid w:val="00F23EBC"/>
    <w:rsid w:val="00F25061"/>
    <w:rsid w:val="00F2535C"/>
    <w:rsid w:val="00F255C0"/>
    <w:rsid w:val="00F26224"/>
    <w:rsid w:val="00F27FAF"/>
    <w:rsid w:val="00F30060"/>
    <w:rsid w:val="00F303B1"/>
    <w:rsid w:val="00F31931"/>
    <w:rsid w:val="00F32551"/>
    <w:rsid w:val="00F32757"/>
    <w:rsid w:val="00F32DD2"/>
    <w:rsid w:val="00F33517"/>
    <w:rsid w:val="00F3360E"/>
    <w:rsid w:val="00F33BA4"/>
    <w:rsid w:val="00F33DAA"/>
    <w:rsid w:val="00F34186"/>
    <w:rsid w:val="00F34520"/>
    <w:rsid w:val="00F34980"/>
    <w:rsid w:val="00F36385"/>
    <w:rsid w:val="00F36E91"/>
    <w:rsid w:val="00F4019C"/>
    <w:rsid w:val="00F407C3"/>
    <w:rsid w:val="00F40898"/>
    <w:rsid w:val="00F41405"/>
    <w:rsid w:val="00F437CF"/>
    <w:rsid w:val="00F43C2B"/>
    <w:rsid w:val="00F44161"/>
    <w:rsid w:val="00F44EC2"/>
    <w:rsid w:val="00F4528B"/>
    <w:rsid w:val="00F45DB9"/>
    <w:rsid w:val="00F45FE0"/>
    <w:rsid w:val="00F46385"/>
    <w:rsid w:val="00F46FD9"/>
    <w:rsid w:val="00F500BF"/>
    <w:rsid w:val="00F509EE"/>
    <w:rsid w:val="00F50E4E"/>
    <w:rsid w:val="00F5112B"/>
    <w:rsid w:val="00F513E8"/>
    <w:rsid w:val="00F51568"/>
    <w:rsid w:val="00F5160C"/>
    <w:rsid w:val="00F51A82"/>
    <w:rsid w:val="00F52092"/>
    <w:rsid w:val="00F520C7"/>
    <w:rsid w:val="00F52241"/>
    <w:rsid w:val="00F52244"/>
    <w:rsid w:val="00F52B65"/>
    <w:rsid w:val="00F52C98"/>
    <w:rsid w:val="00F53002"/>
    <w:rsid w:val="00F53004"/>
    <w:rsid w:val="00F53959"/>
    <w:rsid w:val="00F53EA0"/>
    <w:rsid w:val="00F541AD"/>
    <w:rsid w:val="00F55892"/>
    <w:rsid w:val="00F55B00"/>
    <w:rsid w:val="00F561B4"/>
    <w:rsid w:val="00F563DF"/>
    <w:rsid w:val="00F56C9C"/>
    <w:rsid w:val="00F56D5A"/>
    <w:rsid w:val="00F57951"/>
    <w:rsid w:val="00F57CA1"/>
    <w:rsid w:val="00F6017C"/>
    <w:rsid w:val="00F60989"/>
    <w:rsid w:val="00F6105E"/>
    <w:rsid w:val="00F61F74"/>
    <w:rsid w:val="00F630D6"/>
    <w:rsid w:val="00F659E6"/>
    <w:rsid w:val="00F65B53"/>
    <w:rsid w:val="00F65BF9"/>
    <w:rsid w:val="00F66071"/>
    <w:rsid w:val="00F6626C"/>
    <w:rsid w:val="00F662E7"/>
    <w:rsid w:val="00F66C02"/>
    <w:rsid w:val="00F67B03"/>
    <w:rsid w:val="00F702F9"/>
    <w:rsid w:val="00F704A5"/>
    <w:rsid w:val="00F715E4"/>
    <w:rsid w:val="00F7247B"/>
    <w:rsid w:val="00F724C3"/>
    <w:rsid w:val="00F72C89"/>
    <w:rsid w:val="00F734FC"/>
    <w:rsid w:val="00F7372C"/>
    <w:rsid w:val="00F74682"/>
    <w:rsid w:val="00F74EF1"/>
    <w:rsid w:val="00F75BE3"/>
    <w:rsid w:val="00F75C4A"/>
    <w:rsid w:val="00F76742"/>
    <w:rsid w:val="00F76F4E"/>
    <w:rsid w:val="00F773E4"/>
    <w:rsid w:val="00F801E3"/>
    <w:rsid w:val="00F8039F"/>
    <w:rsid w:val="00F80D49"/>
    <w:rsid w:val="00F80D86"/>
    <w:rsid w:val="00F80E5A"/>
    <w:rsid w:val="00F81701"/>
    <w:rsid w:val="00F81783"/>
    <w:rsid w:val="00F827EB"/>
    <w:rsid w:val="00F84481"/>
    <w:rsid w:val="00F852AF"/>
    <w:rsid w:val="00F85547"/>
    <w:rsid w:val="00F857EA"/>
    <w:rsid w:val="00F8679A"/>
    <w:rsid w:val="00F86CDB"/>
    <w:rsid w:val="00F86F29"/>
    <w:rsid w:val="00F87586"/>
    <w:rsid w:val="00F875D2"/>
    <w:rsid w:val="00F909F6"/>
    <w:rsid w:val="00F90B8C"/>
    <w:rsid w:val="00F90E82"/>
    <w:rsid w:val="00F911D2"/>
    <w:rsid w:val="00F91294"/>
    <w:rsid w:val="00F9143D"/>
    <w:rsid w:val="00F917A2"/>
    <w:rsid w:val="00F917E9"/>
    <w:rsid w:val="00F91CC8"/>
    <w:rsid w:val="00F9295D"/>
    <w:rsid w:val="00F9324F"/>
    <w:rsid w:val="00F940FD"/>
    <w:rsid w:val="00F942A8"/>
    <w:rsid w:val="00F949CA"/>
    <w:rsid w:val="00F94A85"/>
    <w:rsid w:val="00F95195"/>
    <w:rsid w:val="00F953CA"/>
    <w:rsid w:val="00F9546B"/>
    <w:rsid w:val="00F961F0"/>
    <w:rsid w:val="00F962AA"/>
    <w:rsid w:val="00F9658F"/>
    <w:rsid w:val="00F97423"/>
    <w:rsid w:val="00F97951"/>
    <w:rsid w:val="00FA0B8E"/>
    <w:rsid w:val="00FA18D5"/>
    <w:rsid w:val="00FA1943"/>
    <w:rsid w:val="00FA1B7E"/>
    <w:rsid w:val="00FA1C07"/>
    <w:rsid w:val="00FA1C7F"/>
    <w:rsid w:val="00FA2B66"/>
    <w:rsid w:val="00FA36AC"/>
    <w:rsid w:val="00FA3B10"/>
    <w:rsid w:val="00FA3EC5"/>
    <w:rsid w:val="00FA45A5"/>
    <w:rsid w:val="00FA4EDE"/>
    <w:rsid w:val="00FA537E"/>
    <w:rsid w:val="00FA549B"/>
    <w:rsid w:val="00FA5767"/>
    <w:rsid w:val="00FA5E82"/>
    <w:rsid w:val="00FA5F69"/>
    <w:rsid w:val="00FA6FF1"/>
    <w:rsid w:val="00FA7156"/>
    <w:rsid w:val="00FA78AF"/>
    <w:rsid w:val="00FB0640"/>
    <w:rsid w:val="00FB07E2"/>
    <w:rsid w:val="00FB0DAA"/>
    <w:rsid w:val="00FB1198"/>
    <w:rsid w:val="00FB17C9"/>
    <w:rsid w:val="00FB1DAB"/>
    <w:rsid w:val="00FB2188"/>
    <w:rsid w:val="00FB3717"/>
    <w:rsid w:val="00FB3E32"/>
    <w:rsid w:val="00FB3FEB"/>
    <w:rsid w:val="00FB48E2"/>
    <w:rsid w:val="00FB4B67"/>
    <w:rsid w:val="00FB6C20"/>
    <w:rsid w:val="00FB7427"/>
    <w:rsid w:val="00FC0407"/>
    <w:rsid w:val="00FC1114"/>
    <w:rsid w:val="00FC1667"/>
    <w:rsid w:val="00FC1896"/>
    <w:rsid w:val="00FC1CE2"/>
    <w:rsid w:val="00FC262C"/>
    <w:rsid w:val="00FC2AFC"/>
    <w:rsid w:val="00FC2FE9"/>
    <w:rsid w:val="00FC3250"/>
    <w:rsid w:val="00FC3C52"/>
    <w:rsid w:val="00FC3DAB"/>
    <w:rsid w:val="00FC50BE"/>
    <w:rsid w:val="00FC5353"/>
    <w:rsid w:val="00FC5750"/>
    <w:rsid w:val="00FC5E33"/>
    <w:rsid w:val="00FC6553"/>
    <w:rsid w:val="00FC67A0"/>
    <w:rsid w:val="00FC7451"/>
    <w:rsid w:val="00FC7CA4"/>
    <w:rsid w:val="00FD013D"/>
    <w:rsid w:val="00FD029A"/>
    <w:rsid w:val="00FD032C"/>
    <w:rsid w:val="00FD0727"/>
    <w:rsid w:val="00FD0F4A"/>
    <w:rsid w:val="00FD1544"/>
    <w:rsid w:val="00FD1581"/>
    <w:rsid w:val="00FD1905"/>
    <w:rsid w:val="00FD2944"/>
    <w:rsid w:val="00FD2A27"/>
    <w:rsid w:val="00FD2B41"/>
    <w:rsid w:val="00FD3BF8"/>
    <w:rsid w:val="00FD3EBE"/>
    <w:rsid w:val="00FD3F23"/>
    <w:rsid w:val="00FD4236"/>
    <w:rsid w:val="00FD48B0"/>
    <w:rsid w:val="00FD5217"/>
    <w:rsid w:val="00FD61C1"/>
    <w:rsid w:val="00FD62D4"/>
    <w:rsid w:val="00FD68B9"/>
    <w:rsid w:val="00FD7C1D"/>
    <w:rsid w:val="00FD7D2D"/>
    <w:rsid w:val="00FE1271"/>
    <w:rsid w:val="00FE16E6"/>
    <w:rsid w:val="00FE2651"/>
    <w:rsid w:val="00FE2714"/>
    <w:rsid w:val="00FE320C"/>
    <w:rsid w:val="00FE3504"/>
    <w:rsid w:val="00FE4395"/>
    <w:rsid w:val="00FE43D7"/>
    <w:rsid w:val="00FE5694"/>
    <w:rsid w:val="00FE5882"/>
    <w:rsid w:val="00FE6742"/>
    <w:rsid w:val="00FE6B35"/>
    <w:rsid w:val="00FE6B91"/>
    <w:rsid w:val="00FF0CB7"/>
    <w:rsid w:val="00FF0DFE"/>
    <w:rsid w:val="00FF1682"/>
    <w:rsid w:val="00FF1EB5"/>
    <w:rsid w:val="00FF2452"/>
    <w:rsid w:val="00FF24B8"/>
    <w:rsid w:val="00FF2801"/>
    <w:rsid w:val="00FF2ACD"/>
    <w:rsid w:val="00FF3000"/>
    <w:rsid w:val="00FF3D05"/>
    <w:rsid w:val="00FF410F"/>
    <w:rsid w:val="00FF4D63"/>
    <w:rsid w:val="00FF4F58"/>
    <w:rsid w:val="00FF5166"/>
    <w:rsid w:val="00FF56DB"/>
    <w:rsid w:val="00FF5B3E"/>
    <w:rsid w:val="00FF7050"/>
    <w:rsid w:val="00FF712D"/>
    <w:rsid w:val="00FF7330"/>
    <w:rsid w:val="00FF7A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85C682"/>
  <w15:docId w15:val="{4255E140-ACDA-A149-9C16-0C8B31D5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16A"/>
    <w:pPr>
      <w:spacing w:after="240"/>
    </w:pPr>
  </w:style>
  <w:style w:type="paragraph" w:styleId="Heading1">
    <w:name w:val="heading 1"/>
    <w:basedOn w:val="Normal"/>
    <w:next w:val="Normal"/>
    <w:link w:val="Heading1Char"/>
    <w:uiPriority w:val="9"/>
    <w:qFormat/>
    <w:rsid w:val="006B4D28"/>
    <w:pPr>
      <w:keepNext/>
      <w:keepLines/>
      <w:spacing w:before="24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C767E3"/>
    <w:pPr>
      <w:keepNext/>
      <w:keepLines/>
      <w:pBdr>
        <w:bottom w:val="single" w:sz="4" w:space="1" w:color="2E74B5"/>
      </w:pBdr>
      <w:spacing w:before="360"/>
      <w:outlineLvl w:val="1"/>
    </w:pPr>
    <w:rPr>
      <w:rFonts w:asciiTheme="majorHAnsi" w:eastAsiaTheme="majorEastAsia" w:hAnsiTheme="majorHAnsi" w:cstheme="majorBidi"/>
      <w:color w:val="0D45D6"/>
      <w:sz w:val="26"/>
      <w:szCs w:val="26"/>
    </w:rPr>
  </w:style>
  <w:style w:type="paragraph" w:styleId="Heading3">
    <w:name w:val="heading 3"/>
    <w:basedOn w:val="Normal"/>
    <w:next w:val="Normal"/>
    <w:link w:val="Heading3Char"/>
    <w:uiPriority w:val="9"/>
    <w:unhideWhenUsed/>
    <w:qFormat/>
    <w:rsid w:val="005876C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ListParagraph"/>
    <w:next w:val="Normal"/>
    <w:link w:val="Heading4Char"/>
    <w:uiPriority w:val="9"/>
    <w:unhideWhenUsed/>
    <w:qFormat/>
    <w:rsid w:val="00182F25"/>
    <w:pPr>
      <w:ind w:left="851" w:hanging="425"/>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D28"/>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rsid w:val="00C767E3"/>
    <w:rPr>
      <w:rFonts w:asciiTheme="majorHAnsi" w:eastAsiaTheme="majorEastAsia" w:hAnsiTheme="majorHAnsi" w:cstheme="majorBidi"/>
      <w:color w:val="0D45D6"/>
      <w:sz w:val="26"/>
      <w:szCs w:val="26"/>
    </w:rPr>
  </w:style>
  <w:style w:type="paragraph" w:styleId="Title">
    <w:name w:val="Title"/>
    <w:basedOn w:val="Normal"/>
    <w:next w:val="Normal"/>
    <w:link w:val="TitleChar"/>
    <w:uiPriority w:val="10"/>
    <w:qFormat/>
    <w:rsid w:val="00AB61E5"/>
    <w:pPr>
      <w:spacing w:line="240" w:lineRule="auto"/>
      <w:contextualSpacing/>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AB61E5"/>
    <w:rPr>
      <w:rFonts w:asciiTheme="majorHAnsi" w:eastAsiaTheme="majorEastAsia" w:hAnsiTheme="majorHAnsi" w:cstheme="majorBidi"/>
      <w:spacing w:val="-10"/>
      <w:kern w:val="28"/>
      <w:sz w:val="40"/>
      <w:szCs w:val="40"/>
    </w:rPr>
  </w:style>
  <w:style w:type="paragraph" w:styleId="Subtitle">
    <w:name w:val="Subtitle"/>
    <w:basedOn w:val="Normal"/>
    <w:next w:val="Normal"/>
    <w:link w:val="SubtitleChar"/>
    <w:uiPriority w:val="11"/>
    <w:qFormat/>
    <w:rsid w:val="00AB61E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61E5"/>
    <w:rPr>
      <w:rFonts w:eastAsiaTheme="minorEastAsia"/>
      <w:color w:val="5A5A5A" w:themeColor="text1" w:themeTint="A5"/>
      <w:spacing w:val="15"/>
    </w:rPr>
  </w:style>
  <w:style w:type="character" w:styleId="SubtleEmphasis">
    <w:name w:val="Subtle Emphasis"/>
    <w:basedOn w:val="DefaultParagraphFont"/>
    <w:uiPriority w:val="19"/>
    <w:qFormat/>
    <w:rsid w:val="00AB61E5"/>
    <w:rPr>
      <w:i/>
      <w:iCs/>
      <w:color w:val="404040" w:themeColor="text1" w:themeTint="BF"/>
    </w:rPr>
  </w:style>
  <w:style w:type="paragraph" w:styleId="TOCHeading">
    <w:name w:val="TOC Heading"/>
    <w:basedOn w:val="Heading1"/>
    <w:next w:val="Normal"/>
    <w:uiPriority w:val="39"/>
    <w:unhideWhenUsed/>
    <w:qFormat/>
    <w:rsid w:val="001336CB"/>
    <w:pPr>
      <w:spacing w:after="0"/>
      <w:outlineLvl w:val="9"/>
    </w:pPr>
    <w:rPr>
      <w:b w:val="0"/>
      <w:lang w:val="en-US"/>
    </w:rPr>
  </w:style>
  <w:style w:type="paragraph" w:styleId="TOC1">
    <w:name w:val="toc 1"/>
    <w:basedOn w:val="Normal"/>
    <w:next w:val="Normal"/>
    <w:autoRedefine/>
    <w:uiPriority w:val="39"/>
    <w:unhideWhenUsed/>
    <w:rsid w:val="00CB62F6"/>
    <w:pPr>
      <w:tabs>
        <w:tab w:val="right" w:leader="dot" w:pos="9016"/>
      </w:tabs>
      <w:spacing w:after="100"/>
    </w:pPr>
  </w:style>
  <w:style w:type="paragraph" w:styleId="TOC2">
    <w:name w:val="toc 2"/>
    <w:basedOn w:val="Normal"/>
    <w:next w:val="Normal"/>
    <w:autoRedefine/>
    <w:uiPriority w:val="39"/>
    <w:unhideWhenUsed/>
    <w:rsid w:val="00AB65CF"/>
    <w:pPr>
      <w:tabs>
        <w:tab w:val="left" w:pos="880"/>
        <w:tab w:val="right" w:leader="dot" w:pos="9016"/>
      </w:tabs>
      <w:spacing w:after="100"/>
      <w:ind w:left="220"/>
    </w:pPr>
  </w:style>
  <w:style w:type="character" w:styleId="Hyperlink">
    <w:name w:val="Hyperlink"/>
    <w:basedOn w:val="DefaultParagraphFont"/>
    <w:uiPriority w:val="99"/>
    <w:unhideWhenUsed/>
    <w:rsid w:val="001336CB"/>
    <w:rPr>
      <w:color w:val="0563C1" w:themeColor="hyperlink"/>
      <w:u w:val="single"/>
    </w:rPr>
  </w:style>
  <w:style w:type="character" w:styleId="CommentReference">
    <w:name w:val="annotation reference"/>
    <w:basedOn w:val="DefaultParagraphFont"/>
    <w:uiPriority w:val="99"/>
    <w:semiHidden/>
    <w:unhideWhenUsed/>
    <w:qFormat/>
    <w:rsid w:val="00713735"/>
    <w:rPr>
      <w:sz w:val="16"/>
      <w:szCs w:val="16"/>
    </w:rPr>
  </w:style>
  <w:style w:type="paragraph" w:styleId="CommentText">
    <w:name w:val="annotation text"/>
    <w:basedOn w:val="Normal"/>
    <w:link w:val="CommentTextChar"/>
    <w:uiPriority w:val="99"/>
    <w:unhideWhenUsed/>
    <w:qFormat/>
    <w:rsid w:val="00713735"/>
    <w:pPr>
      <w:spacing w:line="240" w:lineRule="auto"/>
    </w:pPr>
    <w:rPr>
      <w:sz w:val="20"/>
      <w:szCs w:val="20"/>
    </w:rPr>
  </w:style>
  <w:style w:type="character" w:customStyle="1" w:styleId="CommentTextChar">
    <w:name w:val="Comment Text Char"/>
    <w:basedOn w:val="DefaultParagraphFont"/>
    <w:link w:val="CommentText"/>
    <w:uiPriority w:val="99"/>
    <w:qFormat/>
    <w:rsid w:val="00713735"/>
    <w:rPr>
      <w:sz w:val="20"/>
      <w:szCs w:val="20"/>
    </w:rPr>
  </w:style>
  <w:style w:type="paragraph" w:styleId="CommentSubject">
    <w:name w:val="annotation subject"/>
    <w:basedOn w:val="CommentText"/>
    <w:next w:val="CommentText"/>
    <w:link w:val="CommentSubjectChar"/>
    <w:uiPriority w:val="99"/>
    <w:semiHidden/>
    <w:unhideWhenUsed/>
    <w:rsid w:val="00713735"/>
    <w:rPr>
      <w:b/>
      <w:bCs/>
    </w:rPr>
  </w:style>
  <w:style w:type="character" w:customStyle="1" w:styleId="CommentSubjectChar">
    <w:name w:val="Comment Subject Char"/>
    <w:basedOn w:val="CommentTextChar"/>
    <w:link w:val="CommentSubject"/>
    <w:uiPriority w:val="99"/>
    <w:semiHidden/>
    <w:rsid w:val="00713735"/>
    <w:rPr>
      <w:b/>
      <w:bCs/>
      <w:sz w:val="20"/>
      <w:szCs w:val="20"/>
    </w:rPr>
  </w:style>
  <w:style w:type="paragraph" w:styleId="BalloonText">
    <w:name w:val="Balloon Text"/>
    <w:basedOn w:val="Normal"/>
    <w:link w:val="BalloonTextChar"/>
    <w:uiPriority w:val="99"/>
    <w:semiHidden/>
    <w:unhideWhenUsed/>
    <w:rsid w:val="007137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735"/>
    <w:rPr>
      <w:rFonts w:ascii="Segoe UI" w:hAnsi="Segoe UI" w:cs="Segoe UI"/>
      <w:sz w:val="18"/>
      <w:szCs w:val="18"/>
    </w:rPr>
  </w:style>
  <w:style w:type="character" w:customStyle="1" w:styleId="Heading3Char">
    <w:name w:val="Heading 3 Char"/>
    <w:basedOn w:val="DefaultParagraphFont"/>
    <w:link w:val="Heading3"/>
    <w:uiPriority w:val="9"/>
    <w:rsid w:val="005876C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C7958"/>
    <w:pPr>
      <w:ind w:left="720"/>
      <w:contextualSpacing/>
    </w:pPr>
  </w:style>
  <w:style w:type="paragraph" w:styleId="Header">
    <w:name w:val="header"/>
    <w:basedOn w:val="Normal"/>
    <w:link w:val="HeaderChar"/>
    <w:uiPriority w:val="99"/>
    <w:unhideWhenUsed/>
    <w:rsid w:val="009C6A3E"/>
    <w:pPr>
      <w:tabs>
        <w:tab w:val="center" w:pos="4513"/>
        <w:tab w:val="right" w:pos="9026"/>
      </w:tabs>
      <w:spacing w:line="240" w:lineRule="auto"/>
    </w:pPr>
  </w:style>
  <w:style w:type="character" w:customStyle="1" w:styleId="HeaderChar">
    <w:name w:val="Header Char"/>
    <w:basedOn w:val="DefaultParagraphFont"/>
    <w:link w:val="Header"/>
    <w:uiPriority w:val="99"/>
    <w:rsid w:val="009C6A3E"/>
  </w:style>
  <w:style w:type="paragraph" w:styleId="Footer">
    <w:name w:val="footer"/>
    <w:basedOn w:val="Normal"/>
    <w:link w:val="FooterChar"/>
    <w:uiPriority w:val="99"/>
    <w:unhideWhenUsed/>
    <w:rsid w:val="009C6A3E"/>
    <w:pPr>
      <w:tabs>
        <w:tab w:val="center" w:pos="4513"/>
        <w:tab w:val="right" w:pos="9026"/>
      </w:tabs>
      <w:spacing w:line="240" w:lineRule="auto"/>
    </w:pPr>
  </w:style>
  <w:style w:type="character" w:customStyle="1" w:styleId="FooterChar">
    <w:name w:val="Footer Char"/>
    <w:basedOn w:val="DefaultParagraphFont"/>
    <w:link w:val="Footer"/>
    <w:uiPriority w:val="99"/>
    <w:rsid w:val="009C6A3E"/>
  </w:style>
  <w:style w:type="character" w:customStyle="1" w:styleId="UnresolvedMention1">
    <w:name w:val="Unresolved Mention1"/>
    <w:basedOn w:val="DefaultParagraphFont"/>
    <w:uiPriority w:val="99"/>
    <w:semiHidden/>
    <w:unhideWhenUsed/>
    <w:rsid w:val="00602BF1"/>
    <w:rPr>
      <w:color w:val="605E5C"/>
      <w:shd w:val="clear" w:color="auto" w:fill="E1DFDD"/>
    </w:rPr>
  </w:style>
  <w:style w:type="paragraph" w:customStyle="1" w:styleId="Normal-Numberedparagraphs">
    <w:name w:val="Normal - Numbered paragraphs"/>
    <w:basedOn w:val="Normal"/>
    <w:link w:val="Normal-NumberedparagraphsChar"/>
    <w:qFormat/>
    <w:rsid w:val="00EC3FE7"/>
    <w:pPr>
      <w:numPr>
        <w:numId w:val="48"/>
      </w:numPr>
    </w:pPr>
  </w:style>
  <w:style w:type="paragraph" w:customStyle="1" w:styleId="Bullet">
    <w:name w:val="Bullet"/>
    <w:aliases w:val="Body,Bullet + line,b,b + line,b1,level 1,bulleted,BodyNum,Bullet Char1,Bullet Char1 Char Char Char Char,b1 Char Char Char,Bullet Char1 Char Char Char Char Char,Bullet Char1 Char Char Char"/>
    <w:basedOn w:val="Normal"/>
    <w:link w:val="BulletChar"/>
    <w:rsid w:val="006B4D28"/>
    <w:pPr>
      <w:numPr>
        <w:numId w:val="3"/>
      </w:numPr>
    </w:pPr>
  </w:style>
  <w:style w:type="character" w:customStyle="1" w:styleId="Normal-NumberedparagraphsChar">
    <w:name w:val="Normal - Numbered paragraphs Char"/>
    <w:basedOn w:val="DefaultParagraphFont"/>
    <w:link w:val="Normal-Numberedparagraphs"/>
    <w:rsid w:val="006B4D28"/>
  </w:style>
  <w:style w:type="character" w:customStyle="1" w:styleId="BulletChar">
    <w:name w:val="Bullet Char"/>
    <w:basedOn w:val="Normal-NumberedparagraphsChar"/>
    <w:link w:val="Bullet"/>
    <w:rsid w:val="006B4D28"/>
  </w:style>
  <w:style w:type="paragraph" w:customStyle="1" w:styleId="Dash">
    <w:name w:val="Dash"/>
    <w:basedOn w:val="Normal"/>
    <w:link w:val="DashChar"/>
    <w:rsid w:val="006B4D28"/>
    <w:pPr>
      <w:numPr>
        <w:ilvl w:val="1"/>
        <w:numId w:val="3"/>
      </w:numPr>
    </w:pPr>
  </w:style>
  <w:style w:type="character" w:customStyle="1" w:styleId="DashChar">
    <w:name w:val="Dash Char"/>
    <w:basedOn w:val="Normal-NumberedparagraphsChar"/>
    <w:link w:val="Dash"/>
    <w:rsid w:val="006B4D28"/>
  </w:style>
  <w:style w:type="paragraph" w:customStyle="1" w:styleId="DoubleDot">
    <w:name w:val="Double Dot"/>
    <w:basedOn w:val="Normal"/>
    <w:link w:val="DoubleDotChar"/>
    <w:rsid w:val="006B4D28"/>
    <w:pPr>
      <w:numPr>
        <w:ilvl w:val="2"/>
        <w:numId w:val="3"/>
      </w:numPr>
    </w:pPr>
  </w:style>
  <w:style w:type="character" w:customStyle="1" w:styleId="DoubleDotChar">
    <w:name w:val="Double Dot Char"/>
    <w:basedOn w:val="Normal-NumberedparagraphsChar"/>
    <w:link w:val="DoubleDot"/>
    <w:rsid w:val="006B4D28"/>
  </w:style>
  <w:style w:type="table" w:styleId="TableGrid">
    <w:name w:val="Table Grid"/>
    <w:basedOn w:val="TableNormal"/>
    <w:uiPriority w:val="39"/>
    <w:rsid w:val="00D75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Numbered1">
    <w:name w:val="Outline Numbered 1"/>
    <w:basedOn w:val="Normal"/>
    <w:link w:val="OutlineNumbered1Char"/>
    <w:rsid w:val="00D75569"/>
    <w:pPr>
      <w:numPr>
        <w:numId w:val="4"/>
      </w:numPr>
      <w:spacing w:line="240" w:lineRule="auto"/>
    </w:pPr>
  </w:style>
  <w:style w:type="character" w:customStyle="1" w:styleId="OutlineNumbered1Char">
    <w:name w:val="Outline Numbered 1 Char"/>
    <w:basedOn w:val="DefaultParagraphFont"/>
    <w:link w:val="OutlineNumbered1"/>
    <w:rsid w:val="00D75569"/>
  </w:style>
  <w:style w:type="paragraph" w:customStyle="1" w:styleId="OutlineNumbered2">
    <w:name w:val="Outline Numbered 2"/>
    <w:basedOn w:val="Normal"/>
    <w:link w:val="OutlineNumbered2Char"/>
    <w:rsid w:val="00D75569"/>
    <w:pPr>
      <w:numPr>
        <w:ilvl w:val="1"/>
        <w:numId w:val="4"/>
      </w:numPr>
      <w:spacing w:line="240" w:lineRule="auto"/>
    </w:pPr>
  </w:style>
  <w:style w:type="character" w:customStyle="1" w:styleId="OutlineNumbered2Char">
    <w:name w:val="Outline Numbered 2 Char"/>
    <w:basedOn w:val="DefaultParagraphFont"/>
    <w:link w:val="OutlineNumbered2"/>
    <w:rsid w:val="00D75569"/>
  </w:style>
  <w:style w:type="paragraph" w:customStyle="1" w:styleId="OutlineNumbered3">
    <w:name w:val="Outline Numbered 3"/>
    <w:basedOn w:val="Normal"/>
    <w:link w:val="OutlineNumbered3Char"/>
    <w:rsid w:val="00D75569"/>
    <w:pPr>
      <w:numPr>
        <w:ilvl w:val="2"/>
        <w:numId w:val="4"/>
      </w:numPr>
      <w:spacing w:line="240" w:lineRule="auto"/>
    </w:pPr>
  </w:style>
  <w:style w:type="character" w:customStyle="1" w:styleId="OutlineNumbered3Char">
    <w:name w:val="Outline Numbered 3 Char"/>
    <w:basedOn w:val="DefaultParagraphFont"/>
    <w:link w:val="OutlineNumbered3"/>
    <w:rsid w:val="00D75569"/>
  </w:style>
  <w:style w:type="paragraph" w:styleId="FootnoteText">
    <w:name w:val="footnote text"/>
    <w:basedOn w:val="Normal"/>
    <w:link w:val="FootnoteTextChar"/>
    <w:uiPriority w:val="99"/>
    <w:unhideWhenUsed/>
    <w:rsid w:val="001D0043"/>
    <w:pPr>
      <w:spacing w:after="0" w:line="240" w:lineRule="auto"/>
    </w:pPr>
    <w:rPr>
      <w:sz w:val="20"/>
      <w:szCs w:val="20"/>
    </w:rPr>
  </w:style>
  <w:style w:type="character" w:customStyle="1" w:styleId="FootnoteTextChar">
    <w:name w:val="Footnote Text Char"/>
    <w:basedOn w:val="DefaultParagraphFont"/>
    <w:link w:val="FootnoteText"/>
    <w:uiPriority w:val="99"/>
    <w:rsid w:val="001D0043"/>
    <w:rPr>
      <w:sz w:val="20"/>
      <w:szCs w:val="20"/>
    </w:rPr>
  </w:style>
  <w:style w:type="character" w:styleId="FootnoteReference">
    <w:name w:val="footnote reference"/>
    <w:basedOn w:val="DefaultParagraphFont"/>
    <w:uiPriority w:val="99"/>
    <w:semiHidden/>
    <w:unhideWhenUsed/>
    <w:rsid w:val="001D0043"/>
    <w:rPr>
      <w:vertAlign w:val="superscript"/>
    </w:rPr>
  </w:style>
  <w:style w:type="table" w:styleId="GridTable2-Accent1">
    <w:name w:val="Grid Table 2 Accent 1"/>
    <w:basedOn w:val="TableNormal"/>
    <w:uiPriority w:val="47"/>
    <w:rsid w:val="00543365"/>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4">
    <w:name w:val="Plain Table 4"/>
    <w:basedOn w:val="TableNormal"/>
    <w:uiPriority w:val="99"/>
    <w:rsid w:val="00C767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urityClassificationHeader">
    <w:name w:val="Security Classification Header"/>
    <w:link w:val="SecurityClassificationHeaderChar"/>
    <w:rsid w:val="00880D7B"/>
    <w:pPr>
      <w:spacing w:before="240" w:after="60"/>
      <w:jc w:val="center"/>
    </w:pPr>
    <w:rPr>
      <w:rFonts w:ascii="Calibri" w:hAnsi="Calibri" w:cs="Calibri"/>
      <w:b/>
      <w:caps/>
      <w:sz w:val="24"/>
    </w:rPr>
  </w:style>
  <w:style w:type="character" w:customStyle="1" w:styleId="SecurityClassificationHeaderChar">
    <w:name w:val="Security Classification Header Char"/>
    <w:basedOn w:val="HeaderChar"/>
    <w:link w:val="SecurityClassificationHeader"/>
    <w:rsid w:val="00880D7B"/>
    <w:rPr>
      <w:rFonts w:ascii="Calibri" w:hAnsi="Calibri" w:cs="Calibri"/>
      <w:b/>
      <w:caps/>
      <w:sz w:val="24"/>
    </w:rPr>
  </w:style>
  <w:style w:type="paragraph" w:customStyle="1" w:styleId="SecurityClassificationFooter">
    <w:name w:val="Security Classification Footer"/>
    <w:link w:val="SecurityClassificationFooterChar"/>
    <w:rsid w:val="00880D7B"/>
    <w:pPr>
      <w:spacing w:before="60" w:after="240"/>
      <w:jc w:val="center"/>
    </w:pPr>
    <w:rPr>
      <w:rFonts w:ascii="Calibri" w:hAnsi="Calibri" w:cs="Calibri"/>
      <w:b/>
      <w:caps/>
      <w:sz w:val="24"/>
    </w:rPr>
  </w:style>
  <w:style w:type="character" w:customStyle="1" w:styleId="SecurityClassificationFooterChar">
    <w:name w:val="Security Classification Footer Char"/>
    <w:basedOn w:val="HeaderChar"/>
    <w:link w:val="SecurityClassificationFooter"/>
    <w:rsid w:val="00880D7B"/>
    <w:rPr>
      <w:rFonts w:ascii="Calibri" w:hAnsi="Calibri" w:cs="Calibri"/>
      <w:b/>
      <w:caps/>
      <w:sz w:val="24"/>
    </w:rPr>
  </w:style>
  <w:style w:type="paragraph" w:customStyle="1" w:styleId="DLMSecurityHeader">
    <w:name w:val="DLM Security Header"/>
    <w:link w:val="DLMSecurityHeaderChar"/>
    <w:rsid w:val="00880D7B"/>
    <w:pPr>
      <w:spacing w:before="60" w:after="240"/>
      <w:jc w:val="center"/>
    </w:pPr>
    <w:rPr>
      <w:rFonts w:ascii="Calibri" w:hAnsi="Calibri" w:cs="Calibri"/>
      <w:b/>
      <w:caps/>
      <w:sz w:val="24"/>
    </w:rPr>
  </w:style>
  <w:style w:type="character" w:customStyle="1" w:styleId="DLMSecurityHeaderChar">
    <w:name w:val="DLM Security Header Char"/>
    <w:basedOn w:val="HeaderChar"/>
    <w:link w:val="DLMSecurityHeader"/>
    <w:rsid w:val="00880D7B"/>
    <w:rPr>
      <w:rFonts w:ascii="Calibri" w:hAnsi="Calibri" w:cs="Calibri"/>
      <w:b/>
      <w:caps/>
      <w:sz w:val="24"/>
    </w:rPr>
  </w:style>
  <w:style w:type="paragraph" w:customStyle="1" w:styleId="DLMSecurityFooter">
    <w:name w:val="DLM Security Footer"/>
    <w:link w:val="DLMSecurityFooterChar"/>
    <w:rsid w:val="00880D7B"/>
    <w:pPr>
      <w:spacing w:before="240" w:after="60"/>
      <w:jc w:val="center"/>
    </w:pPr>
    <w:rPr>
      <w:rFonts w:ascii="Calibri" w:hAnsi="Calibri" w:cs="Calibri"/>
      <w:b/>
      <w:caps/>
      <w:sz w:val="24"/>
    </w:rPr>
  </w:style>
  <w:style w:type="character" w:customStyle="1" w:styleId="DLMSecurityFooterChar">
    <w:name w:val="DLM Security Footer Char"/>
    <w:basedOn w:val="HeaderChar"/>
    <w:link w:val="DLMSecurityFooter"/>
    <w:rsid w:val="00880D7B"/>
    <w:rPr>
      <w:rFonts w:ascii="Calibri" w:hAnsi="Calibri" w:cs="Calibri"/>
      <w:b/>
      <w:caps/>
      <w:sz w:val="24"/>
    </w:rPr>
  </w:style>
  <w:style w:type="paragraph" w:styleId="Revision">
    <w:name w:val="Revision"/>
    <w:hidden/>
    <w:uiPriority w:val="99"/>
    <w:semiHidden/>
    <w:rsid w:val="00B77E44"/>
    <w:pPr>
      <w:spacing w:after="0" w:line="240" w:lineRule="auto"/>
    </w:pPr>
  </w:style>
  <w:style w:type="character" w:styleId="FollowedHyperlink">
    <w:name w:val="FollowedHyperlink"/>
    <w:basedOn w:val="DefaultParagraphFont"/>
    <w:uiPriority w:val="99"/>
    <w:semiHidden/>
    <w:unhideWhenUsed/>
    <w:rsid w:val="00440641"/>
    <w:rPr>
      <w:color w:val="954F72" w:themeColor="followedHyperlink"/>
      <w:u w:val="single"/>
    </w:rPr>
  </w:style>
  <w:style w:type="character" w:customStyle="1" w:styleId="UnresolvedMention2">
    <w:name w:val="Unresolved Mention2"/>
    <w:basedOn w:val="DefaultParagraphFont"/>
    <w:uiPriority w:val="99"/>
    <w:semiHidden/>
    <w:unhideWhenUsed/>
    <w:rsid w:val="0080118D"/>
    <w:rPr>
      <w:color w:val="605E5C"/>
      <w:shd w:val="clear" w:color="auto" w:fill="E1DFDD"/>
    </w:rPr>
  </w:style>
  <w:style w:type="character" w:styleId="UnresolvedMention">
    <w:name w:val="Unresolved Mention"/>
    <w:basedOn w:val="DefaultParagraphFont"/>
    <w:uiPriority w:val="99"/>
    <w:semiHidden/>
    <w:unhideWhenUsed/>
    <w:rsid w:val="004F43C1"/>
    <w:rPr>
      <w:color w:val="605E5C"/>
      <w:shd w:val="clear" w:color="auto" w:fill="E1DFDD"/>
    </w:rPr>
  </w:style>
  <w:style w:type="paragraph" w:customStyle="1" w:styleId="notepara">
    <w:name w:val="notepara"/>
    <w:basedOn w:val="Normal"/>
    <w:rsid w:val="008967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3">
    <w:name w:val="toc 3"/>
    <w:basedOn w:val="Normal"/>
    <w:next w:val="Normal"/>
    <w:autoRedefine/>
    <w:uiPriority w:val="39"/>
    <w:unhideWhenUsed/>
    <w:rsid w:val="00136EDD"/>
    <w:pPr>
      <w:tabs>
        <w:tab w:val="right" w:leader="dot" w:pos="9016"/>
      </w:tabs>
      <w:spacing w:after="100"/>
      <w:ind w:left="440"/>
    </w:pPr>
  </w:style>
  <w:style w:type="paragraph" w:styleId="NormalWeb">
    <w:name w:val="Normal (Web)"/>
    <w:basedOn w:val="Normal"/>
    <w:uiPriority w:val="99"/>
    <w:semiHidden/>
    <w:unhideWhenUsed/>
    <w:rsid w:val="00241C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17720"/>
  </w:style>
  <w:style w:type="paragraph" w:customStyle="1" w:styleId="tabletext">
    <w:name w:val="tabletext"/>
    <w:basedOn w:val="Normal"/>
    <w:rsid w:val="00B12C3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a">
    <w:name w:val="tablea"/>
    <w:basedOn w:val="Normal"/>
    <w:rsid w:val="00B12C3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
    <w:name w:val="tablei"/>
    <w:basedOn w:val="Normal"/>
    <w:rsid w:val="00B12C3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4F3D5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F3D5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ctor">
    <w:name w:val="actor"/>
    <w:basedOn w:val="DefaultParagraphFont"/>
    <w:rsid w:val="008A3C7A"/>
  </w:style>
  <w:style w:type="character" w:customStyle="1" w:styleId="time">
    <w:name w:val="time"/>
    <w:basedOn w:val="DefaultParagraphFont"/>
    <w:rsid w:val="008A3C7A"/>
  </w:style>
  <w:style w:type="character" w:customStyle="1" w:styleId="Heading4Char">
    <w:name w:val="Heading 4 Char"/>
    <w:basedOn w:val="DefaultParagraphFont"/>
    <w:link w:val="Heading4"/>
    <w:uiPriority w:val="9"/>
    <w:rsid w:val="00182F25"/>
    <w:rPr>
      <w:b/>
    </w:rPr>
  </w:style>
  <w:style w:type="paragraph" w:styleId="EndnoteText">
    <w:name w:val="endnote text"/>
    <w:basedOn w:val="Normal"/>
    <w:link w:val="EndnoteTextChar"/>
    <w:uiPriority w:val="99"/>
    <w:semiHidden/>
    <w:unhideWhenUsed/>
    <w:rsid w:val="006F71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710E"/>
    <w:rPr>
      <w:sz w:val="20"/>
      <w:szCs w:val="20"/>
    </w:rPr>
  </w:style>
  <w:style w:type="character" w:styleId="EndnoteReference">
    <w:name w:val="endnote reference"/>
    <w:basedOn w:val="DefaultParagraphFont"/>
    <w:uiPriority w:val="99"/>
    <w:semiHidden/>
    <w:unhideWhenUsed/>
    <w:rsid w:val="006F710E"/>
    <w:rPr>
      <w:vertAlign w:val="superscript"/>
    </w:rPr>
  </w:style>
  <w:style w:type="character" w:customStyle="1" w:styleId="PlainParagraphChar">
    <w:name w:val="Plain Paragraph Char"/>
    <w:aliases w:val="PP Char"/>
    <w:basedOn w:val="DefaultParagraphFont"/>
    <w:link w:val="PlainParagraph"/>
    <w:locked/>
    <w:rsid w:val="00136766"/>
    <w:rPr>
      <w:rFonts w:ascii="Arial" w:hAnsi="Arial" w:cs="Arial"/>
    </w:rPr>
  </w:style>
  <w:style w:type="paragraph" w:customStyle="1" w:styleId="PlainParagraph">
    <w:name w:val="Plain Paragraph"/>
    <w:aliases w:val="PP"/>
    <w:basedOn w:val="Normal"/>
    <w:link w:val="PlainParagraphChar"/>
    <w:rsid w:val="00136766"/>
    <w:pPr>
      <w:spacing w:before="140" w:after="140" w:line="280" w:lineRule="atLeast"/>
    </w:pPr>
    <w:rPr>
      <w:rFonts w:ascii="Arial" w:hAnsi="Arial" w:cs="Arial"/>
    </w:rPr>
  </w:style>
  <w:style w:type="paragraph" w:styleId="Caption">
    <w:name w:val="caption"/>
    <w:basedOn w:val="Normal"/>
    <w:next w:val="Normal"/>
    <w:uiPriority w:val="35"/>
    <w:unhideWhenUsed/>
    <w:qFormat/>
    <w:rsid w:val="00FC745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7049">
      <w:bodyDiv w:val="1"/>
      <w:marLeft w:val="0"/>
      <w:marRight w:val="0"/>
      <w:marTop w:val="0"/>
      <w:marBottom w:val="0"/>
      <w:divBdr>
        <w:top w:val="none" w:sz="0" w:space="0" w:color="auto"/>
        <w:left w:val="none" w:sz="0" w:space="0" w:color="auto"/>
        <w:bottom w:val="none" w:sz="0" w:space="0" w:color="auto"/>
        <w:right w:val="none" w:sz="0" w:space="0" w:color="auto"/>
      </w:divBdr>
    </w:div>
    <w:div w:id="146437946">
      <w:bodyDiv w:val="1"/>
      <w:marLeft w:val="0"/>
      <w:marRight w:val="0"/>
      <w:marTop w:val="0"/>
      <w:marBottom w:val="0"/>
      <w:divBdr>
        <w:top w:val="none" w:sz="0" w:space="0" w:color="auto"/>
        <w:left w:val="none" w:sz="0" w:space="0" w:color="auto"/>
        <w:bottom w:val="none" w:sz="0" w:space="0" w:color="auto"/>
        <w:right w:val="none" w:sz="0" w:space="0" w:color="auto"/>
      </w:divBdr>
    </w:div>
    <w:div w:id="190266317">
      <w:bodyDiv w:val="1"/>
      <w:marLeft w:val="0"/>
      <w:marRight w:val="0"/>
      <w:marTop w:val="0"/>
      <w:marBottom w:val="0"/>
      <w:divBdr>
        <w:top w:val="none" w:sz="0" w:space="0" w:color="auto"/>
        <w:left w:val="none" w:sz="0" w:space="0" w:color="auto"/>
        <w:bottom w:val="none" w:sz="0" w:space="0" w:color="auto"/>
        <w:right w:val="none" w:sz="0" w:space="0" w:color="auto"/>
      </w:divBdr>
    </w:div>
    <w:div w:id="201331995">
      <w:bodyDiv w:val="1"/>
      <w:marLeft w:val="0"/>
      <w:marRight w:val="0"/>
      <w:marTop w:val="0"/>
      <w:marBottom w:val="0"/>
      <w:divBdr>
        <w:top w:val="none" w:sz="0" w:space="0" w:color="auto"/>
        <w:left w:val="none" w:sz="0" w:space="0" w:color="auto"/>
        <w:bottom w:val="none" w:sz="0" w:space="0" w:color="auto"/>
        <w:right w:val="none" w:sz="0" w:space="0" w:color="auto"/>
      </w:divBdr>
      <w:divsChild>
        <w:div w:id="78017881">
          <w:marLeft w:val="547"/>
          <w:marRight w:val="0"/>
          <w:marTop w:val="0"/>
          <w:marBottom w:val="0"/>
          <w:divBdr>
            <w:top w:val="none" w:sz="0" w:space="0" w:color="auto"/>
            <w:left w:val="none" w:sz="0" w:space="0" w:color="auto"/>
            <w:bottom w:val="none" w:sz="0" w:space="0" w:color="auto"/>
            <w:right w:val="none" w:sz="0" w:space="0" w:color="auto"/>
          </w:divBdr>
        </w:div>
      </w:divsChild>
    </w:div>
    <w:div w:id="211893553">
      <w:bodyDiv w:val="1"/>
      <w:marLeft w:val="0"/>
      <w:marRight w:val="0"/>
      <w:marTop w:val="0"/>
      <w:marBottom w:val="0"/>
      <w:divBdr>
        <w:top w:val="none" w:sz="0" w:space="0" w:color="auto"/>
        <w:left w:val="none" w:sz="0" w:space="0" w:color="auto"/>
        <w:bottom w:val="none" w:sz="0" w:space="0" w:color="auto"/>
        <w:right w:val="none" w:sz="0" w:space="0" w:color="auto"/>
      </w:divBdr>
      <w:divsChild>
        <w:div w:id="2104183392">
          <w:marLeft w:val="0"/>
          <w:marRight w:val="0"/>
          <w:marTop w:val="0"/>
          <w:marBottom w:val="0"/>
          <w:divBdr>
            <w:top w:val="none" w:sz="0" w:space="0" w:color="auto"/>
            <w:left w:val="none" w:sz="0" w:space="0" w:color="auto"/>
            <w:bottom w:val="none" w:sz="0" w:space="0" w:color="auto"/>
            <w:right w:val="none" w:sz="0" w:space="0" w:color="auto"/>
          </w:divBdr>
          <w:divsChild>
            <w:div w:id="598217375">
              <w:marLeft w:val="0"/>
              <w:marRight w:val="0"/>
              <w:marTop w:val="0"/>
              <w:marBottom w:val="0"/>
              <w:divBdr>
                <w:top w:val="none" w:sz="0" w:space="0" w:color="auto"/>
                <w:left w:val="none" w:sz="0" w:space="0" w:color="auto"/>
                <w:bottom w:val="none" w:sz="0" w:space="0" w:color="auto"/>
                <w:right w:val="none" w:sz="0" w:space="0" w:color="auto"/>
              </w:divBdr>
              <w:divsChild>
                <w:div w:id="319240757">
                  <w:marLeft w:val="0"/>
                  <w:marRight w:val="0"/>
                  <w:marTop w:val="0"/>
                  <w:marBottom w:val="0"/>
                  <w:divBdr>
                    <w:top w:val="none" w:sz="0" w:space="0" w:color="auto"/>
                    <w:left w:val="none" w:sz="0" w:space="0" w:color="auto"/>
                    <w:bottom w:val="none" w:sz="0" w:space="0" w:color="auto"/>
                    <w:right w:val="none" w:sz="0" w:space="0" w:color="auto"/>
                  </w:divBdr>
                  <w:divsChild>
                    <w:div w:id="2132895351">
                      <w:marLeft w:val="0"/>
                      <w:marRight w:val="0"/>
                      <w:marTop w:val="0"/>
                      <w:marBottom w:val="0"/>
                      <w:divBdr>
                        <w:top w:val="none" w:sz="0" w:space="0" w:color="auto"/>
                        <w:left w:val="none" w:sz="0" w:space="0" w:color="auto"/>
                        <w:bottom w:val="none" w:sz="0" w:space="0" w:color="auto"/>
                        <w:right w:val="none" w:sz="0" w:space="0" w:color="auto"/>
                      </w:divBdr>
                      <w:divsChild>
                        <w:div w:id="1101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579871">
          <w:marLeft w:val="0"/>
          <w:marRight w:val="0"/>
          <w:marTop w:val="0"/>
          <w:marBottom w:val="0"/>
          <w:divBdr>
            <w:top w:val="none" w:sz="0" w:space="0" w:color="auto"/>
            <w:left w:val="none" w:sz="0" w:space="0" w:color="auto"/>
            <w:bottom w:val="none" w:sz="0" w:space="0" w:color="auto"/>
            <w:right w:val="none" w:sz="0" w:space="0" w:color="auto"/>
          </w:divBdr>
          <w:divsChild>
            <w:div w:id="615794952">
              <w:marLeft w:val="0"/>
              <w:marRight w:val="0"/>
              <w:marTop w:val="0"/>
              <w:marBottom w:val="0"/>
              <w:divBdr>
                <w:top w:val="none" w:sz="0" w:space="0" w:color="auto"/>
                <w:left w:val="none" w:sz="0" w:space="0" w:color="auto"/>
                <w:bottom w:val="none" w:sz="0" w:space="0" w:color="auto"/>
                <w:right w:val="none" w:sz="0" w:space="0" w:color="auto"/>
              </w:divBdr>
              <w:divsChild>
                <w:div w:id="1367022568">
                  <w:marLeft w:val="0"/>
                  <w:marRight w:val="0"/>
                  <w:marTop w:val="0"/>
                  <w:marBottom w:val="0"/>
                  <w:divBdr>
                    <w:top w:val="none" w:sz="0" w:space="0" w:color="auto"/>
                    <w:left w:val="none" w:sz="0" w:space="0" w:color="auto"/>
                    <w:bottom w:val="none" w:sz="0" w:space="0" w:color="auto"/>
                    <w:right w:val="none" w:sz="0" w:space="0" w:color="auto"/>
                  </w:divBdr>
                  <w:divsChild>
                    <w:div w:id="601300045">
                      <w:marLeft w:val="0"/>
                      <w:marRight w:val="0"/>
                      <w:marTop w:val="0"/>
                      <w:marBottom w:val="0"/>
                      <w:divBdr>
                        <w:top w:val="none" w:sz="0" w:space="0" w:color="auto"/>
                        <w:left w:val="none" w:sz="0" w:space="0" w:color="auto"/>
                        <w:bottom w:val="none" w:sz="0" w:space="0" w:color="auto"/>
                        <w:right w:val="none" w:sz="0" w:space="0" w:color="auto"/>
                      </w:divBdr>
                      <w:divsChild>
                        <w:div w:id="4298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5220">
              <w:marLeft w:val="0"/>
              <w:marRight w:val="0"/>
              <w:marTop w:val="0"/>
              <w:marBottom w:val="0"/>
              <w:divBdr>
                <w:top w:val="none" w:sz="0" w:space="0" w:color="auto"/>
                <w:left w:val="none" w:sz="0" w:space="0" w:color="auto"/>
                <w:bottom w:val="none" w:sz="0" w:space="0" w:color="auto"/>
                <w:right w:val="none" w:sz="0" w:space="0" w:color="auto"/>
              </w:divBdr>
              <w:divsChild>
                <w:div w:id="1383793430">
                  <w:marLeft w:val="0"/>
                  <w:marRight w:val="0"/>
                  <w:marTop w:val="0"/>
                  <w:marBottom w:val="0"/>
                  <w:divBdr>
                    <w:top w:val="none" w:sz="0" w:space="0" w:color="auto"/>
                    <w:left w:val="none" w:sz="0" w:space="0" w:color="auto"/>
                    <w:bottom w:val="none" w:sz="0" w:space="0" w:color="auto"/>
                    <w:right w:val="none" w:sz="0" w:space="0" w:color="auto"/>
                  </w:divBdr>
                </w:div>
                <w:div w:id="20234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55182">
      <w:bodyDiv w:val="1"/>
      <w:marLeft w:val="0"/>
      <w:marRight w:val="0"/>
      <w:marTop w:val="0"/>
      <w:marBottom w:val="0"/>
      <w:divBdr>
        <w:top w:val="none" w:sz="0" w:space="0" w:color="auto"/>
        <w:left w:val="none" w:sz="0" w:space="0" w:color="auto"/>
        <w:bottom w:val="none" w:sz="0" w:space="0" w:color="auto"/>
        <w:right w:val="none" w:sz="0" w:space="0" w:color="auto"/>
      </w:divBdr>
    </w:div>
    <w:div w:id="252052419">
      <w:bodyDiv w:val="1"/>
      <w:marLeft w:val="0"/>
      <w:marRight w:val="0"/>
      <w:marTop w:val="0"/>
      <w:marBottom w:val="0"/>
      <w:divBdr>
        <w:top w:val="none" w:sz="0" w:space="0" w:color="auto"/>
        <w:left w:val="none" w:sz="0" w:space="0" w:color="auto"/>
        <w:bottom w:val="none" w:sz="0" w:space="0" w:color="auto"/>
        <w:right w:val="none" w:sz="0" w:space="0" w:color="auto"/>
      </w:divBdr>
    </w:div>
    <w:div w:id="252514302">
      <w:bodyDiv w:val="1"/>
      <w:marLeft w:val="0"/>
      <w:marRight w:val="0"/>
      <w:marTop w:val="0"/>
      <w:marBottom w:val="0"/>
      <w:divBdr>
        <w:top w:val="none" w:sz="0" w:space="0" w:color="auto"/>
        <w:left w:val="none" w:sz="0" w:space="0" w:color="auto"/>
        <w:bottom w:val="none" w:sz="0" w:space="0" w:color="auto"/>
        <w:right w:val="none" w:sz="0" w:space="0" w:color="auto"/>
      </w:divBdr>
    </w:div>
    <w:div w:id="263543004">
      <w:bodyDiv w:val="1"/>
      <w:marLeft w:val="0"/>
      <w:marRight w:val="0"/>
      <w:marTop w:val="0"/>
      <w:marBottom w:val="0"/>
      <w:divBdr>
        <w:top w:val="none" w:sz="0" w:space="0" w:color="auto"/>
        <w:left w:val="none" w:sz="0" w:space="0" w:color="auto"/>
        <w:bottom w:val="none" w:sz="0" w:space="0" w:color="auto"/>
        <w:right w:val="none" w:sz="0" w:space="0" w:color="auto"/>
      </w:divBdr>
    </w:div>
    <w:div w:id="277642706">
      <w:bodyDiv w:val="1"/>
      <w:marLeft w:val="0"/>
      <w:marRight w:val="0"/>
      <w:marTop w:val="0"/>
      <w:marBottom w:val="0"/>
      <w:divBdr>
        <w:top w:val="none" w:sz="0" w:space="0" w:color="auto"/>
        <w:left w:val="none" w:sz="0" w:space="0" w:color="auto"/>
        <w:bottom w:val="none" w:sz="0" w:space="0" w:color="auto"/>
        <w:right w:val="none" w:sz="0" w:space="0" w:color="auto"/>
      </w:divBdr>
    </w:div>
    <w:div w:id="292827929">
      <w:bodyDiv w:val="1"/>
      <w:marLeft w:val="0"/>
      <w:marRight w:val="0"/>
      <w:marTop w:val="0"/>
      <w:marBottom w:val="0"/>
      <w:divBdr>
        <w:top w:val="none" w:sz="0" w:space="0" w:color="auto"/>
        <w:left w:val="none" w:sz="0" w:space="0" w:color="auto"/>
        <w:bottom w:val="none" w:sz="0" w:space="0" w:color="auto"/>
        <w:right w:val="none" w:sz="0" w:space="0" w:color="auto"/>
      </w:divBdr>
    </w:div>
    <w:div w:id="313489230">
      <w:bodyDiv w:val="1"/>
      <w:marLeft w:val="0"/>
      <w:marRight w:val="0"/>
      <w:marTop w:val="0"/>
      <w:marBottom w:val="0"/>
      <w:divBdr>
        <w:top w:val="none" w:sz="0" w:space="0" w:color="auto"/>
        <w:left w:val="none" w:sz="0" w:space="0" w:color="auto"/>
        <w:bottom w:val="none" w:sz="0" w:space="0" w:color="auto"/>
        <w:right w:val="none" w:sz="0" w:space="0" w:color="auto"/>
      </w:divBdr>
    </w:div>
    <w:div w:id="348483614">
      <w:bodyDiv w:val="1"/>
      <w:marLeft w:val="0"/>
      <w:marRight w:val="0"/>
      <w:marTop w:val="0"/>
      <w:marBottom w:val="0"/>
      <w:divBdr>
        <w:top w:val="none" w:sz="0" w:space="0" w:color="auto"/>
        <w:left w:val="none" w:sz="0" w:space="0" w:color="auto"/>
        <w:bottom w:val="none" w:sz="0" w:space="0" w:color="auto"/>
        <w:right w:val="none" w:sz="0" w:space="0" w:color="auto"/>
      </w:divBdr>
    </w:div>
    <w:div w:id="402407875">
      <w:bodyDiv w:val="1"/>
      <w:marLeft w:val="0"/>
      <w:marRight w:val="0"/>
      <w:marTop w:val="0"/>
      <w:marBottom w:val="0"/>
      <w:divBdr>
        <w:top w:val="none" w:sz="0" w:space="0" w:color="auto"/>
        <w:left w:val="none" w:sz="0" w:space="0" w:color="auto"/>
        <w:bottom w:val="none" w:sz="0" w:space="0" w:color="auto"/>
        <w:right w:val="none" w:sz="0" w:space="0" w:color="auto"/>
      </w:divBdr>
    </w:div>
    <w:div w:id="489952317">
      <w:bodyDiv w:val="1"/>
      <w:marLeft w:val="0"/>
      <w:marRight w:val="0"/>
      <w:marTop w:val="0"/>
      <w:marBottom w:val="0"/>
      <w:divBdr>
        <w:top w:val="none" w:sz="0" w:space="0" w:color="auto"/>
        <w:left w:val="none" w:sz="0" w:space="0" w:color="auto"/>
        <w:bottom w:val="none" w:sz="0" w:space="0" w:color="auto"/>
        <w:right w:val="none" w:sz="0" w:space="0" w:color="auto"/>
      </w:divBdr>
    </w:div>
    <w:div w:id="548686978">
      <w:bodyDiv w:val="1"/>
      <w:marLeft w:val="0"/>
      <w:marRight w:val="0"/>
      <w:marTop w:val="0"/>
      <w:marBottom w:val="0"/>
      <w:divBdr>
        <w:top w:val="none" w:sz="0" w:space="0" w:color="auto"/>
        <w:left w:val="none" w:sz="0" w:space="0" w:color="auto"/>
        <w:bottom w:val="none" w:sz="0" w:space="0" w:color="auto"/>
        <w:right w:val="none" w:sz="0" w:space="0" w:color="auto"/>
      </w:divBdr>
    </w:div>
    <w:div w:id="558253461">
      <w:bodyDiv w:val="1"/>
      <w:marLeft w:val="0"/>
      <w:marRight w:val="0"/>
      <w:marTop w:val="0"/>
      <w:marBottom w:val="0"/>
      <w:divBdr>
        <w:top w:val="none" w:sz="0" w:space="0" w:color="auto"/>
        <w:left w:val="none" w:sz="0" w:space="0" w:color="auto"/>
        <w:bottom w:val="none" w:sz="0" w:space="0" w:color="auto"/>
        <w:right w:val="none" w:sz="0" w:space="0" w:color="auto"/>
      </w:divBdr>
    </w:div>
    <w:div w:id="664287300">
      <w:bodyDiv w:val="1"/>
      <w:marLeft w:val="0"/>
      <w:marRight w:val="0"/>
      <w:marTop w:val="0"/>
      <w:marBottom w:val="0"/>
      <w:divBdr>
        <w:top w:val="none" w:sz="0" w:space="0" w:color="auto"/>
        <w:left w:val="none" w:sz="0" w:space="0" w:color="auto"/>
        <w:bottom w:val="none" w:sz="0" w:space="0" w:color="auto"/>
        <w:right w:val="none" w:sz="0" w:space="0" w:color="auto"/>
      </w:divBdr>
    </w:div>
    <w:div w:id="670526607">
      <w:bodyDiv w:val="1"/>
      <w:marLeft w:val="0"/>
      <w:marRight w:val="0"/>
      <w:marTop w:val="0"/>
      <w:marBottom w:val="0"/>
      <w:divBdr>
        <w:top w:val="none" w:sz="0" w:space="0" w:color="auto"/>
        <w:left w:val="none" w:sz="0" w:space="0" w:color="auto"/>
        <w:bottom w:val="none" w:sz="0" w:space="0" w:color="auto"/>
        <w:right w:val="none" w:sz="0" w:space="0" w:color="auto"/>
      </w:divBdr>
    </w:div>
    <w:div w:id="683634344">
      <w:bodyDiv w:val="1"/>
      <w:marLeft w:val="0"/>
      <w:marRight w:val="0"/>
      <w:marTop w:val="0"/>
      <w:marBottom w:val="0"/>
      <w:divBdr>
        <w:top w:val="none" w:sz="0" w:space="0" w:color="auto"/>
        <w:left w:val="none" w:sz="0" w:space="0" w:color="auto"/>
        <w:bottom w:val="none" w:sz="0" w:space="0" w:color="auto"/>
        <w:right w:val="none" w:sz="0" w:space="0" w:color="auto"/>
      </w:divBdr>
    </w:div>
    <w:div w:id="707023066">
      <w:bodyDiv w:val="1"/>
      <w:marLeft w:val="0"/>
      <w:marRight w:val="0"/>
      <w:marTop w:val="0"/>
      <w:marBottom w:val="0"/>
      <w:divBdr>
        <w:top w:val="none" w:sz="0" w:space="0" w:color="auto"/>
        <w:left w:val="none" w:sz="0" w:space="0" w:color="auto"/>
        <w:bottom w:val="none" w:sz="0" w:space="0" w:color="auto"/>
        <w:right w:val="none" w:sz="0" w:space="0" w:color="auto"/>
      </w:divBdr>
    </w:div>
    <w:div w:id="736905758">
      <w:bodyDiv w:val="1"/>
      <w:marLeft w:val="0"/>
      <w:marRight w:val="0"/>
      <w:marTop w:val="0"/>
      <w:marBottom w:val="0"/>
      <w:divBdr>
        <w:top w:val="none" w:sz="0" w:space="0" w:color="auto"/>
        <w:left w:val="none" w:sz="0" w:space="0" w:color="auto"/>
        <w:bottom w:val="none" w:sz="0" w:space="0" w:color="auto"/>
        <w:right w:val="none" w:sz="0" w:space="0" w:color="auto"/>
      </w:divBdr>
    </w:div>
    <w:div w:id="773943417">
      <w:bodyDiv w:val="1"/>
      <w:marLeft w:val="0"/>
      <w:marRight w:val="0"/>
      <w:marTop w:val="0"/>
      <w:marBottom w:val="0"/>
      <w:divBdr>
        <w:top w:val="none" w:sz="0" w:space="0" w:color="auto"/>
        <w:left w:val="none" w:sz="0" w:space="0" w:color="auto"/>
        <w:bottom w:val="none" w:sz="0" w:space="0" w:color="auto"/>
        <w:right w:val="none" w:sz="0" w:space="0" w:color="auto"/>
      </w:divBdr>
    </w:div>
    <w:div w:id="778180410">
      <w:bodyDiv w:val="1"/>
      <w:marLeft w:val="0"/>
      <w:marRight w:val="0"/>
      <w:marTop w:val="0"/>
      <w:marBottom w:val="0"/>
      <w:divBdr>
        <w:top w:val="none" w:sz="0" w:space="0" w:color="auto"/>
        <w:left w:val="none" w:sz="0" w:space="0" w:color="auto"/>
        <w:bottom w:val="none" w:sz="0" w:space="0" w:color="auto"/>
        <w:right w:val="none" w:sz="0" w:space="0" w:color="auto"/>
      </w:divBdr>
    </w:div>
    <w:div w:id="816335857">
      <w:bodyDiv w:val="1"/>
      <w:marLeft w:val="0"/>
      <w:marRight w:val="0"/>
      <w:marTop w:val="0"/>
      <w:marBottom w:val="0"/>
      <w:divBdr>
        <w:top w:val="none" w:sz="0" w:space="0" w:color="auto"/>
        <w:left w:val="none" w:sz="0" w:space="0" w:color="auto"/>
        <w:bottom w:val="none" w:sz="0" w:space="0" w:color="auto"/>
        <w:right w:val="none" w:sz="0" w:space="0" w:color="auto"/>
      </w:divBdr>
    </w:div>
    <w:div w:id="856499292">
      <w:bodyDiv w:val="1"/>
      <w:marLeft w:val="0"/>
      <w:marRight w:val="0"/>
      <w:marTop w:val="0"/>
      <w:marBottom w:val="0"/>
      <w:divBdr>
        <w:top w:val="none" w:sz="0" w:space="0" w:color="auto"/>
        <w:left w:val="none" w:sz="0" w:space="0" w:color="auto"/>
        <w:bottom w:val="none" w:sz="0" w:space="0" w:color="auto"/>
        <w:right w:val="none" w:sz="0" w:space="0" w:color="auto"/>
      </w:divBdr>
      <w:divsChild>
        <w:div w:id="937982385">
          <w:marLeft w:val="547"/>
          <w:marRight w:val="0"/>
          <w:marTop w:val="0"/>
          <w:marBottom w:val="0"/>
          <w:divBdr>
            <w:top w:val="none" w:sz="0" w:space="0" w:color="auto"/>
            <w:left w:val="none" w:sz="0" w:space="0" w:color="auto"/>
            <w:bottom w:val="none" w:sz="0" w:space="0" w:color="auto"/>
            <w:right w:val="none" w:sz="0" w:space="0" w:color="auto"/>
          </w:divBdr>
        </w:div>
      </w:divsChild>
    </w:div>
    <w:div w:id="921065150">
      <w:bodyDiv w:val="1"/>
      <w:marLeft w:val="0"/>
      <w:marRight w:val="0"/>
      <w:marTop w:val="0"/>
      <w:marBottom w:val="0"/>
      <w:divBdr>
        <w:top w:val="none" w:sz="0" w:space="0" w:color="auto"/>
        <w:left w:val="none" w:sz="0" w:space="0" w:color="auto"/>
        <w:bottom w:val="none" w:sz="0" w:space="0" w:color="auto"/>
        <w:right w:val="none" w:sz="0" w:space="0" w:color="auto"/>
      </w:divBdr>
    </w:div>
    <w:div w:id="925113017">
      <w:bodyDiv w:val="1"/>
      <w:marLeft w:val="0"/>
      <w:marRight w:val="0"/>
      <w:marTop w:val="0"/>
      <w:marBottom w:val="0"/>
      <w:divBdr>
        <w:top w:val="none" w:sz="0" w:space="0" w:color="auto"/>
        <w:left w:val="none" w:sz="0" w:space="0" w:color="auto"/>
        <w:bottom w:val="none" w:sz="0" w:space="0" w:color="auto"/>
        <w:right w:val="none" w:sz="0" w:space="0" w:color="auto"/>
      </w:divBdr>
    </w:div>
    <w:div w:id="938217941">
      <w:bodyDiv w:val="1"/>
      <w:marLeft w:val="0"/>
      <w:marRight w:val="0"/>
      <w:marTop w:val="0"/>
      <w:marBottom w:val="0"/>
      <w:divBdr>
        <w:top w:val="none" w:sz="0" w:space="0" w:color="auto"/>
        <w:left w:val="none" w:sz="0" w:space="0" w:color="auto"/>
        <w:bottom w:val="none" w:sz="0" w:space="0" w:color="auto"/>
        <w:right w:val="none" w:sz="0" w:space="0" w:color="auto"/>
      </w:divBdr>
    </w:div>
    <w:div w:id="963266244">
      <w:bodyDiv w:val="1"/>
      <w:marLeft w:val="0"/>
      <w:marRight w:val="0"/>
      <w:marTop w:val="0"/>
      <w:marBottom w:val="0"/>
      <w:divBdr>
        <w:top w:val="none" w:sz="0" w:space="0" w:color="auto"/>
        <w:left w:val="none" w:sz="0" w:space="0" w:color="auto"/>
        <w:bottom w:val="none" w:sz="0" w:space="0" w:color="auto"/>
        <w:right w:val="none" w:sz="0" w:space="0" w:color="auto"/>
      </w:divBdr>
    </w:div>
    <w:div w:id="984088696">
      <w:bodyDiv w:val="1"/>
      <w:marLeft w:val="0"/>
      <w:marRight w:val="0"/>
      <w:marTop w:val="0"/>
      <w:marBottom w:val="0"/>
      <w:divBdr>
        <w:top w:val="none" w:sz="0" w:space="0" w:color="auto"/>
        <w:left w:val="none" w:sz="0" w:space="0" w:color="auto"/>
        <w:bottom w:val="none" w:sz="0" w:space="0" w:color="auto"/>
        <w:right w:val="none" w:sz="0" w:space="0" w:color="auto"/>
      </w:divBdr>
    </w:div>
    <w:div w:id="1037507873">
      <w:bodyDiv w:val="1"/>
      <w:marLeft w:val="0"/>
      <w:marRight w:val="0"/>
      <w:marTop w:val="0"/>
      <w:marBottom w:val="0"/>
      <w:divBdr>
        <w:top w:val="none" w:sz="0" w:space="0" w:color="auto"/>
        <w:left w:val="none" w:sz="0" w:space="0" w:color="auto"/>
        <w:bottom w:val="none" w:sz="0" w:space="0" w:color="auto"/>
        <w:right w:val="none" w:sz="0" w:space="0" w:color="auto"/>
      </w:divBdr>
    </w:div>
    <w:div w:id="1054040509">
      <w:bodyDiv w:val="1"/>
      <w:marLeft w:val="0"/>
      <w:marRight w:val="0"/>
      <w:marTop w:val="0"/>
      <w:marBottom w:val="0"/>
      <w:divBdr>
        <w:top w:val="none" w:sz="0" w:space="0" w:color="auto"/>
        <w:left w:val="none" w:sz="0" w:space="0" w:color="auto"/>
        <w:bottom w:val="none" w:sz="0" w:space="0" w:color="auto"/>
        <w:right w:val="none" w:sz="0" w:space="0" w:color="auto"/>
      </w:divBdr>
    </w:div>
    <w:div w:id="1067845233">
      <w:bodyDiv w:val="1"/>
      <w:marLeft w:val="0"/>
      <w:marRight w:val="0"/>
      <w:marTop w:val="0"/>
      <w:marBottom w:val="0"/>
      <w:divBdr>
        <w:top w:val="none" w:sz="0" w:space="0" w:color="auto"/>
        <w:left w:val="none" w:sz="0" w:space="0" w:color="auto"/>
        <w:bottom w:val="none" w:sz="0" w:space="0" w:color="auto"/>
        <w:right w:val="none" w:sz="0" w:space="0" w:color="auto"/>
      </w:divBdr>
    </w:div>
    <w:div w:id="1081607379">
      <w:bodyDiv w:val="1"/>
      <w:marLeft w:val="0"/>
      <w:marRight w:val="0"/>
      <w:marTop w:val="0"/>
      <w:marBottom w:val="0"/>
      <w:divBdr>
        <w:top w:val="none" w:sz="0" w:space="0" w:color="auto"/>
        <w:left w:val="none" w:sz="0" w:space="0" w:color="auto"/>
        <w:bottom w:val="none" w:sz="0" w:space="0" w:color="auto"/>
        <w:right w:val="none" w:sz="0" w:space="0" w:color="auto"/>
      </w:divBdr>
    </w:div>
    <w:div w:id="1085302753">
      <w:bodyDiv w:val="1"/>
      <w:marLeft w:val="0"/>
      <w:marRight w:val="0"/>
      <w:marTop w:val="0"/>
      <w:marBottom w:val="0"/>
      <w:divBdr>
        <w:top w:val="none" w:sz="0" w:space="0" w:color="auto"/>
        <w:left w:val="none" w:sz="0" w:space="0" w:color="auto"/>
        <w:bottom w:val="none" w:sz="0" w:space="0" w:color="auto"/>
        <w:right w:val="none" w:sz="0" w:space="0" w:color="auto"/>
      </w:divBdr>
    </w:div>
    <w:div w:id="1102872428">
      <w:bodyDiv w:val="1"/>
      <w:marLeft w:val="0"/>
      <w:marRight w:val="0"/>
      <w:marTop w:val="0"/>
      <w:marBottom w:val="0"/>
      <w:divBdr>
        <w:top w:val="none" w:sz="0" w:space="0" w:color="auto"/>
        <w:left w:val="none" w:sz="0" w:space="0" w:color="auto"/>
        <w:bottom w:val="none" w:sz="0" w:space="0" w:color="auto"/>
        <w:right w:val="none" w:sz="0" w:space="0" w:color="auto"/>
      </w:divBdr>
    </w:div>
    <w:div w:id="1125730255">
      <w:bodyDiv w:val="1"/>
      <w:marLeft w:val="0"/>
      <w:marRight w:val="0"/>
      <w:marTop w:val="0"/>
      <w:marBottom w:val="0"/>
      <w:divBdr>
        <w:top w:val="none" w:sz="0" w:space="0" w:color="auto"/>
        <w:left w:val="none" w:sz="0" w:space="0" w:color="auto"/>
        <w:bottom w:val="none" w:sz="0" w:space="0" w:color="auto"/>
        <w:right w:val="none" w:sz="0" w:space="0" w:color="auto"/>
      </w:divBdr>
      <w:divsChild>
        <w:div w:id="545878022">
          <w:marLeft w:val="547"/>
          <w:marRight w:val="0"/>
          <w:marTop w:val="0"/>
          <w:marBottom w:val="0"/>
          <w:divBdr>
            <w:top w:val="none" w:sz="0" w:space="0" w:color="auto"/>
            <w:left w:val="none" w:sz="0" w:space="0" w:color="auto"/>
            <w:bottom w:val="none" w:sz="0" w:space="0" w:color="auto"/>
            <w:right w:val="none" w:sz="0" w:space="0" w:color="auto"/>
          </w:divBdr>
        </w:div>
      </w:divsChild>
    </w:div>
    <w:div w:id="1184857223">
      <w:bodyDiv w:val="1"/>
      <w:marLeft w:val="0"/>
      <w:marRight w:val="0"/>
      <w:marTop w:val="0"/>
      <w:marBottom w:val="0"/>
      <w:divBdr>
        <w:top w:val="none" w:sz="0" w:space="0" w:color="auto"/>
        <w:left w:val="none" w:sz="0" w:space="0" w:color="auto"/>
        <w:bottom w:val="none" w:sz="0" w:space="0" w:color="auto"/>
        <w:right w:val="none" w:sz="0" w:space="0" w:color="auto"/>
      </w:divBdr>
    </w:div>
    <w:div w:id="1206329633">
      <w:bodyDiv w:val="1"/>
      <w:marLeft w:val="0"/>
      <w:marRight w:val="0"/>
      <w:marTop w:val="0"/>
      <w:marBottom w:val="0"/>
      <w:divBdr>
        <w:top w:val="none" w:sz="0" w:space="0" w:color="auto"/>
        <w:left w:val="none" w:sz="0" w:space="0" w:color="auto"/>
        <w:bottom w:val="none" w:sz="0" w:space="0" w:color="auto"/>
        <w:right w:val="none" w:sz="0" w:space="0" w:color="auto"/>
      </w:divBdr>
    </w:div>
    <w:div w:id="1257443951">
      <w:bodyDiv w:val="1"/>
      <w:marLeft w:val="0"/>
      <w:marRight w:val="0"/>
      <w:marTop w:val="0"/>
      <w:marBottom w:val="0"/>
      <w:divBdr>
        <w:top w:val="none" w:sz="0" w:space="0" w:color="auto"/>
        <w:left w:val="none" w:sz="0" w:space="0" w:color="auto"/>
        <w:bottom w:val="none" w:sz="0" w:space="0" w:color="auto"/>
        <w:right w:val="none" w:sz="0" w:space="0" w:color="auto"/>
      </w:divBdr>
    </w:div>
    <w:div w:id="1269463769">
      <w:bodyDiv w:val="1"/>
      <w:marLeft w:val="0"/>
      <w:marRight w:val="0"/>
      <w:marTop w:val="0"/>
      <w:marBottom w:val="0"/>
      <w:divBdr>
        <w:top w:val="none" w:sz="0" w:space="0" w:color="auto"/>
        <w:left w:val="none" w:sz="0" w:space="0" w:color="auto"/>
        <w:bottom w:val="none" w:sz="0" w:space="0" w:color="auto"/>
        <w:right w:val="none" w:sz="0" w:space="0" w:color="auto"/>
      </w:divBdr>
    </w:div>
    <w:div w:id="1272588318">
      <w:bodyDiv w:val="1"/>
      <w:marLeft w:val="0"/>
      <w:marRight w:val="0"/>
      <w:marTop w:val="0"/>
      <w:marBottom w:val="0"/>
      <w:divBdr>
        <w:top w:val="none" w:sz="0" w:space="0" w:color="auto"/>
        <w:left w:val="none" w:sz="0" w:space="0" w:color="auto"/>
        <w:bottom w:val="none" w:sz="0" w:space="0" w:color="auto"/>
        <w:right w:val="none" w:sz="0" w:space="0" w:color="auto"/>
      </w:divBdr>
    </w:div>
    <w:div w:id="1285691421">
      <w:bodyDiv w:val="1"/>
      <w:marLeft w:val="0"/>
      <w:marRight w:val="0"/>
      <w:marTop w:val="0"/>
      <w:marBottom w:val="0"/>
      <w:divBdr>
        <w:top w:val="none" w:sz="0" w:space="0" w:color="auto"/>
        <w:left w:val="none" w:sz="0" w:space="0" w:color="auto"/>
        <w:bottom w:val="none" w:sz="0" w:space="0" w:color="auto"/>
        <w:right w:val="none" w:sz="0" w:space="0" w:color="auto"/>
      </w:divBdr>
    </w:div>
    <w:div w:id="1358314286">
      <w:bodyDiv w:val="1"/>
      <w:marLeft w:val="0"/>
      <w:marRight w:val="0"/>
      <w:marTop w:val="0"/>
      <w:marBottom w:val="0"/>
      <w:divBdr>
        <w:top w:val="none" w:sz="0" w:space="0" w:color="auto"/>
        <w:left w:val="none" w:sz="0" w:space="0" w:color="auto"/>
        <w:bottom w:val="none" w:sz="0" w:space="0" w:color="auto"/>
        <w:right w:val="none" w:sz="0" w:space="0" w:color="auto"/>
      </w:divBdr>
    </w:div>
    <w:div w:id="1369641556">
      <w:bodyDiv w:val="1"/>
      <w:marLeft w:val="0"/>
      <w:marRight w:val="0"/>
      <w:marTop w:val="0"/>
      <w:marBottom w:val="0"/>
      <w:divBdr>
        <w:top w:val="none" w:sz="0" w:space="0" w:color="auto"/>
        <w:left w:val="none" w:sz="0" w:space="0" w:color="auto"/>
        <w:bottom w:val="none" w:sz="0" w:space="0" w:color="auto"/>
        <w:right w:val="none" w:sz="0" w:space="0" w:color="auto"/>
      </w:divBdr>
    </w:div>
    <w:div w:id="1425305297">
      <w:bodyDiv w:val="1"/>
      <w:marLeft w:val="0"/>
      <w:marRight w:val="0"/>
      <w:marTop w:val="0"/>
      <w:marBottom w:val="0"/>
      <w:divBdr>
        <w:top w:val="none" w:sz="0" w:space="0" w:color="auto"/>
        <w:left w:val="none" w:sz="0" w:space="0" w:color="auto"/>
        <w:bottom w:val="none" w:sz="0" w:space="0" w:color="auto"/>
        <w:right w:val="none" w:sz="0" w:space="0" w:color="auto"/>
      </w:divBdr>
    </w:div>
    <w:div w:id="1485580535">
      <w:bodyDiv w:val="1"/>
      <w:marLeft w:val="0"/>
      <w:marRight w:val="0"/>
      <w:marTop w:val="0"/>
      <w:marBottom w:val="0"/>
      <w:divBdr>
        <w:top w:val="none" w:sz="0" w:space="0" w:color="auto"/>
        <w:left w:val="none" w:sz="0" w:space="0" w:color="auto"/>
        <w:bottom w:val="none" w:sz="0" w:space="0" w:color="auto"/>
        <w:right w:val="none" w:sz="0" w:space="0" w:color="auto"/>
      </w:divBdr>
    </w:div>
    <w:div w:id="1507089104">
      <w:bodyDiv w:val="1"/>
      <w:marLeft w:val="0"/>
      <w:marRight w:val="0"/>
      <w:marTop w:val="0"/>
      <w:marBottom w:val="0"/>
      <w:divBdr>
        <w:top w:val="none" w:sz="0" w:space="0" w:color="auto"/>
        <w:left w:val="none" w:sz="0" w:space="0" w:color="auto"/>
        <w:bottom w:val="none" w:sz="0" w:space="0" w:color="auto"/>
        <w:right w:val="none" w:sz="0" w:space="0" w:color="auto"/>
      </w:divBdr>
    </w:div>
    <w:div w:id="1522163500">
      <w:bodyDiv w:val="1"/>
      <w:marLeft w:val="0"/>
      <w:marRight w:val="0"/>
      <w:marTop w:val="0"/>
      <w:marBottom w:val="0"/>
      <w:divBdr>
        <w:top w:val="none" w:sz="0" w:space="0" w:color="auto"/>
        <w:left w:val="none" w:sz="0" w:space="0" w:color="auto"/>
        <w:bottom w:val="none" w:sz="0" w:space="0" w:color="auto"/>
        <w:right w:val="none" w:sz="0" w:space="0" w:color="auto"/>
      </w:divBdr>
    </w:div>
    <w:div w:id="1527214095">
      <w:bodyDiv w:val="1"/>
      <w:marLeft w:val="0"/>
      <w:marRight w:val="0"/>
      <w:marTop w:val="0"/>
      <w:marBottom w:val="0"/>
      <w:divBdr>
        <w:top w:val="none" w:sz="0" w:space="0" w:color="auto"/>
        <w:left w:val="none" w:sz="0" w:space="0" w:color="auto"/>
        <w:bottom w:val="none" w:sz="0" w:space="0" w:color="auto"/>
        <w:right w:val="none" w:sz="0" w:space="0" w:color="auto"/>
      </w:divBdr>
    </w:div>
    <w:div w:id="1533569760">
      <w:bodyDiv w:val="1"/>
      <w:marLeft w:val="0"/>
      <w:marRight w:val="0"/>
      <w:marTop w:val="0"/>
      <w:marBottom w:val="0"/>
      <w:divBdr>
        <w:top w:val="none" w:sz="0" w:space="0" w:color="auto"/>
        <w:left w:val="none" w:sz="0" w:space="0" w:color="auto"/>
        <w:bottom w:val="none" w:sz="0" w:space="0" w:color="auto"/>
        <w:right w:val="none" w:sz="0" w:space="0" w:color="auto"/>
      </w:divBdr>
    </w:div>
    <w:div w:id="1580018744">
      <w:bodyDiv w:val="1"/>
      <w:marLeft w:val="0"/>
      <w:marRight w:val="0"/>
      <w:marTop w:val="0"/>
      <w:marBottom w:val="0"/>
      <w:divBdr>
        <w:top w:val="none" w:sz="0" w:space="0" w:color="auto"/>
        <w:left w:val="none" w:sz="0" w:space="0" w:color="auto"/>
        <w:bottom w:val="none" w:sz="0" w:space="0" w:color="auto"/>
        <w:right w:val="none" w:sz="0" w:space="0" w:color="auto"/>
      </w:divBdr>
    </w:div>
    <w:div w:id="1585186351">
      <w:bodyDiv w:val="1"/>
      <w:marLeft w:val="0"/>
      <w:marRight w:val="0"/>
      <w:marTop w:val="0"/>
      <w:marBottom w:val="0"/>
      <w:divBdr>
        <w:top w:val="none" w:sz="0" w:space="0" w:color="auto"/>
        <w:left w:val="none" w:sz="0" w:space="0" w:color="auto"/>
        <w:bottom w:val="none" w:sz="0" w:space="0" w:color="auto"/>
        <w:right w:val="none" w:sz="0" w:space="0" w:color="auto"/>
      </w:divBdr>
    </w:div>
    <w:div w:id="1635065570">
      <w:bodyDiv w:val="1"/>
      <w:marLeft w:val="0"/>
      <w:marRight w:val="0"/>
      <w:marTop w:val="0"/>
      <w:marBottom w:val="0"/>
      <w:divBdr>
        <w:top w:val="none" w:sz="0" w:space="0" w:color="auto"/>
        <w:left w:val="none" w:sz="0" w:space="0" w:color="auto"/>
        <w:bottom w:val="none" w:sz="0" w:space="0" w:color="auto"/>
        <w:right w:val="none" w:sz="0" w:space="0" w:color="auto"/>
      </w:divBdr>
    </w:div>
    <w:div w:id="1644314873">
      <w:bodyDiv w:val="1"/>
      <w:marLeft w:val="0"/>
      <w:marRight w:val="0"/>
      <w:marTop w:val="0"/>
      <w:marBottom w:val="0"/>
      <w:divBdr>
        <w:top w:val="none" w:sz="0" w:space="0" w:color="auto"/>
        <w:left w:val="none" w:sz="0" w:space="0" w:color="auto"/>
        <w:bottom w:val="none" w:sz="0" w:space="0" w:color="auto"/>
        <w:right w:val="none" w:sz="0" w:space="0" w:color="auto"/>
      </w:divBdr>
      <w:divsChild>
        <w:div w:id="683435845">
          <w:marLeft w:val="547"/>
          <w:marRight w:val="0"/>
          <w:marTop w:val="0"/>
          <w:marBottom w:val="0"/>
          <w:divBdr>
            <w:top w:val="none" w:sz="0" w:space="0" w:color="auto"/>
            <w:left w:val="none" w:sz="0" w:space="0" w:color="auto"/>
            <w:bottom w:val="none" w:sz="0" w:space="0" w:color="auto"/>
            <w:right w:val="none" w:sz="0" w:space="0" w:color="auto"/>
          </w:divBdr>
        </w:div>
      </w:divsChild>
    </w:div>
    <w:div w:id="1699546100">
      <w:bodyDiv w:val="1"/>
      <w:marLeft w:val="0"/>
      <w:marRight w:val="0"/>
      <w:marTop w:val="0"/>
      <w:marBottom w:val="0"/>
      <w:divBdr>
        <w:top w:val="none" w:sz="0" w:space="0" w:color="auto"/>
        <w:left w:val="none" w:sz="0" w:space="0" w:color="auto"/>
        <w:bottom w:val="none" w:sz="0" w:space="0" w:color="auto"/>
        <w:right w:val="none" w:sz="0" w:space="0" w:color="auto"/>
      </w:divBdr>
    </w:div>
    <w:div w:id="1721245683">
      <w:bodyDiv w:val="1"/>
      <w:marLeft w:val="0"/>
      <w:marRight w:val="0"/>
      <w:marTop w:val="0"/>
      <w:marBottom w:val="0"/>
      <w:divBdr>
        <w:top w:val="none" w:sz="0" w:space="0" w:color="auto"/>
        <w:left w:val="none" w:sz="0" w:space="0" w:color="auto"/>
        <w:bottom w:val="none" w:sz="0" w:space="0" w:color="auto"/>
        <w:right w:val="none" w:sz="0" w:space="0" w:color="auto"/>
      </w:divBdr>
    </w:div>
    <w:div w:id="1729835864">
      <w:bodyDiv w:val="1"/>
      <w:marLeft w:val="0"/>
      <w:marRight w:val="0"/>
      <w:marTop w:val="0"/>
      <w:marBottom w:val="0"/>
      <w:divBdr>
        <w:top w:val="none" w:sz="0" w:space="0" w:color="auto"/>
        <w:left w:val="none" w:sz="0" w:space="0" w:color="auto"/>
        <w:bottom w:val="none" w:sz="0" w:space="0" w:color="auto"/>
        <w:right w:val="none" w:sz="0" w:space="0" w:color="auto"/>
      </w:divBdr>
    </w:div>
    <w:div w:id="1753820708">
      <w:bodyDiv w:val="1"/>
      <w:marLeft w:val="0"/>
      <w:marRight w:val="0"/>
      <w:marTop w:val="0"/>
      <w:marBottom w:val="0"/>
      <w:divBdr>
        <w:top w:val="none" w:sz="0" w:space="0" w:color="auto"/>
        <w:left w:val="none" w:sz="0" w:space="0" w:color="auto"/>
        <w:bottom w:val="none" w:sz="0" w:space="0" w:color="auto"/>
        <w:right w:val="none" w:sz="0" w:space="0" w:color="auto"/>
      </w:divBdr>
    </w:div>
    <w:div w:id="1756055171">
      <w:bodyDiv w:val="1"/>
      <w:marLeft w:val="0"/>
      <w:marRight w:val="0"/>
      <w:marTop w:val="0"/>
      <w:marBottom w:val="0"/>
      <w:divBdr>
        <w:top w:val="none" w:sz="0" w:space="0" w:color="auto"/>
        <w:left w:val="none" w:sz="0" w:space="0" w:color="auto"/>
        <w:bottom w:val="none" w:sz="0" w:space="0" w:color="auto"/>
        <w:right w:val="none" w:sz="0" w:space="0" w:color="auto"/>
      </w:divBdr>
    </w:div>
    <w:div w:id="1781601773">
      <w:bodyDiv w:val="1"/>
      <w:marLeft w:val="0"/>
      <w:marRight w:val="0"/>
      <w:marTop w:val="0"/>
      <w:marBottom w:val="0"/>
      <w:divBdr>
        <w:top w:val="none" w:sz="0" w:space="0" w:color="auto"/>
        <w:left w:val="none" w:sz="0" w:space="0" w:color="auto"/>
        <w:bottom w:val="none" w:sz="0" w:space="0" w:color="auto"/>
        <w:right w:val="none" w:sz="0" w:space="0" w:color="auto"/>
      </w:divBdr>
    </w:div>
    <w:div w:id="1783113883">
      <w:bodyDiv w:val="1"/>
      <w:marLeft w:val="0"/>
      <w:marRight w:val="0"/>
      <w:marTop w:val="0"/>
      <w:marBottom w:val="0"/>
      <w:divBdr>
        <w:top w:val="none" w:sz="0" w:space="0" w:color="auto"/>
        <w:left w:val="none" w:sz="0" w:space="0" w:color="auto"/>
        <w:bottom w:val="none" w:sz="0" w:space="0" w:color="auto"/>
        <w:right w:val="none" w:sz="0" w:space="0" w:color="auto"/>
      </w:divBdr>
    </w:div>
    <w:div w:id="1817842992">
      <w:bodyDiv w:val="1"/>
      <w:marLeft w:val="0"/>
      <w:marRight w:val="0"/>
      <w:marTop w:val="0"/>
      <w:marBottom w:val="0"/>
      <w:divBdr>
        <w:top w:val="none" w:sz="0" w:space="0" w:color="auto"/>
        <w:left w:val="none" w:sz="0" w:space="0" w:color="auto"/>
        <w:bottom w:val="none" w:sz="0" w:space="0" w:color="auto"/>
        <w:right w:val="none" w:sz="0" w:space="0" w:color="auto"/>
      </w:divBdr>
    </w:div>
    <w:div w:id="1821266700">
      <w:bodyDiv w:val="1"/>
      <w:marLeft w:val="0"/>
      <w:marRight w:val="0"/>
      <w:marTop w:val="0"/>
      <w:marBottom w:val="0"/>
      <w:divBdr>
        <w:top w:val="none" w:sz="0" w:space="0" w:color="auto"/>
        <w:left w:val="none" w:sz="0" w:space="0" w:color="auto"/>
        <w:bottom w:val="none" w:sz="0" w:space="0" w:color="auto"/>
        <w:right w:val="none" w:sz="0" w:space="0" w:color="auto"/>
      </w:divBdr>
    </w:div>
    <w:div w:id="1827286017">
      <w:bodyDiv w:val="1"/>
      <w:marLeft w:val="0"/>
      <w:marRight w:val="0"/>
      <w:marTop w:val="0"/>
      <w:marBottom w:val="0"/>
      <w:divBdr>
        <w:top w:val="none" w:sz="0" w:space="0" w:color="auto"/>
        <w:left w:val="none" w:sz="0" w:space="0" w:color="auto"/>
        <w:bottom w:val="none" w:sz="0" w:space="0" w:color="auto"/>
        <w:right w:val="none" w:sz="0" w:space="0" w:color="auto"/>
      </w:divBdr>
    </w:div>
    <w:div w:id="1850484049">
      <w:bodyDiv w:val="1"/>
      <w:marLeft w:val="0"/>
      <w:marRight w:val="0"/>
      <w:marTop w:val="0"/>
      <w:marBottom w:val="0"/>
      <w:divBdr>
        <w:top w:val="none" w:sz="0" w:space="0" w:color="auto"/>
        <w:left w:val="none" w:sz="0" w:space="0" w:color="auto"/>
        <w:bottom w:val="none" w:sz="0" w:space="0" w:color="auto"/>
        <w:right w:val="none" w:sz="0" w:space="0" w:color="auto"/>
      </w:divBdr>
    </w:div>
    <w:div w:id="1861550157">
      <w:bodyDiv w:val="1"/>
      <w:marLeft w:val="0"/>
      <w:marRight w:val="0"/>
      <w:marTop w:val="0"/>
      <w:marBottom w:val="0"/>
      <w:divBdr>
        <w:top w:val="none" w:sz="0" w:space="0" w:color="auto"/>
        <w:left w:val="none" w:sz="0" w:space="0" w:color="auto"/>
        <w:bottom w:val="none" w:sz="0" w:space="0" w:color="auto"/>
        <w:right w:val="none" w:sz="0" w:space="0" w:color="auto"/>
      </w:divBdr>
    </w:div>
    <w:div w:id="1896505793">
      <w:bodyDiv w:val="1"/>
      <w:marLeft w:val="0"/>
      <w:marRight w:val="0"/>
      <w:marTop w:val="0"/>
      <w:marBottom w:val="0"/>
      <w:divBdr>
        <w:top w:val="none" w:sz="0" w:space="0" w:color="auto"/>
        <w:left w:val="none" w:sz="0" w:space="0" w:color="auto"/>
        <w:bottom w:val="none" w:sz="0" w:space="0" w:color="auto"/>
        <w:right w:val="none" w:sz="0" w:space="0" w:color="auto"/>
      </w:divBdr>
    </w:div>
    <w:div w:id="1912537617">
      <w:bodyDiv w:val="1"/>
      <w:marLeft w:val="0"/>
      <w:marRight w:val="0"/>
      <w:marTop w:val="0"/>
      <w:marBottom w:val="0"/>
      <w:divBdr>
        <w:top w:val="none" w:sz="0" w:space="0" w:color="auto"/>
        <w:left w:val="none" w:sz="0" w:space="0" w:color="auto"/>
        <w:bottom w:val="none" w:sz="0" w:space="0" w:color="auto"/>
        <w:right w:val="none" w:sz="0" w:space="0" w:color="auto"/>
      </w:divBdr>
    </w:div>
    <w:div w:id="1926573636">
      <w:bodyDiv w:val="1"/>
      <w:marLeft w:val="0"/>
      <w:marRight w:val="0"/>
      <w:marTop w:val="0"/>
      <w:marBottom w:val="0"/>
      <w:divBdr>
        <w:top w:val="none" w:sz="0" w:space="0" w:color="auto"/>
        <w:left w:val="none" w:sz="0" w:space="0" w:color="auto"/>
        <w:bottom w:val="none" w:sz="0" w:space="0" w:color="auto"/>
        <w:right w:val="none" w:sz="0" w:space="0" w:color="auto"/>
      </w:divBdr>
    </w:div>
    <w:div w:id="1931428663">
      <w:bodyDiv w:val="1"/>
      <w:marLeft w:val="0"/>
      <w:marRight w:val="0"/>
      <w:marTop w:val="0"/>
      <w:marBottom w:val="0"/>
      <w:divBdr>
        <w:top w:val="none" w:sz="0" w:space="0" w:color="auto"/>
        <w:left w:val="none" w:sz="0" w:space="0" w:color="auto"/>
        <w:bottom w:val="none" w:sz="0" w:space="0" w:color="auto"/>
        <w:right w:val="none" w:sz="0" w:space="0" w:color="auto"/>
      </w:divBdr>
    </w:div>
    <w:div w:id="1983000676">
      <w:bodyDiv w:val="1"/>
      <w:marLeft w:val="0"/>
      <w:marRight w:val="0"/>
      <w:marTop w:val="0"/>
      <w:marBottom w:val="0"/>
      <w:divBdr>
        <w:top w:val="none" w:sz="0" w:space="0" w:color="auto"/>
        <w:left w:val="none" w:sz="0" w:space="0" w:color="auto"/>
        <w:bottom w:val="none" w:sz="0" w:space="0" w:color="auto"/>
        <w:right w:val="none" w:sz="0" w:space="0" w:color="auto"/>
      </w:divBdr>
    </w:div>
    <w:div w:id="1991592239">
      <w:bodyDiv w:val="1"/>
      <w:marLeft w:val="0"/>
      <w:marRight w:val="0"/>
      <w:marTop w:val="0"/>
      <w:marBottom w:val="0"/>
      <w:divBdr>
        <w:top w:val="none" w:sz="0" w:space="0" w:color="auto"/>
        <w:left w:val="none" w:sz="0" w:space="0" w:color="auto"/>
        <w:bottom w:val="none" w:sz="0" w:space="0" w:color="auto"/>
        <w:right w:val="none" w:sz="0" w:space="0" w:color="auto"/>
      </w:divBdr>
    </w:div>
    <w:div w:id="2030259013">
      <w:bodyDiv w:val="1"/>
      <w:marLeft w:val="0"/>
      <w:marRight w:val="0"/>
      <w:marTop w:val="0"/>
      <w:marBottom w:val="0"/>
      <w:divBdr>
        <w:top w:val="none" w:sz="0" w:space="0" w:color="auto"/>
        <w:left w:val="none" w:sz="0" w:space="0" w:color="auto"/>
        <w:bottom w:val="none" w:sz="0" w:space="0" w:color="auto"/>
        <w:right w:val="none" w:sz="0" w:space="0" w:color="auto"/>
      </w:divBdr>
    </w:div>
    <w:div w:id="2045404537">
      <w:bodyDiv w:val="1"/>
      <w:marLeft w:val="0"/>
      <w:marRight w:val="0"/>
      <w:marTop w:val="0"/>
      <w:marBottom w:val="0"/>
      <w:divBdr>
        <w:top w:val="none" w:sz="0" w:space="0" w:color="auto"/>
        <w:left w:val="none" w:sz="0" w:space="0" w:color="auto"/>
        <w:bottom w:val="none" w:sz="0" w:space="0" w:color="auto"/>
        <w:right w:val="none" w:sz="0" w:space="0" w:color="auto"/>
      </w:divBdr>
    </w:div>
    <w:div w:id="2061124386">
      <w:bodyDiv w:val="1"/>
      <w:marLeft w:val="0"/>
      <w:marRight w:val="0"/>
      <w:marTop w:val="0"/>
      <w:marBottom w:val="0"/>
      <w:divBdr>
        <w:top w:val="none" w:sz="0" w:space="0" w:color="auto"/>
        <w:left w:val="none" w:sz="0" w:space="0" w:color="auto"/>
        <w:bottom w:val="none" w:sz="0" w:space="0" w:color="auto"/>
        <w:right w:val="none" w:sz="0" w:space="0" w:color="auto"/>
      </w:divBdr>
    </w:div>
    <w:div w:id="2073968806">
      <w:bodyDiv w:val="1"/>
      <w:marLeft w:val="0"/>
      <w:marRight w:val="0"/>
      <w:marTop w:val="0"/>
      <w:marBottom w:val="0"/>
      <w:divBdr>
        <w:top w:val="none" w:sz="0" w:space="0" w:color="auto"/>
        <w:left w:val="none" w:sz="0" w:space="0" w:color="auto"/>
        <w:bottom w:val="none" w:sz="0" w:space="0" w:color="auto"/>
        <w:right w:val="none" w:sz="0" w:space="0" w:color="auto"/>
      </w:divBdr>
    </w:div>
    <w:div w:id="2075161404">
      <w:bodyDiv w:val="1"/>
      <w:marLeft w:val="0"/>
      <w:marRight w:val="0"/>
      <w:marTop w:val="0"/>
      <w:marBottom w:val="0"/>
      <w:divBdr>
        <w:top w:val="none" w:sz="0" w:space="0" w:color="auto"/>
        <w:left w:val="none" w:sz="0" w:space="0" w:color="auto"/>
        <w:bottom w:val="none" w:sz="0" w:space="0" w:color="auto"/>
        <w:right w:val="none" w:sz="0" w:space="0" w:color="auto"/>
      </w:divBdr>
      <w:divsChild>
        <w:div w:id="1049037404">
          <w:marLeft w:val="547"/>
          <w:marRight w:val="0"/>
          <w:marTop w:val="0"/>
          <w:marBottom w:val="0"/>
          <w:divBdr>
            <w:top w:val="none" w:sz="0" w:space="0" w:color="auto"/>
            <w:left w:val="none" w:sz="0" w:space="0" w:color="auto"/>
            <w:bottom w:val="none" w:sz="0" w:space="0" w:color="auto"/>
            <w:right w:val="none" w:sz="0" w:space="0" w:color="auto"/>
          </w:divBdr>
        </w:div>
      </w:divsChild>
    </w:div>
    <w:div w:id="2078673213">
      <w:bodyDiv w:val="1"/>
      <w:marLeft w:val="0"/>
      <w:marRight w:val="0"/>
      <w:marTop w:val="0"/>
      <w:marBottom w:val="0"/>
      <w:divBdr>
        <w:top w:val="none" w:sz="0" w:space="0" w:color="auto"/>
        <w:left w:val="none" w:sz="0" w:space="0" w:color="auto"/>
        <w:bottom w:val="none" w:sz="0" w:space="0" w:color="auto"/>
        <w:right w:val="none" w:sz="0" w:space="0" w:color="auto"/>
      </w:divBdr>
    </w:div>
    <w:div w:id="2098017480">
      <w:bodyDiv w:val="1"/>
      <w:marLeft w:val="0"/>
      <w:marRight w:val="0"/>
      <w:marTop w:val="0"/>
      <w:marBottom w:val="0"/>
      <w:divBdr>
        <w:top w:val="none" w:sz="0" w:space="0" w:color="auto"/>
        <w:left w:val="none" w:sz="0" w:space="0" w:color="auto"/>
        <w:bottom w:val="none" w:sz="0" w:space="0" w:color="auto"/>
        <w:right w:val="none" w:sz="0" w:space="0" w:color="auto"/>
      </w:divBdr>
    </w:div>
    <w:div w:id="211335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consumerdatastandardsaustralia.github.io/standards/" TargetMode="External"/><Relationship Id="rId26" Type="http://schemas.openxmlformats.org/officeDocument/2006/relationships/hyperlink" Target="https://miro.com/app/board/uXjVOSMLNIA=/?moveToWidget=3458764517510303695&amp;cot=14" TargetMode="External"/><Relationship Id="rId39" Type="http://schemas.openxmlformats.org/officeDocument/2006/relationships/hyperlink" Target="https://consumerdatastandardsaustralia.github.io/standards/" TargetMode="External"/><Relationship Id="rId21" Type="http://schemas.openxmlformats.org/officeDocument/2006/relationships/hyperlink" Target="https://d61cds.notion.site/CX-Checklist-bdf3b1c40fdd4817bc6c7d49f48eea9e" TargetMode="External"/><Relationship Id="rId34" Type="http://schemas.openxmlformats.org/officeDocument/2006/relationships/hyperlink" Target="https://miro.com/app/board/uXjVOSMLNIA=/?moveToWidget=3458764517510303694&amp;cot=14" TargetMode="External"/><Relationship Id="rId42" Type="http://schemas.openxmlformats.org/officeDocument/2006/relationships/hyperlink" Target="https://consumerdatastandardsaustralia.github.io/standards/" TargetMode="External"/><Relationship Id="rId47" Type="http://schemas.openxmlformats.org/officeDocument/2006/relationships/hyperlink" Target="https://www.tmforum.org/open-apis/" TargetMode="External"/><Relationship Id="rId50" Type="http://schemas.openxmlformats.org/officeDocument/2006/relationships/hyperlink" Target="https://consumerdatastandardsaustralia.github.io/standards/" TargetMode="External"/><Relationship Id="rId55"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onsumerdatastandardsaustralia.github.io/standards/" TargetMode="External"/><Relationship Id="rId25" Type="http://schemas.openxmlformats.org/officeDocument/2006/relationships/hyperlink" Target="https://github.com/ConsumerDataStandardsAustralia/standards/issues/235" TargetMode="External"/><Relationship Id="rId33" Type="http://schemas.openxmlformats.org/officeDocument/2006/relationships/hyperlink" Target="https://www.figma.com/proto/eTvaCRE0FwHyGvyEsZ33cm/Telco-consent-flow?node-id=544%3A15509&amp;starting-point-node-id=544%3A15509" TargetMode="External"/><Relationship Id="rId38" Type="http://schemas.openxmlformats.org/officeDocument/2006/relationships/hyperlink" Target="https://consumerdatastandardsaustralia.github.io/standards/" TargetMode="External"/><Relationship Id="rId46" Type="http://schemas.openxmlformats.org/officeDocument/2006/relationships/hyperlink" Target="https://www.figma.com/proto/eTvaCRE0FwHyGvyEsZ33cm/Telco-consent-flow?node-id=544%3A15509&amp;starting-point-node-id=544%3A15509" TargetMode="External"/><Relationship Id="rId2" Type="http://schemas.openxmlformats.org/officeDocument/2006/relationships/customXml" Target="../customXml/item2.xml"/><Relationship Id="rId16" Type="http://schemas.openxmlformats.org/officeDocument/2006/relationships/hyperlink" Target="https://consumerdatastandardsaustralia.github.io/standards/" TargetMode="External"/><Relationship Id="rId20" Type="http://schemas.openxmlformats.org/officeDocument/2006/relationships/hyperlink" Target="https://d61cds.notion.site/d61cds/Consumer-Experience-Standards-and-Guidelines-dffe42d39d4942c5b4f2c7612ba4f6e0" TargetMode="External"/><Relationship Id="rId29" Type="http://schemas.openxmlformats.org/officeDocument/2006/relationships/hyperlink" Target="https://miro.com/app/board/uXjVOSMLNIA=/?moveToWidget=3458764517510303694&amp;cot=14" TargetMode="External"/><Relationship Id="rId41" Type="http://schemas.openxmlformats.org/officeDocument/2006/relationships/hyperlink" Target="https://consumerdatastandardsaustralia.github.io/standard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figma.com/proto/eTvaCRE0FwHyGvyEsZ33cm/Telco-consent-flow?node-id=544%3A15509&amp;starting-point-node-id=544%3A15509" TargetMode="External"/><Relationship Id="rId32" Type="http://schemas.openxmlformats.org/officeDocument/2006/relationships/hyperlink" Target="https://consumerdatastandards.gov.au/sites/consumerdatastandards.gov.au/files/2022-02/CX_Artefacts_Design_Paper_Telecommunications.pdf" TargetMode="External"/><Relationship Id="rId37" Type="http://schemas.openxmlformats.org/officeDocument/2006/relationships/hyperlink" Target="https://consumerdatastandards.gov.au/sites/consumerdatastandards.gov.au/files/2022-02/CX_Artefacts_Design_Paper_Telecommunications.pdf" TargetMode="External"/><Relationship Id="rId40" Type="http://schemas.openxmlformats.org/officeDocument/2006/relationships/hyperlink" Target="https://consumerdatastandardsaustralia.github.io/standards/" TargetMode="External"/><Relationship Id="rId45" Type="http://schemas.openxmlformats.org/officeDocument/2006/relationships/hyperlink" Target="https://consumerdatastandards.gov.au/sites/consumerdatastandards.gov.au/files/2022-02/CX_Artefacts_Design_Paper_Telecommunications.pdf"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data@treasury.gov.au" TargetMode="External"/><Relationship Id="rId23" Type="http://schemas.openxmlformats.org/officeDocument/2006/relationships/hyperlink" Target="https://consumerdatastandards.gov.au/sites/consumerdatastandards.gov.au/files/2022-02/CX_Artefacts_Design_Paper_Telecommunications.pdf" TargetMode="External"/><Relationship Id="rId28" Type="http://schemas.openxmlformats.org/officeDocument/2006/relationships/hyperlink" Target="https://consumerdatastandardsaustralia.github.io/standards/" TargetMode="External"/><Relationship Id="rId36" Type="http://schemas.openxmlformats.org/officeDocument/2006/relationships/hyperlink" Target="https://miro.com/app/board/uXjVOSMLNIA=/?moveToWidget=3458764517510303627&amp;cot=14" TargetMode="External"/><Relationship Id="rId49" Type="http://schemas.openxmlformats.org/officeDocument/2006/relationships/hyperlink" Target="https://consumerdatastandardsaustralia.github.io/standards/" TargetMode="Externa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github.com/ConsumerDataStandardsAustralia/standards" TargetMode="External"/><Relationship Id="rId31" Type="http://schemas.openxmlformats.org/officeDocument/2006/relationships/hyperlink" Target="https://miro.com/app/board/uXjVOSMLNIA=/?moveToWidget=3458764517510303627&amp;cot=14" TargetMode="External"/><Relationship Id="rId44" Type="http://schemas.openxmlformats.org/officeDocument/2006/relationships/hyperlink" Target="https://miro.com/app/board/uXjVOSMLNIA=/?moveToWidget=3458764517510303695&amp;cot=14"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github.com/ConsumerDataStandardsAustralia/standards/issues/235" TargetMode="External"/><Relationship Id="rId22" Type="http://schemas.openxmlformats.org/officeDocument/2006/relationships/hyperlink" Target="https://miro.com/app/board/uXjVOSMLNIA=/?moveToWidget=3458764517510303695&amp;cot=14" TargetMode="External"/><Relationship Id="rId27" Type="http://schemas.openxmlformats.org/officeDocument/2006/relationships/image" Target="media/image2.PNG"/><Relationship Id="rId30" Type="http://schemas.openxmlformats.org/officeDocument/2006/relationships/hyperlink" Target="https://consumerdatastandards.gov.au/sites/consumerdatastandards.gov.au/files/2022-02/CX_Artefacts_Design_Paper_Telecommunications.pdf" TargetMode="External"/><Relationship Id="rId35" Type="http://schemas.openxmlformats.org/officeDocument/2006/relationships/hyperlink" Target="https://consumerdatastandards.gov.au/sites/consumerdatastandards.gov.au/files/2022-02/CX_Artefacts_Design_Paper_Telecommunications.pdf" TargetMode="External"/><Relationship Id="rId43" Type="http://schemas.openxmlformats.org/officeDocument/2006/relationships/hyperlink" Target="https://d61cds.notion.site/d61cds/Consumer-Experience-Standards-and-Guidelines-dffe42d39d4942c5b4f2c7612ba4f6e0" TargetMode="External"/><Relationship Id="rId48" Type="http://schemas.openxmlformats.org/officeDocument/2006/relationships/hyperlink" Target="https://www.gsma.com/identity/" TargetMode="External"/><Relationship Id="rId56" Type="http://schemas.openxmlformats.org/officeDocument/2006/relationships/footer" Target="footer3.xml"/><Relationship Id="rId8" Type="http://schemas.openxmlformats.org/officeDocument/2006/relationships/styles" Target="styles.xml"/><Relationship Id="rId51" Type="http://schemas.openxmlformats.org/officeDocument/2006/relationships/header" Target="head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github.com/ConsumerDataStandardsAustralia/standards-maintenance" TargetMode="External"/><Relationship Id="rId2" Type="http://schemas.openxmlformats.org/officeDocument/2006/relationships/hyperlink" Target="https://consumerdatastandardsaustralia.github.io/standards/" TargetMode="External"/><Relationship Id="rId1" Type="http://schemas.openxmlformats.org/officeDocument/2006/relationships/hyperlink" Target="https://www.legislation.gov.au/Series/F2022L0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2</Value>
    </TaxCatchAll>
    <_dlc_DocId xmlns="0f563589-9cf9-4143-b1eb-fb0534803d38">2022MG-133-79566</_dlc_DocId>
    <_dlc_DocIdUrl xmlns="0f563589-9cf9-4143-b1eb-fb0534803d38">
      <Url>http://tweb/sites/mg/sbccpd/_layouts/15/DocIdRedir.aspx?ID=2022MG-133-79566</Url>
      <Description>2022MG-133-79566</Description>
    </_dlc_DocIdUrl>
    <SecurityClassification xmlns="d4dd4adf-ddb3-46a3-8d7c-fab3fb2a6bc7" xsi:nil="true"/>
    <IconOverlay xmlns="http://schemas.microsoft.com/sharepoint/v4" xsi:nil="true"/>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44944" ma:contentTypeDescription="" ma:contentTypeScope="" ma:versionID="7d942fc2e5a665197452a71fc2783256">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8186ca62135d0617e18e5c71277486f5"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2:TaxKeywordTaxHTField"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9"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DF764CAA-F487-4736-AA4B-B106AE92DBA4}">
  <ds:schemaRefs>
    <ds:schemaRef ds:uri="http://schemas.openxmlformats.org/officeDocument/2006/bibliography"/>
  </ds:schemaRefs>
</ds:datastoreItem>
</file>

<file path=customXml/itemProps2.xml><?xml version="1.0" encoding="utf-8"?>
<ds:datastoreItem xmlns:ds="http://schemas.openxmlformats.org/officeDocument/2006/customXml" ds:itemID="{E42F3FD3-B6BE-4F36-8CF4-7CBCE3F8C083}">
  <ds:schemaRefs>
    <ds:schemaRef ds:uri="http://schemas.microsoft.com/office/2006/metadata/properties"/>
    <ds:schemaRef ds:uri="http://schemas.microsoft.com/office/infopath/2007/PartnerControls"/>
    <ds:schemaRef ds:uri="0f563589-9cf9-4143-b1eb-fb0534803d38"/>
    <ds:schemaRef ds:uri="d4dd4adf-ddb3-46a3-8d7c-fab3fb2a6bc7"/>
    <ds:schemaRef ds:uri="http://schemas.microsoft.com/sharepoint/v4"/>
  </ds:schemaRefs>
</ds:datastoreItem>
</file>

<file path=customXml/itemProps3.xml><?xml version="1.0" encoding="utf-8"?>
<ds:datastoreItem xmlns:ds="http://schemas.openxmlformats.org/officeDocument/2006/customXml" ds:itemID="{D36FDB4B-8D9F-4738-9495-BF0A1FE270A3}">
  <ds:schemaRefs>
    <ds:schemaRef ds:uri="http://schemas.microsoft.com/sharepoint/v3/contenttype/forms"/>
  </ds:schemaRefs>
</ds:datastoreItem>
</file>

<file path=customXml/itemProps4.xml><?xml version="1.0" encoding="utf-8"?>
<ds:datastoreItem xmlns:ds="http://schemas.openxmlformats.org/officeDocument/2006/customXml" ds:itemID="{CB7E6CCE-9163-4EEB-9A32-82F846018FD7}">
  <ds:schemaRefs>
    <ds:schemaRef ds:uri="office.server.policy"/>
  </ds:schemaRefs>
</ds:datastoreItem>
</file>

<file path=customXml/itemProps5.xml><?xml version="1.0" encoding="utf-8"?>
<ds:datastoreItem xmlns:ds="http://schemas.openxmlformats.org/officeDocument/2006/customXml" ds:itemID="{CA064EF6-883E-4A01-8CDD-740432178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AAA69B4-DD45-4D1D-962F-C64974EB5E8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9406</Words>
  <Characters>53615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Consumer Data Right in the telecommunications sector</vt:lpstr>
    </vt:vector>
  </TitlesOfParts>
  <Manager/>
  <Company/>
  <LinksUpToDate>false</LinksUpToDate>
  <CharactersWithSpaces>62896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Data Right in the telecommunications sector</dc:title>
  <dc:subject/>
  <dc:creator>The Treasury</dc:creator>
  <cp:keywords/>
  <dc:description/>
  <cp:lastModifiedBy>Gan, Karen</cp:lastModifiedBy>
  <cp:revision>4</cp:revision>
  <cp:lastPrinted>2022-03-25T00:20:00Z</cp:lastPrinted>
  <dcterms:created xsi:type="dcterms:W3CDTF">2022-03-25T00:19:00Z</dcterms:created>
  <dcterms:modified xsi:type="dcterms:W3CDTF">2022-03-25T00:20:00Z</dcterms:modified>
  <cp:category/>
</cp:coreProperties>
</file>